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DAMIAN ARIEL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SOSTI</w:t>
      </w:r>
      <w:r w:rsidR="00B754DF">
        <w:rPr>
          <w:rFonts w:ascii="Montserrat" w:eastAsia="Times New Roman" w:hAnsi="Montserrat" w:cs="Tahoma"/>
          <w:lang w:eastAsia="es-ES"/>
        </w:rPr>
        <w:t xml:space="preserve"> BELLINI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160 COMISIÓN COORDINADORA DE INSTITUTOS NACIONALES DE SALUD Y HOSPITALES DE ALTA ESPECIALIDAD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2021-02-01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sd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