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PRESUPUESTO DE MARKETING 2026</w:t>
      </w:r>
    </w:p>
    <w:p>
      <w:pPr>
        <w:spacing w:before="120" w:after="360"/>
        <w:jc w:val="center"/>
      </w:pPr>
      <w:r>
        <w:rPr>
          <w:b/>
          <w:bCs/>
          <w:color w:val="4A6B7C"/>
          <w:sz w:val="32"/>
          <w:szCs w:val="32"/>
        </w:rPr>
        <w:t xml:space="preserve">Carrillo Abogados</w:t>
      </w:r>
    </w:p>
    <w:p>
      <w:pPr>
        <w:spacing w:after="240"/>
        <w:jc w:val="center"/>
      </w:pPr>
      <w:r>
        <w:rPr>
          <w:color w:val="7F8C8D"/>
          <w:sz w:val="24"/>
          <w:szCs w:val="24"/>
        </w:rPr>
        <w:t xml:space="preserve">Plan de Marketing Integral</w:t>
      </w:r>
    </w:p>
    <w:p>
      <w:pPr>
        <w:spacing w:after="240"/>
        <w:jc w:val="center"/>
      </w:pPr>
      <w:r>
        <w:rPr>
          <w:i/>
          <w:iCs/>
          <w:color w:val="5D4037"/>
          <w:sz w:val="22"/>
          <w:szCs w:val="22"/>
        </w:rPr>
        <w:t xml:space="preserve">Versión Final Actualizada</w:t>
      </w:r>
    </w:p>
    <w:p>
      <w:pPr>
        <w:spacing w:after="1200"/>
        <w:jc w:val="center"/>
      </w:pPr>
      <w:r>
        <w:rPr>
          <w:color w:val="7F8C8D"/>
          <w:sz w:val="20"/>
          <w:szCs w:val="20"/>
        </w:rPr>
        <w:t xml:space="preserve">Noviembre 2025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left w:type="dxa" w:w="300"/>
          <w:bottom w:type="dxa" w:w="200"/>
          <w:right w:type="dxa" w:w="300"/>
        </w:tblCellMar>
      </w:tblPr>
      <w:tblGrid>
        <w:gridCol w:w="9360"/>
      </w:tblGrid>
      <w:tr>
        <w:tc>
          <w:tcPr>
            <w:tcBorders>
              <w:top w:val="single" w:color="2C3E50" w:sz="24"/>
              <w:left w:val="single" w:color="2C3E50" w:sz="24"/>
              <w:bottom w:val="single" w:color="2C3E50" w:sz="24"/>
              <w:right w:val="single" w:color="2C3E50" w:sz="24"/>
            </w:tcBorders>
            <w:shd w:fill="E8F5E9" w:val="clear"/>
          </w:tcPr>
          <w:p>
            <w:pPr>
              <w:spacing w:before="200" w:after="120"/>
              <w:jc w:val="center"/>
            </w:pPr>
            <w:r>
              <w:rPr>
                <w:b/>
                <w:bCs/>
                <w:color w:val="1B5E20"/>
                <w:sz w:val="28"/>
                <w:szCs w:val="28"/>
              </w:rPr>
              <w:t xml:space="preserve">RESUMEN EJECUTIVO</w:t>
            </w:r>
          </w:p>
          <w:p>
            <w:pPr>
              <w:spacing w:after="80"/>
              <w:jc w:val="center"/>
            </w:pPr>
            <w:r>
              <w:rPr>
                <w:b/>
                <w:bCs/>
                <w:color w:val="2C3E50"/>
                <w:sz w:val="32"/>
                <w:szCs w:val="32"/>
              </w:rPr>
              <w:t xml:space="preserve">Presupuesto Total: $68,250,000 COP</w:t>
            </w:r>
          </w:p>
          <w:p>
            <w:pPr>
              <w:spacing w:after="80"/>
              <w:jc w:val="center"/>
            </w:pPr>
            <w:r>
              <w:rPr>
                <w:color w:val="4A6B7C"/>
                <w:sz w:val="24"/>
                <w:szCs w:val="24"/>
              </w:rPr>
              <w:t xml:space="preserve">Inversión 100% Ejecutable</w:t>
            </w:r>
          </w:p>
          <w:p>
            <w:pPr>
              <w:spacing w:after="200"/>
              <w:jc w:val="center"/>
            </w:pPr>
            <w:r>
              <w:rPr>
                <w:b/>
                <w:bCs/>
                <w:color w:val="1565C0"/>
                <w:sz w:val="26"/>
                <w:szCs w:val="26"/>
              </w:rPr>
              <w:t xml:space="preserve">Enfoque: Motor Futuro + Motor Actual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TABLA DE CONTENIDO</w:t>
      </w:r>
    </w:p>
    <w:p>
      <w:pPr>
        <w:spacing w:after="120"/>
      </w:pPr>
      <w:r>
        <w:rPr>
          <w:sz w:val="22"/>
          <w:szCs w:val="22"/>
        </w:rPr>
        <w:t xml:space="preserve">1. Resumen Ejecutivo</w:t>
      </w:r>
    </w:p>
    <w:p>
      <w:pPr>
        <w:spacing w:after="120"/>
      </w:pPr>
      <w:r>
        <w:rPr>
          <w:sz w:val="22"/>
          <w:szCs w:val="22"/>
        </w:rPr>
        <w:t xml:space="preserve">2. Estructura Presupuestaria</w:t>
      </w:r>
    </w:p>
    <w:p>
      <w:pPr>
        <w:spacing w:after="120"/>
      </w:pPr>
      <w:r>
        <w:rPr>
          <w:sz w:val="22"/>
          <w:szCs w:val="22"/>
        </w:rPr>
        <w:t xml:space="preserve">3. Justificación Estratégica</w:t>
      </w:r>
    </w:p>
    <w:p>
      <w:pPr>
        <w:spacing w:after="120"/>
      </w:pPr>
      <w:r>
        <w:rPr>
          <w:sz w:val="22"/>
          <w:szCs w:val="22"/>
        </w:rPr>
        <w:t xml:space="preserve">4. Distribución por Componente (Visualizaciones)</w:t>
      </w:r>
    </w:p>
    <w:p>
      <w:pPr>
        <w:spacing w:after="120"/>
      </w:pPr>
      <w:r>
        <w:rPr>
          <w:sz w:val="22"/>
          <w:szCs w:val="22"/>
        </w:rPr>
        <w:t xml:space="preserve">5. Cronograma de Implementación</w:t>
      </w:r>
    </w:p>
    <w:p>
      <w:pPr>
        <w:spacing w:after="120"/>
      </w:pPr>
      <w:r>
        <w:rPr>
          <w:sz w:val="22"/>
          <w:szCs w:val="22"/>
        </w:rPr>
        <w:t xml:space="preserve">6. Análisis de Riesgos y Oportunidades</w:t>
      </w:r>
    </w:p>
    <w:p>
      <w:pPr>
        <w:spacing w:after="120"/>
      </w:pPr>
      <w:r>
        <w:rPr>
          <w:sz w:val="22"/>
          <w:szCs w:val="22"/>
        </w:rPr>
        <w:t xml:space="preserve">7. Conclusión</w:t>
      </w:r>
    </w:p>
    <w:p>
      <w:r>
        <w:br w:type="page"/>
      </w:r>
    </w:p>
    <w:p>
      <w:pPr>
        <w:pStyle w:val="Heading1"/>
      </w:pPr>
      <w:r>
        <w:t xml:space="preserve">1. RESUMEN EJECUTIVO</w:t>
      </w:r>
    </w:p>
    <w:p>
      <w:pPr>
        <w:spacing w:after="180"/>
      </w:pPr>
      <w:r>
        <w:rPr>
          <w:sz w:val="22"/>
          <w:szCs w:val="22"/>
        </w:rPr>
        <w:t xml:space="preserve">El presente documento detalla el presupuesto aprobado para el Plan de Marketing Integral 2026 de Carrillo Abogados, con una inversión total de </w:t>
      </w:r>
      <w:r>
        <w:rPr>
          <w:b/>
          <w:bCs/>
          <w:color w:val="1565C0"/>
          <w:sz w:val="22"/>
          <w:szCs w:val="22"/>
        </w:rPr>
        <w:t xml:space="preserve">$68,250,000 COP</w:t>
      </w:r>
      <w:r>
        <w:rPr>
          <w:sz w:val="22"/>
          <w:szCs w:val="22"/>
        </w:rPr>
        <w:t xml:space="preserve">, diseñado estratégicamente para impulsar ambos motores de negocio de la firma mediante automatización, publicidad digital y optimización SEO.</w:t>
      </w:r>
    </w:p>
    <w:p>
      <w:pPr>
        <w:pStyle w:val="Heading2"/>
      </w:pPr>
      <w:r>
        <w:t xml:space="preserve">Objetivos Estratégicos</w:t>
      </w:r>
    </w:p>
    <w:p>
      <w:pPr>
        <w:pStyle w:val="ListParagraph"/>
        <w:numPr>
          <w:ilvl w:val="0"/>
          <w:numId w:val="2"/>
        </w:numPr>
      </w:pPr>
      <w:r>
        <w:t xml:space="preserve">Captar nuevos clientes en el segmento de Propiedad Intelectual y Registro de Marcas (Motor Futuro)</w:t>
      </w:r>
    </w:p>
    <w:p>
      <w:pPr>
        <w:pStyle w:val="ListParagraph"/>
        <w:numPr>
          <w:ilvl w:val="0"/>
          <w:numId w:val="2"/>
        </w:numPr>
      </w:pPr>
      <w:r>
        <w:t xml:space="preserve">Fortalecer relaciones con clientes actuales de Contratación Estatal mediante email marketing automatizado (Motor Actual)</w:t>
      </w:r>
    </w:p>
    <w:p>
      <w:pPr>
        <w:pStyle w:val="ListParagraph"/>
        <w:numPr>
          <w:ilvl w:val="0"/>
          <w:numId w:val="2"/>
        </w:numPr>
      </w:pPr>
      <w:r>
        <w:t xml:space="preserve">Establecer workflows de automatización n8n que operen 24/7 para ambos motores</w:t>
      </w:r>
    </w:p>
    <w:p>
      <w:pPr>
        <w:pStyle w:val="ListParagraph"/>
        <w:numPr>
          <w:ilvl w:val="0"/>
          <w:numId w:val="2"/>
        </w:numPr>
      </w:pPr>
      <w:r>
        <w:t xml:space="preserve">Mejorar posicionamiento SEO para captar leads orgánicos cualificados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Maximizar eficiencia operativa con disponibilidad de 5 horas semanales</w:t>
      </w:r>
    </w:p>
    <w:p>
      <w:pPr>
        <w:pStyle w:val="Heading2"/>
      </w:pPr>
      <w:r>
        <w:t xml:space="preserve">Distribución del Presupuesto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C3E50" w:sz="12"/>
              <w:left w:val="single" w:color="2C3E50" w:sz="12"/>
              <w:bottom w:val="single" w:color="2C3E50" w:sz="12"/>
              <w:right w:val="single" w:color="2C3E50" w:sz="12"/>
            </w:tcBorders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2C3E50" w:sz="12"/>
              <w:left w:val="single" w:color="2C3E50" w:sz="12"/>
              <w:bottom w:val="single" w:color="2C3E50" w:sz="12"/>
              <w:right w:val="single" w:color="2C3E50" w:sz="12"/>
            </w:tcBorders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Inversión</w:t>
            </w:r>
          </w:p>
        </w:tc>
        <w:tc>
          <w:tcPr>
            <w:tcW w:type="dxa" w:w="3120"/>
            <w:tcBorders>
              <w:top w:val="single" w:color="2C3E50" w:sz="12"/>
              <w:left w:val="single" w:color="2C3E50" w:sz="12"/>
              <w:bottom w:val="single" w:color="2C3E50" w:sz="12"/>
              <w:right w:val="single" w:color="2C3E50" w:sz="12"/>
            </w:tcBorders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% del Total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Pauta Digital (Google + LinkedIn)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$37,800,000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55.4%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Herramientas n8n (APIs + Suscripción)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$24,700,000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36.2%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SEMrush Pro (anual)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$5,750,000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8.4%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PRESUPUESTO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$68,250,000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pStyle w:val="nota"/>
        <w:spacing w:before="180" w:after="240"/>
      </w:pPr>
      <w:r>
        <w:t xml:space="preserve">Nota: n8n suscripción ($3.12M) + SEMrush ($5.75M) se pagan en noviembre 2025 como parte del setup pre-lanzamiento.</w:t>
      </w:r>
    </w:p>
    <w:p>
      <w:pPr>
        <w:pStyle w:val="Heading2"/>
      </w:pPr>
      <w:r>
        <w:t xml:space="preserve">Contexto y Enfoque Estratégico</w:t>
      </w:r>
    </w:p>
    <w:p>
      <w:pPr>
        <w:spacing w:after="180"/>
      </w:pPr>
      <w:r>
        <w:rPr>
          <w:sz w:val="22"/>
          <w:szCs w:val="22"/>
        </w:rPr>
        <w:t xml:space="preserve">Este presupuesto se fundamenta en el modelo de </w:t>
      </w:r>
      <w:r>
        <w:rPr>
          <w:b/>
          <w:bCs/>
          <w:color w:val="E65100"/>
          <w:sz w:val="22"/>
          <w:szCs w:val="22"/>
        </w:rPr>
        <w:t xml:space="preserve">dos velocidades</w:t>
      </w:r>
      <w:r>
        <w:rPr>
          <w:sz w:val="22"/>
          <w:szCs w:val="22"/>
        </w:rPr>
        <w:t xml:space="preserve"> adoptado por la firma, y la inversión beneficia estratégicamente a ambos motores: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Motor Futuro (Nuevos clientes PI/Marcas): </w:t>
      </w:r>
      <w:r>
        <w:t xml:space="preserve">Pauta digital en Google y LinkedIn captura leads PyMEs tecnológicas. Workflows n8n automatizan nurturing y conversión. SEO posiciona en búsquedas clave.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Motor Actual (Clientes Contratación Estatal): </w:t>
      </w:r>
      <w:r>
        <w:t xml:space="preserve">Email marketing automatizado vía n8n mantiene relaciones con clientes actuales. SEO refuerza autoridad en contratación pública. Remarketing reactiva oportunidades.</w:t>
      </w:r>
    </w:p>
    <w:p>
      <w:pPr>
        <w:pStyle w:val="destacado"/>
        <w:spacing w:before="240" w:after="240"/>
      </w:pPr>
      <w:r>
        <w:t xml:space="preserve">La automatización n8n es el puente que permite atender eficientemente ambos motores con recursos humanos limitados (5h/semana). Los workflows capturan, califican, nutren y convierten leads nuevos mientras simultáneamente mantienen engagement con la base de clientes existente.</w:t>
      </w:r>
    </w:p>
    <w:p>
      <w:r>
        <w:br w:type="page"/>
      </w:r>
    </w:p>
    <w:p>
      <w:pPr>
        <w:pStyle w:val="Heading1"/>
      </w:pPr>
      <w:r>
        <w:t xml:space="preserve">2. ESTRUCTURA PRESUPUESTARIA</w:t>
      </w:r>
    </w:p>
    <w:p>
      <w:pPr>
        <w:spacing w:after="240"/>
      </w:pPr>
      <w:r>
        <w:rPr>
          <w:sz w:val="22"/>
          <w:szCs w:val="22"/>
        </w:rPr>
        <w:t xml:space="preserve">El presupuesto total de $68,250,000 COP se estructura en tres componentes principales, cada uno diseñado para cumplir funciones estratégicas que benefician ambos motores de negocio.</w:t>
      </w:r>
    </w:p>
    <w:p>
      <w:pPr>
        <w:pStyle w:val="Heading2"/>
      </w:pPr>
      <w:r>
        <w:t xml:space="preserve">2.1 Pauta Digital: $37,800,000 (55.4%)</w:t>
      </w:r>
    </w:p>
    <w:p>
      <w:pPr>
        <w:spacing w:after="120"/>
      </w:pPr>
      <w:r>
        <w:rPr>
          <w:sz w:val="22"/>
          <w:szCs w:val="22"/>
        </w:rPr>
        <w:t xml:space="preserve">La inversión en publicidad digital se distribuye estratégicamente entre dos canales complementarios:</w:t>
      </w:r>
    </w:p>
    <w:p>
      <w:pPr>
        <w:pStyle w:val="Heading3"/>
      </w:pPr>
      <w:r>
        <w:t xml:space="preserve">Google Ads Search: $16,200,000 (23.7%)</w:t>
      </w:r>
    </w:p>
    <w:p>
      <w:pPr>
        <w:pStyle w:val="ListParagraph"/>
        <w:numPr>
          <w:ilvl w:val="0"/>
          <w:numId w:val="2"/>
        </w:numPr>
      </w:pPr>
      <w:r>
        <w:t xml:space="preserve">Inversión mensual: $1,500,000 COP (Marzo-Noviembre 2026)</w:t>
      </w:r>
    </w:p>
    <w:p>
      <w:pPr>
        <w:pStyle w:val="ListParagraph"/>
        <w:numPr>
          <w:ilvl w:val="0"/>
          <w:numId w:val="2"/>
        </w:numPr>
      </w:pPr>
      <w:r>
        <w:t xml:space="preserve">Objetivo Motor Futuro: Capturar demanda activa de empresas buscando registro de marcas y asesoría PI</w:t>
      </w:r>
    </w:p>
    <w:p>
      <w:pPr>
        <w:pStyle w:val="ListParagraph"/>
        <w:numPr>
          <w:ilvl w:val="0"/>
          <w:numId w:val="2"/>
        </w:numPr>
      </w:pPr>
      <w:r>
        <w:t xml:space="preserve">Keywords priorizadas: 'registro de marca Colombia', 'registrar marca precio', 'abogado propiedad intelectual'</w:t>
      </w:r>
    </w:p>
    <w:p>
      <w:pPr>
        <w:pStyle w:val="ListParagraph"/>
        <w:numPr>
          <w:ilvl w:val="0"/>
          <w:numId w:val="2"/>
        </w:numPr>
      </w:pPr>
      <w:r>
        <w:t xml:space="preserve">CPC estimado: $2.00-3.50 USD | CTR objetivo: 2.5-4.0% | Conversión: 4.5-7.5%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Remarketing: Incluye campañas de reactivación para base existente Motor Actual</w:t>
      </w:r>
    </w:p>
    <w:p>
      <w:pPr>
        <w:pStyle w:val="Heading3"/>
      </w:pPr>
      <w:r>
        <w:t xml:space="preserve">LinkedIn Ads: $21,600,000 (31.7%)</w:t>
      </w:r>
    </w:p>
    <w:p>
      <w:pPr>
        <w:pStyle w:val="ListParagraph"/>
        <w:numPr>
          <w:ilvl w:val="0"/>
          <w:numId w:val="2"/>
        </w:numPr>
      </w:pPr>
      <w:r>
        <w:t xml:space="preserve">Inversión mensual: $2,000,000 COP (Marzo-Noviembre 2026)</w:t>
      </w:r>
    </w:p>
    <w:p>
      <w:pPr>
        <w:pStyle w:val="ListParagraph"/>
        <w:numPr>
          <w:ilvl w:val="0"/>
          <w:numId w:val="2"/>
        </w:numPr>
      </w:pPr>
      <w:r>
        <w:t xml:space="preserve">Objetivo Motor Futuro: Targeting preciso a founders, CEOs y decisores de PyMEs tecnológicas</w:t>
      </w:r>
    </w:p>
    <w:p>
      <w:pPr>
        <w:pStyle w:val="ListParagraph"/>
        <w:numPr>
          <w:ilvl w:val="0"/>
          <w:numId w:val="2"/>
        </w:numPr>
      </w:pPr>
      <w:r>
        <w:t xml:space="preserve">Objetivo Motor Actual: Mantener top-of-mind con decisores de empresas contratistas estatales</w:t>
      </w:r>
    </w:p>
    <w:p>
      <w:pPr>
        <w:pStyle w:val="ListParagraph"/>
        <w:numPr>
          <w:ilvl w:val="0"/>
          <w:numId w:val="2"/>
        </w:numPr>
      </w:pPr>
      <w:r>
        <w:t xml:space="preserve">Formatos: Sponsored Content (70%), Carousel Ads (20%), Message Ads (10%)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CTR objetivo: 0.5-0.85% | Conversión: 10-14% (Lead Gen Forms nativos)</w:t>
      </w:r>
    </w:p>
    <w:p>
      <w:pPr>
        <w:pStyle w:val="nota"/>
        <w:spacing w:after="240"/>
      </w:pPr>
      <w:r>
        <w:rPr>
          <w:i/>
          <w:iCs/>
        </w:rPr>
        <w:t xml:space="preserve">Justificación de distribución 57/43 LinkedIn/Google: LinkedIn ofrece mejor tasa de conversión B2B (10-14% vs. 4.5-7.5%) y permite segmentación quirúrgica de decisores, beneficiando ambos motores. Google captura demanda activa de alto interés específicamente para Motor Futuro.</w:t>
      </w:r>
    </w:p>
    <w:p>
      <w:pPr>
        <w:pStyle w:val="Heading2"/>
      </w:pPr>
      <w:r>
        <w:t xml:space="preserve">2.2 Automatización n8n: $24,700,000 (36.2%)</w:t>
      </w:r>
    </w:p>
    <w:p>
      <w:pPr>
        <w:spacing w:after="180"/>
      </w:pPr>
      <w:r>
        <w:rPr>
          <w:sz w:val="22"/>
          <w:szCs w:val="22"/>
        </w:rPr>
        <w:t xml:space="preserve">El componente de automatización representa la inversión estratégica más crítica, diseñada para multiplicar la capacidad operativa de la firma sin aumentar headcount. Con solo </w:t>
      </w:r>
      <w:r>
        <w:rPr>
          <w:b/>
          <w:bCs/>
          <w:color w:val="C62828"/>
          <w:sz w:val="22"/>
          <w:szCs w:val="22"/>
        </w:rPr>
        <w:t xml:space="preserve">5 horas semanales disponibles</w:t>
      </w:r>
      <w:r>
        <w:rPr>
          <w:sz w:val="22"/>
          <w:szCs w:val="22"/>
        </w:rPr>
        <w:t xml:space="preserve">, la automatización habilita simultáneamente la captación de nuevos clientes (Motor Futuro) y el mantenimiento de relaciones existentes (Motor Actual).</w:t>
      </w:r>
    </w:p>
    <w:p>
      <w:pPr>
        <w:pStyle w:val="Heading3"/>
      </w:pPr>
      <w:r>
        <w:t xml:space="preserve">Desglose de Inversión n8n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C3E50" w:sz="12"/>
              <w:left w:val="single" w:color="2C3E50" w:sz="12"/>
              <w:bottom w:val="single" w:color="2C3E50" w:sz="12"/>
              <w:right w:val="single" w:color="2C3E50" w:sz="12"/>
            </w:tcBorders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2C3E50" w:sz="12"/>
              <w:left w:val="single" w:color="2C3E50" w:sz="12"/>
              <w:bottom w:val="single" w:color="2C3E50" w:sz="12"/>
              <w:right w:val="single" w:color="2C3E50" w:sz="12"/>
            </w:tcBorders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Monto</w:t>
            </w:r>
          </w:p>
        </w:tc>
        <w:tc>
          <w:tcPr>
            <w:tcW w:type="dxa" w:w="3120"/>
            <w:tcBorders>
              <w:top w:val="single" w:color="2C3E50" w:sz="12"/>
              <w:left w:val="single" w:color="2C3E50" w:sz="12"/>
              <w:bottom w:val="single" w:color="2C3E50" w:sz="12"/>
              <w:right w:val="single" w:color="2C3E50" w:sz="12"/>
            </w:tcBorders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Período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Suscripción n8n (anual)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$3,120,000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 2025 (pago único)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Setup inicial agentes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$600,000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Nov 2025 (pago único)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APIs consumo variable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$20,980,000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Escalable Dic 2025-Dic 2026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n8n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$24,700,000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14 meses</w:t>
            </w:r>
          </w:p>
        </w:tc>
      </w:tr>
    </w:tbl>
    <w:p>
      <w:pPr>
        <w:spacing w:before="240" w:after="180"/>
      </w:pPr>
      <w:r>
        <w:rPr>
          <w:b/>
          <w:bCs/>
          <w:color w:val="2C3E50"/>
          <w:sz w:val="22"/>
          <w:szCs w:val="22"/>
        </w:rPr>
        <w:t xml:space="preserve">Justificación del presupuesto variable APIs ($20.98M):</w:t>
      </w:r>
    </w:p>
    <w:p>
      <w:pPr>
        <w:pStyle w:val="ListParagraph"/>
        <w:numPr>
          <w:ilvl w:val="0"/>
          <w:numId w:val="2"/>
        </w:numPr>
      </w:pPr>
      <w:r>
        <w:t xml:space="preserve">Escalamiento orgánico: El consumo aumenta con el volumen de leads procesados (Mes 1: $600K → Mes 12: $2.8M)</w:t>
      </w:r>
    </w:p>
    <w:p>
      <w:pPr>
        <w:pStyle w:val="ListParagraph"/>
        <w:numPr>
          <w:ilvl w:val="0"/>
          <w:numId w:val="2"/>
        </w:numPr>
      </w:pPr>
      <w:r>
        <w:t xml:space="preserve">Servicios incluidos: GPT-4 (clasificación leads), Claude (emails personalizados), APIs integración CRM</w:t>
      </w:r>
    </w:p>
    <w:p>
      <w:pPr>
        <w:pStyle w:val="ListParagraph"/>
        <w:numPr>
          <w:ilvl w:val="0"/>
          <w:numId w:val="2"/>
        </w:numPr>
      </w:pPr>
      <w:r>
        <w:t xml:space="preserve">Buffer imprevistos: $6.48M para upgrade de plan, servicios premium IA, o escalamiento inesperado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Flexibilidad: Permite adaptarse a crecimiento acelerado sin restricciones técnicas</w:t>
      </w:r>
    </w:p>
    <w:p>
      <w:pPr>
        <w:pStyle w:val="Heading3"/>
      </w:pPr>
      <w:r>
        <w:t xml:space="preserve">Aplicación Dual de Workflows (Ambos Motores)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Motor Futuro: </w:t>
      </w:r>
      <w:r>
        <w:t xml:space="preserve">Lead capture multi-canal, scoring inteligente, nurturing 8-12 toques, notificaciones automáticas para leads calientes, content marketing automatizado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b/>
          <w:bCs/>
        </w:rPr>
        <w:t xml:space="preserve">Motor Actual: </w:t>
      </w:r>
      <w:r>
        <w:t xml:space="preserve">Email marketing segmentado para clientes actuales, alertas de cambios regulatorios relevantes, reactivación de leads antiguos, reporting de satisfacción automatizado</w:t>
      </w:r>
    </w:p>
    <w:p>
      <w:pPr>
        <w:pStyle w:val="destacado"/>
        <w:spacing w:before="240" w:after="240"/>
      </w:pPr>
      <w:r>
        <w:rPr>
          <w:b/>
          <w:bCs/>
        </w:rPr>
        <w:t xml:space="preserve">ROI de Automatización: Sin n8n, gestionar leads nuevos + base existente requeriría 20h/semana (imposible con 5h disponibles). La automatización libera 75% del tiempo para estrategia vs. ejecución, permitiendo atención simultánea de ambos motores sin sacrificar calidad.</w:t>
      </w:r>
    </w:p>
    <w:p>
      <w:r>
        <w:br w:type="page"/>
      </w:r>
    </w:p>
    <w:p>
      <w:pPr>
        <w:pStyle w:val="Heading2"/>
      </w:pPr>
      <w:r>
        <w:t xml:space="preserve">2.3 SEMrush Pro: $5,750,000 (8.4%)</w:t>
      </w:r>
    </w:p>
    <w:p>
      <w:pPr>
        <w:spacing w:after="180"/>
      </w:pPr>
      <w:r>
        <w:rPr>
          <w:sz w:val="22"/>
          <w:szCs w:val="22"/>
        </w:rPr>
        <w:t xml:space="preserve">SEMrush Pro es la herramienta de inteligencia competitiva y optimización SEO que beneficia ambos motores, pagada anualmente en noviembre 2025 como parte del setup pre-lanzamiento.</w:t>
      </w:r>
    </w:p>
    <w:p>
      <w:pPr>
        <w:pStyle w:val="Heading3"/>
      </w:pPr>
      <w:r>
        <w:t xml:space="preserve">Aplicación por Motor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C3E50" w:sz="12"/>
              <w:left w:val="single" w:color="2C3E50" w:sz="12"/>
              <w:bottom w:val="single" w:color="2C3E50" w:sz="12"/>
              <w:right w:val="single" w:color="2C3E50" w:sz="12"/>
            </w:tcBorders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Motor</w:t>
            </w:r>
          </w:p>
        </w:tc>
        <w:tc>
          <w:tcPr>
            <w:tcW w:type="dxa" w:w="3120"/>
            <w:tcBorders>
              <w:top w:val="single" w:color="2C3E50" w:sz="12"/>
              <w:left w:val="single" w:color="2C3E50" w:sz="12"/>
              <w:bottom w:val="single" w:color="2C3E50" w:sz="12"/>
              <w:right w:val="single" w:color="2C3E50" w:sz="12"/>
            </w:tcBorders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Uso SEMrush</w:t>
            </w:r>
          </w:p>
        </w:tc>
        <w:tc>
          <w:tcPr>
            <w:tcW w:type="dxa" w:w="3120"/>
            <w:tcBorders>
              <w:top w:val="single" w:color="2C3E50" w:sz="12"/>
              <w:left w:val="single" w:color="2C3E50" w:sz="12"/>
              <w:bottom w:val="single" w:color="2C3E50" w:sz="12"/>
              <w:right w:val="single" w:color="2C3E50" w:sz="12"/>
            </w:tcBorders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Keywords Prioritarias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 Futuro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Posicionamiento PI/Marcas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marca, abogado PI, patentes Colombia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Motor Actual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Autoridad Contratación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contratos estado, licitaciones, derecho público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Transversal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Análisis competencia</w:t>
            </w:r>
          </w:p>
        </w:tc>
        <w:tc>
          <w:tcPr>
            <w:tcW w:type="dxa" w:w="312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Monitoreo 4 firmas competidoras clave</w:t>
            </w:r>
          </w:p>
        </w:tc>
      </w:tr>
    </w:tbl>
    <w:p>
      <w:pPr>
        <w:spacing w:before="240" w:after="180"/>
      </w:pPr>
      <w:r>
        <w:rPr>
          <w:b/>
          <w:bCs/>
          <w:sz w:val="22"/>
          <w:szCs w:val="22"/>
        </w:rPr>
        <w:t xml:space="preserve">Capacidades Plan Pro:</w:t>
      </w:r>
    </w:p>
    <w:p>
      <w:pPr>
        <w:pStyle w:val="ListParagraph"/>
        <w:numPr>
          <w:ilvl w:val="0"/>
          <w:numId w:val="2"/>
        </w:numPr>
      </w:pPr>
      <w:r>
        <w:t xml:space="preserve">5 proyectos simultáneos: Web principal + 4 análisis competidores</w:t>
      </w:r>
    </w:p>
    <w:p>
      <w:pPr>
        <w:pStyle w:val="ListParagraph"/>
        <w:numPr>
          <w:ilvl w:val="0"/>
          <w:numId w:val="2"/>
        </w:numPr>
      </w:pPr>
      <w:r>
        <w:t xml:space="preserve">500 keywords trackeadas diariamente: Divide entre Motor Futuro (60%) y Motor Actual (40%)</w:t>
      </w:r>
    </w:p>
    <w:p>
      <w:pPr>
        <w:pStyle w:val="ListParagraph"/>
        <w:numPr>
          <w:ilvl w:val="0"/>
          <w:numId w:val="2"/>
        </w:numPr>
      </w:pPr>
      <w:r>
        <w:t xml:space="preserve">100,000 páginas rastreadas/mes: Auditorías técnicas mensuales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Integración n8n: Reportes automáticos y alertas de cambios competencia</w:t>
      </w:r>
    </w:p>
    <w:p>
      <w:r>
        <w:br w:type="page"/>
      </w:r>
    </w:p>
    <w:p>
      <w:pPr>
        <w:pStyle w:val="Heading1"/>
      </w:pPr>
      <w:r>
        <w:t xml:space="preserve">3. JUSTIFICACIÓN ESTRATÉGICA</w:t>
      </w:r>
    </w:p>
    <w:p>
      <w:pPr>
        <w:spacing w:after="240"/>
      </w:pPr>
      <w:r>
        <w:rPr>
          <w:sz w:val="22"/>
          <w:szCs w:val="22"/>
        </w:rPr>
        <w:t xml:space="preserve">Este presupuesto no es un ejercicio de asignación arbitraria, sino una inversión estratégica que resuelve restricciones específicas de la firma y capitaliza oportunidades únicas del mercado colombiano de servicios legales.</w:t>
      </w:r>
    </w:p>
    <w:p>
      <w:pPr>
        <w:pStyle w:val="Heading2"/>
      </w:pPr>
      <w:r>
        <w:t xml:space="preserve">3.1 Restricción Operativa: 5 Horas Semanales</w:t>
      </w:r>
    </w:p>
    <w:p>
      <w:pPr>
        <w:spacing w:after="180"/>
      </w:pPr>
      <w:r>
        <w:rPr>
          <w:sz w:val="22"/>
          <w:szCs w:val="22"/>
        </w:rPr>
        <w:t xml:space="preserve">Con solo 5 horas semanales disponibles para gestión de marketing, el enfoque tradicional de ejecución manual es inviable. La automatización es fundamental para atender simultáneamente ambos motores: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C3E50" w:sz="12"/>
              <w:left w:val="single" w:color="2C3E50" w:sz="12"/>
              <w:bottom w:val="single" w:color="2C3E50" w:sz="12"/>
              <w:right w:val="single" w:color="2C3E50" w:sz="12"/>
            </w:tcBorders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Escenario</w:t>
            </w:r>
          </w:p>
        </w:tc>
        <w:tc>
          <w:tcPr>
            <w:tcW w:type="dxa" w:w="2340"/>
            <w:tcBorders>
              <w:top w:val="single" w:color="2C3E50" w:sz="12"/>
              <w:left w:val="single" w:color="2C3E50" w:sz="12"/>
              <w:bottom w:val="single" w:color="2C3E50" w:sz="12"/>
              <w:right w:val="single" w:color="2C3E50" w:sz="12"/>
            </w:tcBorders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Tiempo Requerido/Sem</w:t>
            </w:r>
          </w:p>
        </w:tc>
        <w:tc>
          <w:tcPr>
            <w:tcW w:type="dxa" w:w="2340"/>
            <w:tcBorders>
              <w:top w:val="single" w:color="2C3E50" w:sz="12"/>
              <w:left w:val="single" w:color="2C3E50" w:sz="12"/>
              <w:bottom w:val="single" w:color="2C3E50" w:sz="12"/>
              <w:right w:val="single" w:color="2C3E50" w:sz="12"/>
            </w:tcBorders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Motores Atendidos</w:t>
            </w:r>
          </w:p>
        </w:tc>
        <w:tc>
          <w:tcPr>
            <w:tcW w:type="dxa" w:w="2340"/>
            <w:tcBorders>
              <w:top w:val="single" w:color="2C3E50" w:sz="12"/>
              <w:left w:val="single" w:color="2C3E50" w:sz="12"/>
              <w:bottom w:val="single" w:color="2C3E50" w:sz="12"/>
              <w:right w:val="single" w:color="2C3E50" w:sz="12"/>
            </w:tcBorders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Factibilidad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 automatización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horas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Solo 1 motor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IMPOSIBLE (4x disponibilidad)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 automatización n8n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3.5-4 horas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Ambos motores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FACTIBLE dentro de 5h</w:t>
            </w:r>
          </w:p>
        </w:tc>
      </w:tr>
    </w:tbl>
    <w:p>
      <w:pPr>
        <w:pStyle w:val="destacado"/>
        <w:spacing w:before="240" w:after="240"/>
      </w:pPr>
      <w:r>
        <w:rPr>
          <w:b/>
          <w:bCs/>
        </w:rPr>
        <w:t xml:space="preserve">Conclusión: El 36% del presupuesto en automatización no es gasto discrecional, es la habilitación fundamental que permite atender Motor Futuro (captación) y Motor Actual (retención) sin sacrificar calidad ni sobrecargar recursos humanos.</w:t>
      </w:r>
    </w:p>
    <w:p>
      <w:pPr>
        <w:pStyle w:val="Heading2"/>
      </w:pPr>
      <w:r>
        <w:t xml:space="preserve">3.2 Brecha Competitiva en Marketing Digital Legal</w:t>
      </w:r>
    </w:p>
    <w:p>
      <w:pPr>
        <w:spacing w:after="180"/>
      </w:pPr>
      <w:r>
        <w:rPr>
          <w:sz w:val="22"/>
          <w:szCs w:val="22"/>
        </w:rPr>
        <w:t xml:space="preserve">El análisis competitivo reveló que las firmas legales colombianas tienen adopción digital limitada:</w:t>
      </w:r>
    </w:p>
    <w:p>
      <w:pPr>
        <w:pStyle w:val="ListParagraph"/>
        <w:numPr>
          <w:ilvl w:val="0"/>
          <w:numId w:val="2"/>
        </w:numPr>
      </w:pPr>
      <w:r>
        <w:t xml:space="preserve">Solo 15% de firmas invierte en pauta digital estructurada</w:t>
      </w:r>
    </w:p>
    <w:p>
      <w:pPr>
        <w:pStyle w:val="ListParagraph"/>
        <w:numPr>
          <w:ilvl w:val="0"/>
          <w:numId w:val="2"/>
        </w:numPr>
      </w:pPr>
      <w:r>
        <w:t xml:space="preserve">Menos del 5% usa automatización de marketing</w:t>
      </w:r>
    </w:p>
    <w:p>
      <w:pPr>
        <w:pStyle w:val="ListParagraph"/>
        <w:numPr>
          <w:ilvl w:val="0"/>
          <w:numId w:val="2"/>
        </w:numPr>
      </w:pPr>
      <w:r>
        <w:t xml:space="preserve">SEO débil: Keywords críticas dominadas por SIC, no por firmas privadas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Precios opacos: 90% de firmas no publica tarifas online</w:t>
      </w:r>
    </w:p>
    <w:p>
      <w:pPr>
        <w:pStyle w:val="destacado"/>
        <w:spacing w:before="240" w:after="240"/>
      </w:pPr>
      <w:r>
        <w:rPr>
          <w:b/>
          <w:bCs/>
        </w:rPr>
        <w:t xml:space="preserve">Oportunidad: La inversión en digital ($68.25M) posiciona a Carrillo 3-5 años adelante de competidores, creando ventaja competitiva sostenible en ambos motores de negocio.</w:t>
      </w:r>
    </w:p>
    <w:p>
      <w:pPr>
        <w:pStyle w:val="Heading2"/>
      </w:pPr>
      <w:r>
        <w:t xml:space="preserve">3.3 Modelo de Dos Velocidades: Justificación</w:t>
      </w:r>
    </w:p>
    <w:p>
      <w:pPr>
        <w:spacing w:after="180"/>
      </w:pPr>
      <w:r>
        <w:rPr>
          <w:sz w:val="22"/>
          <w:szCs w:val="22"/>
        </w:rPr>
        <w:t xml:space="preserve">La decisión estratégica de invertir en herramientas que sirvan simultáneamente ambos motores se fundamenta en: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Eficiencia de recursos: </w:t>
      </w:r>
      <w:r>
        <w:t xml:space="preserve">Una sola infraestructura tecnológica (n8n + SEMrush) atiende captación (Motor Futuro) y retención (Motor Actual) sin duplicar costos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Sinergias operativas: </w:t>
      </w:r>
      <w:r>
        <w:t xml:space="preserve">El contenido SEO optimizado para Motor Futuro también refuerza autoridad ante clientes Motor Actual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Maximización ROI: </w:t>
      </w:r>
      <w:r>
        <w:t xml:space="preserve">Los workflows automatizan nurturing de leads nuevos Y reactivación de clientes existentes con mismo presupuesto APIs</w:t>
      </w:r>
    </w:p>
    <w:p>
      <w:pPr>
        <w:pStyle w:val="ListParagraph"/>
        <w:numPr>
          <w:ilvl w:val="0"/>
          <w:numId w:val="3"/>
        </w:numPr>
        <w:spacing w:after="240"/>
      </w:pPr>
      <w:r>
        <w:rPr>
          <w:b/>
          <w:bCs/>
        </w:rPr>
        <w:t xml:space="preserve">Coherencia de marca: </w:t>
      </w:r>
      <w:r>
        <w:t xml:space="preserve">Presencia digital unificada beneficia ambos motores al consolidar reputación de la firma</w:t>
      </w:r>
    </w:p>
    <w:p>
      <w:pPr>
        <w:pStyle w:val="Heading2"/>
      </w:pPr>
      <w:r>
        <w:t xml:space="preserve">3.4 Priorización: n8n Antes que SEO</w:t>
      </w:r>
    </w:p>
    <w:p>
      <w:pPr>
        <w:spacing w:after="180"/>
      </w:pPr>
      <w:r>
        <w:rPr>
          <w:sz w:val="22"/>
          <w:szCs w:val="22"/>
        </w:rPr>
        <w:t xml:space="preserve">La decisión de implementar workflows n8n en noviembre-diciembre 2025 (antes del lanzamiento de pauta en marzo 2026) es estratégicamente correcta porque:</w:t>
      </w:r>
    </w:p>
    <w:p>
      <w:pPr>
        <w:pStyle w:val="ListParagraph"/>
        <w:numPr>
          <w:ilvl w:val="0"/>
          <w:numId w:val="2"/>
        </w:numPr>
      </w:pPr>
      <w:r>
        <w:t xml:space="preserve">Lead response time &lt;24h aumenta conversión 60% (Harvard Business Review)</w:t>
      </w:r>
    </w:p>
    <w:p>
      <w:pPr>
        <w:pStyle w:val="ListParagraph"/>
        <w:numPr>
          <w:ilvl w:val="0"/>
          <w:numId w:val="2"/>
        </w:numPr>
      </w:pPr>
      <w:r>
        <w:t xml:space="preserve">Email nurturing 8-12 toques genera 4-10x más conversiones que single email (DemandGen)</w:t>
      </w:r>
    </w:p>
    <w:p>
      <w:pPr>
        <w:pStyle w:val="ListParagraph"/>
        <w:numPr>
          <w:ilvl w:val="0"/>
          <w:numId w:val="2"/>
        </w:numPr>
      </w:pPr>
      <w:r>
        <w:t xml:space="preserve">Sin workflows, gestión manual de leads es imposible con disponibilidad de 5h/semana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Workflows n8n pueden ejecutar tareas SEO (publicación contenido, social media) automáticamente</w:t>
      </w:r>
    </w:p>
    <w:p>
      <w:pPr>
        <w:pStyle w:val="destacado"/>
        <w:spacing w:before="240" w:after="240"/>
      </w:pPr>
      <w:r>
        <w:rPr>
          <w:b/>
          <w:bCs/>
        </w:rPr>
        <w:t xml:space="preserve">Conclusión: Invertir en workflows primero convierte un sistema pasivo (pauta genera leads, se pierden) en un sistema activo (pauta → captura → nurturing → conversión → cliente → retención).</w:t>
      </w:r>
    </w:p>
    <w:p>
      <w:r>
        <w:br w:type="page"/>
      </w:r>
    </w:p>
    <w:p>
      <w:pPr>
        <w:pStyle w:val="Heading1"/>
      </w:pPr>
      <w:r>
        <w:t xml:space="preserve">4. DISTRIBUCIÓN Y PROYECCIONES VISUALIZADAS</w:t>
      </w:r>
    </w:p>
    <w:p>
      <w:pPr>
        <w:spacing w:after="360"/>
      </w:pPr>
      <w:r>
        <w:rPr>
          <w:sz w:val="22"/>
          <w:szCs w:val="22"/>
        </w:rPr>
        <w:t xml:space="preserve">Las siguientes visualizaciones ilustran la distribución temporal del presupuesto, proyecciones de resultados y el cronograma de implementación pre-lanzamiento.</w:t>
      </w:r>
    </w:p>
    <w:p>
      <w:pPr>
        <w:pStyle w:val="Heading2"/>
      </w:pPr>
      <w:r>
        <w:t xml:space="preserve">4.1 Distribución de Inversión por Trimestre</w:t>
      </w:r>
    </w:p>
    <w:p>
      <w:pPr>
        <w:spacing w:after="240"/>
      </w:pPr>
      <w:r>
        <w:rPr>
          <w:sz w:val="22"/>
          <w:szCs w:val="22"/>
        </w:rPr>
        <w:t xml:space="preserve">El gráfico muestra cómo se distribuye la inversión a lo largo de 2026, con escalamiento gradual de APIs n8n conforme aumenta el volumen de leads procesados:</w:t>
      </w:r>
    </w:p>
    <w:p>
      <w:pPr>
        <w:spacing w:after="480"/>
        <w:jc w:val="center"/>
      </w:pPr>
      <w:r>
        <w:drawing>
          <wp:inline distT="0" distB="0" distL="0" distR="0">
            <wp:extent cx="6191250" cy="3429000"/>
            <wp:effectExtent t="0" r="0" b="0" l="0"/>
            <wp:docPr id="1" name="Grafico1" descr="Distribución de inversión por trimestre 2026" title="Distribución Trimestr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ta"/>
        <w:spacing w:after="360"/>
      </w:pPr>
      <w:r>
        <w:rPr>
          <w:i/>
          <w:iCs/>
        </w:rPr>
        <w:t xml:space="preserve">Observación: Q4 tiene menor inversión porque representa solo 1 mes (Diciembre). La distribución optimiza aprendizaje en Q1 (testing), escalamiento en Q2-Q3 (duplicar ganadores) y maximización en Q4 (cosecha).</w:t>
      </w:r>
    </w:p>
    <w:p>
      <w:r>
        <w:br w:type="page"/>
      </w:r>
    </w:p>
    <w:p>
      <w:pPr>
        <w:pStyle w:val="Heading2"/>
      </w:pPr>
      <w:r>
        <w:t xml:space="preserve">4.2 Proyecciones de Clientes e Ingresos</w:t>
      </w:r>
    </w:p>
    <w:p>
      <w:pPr>
        <w:spacing w:after="240"/>
      </w:pPr>
      <w:r>
        <w:rPr>
          <w:sz w:val="22"/>
          <w:szCs w:val="22"/>
        </w:rPr>
        <w:t xml:space="preserve">El análisis comparativo entre escenarios Optimista y Realista permite comprender el rango de resultados esperados según la efectividad de ejecución:</w:t>
      </w:r>
    </w:p>
    <w:p>
      <w:pPr>
        <w:spacing w:after="480"/>
        <w:jc w:val="center"/>
      </w:pPr>
      <w:r>
        <w:drawing>
          <wp:inline distT="0" distB="0" distL="0" distR="0">
            <wp:extent cx="6191250" cy="5048250"/>
            <wp:effectExtent t="0" r="0" b="0" l="0"/>
            <wp:docPr id="1" name="Grafico2" descr="Proyecciones de clientes, ingresos y ROI 2026" title="Proyecciones Financier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5. CRONOGRAMA DE IMPLEMENTACIÓN</w:t>
      </w:r>
    </w:p>
    <w:p>
      <w:pPr>
        <w:spacing w:after="240"/>
      </w:pPr>
      <w:r>
        <w:rPr>
          <w:sz w:val="22"/>
          <w:szCs w:val="22"/>
        </w:rPr>
        <w:t xml:space="preserve">El período noviembre 2025 - marzo 2026 es crítico para construir la infraestructura que soportará la operación de marketing durante todo el año:</w:t>
      </w:r>
    </w:p>
    <w:p>
      <w:pPr>
        <w:spacing w:after="480"/>
        <w:jc w:val="center"/>
      </w:pPr>
      <w:r>
        <w:drawing>
          <wp:inline distT="0" distB="0" distL="0" distR="0">
            <wp:extent cx="6191250" cy="5048250"/>
            <wp:effectExtent t="0" r="0" b="0" l="0"/>
            <wp:docPr id="1" name="Grafico3" descr="Cronograma de implementación pre-lanzamiento" title="Crono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destacado"/>
        <w:spacing w:before="240" w:after="360"/>
      </w:pPr>
      <w:r>
        <w:rPr>
          <w:b/>
          <w:bCs/>
        </w:rPr>
        <w:t xml:space="preserve">Soft Launch en Febrero 2026: El mes de febrero incluye una fase beta controlada ($700K pauta) que valida workflows con leads reales antes del lanzamiento oficial. Esta inversión de validación evita errores costosos en marzo cuando se escale a pauta completa.</w:t>
      </w:r>
    </w:p>
    <w:p>
      <w:r>
        <w:br w:type="page"/>
      </w:r>
    </w:p>
    <w:p>
      <w:pPr>
        <w:pStyle w:val="Heading1"/>
      </w:pPr>
      <w:r>
        <w:t xml:space="preserve">6. ANÁLISIS DE RIESGOS Y OPORTUNIDADES</w:t>
      </w:r>
    </w:p>
    <w:p>
      <w:pPr>
        <w:spacing w:after="240"/>
      </w:pPr>
      <w:r>
        <w:rPr>
          <w:sz w:val="22"/>
          <w:szCs w:val="22"/>
        </w:rPr>
        <w:t xml:space="preserve">Todo plan de marketing digital enfrenta riesgos inherentes. Este análisis identifica las amenazas más probables y las estrategias de mitigación pre-diseñadas.</w:t>
      </w:r>
    </w:p>
    <w:p>
      <w:pPr>
        <w:pStyle w:val="Heading2"/>
      </w:pPr>
      <w:r>
        <w:t xml:space="preserve">6.1 Matriz de Riesgos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20"/>
          <w:bottom w:type="dxa" w:w="100"/>
          <w:right w:type="dxa" w:w="120"/>
        </w:tblCellMar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C3E50" w:sz="12"/>
              <w:left w:val="single" w:color="2C3E50" w:sz="12"/>
              <w:bottom w:val="single" w:color="2C3E50" w:sz="12"/>
              <w:right w:val="single" w:color="2C3E50" w:sz="12"/>
            </w:tcBorders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Riesgo</w:t>
            </w:r>
          </w:p>
        </w:tc>
        <w:tc>
          <w:tcPr>
            <w:tcW w:type="dxa" w:w="2340"/>
            <w:tcBorders>
              <w:top w:val="single" w:color="2C3E50" w:sz="12"/>
              <w:left w:val="single" w:color="2C3E50" w:sz="12"/>
              <w:bottom w:val="single" w:color="2C3E50" w:sz="12"/>
              <w:right w:val="single" w:color="2C3E50" w:sz="12"/>
            </w:tcBorders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Probabilidad</w:t>
            </w:r>
          </w:p>
        </w:tc>
        <w:tc>
          <w:tcPr>
            <w:tcW w:type="dxa" w:w="2340"/>
            <w:tcBorders>
              <w:top w:val="single" w:color="2C3E50" w:sz="12"/>
              <w:left w:val="single" w:color="2C3E50" w:sz="12"/>
              <w:bottom w:val="single" w:color="2C3E50" w:sz="12"/>
              <w:right w:val="single" w:color="2C3E50" w:sz="12"/>
            </w:tcBorders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Impacto</w:t>
            </w:r>
          </w:p>
        </w:tc>
        <w:tc>
          <w:tcPr>
            <w:tcW w:type="dxa" w:w="2340"/>
            <w:tcBorders>
              <w:top w:val="single" w:color="2C3E50" w:sz="12"/>
              <w:left w:val="single" w:color="2C3E50" w:sz="12"/>
              <w:bottom w:val="single" w:color="2C3E50" w:sz="12"/>
              <w:right w:val="single" w:color="2C3E50" w:sz="12"/>
            </w:tcBorders>
            <w:shd w:fill="2C3E50" w:val="clear"/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Mitigación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Workflows n8n no funcionan bien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 (30%)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Soft launch Feb valida antes de escala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CTR campañas &lt;50% proyectado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 (40%)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A/B testing 10+ variantes Q1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Competencia copia estrategia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Alta (60%)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Ventaja temporal 12-18 meses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Omar no da seguimiento leads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Baja (10%)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Crítico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Notificaciones automatizadas + scoring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Cambio algoritmo Google/LinkedIn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 (35%)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2C3E50" w:sz="6"/>
              <w:left w:val="single" w:color="2C3E50" w:sz="6"/>
              <w:bottom w:val="single" w:color="2C3E50" w:sz="6"/>
              <w:right w:val="single" w:color="2C3E50" w:sz="6"/>
            </w:tcBorders>
            <w:shd w:fill="FFFFFF" w:val="clear"/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Diversificación canales + remarketing</w:t>
            </w:r>
          </w:p>
        </w:tc>
      </w:tr>
    </w:tbl>
    <w:p>
      <w:pPr>
        <w:pStyle w:val="Heading3"/>
        <w:spacing w:before="360" w:after="240"/>
      </w:pPr>
      <w:r>
        <w:t xml:space="preserve">Riesgo Crítico Identificado: Workflows n8n</w:t>
      </w:r>
    </w:p>
    <w:p>
      <w:pPr>
        <w:spacing w:after="180"/>
      </w:pPr>
      <w:r>
        <w:rPr>
          <w:sz w:val="22"/>
          <w:szCs w:val="22"/>
        </w:rPr>
        <w:t xml:space="preserve">El riesgo más impactante es que los workflows n8n no operen según especificaciones (bugs, integraciones fallidas, o complejidad operativa excesiva). Si esto ocurre, el plan completo se compromete.</w:t>
      </w:r>
    </w:p>
    <w:p>
      <w:pPr>
        <w:pStyle w:val="destacado"/>
        <w:spacing w:before="240" w:after="360"/>
      </w:pPr>
      <w:r>
        <w:rPr>
          <w:b/>
          <w:bCs/>
        </w:rPr>
        <w:t xml:space="preserve">Mitigación implementada: El cronograma incluye 4 meses de setup (Nov-Feb) + soft launch en febrero con pauta limitada ($700K) específicamente para validar workflows con leads reales antes de escalar a $3.5M/mes en marzo. Este approach de 'fail small before scaling big' contiene el riesgo.</w:t>
      </w:r>
    </w:p>
    <w:p>
      <w:pPr>
        <w:pStyle w:val="Heading2"/>
      </w:pPr>
      <w:r>
        <w:t xml:space="preserve">6.2 Oportunidades No Contempladas</w:t>
      </w:r>
    </w:p>
    <w:p>
      <w:pPr>
        <w:spacing w:after="180"/>
      </w:pPr>
      <w:r>
        <w:rPr>
          <w:sz w:val="22"/>
          <w:szCs w:val="22"/>
        </w:rPr>
        <w:t xml:space="preserve">Si la ejecución supera expectativas, existen oportunidades de amplificación: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Remarketing agresivo Q2-Q3: </w:t>
      </w:r>
      <w:r>
        <w:t xml:space="preserve">Si CTR&gt;3% y conversión&gt;12% en Q1, invertir $2-3M adicionales (ROI típico 3-5x)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LinkedIn Sales Navigator: </w:t>
      </w:r>
      <w:r>
        <w:t xml:space="preserve">Si &gt;60% leads vienen de LinkedIn, agregar Sales Navigator Team ($3M/año) para prospección account-based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Video marketing: </w:t>
      </w:r>
      <w:r>
        <w:t xml:space="preserve">Testimonios de clientes en video pueden aumentar conversión landing pages +30%. Inversión: $4-6M</w:t>
      </w:r>
    </w:p>
    <w:p>
      <w:r>
        <w:br w:type="page"/>
      </w:r>
    </w:p>
    <w:p>
      <w:pPr>
        <w:pStyle w:val="Heading1"/>
      </w:pPr>
      <w:r>
        <w:t xml:space="preserve">7. CONCLUSIÓN</w:t>
      </w:r>
    </w:p>
    <w:p>
      <w:pPr>
        <w:spacing w:after="240"/>
      </w:pPr>
      <w:r>
        <w:rPr>
          <w:sz w:val="22"/>
          <w:szCs w:val="22"/>
        </w:rPr>
        <w:t xml:space="preserve">El presupuesto de marketing 2026 de $68,250,000 COP representa una inversión estratégica que resuelve tres desafíos críticos de Carrillo Abogados: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Limitación operativa: </w:t>
      </w:r>
      <w:r>
        <w:t xml:space="preserve">La automatización n8n ($24.7M) convierte 5 horas semanales disponibles en operación escalable 24/7, permitiendo atención simultánea de Motor Futuro y Motor Actual.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Brecha competitiva: </w:t>
      </w:r>
      <w:r>
        <w:t xml:space="preserve">La inversión en digital posiciona a Carrillo 3-5 años adelante de competidores locales que carecen de sofisticación en marketing digital legal.</w:t>
      </w:r>
    </w:p>
    <w:p>
      <w:pPr>
        <w:pStyle w:val="ListParagraph"/>
        <w:numPr>
          <w:ilvl w:val="0"/>
          <w:numId w:val="3"/>
        </w:numPr>
        <w:spacing w:after="360"/>
      </w:pPr>
      <w:r>
        <w:rPr>
          <w:b/>
          <w:bCs/>
        </w:rPr>
        <w:t xml:space="preserve">Eficiencia dual: </w:t>
      </w:r>
      <w:r>
        <w:t xml:space="preserve">Una sola infraestructura tecnológica sirve captación (nuevos clientes PI/Marcas) y retención (clientes actuales Contratación Estatal) sin duplicar costos.</w:t>
      </w:r>
    </w:p>
    <w:p>
      <w:pPr>
        <w:spacing w:after="240"/>
      </w:pPr>
      <w:r>
        <w:rPr>
          <w:sz w:val="22"/>
          <w:szCs w:val="22"/>
        </w:rPr>
        <w:t xml:space="preserve">La decisión de aprobar este presupuesto está fundamentada en:</w:t>
      </w:r>
    </w:p>
    <w:p>
      <w:pPr>
        <w:pStyle w:val="ListParagraph"/>
        <w:numPr>
          <w:ilvl w:val="0"/>
          <w:numId w:val="2"/>
        </w:numPr>
      </w:pPr>
      <w:r>
        <w:t xml:space="preserve">Validación incremental: Soft launch febrero valida sistema antes de escalar inversión</w:t>
      </w:r>
    </w:p>
    <w:p>
      <w:pPr>
        <w:pStyle w:val="ListParagraph"/>
        <w:numPr>
          <w:ilvl w:val="0"/>
          <w:numId w:val="2"/>
        </w:numPr>
      </w:pPr>
      <w:r>
        <w:t xml:space="preserve">Cronograma flexible: 4 meses setup permite ajustes tácticos antes de lanzamiento</w:t>
      </w:r>
    </w:p>
    <w:p>
      <w:pPr>
        <w:pStyle w:val="ListParagraph"/>
        <w:numPr>
          <w:ilvl w:val="0"/>
          <w:numId w:val="2"/>
        </w:numPr>
        <w:spacing w:after="360"/>
      </w:pPr>
      <w:r>
        <w:t xml:space="preserve">Ventana de oportunidad: Mercado colombiano PI subpenetrado, competencia con baja adopción digital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left w:type="dxa" w:w="300"/>
          <w:bottom w:type="dxa" w:w="200"/>
          <w:right w:type="dxa" w:w="300"/>
        </w:tblCellMar>
      </w:tblPr>
      <w:tblGrid>
        <w:gridCol w:w="9360"/>
      </w:tblGrid>
      <w:tr>
        <w:tc>
          <w:tcPr>
            <w:tcBorders>
              <w:top w:val="double" w:color="1B5E20" w:sz="24"/>
              <w:left w:val="double" w:color="1B5E20" w:sz="24"/>
              <w:bottom w:val="double" w:color="1B5E20" w:sz="24"/>
              <w:right w:val="double" w:color="1B5E20" w:sz="24"/>
            </w:tcBorders>
            <w:shd w:fill="E8F5E9" w:val="clear"/>
          </w:tcPr>
          <w:p>
            <w:pPr>
              <w:spacing w:before="300" w:after="120"/>
              <w:jc w:val="center"/>
            </w:pPr>
            <w:r>
              <w:rPr>
                <w:b/>
                <w:bCs/>
                <w:color w:val="1B5E20"/>
                <w:sz w:val="32"/>
                <w:szCs w:val="32"/>
              </w:rPr>
              <w:t xml:space="preserve">DECISIÓN RECOMENDADA</w:t>
            </w:r>
          </w:p>
          <w:p>
            <w:pPr>
              <w:spacing w:after="180"/>
              <w:jc w:val="center"/>
            </w:pPr>
            <w:r>
              <w:rPr>
                <w:b/>
                <w:bCs/>
                <w:color w:val="2C3E50"/>
                <w:sz w:val="36"/>
                <w:szCs w:val="36"/>
              </w:rPr>
              <w:t xml:space="preserve">APROBAR PRESUPUESTO $68,250,000 COP</w:t>
            </w:r>
          </w:p>
          <w:p>
            <w:pPr>
              <w:spacing w:after="120"/>
              <w:jc w:val="center"/>
            </w:pPr>
            <w:r>
              <w:rPr>
                <w:color w:val="1565C0"/>
                <w:sz w:val="24"/>
                <w:szCs w:val="24"/>
              </w:rPr>
              <w:t xml:space="preserve">✓ Inversión 100% ejecutable sin reservas</w:t>
            </w:r>
          </w:p>
          <w:p>
            <w:pPr>
              <w:spacing w:after="120"/>
              <w:jc w:val="center"/>
            </w:pPr>
            <w:r>
              <w:rPr>
                <w:color w:val="1565C0"/>
                <w:sz w:val="24"/>
                <w:szCs w:val="24"/>
              </w:rPr>
              <w:t xml:space="preserve">✓ Infraestructura única sirve ambos motores de negocio</w:t>
            </w:r>
          </w:p>
          <w:p>
            <w:pPr>
              <w:spacing w:after="120"/>
              <w:jc w:val="center"/>
            </w:pPr>
            <w:r>
              <w:rPr>
                <w:color w:val="1565C0"/>
                <w:sz w:val="24"/>
                <w:szCs w:val="24"/>
              </w:rPr>
              <w:t xml:space="preserve">✓ Automatización habilita operación con 5h/semana</w:t>
            </w:r>
          </w:p>
          <w:p>
            <w:pPr>
              <w:spacing w:after="300"/>
              <w:jc w:val="center"/>
            </w:pPr>
            <w:r>
              <w:rPr>
                <w:color w:val="1565C0"/>
                <w:sz w:val="24"/>
                <w:szCs w:val="24"/>
              </w:rPr>
              <w:t xml:space="preserve">✓ Validación incremental minimiza riesgo</w:t>
            </w:r>
          </w:p>
        </w:tc>
      </w:tr>
    </w:tbl>
    <w:p>
      <w:pPr>
        <w:spacing w:before="480" w:after="120"/>
        <w:jc w:val="center"/>
      </w:pPr>
      <w:r>
        <w:rPr>
          <w:i/>
          <w:iCs/>
          <w:color w:val="7F8C8D"/>
          <w:sz w:val="20"/>
          <w:szCs w:val="20"/>
        </w:rPr>
        <w:t xml:space="preserve">Documento preparado por: Juan - Director de Estrategia y Marketing</w:t>
      </w:r>
    </w:p>
    <w:p>
      <w:pPr>
        <w:jc w:val="center"/>
      </w:pPr>
      <w:r>
        <w:rPr>
          <w:i/>
          <w:iCs/>
          <w:color w:val="7F8C8D"/>
          <w:sz w:val="20"/>
          <w:szCs w:val="20"/>
        </w:rPr>
        <w:t xml:space="preserve">Carrillo Abogados | Noviembre 2025</w:t>
      </w:r>
    </w:p>
    <w:sectPr>
      <w:headerReference w:type="default" r:id="rId6"/>
      <w:footerReference w:type="default" r:id="rId7"/>
      <w:pgSz w:w="11906" w:h="16838" w:orient="portrait"/>
      <w:pgMar w:top="1440" w:right="1152" w:bottom="1440" w:left="115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8C8D"/>
        <w:sz w:val="18"/>
        <w:szCs w:val="18"/>
      </w:rPr>
      <w:t xml:space="preserve">Página </w:t>
    </w:r>
    <w:r>
      <w:rPr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8C8D"/>
        <w:sz w:val="18"/>
        <w:szCs w:val="18"/>
      </w:rPr>
      <w:t xml:space="preserve"> de </w:t>
    </w:r>
    <w:r>
      <w:rPr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7F8C8D"/>
        <w:sz w:val="18"/>
        <w:szCs w:val="18"/>
      </w:rPr>
      <w:t xml:space="preserve">Plan de Marketing 2026 | Carrillo Abogados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360"/>
      <w:jc w:val="center"/>
    </w:pPr>
    <w:rPr>
      <w:rFonts w:ascii="Arial" w:cs="Arial" w:eastAsia="Arial" w:hAnsi="Arial"/>
      <w:b/>
      <w:bCs/>
      <w:color w:val="2C3E50"/>
      <w:sz w:val="48"/>
      <w:szCs w:val="48"/>
    </w:rPr>
  </w:style>
  <w:style w:type="paragraph" w:styleId="Heading1">
    <w:name w:val="Heading 1"/>
    <w:basedOn w:val="Normal"/>
    <w:next w:val="Normal"/>
    <w:pPr>
      <w:spacing w:before="360" w:after="240"/>
      <w:outlineLvl w:val="0"/>
    </w:pPr>
    <w:rPr>
      <w:rFonts w:ascii="Arial" w:cs="Arial" w:eastAsia="Arial" w:hAnsi="Arial"/>
      <w:b/>
      <w:bCs/>
      <w:color w:val="2C3E50"/>
      <w:sz w:val="32"/>
      <w:szCs w:val="32"/>
    </w:rPr>
  </w:style>
  <w:style w:type="paragraph" w:styleId="Heading2">
    <w:name w:val="Heading 2"/>
    <w:basedOn w:val="Normal"/>
    <w:next w:val="Normal"/>
    <w:pPr>
      <w:spacing w:before="280" w:after="180"/>
      <w:outlineLvl w:val="1"/>
    </w:pPr>
    <w:rPr>
      <w:rFonts w:ascii="Arial" w:cs="Arial" w:eastAsia="Arial" w:hAnsi="Arial"/>
      <w:b/>
      <w:bCs/>
      <w:color w:val="4A6B7C"/>
      <w:sz w:val="28"/>
      <w:szCs w:val="28"/>
    </w:rPr>
  </w:style>
  <w:style w:type="paragraph" w:styleId="Heading3">
    <w:name w:val="Heading 3"/>
    <w:basedOn w:val="Normal"/>
    <w:next w:val="Normal"/>
    <w:pPr>
      <w:spacing w:before="240" w:after="120"/>
      <w:outlineLvl w:val="2"/>
    </w:pPr>
    <w:rPr>
      <w:rFonts w:ascii="Arial" w:cs="Arial" w:eastAsia="Arial" w:hAnsi="Arial"/>
      <w:b/>
      <w:bCs/>
      <w:color w:val="5D4037"/>
      <w:sz w:val="24"/>
      <w:szCs w:val="24"/>
    </w:rPr>
  </w:style>
  <w:style w:type="paragraph" w:styleId="destacado">
    <w:name w:val="Destacado"/>
    <w:basedOn w:val="Normal"/>
    <w:pPr>
      <w:spacing w:before="120" w:after="120"/>
    </w:pPr>
    <w:rPr>
      <w:b/>
      <w:bCs/>
      <w:color w:val="1565C0"/>
      <w:sz w:val="22"/>
      <w:szCs w:val="22"/>
    </w:rPr>
  </w:style>
  <w:style w:type="paragraph" w:styleId="nota">
    <w:name w:val="Nota"/>
    <w:basedOn w:val="Normal"/>
    <w:pPr>
      <w:spacing w:before="80" w:after="80"/>
    </w:pPr>
    <w:rPr>
      <w:i/>
      <w:iCs/>
      <w:color w:val="5D4037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1c36104146b529db1f24040d79ac75edf7c1b42e.png"/><Relationship Id="rId9" Type="http://schemas.openxmlformats.org/officeDocument/2006/relationships/image" Target="media/b1ba187776eece6383c8560207db6f28b002ac3c.png"/><Relationship Id="rId10" Type="http://schemas.openxmlformats.org/officeDocument/2006/relationships/image" Target="media/5f8a6a2cf7516cf9a4e350fe30feab36127a6b54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2025-11-13T19:45:52.010Z</dcterms:created>
  <dcterms:modified xsi:type="dcterms:W3CDTF">2025-11-13T19:45:52.012Z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