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71.png" ContentType="image/png"/>
  <Override PartName="/word/media/rId40.jpg" ContentType="image/jpeg"/>
  <Override PartName="/word/media/rId43.jpg" ContentType="image/jpeg"/>
  <Override PartName="/word/media/rId36.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nueve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costo computacional del núcleo y caracterización analógica del canal de sensado por simulación eléctrica.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nine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computational cost of the core, and analog characterisation of the sensing channel by circuit simulation.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(de Graaf et al., 2015)</w:t>
      </w:r>
      <w:r>
        <w:t xml:space="preserve">, y estudios recientes han modelado la población afectada en América Latina y el Caribe, región donde se ubica este trabajo</w:t>
      </w:r>
      <w:r>
        <w:t xml:space="preserve"> </w:t>
      </w:r>
      <w:r>
        <w:t xml:space="preserve">(de Graaf et al., 2026)</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 ¿cuáles son los elementos clave en el desarrollo de un tapete interactivo con luces y sonidos que favorezcan su efectividad como herramienta de apoyo terapéutico para niños con síndrome de Down? 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lo que permite verificar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(van der 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(van der 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La adaptación automática presenta, sin embargo,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que se detalla en la sección de metodología: el algoritmo emite una recomendación de nivel y la decisión de aplicarla corresponde al terapeuta.</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 antes 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3"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9"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 tapete físico de seis casillas dispuestas en dos filas por tres columnas, cada una equipada con un sensor de presión y un grupo de tres diodos emisores de luz. Un microcontrolador ESP32 que adquiere las pisadas, gobierna la iluminación y el audio, y ejecuta la lógica de los tres modos de juego. Y un programa de monitoreo en PC 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De esa frontera depende la estrategia de validación: cualquier entidad que hable el protocolo puede ocupar el lugar del tapete.</w:t>
      </w:r>
    </w:p>
    <w:p>
      <w:pPr>
        <w:pStyle w:val="BodyText"/>
      </w:pPr>
      <w:r>
        <w:t xml:space="preserve">La Figura 1 resume la arquitectura, con los dos dominios de alimentación separados. El esquemático eléctrico completo, con la totalidad de los componentes y sus interconexiones, se incluye en el Anexo A.</w:t>
      </w:r>
    </w:p>
    <w:p>
      <w:pPr>
        <w:pStyle w:val="CaptionedFigure"/>
      </w:pPr>
      <w:r>
        <w:drawing>
          <wp:inline>
            <wp:extent cx="4907280" cy="3276363"/>
            <wp:effectExtent b="0" l="0" r="0" t="0"/>
            <wp:docPr descr="Arquitectura del sistema. El dominio de 3,3 V agrupa el sensado; el de 5 V, la actuación. Los dos rieles nunca se puentean. Los números de GPIO no están escritos a mano: el diagrama se genera leyéndolos de la configuración del firmware, de modo que no puede divergir de él." title="" id="37" name="Picture"/>
            <a:graphic>
              <a:graphicData uri="http://schemas.openxmlformats.org/drawingml/2006/picture">
                <pic:pic>
                  <pic:nvPicPr>
                    <pic:cNvPr descr="../evidencia/diagrama_bloques.png" id="38" name="Picture"/>
                    <pic:cNvPicPr>
                      <a:picLocks noChangeArrowheads="1" noChangeAspect="1"/>
                    </pic:cNvPicPr>
                  </pic:nvPicPr>
                  <pic:blipFill>
                    <a:blip r:embed="rId36"/>
                    <a:stretch>
                      <a:fillRect/>
                    </a:stretch>
                  </pic:blipFill>
                  <pic:spPr bwMode="auto">
                    <a:xfrm>
                      <a:off x="0" y="0"/>
                      <a:ext cx="4907280" cy="3276363"/>
                    </a:xfrm>
                    <a:prstGeom prst="rect">
                      <a:avLst/>
                    </a:prstGeom>
                    <a:noFill/>
                    <a:ln w="9525">
                      <a:noFill/>
                      <a:headEnd/>
                      <a:tailEnd/>
                    </a:ln>
                  </pic:spPr>
                </pic:pic>
              </a:graphicData>
            </a:graphic>
          </wp:inline>
        </w:drawing>
      </w:r>
    </w:p>
    <w:p>
      <w:pPr>
        <w:pStyle w:val="ImageCaption"/>
      </w:pPr>
      <w:r>
        <w:t xml:space="preserve">Arquitectura del sistema. El dominio de 3,3 V agrupa el sensado; el de 5 V, la actuación. Los dos rieles nunca se puentean. Los números de GPIO no están escritos a mano: el diagrama se genera leyéndolos de la configuración del firmware, de modo que no puede divergir de él.</w:t>
      </w:r>
    </w:p>
    <w:bookmarkEnd w:id="39"/>
    <w:bookmarkStart w:id="46"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transferencia de este divisor se caracteriza en la sección de resultados (evidencia E9), lo que permite traducir ese umbral a un valor concreto de resistencia del sensor.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110 Ω en serie por grupo fija la corriente.</w:t>
      </w:r>
    </w:p>
    <w:p>
      <w:pPr>
        <w:pStyle w:val="BodyText"/>
      </w:pPr>
      <w:r>
        <w:t xml:space="preserve">La decisión de emplear iluminación blanca regulada por PWM en lugar de tiras de LED RGB direccionables se aparta de la propuesta inicial del proyecto y exige justificación.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La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2 y 3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41" name="Picture"/>
            <a:graphic>
              <a:graphicData uri="http://schemas.openxmlformats.org/drawingml/2006/picture">
                <pic:pic>
                  <pic:nvPicPr>
                    <pic:cNvPr descr="../evidencia/caja/materiales_completos.jpeg" id="42" name="Picture"/>
                    <pic:cNvPicPr>
                      <a:picLocks noChangeArrowheads="1" noChangeAspect="1"/>
                    </pic:cNvPicPr>
                  </pic:nvPicPr>
                  <pic:blipFill>
                    <a:blip r:embed="rId40"/>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4" name="Picture"/>
            <a:graphic>
              <a:graphicData uri="http://schemas.openxmlformats.org/drawingml/2006/picture">
                <pic:pic>
                  <pic:nvPicPr>
                    <pic:cNvPr descr="../evidencia/caja/vista_frontal.jpeg" id="45" name="Picture"/>
                    <pic:cNvPicPr>
                      <a:picLocks noChangeArrowheads="1" noChangeAspect="1"/>
                    </pic:cNvPicPr>
                  </pic:nvPicPr>
                  <pic:blipFill>
                    <a:blip r:embed="rId43"/>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6"/>
    <w:bookmarkStart w:id="47"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el simulador no reimplementa el comportamiento del tapete, sino que ejecuta el mismo código que este, con el reloj inyectado desde el exterior y las salidas físicas inertes. No existen dos implementaciones que puedan divergir.</w:t>
      </w:r>
    </w:p>
    <w:p>
      <w:pPr>
        <w:pStyle w:val="BodyText"/>
      </w:pPr>
      <w:r>
        <w:t xml:space="preserve">El motor es, además, no bloqueante.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7"/>
    <w:bookmarkStart w:id="48"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8"/>
    <w:bookmarkStart w:id="49"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9"/>
    <w:bookmarkStart w:id="50"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 subir un nivel; si es igual o inferior al 25 %, recomienda bajar uno; en la banda intermedia recomienda mantener.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más relevante es que el sistema nunca cambia el nivel por sí mismo.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sobre su fatiga, su frustración o su distracción que ninguna tasa de acierto captura. La medición aporta objetividad al juicio del terapeuta, sin sustituirlo.</w:t>
      </w:r>
    </w:p>
    <w:bookmarkEnd w:id="50"/>
    <w:bookmarkStart w:id="51"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51"/>
    <w:bookmarkStart w:id="52"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iCs/>
          <w:i/>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 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Comprende dos clases de evidencia. Por un lado, la que se obtiene sobre la implementación sin necesidad del prototipo: el costo computacional del núcleo compilado, la huella de recursos en el microcontrolador y la caracterización del circuito analógico de sensado mediante simulación eléctrica. Por otro, la que exige el prototipo físico instrumentado: la latencia del lazo entre la pisada y la retroalimentación, y la fiabilidad de detección de los sensores, incluida la calibración de su umbral de activación, capturadas a través del programa de monitoreo.</w:t>
      </w:r>
    </w:p>
    <w:p>
      <w:pPr>
        <w:pStyle w:val="BodyText"/>
      </w:pPr>
      <w:r>
        <w:rPr>
          <w:bCs/>
          <w:b/>
        </w:rPr>
        <w:t xml:space="preserve">Herramientas de verificación.</w:t>
      </w:r>
      <w:r>
        <w:t xml:space="preserve"> </w:t>
      </w:r>
      <w:r>
        <w:t xml:space="preserve">La lógica se verifica con dos suites de pruebas unitarias —una en C++ sobre el núcleo, otra en Python sobre el simulador y el programa de monitoreo— y con un conjunto de escenarios de referencia que fijan la traza esperada de eventos. El esquemático eléctrico se somete a la comprobación de reglas eléctricas (ERC) de la herramienta de diseño, que verifica que no queden pines sin conectar ni conflictos de alimentación. El circuito analógico se simula con ngspice a partir del netlist del propio diseño. El firmware compilado, por último, se ejecuta en un simulador de microcontrolador (Wokwi) dentro de la integración continua, donde se comprueba que arranca y emite correctamente el saludo del protocolo por el puerto serie. Ese simulador reproduce el microcontrolador, no los periféricos analógicos, de modo que su alcance es la verificación del firmware y no la del circuito.</w:t>
      </w:r>
    </w:p>
    <w:p>
      <w:pPr>
        <w:pStyle w:val="BodyText"/>
      </w:pPr>
      <w:r>
        <w:t xml:space="preserve">Las evidencias se numeran de E1 a E11. Las siete primeras se obtienen por simulación determinista de la lógica; la octava y la novena, por medición sobre la implementación compilada y por simulación eléctrica del circuito —banco de software, sin el prototipo físico—. Las nueve se reportan en la sección de resultados. Las dos últimas dependen del prototipo instrumentado y se declaran pendientes. La Tabla 3 recoge las once evidencias con su nivel y su estado.</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Caracterización analógica del canal de sensado (SPICE)</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E10</w:t>
            </w:r>
          </w:p>
        </w:tc>
        <w:tc>
          <w:tcPr/>
          <w:p>
            <w:pPr>
              <w:pStyle w:val="Compact"/>
              <w:jc w:val="left"/>
            </w:pPr>
            <w:r>
              <w:t xml:space="preserve">Latencia del lazo físico entre la pisada y la 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E11</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iCs/>
          <w:i/>
        </w:rPr>
        <w:t xml:space="preserve">no se aborda en este trabajo</w:t>
      </w:r>
      <w:r>
        <w:t xml:space="preserve"> </w:t>
      </w:r>
      <w:r>
        <w:t xml:space="preserve">y se plantea como trabajo futuro.</w:t>
      </w:r>
    </w:p>
    <w:bookmarkEnd w:id="52"/>
    <w:bookmarkEnd w:id="53"/>
    <w:bookmarkStart w:id="77" w:name="resultados"/>
    <w:p>
      <w:pPr>
        <w:pStyle w:val="Heading1"/>
      </w:pPr>
      <w:r>
        <w:rPr>
          <w:rStyle w:val="SectionNumber"/>
        </w:rPr>
        <w:t xml:space="preserve">5</w:t>
      </w:r>
      <w:r>
        <w:tab/>
      </w:r>
      <w:r>
        <w:t xml:space="preserve">Resultados</w:t>
      </w:r>
    </w:p>
    <w:p>
      <w:pPr>
        <w:pStyle w:val="FirstParagraph"/>
      </w:pPr>
      <w:r>
        <w:t xml:space="preserve">Las cifras de simulación y de caracterización analógica de esta sección se generan mediante un único guion de experimentos, que ejecuta el núcleo de software y vuelca sus resultados en un archivo. Los conteos de robustez y de cobertura de pruebas proceden del código de las propias suites, y la huella de recursos, de la compilación del firmware; todos ellos se reproducen ejecutando el proyecto. Salvo indicación contraria, la semilla es 777.</w:t>
      </w:r>
    </w:p>
    <w:p>
      <w:pPr>
        <w:pStyle w:val="BlockText"/>
      </w:pPr>
      <w:r>
        <w:rPr>
          <w:bCs/>
          <w:b/>
        </w:rPr>
        <w:t xml:space="preserve">Advertencia sobre el alcance.</w:t>
      </w:r>
      <w:r>
        <w:t xml:space="preserve"> </w:t>
      </w:r>
      <w:r>
        <w:t xml:space="preserve">Las figuras y tablas que siguen describen el comportamiento del sistema, obtenido por simulación determinista de su lógica y por medición sobre su implementación.</w:t>
      </w:r>
      <w:r>
        <w:t xml:space="preserve"> </w:t>
      </w:r>
      <w:r>
        <w:rPr>
          <w:iCs/>
          <w:i/>
        </w:rPr>
        <w:t xml:space="preserve">No son datos obtenidos con pacientes</w:t>
      </w:r>
      <w:r>
        <w:t xml:space="preserve"> </w:t>
      </w:r>
      <w:r>
        <w:t xml:space="preserve">y no autorizan ninguna afirmación sobre eficacia terapéutica.</w:t>
      </w:r>
    </w:p>
    <w:bookmarkStart w:id="54"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De este resultado dependen todos los demás: si el sistema no fuese reproducible, ninguna cifra de las secciones siguientes podría verificarse de forma independiente. El determinismo permite que cualquier lector que disponga del código y de la semilla repita los experimentos aquí reportados.</w:t>
      </w:r>
    </w:p>
    <w:bookmarkEnd w:id="54"/>
    <w:bookmarkStart w:id="55"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 estricto: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5"/>
    <w:bookmarkStart w:id="59"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 bajar el nivel ante habilidades bajas y subir ante habilidades altas.</w:t>
      </w:r>
    </w:p>
    <w:p>
      <w:pPr>
        <w:pStyle w:val="BodyText"/>
      </w:pPr>
      <w:r>
        <w:t xml:space="preserve">La Figura 4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La figura admite una lectura errónea que interesa precisar. El eje vertical representa la tasa de acierto de la sesión completa, mientras que la dirección recomendada se calcula sobre la ventana de las cuatro últimas rondas. Ambas magnitudes no tienen por qué coincidir: con una habilidad del 40 %, la sesión cierra con un 62,5 % de aciertos y, aun así, el sistema recomienda subir, porque las cuatro rondas finales alcanzaron el umbral del 75 %. La figura describe el desempeño global; la recomendación responde al desempeño reciente, que es lo que interesa a un mecanismo adaptativo.</w:t>
      </w:r>
    </w:p>
    <w:p>
      <w:pPr>
        <w:pStyle w:val="CaptionedFigure"/>
      </w:pPr>
      <w:r>
        <w:drawing>
          <wp:inline>
            <wp:extent cx="5334000" cy="4113764"/>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7" name="Picture"/>
            <a:graphic>
              <a:graphicData uri="http://schemas.openxmlformats.org/drawingml/2006/picture">
                <pic:pic>
                  <pic:nvPicPr>
                    <pic:cNvPr descr="../evidencia/E3_adaptacion.png" id="58" name="Picture"/>
                    <pic:cNvPicPr>
                      <a:picLocks noChangeArrowheads="1" noChangeAspect="1"/>
                    </pic:cNvPicPr>
                  </pic:nvPicPr>
                  <pic:blipFill>
                    <a:blip r:embed="rId56"/>
                    <a:stretch>
                      <a:fillRect/>
                    </a:stretch>
                  </pic:blipFill>
                  <pic:spPr bwMode="auto">
                    <a:xfrm>
                      <a:off x="0" y="0"/>
                      <a:ext cx="5334000" cy="4113764"/>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El comportamiento no constituye un defecto, sino la expresión del papel de cada modo: el de memoria es el más exigente porque acumula la demanda a lo largo de una secuencia. La sección E6 traduce esta observación cualitativa en una predicción cuantitativa y la somete a contraste.</w:t>
      </w:r>
    </w:p>
    <w:bookmarkEnd w:id="59"/>
    <w:bookmarkStart w:id="60"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pues, como costo de intentos y no como duración de la sesión.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60"/>
    <w:bookmarkStart w:id="64"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5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62" name="Picture"/>
            <a:graphic>
              <a:graphicData uri="http://schemas.openxmlformats.org/drawingml/2006/picture">
                <pic:pic>
                  <pic:nvPicPr>
                    <pic:cNvPr descr="../evidencia/E5_convergencia_modos.png" id="63" name="Picture"/>
                    <pic:cNvPicPr>
                      <a:picLocks noChangeArrowheads="1" noChangeAspect="1"/>
                    </pic:cNvPicPr>
                  </pic:nvPicPr>
                  <pic:blipFill>
                    <a:blip r:embed="rId61"/>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del nivel 1 al 4 en tres sesiones y se estabiliza en el máximo, mientras que el jugador con dificultad desciende del 4 al 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Debe recordarse la salvedad de diseño: esta trayectoria se obtiene aplicando cada recomendación, cosa que en operación real hace el terapeuta y no el sistema. La figura describe, pues, el comportamiento del recomendador si sus sugerencias se aceptasen siempre, que es el escenario límite útil para caracterizarlo.</w:t>
      </w:r>
    </w:p>
    <w:bookmarkEnd w:id="64"/>
    <w:bookmarkStart w:id="68"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 como cabría esperar. Esta sección verifica, además,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6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6" name="Picture"/>
            <a:graphic>
              <a:graphicData uri="http://schemas.openxmlformats.org/drawingml/2006/picture">
                <pic:pic>
                  <pic:nvPicPr>
                    <pic:cNvPr descr="../evidencia/E6_montecarlo.png" id="67" name="Picture"/>
                    <pic:cNvPicPr>
                      <a:picLocks noChangeArrowheads="1" noChangeAspect="1"/>
                    </pic:cNvPicPr>
                  </pic:nvPicPr>
                  <pic:blipFill>
                    <a:blip r:embed="rId65"/>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 once puntos 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alcance de este resultado debe precisarse. No demuestra que el sistema sea terapéuticamente eficaz, ni que la dificultad esté bien calibrada para un niño real: establece que el comportamiento observable del motor coincide con el modelo formal de su regla de dificultad. Se trata de una propiedad más limitada que la eficacia clínica, pero necesaria en un dispositivo destinado a uso terapéutico, pues distingue un mecanismo cuyo funcionamiento se presume de uno cuyo funcionamiento se ha comprobado frente a su especificación.</w:t>
      </w:r>
    </w:p>
    <w:bookmarkEnd w:id="68"/>
    <w:bookmarkStart w:id="69"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 40 000 líneas 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 18 000 líneas basura reproducibles, y la interfaz gráfica se sometió a un generador de eventos aleatorios que ejecutó 15 000 acciones 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58 casos con 2186 aserciones en C++ y 145 pruebas en Python.</w:t>
      </w:r>
    </w:p>
    <w:bookmarkEnd w:id="69"/>
    <w:bookmarkStart w:id="70"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A diferencia del resto de las evidencias, esta medición no es determinista: depende del procesador y de la carga de la máquina. El guion la calcula como mediana de siete ejecuciones, con su rango observado, y la registra en el archivo de resultados.</w:t>
      </w:r>
    </w:p>
    <w:p>
      <w:pPr>
        <w:pStyle w:val="BodyText"/>
      </w:pPr>
      <w:r>
        <w:t xml:space="preserve">Por depender del procesador y de la carga de la máquina, estas cifras varían entre ejecuciones; se informan como órdenes de magnitud y no como valores exactos, y los valores puntuales de cada corrida quedan registrados en el archivo de resultados. Un ciclo de avance temporal sin transiciones cuesta unos pocos nanosegundos. Una pisada que produce eventos (encendido o apagado de casilla, sonido, puntuación y, cuando corresponde, recomendación) cuesta una fracción de microsegundo, promediada sobre 240 000 pisadas efectivas por ejecución. Una sesión completa del modo de velocidad en nivel 4, con sus doce rondas, se resuelve en unos pocos microsegundos.</w:t>
      </w:r>
    </w:p>
    <w:p>
      <w:pPr>
        <w:pStyle w:val="BodyText"/>
      </w:pPr>
      <w:r>
        <w:t xml:space="preserve">Estas cifras deben leerse con cuidado. Corresponden a un procesador de PC, no al microcontrolador, y no constituyen la latencia del lazo de interacción física, que incluye el tiempo de conversión analógico-digital, el filtrado de la pisada y la conmutación de los diodos, y que solo puede medirse sobre el prototipo instrumentado (evidencia E10, pendiente). Lo que sí establecen es que el costo de la lógica es más de cinco órdenes de magnitud inferior a la escala temporal del juego, cuya ventana de reacción más exigente es de 1000 ms frente al microsegundo escaso que cuesta procesar una pisada, y que, por tanto, el núcleo no puede constituir el cuello de botella del lazo de interacción.</w:t>
      </w:r>
    </w:p>
    <w:p>
      <w:pPr>
        <w:pStyle w:val="BodyText"/>
      </w:pPr>
      <w:r>
        <w:t xml:space="preserve">Respecto a la huella en el dispositivo, la compilación del firmware para el ESP32 ocupa 60,2 % de la memoria de programa (788 501 de 1 310 720 bytes) y 13,8 % de la memoria de datos (45 324 de 327 680 bytes), lo que deja margen suficiente para las extensiones previstas.</w:t>
      </w:r>
    </w:p>
    <w:bookmarkEnd w:id="70"/>
    <w:bookmarkStart w:id="74" w:name="Xd5b568f1abc8ba6e7993f0b0bc6a787b01c7511"/>
    <w:p>
      <w:pPr>
        <w:pStyle w:val="Heading2"/>
      </w:pPr>
      <w:r>
        <w:rPr>
          <w:rStyle w:val="SectionNumber"/>
        </w:rPr>
        <w:t xml:space="preserve">5.9</w:t>
      </w:r>
      <w:r>
        <w:tab/>
      </w:r>
      <w:r>
        <w:t xml:space="preserve">Caracterización analógica del canal de sensado (E9)</w:t>
      </w:r>
    </w:p>
    <w:p>
      <w:pPr>
        <w:pStyle w:val="FirstParagraph"/>
      </w:pPr>
      <w:r>
        <w:t xml:space="preserve">El esquemático del sistema se sometió a la comprobación de reglas eléctricas de la herramienta de diseño, que no reportó infracciones. A partir de ese diseño se simuló con ngspice el canal de sensado: un divisor formado por el sensor de presión y la resistencia fija de 10 kΩ a masa, alimentado a 3,3 V.</w:t>
      </w:r>
    </w:p>
    <w:p>
      <w:pPr>
        <w:pStyle w:val="BodyText"/>
      </w:pPr>
      <w:r>
        <w:t xml:space="preserve">El divisor admite solución cerrada,</w:t>
      </w:r>
      <w:r>
        <w:t xml:space="preserve"> </w:t>
      </w:r>
      <m:oMath>
        <m:sSub>
          <m:e>
            <m:r>
              <m:t>V</m:t>
            </m:r>
          </m:e>
          <m:sub>
            <m:r>
              <m:t>n</m:t>
            </m:r>
            <m:r>
              <m:t>o</m:t>
            </m:r>
            <m:r>
              <m:t>d</m:t>
            </m:r>
            <m:r>
              <m:t>o</m:t>
            </m:r>
          </m:sub>
        </m:sSub>
        <m:r>
          <m:rPr>
            <m:sty m:val="p"/>
          </m:rPr>
          <m:t>=</m:t>
        </m:r>
        <m:sSub>
          <m:e>
            <m:r>
              <m:t>V</m:t>
            </m:r>
          </m:e>
          <m:sub>
            <m:r>
              <m:t>r</m:t>
            </m:r>
            <m:r>
              <m:t>e</m:t>
            </m:r>
            <m:r>
              <m:t>f</m:t>
            </m:r>
          </m:sub>
        </m:sSub>
        <m:r>
          <m:t> </m:t>
        </m:r>
        <m:sSub>
          <m:e>
            <m:r>
              <m:t>R</m:t>
            </m:r>
          </m:e>
          <m:sub>
            <m:r>
              <m:t>M</m:t>
            </m:r>
          </m:sub>
        </m:sSub>
        <m:r>
          <m:rPr>
            <m:sty m:val="p"/>
          </m:rPr>
          <m:t>/</m:t>
        </m:r>
        <m:d>
          <m:dPr>
            <m:begChr m:val="("/>
            <m:endChr m:val=")"/>
            <m:sepChr m:val=""/>
            <m:grow/>
          </m:dPr>
          <m:e>
            <m:sSub>
              <m:e>
                <m:r>
                  <m:t>R</m:t>
                </m:r>
              </m:e>
              <m:sub>
                <m:r>
                  <m:t>F</m:t>
                </m:r>
                <m:r>
                  <m:t>S</m:t>
                </m:r>
                <m:r>
                  <m:t>R</m:t>
                </m:r>
              </m:sub>
            </m:sSub>
            <m:r>
              <m:rPr>
                <m:sty m:val="p"/>
              </m:rPr>
              <m:t>+</m:t>
            </m:r>
            <m:sSub>
              <m:e>
                <m:r>
                  <m:t>R</m:t>
                </m:r>
              </m:e>
              <m:sub>
                <m:r>
                  <m:t>M</m:t>
                </m:r>
              </m:sub>
            </m:sSub>
          </m:e>
        </m:d>
      </m:oMath>
      <w:r>
        <w:t xml:space="preserve">, lo que permite la misma clase de contraste aplicada a la lógica en la sección anterior: la simulación debe reproducir la expresión analítica. Sobre once valores de resistencia entre 250 Ω y 10 MΩ, la discrepancia máxima entre ngspice y la fórmula fue de</w:t>
      </w:r>
      <w:r>
        <w:t xml:space="preserve"> </w:t>
      </w:r>
      <m:oMath>
        <m:r>
          <m:t>2</m:t>
        </m:r>
        <m:r>
          <m:rPr>
            <m:sty m:val="p"/>
          </m:rPr>
          <m:t>,</m:t>
        </m:r>
        <m:r>
          <m:t>9</m:t>
        </m:r>
        <m:r>
          <m:rPr>
            <m:sty m:val="p"/>
          </m:rPr>
          <m:t>×</m:t>
        </m:r>
        <m:sSup>
          <m:e>
            <m:r>
              <m:t>10</m:t>
            </m:r>
          </m:e>
          <m:sup>
            <m:r>
              <m:rPr>
                <m:sty m:val="p"/>
              </m:rPr>
              <m:t>−</m:t>
            </m:r>
            <m:r>
              <m:t>6</m:t>
            </m:r>
          </m:sup>
        </m:sSup>
      </m:oMath>
      <w:r>
        <w:t xml:space="preserve"> </w:t>
      </w:r>
      <w:r>
        <w:t xml:space="preserve">V, es decir, del orden del error de redondeo. La Figura 7 muestra la curva.</w:t>
      </w:r>
    </w:p>
    <w:p>
      <w:pPr>
        <w:pStyle w:val="CaptionedFigure"/>
      </w:pPr>
      <w:r>
        <w:drawing>
          <wp:inline>
            <wp:extent cx="4693920" cy="2784758"/>
            <wp:effectExtent b="0" l="0" r="0" t="0"/>
            <wp:docPr descr="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 title="" id="72" name="Picture"/>
            <a:graphic>
              <a:graphicData uri="http://schemas.openxmlformats.org/drawingml/2006/picture">
                <pic:pic>
                  <pic:nvPicPr>
                    <pic:cNvPr descr="../evidencia/E9_divisor_fsr.png" id="73" name="Picture"/>
                    <pic:cNvPicPr>
                      <a:picLocks noChangeArrowheads="1" noChangeAspect="1"/>
                    </pic:cNvPicPr>
                  </pic:nvPicPr>
                  <pic:blipFill>
                    <a:blip r:embed="rId71"/>
                    <a:stretch>
                      <a:fillRect/>
                    </a:stretch>
                  </pic:blipFill>
                  <pic:spPr bwMode="auto">
                    <a:xfrm>
                      <a:off x="0" y="0"/>
                      <a:ext cx="4693920" cy="2784758"/>
                    </a:xfrm>
                    <a:prstGeom prst="rect">
                      <a:avLst/>
                    </a:prstGeom>
                    <a:noFill/>
                    <a:ln w="9525">
                      <a:noFill/>
                      <a:headEnd/>
                      <a:tailEnd/>
                    </a:ln>
                  </pic:spPr>
                </pic:pic>
              </a:graphicData>
            </a:graphic>
          </wp:inline>
        </w:drawing>
      </w:r>
    </w:p>
    <w:p>
      <w:pPr>
        <w:pStyle w:val="ImageCaption"/>
      </w:pPr>
      <w:r>
        <w:t xml:space="preserve">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w:t>
      </w:r>
    </w:p>
    <w:p>
      <w:pPr>
        <w:pStyle w:val="BodyText"/>
      </w:pPr>
      <w:r>
        <w:t xml:space="preserve">El resultado de interés práctico es la traducción del umbral. El firmware considera pisada toda lectura superior a 2000 cuentas de las 4095 del convertidor, lo que equivale a 1,61 V en el nodo. Según la curva, esa tensión se alcanza cuando la resistencia del sensor desciende hasta 10,5 kΩ, valor muy próximo a la resistencia de la carga fija, como corresponde a un divisor equilibrado. El umbral vigente exige, por tanto, que la pisada haga descender la resistencia del sensor hasta el orden de la resistencia de carga. Cuánto vale esa resistencia sin fuerza aplicada —y qué fuerza se necesita para llevarla a 10,5 kΩ— es un dato que este trabajo no ha medido: el barrido de la Figura 7 se extiende hasta 10 MΩ como rango de exploración, no como valor característico del sensor. Fijar el umbral definitivo exige, por tanto, caracterizar el sensor sobre el prototipo instrumentado (evidencia E11, pendiente). Lo que la simulación aporta es la traducción exacta entre umbral digital y resistencia, que convierte esa caracterización en una única medida de contraste en lugar de una búsqueda a ciegas.</w:t>
      </w:r>
    </w:p>
    <w:p>
      <w:pPr>
        <w:pStyle w:val="BodyText"/>
      </w:pPr>
      <w:r>
        <w:t xml:space="preserve">Esta caracterización acota el espacio de calibración pendiente (E11) sin necesidad del prototipo: fija el objetivo que la instrumentación física debe verificar. No lo sustituye, porque la relación entre la fuerza aplicada y la resistencia del sensor depende del área de contacto y de la distribución de la carga bajo la tapa, y esa relación solo puede establecerse midiendo.</w:t>
      </w:r>
    </w:p>
    <w:p>
      <w:pPr>
        <w:pStyle w:val="BodyText"/>
      </w:pPr>
      <w:r>
        <w:t xml:space="preserve">Sobre la etapa de actuación, la misma simulación estima una corriente de 10,1 mA por grupo de tres diodos, unos 3,4 mA por diodo, con la resistencia de 110 Ω que fija la corriente de cada grupo. Esta cifra debe leerse con más cautela que la anterior: a diferencia del divisor, que es puramente resistivo, el modelo del diodo y la tensión de saturación del transistor Darlington son valores asumidos, no medidos. Se reporta como estimación de orden de magnitud, pendiente de confirmación con multímetro sobre el circuito armado. El valor inicial fue de 2,2 kΩ, tomado del inventario disponible, con el que cada diodo recibía unos 192 µA y la iluminación resultaba demasiado débil; la sustitución por 110 Ω multiplica la corriente por un factor cercano a veinte y mantiene el consumo del conjunto de seis grupos en unos 61 mA, un orden de magnitud por debajo del límite del arreglo Darlington.</w:t>
      </w:r>
    </w:p>
    <w:bookmarkEnd w:id="74"/>
    <w:bookmarkStart w:id="75" w:name="prototipo-físico"/>
    <w:p>
      <w:pPr>
        <w:pStyle w:val="Heading2"/>
      </w:pPr>
      <w:r>
        <w:rPr>
          <w:rStyle w:val="SectionNumber"/>
        </w:rPr>
        <w:t xml:space="preserve">5.10</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 en curso en el momento de redactar este artículo. En consecuencia, las evidencias E10 —latencia del lazo físico— y E11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75"/>
    <w:bookmarkStart w:id="76" w:name="trazabilidad-objetivoevidencia"/>
    <w:p>
      <w:pPr>
        <w:pStyle w:val="Heading2"/>
      </w:pPr>
      <w:r>
        <w:rPr>
          <w:rStyle w:val="SectionNumber"/>
        </w:rPr>
        <w:t xml:space="preserve">5.11</w:t>
      </w:r>
      <w:r>
        <w:tab/>
      </w:r>
      <w:r>
        <w:t xml:space="preserve">Trazabilidad objetivo–evidencia</w:t>
      </w:r>
    </w:p>
    <w:p>
      <w:pPr>
        <w:pStyle w:val="FirstParagraph"/>
      </w:pPr>
      <w:r>
        <w:t xml:space="preserve">La Tabla 6 asocia cada objetivo específico del proyecto con las evidencias que lo respaldan y con el estado de su validación.</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E11 (detección); E9 (caracterización analógica)</w:t>
            </w:r>
          </w:p>
        </w:tc>
        <w:tc>
          <w:tcPr/>
          <w:p>
            <w:pPr>
              <w:pStyle w:val="Compact"/>
              <w:jc w:val="left"/>
            </w:pPr>
            <w:r>
              <w:t xml:space="preserve">Diseño completo y prototipo ensamblado; verificación de sensado en curso (E11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y E9 en banco de software; E10–E11 sobre el prototipo</w:t>
            </w:r>
          </w:p>
        </w:tc>
        <w:tc>
          <w:tcPr/>
          <w:p>
            <w:pPr>
              <w:pStyle w:val="Compact"/>
              <w:jc w:val="left"/>
            </w:pPr>
            <w:r>
              <w:t xml:space="preserve">Validación por software completa; validación de banco físico pendiente</w:t>
            </w:r>
          </w:p>
        </w:tc>
      </w:tr>
    </w:tbl>
    <w:bookmarkEnd w:id="76"/>
    <w:bookmarkEnd w:id="77"/>
    <w:bookmarkStart w:id="7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Sobre esta decisión de arquitectura, tomada al inicio del proyecto, se sostiene la validez del resto de las evidencias.</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El contraste dejó además un hallazgo no anticipado.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8"/>
    <w:bookmarkStart w:id="79" w:name="limitaciones"/>
    <w:p>
      <w:pPr>
        <w:pStyle w:val="Heading1"/>
      </w:pPr>
      <w:r>
        <w:rPr>
          <w:rStyle w:val="SectionNumber"/>
        </w:rPr>
        <w:t xml:space="preserve">7</w:t>
      </w:r>
      <w:r>
        <w:tab/>
      </w:r>
      <w:r>
        <w:t xml:space="preserve">Limitaciones</w:t>
      </w:r>
    </w:p>
    <w:p>
      <w:pPr>
        <w:pStyle w:val="FirstParagraph"/>
      </w:pPr>
      <w:r>
        <w:t xml:space="preserve">Este trabajo presenta las siguientes limitaciones.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iCs/>
          <w:i/>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5 caracterizan al recomendador, no predicen la progresión de ningún niño.</w:t>
      </w:r>
    </w:p>
    <w:p>
      <w:pPr>
        <w:pStyle w:val="BodyText"/>
      </w:pPr>
      <w:r>
        <w:rPr>
          <w:bCs/>
          <w:b/>
        </w:rPr>
        <w:t xml:space="preserve">La validación de banco física está incompleta.</w:t>
      </w:r>
      <w:r>
        <w:t xml:space="preserve"> </w:t>
      </w:r>
      <w:r>
        <w:t xml:space="preserve">Las evidencias E10 y E11 (latencia del lazo entre la pisada y la retroalimentación, y fiabilidad de detección de los sensores) no se reportan porque la calibración del umbral de sensado se encuentra en curso. Hasta disponer de ellas, la afirmación de que el dispositivo detecta correctamente la pisada de un niño no está respaldada por medición.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9"/>
    <w:bookmarkStart w:id="8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iCs/>
          <w:i/>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La aclaración tiene consecuencias prácticas.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que verifica primero el sistema y evalúa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80"/>
    <w:bookmarkStart w:id="8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(E11) y la latencia del lazo físico entre la pisada y la retroalimentación (E10), instrumentando las marcas temporales que el propio protocolo ya transporta. La caracterización analógica (E9) fija el objetivo de esa calibración: la pisada debe llevar la resistencia del sensor por debajo de unos 10,5 kΩ para superar el umbral vigente.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81"/>
    <w:bookmarkStart w:id="8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nueve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la caracterización del costo computacional del núcleo y la caracterización analógica del canal de sensado mediante simulación eléctrica, que traduce el umbral de detección del firmware a un valor concreto de resistencia del sensor.</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se limita, por tanto, a comportarse de forma plausible: reproduce la regla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82"/>
    <w:bookmarkStart w:id="83" w:name="disponibilidad-de-la-evidencia"/>
    <w:p>
      <w:pPr>
        <w:pStyle w:val="Heading1"/>
      </w:pPr>
      <w:r>
        <w:t xml:space="preserve">Disponibilidad de la evidencia</w:t>
      </w:r>
    </w:p>
    <w:p>
      <w:pPr>
        <w:pStyle w:val="FirstParagraph"/>
      </w:pPr>
      <w:r>
        <w:t xml:space="preserve">Las cifras, tablas y figuras de simulación de la sección de resultados, junto con la caracterización analógica, se generan mediante un único guion de experimentos incluido con el código del proyecto, que ejecuta el núcleo de software, invoca la simulación eléctrica y produce un archivo de resultados junto con las figuras. Fijada la semilla, su ejecución reproduce exactamente los valores aquí reportados, con una única excepción declarada: las cifras de costo computacional (E8) son medidas de tiempo de ejecución y dependen del procesador y de la carga de la máquina, por lo que se calculan como mediana y rango de siete repeticiones y se enuncian en el texto como órdenes de magnitud, no como valores exactos. El guion registra los valores puntuales de cada corrida en el archivo de resultados.</w:t>
      </w:r>
    </w:p>
    <w:p>
      <w:pPr>
        <w:pStyle w:val="BodyText"/>
      </w:pPr>
      <w:r>
        <w:t xml:space="preserve">Tres conjuntos de cifras quedan fuera de ese guion, y se reproducen de otro modo: los conteos de las pruebas de robustez y de la cobertura de la suite, que proceden del código de las propias pruebas y se obtienen ejecutándolas; y la huella de memoria del firmware, que la informa el compilador al construirlo para el microcontrolador.</w:t>
      </w:r>
    </w:p>
    <w:p>
      <w:pPr>
        <w:pStyle w:val="BodyText"/>
      </w:pPr>
      <w:r>
        <w:t xml:space="preserve">Las figuras de ingeniería siguen el mismo principio. El diagrama de arquitectura (Figura 1) se construye leyendo los números de pin directamente de la configuración del firmware. El esquemático del Anexo A se produce con un guion de salida determinista que, antes de exportar el plano, ejecuta la comprobación de reglas eléctricas y aborta si encuentra alguna infracción. En consecuencia, ninguno de los dos planos se dibujó a mano, y ninguno puede divergir del código que describe. Las restantes figuras son fotografías del prototipo o gráficas producidas por el guion de experimentos.</w:t>
      </w:r>
    </w:p>
    <w:bookmarkEnd w:id="83"/>
    <w:bookmarkStart w:id="141" w:name="referencias"/>
    <w:p>
      <w:pPr>
        <w:pStyle w:val="Heading1"/>
      </w:pPr>
      <w:r>
        <w:t xml:space="preserve">Referencias</w:t>
      </w:r>
    </w:p>
    <w:bookmarkStart w:id="140" w:name="refs"/>
    <w:bookmarkStart w:id="85"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84">
        <w:r>
          <w:rPr>
            <w:rStyle w:val="Hyperlink"/>
          </w:rPr>
          <w:t xml:space="preserve">https://doi.org/10.1038/s41572-019-0143-7</w:t>
        </w:r>
      </w:hyperlink>
    </w:p>
    <w:bookmarkEnd w:id="85"/>
    <w:bookmarkStart w:id="86"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86"/>
    <w:bookmarkStart w:id="88"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87">
        <w:r>
          <w:rPr>
            <w:rStyle w:val="Hyperlink"/>
          </w:rPr>
          <w:t xml:space="preserve">https://doi.org/10.5944/ap.11.1.13789</w:t>
        </w:r>
      </w:hyperlink>
    </w:p>
    <w:bookmarkEnd w:id="88"/>
    <w:bookmarkStart w:id="90"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89">
        <w:r>
          <w:rPr>
            <w:rStyle w:val="Hyperlink"/>
          </w:rPr>
          <w:t xml:space="preserve">https://doi.org/10.1016/j.ijcci.2021.100376</w:t>
        </w:r>
      </w:hyperlink>
    </w:p>
    <w:bookmarkEnd w:id="90"/>
    <w:bookmarkStart w:id="91"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91"/>
    <w:bookmarkStart w:id="93" w:name="ref-bevilacqua2023analysis"/>
    <w:p>
      <w:pPr>
        <w:pStyle w:val="Bibliography"/>
      </w:pPr>
      <w:r>
        <w:t xml:space="preserve">Bevilacqua Junior, D. E., de Mello, E. C.,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92">
        <w:r>
          <w:rPr>
            <w:rStyle w:val="Hyperlink"/>
          </w:rPr>
          <w:t xml:space="preserve">https://doi.org/10.1016/j.jbmt.2023.05.009</w:t>
        </w:r>
      </w:hyperlink>
    </w:p>
    <w:bookmarkEnd w:id="93"/>
    <w:bookmarkStart w:id="95"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94">
        <w:r>
          <w:rPr>
            <w:rStyle w:val="Hyperlink"/>
          </w:rPr>
          <w:t xml:space="preserve">https://doi.org/10.1145/3374920.3374975</w:t>
        </w:r>
      </w:hyperlink>
    </w:p>
    <w:bookmarkEnd w:id="95"/>
    <w:bookmarkStart w:id="97"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96">
        <w:r>
          <w:rPr>
            <w:rStyle w:val="Hyperlink"/>
          </w:rPr>
          <w:t xml:space="preserve">https://doi.org/10.1093/ptj/pzx107</w:t>
        </w:r>
      </w:hyperlink>
    </w:p>
    <w:bookmarkEnd w:id="97"/>
    <w:bookmarkStart w:id="99"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98">
        <w:r>
          <w:rPr>
            <w:rStyle w:val="Hyperlink"/>
          </w:rPr>
          <w:t xml:space="preserve">https://doi.org/10.6180/jase.202112_24(6).0007</w:t>
        </w:r>
      </w:hyperlink>
    </w:p>
    <w:bookmarkEnd w:id="99"/>
    <w:bookmarkStart w:id="101"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100">
        <w:r>
          <w:rPr>
            <w:rStyle w:val="Hyperlink"/>
          </w:rPr>
          <w:t xml:space="preserve">https://doi.org/10.1109/IE.2015.14</w:t>
        </w:r>
      </w:hyperlink>
    </w:p>
    <w:bookmarkEnd w:id="101"/>
    <w:bookmarkStart w:id="103"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102">
        <w:r>
          <w:rPr>
            <w:rStyle w:val="Hyperlink"/>
          </w:rPr>
          <w:t xml:space="preserve">https://doi.org/10.2196/25771</w:t>
        </w:r>
      </w:hyperlink>
    </w:p>
    <w:bookmarkEnd w:id="103"/>
    <w:bookmarkStart w:id="105" w:name="ref-degraaf2015estimates"/>
    <w:p>
      <w:pPr>
        <w:pStyle w:val="Bibliography"/>
      </w:pPr>
      <w:r>
        <w:t xml:space="preserve">de Graaf, G.,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04">
        <w:r>
          <w:rPr>
            <w:rStyle w:val="Hyperlink"/>
          </w:rPr>
          <w:t xml:space="preserve">https://doi.org/10.1002/ajmg.a.37001</w:t>
        </w:r>
      </w:hyperlink>
    </w:p>
    <w:bookmarkEnd w:id="105"/>
    <w:bookmarkStart w:id="107" w:name="ref-degraaf2026latam"/>
    <w:p>
      <w:pPr>
        <w:pStyle w:val="Bibliography"/>
      </w:pPr>
      <w:r>
        <w:t xml:space="preserve">de Graaf, G., Buckley, F., &amp; Skotko, B. G. (2026).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06">
        <w:r>
          <w:rPr>
            <w:rStyle w:val="Hyperlink"/>
          </w:rPr>
          <w:t xml:space="preserve">https://doi.org/10.1016/j.gim.2025.101621</w:t>
        </w:r>
      </w:hyperlink>
    </w:p>
    <w:bookmarkEnd w:id="107"/>
    <w:bookmarkStart w:id="109"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108">
        <w:r>
          <w:rPr>
            <w:rStyle w:val="Hyperlink"/>
          </w:rPr>
          <w:t xml:space="preserve">https://doi.org/10.1186/s12984-025-01551-w</w:t>
        </w:r>
      </w:hyperlink>
    </w:p>
    <w:bookmarkEnd w:id="109"/>
    <w:bookmarkStart w:id="111"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10">
        <w:r>
          <w:rPr>
            <w:rStyle w:val="Hyperlink"/>
          </w:rPr>
          <w:t xml:space="preserve">https://doi.org/10.1007/s10803-010-0981-3</w:t>
        </w:r>
      </w:hyperlink>
    </w:p>
    <w:bookmarkEnd w:id="111"/>
    <w:bookmarkStart w:id="113"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12">
        <w:r>
          <w:rPr>
            <w:rStyle w:val="Hyperlink"/>
          </w:rPr>
          <w:t xml:space="preserve">https://doi.org/10.1080/09638280701610353</w:t>
        </w:r>
      </w:hyperlink>
    </w:p>
    <w:bookmarkEnd w:id="113"/>
    <w:bookmarkStart w:id="115"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14">
        <w:r>
          <w:rPr>
            <w:rStyle w:val="Hyperlink"/>
          </w:rPr>
          <w:t xml:space="preserve">https://doi.org/10.1002/ajmg.c.31439</w:t>
        </w:r>
      </w:hyperlink>
    </w:p>
    <w:bookmarkEnd w:id="115"/>
    <w:bookmarkStart w:id="117"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16">
        <w:r>
          <w:rPr>
            <w:rStyle w:val="Hyperlink"/>
          </w:rPr>
          <w:t xml:space="preserve">https://doi.org/10.1007/s40279-018-0892-6</w:t>
        </w:r>
      </w:hyperlink>
    </w:p>
    <w:bookmarkEnd w:id="117"/>
    <w:bookmarkStart w:id="119"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18">
        <w:r>
          <w:rPr>
            <w:rStyle w:val="Hyperlink"/>
          </w:rPr>
          <w:t xml:space="preserve">https://doi.org/10.3390/app14177774</w:t>
        </w:r>
      </w:hyperlink>
    </w:p>
    <w:bookmarkEnd w:id="119"/>
    <w:bookmarkStart w:id="121"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20">
        <w:r>
          <w:rPr>
            <w:rStyle w:val="Hyperlink"/>
          </w:rPr>
          <w:t xml:space="preserve">https://doi.org/10.3390/brainsci13050808</w:t>
        </w:r>
      </w:hyperlink>
    </w:p>
    <w:bookmarkEnd w:id="121"/>
    <w:bookmarkStart w:id="123"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22">
        <w:r>
          <w:rPr>
            <w:rStyle w:val="Hyperlink"/>
          </w:rPr>
          <w:t xml:space="preserve">https://www.down-syndrome.org/en-us/library/research-practice/online/2008/is-currently-known-hypotonia-motor-skill-development-physical-activity-down-syndrome/</w:t>
        </w:r>
      </w:hyperlink>
    </w:p>
    <w:bookmarkEnd w:id="123"/>
    <w:bookmarkStart w:id="125"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24">
        <w:r>
          <w:rPr>
            <w:rStyle w:val="Hyperlink"/>
          </w:rPr>
          <w:t xml:space="preserve">https://doi.org/10.1016/bs.acdb.2019.01.002</w:t>
        </w:r>
      </w:hyperlink>
    </w:p>
    <w:bookmarkEnd w:id="125"/>
    <w:bookmarkStart w:id="127"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26">
        <w:r>
          <w:rPr>
            <w:rStyle w:val="Hyperlink"/>
          </w:rPr>
          <w:t xml:space="preserve">https://doi.org/10.1016/j.jpeds.2019.05.038</w:t>
        </w:r>
      </w:hyperlink>
    </w:p>
    <w:bookmarkEnd w:id="127"/>
    <w:bookmarkStart w:id="129"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28">
        <w:r>
          <w:rPr>
            <w:rStyle w:val="Hyperlink"/>
          </w:rPr>
          <w:t xml:space="preserve">https://doi.org/10.2196/59053</w:t>
        </w:r>
      </w:hyperlink>
    </w:p>
    <w:bookmarkEnd w:id="129"/>
    <w:bookmarkStart w:id="131"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30">
        <w:r>
          <w:rPr>
            <w:rStyle w:val="Hyperlink"/>
          </w:rPr>
          <w:t xml:space="preserve">https://sdgs.un.org/2030agenda</w:t>
        </w:r>
      </w:hyperlink>
      <w:r>
        <w:t xml:space="preserve">.</w:t>
      </w:r>
    </w:p>
    <w:bookmarkEnd w:id="131"/>
    <w:bookmarkStart w:id="133"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32">
        <w:r>
          <w:rPr>
            <w:rStyle w:val="Hyperlink"/>
          </w:rPr>
          <w:t xml:space="preserve">https://doi.org/10.1109/ACCESS.2023.3239589</w:t>
        </w:r>
      </w:hyperlink>
    </w:p>
    <w:bookmarkEnd w:id="133"/>
    <w:bookmarkStart w:id="135" w:name="ref-vanderfels2015relationship"/>
    <w:p>
      <w:pPr>
        <w:pStyle w:val="Bibliography"/>
      </w:pPr>
      <w:r>
        <w:t xml:space="preserve">van der Fels, I. M. J., te Wierike, S. C. M.,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134">
        <w:r>
          <w:rPr>
            <w:rStyle w:val="Hyperlink"/>
          </w:rPr>
          <w:t xml:space="preserve">https://doi.org/10.1016/j.jsams.2014.09.007</w:t>
        </w:r>
      </w:hyperlink>
    </w:p>
    <w:bookmarkEnd w:id="135"/>
    <w:bookmarkStart w:id="137"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36">
        <w:r>
          <w:rPr>
            <w:rStyle w:val="Hyperlink"/>
          </w:rPr>
          <w:t xml:space="preserve">https://doi.org/10.3390/asi3030033</w:t>
        </w:r>
      </w:hyperlink>
    </w:p>
    <w:bookmarkEnd w:id="137"/>
    <w:bookmarkStart w:id="139"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38">
        <w:r>
          <w:rPr>
            <w:rStyle w:val="Hyperlink"/>
          </w:rPr>
          <w:t xml:space="preserve">https://doi.org/10.3104/reviews.10</w:t>
        </w:r>
      </w:hyperlink>
    </w:p>
    <w:bookmarkEnd w:id="139"/>
    <w:bookmarkEnd w:id="140"/>
    <w:bookmarkEnd w:id="141"/>
    <w:bookmarkStart w:id="145" w:name="anexo-a.-esquemático-eléctrico-completo"/>
    <w:p>
      <w:pPr>
        <w:pStyle w:val="Heading1"/>
      </w:pPr>
      <w:r>
        <w:t xml:space="preserve">Anexo A. Esquemático eléctrico completo</w:t>
      </w:r>
    </w:p>
    <w:p>
      <w:pPr>
        <w:pStyle w:val="FirstParagraph"/>
      </w:pPr>
      <w:r>
        <w:t xml:space="preserve">La Figura 8 reproduce el esquemático del sistema, organizado en cuatro bloques funcionales: sensado a 3,3 V, cómputo, actuación a 5 V y audio. La conectividad se expresa mediante etiquetas de red —dos pines con la misma etiqueta pertenecen al mismo nodo—, y el plano se genera automáticamente a partir de un guion que toma los números de pin de la configuración del firmware, de modo que el plano y el código no pueden divergir. La comprobación de reglas eléctricas de la herramienta de diseño no reporta infracciones.</w:t>
      </w:r>
    </w:p>
    <w:p>
      <w:pPr>
        <w:pStyle w:val="CaptionedFigure"/>
      </w:pPr>
      <w:r>
        <w:drawing>
          <wp:inline>
            <wp:extent cx="5334000" cy="7541486"/>
            <wp:effectExtent b="0" l="0" r="0" t="0"/>
            <wp:docPr descr="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110 Ω en serie. Bloque 4, audio: módulo DFPlayer Mini y parlante, con la línea de transmisión protegida por una resistencia de 1 kΩ. La versión vectorial acompaña al código del proyecto." title="" id="143" name="Picture"/>
            <a:graphic>
              <a:graphicData uri="http://schemas.openxmlformats.org/drawingml/2006/picture">
                <pic:pic>
                  <pic:nvPicPr>
                    <pic:cNvPr descr="../evidencia/esquematico.png" id="144" name="Picture"/>
                    <pic:cNvPicPr>
                      <a:picLocks noChangeArrowheads="1" noChangeAspect="1"/>
                    </pic:cNvPicPr>
                  </pic:nvPicPr>
                  <pic:blipFill>
                    <a:blip r:embed="rId142"/>
                    <a:stretch>
                      <a:fillRect/>
                    </a:stretch>
                  </pic:blipFill>
                  <pic:spPr bwMode="auto">
                    <a:xfrm>
                      <a:off x="0" y="0"/>
                      <a:ext cx="5334000" cy="7541486"/>
                    </a:xfrm>
                    <a:prstGeom prst="rect">
                      <a:avLst/>
                    </a:prstGeom>
                    <a:noFill/>
                    <a:ln w="9525">
                      <a:noFill/>
                      <a:headEnd/>
                      <a:tailEnd/>
                    </a:ln>
                  </pic:spPr>
                </pic:pic>
              </a:graphicData>
            </a:graphic>
          </wp:inline>
        </w:drawing>
      </w:r>
    </w:p>
    <w:p>
      <w:pPr>
        <w:pStyle w:val="ImageCaption"/>
      </w:pPr>
      <w:r>
        <w:t xml:space="preserve">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110 Ω en serie. Bloque 4, audio: módulo DFPlayer Mini y parlante, con la línea de transmisión protegida por una resistencia de 1 kΩ. La versión vectorial acompaña al código del proyecto.</w:t>
      </w:r>
    </w:p>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36" Target="media/rId36.png" /><Relationship Type="http://schemas.openxmlformats.org/officeDocument/2006/relationships/image" Id="rId142" Target="media/rId142.png" /><Relationship Type="http://schemas.openxmlformats.org/officeDocument/2006/relationships/hyperlink" Id="rId104" Target="https://doi.org/10.1002/ajmg.a.37001" TargetMode="External" /><Relationship Type="http://schemas.openxmlformats.org/officeDocument/2006/relationships/hyperlink" Id="rId114" Target="https://doi.org/10.1002/ajmg.c.31439" TargetMode="External" /><Relationship Type="http://schemas.openxmlformats.org/officeDocument/2006/relationships/hyperlink" Id="rId110" Target="https://doi.org/10.1007/s10803-010-0981-3" TargetMode="External" /><Relationship Type="http://schemas.openxmlformats.org/officeDocument/2006/relationships/hyperlink" Id="rId116" Target="https://doi.org/10.1007/s40279-018-0892-6" TargetMode="External" /><Relationship Type="http://schemas.openxmlformats.org/officeDocument/2006/relationships/hyperlink" Id="rId124" Target="https://doi.org/10.1016/bs.acdb.2019.01.002" TargetMode="External" /><Relationship Type="http://schemas.openxmlformats.org/officeDocument/2006/relationships/hyperlink" Id="rId106" Target="https://doi.org/10.1016/j.gim.2025.101621" TargetMode="External" /><Relationship Type="http://schemas.openxmlformats.org/officeDocument/2006/relationships/hyperlink" Id="rId89" Target="https://doi.org/10.1016/j.ijcci.2021.100376" TargetMode="External" /><Relationship Type="http://schemas.openxmlformats.org/officeDocument/2006/relationships/hyperlink" Id="rId92" Target="https://doi.org/10.1016/j.jbmt.2023.05.009" TargetMode="External" /><Relationship Type="http://schemas.openxmlformats.org/officeDocument/2006/relationships/hyperlink" Id="rId126" Target="https://doi.org/10.1016/j.jpeds.2019.05.038" TargetMode="External" /><Relationship Type="http://schemas.openxmlformats.org/officeDocument/2006/relationships/hyperlink" Id="rId134" Target="https://doi.org/10.1016/j.jsams.2014.09.007" TargetMode="External" /><Relationship Type="http://schemas.openxmlformats.org/officeDocument/2006/relationships/hyperlink" Id="rId84" Target="https://doi.org/10.1038/s41572-019-0143-7" TargetMode="External" /><Relationship Type="http://schemas.openxmlformats.org/officeDocument/2006/relationships/hyperlink" Id="rId112" Target="https://doi.org/10.1080/09638280701610353" TargetMode="External" /><Relationship Type="http://schemas.openxmlformats.org/officeDocument/2006/relationships/hyperlink" Id="rId96" Target="https://doi.org/10.1093/ptj/pzx107" TargetMode="External" /><Relationship Type="http://schemas.openxmlformats.org/officeDocument/2006/relationships/hyperlink" Id="rId132" Target="https://doi.org/10.1109/ACCESS.2023.3239589" TargetMode="External" /><Relationship Type="http://schemas.openxmlformats.org/officeDocument/2006/relationships/hyperlink" Id="rId100" Target="https://doi.org/10.1109/IE.2015.14" TargetMode="External" /><Relationship Type="http://schemas.openxmlformats.org/officeDocument/2006/relationships/hyperlink" Id="rId94"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2" Target="https://doi.org/10.2196/25771" TargetMode="External" /><Relationship Type="http://schemas.openxmlformats.org/officeDocument/2006/relationships/hyperlink" Id="rId128" Target="https://doi.org/10.2196/59053" TargetMode="External" /><Relationship Type="http://schemas.openxmlformats.org/officeDocument/2006/relationships/hyperlink" Id="rId138" Target="https://doi.org/10.3104/reviews.10" TargetMode="External" /><Relationship Type="http://schemas.openxmlformats.org/officeDocument/2006/relationships/hyperlink" Id="rId118" Target="https://doi.org/10.3390/app14177774" TargetMode="External" /><Relationship Type="http://schemas.openxmlformats.org/officeDocument/2006/relationships/hyperlink" Id="rId136" Target="https://doi.org/10.3390/asi3030033" TargetMode="External" /><Relationship Type="http://schemas.openxmlformats.org/officeDocument/2006/relationships/hyperlink" Id="rId120" Target="https://doi.org/10.3390/brainsci13050808" TargetMode="External" /><Relationship Type="http://schemas.openxmlformats.org/officeDocument/2006/relationships/hyperlink" Id="rId87" Target="https://doi.org/10.5944/ap.11.1.13789" TargetMode="External" /><Relationship Type="http://schemas.openxmlformats.org/officeDocument/2006/relationships/hyperlink" Id="rId98" Target="https://doi.org/10.6180/jase.202112_24(6).0007" TargetMode="External" /><Relationship Type="http://schemas.openxmlformats.org/officeDocument/2006/relationships/hyperlink" Id="rId130" Target="https://sdgs.un.org/2030agenda" TargetMode="External" /><Relationship Type="http://schemas.openxmlformats.org/officeDocument/2006/relationships/hyperlink" Id="rId122" Target="https://www.down-syndrome.org/en-us/library/research-practice/online/2008/is-currently-known-hypotonia-motor-skill-development-physical-activity-down-syndrome/"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ajmg.a.37001" TargetMode="External" /><Relationship Type="http://schemas.openxmlformats.org/officeDocument/2006/relationships/hyperlink" Id="rId114" Target="https://doi.org/10.1002/ajmg.c.31439" TargetMode="External" /><Relationship Type="http://schemas.openxmlformats.org/officeDocument/2006/relationships/hyperlink" Id="rId110" Target="https://doi.org/10.1007/s10803-010-0981-3" TargetMode="External" /><Relationship Type="http://schemas.openxmlformats.org/officeDocument/2006/relationships/hyperlink" Id="rId116" Target="https://doi.org/10.1007/s40279-018-0892-6" TargetMode="External" /><Relationship Type="http://schemas.openxmlformats.org/officeDocument/2006/relationships/hyperlink" Id="rId124" Target="https://doi.org/10.1016/bs.acdb.2019.01.002" TargetMode="External" /><Relationship Type="http://schemas.openxmlformats.org/officeDocument/2006/relationships/hyperlink" Id="rId106" Target="https://doi.org/10.1016/j.gim.2025.101621" TargetMode="External" /><Relationship Type="http://schemas.openxmlformats.org/officeDocument/2006/relationships/hyperlink" Id="rId89" Target="https://doi.org/10.1016/j.ijcci.2021.100376" TargetMode="External" /><Relationship Type="http://schemas.openxmlformats.org/officeDocument/2006/relationships/hyperlink" Id="rId92" Target="https://doi.org/10.1016/j.jbmt.2023.05.009" TargetMode="External" /><Relationship Type="http://schemas.openxmlformats.org/officeDocument/2006/relationships/hyperlink" Id="rId126" Target="https://doi.org/10.1016/j.jpeds.2019.05.038" TargetMode="External" /><Relationship Type="http://schemas.openxmlformats.org/officeDocument/2006/relationships/hyperlink" Id="rId134" Target="https://doi.org/10.1016/j.jsams.2014.09.007" TargetMode="External" /><Relationship Type="http://schemas.openxmlformats.org/officeDocument/2006/relationships/hyperlink" Id="rId84" Target="https://doi.org/10.1038/s41572-019-0143-7" TargetMode="External" /><Relationship Type="http://schemas.openxmlformats.org/officeDocument/2006/relationships/hyperlink" Id="rId112" Target="https://doi.org/10.1080/09638280701610353" TargetMode="External" /><Relationship Type="http://schemas.openxmlformats.org/officeDocument/2006/relationships/hyperlink" Id="rId96" Target="https://doi.org/10.1093/ptj/pzx107" TargetMode="External" /><Relationship Type="http://schemas.openxmlformats.org/officeDocument/2006/relationships/hyperlink" Id="rId132" Target="https://doi.org/10.1109/ACCESS.2023.3239589" TargetMode="External" /><Relationship Type="http://schemas.openxmlformats.org/officeDocument/2006/relationships/hyperlink" Id="rId100" Target="https://doi.org/10.1109/IE.2015.14" TargetMode="External" /><Relationship Type="http://schemas.openxmlformats.org/officeDocument/2006/relationships/hyperlink" Id="rId94"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2" Target="https://doi.org/10.2196/25771" TargetMode="External" /><Relationship Type="http://schemas.openxmlformats.org/officeDocument/2006/relationships/hyperlink" Id="rId128" Target="https://doi.org/10.2196/59053" TargetMode="External" /><Relationship Type="http://schemas.openxmlformats.org/officeDocument/2006/relationships/hyperlink" Id="rId138" Target="https://doi.org/10.3104/reviews.10" TargetMode="External" /><Relationship Type="http://schemas.openxmlformats.org/officeDocument/2006/relationships/hyperlink" Id="rId118" Target="https://doi.org/10.3390/app14177774" TargetMode="External" /><Relationship Type="http://schemas.openxmlformats.org/officeDocument/2006/relationships/hyperlink" Id="rId136" Target="https://doi.org/10.3390/asi3030033" TargetMode="External" /><Relationship Type="http://schemas.openxmlformats.org/officeDocument/2006/relationships/hyperlink" Id="rId120" Target="https://doi.org/10.3390/brainsci13050808" TargetMode="External" /><Relationship Type="http://schemas.openxmlformats.org/officeDocument/2006/relationships/hyperlink" Id="rId87" Target="https://doi.org/10.5944/ap.11.1.13789" TargetMode="External" /><Relationship Type="http://schemas.openxmlformats.org/officeDocument/2006/relationships/hyperlink" Id="rId98" Target="https://doi.org/10.6180/jase.202112_24(6).0007" TargetMode="External" /><Relationship Type="http://schemas.openxmlformats.org/officeDocument/2006/relationships/hyperlink" Id="rId130" Target="https://sdgs.un.org/2030agenda" TargetMode="External" /><Relationship Type="http://schemas.openxmlformats.org/officeDocument/2006/relationships/hyperlink" Id="rId122" Target="https://www.down-syndrome.org/en-us/library/research-practice/online/2008/is-currently-known-hypotonia-motor-skill-development-physical-activity-down-synd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2026-07-11T19:04:44Z</dcterms:created>
  <dcterms:modified xsi:type="dcterms:W3CDTF">2026-07-11T19:04:44Z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