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5.png" ContentType="image/png"/>
  <Override PartName="/word/media/rId59.png" ContentType="image/pn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ocho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y costo computacional del núcleo.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eight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and computational cost of the core.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(Graaf et al., 2015)</w:t>
      </w:r>
      <w:r>
        <w:t xml:space="preserve">, y estudios recientes han modelado la población afectada en América Latina y el Caribe, región donde se ubica este trabajo</w:t>
      </w:r>
      <w:r>
        <w:t xml:space="preserve"> </w:t>
      </w:r>
      <w:r>
        <w:t xml:space="preserve">(Graaf et al., 2025)</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w:t>
      </w:r>
      <w:r>
        <w:t xml:space="preserve"> </w:t>
      </w:r>
      <w:r>
        <w:rPr>
          <w:bCs/>
          <w:b/>
        </w:rPr>
        <w:t xml:space="preserve">¿cuáles son los elementos clave en el desarrollo de un tapete interactivo con luces y sonidos que favorezcan su efectividad como herramienta de apoyo terapéutico para niños con síndrome de Down?</w:t>
      </w:r>
      <w:r>
        <w:t xml:space="preserve"> </w:t>
      </w:r>
      <w:r>
        <w:t xml:space="preserve">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obteniendo una verificación —y no una mera ilustración— de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Ahora bien, la adaptación automática presenta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y deliberada, que se detalla en la sección de metodología: el algoritmo</w:t>
      </w:r>
      <w:r>
        <w:t xml:space="preserve"> </w:t>
      </w:r>
      <w:r>
        <w:rPr>
          <w:bCs/>
          <w:b/>
        </w:rPr>
        <w:t xml:space="preserve">recomienda</w:t>
      </w:r>
      <w:r>
        <w:t xml:space="preserve">, el terapeuta</w:t>
      </w:r>
      <w:r>
        <w:t xml:space="preserve"> </w:t>
      </w:r>
      <w:r>
        <w:rPr>
          <w:bCs/>
          <w:b/>
        </w:rPr>
        <w:t xml:space="preserve">decide</w:t>
      </w:r>
      <w:r>
        <w:t xml:space="preserve">.</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w:t>
      </w:r>
      <w:r>
        <w:t xml:space="preserve"> </w:t>
      </w:r>
      <w:r>
        <w:rPr>
          <w:bCs/>
          <w:b/>
        </w:rPr>
        <w:t xml:space="preserve">antes</w:t>
      </w:r>
      <w:r>
        <w:t xml:space="preserve"> </w:t>
      </w:r>
      <w:r>
        <w:t xml:space="preserve">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47"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6"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w:t>
      </w:r>
      <w:r>
        <w:t xml:space="preserve"> </w:t>
      </w:r>
      <w:r>
        <w:rPr>
          <w:bCs/>
          <w:b/>
        </w:rPr>
        <w:t xml:space="preserve">tapete físico</w:t>
      </w:r>
      <w:r>
        <w:t xml:space="preserve"> </w:t>
      </w:r>
      <w:r>
        <w:t xml:space="preserve">de seis casillas dispuestas en dos filas por tres columnas, cada una equipada con un sensor de presión y un grupo de tres diodos emisores de luz. Un</w:t>
      </w:r>
      <w:r>
        <w:t xml:space="preserve"> </w:t>
      </w:r>
      <w:r>
        <w:rPr>
          <w:bCs/>
          <w:b/>
        </w:rPr>
        <w:t xml:space="preserve">microcontrolador ESP32</w:t>
      </w:r>
      <w:r>
        <w:t xml:space="preserve"> </w:t>
      </w:r>
      <w:r>
        <w:t xml:space="preserve">que adquiere las pisadas, gobierna la iluminación y el audio, y ejecuta la lógica de los tres modos de juego. Y un</w:t>
      </w:r>
      <w:r>
        <w:t xml:space="preserve"> </w:t>
      </w:r>
      <w:r>
        <w:rPr>
          <w:bCs/>
          <w:b/>
        </w:rPr>
        <w:t xml:space="preserve">programa de monitoreo en PC</w:t>
      </w:r>
      <w:r>
        <w:t xml:space="preserve"> </w:t>
      </w:r>
      <w:r>
        <w:t xml:space="preserve">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Esa frontera es el elemento que hace posible toda la estrategia de validación: cualquier entidad que hable el protocolo puede ocupar el lugar del tapete.</w:t>
      </w:r>
    </w:p>
    <w:bookmarkEnd w:id="36"/>
    <w:bookmarkStart w:id="40"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w:t>
      </w:r>
      <w:r>
        <w:t xml:space="preserve"> </w:t>
      </w:r>
      <w:r>
        <w:rPr>
          <w:bCs/>
          <w:b/>
        </w:rPr>
        <w:t xml:space="preserve">iluminación blanca regulada por PWM en lugar de tiras de LED RGB direccionables</w:t>
      </w:r>
      <w:r>
        <w:t xml:space="preserve"> </w:t>
      </w:r>
      <w:r>
        <w:t xml:space="preserve">merece justificación explícita, pues se aparta de la propuesta inicial del proyecto.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Conviene subrayar que esta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 Figura 1 muestra el inventario de componentes y el prototipo ensamblado.</w:t>
      </w:r>
    </w:p>
    <w:p>
      <w:pPr>
        <w:pStyle w:val="CaptionedFigure"/>
      </w:pPr>
      <w:r>
        <w:drawing>
          <wp:inline>
            <wp:extent cx="3733800" cy="3227403"/>
            <wp:effectExtent b="0" l="0" r="0" t="0"/>
            <wp:docPr descr="Inventario de componentes del prototipo (izquierda) y caja ensamblada con la tapa reforzada (derecha). El circuito se aloja en una caja transparente de 40 × 28 × 13 cm y se alimenta exclusivamente por USB." title="" id="38" name="Picture"/>
            <a:graphic>
              <a:graphicData uri="http://schemas.openxmlformats.org/drawingml/2006/picture">
                <pic:pic>
                  <pic:nvPicPr>
                    <pic:cNvPr descr="../evidencia/caja/materiales_completos.jpeg" id="39" name="Picture"/>
                    <pic:cNvPicPr>
                      <a:picLocks noChangeArrowheads="1" noChangeAspect="1"/>
                    </pic:cNvPicPr>
                  </pic:nvPicPr>
                  <pic:blipFill>
                    <a:blip r:embed="rId37"/>
                    <a:stretch>
                      <a:fillRect/>
                    </a:stretch>
                  </pic:blipFill>
                  <pic:spPr bwMode="auto">
                    <a:xfrm>
                      <a:off x="0" y="0"/>
                      <a:ext cx="3733800" cy="3227403"/>
                    </a:xfrm>
                    <a:prstGeom prst="rect">
                      <a:avLst/>
                    </a:prstGeom>
                    <a:noFill/>
                    <a:ln w="9525">
                      <a:noFill/>
                      <a:headEnd/>
                      <a:tailEnd/>
                    </a:ln>
                  </pic:spPr>
                </pic:pic>
              </a:graphicData>
            </a:graphic>
          </wp:inline>
        </w:drawing>
      </w:r>
    </w:p>
    <w:p>
      <w:pPr>
        <w:pStyle w:val="ImageCaption"/>
      </w:pPr>
      <w:r>
        <w:t xml:space="preserve">Inventario de componentes del prototipo (izquierda) y caja ensamblada con la tapa reforzada (derecha). El circuito se aloja en una caja transparente de 40 × 28 × 13 cm y se alimenta exclusivamente por USB.</w:t>
      </w:r>
    </w:p>
    <w:bookmarkEnd w:id="40"/>
    <w:bookmarkStart w:id="41"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y conviene enunciarla sin ambigüedad:</w:t>
      </w:r>
      <w:r>
        <w:t xml:space="preserve"> </w:t>
      </w:r>
      <w:r>
        <w:rPr>
          <w:bCs/>
          <w:b/>
        </w:rPr>
        <w:t xml:space="preserve">el simulador no reimplementa el comportamiento del tapete; ejecuta exactamente el mismo código que el tapete</w:t>
      </w:r>
      <w:r>
        <w:t xml:space="preserve">, con el reloj inyectado desde el exterior y las salidas físicas inertes. No existen dos implementaciones que puedan divergir.</w:t>
      </w:r>
    </w:p>
    <w:p>
      <w:pPr>
        <w:pStyle w:val="BodyText"/>
      </w:pPr>
      <w:r>
        <w:t xml:space="preserve">El motor es, además,</w:t>
      </w:r>
      <w:r>
        <w:t xml:space="preserve"> </w:t>
      </w:r>
      <w:r>
        <w:rPr>
          <w:bCs/>
          <w:b/>
        </w:rPr>
        <w:t xml:space="preserve">no bloqueante</w:t>
      </w:r>
      <w:r>
        <w:t xml:space="preserv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1"/>
    <w:bookmarkStart w:id="42"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aparentemente menor, es la que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2"/>
    <w:bookmarkStart w:id="43"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3"/>
    <w:bookmarkStart w:id="44"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w:t>
      </w:r>
      <w:r>
        <w:t xml:space="preserve"> </w:t>
      </w:r>
      <w:r>
        <w:rPr>
          <w:bCs/>
          <w:b/>
        </w:rPr>
        <w:t xml:space="preserve">subir</w:t>
      </w:r>
      <w:r>
        <w:t xml:space="preserve"> </w:t>
      </w:r>
      <w:r>
        <w:t xml:space="preserve">un nivel; si es igual o inferior al 25 %, recomienda</w:t>
      </w:r>
      <w:r>
        <w:t xml:space="preserve"> </w:t>
      </w:r>
      <w:r>
        <w:rPr>
          <w:bCs/>
          <w:b/>
        </w:rPr>
        <w:t xml:space="preserve">bajar</w:t>
      </w:r>
      <w:r>
        <w:t xml:space="preserve"> </w:t>
      </w:r>
      <w:r>
        <w:t xml:space="preserve">uno; en la banda intermedia recomienda</w:t>
      </w:r>
      <w:r>
        <w:t xml:space="preserve"> </w:t>
      </w:r>
      <w:r>
        <w:rPr>
          <w:bCs/>
          <w:b/>
        </w:rPr>
        <w:t xml:space="preserve">mantener</w:t>
      </w:r>
      <w:r>
        <w:t xml:space="preserve">.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que conviene destacar es que</w:t>
      </w:r>
      <w:r>
        <w:t xml:space="preserve"> </w:t>
      </w:r>
      <w:r>
        <w:rPr>
          <w:bCs/>
          <w:b/>
        </w:rPr>
        <w:t xml:space="preserve">el sistema nunca cambia el nivel por sí mismo</w:t>
      </w:r>
      <w:r>
        <w:t xml:space="preserve">.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—fatiga, frustración, distracción— que ninguna tasa de acierto captura. El algoritmo aporta objetividad; el terapeuta, criterio.</w:t>
      </w:r>
    </w:p>
    <w:bookmarkEnd w:id="44"/>
    <w:bookmarkStart w:id="45"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45"/>
    <w:bookmarkStart w:id="46"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bCs/>
          <w:b/>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w:t>
      </w:r>
      <w:r>
        <w:t xml:space="preserve"> </w:t>
      </w:r>
      <w:r>
        <w:rPr>
          <w:bCs/>
          <w:b/>
        </w:rPr>
        <w:t xml:space="preserve">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Sobre el prototipo físico se contempla la medición de la latencia del lazo pisada→retroalimentación y de la fiabilidad de detección de los sensores, incluyendo la calibración de su umbral de activación, capturadas a través del programa de monitoreo.</w:t>
      </w:r>
    </w:p>
    <w:p>
      <w:pPr>
        <w:pStyle w:val="BodyText"/>
      </w:pPr>
      <w:r>
        <w:t xml:space="preserve">Las evidencias se numeran de E1 a E10. Las siete primeras se obtienen por simulación determinista de la lógica; la octava, por medición sobre la implementación compilada —banco de software, sin el prototipo físico—. Las ocho se reportan en la sección de resultados. Las dos últimas dependen del prototipo instrumentado y se declaran pendientes.</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Latencia del lazo físico pisada→retroalimentación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E10</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bCs/>
          <w:b/>
        </w:rPr>
        <w:t xml:space="preserve">no se aborda en este trabajo</w:t>
      </w:r>
      <w:r>
        <w:t xml:space="preserve"> </w:t>
      </w:r>
      <w:r>
        <w:t xml:space="preserve">y se plantea como trabajo futuro.</w:t>
      </w:r>
    </w:p>
    <w:bookmarkEnd w:id="46"/>
    <w:bookmarkEnd w:id="47"/>
    <w:bookmarkStart w:id="67" w:name="resultados"/>
    <w:p>
      <w:pPr>
        <w:pStyle w:val="Heading1"/>
      </w:pPr>
      <w:r>
        <w:rPr>
          <w:rStyle w:val="SectionNumber"/>
        </w:rPr>
        <w:t xml:space="preserve">5</w:t>
      </w:r>
      <w:r>
        <w:tab/>
      </w:r>
      <w:r>
        <w:t xml:space="preserve">Resultados</w:t>
      </w:r>
    </w:p>
    <w:p>
      <w:pPr>
        <w:pStyle w:val="FirstParagraph"/>
      </w:pPr>
      <w:r>
        <w:t xml:space="preserve">Todas las cifras de esta sección se generan de forma reproducible mediante un único guion de experimentos que ejecuta el núcleo de software y vuelca sus resultados; ninguna se transcribió a mano. Salvo indicación contraria, la semilla es 777.</w:t>
      </w:r>
    </w:p>
    <w:p>
      <w:pPr>
        <w:pStyle w:val="BlockText"/>
      </w:pPr>
      <w:r>
        <w:rPr>
          <w:bCs/>
          <w:b/>
        </w:rPr>
        <w:t xml:space="preserve">Advertencia sobre el alcance.</w:t>
      </w:r>
      <w:r>
        <w:t xml:space="preserve"> </w:t>
      </w:r>
      <w:r>
        <w:t xml:space="preserve">Las figuras y tablas que siguen describen el comportamiento del</w:t>
      </w:r>
      <w:r>
        <w:t xml:space="preserve"> </w:t>
      </w:r>
      <w:r>
        <w:rPr>
          <w:bCs/>
          <w:b/>
        </w:rPr>
        <w:t xml:space="preserve">sistema</w:t>
      </w:r>
      <w:r>
        <w:t xml:space="preserve">, obtenido por simulación determinista de su lógica y por medición sobre su implementación.</w:t>
      </w:r>
      <w:r>
        <w:t xml:space="preserve"> </w:t>
      </w:r>
      <w:r>
        <w:rPr>
          <w:bCs/>
          <w:b/>
        </w:rPr>
        <w:t xml:space="preserve">No son datos obtenidos con pacientes</w:t>
      </w:r>
      <w:r>
        <w:t xml:space="preserve"> </w:t>
      </w:r>
      <w:r>
        <w:t xml:space="preserve">y no autorizan ninguna afirmación sobre eficacia terapéutica.</w:t>
      </w:r>
    </w:p>
    <w:bookmarkStart w:id="48"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Este resultado, aparentemente modesto, es la condición de posibilidad de todos los demás: si el sistema no fuese reproducible, ninguna cifra de las siguientes secciones podría verificarse de forma independiente. El determinismo convierte cada figura de este artículo en un experimento repetible por cualquier lector que disponga del código y de la semilla.</w:t>
      </w:r>
    </w:p>
    <w:bookmarkEnd w:id="48"/>
    <w:bookmarkStart w:id="49"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w:t>
      </w:r>
      <w:r>
        <w:t xml:space="preserve"> </w:t>
      </w:r>
      <w:r>
        <w:rPr>
          <w:bCs/>
          <w:b/>
        </w:rPr>
        <w:t xml:space="preserve">estricto</w:t>
      </w:r>
      <w:r>
        <w:t xml:space="preserve">: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49"/>
    <w:bookmarkStart w:id="53"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w:t>
      </w:r>
      <w:r>
        <w:t xml:space="preserve"> </w:t>
      </w:r>
      <w:r>
        <w:rPr>
          <w:bCs/>
          <w:b/>
        </w:rPr>
        <w:t xml:space="preserve">bajar</w:t>
      </w:r>
      <w:r>
        <w:t xml:space="preserve"> </w:t>
      </w:r>
      <w:r>
        <w:t xml:space="preserve">el nivel ante habilidades bajas y</w:t>
      </w:r>
      <w:r>
        <w:t xml:space="preserve"> </w:t>
      </w:r>
      <w:r>
        <w:rPr>
          <w:bCs/>
          <w:b/>
        </w:rPr>
        <w:t xml:space="preserve">subir</w:t>
      </w:r>
      <w:r>
        <w:t xml:space="preserve"> </w:t>
      </w:r>
      <w:r>
        <w:t xml:space="preserve">ante habilidades altas.</w:t>
      </w:r>
    </w:p>
    <w:p>
      <w:pPr>
        <w:pStyle w:val="BodyText"/>
      </w:pPr>
      <w:r>
        <w:t xml:space="preserve">La Figura 2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Conviene evitar aquí una lectura errónea de la figura. El eje vertical representa la tasa de acierto de la</w:t>
      </w:r>
      <w:r>
        <w:t xml:space="preserve"> </w:t>
      </w:r>
      <w:r>
        <w:rPr>
          <w:bCs/>
          <w:b/>
        </w:rPr>
        <w:t xml:space="preserve">sesión completa</w:t>
      </w:r>
      <w:r>
        <w:t xml:space="preserve">, mientras que la dirección recomendada se calcula sobre la</w:t>
      </w:r>
      <w:r>
        <w:t xml:space="preserve"> </w:t>
      </w:r>
      <w:r>
        <w:rPr>
          <w:bCs/>
          <w:b/>
        </w:rPr>
        <w:t xml:space="preserve">ventana de las cuatro últimas rondas</w:t>
      </w:r>
      <w:r>
        <w:t xml:space="preserve">. Ambas magnitudes no tienen por qué coincidir: con una habilidad del 40 %, la sesión cierra con un 62,5 % de aciertos y, sin embargo, el sistema recomienda subir, porque las cuatro rondas finales alcanzaron el umbral del 75 %. La figura describe el desempeño global; la recomendación responde al desempeño reciente, que es justamente lo que interesa a un mecanismo adaptativo.</w:t>
      </w:r>
    </w:p>
    <w:p>
      <w:pPr>
        <w:pStyle w:val="CaptionedFigure"/>
      </w:pPr>
      <w:r>
        <w:drawing>
          <wp:inline>
            <wp:extent cx="5334000" cy="3556000"/>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1" name="Picture"/>
            <a:graphic>
              <a:graphicData uri="http://schemas.openxmlformats.org/drawingml/2006/picture">
                <pic:pic>
                  <pic:nvPicPr>
                    <pic:cNvPr descr="../evidencia/E2_adaptac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Esta observación, lejos de ser un defecto, describe con precisión el papel de cada modo: el de memoria es el más exigente porque acumula la demanda a lo largo de una secuencia. La sección E6 convierte esta observación cualitativa en una predicción cuantitativa y la somete a contraste.</w:t>
      </w:r>
    </w:p>
    <w:bookmarkEnd w:id="53"/>
    <w:bookmarkStart w:id="54"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y revelador.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como costo de intentos, no como duración.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54"/>
    <w:bookmarkStart w:id="58"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3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56" name="Picture"/>
            <a:graphic>
              <a:graphicData uri="http://schemas.openxmlformats.org/drawingml/2006/picture">
                <pic:pic>
                  <pic:nvPicPr>
                    <pic:cNvPr descr="../evidencia/E5_convergencia_modos.png" id="57" name="Picture"/>
                    <pic:cNvPicPr>
                      <a:picLocks noChangeArrowheads="1" noChangeAspect="1"/>
                    </pic:cNvPicPr>
                  </pic:nvPicPr>
                  <pic:blipFill>
                    <a:blip r:embed="rId55"/>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1→2→3→4 en tres sesiones y se estabiliza en el máximo, mientras que el jugador con dificultad desciende 4→3→2→1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Conviene recordar la salvedad de diseño: esta trayectoria se obtiene</w:t>
      </w:r>
      <w:r>
        <w:t xml:space="preserve"> </w:t>
      </w:r>
      <w:r>
        <w:rPr>
          <w:bCs/>
          <w:b/>
        </w:rPr>
        <w:t xml:space="preserve">aplicando</w:t>
      </w:r>
      <w:r>
        <w:t xml:space="preserve"> </w:t>
      </w:r>
      <w:r>
        <w:t xml:space="preserve">cada recomendación, cosa que en operación real hace el terapeuta, no el sistema. La figura describe, pues, el comportamiento del recomendador si sus sugerencias se aceptasen siempre, que es el escenario límite útil para caracterizarlo.</w:t>
      </w:r>
    </w:p>
    <w:bookmarkEnd w:id="58"/>
    <w:bookmarkStart w:id="62"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w:t>
      </w:r>
      <w:r>
        <w:t xml:space="preserve"> </w:t>
      </w:r>
      <w:r>
        <w:rPr>
          <w:iCs/>
          <w:i/>
        </w:rPr>
        <w:t xml:space="preserve">como cabría esperar</w:t>
      </w:r>
      <w:r>
        <w:t xml:space="preserve">. Esta sección da un paso más y verifica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4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0" name="Picture"/>
            <a:graphic>
              <a:graphicData uri="http://schemas.openxmlformats.org/drawingml/2006/picture">
                <pic:pic>
                  <pic:nvPicPr>
                    <pic:cNvPr descr="../evidencia/E6_montecarlo.png" id="61" name="Picture"/>
                    <pic:cNvPicPr>
                      <a:picLocks noChangeArrowheads="1" noChangeAspect="1"/>
                    </pic:cNvPicPr>
                  </pic:nvPicPr>
                  <pic:blipFill>
                    <a:blip r:embed="rId59"/>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w:t>
      </w:r>
      <w:r>
        <w:t xml:space="preserve"> </w:t>
      </w:r>
      <w:r>
        <w:rPr>
          <w:bCs/>
          <w:b/>
        </w:rPr>
        <w:t xml:space="preserve">once puntos</w:t>
      </w:r>
      <w:r>
        <w:t xml:space="preserve"> </w:t>
      </w:r>
      <w:r>
        <w:t xml:space="preserve">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significado de este resultado merece precisarse. No demuestra que el sistema sea terapéuticamente eficaz, ni que la dificultad esté bien calibrada para un niño real. Demuestra algo más modesto y, para un dispositivo destinado a uso clínico, más fundamental: que el comportamiento observable del motor coincide con el modelo formal de su regla de dificultad. Es la diferencia entre afirmar que un mecanismo</w:t>
      </w:r>
      <w:r>
        <w:t xml:space="preserve"> </w:t>
      </w:r>
      <w:r>
        <w:rPr>
          <w:iCs/>
          <w:i/>
        </w:rPr>
        <w:t xml:space="preserve">parece</w:t>
      </w:r>
      <w:r>
        <w:t xml:space="preserve"> </w:t>
      </w:r>
      <w:r>
        <w:t xml:space="preserve">funcionar y verificar que hace lo que su especificación dice.</w:t>
      </w:r>
    </w:p>
    <w:bookmarkEnd w:id="62"/>
    <w:bookmarkStart w:id="63"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w:t>
      </w:r>
      <w:r>
        <w:t xml:space="preserve"> </w:t>
      </w:r>
      <w:r>
        <w:rPr>
          <w:bCs/>
          <w:b/>
        </w:rPr>
        <w:t xml:space="preserve">40 000 líneas</w:t>
      </w:r>
      <w:r>
        <w:t xml:space="preserve"> </w:t>
      </w:r>
      <w:r>
        <w:t xml:space="preserve">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w:t>
      </w:r>
      <w:r>
        <w:t xml:space="preserve"> </w:t>
      </w:r>
      <w:r>
        <w:rPr>
          <w:bCs/>
          <w:b/>
        </w:rPr>
        <w:t xml:space="preserve">18 000 líneas</w:t>
      </w:r>
      <w:r>
        <w:t xml:space="preserve"> </w:t>
      </w:r>
      <w:r>
        <w:t xml:space="preserve">basura reproducibles, y la interfaz gráfica se sometió a un generador de eventos aleatorios que ejecutó</w:t>
      </w:r>
      <w:r>
        <w:t xml:space="preserve"> </w:t>
      </w:r>
      <w:r>
        <w:rPr>
          <w:bCs/>
          <w:b/>
        </w:rPr>
        <w:t xml:space="preserve">15 000 acciones</w:t>
      </w:r>
      <w:r>
        <w:t xml:space="preserve"> </w:t>
      </w:r>
      <w:r>
        <w:t xml:space="preserve">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hoy 52 casos con 2174 aserciones en C++ y 135 pruebas en Python.</w:t>
      </w:r>
    </w:p>
    <w:bookmarkEnd w:id="63"/>
    <w:bookmarkStart w:id="64"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Un ciclo de avance temporal sin transiciones cuesta</w:t>
      </w:r>
      <w:r>
        <w:t xml:space="preserve"> </w:t>
      </w:r>
      <w:r>
        <w:rPr>
          <w:bCs/>
          <w:b/>
        </w:rPr>
        <w:t xml:space="preserve">6,4 ns</w:t>
      </w:r>
      <w:r>
        <w:t xml:space="preserve">. Una pisada que sí produce eventos —encendido o apagado de casilla, sonido, puntuación y, cuando corresponde, recomendación— cuesta</w:t>
      </w:r>
      <w:r>
        <w:t xml:space="preserve"> </w:t>
      </w:r>
      <w:r>
        <w:rPr>
          <w:bCs/>
          <w:b/>
        </w:rPr>
        <w:t xml:space="preserve">481,8 ns</w:t>
      </w:r>
      <w:r>
        <w:t xml:space="preserve">, promediada sobre 240 000 pisadas efectivas. Una sesión completa del modo de velocidad en nivel 4, con sus doce rondas, se resuelve en</w:t>
      </w:r>
      <w:r>
        <w:t xml:space="preserve"> </w:t>
      </w:r>
      <w:r>
        <w:rPr>
          <w:bCs/>
          <w:b/>
        </w:rPr>
        <w:t xml:space="preserve">5,78 µs</w:t>
      </w:r>
      <w:r>
        <w:t xml:space="preserve">.</w:t>
      </w:r>
    </w:p>
    <w:p>
      <w:pPr>
        <w:pStyle w:val="BodyText"/>
      </w:pPr>
      <w:r>
        <w:t xml:space="preserve">Estas cifras deben leerse con cuidado. Corresponden a un procesador de PC, no al microcontrolador, y</w:t>
      </w:r>
      <w:r>
        <w:t xml:space="preserve"> </w:t>
      </w:r>
      <w:r>
        <w:rPr>
          <w:bCs/>
          <w:b/>
        </w:rPr>
        <w:t xml:space="preserve">no constituyen la latencia del lazo de interacción física</w:t>
      </w:r>
      <w:r>
        <w:t xml:space="preserve">, que incluye el tiempo de conversión analógico-digital, el filtrado de la pisada y la conmutación de los diodos, y que solo puede medirse sobre el prototipo instrumentado (evidencia E9, pendiente). Lo que sí establecen es que el costo de la lógica es más de seis órdenes de magnitud inferior a la escala temporal del juego —cuya ventana de reacción más exigente es de 1000 ms, frente a los 481,8 ns que cuesta procesar una pisada— y que, por tanto, el núcleo no puede constituir el cuello de botella del lazo de interacción.</w:t>
      </w:r>
    </w:p>
    <w:p>
      <w:pPr>
        <w:pStyle w:val="BodyText"/>
      </w:pPr>
      <w:r>
        <w:t xml:space="preserve">Respecto a la huella en el dispositivo, la compilación del firmware para el ESP32 ocupa</w:t>
      </w:r>
      <w:r>
        <w:t xml:space="preserve"> </w:t>
      </w:r>
      <w:r>
        <w:rPr>
          <w:bCs/>
          <w:b/>
        </w:rPr>
        <w:t xml:space="preserve">60,2 %</w:t>
      </w:r>
      <w:r>
        <w:t xml:space="preserve"> </w:t>
      </w:r>
      <w:r>
        <w:t xml:space="preserve">de la memoria de programa (788 501 de 1 310 720 bytes) y</w:t>
      </w:r>
      <w:r>
        <w:t xml:space="preserve"> </w:t>
      </w:r>
      <w:r>
        <w:rPr>
          <w:bCs/>
          <w:b/>
        </w:rPr>
        <w:t xml:space="preserve">13,8 %</w:t>
      </w:r>
      <w:r>
        <w:t xml:space="preserve"> </w:t>
      </w:r>
      <w:r>
        <w:t xml:space="preserve">de la memoria de datos (45 324 de 327 680 bytes), lo que deja margen suficiente para las extensiones previstas.</w:t>
      </w:r>
    </w:p>
    <w:bookmarkEnd w:id="64"/>
    <w:bookmarkStart w:id="65" w:name="prototipo-físico"/>
    <w:p>
      <w:pPr>
        <w:pStyle w:val="Heading2"/>
      </w:pPr>
      <w:r>
        <w:rPr>
          <w:rStyle w:val="SectionNumber"/>
        </w:rPr>
        <w:t xml:space="preserve">5.9</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w:t>
      </w:r>
      <w:r>
        <w:t xml:space="preserve"> </w:t>
      </w:r>
      <w:r>
        <w:rPr>
          <w:bCs/>
          <w:b/>
        </w:rPr>
        <w:t xml:space="preserve">en curso</w:t>
      </w:r>
      <w:r>
        <w:t xml:space="preserve"> </w:t>
      </w:r>
      <w:r>
        <w:t xml:space="preserve">en el momento de redactar este artículo. En consecuencia, las evidencias E9 —latencia del lazo físico— y E10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65"/>
    <w:bookmarkStart w:id="66" w:name="trazabilidad-objetivoevidencia"/>
    <w:p>
      <w:pPr>
        <w:pStyle w:val="Heading2"/>
      </w:pPr>
      <w:r>
        <w:rPr>
          <w:rStyle w:val="SectionNumber"/>
        </w:rPr>
        <w:t xml:space="preserve">5.10</w:t>
      </w:r>
      <w:r>
        <w:tab/>
      </w:r>
      <w:r>
        <w:t xml:space="preserve">Trazabilidad objetivo–evidencia</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E10 (detección)</w:t>
            </w:r>
          </w:p>
        </w:tc>
        <w:tc>
          <w:tcPr/>
          <w:p>
            <w:pPr>
              <w:pStyle w:val="Compact"/>
              <w:jc w:val="left"/>
            </w:pPr>
            <w:r>
              <w:t xml:space="preserve">Diseño completo y prototipo ensamblado; verificación de sensado en curso (E10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en banco de software; E9–E10 sobre el prototipo</w:t>
            </w:r>
          </w:p>
        </w:tc>
        <w:tc>
          <w:tcPr/>
          <w:p>
            <w:pPr>
              <w:pStyle w:val="Compact"/>
              <w:jc w:val="left"/>
            </w:pPr>
            <w:r>
              <w:t xml:space="preserve">Validación por software completa; validación de banco físico pendiente</w:t>
            </w:r>
          </w:p>
        </w:tc>
      </w:tr>
    </w:tbl>
    <w:bookmarkEnd w:id="66"/>
    <w:bookmarkEnd w:id="67"/>
    <w:bookmarkStart w:id="6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Esta decisión de arquitectura, tomada al inicio del proyecto, es la que hace que todo lo demás sea afirmable.</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Un hallazgo no anticipado merece comentario.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68"/>
    <w:bookmarkStart w:id="69" w:name="limitaciones"/>
    <w:p>
      <w:pPr>
        <w:pStyle w:val="Heading1"/>
      </w:pPr>
      <w:r>
        <w:rPr>
          <w:rStyle w:val="SectionNumber"/>
        </w:rPr>
        <w:t xml:space="preserve">7</w:t>
      </w:r>
      <w:r>
        <w:tab/>
      </w:r>
      <w:r>
        <w:t xml:space="preserve">Limitaciones</w:t>
      </w:r>
    </w:p>
    <w:p>
      <w:pPr>
        <w:pStyle w:val="FirstParagraph"/>
      </w:pPr>
      <w:r>
        <w:t xml:space="preserve">Este trabajo presenta limitaciones que conviene enunciar sin atenuantes.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bCs/>
          <w:b/>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3 caracterizan al recomendador, no predicen la progresión de ningún niño.</w:t>
      </w:r>
    </w:p>
    <w:p>
      <w:pPr>
        <w:pStyle w:val="BodyText"/>
      </w:pPr>
      <w:r>
        <w:rPr>
          <w:bCs/>
          <w:b/>
        </w:rPr>
        <w:t xml:space="preserve">La validación de banco física está incompleta.</w:t>
      </w:r>
      <w:r>
        <w:t xml:space="preserve"> </w:t>
      </w:r>
      <w:r>
        <w:t xml:space="preserve">Las evidencias E9 y E10 —latencia del lazo pisada→retroalimentación y fiabilidad de detección de los sensores— no se reportan porque la calibración del umbral de sensado se encuentra en curso. Hasta disponer de ellas, la afirmación de que el dispositivo detecta correctamente la pisada de un niño</w:t>
      </w:r>
      <w:r>
        <w:t xml:space="preserve"> </w:t>
      </w:r>
      <w:r>
        <w:rPr>
          <w:bCs/>
          <w:b/>
        </w:rPr>
        <w:t xml:space="preserve">no está respaldada por medición</w:t>
      </w:r>
      <w:r>
        <w:t xml:space="preserve">.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69"/>
    <w:bookmarkStart w:id="7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bCs/>
          <w:b/>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Esta aclaración no es una formalidad.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—verificar primero el sistema, evaluar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70"/>
    <w:bookmarkStart w:id="7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(E10) y la latencia del lazo físico pisada→retroalimentación (E9), instrumentando las marcas temporales que el propio protocolo ya transporta.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71"/>
    <w:bookmarkStart w:id="7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ocho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y la caracterización del costo computacional del núcleo.</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solo parece comportarse bien: hace demostrablemente lo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72"/>
    <w:bookmarkStart w:id="73" w:name="disponibilidad-de-la-evidencia"/>
    <w:p>
      <w:pPr>
        <w:pStyle w:val="Heading1"/>
      </w:pPr>
      <w:r>
        <w:t xml:space="preserve">Disponibilidad de la evidencia</w:t>
      </w:r>
    </w:p>
    <w:p>
      <w:pPr>
        <w:pStyle w:val="FirstParagraph"/>
      </w:pPr>
      <w:r>
        <w:t xml:space="preserve">Todas las cifras, tablas y figuras de la sección de resultados se generan mediante un único guion de experimentos incluido con el código del proyecto, que ejecuta el núcleo de software y produce un archivo de resultados junto con las figuras. Fijada la semilla, su ejecución reproduce exactamente los valores aquí reportados.</w:t>
      </w:r>
    </w:p>
    <w:bookmarkEnd w:id="73"/>
    <w:bookmarkStart w:id="131" w:name="referencias"/>
    <w:p>
      <w:pPr>
        <w:pStyle w:val="Heading1"/>
      </w:pPr>
      <w:r>
        <w:t xml:space="preserve">Referencias</w:t>
      </w:r>
    </w:p>
    <w:bookmarkStart w:id="130" w:name="refs"/>
    <w:bookmarkStart w:id="75"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74">
        <w:r>
          <w:rPr>
            <w:rStyle w:val="Hyperlink"/>
          </w:rPr>
          <w:t xml:space="preserve">https://doi.org/10.1038/s41572-019-0143-7</w:t>
        </w:r>
      </w:hyperlink>
    </w:p>
    <w:bookmarkEnd w:id="75"/>
    <w:bookmarkStart w:id="76"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76"/>
    <w:bookmarkStart w:id="78"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77">
        <w:r>
          <w:rPr>
            <w:rStyle w:val="Hyperlink"/>
          </w:rPr>
          <w:t xml:space="preserve">https://doi.org/10.5944/ap.11.1.13789</w:t>
        </w:r>
      </w:hyperlink>
    </w:p>
    <w:bookmarkEnd w:id="78"/>
    <w:bookmarkStart w:id="80"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79">
        <w:r>
          <w:rPr>
            <w:rStyle w:val="Hyperlink"/>
          </w:rPr>
          <w:t xml:space="preserve">https://doi.org/10.1016/j.ijcci.2021.100376</w:t>
        </w:r>
      </w:hyperlink>
    </w:p>
    <w:bookmarkEnd w:id="80"/>
    <w:bookmarkStart w:id="81"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81"/>
    <w:bookmarkStart w:id="83" w:name="ref-bevilacqua2023analysis"/>
    <w:p>
      <w:pPr>
        <w:pStyle w:val="Bibliography"/>
      </w:pPr>
      <w:r>
        <w:t xml:space="preserve">Bevilacqua Junior, D. E., Mello, E. C. de,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82">
        <w:r>
          <w:rPr>
            <w:rStyle w:val="Hyperlink"/>
          </w:rPr>
          <w:t xml:space="preserve">https://doi.org/10.1016/j.jbmt.2023.05.009</w:t>
        </w:r>
      </w:hyperlink>
    </w:p>
    <w:bookmarkEnd w:id="83"/>
    <w:bookmarkStart w:id="85"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84">
        <w:r>
          <w:rPr>
            <w:rStyle w:val="Hyperlink"/>
          </w:rPr>
          <w:t xml:space="preserve">https://doi.org/10.1145/3374920.3374975</w:t>
        </w:r>
      </w:hyperlink>
    </w:p>
    <w:bookmarkEnd w:id="85"/>
    <w:bookmarkStart w:id="87"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86">
        <w:r>
          <w:rPr>
            <w:rStyle w:val="Hyperlink"/>
          </w:rPr>
          <w:t xml:space="preserve">https://doi.org/10.1093/ptj/pzx107</w:t>
        </w:r>
      </w:hyperlink>
    </w:p>
    <w:bookmarkEnd w:id="87"/>
    <w:bookmarkStart w:id="89"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88">
        <w:r>
          <w:rPr>
            <w:rStyle w:val="Hyperlink"/>
          </w:rPr>
          <w:t xml:space="preserve">https://doi.org/10.6180/jase.202112_24(6).0007</w:t>
        </w:r>
      </w:hyperlink>
    </w:p>
    <w:bookmarkEnd w:id="89"/>
    <w:bookmarkStart w:id="91"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90">
        <w:r>
          <w:rPr>
            <w:rStyle w:val="Hyperlink"/>
          </w:rPr>
          <w:t xml:space="preserve">https://doi.org/10.1109/IE.2015.14</w:t>
        </w:r>
      </w:hyperlink>
    </w:p>
    <w:bookmarkEnd w:id="91"/>
    <w:bookmarkStart w:id="93"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92">
        <w:r>
          <w:rPr>
            <w:rStyle w:val="Hyperlink"/>
          </w:rPr>
          <w:t xml:space="preserve">https://doi.org/10.2196/25771</w:t>
        </w:r>
      </w:hyperlink>
    </w:p>
    <w:bookmarkEnd w:id="93"/>
    <w:bookmarkStart w:id="95"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94">
        <w:r>
          <w:rPr>
            <w:rStyle w:val="Hyperlink"/>
          </w:rPr>
          <w:t xml:space="preserve">https://doi.org/10.1186/s12984-025-01551-w</w:t>
        </w:r>
      </w:hyperlink>
    </w:p>
    <w:bookmarkEnd w:id="95"/>
    <w:bookmarkStart w:id="97" w:name="ref-vanderfels2015relationship"/>
    <w:p>
      <w:pPr>
        <w:pStyle w:val="Bibliography"/>
      </w:pPr>
      <w:r>
        <w:t xml:space="preserve">Fels, I. M. J. van der, Wierike, S. C. M. te,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96">
        <w:r>
          <w:rPr>
            <w:rStyle w:val="Hyperlink"/>
          </w:rPr>
          <w:t xml:space="preserve">https://doi.org/10.1016/j.jsams.2014.09.007</w:t>
        </w:r>
      </w:hyperlink>
    </w:p>
    <w:bookmarkEnd w:id="97"/>
    <w:bookmarkStart w:id="99"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98">
        <w:r>
          <w:rPr>
            <w:rStyle w:val="Hyperlink"/>
          </w:rPr>
          <w:t xml:space="preserve">https://doi.org/10.1007/s10803-010-0981-3</w:t>
        </w:r>
      </w:hyperlink>
    </w:p>
    <w:bookmarkEnd w:id="99"/>
    <w:bookmarkStart w:id="101"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00">
        <w:r>
          <w:rPr>
            <w:rStyle w:val="Hyperlink"/>
          </w:rPr>
          <w:t xml:space="preserve">https://doi.org/10.1080/09638280701610353</w:t>
        </w:r>
      </w:hyperlink>
    </w:p>
    <w:bookmarkEnd w:id="101"/>
    <w:bookmarkStart w:id="103" w:name="ref-degraaf2015estimates"/>
    <w:p>
      <w:pPr>
        <w:pStyle w:val="Bibliography"/>
      </w:pPr>
      <w:r>
        <w:t xml:space="preserve">Graaf, G. de,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02">
        <w:r>
          <w:rPr>
            <w:rStyle w:val="Hyperlink"/>
          </w:rPr>
          <w:t xml:space="preserve">https://doi.org/10.1002/ajmg.a.37001</w:t>
        </w:r>
      </w:hyperlink>
    </w:p>
    <w:bookmarkEnd w:id="103"/>
    <w:bookmarkStart w:id="105" w:name="ref-degraaf2025latam"/>
    <w:p>
      <w:pPr>
        <w:pStyle w:val="Bibliography"/>
      </w:pPr>
      <w:r>
        <w:t xml:space="preserve">Graaf, G. de, Buckley, F., &amp; Skotko, B. G. (2025).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04">
        <w:r>
          <w:rPr>
            <w:rStyle w:val="Hyperlink"/>
          </w:rPr>
          <w:t xml:space="preserve">https://doi.org/10.1016/j.gim.2025.101621</w:t>
        </w:r>
      </w:hyperlink>
    </w:p>
    <w:bookmarkEnd w:id="105"/>
    <w:bookmarkStart w:id="107"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06">
        <w:r>
          <w:rPr>
            <w:rStyle w:val="Hyperlink"/>
          </w:rPr>
          <w:t xml:space="preserve">https://doi.org/10.1002/ajmg.c.31439</w:t>
        </w:r>
      </w:hyperlink>
    </w:p>
    <w:bookmarkEnd w:id="107"/>
    <w:bookmarkStart w:id="109"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08">
        <w:r>
          <w:rPr>
            <w:rStyle w:val="Hyperlink"/>
          </w:rPr>
          <w:t xml:space="preserve">https://doi.org/10.1007/s40279-018-0892-6</w:t>
        </w:r>
      </w:hyperlink>
    </w:p>
    <w:bookmarkEnd w:id="109"/>
    <w:bookmarkStart w:id="111"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10">
        <w:r>
          <w:rPr>
            <w:rStyle w:val="Hyperlink"/>
          </w:rPr>
          <w:t xml:space="preserve">https://doi.org/10.3390/app14177774</w:t>
        </w:r>
      </w:hyperlink>
    </w:p>
    <w:bookmarkEnd w:id="111"/>
    <w:bookmarkStart w:id="113"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12">
        <w:r>
          <w:rPr>
            <w:rStyle w:val="Hyperlink"/>
          </w:rPr>
          <w:t xml:space="preserve">https://doi.org/10.3390/brainsci13050808</w:t>
        </w:r>
      </w:hyperlink>
    </w:p>
    <w:bookmarkEnd w:id="113"/>
    <w:bookmarkStart w:id="115"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14">
        <w:r>
          <w:rPr>
            <w:rStyle w:val="Hyperlink"/>
          </w:rPr>
          <w:t xml:space="preserve">https://doi.org/10.3104/reviews.2074</w:t>
        </w:r>
      </w:hyperlink>
    </w:p>
    <w:bookmarkEnd w:id="115"/>
    <w:bookmarkStart w:id="117"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16">
        <w:r>
          <w:rPr>
            <w:rStyle w:val="Hyperlink"/>
          </w:rPr>
          <w:t xml:space="preserve">https://doi.org/10.1016/bs.acdb.2019.01.002</w:t>
        </w:r>
      </w:hyperlink>
    </w:p>
    <w:bookmarkEnd w:id="117"/>
    <w:bookmarkStart w:id="119"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18">
        <w:r>
          <w:rPr>
            <w:rStyle w:val="Hyperlink"/>
          </w:rPr>
          <w:t xml:space="preserve">https://doi.org/10.1016/j.jpeds.2019.05.038</w:t>
        </w:r>
      </w:hyperlink>
    </w:p>
    <w:bookmarkEnd w:id="119"/>
    <w:bookmarkStart w:id="121"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20">
        <w:r>
          <w:rPr>
            <w:rStyle w:val="Hyperlink"/>
          </w:rPr>
          <w:t xml:space="preserve">https://doi.org/10.2196/59053</w:t>
        </w:r>
      </w:hyperlink>
    </w:p>
    <w:bookmarkEnd w:id="121"/>
    <w:bookmarkStart w:id="123"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22">
        <w:r>
          <w:rPr>
            <w:rStyle w:val="Hyperlink"/>
          </w:rPr>
          <w:t xml:space="preserve">https://sdgs.un.org/2030agenda</w:t>
        </w:r>
      </w:hyperlink>
      <w:r>
        <w:t xml:space="preserve">.</w:t>
      </w:r>
    </w:p>
    <w:bookmarkEnd w:id="123"/>
    <w:bookmarkStart w:id="125"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24">
        <w:r>
          <w:rPr>
            <w:rStyle w:val="Hyperlink"/>
          </w:rPr>
          <w:t xml:space="preserve">https://doi.org/10.1109/ACCESS.2023.3239589</w:t>
        </w:r>
      </w:hyperlink>
    </w:p>
    <w:bookmarkEnd w:id="125"/>
    <w:bookmarkStart w:id="127"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26">
        <w:r>
          <w:rPr>
            <w:rStyle w:val="Hyperlink"/>
          </w:rPr>
          <w:t xml:space="preserve">https://doi.org/10.3390/asi3030033</w:t>
        </w:r>
      </w:hyperlink>
    </w:p>
    <w:bookmarkEnd w:id="127"/>
    <w:bookmarkStart w:id="129"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28">
        <w:r>
          <w:rPr>
            <w:rStyle w:val="Hyperlink"/>
          </w:rPr>
          <w:t xml:space="preserve">https://doi.org/10.3104/reviews.10</w:t>
        </w:r>
      </w:hyperlink>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37" Target="media/rId37.jpg" /><Relationship Type="http://schemas.openxmlformats.org/officeDocument/2006/relationships/hyperlink" Id="rId102" Target="https://doi.org/10.1002/ajmg.a.37001" TargetMode="External" /><Relationship Type="http://schemas.openxmlformats.org/officeDocument/2006/relationships/hyperlink" Id="rId106" Target="https://doi.org/10.1002/ajmg.c.31439" TargetMode="External" /><Relationship Type="http://schemas.openxmlformats.org/officeDocument/2006/relationships/hyperlink" Id="rId98" Target="https://doi.org/10.1007/s10803-010-0981-3" TargetMode="External" /><Relationship Type="http://schemas.openxmlformats.org/officeDocument/2006/relationships/hyperlink" Id="rId108" Target="https://doi.org/10.1007/s40279-018-0892-6" TargetMode="External" /><Relationship Type="http://schemas.openxmlformats.org/officeDocument/2006/relationships/hyperlink" Id="rId116" Target="https://doi.org/10.1016/bs.acdb.2019.01.002" TargetMode="External" /><Relationship Type="http://schemas.openxmlformats.org/officeDocument/2006/relationships/hyperlink" Id="rId104" Target="https://doi.org/10.1016/j.gim.2025.101621" TargetMode="External" /><Relationship Type="http://schemas.openxmlformats.org/officeDocument/2006/relationships/hyperlink" Id="rId79" Target="https://doi.org/10.1016/j.ijcci.2021.100376" TargetMode="External" /><Relationship Type="http://schemas.openxmlformats.org/officeDocument/2006/relationships/hyperlink" Id="rId82" Target="https://doi.org/10.1016/j.jbmt.2023.05.009" TargetMode="External" /><Relationship Type="http://schemas.openxmlformats.org/officeDocument/2006/relationships/hyperlink" Id="rId118" Target="https://doi.org/10.1016/j.jpeds.2019.05.038" TargetMode="External" /><Relationship Type="http://schemas.openxmlformats.org/officeDocument/2006/relationships/hyperlink" Id="rId96" Target="https://doi.org/10.1016/j.jsams.2014.09.007" TargetMode="External" /><Relationship Type="http://schemas.openxmlformats.org/officeDocument/2006/relationships/hyperlink" Id="rId74" Target="https://doi.org/10.1038/s41572-019-0143-7" TargetMode="External" /><Relationship Type="http://schemas.openxmlformats.org/officeDocument/2006/relationships/hyperlink" Id="rId100" Target="https://doi.org/10.1080/09638280701610353" TargetMode="External" /><Relationship Type="http://schemas.openxmlformats.org/officeDocument/2006/relationships/hyperlink" Id="rId86" Target="https://doi.org/10.1093/ptj/pzx107" TargetMode="External" /><Relationship Type="http://schemas.openxmlformats.org/officeDocument/2006/relationships/hyperlink" Id="rId124" Target="https://doi.org/10.1109/ACCESS.2023.3239589" TargetMode="External" /><Relationship Type="http://schemas.openxmlformats.org/officeDocument/2006/relationships/hyperlink" Id="rId90" Target="https://doi.org/10.1109/IE.2015.14" TargetMode="External" /><Relationship Type="http://schemas.openxmlformats.org/officeDocument/2006/relationships/hyperlink" Id="rId84" Target="https://doi.org/10.1145/3374920.3374975" TargetMode="External" /><Relationship Type="http://schemas.openxmlformats.org/officeDocument/2006/relationships/hyperlink" Id="rId94" Target="https://doi.org/10.1186/s12984-025-01551-w" TargetMode="External" /><Relationship Type="http://schemas.openxmlformats.org/officeDocument/2006/relationships/hyperlink" Id="rId92" Target="https://doi.org/10.2196/25771" TargetMode="External" /><Relationship Type="http://schemas.openxmlformats.org/officeDocument/2006/relationships/hyperlink" Id="rId120" Target="https://doi.org/10.2196/59053" TargetMode="External" /><Relationship Type="http://schemas.openxmlformats.org/officeDocument/2006/relationships/hyperlink" Id="rId128" Target="https://doi.org/10.3104/reviews.10" TargetMode="External" /><Relationship Type="http://schemas.openxmlformats.org/officeDocument/2006/relationships/hyperlink" Id="rId114" Target="https://doi.org/10.3104/reviews.2074" TargetMode="External" /><Relationship Type="http://schemas.openxmlformats.org/officeDocument/2006/relationships/hyperlink" Id="rId110" Target="https://doi.org/10.3390/app14177774" TargetMode="External" /><Relationship Type="http://schemas.openxmlformats.org/officeDocument/2006/relationships/hyperlink" Id="rId126" Target="https://doi.org/10.3390/asi3030033" TargetMode="External" /><Relationship Type="http://schemas.openxmlformats.org/officeDocument/2006/relationships/hyperlink" Id="rId112" Target="https://doi.org/10.3390/brainsci13050808" TargetMode="External" /><Relationship Type="http://schemas.openxmlformats.org/officeDocument/2006/relationships/hyperlink" Id="rId77" Target="https://doi.org/10.5944/ap.11.1.13789" TargetMode="External" /><Relationship Type="http://schemas.openxmlformats.org/officeDocument/2006/relationships/hyperlink" Id="rId88" Target="https://doi.org/10.6180/jase.202112_24(6).0007" TargetMode="External" /><Relationship Type="http://schemas.openxmlformats.org/officeDocument/2006/relationships/hyperlink" Id="rId122" Target="https://sdgs.un.org/2030agenda"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2/ajmg.a.37001" TargetMode="External" /><Relationship Type="http://schemas.openxmlformats.org/officeDocument/2006/relationships/hyperlink" Id="rId106" Target="https://doi.org/10.1002/ajmg.c.31439" TargetMode="External" /><Relationship Type="http://schemas.openxmlformats.org/officeDocument/2006/relationships/hyperlink" Id="rId98" Target="https://doi.org/10.1007/s10803-010-0981-3" TargetMode="External" /><Relationship Type="http://schemas.openxmlformats.org/officeDocument/2006/relationships/hyperlink" Id="rId108" Target="https://doi.org/10.1007/s40279-018-0892-6" TargetMode="External" /><Relationship Type="http://schemas.openxmlformats.org/officeDocument/2006/relationships/hyperlink" Id="rId116" Target="https://doi.org/10.1016/bs.acdb.2019.01.002" TargetMode="External" /><Relationship Type="http://schemas.openxmlformats.org/officeDocument/2006/relationships/hyperlink" Id="rId104" Target="https://doi.org/10.1016/j.gim.2025.101621" TargetMode="External" /><Relationship Type="http://schemas.openxmlformats.org/officeDocument/2006/relationships/hyperlink" Id="rId79" Target="https://doi.org/10.1016/j.ijcci.2021.100376" TargetMode="External" /><Relationship Type="http://schemas.openxmlformats.org/officeDocument/2006/relationships/hyperlink" Id="rId82" Target="https://doi.org/10.1016/j.jbmt.2023.05.009" TargetMode="External" /><Relationship Type="http://schemas.openxmlformats.org/officeDocument/2006/relationships/hyperlink" Id="rId118" Target="https://doi.org/10.1016/j.jpeds.2019.05.038" TargetMode="External" /><Relationship Type="http://schemas.openxmlformats.org/officeDocument/2006/relationships/hyperlink" Id="rId96" Target="https://doi.org/10.1016/j.jsams.2014.09.007" TargetMode="External" /><Relationship Type="http://schemas.openxmlformats.org/officeDocument/2006/relationships/hyperlink" Id="rId74" Target="https://doi.org/10.1038/s41572-019-0143-7" TargetMode="External" /><Relationship Type="http://schemas.openxmlformats.org/officeDocument/2006/relationships/hyperlink" Id="rId100" Target="https://doi.org/10.1080/09638280701610353" TargetMode="External" /><Relationship Type="http://schemas.openxmlformats.org/officeDocument/2006/relationships/hyperlink" Id="rId86" Target="https://doi.org/10.1093/ptj/pzx107" TargetMode="External" /><Relationship Type="http://schemas.openxmlformats.org/officeDocument/2006/relationships/hyperlink" Id="rId124" Target="https://doi.org/10.1109/ACCESS.2023.3239589" TargetMode="External" /><Relationship Type="http://schemas.openxmlformats.org/officeDocument/2006/relationships/hyperlink" Id="rId90" Target="https://doi.org/10.1109/IE.2015.14" TargetMode="External" /><Relationship Type="http://schemas.openxmlformats.org/officeDocument/2006/relationships/hyperlink" Id="rId84" Target="https://doi.org/10.1145/3374920.3374975" TargetMode="External" /><Relationship Type="http://schemas.openxmlformats.org/officeDocument/2006/relationships/hyperlink" Id="rId94" Target="https://doi.org/10.1186/s12984-025-01551-w" TargetMode="External" /><Relationship Type="http://schemas.openxmlformats.org/officeDocument/2006/relationships/hyperlink" Id="rId92" Target="https://doi.org/10.2196/25771" TargetMode="External" /><Relationship Type="http://schemas.openxmlformats.org/officeDocument/2006/relationships/hyperlink" Id="rId120" Target="https://doi.org/10.2196/59053" TargetMode="External" /><Relationship Type="http://schemas.openxmlformats.org/officeDocument/2006/relationships/hyperlink" Id="rId128" Target="https://doi.org/10.3104/reviews.10" TargetMode="External" /><Relationship Type="http://schemas.openxmlformats.org/officeDocument/2006/relationships/hyperlink" Id="rId114" Target="https://doi.org/10.3104/reviews.2074" TargetMode="External" /><Relationship Type="http://schemas.openxmlformats.org/officeDocument/2006/relationships/hyperlink" Id="rId110" Target="https://doi.org/10.3390/app14177774" TargetMode="External" /><Relationship Type="http://schemas.openxmlformats.org/officeDocument/2006/relationships/hyperlink" Id="rId126" Target="https://doi.org/10.3390/asi3030033" TargetMode="External" /><Relationship Type="http://schemas.openxmlformats.org/officeDocument/2006/relationships/hyperlink" Id="rId112" Target="https://doi.org/10.3390/brainsci13050808" TargetMode="External" /><Relationship Type="http://schemas.openxmlformats.org/officeDocument/2006/relationships/hyperlink" Id="rId77" Target="https://doi.org/10.5944/ap.11.1.13789" TargetMode="External" /><Relationship Type="http://schemas.openxmlformats.org/officeDocument/2006/relationships/hyperlink" Id="rId88" Target="https://doi.org/10.6180/jase.202112_24(6).0007" TargetMode="External" /><Relationship Type="http://schemas.openxmlformats.org/officeDocument/2006/relationships/hyperlink" Id="rId122" Target="https://sdgs.un.org/2030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2026-07-09T19:02:36Z</dcterms:created>
  <dcterms:modified xsi:type="dcterms:W3CDTF">2026-07-09T19:02:36Z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