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pisada→retroalimentación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conviene precisar que ese simulador reproduce el microcontrolador, no los periféricos analógicos, de modo que su alcance es la verificación del firmware, no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Conviene evitar aquí una lectura errónea de la figura. El eje vertical representa la tasa de acierto de la</w:t>
      </w:r>
      <w:r>
        <w:t xml:space="preserve"> </w:t>
      </w:r>
      <w:r>
        <w:rPr>
          <w:bCs/>
          <w:b/>
        </w:rPr>
        <w:t xml:space="preserve">sesión completa</w:t>
      </w:r>
      <w:r>
        <w:t xml:space="preserve">, mientras que la dirección recomendada se calcula sobre la</w:t>
      </w:r>
      <w:r>
        <w:t xml:space="preserve"> </w:t>
      </w:r>
      <w:r>
        <w:rPr>
          <w:bCs/>
          <w:b/>
        </w:rPr>
        <w:t xml:space="preserve">ventana de las cuatro últimas rondas</w:t>
      </w:r>
      <w:r>
        <w:t xml:space="preserve">. Ambas magnitudes no tienen por qué coincidir: con una habilidad del 40 %, la sesión cierra con un 62,5 % de aciertos y, sin embargo, el sistema recomienda subir, porque las cuatro rondas finales alcanzaron el umbral del 75 %. La figura describe el desempeño global; la recomendación responde al desempeño reciente, que es justamente lo que interesa a un mecanismo adaptativo.</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2_adaptacion.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costo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A diferencia del resto de las evidencias, esta medición</w:t>
      </w:r>
      <w:r>
        <w:t xml:space="preserve"> </w:t>
      </w:r>
      <w:r>
        <w:rPr>
          <w:bCs/>
          <w:b/>
        </w:rPr>
        <w:t xml:space="preserve">no es determinista</w:t>
      </w:r>
      <w:r>
        <w:t xml:space="preserve">: depende del procesador y de la carga de la máquina. Se reporta, por tanto, como mediana de siete ejecuciones, con su rango observado.</w:t>
      </w:r>
    </w:p>
    <w:p>
      <w:pPr>
        <w:pStyle w:val="BodyText"/>
      </w:pPr>
      <w:r>
        <w:t xml:space="preserve">Un ciclo de avance temporal sin transiciones cuesta</w:t>
      </w:r>
      <w:r>
        <w:t xml:space="preserve"> </w:t>
      </w:r>
      <w:r>
        <w:rPr>
          <w:bCs/>
          <w:b/>
        </w:rPr>
        <w:t xml:space="preserve">5,7 ns</w:t>
      </w:r>
      <w:r>
        <w:t xml:space="preserve"> </w:t>
      </w:r>
      <w:r>
        <w:t xml:space="preserve">(rango 4,4–5,9 ns). Una pisada que sí produce eventos —encendido o apagado de casilla, sonido, puntuación y, cuando corresponde, recomendación— cuesta</w:t>
      </w:r>
      <w:r>
        <w:t xml:space="preserve"> </w:t>
      </w:r>
      <w:r>
        <w:rPr>
          <w:bCs/>
          <w:b/>
        </w:rPr>
        <w:t xml:space="preserve">463 ns</w:t>
      </w:r>
      <w:r>
        <w:t xml:space="preserve"> </w:t>
      </w:r>
      <w:r>
        <w:t xml:space="preserve">(rango 451–538 ns), promediada sobre 240 000 pisadas efectivas por ejecución. Una sesión completa del modo de velocidad en nivel 4, con sus doce rondas, se resuelve en</w:t>
      </w:r>
      <w:r>
        <w:t xml:space="preserve"> </w:t>
      </w:r>
      <w:r>
        <w:rPr>
          <w:bCs/>
          <w:b/>
        </w:rPr>
        <w:t xml:space="preserve">5,6 µs</w:t>
      </w:r>
      <w:r>
        <w:t xml:space="preserve"> </w:t>
      </w:r>
      <w:r>
        <w:t xml:space="preserve">(rango 5,4–6,5 µs).</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E10, pendiente). Lo que sí establecen es que el costo de la lógica es más de seis órdenes de magnitud inferior a la escala temporal del juego —cuya ventana de reacción más exigente es de 1000 ms, frente a los aproximadamente 460 ns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w:t>
      </w:r>
      <w:r>
        <w:t xml:space="preserve"> </w:t>
      </w:r>
      <w:r>
        <w:rPr>
          <w:bCs/>
          <w:b/>
        </w:rPr>
        <w:t xml:space="preserve">1,61 V</w:t>
      </w:r>
      <w:r>
        <w:t xml:space="preserve"> </w:t>
      </w:r>
      <w:r>
        <w:t xml:space="preserve">en el nodo. Según la curva, esa tensión se alcanza cuando la resistencia del sensor desciende hasta</w:t>
      </w:r>
      <w:r>
        <w:t xml:space="preserve"> </w:t>
      </w:r>
      <w:r>
        <w:rPr>
          <w:bCs/>
          <w:b/>
        </w:rPr>
        <w:t xml:space="preserve">10,5 kΩ</w:t>
      </w:r>
      <w:r>
        <w:t xml:space="preserve">, valor muy próximo a la resistencia de la carga fija, como corresponde a un divisor equilibrado. Dicho de otro modo, el umbral vigente exige que la pisada reduzca la resistencia del sensor casi tres órdenes de magnitud por debajo de su valor en reposo, que es de megaohmios.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577 µA por grupo de tres diodos, unos 192 µA por diodo, con la resistencia de 2,2 kΩ del inventario. Esta cifra debe leerse con más cautela que la anterior: a diferencia del divisor, que es puramente resistivo, el modelo del diodo y la tensión de saturación del transistor Darlington son valores asumidos, no medidos. Se reporta como estimación de orden de magnitud —coherente con el brillo tenue observado y buscado— pendiente de confirmación con multímetro sobre el circuito armado.</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pisada→retroalimentación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 con una única excepción declarada: las cifras de costo computacional (E8) son medidas de tiempo de ejecución y dependen del procesador y de la carga de la máquina, por lo que se informan como mediana y rango de siete repeticiones y no como valores exactos.</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ninguna figura de este artículo se dibujó a mano, y ninguna puede divergir del código que describe.</w:t>
      </w:r>
    </w:p>
    <w:bookmarkEnd w:id="83"/>
    <w:bookmarkStart w:id="87"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 title="" id="85" name="Picture"/>
            <a:graphic>
              <a:graphicData uri="http://schemas.openxmlformats.org/drawingml/2006/picture">
                <pic:pic>
                  <pic:nvPicPr>
                    <pic:cNvPr descr="../evidencia/esquematico.png" id="86" name="Picture"/>
                    <pic:cNvPicPr>
                      <a:picLocks noChangeArrowheads="1" noChangeAspect="1"/>
                    </pic:cNvPicPr>
                  </pic:nvPicPr>
                  <pic:blipFill>
                    <a:blip r:embed="rId84"/>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w:t>
      </w:r>
    </w:p>
    <w:bookmarkEnd w:id="87"/>
    <w:bookmarkStart w:id="145" w:name="referencias"/>
    <w:p>
      <w:pPr>
        <w:pStyle w:val="Heading1"/>
      </w:pPr>
      <w:r>
        <w:t xml:space="preserve">Referencias</w:t>
      </w:r>
    </w:p>
    <w:bookmarkStart w:id="144" w:name="refs"/>
    <w:bookmarkStart w:id="89"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8">
        <w:r>
          <w:rPr>
            <w:rStyle w:val="Hyperlink"/>
          </w:rPr>
          <w:t xml:space="preserve">https://doi.org/10.1038/s41572-019-0143-7</w:t>
        </w:r>
      </w:hyperlink>
    </w:p>
    <w:bookmarkEnd w:id="89"/>
    <w:bookmarkStart w:id="90"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90"/>
    <w:bookmarkStart w:id="92"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91">
        <w:r>
          <w:rPr>
            <w:rStyle w:val="Hyperlink"/>
          </w:rPr>
          <w:t xml:space="preserve">https://doi.org/10.5944/ap.11.1.13789</w:t>
        </w:r>
      </w:hyperlink>
    </w:p>
    <w:bookmarkEnd w:id="92"/>
    <w:bookmarkStart w:id="94"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93">
        <w:r>
          <w:rPr>
            <w:rStyle w:val="Hyperlink"/>
          </w:rPr>
          <w:t xml:space="preserve">https://doi.org/10.1016/j.ijcci.2021.100376</w:t>
        </w:r>
      </w:hyperlink>
    </w:p>
    <w:bookmarkEnd w:id="94"/>
    <w:bookmarkStart w:id="95"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5"/>
    <w:bookmarkStart w:id="97"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6">
        <w:r>
          <w:rPr>
            <w:rStyle w:val="Hyperlink"/>
          </w:rPr>
          <w:t xml:space="preserve">https://doi.org/10.1016/j.jbmt.2023.05.009</w:t>
        </w:r>
      </w:hyperlink>
    </w:p>
    <w:bookmarkEnd w:id="97"/>
    <w:bookmarkStart w:id="99"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8">
        <w:r>
          <w:rPr>
            <w:rStyle w:val="Hyperlink"/>
          </w:rPr>
          <w:t xml:space="preserve">https://doi.org/10.1145/3374920.3374975</w:t>
        </w:r>
      </w:hyperlink>
    </w:p>
    <w:bookmarkEnd w:id="99"/>
    <w:bookmarkStart w:id="101"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100">
        <w:r>
          <w:rPr>
            <w:rStyle w:val="Hyperlink"/>
          </w:rPr>
          <w:t xml:space="preserve">https://doi.org/10.1093/ptj/pzx107</w:t>
        </w:r>
      </w:hyperlink>
    </w:p>
    <w:bookmarkEnd w:id="101"/>
    <w:bookmarkStart w:id="103"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102">
        <w:r>
          <w:rPr>
            <w:rStyle w:val="Hyperlink"/>
          </w:rPr>
          <w:t xml:space="preserve">https://doi.org/10.6180/jase.202112_24(6).0007</w:t>
        </w:r>
      </w:hyperlink>
    </w:p>
    <w:bookmarkEnd w:id="103"/>
    <w:bookmarkStart w:id="105"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4">
        <w:r>
          <w:rPr>
            <w:rStyle w:val="Hyperlink"/>
          </w:rPr>
          <w:t xml:space="preserve">https://doi.org/10.1109/IE.2015.14</w:t>
        </w:r>
      </w:hyperlink>
    </w:p>
    <w:bookmarkEnd w:id="105"/>
    <w:bookmarkStart w:id="107"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6">
        <w:r>
          <w:rPr>
            <w:rStyle w:val="Hyperlink"/>
          </w:rPr>
          <w:t xml:space="preserve">https://doi.org/10.2196/25771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10">
        <w:r>
          <w:rPr>
            <w:rStyle w:val="Hyperlink"/>
          </w:rPr>
          <w:t xml:space="preserve">https://doi.org/10.1016/j.jsams.2014.09.007</w:t>
        </w:r>
      </w:hyperlink>
    </w:p>
    <w:bookmarkEnd w:id="111"/>
    <w:bookmarkStart w:id="113"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2">
        <w:r>
          <w:rPr>
            <w:rStyle w:val="Hyperlink"/>
          </w:rPr>
          <w:t xml:space="preserve">https://doi.org/10.1007/s10803-010-0981-3</w:t>
        </w:r>
      </w:hyperlink>
    </w:p>
    <w:bookmarkEnd w:id="113"/>
    <w:bookmarkStart w:id="115"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4">
        <w:r>
          <w:rPr>
            <w:rStyle w:val="Hyperlink"/>
          </w:rPr>
          <w:t xml:space="preserve">https://doi.org/10.1080/09638280701610353</w:t>
        </w:r>
      </w:hyperlink>
    </w:p>
    <w:bookmarkEnd w:id="115"/>
    <w:bookmarkStart w:id="117"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16">
        <w:r>
          <w:rPr>
            <w:rStyle w:val="Hyperlink"/>
          </w:rPr>
          <w:t xml:space="preserve">https://doi.org/10.1002/ajmg.a.37001</w:t>
        </w:r>
      </w:hyperlink>
    </w:p>
    <w:bookmarkEnd w:id="117"/>
    <w:bookmarkStart w:id="119"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18">
        <w:r>
          <w:rPr>
            <w:rStyle w:val="Hyperlink"/>
          </w:rPr>
          <w:t xml:space="preserve">https://doi.org/10.1016/j.gim.2025.101621</w:t>
        </w:r>
      </w:hyperlink>
    </w:p>
    <w:bookmarkEnd w:id="119"/>
    <w:bookmarkStart w:id="121"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20">
        <w:r>
          <w:rPr>
            <w:rStyle w:val="Hyperlink"/>
          </w:rPr>
          <w:t xml:space="preserve">https://doi.org/10.1002/ajmg.c.31439</w:t>
        </w:r>
      </w:hyperlink>
    </w:p>
    <w:bookmarkEnd w:id="121"/>
    <w:bookmarkStart w:id="123"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22">
        <w:r>
          <w:rPr>
            <w:rStyle w:val="Hyperlink"/>
          </w:rPr>
          <w:t xml:space="preserve">https://doi.org/10.1007/s40279-018-0892-6</w:t>
        </w:r>
      </w:hyperlink>
    </w:p>
    <w:bookmarkEnd w:id="123"/>
    <w:bookmarkStart w:id="125"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24">
        <w:r>
          <w:rPr>
            <w:rStyle w:val="Hyperlink"/>
          </w:rPr>
          <w:t xml:space="preserve">https://doi.org/10.3390/app14177774</w:t>
        </w:r>
      </w:hyperlink>
    </w:p>
    <w:bookmarkEnd w:id="125"/>
    <w:bookmarkStart w:id="127"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6">
        <w:r>
          <w:rPr>
            <w:rStyle w:val="Hyperlink"/>
          </w:rPr>
          <w:t xml:space="preserve">https://doi.org/10.3390/brainsci13050808</w:t>
        </w:r>
      </w:hyperlink>
    </w:p>
    <w:bookmarkEnd w:id="127"/>
    <w:bookmarkStart w:id="129"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8">
        <w:r>
          <w:rPr>
            <w:rStyle w:val="Hyperlink"/>
          </w:rPr>
          <w:t xml:space="preserve">https://doi.org/10.3104/reviews.2074</w:t>
        </w:r>
      </w:hyperlink>
    </w:p>
    <w:bookmarkEnd w:id="129"/>
    <w:bookmarkStart w:id="131"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30">
        <w:r>
          <w:rPr>
            <w:rStyle w:val="Hyperlink"/>
          </w:rPr>
          <w:t xml:space="preserve">https://doi.org/10.1016/bs.acdb.2019.01.002</w:t>
        </w:r>
      </w:hyperlink>
    </w:p>
    <w:bookmarkEnd w:id="131"/>
    <w:bookmarkStart w:id="133"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32">
        <w:r>
          <w:rPr>
            <w:rStyle w:val="Hyperlink"/>
          </w:rPr>
          <w:t xml:space="preserve">https://doi.org/10.1016/j.jpeds.2019.05.038</w:t>
        </w:r>
      </w:hyperlink>
    </w:p>
    <w:bookmarkEnd w:id="133"/>
    <w:bookmarkStart w:id="135"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34">
        <w:r>
          <w:rPr>
            <w:rStyle w:val="Hyperlink"/>
          </w:rPr>
          <w:t xml:space="preserve">https://doi.org/10.2196/59053</w:t>
        </w:r>
      </w:hyperlink>
    </w:p>
    <w:bookmarkEnd w:id="135"/>
    <w:bookmarkStart w:id="137"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6">
        <w:r>
          <w:rPr>
            <w:rStyle w:val="Hyperlink"/>
          </w:rPr>
          <w:t xml:space="preserve">https://sdgs.un.org/2030agenda</w:t>
        </w:r>
      </w:hyperlink>
      <w:r>
        <w:t xml:space="preserve">.</w:t>
      </w:r>
    </w:p>
    <w:bookmarkEnd w:id="137"/>
    <w:bookmarkStart w:id="139"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8">
        <w:r>
          <w:rPr>
            <w:rStyle w:val="Hyperlink"/>
          </w:rPr>
          <w:t xml:space="preserve">https://doi.org/10.1109/ACCESS.2023.3239589</w:t>
        </w:r>
      </w:hyperlink>
    </w:p>
    <w:bookmarkEnd w:id="139"/>
    <w:bookmarkStart w:id="141"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40">
        <w:r>
          <w:rPr>
            <w:rStyle w:val="Hyperlink"/>
          </w:rPr>
          <w:t xml:space="preserve">https://doi.org/10.3390/asi3030033</w:t>
        </w:r>
      </w:hyperlink>
    </w:p>
    <w:bookmarkEnd w:id="141"/>
    <w:bookmarkStart w:id="143"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42">
        <w:r>
          <w:rPr>
            <w:rStyle w:val="Hyperlink"/>
          </w:rPr>
          <w:t xml:space="preserve">https://doi.org/10.3104/reviews.10</w:t>
        </w:r>
      </w:hyperlink>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84" Target="media/rId84.png" /><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2026-07-09T19:59:28Z</dcterms:created>
  <dcterms:modified xsi:type="dcterms:W3CDTF">2026-07-09T19:59:28Z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