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Diseño y desarrollo de un tapete interactivo multisensorial con secuencias de luces y sonidos como herramienta de apoyo terapéutico para niños con síndrome de Down</w:t>
      </w:r>
    </w:p>
    <w:p>
      <w:pPr>
        <w:spacing w:after="20"/>
        <w:jc w:val="center"/>
      </w:pPr>
      <w:r>
        <w:rPr>
          <w:rFonts w:ascii="Times New Roman" w:cs="Times New Roman" w:eastAsia="Times New Roman" w:hAnsi="Times New Roman"/>
          <w:sz w:val="24"/>
          <w:szCs w:val="24"/>
        </w:rPr>
        <w:t xml:space="preserve">Andrés Mauricio Restrepo Restrepo, Christian Camilo Galeano Saldarriaga</w:t>
      </w:r>
    </w:p>
    <w:p>
      <w:pPr>
        <w:spacing w:after="20"/>
        <w:jc w:val="center"/>
      </w:pPr>
      <w:r>
        <w:rPr>
          <w:rFonts w:ascii="Times New Roman" w:cs="Times New Roman" w:eastAsia="Times New Roman" w:hAnsi="Times New Roman"/>
          <w:sz w:val="22"/>
          <w:szCs w:val="22"/>
        </w:rPr>
        <w:t xml:space="preserve">Director: Luis Carlos Rodríguez Timaná</w:t>
      </w:r>
    </w:p>
    <w:p>
      <w:pPr>
        <w:spacing w:after="20"/>
        <w:jc w:val="center"/>
      </w:pPr>
      <w:r>
        <w:rPr>
          <w:rFonts w:ascii="Times New Roman" w:cs="Times New Roman" w:eastAsia="Times New Roman" w:hAnsi="Times New Roman"/>
          <w:i/>
          <w:iCs/>
          <w:sz w:val="22"/>
          <w:szCs w:val="22"/>
        </w:rPr>
        <w:t xml:space="preserve">Programa de Ingeniería Electrónica, Facultad de Ingeniería</w:t>
      </w:r>
    </w:p>
    <w:p>
      <w:pPr>
        <w:spacing w:after="20"/>
        <w:jc w:val="center"/>
      </w:pPr>
      <w:r>
        <w:rPr>
          <w:rFonts w:ascii="Times New Roman" w:cs="Times New Roman" w:eastAsia="Times New Roman" w:hAnsi="Times New Roman"/>
          <w:i/>
          <w:iCs/>
          <w:sz w:val="22"/>
          <w:szCs w:val="22"/>
        </w:rPr>
        <w:t xml:space="preserve">Universidad Santiago de Cali, Cali, Colombia</w:t>
      </w:r>
    </w:p>
    <w:p>
      <w:pPr>
        <w:spacing w:after="200"/>
        <w:jc w:val="center"/>
      </w:pPr>
      <w:r>
        <w:rPr>
          <w:rFonts w:ascii="Times New Roman" w:cs="Times New Roman" w:eastAsia="Times New Roman" w:hAnsi="Times New Roman"/>
          <w:sz w:val="20"/>
          <w:szCs w:val="20"/>
        </w:rPr>
        <w:t xml:space="preserve">andres.restrepo03@usc.edu.co · christian.galeano01@usc.edu.co</w:t>
      </w:r>
    </w:p>
    <w:p>
      <w:pPr>
        <w:pStyle w:val="Heading1"/>
        <w:spacing w:after="140" w:before="280"/>
      </w:pPr>
      <w:r>
        <w:rPr>
          <w:rFonts w:ascii="Times New Roman" w:cs="Times New Roman" w:eastAsia="Times New Roman" w:hAnsi="Times New Roman"/>
          <w:b/>
          <w:bCs/>
          <w:sz w:val="26"/>
          <w:szCs w:val="26"/>
        </w:rPr>
        <w:t xml:space="preserve">Resumen</w:t>
      </w:r>
    </w:p>
    <w:p>
      <w:pPr>
        <w:spacing w:after="140" w:line="300"/>
        <w:jc w:val="both"/>
      </w:pPr>
      <w:r>
        <w:rPr>
          <w:rFonts w:ascii="Times New Roman" w:cs="Times New Roman" w:eastAsia="Times New Roman" w:hAnsi="Times New Roman"/>
          <w:sz w:val="24"/>
          <w:szCs w:val="24"/>
        </w:rPr>
        <w:t xml:space="preserve">El síndrome de Down es una condición genética la cual se relaciona con alteraciones en el desarrollo motor y cognitivo, especialmente en áreas como el equilibrio, la coordinación, la memoria de trabajo y la planificación motora. Es por esto que estas dificultades pueden limitar la autonomía y la participación activa de los niños en espacios educativos y terapéuticos, por lo que es necesario implementar estrategias de intervención innovadoras que complementen y ayuden a las terapias tradicionales. Cabe resaltar que las tecnologías interactivas y los juegos se han convertido en una herramienta prometedora para la estimulación multisensorial y el fortalecimiento de habilidades cognitivas y motoras. Teniendo en cuenta lo mencionado anteriormente, este artículo presenta el diseño y desarrollo de un tapete interactivo multisensorial que combina secuencias de luces y sonidos como herramienta de apoyo terapéutico para niños con síndrome de Down. El sistema integra sensores de presión, iluminación LED RGB y un microcontrolador ESP32, permitiendo la ejecución de dinámicas de juego orientadas a estimular la memoria de trabajo, la planificación motora, la velocidad de respuesta y el equilibrio. Adicionalmente, se incorpora un software de monitoreo en PC que registra variables como tiempos de respuesta, aciertos y errores, facilitando el análisis del comportamiento funcional del prototipo. La evaluación del sistema se realizó en un entorno terapéutico real, enfocándose en la funcionalidad, estabilidad e interacción usuario-dispositivo, sin realizar mediciones de impacto clínico. Los resultados evidencian que el tapete interactivo es técnicamente viable, intuitivo y atractivo para los usuarios, destacando su potencial como herramienta tecnológica complementaria para apoyar procesos terapéuticos en niños con síndrome de Down.</w:t>
      </w:r>
    </w:p>
    <w:p>
      <w:pPr>
        <w:pStyle w:val="Heading1"/>
        <w:spacing w:after="140" w:before="280"/>
      </w:pPr>
      <w:r>
        <w:rPr>
          <w:rFonts w:ascii="Times New Roman" w:cs="Times New Roman" w:eastAsia="Times New Roman" w:hAnsi="Times New Roman"/>
          <w:b/>
          <w:bCs/>
          <w:sz w:val="26"/>
          <w:szCs w:val="26"/>
        </w:rPr>
        <w:t xml:space="preserve">Palabras clave</w:t>
      </w:r>
    </w:p>
    <w:p>
      <w:pPr>
        <w:spacing w:after="140" w:line="300"/>
        <w:jc w:val="both"/>
      </w:pPr>
      <w:r>
        <w:rPr>
          <w:rFonts w:ascii="Times New Roman" w:cs="Times New Roman" w:eastAsia="Times New Roman" w:hAnsi="Times New Roman"/>
          <w:sz w:val="24"/>
          <w:szCs w:val="24"/>
        </w:rPr>
        <w:t xml:space="preserve">Síndrome de Down; tapete interactivo; juegos serios; estimulación multisensorial; sensores de presión; ESP32; habilidades motoras; funciones ejecutivas; tecnología de apoyo terapéutico.</w:t>
      </w:r>
    </w:p>
    <w:p>
      <w:pPr>
        <w:pStyle w:val="Heading1"/>
        <w:spacing w:after="140" w:before="280"/>
      </w:pPr>
      <w:r>
        <w:rPr>
          <w:rFonts w:ascii="Times New Roman" w:cs="Times New Roman" w:eastAsia="Times New Roman" w:hAnsi="Times New Roman"/>
          <w:b/>
          <w:bCs/>
          <w:sz w:val="26"/>
          <w:szCs w:val="26"/>
        </w:rPr>
        <w:t xml:space="preserve">Abstract</w:t>
      </w:r>
    </w:p>
    <w:p>
      <w:pPr>
        <w:spacing w:after="140" w:line="300"/>
        <w:jc w:val="both"/>
      </w:pPr>
      <w:r>
        <w:rPr>
          <w:rFonts w:ascii="Times New Roman" w:cs="Times New Roman" w:eastAsia="Times New Roman" w:hAnsi="Times New Roman"/>
          <w:sz w:val="24"/>
          <w:szCs w:val="24"/>
        </w:rPr>
        <w:t xml:space="preserve">Down syndrome is a genetic condition associated with alterations in motor and cognitive development, particularly in areas such as balance, coordination, working memory, and motor planning. These difficulties can limit children's autonomy and active participation in educational and therapeutic settings, which makes it necessary to implement innovative intervention strategies that complement traditional therapies. Interactive technologies and serious games have emerged as a promising tool for multisensory stimulation and for strengthening cognitive and motor skills. This article presents the design and development of a multisensory interactive mat that combines light and sound sequences as a therapeutic support tool for children with Down syndrome. The system integrates pressure sensors, RGB LED lighting, and an ESP32 microcontroller, enabling game dynamics aimed at stimulating working memory, motor planning, response speed, and balance. A PC monitoring application was also incorporated to record variables such as response times, hits, and errors, supporting the analysis of the prototype's functional behavior. The system was evaluated in a real therapeutic environment, focusing on functionality, stability, and user-device interaction, without performing clinical-impact measurements. Results show that the interactive mat is technically feasible, intuitive, and engaging for users, highlighting its potential as a complementary technological tool to support therapeutic processes in children with Down syndrome.</w:t>
      </w:r>
    </w:p>
    <w:p>
      <w:pPr>
        <w:spacing w:after="14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Down syndrome; interactive mat; serious games; multisensory stimulation; pressure sensors; ESP32; motor skills; executive functions; assistive therapeutic technology.</w:t>
      </w:r>
    </w:p>
    <w:p>
      <w:pPr>
        <w:pStyle w:val="Heading1"/>
        <w:spacing w:after="140" w:before="280"/>
      </w:pPr>
      <w:r>
        <w:rPr>
          <w:rFonts w:ascii="Times New Roman" w:cs="Times New Roman" w:eastAsia="Times New Roman" w:hAnsi="Times New Roman"/>
          <w:b/>
          <w:bCs/>
          <w:sz w:val="26"/>
          <w:szCs w:val="26"/>
        </w:rPr>
        <w:t xml:space="preserve">1. Introducción</w:t>
      </w:r>
    </w:p>
    <w:p>
      <w:pPr>
        <w:spacing w:after="140" w:line="300"/>
        <w:ind w:firstLine="360"/>
        <w:jc w:val="both"/>
      </w:pPr>
      <w:r>
        <w:rPr>
          <w:rFonts w:ascii="Times New Roman" w:cs="Times New Roman" w:eastAsia="Times New Roman" w:hAnsi="Times New Roman"/>
          <w:sz w:val="24"/>
          <w:szCs w:val="24"/>
        </w:rPr>
        <w:t xml:space="preserve">El síndrome de Down, también conocido como trisomía 21, se produce cuando existe una copia adicional del cromosoma 21 en todas las células del individuo. Es considerado uno de los trastornos genéticos más prevalentes a nivel global, con una tasa de ocurrencia estimada de 12,6 por cada 10.000 nacimientos (de Graaf et al., 2015). Los niños que presentan esta condición suelen evidenciar una disminución en la fuerza muscular y alteraciones en el funcionamiento del cerebelo, lo que compromete su equilibrio y control postural. Como consecuencia, su patrón de marcha se torna inestable y se caracteriza por pasos más cortos, derivando en un retraso en el desarrollo de habilidades motoras gruesas (Okada et al., 2019).</w:t>
      </w:r>
    </w:p>
    <w:p>
      <w:pPr>
        <w:spacing w:after="140" w:line="300"/>
        <w:ind w:firstLine="360"/>
        <w:jc w:val="both"/>
      </w:pPr>
      <w:r>
        <w:rPr>
          <w:rFonts w:ascii="Times New Roman" w:cs="Times New Roman" w:eastAsia="Times New Roman" w:hAnsi="Times New Roman"/>
          <w:sz w:val="24"/>
          <w:szCs w:val="24"/>
        </w:rPr>
        <w:t xml:space="preserve">A nivel cognitivo, estos niños suelen presentar dificultades en funciones ejecutivas como la memoria de trabajo, la atención y la planificación, lo que repercute directamente en su capacidad para seguir instrucciones, recordar secuencias y comprender información compleja, afectando tanto su desempeño en actividades cotidianas como en contextos educativos (Lukowski et al., 2019; Covaci et al., 2015). Asimismo, la velocidad de procesamiento y reacción suele estar disminuida, dificultando la interacción en actividades que requieren rapidez en la toma de decisiones.</w:t>
      </w:r>
    </w:p>
    <w:p>
      <w:pPr>
        <w:spacing w:after="140" w:line="300"/>
        <w:ind w:firstLine="360"/>
        <w:jc w:val="both"/>
      </w:pPr>
      <w:r>
        <w:rPr>
          <w:rFonts w:ascii="Times New Roman" w:cs="Times New Roman" w:eastAsia="Times New Roman" w:hAnsi="Times New Roman"/>
          <w:sz w:val="24"/>
          <w:szCs w:val="24"/>
        </w:rPr>
        <w:t xml:space="preserve">A pesar de la existencia de terapias motoras y juegos tradicionales, muchos de estos métodos carecen de la capacidad de proporcionar retroalimentación inmediata y personalizada. La falta de un seguimiento detallado del progreso del niño dificulta la adaptación de los niveles de dificultad, lo que puede resultar en frustración y desmotivación (Okada et al., 2019; Minh et al., 2021). En contraste, los juegos serios ofrecen un gran potencial terapéutico para personas con neurodiversidad, mejorando sus funciones ejecutivas y promoviendo la inclusión tanto en entornos educativos como terapéuticos (Timaná et al., 2024).</w:t>
      </w:r>
    </w:p>
    <w:p>
      <w:pPr>
        <w:spacing w:after="140" w:line="300"/>
        <w:ind w:firstLine="360"/>
        <w:jc w:val="both"/>
      </w:pPr>
      <w:r>
        <w:rPr>
          <w:rFonts w:ascii="Times New Roman" w:cs="Times New Roman" w:eastAsia="Times New Roman" w:hAnsi="Times New Roman"/>
          <w:sz w:val="24"/>
          <w:szCs w:val="24"/>
        </w:rPr>
        <w:t xml:space="preserve">En este contexto, el presente trabajo propone el diseño y desarrollo de un tapete interactivo multisensorial que combina secuencias de luces y sonidos, sensores de presión y un software de análisis en PC, con el fin de estimular las habilidades cognitivas y motoras de los niños con síndrome de Down. El sistema ofrece distintos modos de juego diseñados para trabajar la memoria de trabajo, la planificación motora, la velocidad de respuesta y el equilibrio, proporcionando retroalimentación inmediata y registrando indicadores de desempeño que facilitan el acompañamiento terapéutico.</w:t>
      </w:r>
    </w:p>
    <w:p>
      <w:pPr>
        <w:spacing w:after="140" w:line="300"/>
        <w:ind w:firstLine="360"/>
        <w:jc w:val="both"/>
      </w:pPr>
      <w:r>
        <w:rPr>
          <w:rFonts w:ascii="Times New Roman" w:cs="Times New Roman" w:eastAsia="Times New Roman" w:hAnsi="Times New Roman"/>
          <w:sz w:val="24"/>
          <w:szCs w:val="24"/>
        </w:rPr>
        <w:t xml:space="preserve">De esta manera, el proyecto no solo aborda el desarrollo técnico del dispositivo, sino también la evaluación de su comportamiento funcional durante su implementación en sesiones terapéuticas reales. Así, se plantea como pregunta de investigación: ¿cuáles son los elementos clave en el desarrollo de un tapete interactivo con luces y sonidos que favorezcan su efectividad como herramienta de apoyo terapéutico para niños con síndrome de Down? Para responderla, se definió como objetivo general desarrollar un tapete interactivo que combine secuencias de luces y sonidos como herramienta de apoyo en terapias para niños con síndrome de Down, y como objetivos específicos: (i) diseñar el sistema electrónico que integra sensores de presión, módulos de iluminación LED RGB y componentes de salida de audio; (ii) desarrollar el firmware del microcontrolador encargado de la interacción entre sensores, luces y sonidos, implementando diferentes modos terapéuticos adaptables; y (iii) evaluar el comportamiento funcional del prototipo en un entorno terapéutico real.</w:t>
      </w:r>
    </w:p>
    <w:p>
      <w:pPr>
        <w:pStyle w:val="Heading1"/>
        <w:spacing w:after="140" w:before="280"/>
      </w:pPr>
      <w:r>
        <w:rPr>
          <w:rFonts w:ascii="Times New Roman" w:cs="Times New Roman" w:eastAsia="Times New Roman" w:hAnsi="Times New Roman"/>
          <w:b/>
          <w:bCs/>
          <w:sz w:val="26"/>
          <w:szCs w:val="26"/>
        </w:rPr>
        <w:t xml:space="preserve">2. Marco teórico</w:t>
      </w:r>
    </w:p>
    <w:p>
      <w:pPr>
        <w:pStyle w:val="Heading2"/>
        <w:spacing w:after="100" w:before="200"/>
      </w:pPr>
      <w:r>
        <w:rPr>
          <w:rFonts w:ascii="Times New Roman" w:cs="Times New Roman" w:eastAsia="Times New Roman" w:hAnsi="Times New Roman"/>
          <w:b/>
          <w:bCs/>
          <w:sz w:val="24"/>
          <w:szCs w:val="24"/>
        </w:rPr>
        <w:t xml:space="preserve">2.1. Síndrome de Down y su impacto en el desarrollo infantil</w:t>
      </w:r>
    </w:p>
    <w:p>
      <w:pPr>
        <w:spacing w:after="140" w:line="300"/>
        <w:ind w:firstLine="360"/>
        <w:jc w:val="both"/>
      </w:pPr>
      <w:r>
        <w:rPr>
          <w:rFonts w:ascii="Times New Roman" w:cs="Times New Roman" w:eastAsia="Times New Roman" w:hAnsi="Times New Roman"/>
          <w:sz w:val="24"/>
          <w:szCs w:val="24"/>
        </w:rPr>
        <w:t xml:space="preserve">El síndrome de Down es un trastorno genético causado por la presencia de una copia adicional del cromosoma 21. Esta condición afecta múltiples áreas del desarrollo infantil, tanto físico como cognitivo. En el plano físico, es común observar hipotonía muscular, laxitud ligamentosa y retraso en el desarrollo motor grueso, lo que repercute en habilidades como el equilibrio y la coordinación. A nivel cognitivo, se presentan dificultades en funciones como la memoria de trabajo, la atención y la planificación, lo que puede impactar el aprendizaje y la autonomía del niño en contextos escolares y sociales (Okada et al., 2019).</w:t>
      </w:r>
    </w:p>
    <w:p>
      <w:pPr>
        <w:spacing w:after="140" w:line="300"/>
        <w:ind w:firstLine="360"/>
        <w:jc w:val="both"/>
      </w:pPr>
      <w:r>
        <w:rPr>
          <w:rFonts w:ascii="Times New Roman" w:cs="Times New Roman" w:eastAsia="Times New Roman" w:hAnsi="Times New Roman"/>
          <w:sz w:val="24"/>
          <w:szCs w:val="24"/>
        </w:rPr>
        <w:t xml:space="preserve">Las alteraciones motoras, derivadas principalmente de la hipotonía y de las dificultades de equilibrio, se traducen en una marcha inestable y en retrasos en el desarrollo motor grueso, afectando no solo la movilidad sino también la independencia funcional y la interacción con el entorno (Okada et al., 2019; Galli et al., 2008). Frente a ello, diversas terapias, como la fisioterapia y la hipoterapia, han demostrado beneficios importantes: mientras la fisioterapia mejora la alineación corporal y fortalece el sistema musculoesquelético, la hipoterapia estimula el sistema vestibular y la orientación espacial, promoviendo un desarrollo motor más equilibrado (Bevilacqua Junior et al., 2023).</w:t>
      </w:r>
    </w:p>
    <w:p>
      <w:pPr>
        <w:pStyle w:val="Heading2"/>
        <w:spacing w:after="100" w:before="200"/>
      </w:pPr>
      <w:r>
        <w:rPr>
          <w:rFonts w:ascii="Times New Roman" w:cs="Times New Roman" w:eastAsia="Times New Roman" w:hAnsi="Times New Roman"/>
          <w:b/>
          <w:bCs/>
          <w:sz w:val="24"/>
          <w:szCs w:val="24"/>
        </w:rPr>
        <w:t xml:space="preserve">2.2. Habilidades motoras: clasificación y evaluación</w:t>
      </w:r>
    </w:p>
    <w:p>
      <w:pPr>
        <w:spacing w:after="140" w:line="300"/>
        <w:ind w:firstLine="360"/>
        <w:jc w:val="both"/>
      </w:pPr>
      <w:r>
        <w:rPr>
          <w:rFonts w:ascii="Times New Roman" w:cs="Times New Roman" w:eastAsia="Times New Roman" w:hAnsi="Times New Roman"/>
          <w:sz w:val="24"/>
          <w:szCs w:val="24"/>
        </w:rPr>
        <w:t xml:space="preserve">Las habilidades motoras pueden definirse como secuencias aprendidas de movimientos que se combinan de manera coordinada para ejecutar una acción de forma suave, precisa y eficiente. Estas habilidades no son innatas, sino que se adquieren y refinan progresivamente a través de la práctica, la retroalimentación y la maduración del sistema neuromuscular (van der Fels et al., 2015). Su desarrollo es fundamental para la autonomía del individuo, ya que permiten desde acciones básicas como caminar o alimentarse, hasta tareas más complejas como escribir, jugar o manipular objetos.</w:t>
      </w:r>
    </w:p>
    <w:p>
      <w:pPr>
        <w:spacing w:after="140" w:line="300"/>
        <w:ind w:firstLine="360"/>
        <w:jc w:val="both"/>
      </w:pPr>
      <w:r>
        <w:rPr>
          <w:rFonts w:ascii="Times New Roman" w:cs="Times New Roman" w:eastAsia="Times New Roman" w:hAnsi="Times New Roman"/>
          <w:sz w:val="24"/>
          <w:szCs w:val="24"/>
        </w:rPr>
        <w:t xml:space="preserve">Estas habilidades se agrupan en distintas categorías funcionales: habilidades motoras gruesas (correr, saltar, caminar, equilibrio), finas (escritura, dibujo, manipulación precisa), de coordinación bilateral (sincronización de extremidades superiores e inferiores), de control de objetos (lanzar, atrapar o manejar herramientas) y de rendimiento cronometrado (velocidad de ejecución de secuencias motoras), además de una puntuación motora total que integra todas las anteriores (van der Fels et al., 2015). Debido a la hipotonía y la disfunción neuromuscular, los niños con síndrome de Down suelen presentar dificultades en varias de estas categorías, por lo que resulta necesario implementar estrategias lúdicas y terapéuticas para su fortalecimiento.</w:t>
      </w:r>
    </w:p>
    <w:p>
      <w:pPr>
        <w:pStyle w:val="Heading2"/>
        <w:spacing w:after="100" w:before="200"/>
      </w:pPr>
      <w:r>
        <w:rPr>
          <w:rFonts w:ascii="Times New Roman" w:cs="Times New Roman" w:eastAsia="Times New Roman" w:hAnsi="Times New Roman"/>
          <w:b/>
          <w:bCs/>
          <w:sz w:val="24"/>
          <w:szCs w:val="24"/>
        </w:rPr>
        <w:t xml:space="preserve">2.3. Habilidades cognitivas y funciones ejecutivas</w:t>
      </w:r>
    </w:p>
    <w:p>
      <w:pPr>
        <w:spacing w:after="140" w:line="300"/>
        <w:ind w:firstLine="360"/>
        <w:jc w:val="both"/>
      </w:pPr>
      <w:r>
        <w:rPr>
          <w:rFonts w:ascii="Times New Roman" w:cs="Times New Roman" w:eastAsia="Times New Roman" w:hAnsi="Times New Roman"/>
          <w:sz w:val="24"/>
          <w:szCs w:val="24"/>
        </w:rPr>
        <w:t xml:space="preserve">Las habilidades cognitivas se entienden como las acciones mentales o procesos de adquisición de conocimiento y comprensión a través del pensamiento, la experiencia y los sentidos. Dentro de ellas, las funciones ejecutivas se describen como habilidades cognitivas de orden superior que permiten el autocontrol y la regulación del comportamiento (van der Fels et al., 2015). Entre las funciones ejecutivas más relevantes se encuentran la inhibición de respuesta (control de impulsos), la planificación (estructuración de pasos para alcanzar un objetivo), la atención (focalización en estímulos relevantes) y la memoria de trabajo (retención y manipulación de información por períodos breves).</w:t>
      </w:r>
    </w:p>
    <w:p>
      <w:pPr>
        <w:spacing w:after="140" w:line="300"/>
        <w:ind w:firstLine="360"/>
        <w:jc w:val="both"/>
      </w:pPr>
      <w:r>
        <w:rPr>
          <w:rFonts w:ascii="Times New Roman" w:cs="Times New Roman" w:eastAsia="Times New Roman" w:hAnsi="Times New Roman"/>
          <w:sz w:val="24"/>
          <w:szCs w:val="24"/>
        </w:rPr>
        <w:t xml:space="preserve">Los niños con síndrome de Down suelen presentar dificultades en estas funciones ejecutivas, lo que puede afectar su desempeño académico y su autonomía diaria. Por ello, la estimulación cognitiva resulta clave para favorecer su desarrollo integral, especialmente cuando se combina con estrategias que promuevan la motivación y la participación activa.</w:t>
      </w:r>
    </w:p>
    <w:p>
      <w:pPr>
        <w:pStyle w:val="Heading2"/>
        <w:spacing w:after="100" w:before="200"/>
      </w:pPr>
      <w:r>
        <w:rPr>
          <w:rFonts w:ascii="Times New Roman" w:cs="Times New Roman" w:eastAsia="Times New Roman" w:hAnsi="Times New Roman"/>
          <w:b/>
          <w:bCs/>
          <w:sz w:val="24"/>
          <w:szCs w:val="24"/>
        </w:rPr>
        <w:t xml:space="preserve">2.4. Juegos serios como herramienta de intervención</w:t>
      </w:r>
    </w:p>
    <w:p>
      <w:pPr>
        <w:spacing w:after="140" w:line="300"/>
        <w:ind w:firstLine="360"/>
        <w:jc w:val="both"/>
      </w:pPr>
      <w:r>
        <w:rPr>
          <w:rFonts w:ascii="Times New Roman" w:cs="Times New Roman" w:eastAsia="Times New Roman" w:hAnsi="Times New Roman"/>
          <w:sz w:val="24"/>
          <w:szCs w:val="24"/>
        </w:rPr>
        <w:t xml:space="preserve">Los juegos serios combinan el entretenimiento con objetivos pedagógicos o terapéuticos, integrando dinámicas lúdicas con finalidades formativas o de intervención. A diferencia de los videojuegos convencionales, cuyo propósito principal es el ocio, los juegos serios están diseñados intencionalmente para desarrollar o fortalecer habilidades específicas, ya sean de tipo cognitivo, motor, emocional o social (Timaná et al., 2024). Gracias a su componente interactivo y personalizado, favorecen la participación activa, el aprendizaje significativo y la repetición voluntaria de tareas.</w:t>
      </w:r>
    </w:p>
    <w:p>
      <w:pPr>
        <w:spacing w:after="140" w:line="300"/>
        <w:ind w:firstLine="360"/>
        <w:jc w:val="both"/>
      </w:pPr>
      <w:r>
        <w:rPr>
          <w:rFonts w:ascii="Times New Roman" w:cs="Times New Roman" w:eastAsia="Times New Roman" w:hAnsi="Times New Roman"/>
          <w:sz w:val="24"/>
          <w:szCs w:val="24"/>
        </w:rPr>
        <w:t xml:space="preserve">En el caso de niños con neurodiversidad como el síndrome de Down, los juegos serios han mostrado resultados positivos en la estimulación de funciones ejecutivas y en el desarrollo de habilidades motoras, al ofrecer un entorno seguro, motivador y adaptado (Timaná et al., 2024). Su componente lúdico fomenta la motivación intrínseca, favoreciendo la repetición de tareas motrices y cognitivas sin generar frustración, lo que se traduce en mejoras tanto en la coordinación como en la atención y la memoria de trabajo. La combinación de enfoques terapéuticos tradicionales con herramientas innovadoras como los juegos serios ofrece, por tanto, una vía prometedora para intervenir las áreas motoras y cognitivas en esta población.</w:t>
      </w:r>
    </w:p>
    <w:p>
      <w:pPr>
        <w:pStyle w:val="Heading1"/>
        <w:spacing w:after="140" w:before="280"/>
      </w:pPr>
      <w:r>
        <w:rPr>
          <w:rFonts w:ascii="Times New Roman" w:cs="Times New Roman" w:eastAsia="Times New Roman" w:hAnsi="Times New Roman"/>
          <w:b/>
          <w:bCs/>
          <w:sz w:val="26"/>
          <w:szCs w:val="26"/>
        </w:rPr>
        <w:t xml:space="preserve">3. Estado del arte</w:t>
      </w:r>
    </w:p>
    <w:p>
      <w:pPr>
        <w:spacing w:after="140" w:line="300"/>
        <w:ind w:firstLine="360"/>
        <w:jc w:val="both"/>
      </w:pPr>
      <w:r>
        <w:rPr>
          <w:rFonts w:ascii="Times New Roman" w:cs="Times New Roman" w:eastAsia="Times New Roman" w:hAnsi="Times New Roman"/>
          <w:sz w:val="24"/>
          <w:szCs w:val="24"/>
        </w:rPr>
        <w:t xml:space="preserve">La revisión de la literatura evidencia un creciente interés en el uso de tecnologías interactivas y multisensoriales como apoyo a la rehabilitación de niños con discapacidad. A continuación se describen los trabajos más representativos identificados.</w:t>
      </w:r>
    </w:p>
    <w:p>
      <w:pPr>
        <w:pStyle w:val="Heading2"/>
        <w:spacing w:after="100" w:before="200"/>
      </w:pPr>
      <w:r>
        <w:rPr>
          <w:rFonts w:ascii="Times New Roman" w:cs="Times New Roman" w:eastAsia="Times New Roman" w:hAnsi="Times New Roman"/>
          <w:b/>
          <w:bCs/>
          <w:sz w:val="24"/>
          <w:szCs w:val="24"/>
        </w:rPr>
        <w:t xml:space="preserve">3.1. VIC: interfaz tangible para entrenar la memoria</w:t>
      </w:r>
    </w:p>
    <w:p>
      <w:pPr>
        <w:spacing w:after="140" w:line="300"/>
        <w:ind w:firstLine="360"/>
        <w:jc w:val="both"/>
      </w:pPr>
      <w:r>
        <w:rPr>
          <w:rFonts w:ascii="Times New Roman" w:cs="Times New Roman" w:eastAsia="Times New Roman" w:hAnsi="Times New Roman"/>
          <w:sz w:val="24"/>
          <w:szCs w:val="24"/>
        </w:rPr>
        <w:t xml:space="preserve">Beccaluva et al. (2022) presentan VIC, una interfaz de usuario tangible e inteligente diseñada para mejorar habilidades específicas de memoria en niños con discapacidad intelectual, enfocándose en la memoria sensorial o auditiva, la memoria a corto plazo y la memoria de trabajo o visoespacial. El sistema, modular, consta de un tablero con sensores y nueve cubos digitales que emiten luces y sonidos en respuesta a la manipulación y posición de los cubos. Los resultados preliminares indican que VIC es fácil de usar, atractivo y genera compromiso en los usuarios, aspectos considerados requisitos clave para futuras investigaciones que evalúen su eficacia clínica.</w:t>
      </w:r>
    </w:p>
    <w:p>
      <w:pPr>
        <w:pStyle w:val="Heading2"/>
        <w:spacing w:after="100" w:before="200"/>
      </w:pPr>
      <w:r>
        <w:rPr>
          <w:rFonts w:ascii="Times New Roman" w:cs="Times New Roman" w:eastAsia="Times New Roman" w:hAnsi="Times New Roman"/>
          <w:b/>
          <w:bCs/>
          <w:sz w:val="24"/>
          <w:szCs w:val="24"/>
        </w:rPr>
        <w:t xml:space="preserve">3.2. Entornos multisensoriales para la propiocepción</w:t>
      </w:r>
    </w:p>
    <w:p>
      <w:pPr>
        <w:spacing w:after="140" w:line="300"/>
        <w:ind w:firstLine="360"/>
        <w:jc w:val="both"/>
      </w:pPr>
      <w:r>
        <w:rPr>
          <w:rFonts w:ascii="Times New Roman" w:cs="Times New Roman" w:eastAsia="Times New Roman" w:hAnsi="Times New Roman"/>
          <w:sz w:val="24"/>
          <w:szCs w:val="24"/>
        </w:rPr>
        <w:t xml:space="preserve">Valencia-Jimenez et al. (2023) investigaron los efectos de un protocolo de intervención basado en un entorno multisensorial (EMS) diseñado para mejorar la propiocepción en niños con síndrome de Down, empleando un sistema basado en cámaras RGB-D para evaluar el desempeño funcional. En un estudio piloto con tres niños, con una edad promedio de nueve años, que participaron en doce sesiones de juego terapéutico, se observó una mejora significativa en el perfil psicomotor: la puntuación promedio pasó de 10,43 a 16,44, lo que sugiere que el EMS puede ser una herramienta eficaz para mejorar la propiocepción, con un impacto positivo en el desarrollo motor y funcional.</w:t>
      </w:r>
    </w:p>
    <w:p>
      <w:pPr>
        <w:pStyle w:val="Heading2"/>
        <w:spacing w:after="100" w:before="200"/>
      </w:pPr>
      <w:r>
        <w:rPr>
          <w:rFonts w:ascii="Times New Roman" w:cs="Times New Roman" w:eastAsia="Times New Roman" w:hAnsi="Times New Roman"/>
          <w:b/>
          <w:bCs/>
          <w:sz w:val="24"/>
          <w:szCs w:val="24"/>
        </w:rPr>
        <w:t xml:space="preserve">3.3. Tapete interactivo para motricidad gruesa</w:t>
      </w:r>
    </w:p>
    <w:p>
      <w:pPr>
        <w:spacing w:after="140" w:line="300"/>
        <w:ind w:firstLine="360"/>
        <w:jc w:val="both"/>
      </w:pPr>
      <w:r>
        <w:rPr>
          <w:rFonts w:ascii="Times New Roman" w:cs="Times New Roman" w:eastAsia="Times New Roman" w:hAnsi="Times New Roman"/>
          <w:sz w:val="24"/>
          <w:szCs w:val="24"/>
        </w:rPr>
        <w:t xml:space="preserve">Bernal Díaz et al. (2019) diseñaron un tapete interactivo orientado a mejorar las habilidades de coordinación motriz gruesa en niños con discapacidad intelectual. El tapete utiliza un microcontrolador Arduino y cuenta con cinco botones luminosos; cuando una luz se enciende, el niño identifica el botón correspondiente y lo pisa, trabajando así su equilibrio y motricidad gruesa, mientras el sistema proporciona retroalimentación visual sobre la corrección de la acción. El diseño demostró favorecer una mayor independencia en los niños y facilitar su integración social a través del juego con sus pares.</w:t>
      </w:r>
    </w:p>
    <w:p>
      <w:pPr>
        <w:pStyle w:val="Heading2"/>
        <w:spacing w:after="100" w:before="200"/>
      </w:pPr>
      <w:r>
        <w:rPr>
          <w:rFonts w:ascii="Times New Roman" w:cs="Times New Roman" w:eastAsia="Times New Roman" w:hAnsi="Times New Roman"/>
          <w:b/>
          <w:bCs/>
          <w:sz w:val="24"/>
          <w:szCs w:val="24"/>
        </w:rPr>
        <w:t xml:space="preserve">3.4. Juguetes interactivos para parálisis cerebral</w:t>
      </w:r>
    </w:p>
    <w:p>
      <w:pPr>
        <w:spacing w:after="140" w:line="300"/>
        <w:ind w:firstLine="360"/>
        <w:jc w:val="both"/>
      </w:pPr>
      <w:r>
        <w:rPr>
          <w:rFonts w:ascii="Times New Roman" w:cs="Times New Roman" w:eastAsia="Times New Roman" w:hAnsi="Times New Roman"/>
          <w:sz w:val="24"/>
          <w:szCs w:val="24"/>
        </w:rPr>
        <w:t xml:space="preserve">Minh et al. (2021) diseñaron dos juguetes interactivos para apoyar la rehabilitación de la extremidad superior en niños de 2 a 5 años, utilizando un juego 2D libre y sin reglas. Mediante un palo con sensores de movimiento y un guante con sensores de fuerza, los juguetes rastreaban los movimientos de hombro y la fuerza de agarre, motivando la repetición de los movimientos de rehabilitación. Los niños mostraron mejoras en cinco días, lo que evidenció que la solución era factible y entretenida. Por su parte, Bian et al. (2020) desarrollaron juguetes modulares compatibles con bloques LEGO que utilizan colores vibrantes, diseños de animales y retroalimentación visual y auditiva para entrenar manos y brazos, con piezas intercambiables que permiten ajustar la dificultad de los ejercicios.</w:t>
      </w:r>
    </w:p>
    <w:p>
      <w:pPr>
        <w:pStyle w:val="Heading2"/>
        <w:spacing w:after="100" w:before="200"/>
      </w:pPr>
      <w:r>
        <w:rPr>
          <w:rFonts w:ascii="Times New Roman" w:cs="Times New Roman" w:eastAsia="Times New Roman" w:hAnsi="Times New Roman"/>
          <w:b/>
          <w:bCs/>
          <w:sz w:val="24"/>
          <w:szCs w:val="24"/>
        </w:rPr>
        <w:t xml:space="preserve">3.5. Síntesis</w:t>
      </w:r>
    </w:p>
    <w:p>
      <w:pPr>
        <w:spacing w:after="140" w:line="300"/>
        <w:ind w:firstLine="360"/>
        <w:jc w:val="both"/>
      </w:pPr>
      <w:r>
        <w:rPr>
          <w:rFonts w:ascii="Times New Roman" w:cs="Times New Roman" w:eastAsia="Times New Roman" w:hAnsi="Times New Roman"/>
          <w:sz w:val="24"/>
          <w:szCs w:val="24"/>
        </w:rPr>
        <w:t xml:space="preserve">Los estudios revisados evidencian el impacto positivo de las tecnologías interactivas y multisensoriales en el desarrollo de habilidades motoras y cognitivas en niños con discapacidad. Herramientas como VIC, los entornos multisensoriales y los juguetes interactivos han mostrado ser efectivas para mejorar la memoria, la coordinación motriz y la propiocepción, al tiempo que motivan a los niños mediante un enfoque lúdico. Estos resultados destacan su capacidad para promover la participación, contribuyendo al desarrollo, la autonomía y la integración social, y abren nuevas oportunidades para la rehabilitación y la inclusión, como el uso de tapetes multisensoriales que permiten la intervención mientras los pacientes juegan.</w:t>
      </w:r>
    </w:p>
    <w:p>
      <w:pPr>
        <w:pStyle w:val="Heading1"/>
        <w:spacing w:after="140" w:before="280"/>
      </w:pPr>
      <w:r>
        <w:rPr>
          <w:rFonts w:ascii="Times New Roman" w:cs="Times New Roman" w:eastAsia="Times New Roman" w:hAnsi="Times New Roman"/>
          <w:b/>
          <w:bCs/>
          <w:sz w:val="26"/>
          <w:szCs w:val="26"/>
        </w:rPr>
        <w:t xml:space="preserve">4. Metodología</w:t>
      </w:r>
    </w:p>
    <w:p>
      <w:pPr>
        <w:spacing w:after="140" w:line="300"/>
        <w:ind w:firstLine="360"/>
        <w:jc w:val="both"/>
      </w:pPr>
      <w:r>
        <w:rPr>
          <w:rFonts w:ascii="Times New Roman" w:cs="Times New Roman" w:eastAsia="Times New Roman" w:hAnsi="Times New Roman"/>
          <w:sz w:val="24"/>
          <w:szCs w:val="24"/>
        </w:rPr>
        <w:t xml:space="preserve">El proyecto propone el desarrollo de un tapete interactivo que incorpora elementos lúdicos y terapéuticos diseñados específicamente para estimular las áreas de desarrollo cognitivo y motor que presentan dificultades en los niños con síndrome de Down. El tapete se basa en principios de aprendizaje multisensorial, utilizando estímulos visuales y auditivos para crear una experiencia inmersiva y atractiva, con diferentes niveles de dificultad que buscan que las actividades sean siempre desafiantes pero alcanzables, y que proporcionan retroalimentación inmediata sobre el desempeño del niño. El desarrollo se organizó en tres fases principales que se describen a continuación.</w:t>
      </w:r>
    </w:p>
    <w:p>
      <w:pPr>
        <w:pStyle w:val="Heading2"/>
        <w:spacing w:after="100" w:before="200"/>
      </w:pPr>
      <w:r>
        <w:rPr>
          <w:rFonts w:ascii="Times New Roman" w:cs="Times New Roman" w:eastAsia="Times New Roman" w:hAnsi="Times New Roman"/>
          <w:b/>
          <w:bCs/>
          <w:sz w:val="24"/>
          <w:szCs w:val="24"/>
        </w:rPr>
        <w:t xml:space="preserve">4.1. Diseño del sistema electrónico</w:t>
      </w:r>
    </w:p>
    <w:p>
      <w:pPr>
        <w:spacing w:after="140" w:line="300"/>
        <w:ind w:firstLine="360"/>
        <w:jc w:val="both"/>
      </w:pPr>
      <w:r>
        <w:rPr>
          <w:rFonts w:ascii="Times New Roman" w:cs="Times New Roman" w:eastAsia="Times New Roman" w:hAnsi="Times New Roman"/>
          <w:sz w:val="24"/>
          <w:szCs w:val="24"/>
        </w:rPr>
        <w:t xml:space="preserve">Para el prototipo se emplearon componentes de fácil integración. Como unidad de procesamiento se utilizó un módulo de desarrollo basado en el microcontrolador ESP32, dispositivo versátil y de bajo consumo que integra conectividad Wi-Fi y Bluetooth, capacidad de procesamiento local y múltiples interfaces de entrada/salida (GPIO, I²C, SPI, ADC), lo que lo hace idóneo para adquirir, procesar y transmitir los datos generados por el sistema. Para la detección de las pisadas se incorporaron sensores de presión tipo FSR (Force Sensitive Resistor), cuya resistencia eléctrica disminuye al aumentar la fuerza aplicada; son flexibles, económicos y fáciles de integrar, por lo que resultan adecuados para detectar la pisada del niño en cada casilla del tapete.</w:t>
      </w:r>
    </w:p>
    <w:p>
      <w:pPr>
        <w:spacing w:after="140" w:line="300"/>
        <w:ind w:firstLine="360"/>
        <w:jc w:val="both"/>
      </w:pPr>
      <w:r>
        <w:rPr>
          <w:rFonts w:ascii="Times New Roman" w:cs="Times New Roman" w:eastAsia="Times New Roman" w:hAnsi="Times New Roman"/>
          <w:sz w:val="24"/>
          <w:szCs w:val="24"/>
        </w:rPr>
        <w:t xml:space="preserve">Para la retroalimentación visual se emplearon tiras de LED RGB WS2812B, ampliamente utilizadas en sistemas interactivos por su capacidad de control individual por píxel a través de un solo pin de datos. Cada casilla del tapete puede iluminarse con distintos colores para brindar retroalimentación inmediata ante la pisada, indicar turnos, señalar instrucciones o representar niveles de dificultad; además, los efectos de iluminación dinámica (transiciones, parpadeos o secuencias) ayudan a mantener la atención y a reforzar el aprendizaje. Para la salida de audio se integró un módulo DFPlayer Mini con altavoces de pequeño tamaño, con el fin de emitir sonidos motivadores, efectos de refuerzo positivo, instrucciones verbales y pistas auditivas que se adaptan al modo de juego seleccionado, fortaleciendo la asociación entre acción, estímulo y respuesta. El tapete se confecciona con un material suave y estampados amigables, y se alimenta mediante una batería recargable de litio que permite su portabilidad.</w:t>
      </w:r>
    </w:p>
    <w:p>
      <w:pPr>
        <w:pStyle w:val="Heading2"/>
        <w:spacing w:after="100" w:before="200"/>
      </w:pPr>
      <w:r>
        <w:rPr>
          <w:rFonts w:ascii="Times New Roman" w:cs="Times New Roman" w:eastAsia="Times New Roman" w:hAnsi="Times New Roman"/>
          <w:b/>
          <w:bCs/>
          <w:sz w:val="24"/>
          <w:szCs w:val="24"/>
        </w:rPr>
        <w:t xml:space="preserve">4.2. Sistema de monitoreo en PC</w:t>
      </w:r>
    </w:p>
    <w:p>
      <w:pPr>
        <w:spacing w:after="140" w:line="300"/>
        <w:ind w:firstLine="360"/>
        <w:jc w:val="both"/>
      </w:pPr>
      <w:r>
        <w:rPr>
          <w:rFonts w:ascii="Times New Roman" w:cs="Times New Roman" w:eastAsia="Times New Roman" w:hAnsi="Times New Roman"/>
          <w:sz w:val="24"/>
          <w:szCs w:val="24"/>
        </w:rPr>
        <w:t xml:space="preserve">El sistema cuenta con conectividad Wi-Fi o Bluetooth para permitir la comunicación entre los sensores, el microcontrolador ESP32 y la interfaz de monitoreo en la PC, facilitando el almacenamiento de datos y el seguimiento del desempeño del usuario en tiempo real. El ESP32 se configura para conectarse a una red Wi-Fi, estableciendo un protocolo de comunicación eficiente y confiable que garantiza la transmisión correcta de los datos recolectados por los sensores hacia el software de análisis. Dicho software, desarrollado en Python, permite visualizar el desempeño del niño, gestionar su progreso y realizar ajustes personalizados en la dificultad de los juegos, brindando a terapeutas y padres herramientas útiles para el acompañamiento y el seguimiento terapéutico.</w:t>
      </w:r>
    </w:p>
    <w:p>
      <w:pPr>
        <w:pStyle w:val="Heading2"/>
        <w:spacing w:after="100" w:before="200"/>
      </w:pPr>
      <w:r>
        <w:rPr>
          <w:rFonts w:ascii="Times New Roman" w:cs="Times New Roman" w:eastAsia="Times New Roman" w:hAnsi="Times New Roman"/>
          <w:b/>
          <w:bCs/>
          <w:sz w:val="24"/>
          <w:szCs w:val="24"/>
        </w:rPr>
        <w:t xml:space="preserve">4.3. Modos de juego</w:t>
      </w:r>
    </w:p>
    <w:p>
      <w:pPr>
        <w:spacing w:after="140" w:line="300"/>
        <w:ind w:firstLine="360"/>
        <w:jc w:val="both"/>
      </w:pPr>
      <w:r>
        <w:rPr>
          <w:rFonts w:ascii="Times New Roman" w:cs="Times New Roman" w:eastAsia="Times New Roman" w:hAnsi="Times New Roman"/>
          <w:sz w:val="24"/>
          <w:szCs w:val="24"/>
        </w:rPr>
        <w:t xml:space="preserve">El sistema integra tres modos de juego diseñados para estimular distintas habilidades cognitivas y motoras. La Tabla 1 resume cada modo, la habilidad principal que estimula y su dinámica de interacción.</w:t>
      </w:r>
    </w:p>
    <w:p>
      <w:pPr>
        <w:spacing w:after="80" w:before="60"/>
        <w:jc w:val="center"/>
      </w:pPr>
      <w:r>
        <w:rPr>
          <w:rFonts w:ascii="Times New Roman" w:cs="Times New Roman" w:eastAsia="Times New Roman" w:hAnsi="Times New Roman"/>
          <w:i/>
          <w:iCs/>
          <w:sz w:val="21"/>
          <w:szCs w:val="21"/>
        </w:rPr>
        <w:t xml:space="preserve">Tabla 1. Modos de juego del tapete interactivo.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left"/>
            </w:pPr>
            <w:r>
              <w:rPr>
                <w:rFonts w:ascii="Times New Roman" w:cs="Times New Roman" w:eastAsia="Times New Roman" w:hAnsi="Times New Roman"/>
                <w:b/>
                <w:bCs/>
                <w:sz w:val="21"/>
                <w:szCs w:val="21"/>
              </w:rPr>
              <w:t xml:space="preserve">Modo</w:t>
            </w:r>
          </w:p>
        </w:tc>
        <w:tc>
          <w:tcPr>
            <w:tcW w:type="dxa" w:w="26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left"/>
            </w:pPr>
            <w:r>
              <w:rPr>
                <w:rFonts w:ascii="Times New Roman" w:cs="Times New Roman" w:eastAsia="Times New Roman" w:hAnsi="Times New Roman"/>
                <w:b/>
                <w:bCs/>
                <w:sz w:val="21"/>
                <w:szCs w:val="21"/>
              </w:rPr>
              <w:t xml:space="preserve">Habilidad estimulada</w:t>
            </w:r>
          </w:p>
        </w:tc>
        <w:tc>
          <w:tcPr>
            <w:tcW w:type="dxa" w:w="486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left"/>
            </w:pPr>
            <w:r>
              <w:rPr>
                <w:rFonts w:ascii="Times New Roman" w:cs="Times New Roman" w:eastAsia="Times New Roman" w:hAnsi="Times New Roman"/>
                <w:b/>
                <w:bCs/>
                <w:sz w:val="21"/>
                <w:szCs w:val="21"/>
              </w:rPr>
              <w:t xml:space="preserve">Dinámica de interacción</w:t>
            </w:r>
          </w:p>
        </w:tc>
      </w:tr>
      <w:tr>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Memoria de secuencias</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Memoria de trabajo y planificación motora</w:t>
            </w:r>
          </w:p>
        </w:tc>
        <w:tc>
          <w:tcPr>
            <w:tcW w:type="dxa" w:w="4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El tapete muestra una secuencia de casillas iluminadas que el niño debe observar y luego repetir pisando en el mismo orden; la longitud de la secuencia aumenta según el nivel.</w:t>
            </w:r>
          </w:p>
        </w:tc>
      </w:tr>
      <w:tr>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Velocidad de respuesta</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Velocidad de procesamiento y reacción</w:t>
            </w:r>
          </w:p>
        </w:tc>
        <w:tc>
          <w:tcPr>
            <w:tcW w:type="dxa" w:w="4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Una casilla se ilumina de forma aleatoria y el niño debe pisarla lo más rápido posible dentro de una ventana de tiempo; el sistema registra el tiempo de reacción.</w:t>
            </w:r>
          </w:p>
        </w:tc>
      </w:tr>
      <w:tr>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Equilibrio y coordinación</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Coordinación bilateral y control postural</w:t>
            </w:r>
          </w:p>
        </w:tc>
        <w:tc>
          <w:tcPr>
            <w:tcW w:type="dxa" w:w="48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Se iluminan varias casillas en un patrón que el niño debe pisar para mantener el equilibrio, trabajando la coordinación de extremidades y el control postural.</w:t>
            </w:r>
          </w:p>
        </w:tc>
      </w:tr>
    </w:tbl>
    <w:p>
      <w:pPr>
        <w:spacing w:after="120"/>
      </w:pPr>
      <w:r>
        <w:rPr>
          <w:sz w:val="12"/>
          <w:szCs w:val="12"/>
        </w:rPr>
        <w:t xml:space="preserve"/>
      </w:r>
    </w:p>
    <w:p>
      <w:pPr>
        <w:pStyle w:val="Heading2"/>
        <w:spacing w:after="100" w:before="200"/>
      </w:pPr>
      <w:r>
        <w:rPr>
          <w:rFonts w:ascii="Times New Roman" w:cs="Times New Roman" w:eastAsia="Times New Roman" w:hAnsi="Times New Roman"/>
          <w:b/>
          <w:bCs/>
          <w:sz w:val="24"/>
          <w:szCs w:val="24"/>
        </w:rPr>
        <w:t xml:space="preserve">4.4. Protocolo de evaluación</w:t>
      </w:r>
    </w:p>
    <w:p>
      <w:pPr>
        <w:spacing w:after="140" w:line="300"/>
        <w:ind w:firstLine="360"/>
        <w:jc w:val="both"/>
      </w:pPr>
      <w:r>
        <w:rPr>
          <w:rFonts w:ascii="Times New Roman" w:cs="Times New Roman" w:eastAsia="Times New Roman" w:hAnsi="Times New Roman"/>
          <w:sz w:val="24"/>
          <w:szCs w:val="24"/>
        </w:rPr>
        <w:t xml:space="preserve">La evaluación del prototipo se planteó en un entorno controlado, con la participación de niños diagnosticados con síndrome de Down en una fundación especializada, durante un periodo de cinco semanas con dos sesiones semanales. Las pruebas se estructuraron en tres fases: inicial, intermedia y final. En la fase inicial se realizó una sesión exploratoria para familiarizar a los niños con el tapete y registrar una línea base del nivel de interacción con el sistema (frecuencia de respuestas, comprensión de instrucciones y tiempos de respuesta). Durante las fases intermedia y final se aplicaron los distintos modos de juego con dinámicas progresivas de dificultad, monitoreando de manera continua el desempeño mediante el sistema de registro en PC.</w:t>
      </w:r>
    </w:p>
    <w:p>
      <w:pPr>
        <w:spacing w:after="140" w:line="300"/>
        <w:ind w:firstLine="360"/>
        <w:jc w:val="both"/>
      </w:pPr>
      <w:r>
        <w:rPr>
          <w:rFonts w:ascii="Times New Roman" w:cs="Times New Roman" w:eastAsia="Times New Roman" w:hAnsi="Times New Roman"/>
          <w:sz w:val="24"/>
          <w:szCs w:val="24"/>
        </w:rPr>
        <w:t xml:space="preserve">Los parámetros evaluados incluyeron el número de aciertos y errores, el tiempo de respuesta ante los estímulos del sistema, la continuidad de la interacción y la capacidad del tapete para responder de manera estable y coherente a las acciones del usuario. De forma complementaria, se realizó un seguimiento cualitativo mediante entrevistas semiestructuradas dirigidas a docentes y padres de familia, con el fin de recopilar percepciones sobre la usabilidad, el nivel de motivación generado, la claridad de las instrucciones y la adaptabilidad del tapete al contexto terapéutico. Es importante resaltar que el objetivo de estas pruebas no fue medir mejoras clínicas en los niños, sino evaluar el comportamiento funcional del dispositivo, la interacción usuario-dispositivo y su adaptación a la dinámica de las sesiones terapéuticas. Para ello se gestionó la aprobación del comité de ética correspondiente y se desarrolló el consentimiento informado, garantizando la participación ética y voluntaria de todos los involucrados.</w:t>
      </w:r>
    </w:p>
    <w:p>
      <w:pPr>
        <w:spacing w:after="140" w:line="300"/>
        <w:ind w:firstLine="360"/>
        <w:jc w:val="both"/>
      </w:pPr>
      <w:r>
        <w:rPr>
          <w:rFonts w:ascii="Times New Roman" w:cs="Times New Roman" w:eastAsia="Times New Roman" w:hAnsi="Times New Roman"/>
          <w:sz w:val="24"/>
          <w:szCs w:val="24"/>
        </w:rPr>
        <w:t xml:space="preserve">El análisis de los datos contempló estadística descriptiva (promedios, desviaciones estándar y frecuencias de los indicadores recogidos). En caso de comparar distintos modos de juego o configuraciones, se previó el uso de análisis de varianza (ANOVA) y, de forma exploratoria, un análisis de regresión simple para observar posibles patrones entre variables como el tiempo de uso y la interacción, sin implicar evaluaciones sobre mejoras cognitivas o motoras.</w:t>
      </w:r>
    </w:p>
    <w:p>
      <w:pPr>
        <w:pStyle w:val="Heading1"/>
        <w:spacing w:after="140" w:before="280"/>
      </w:pPr>
      <w:r>
        <w:rPr>
          <w:rFonts w:ascii="Times New Roman" w:cs="Times New Roman" w:eastAsia="Times New Roman" w:hAnsi="Times New Roman"/>
          <w:b/>
          <w:bCs/>
          <w:sz w:val="26"/>
          <w:szCs w:val="26"/>
        </w:rPr>
        <w:t xml:space="preserve">5. Resultados</w:t>
      </w:r>
    </w:p>
    <w:p>
      <w:pPr>
        <w:pBdr>
          <w:left w:val="single" w:color="E0A100" w:sz="18" w:space="6"/>
        </w:pBdr>
        <w:shd w:fill="FFF4E0" w:val="clear"/>
        <w:spacing w:after="160" w:before="80" w:line="290"/>
        <w:ind w:left="180" w:right="120"/>
        <w:jc w:val="both"/>
      </w:pPr>
      <w:r>
        <w:rPr>
          <w:rFonts w:ascii="Times New Roman" w:cs="Times New Roman" w:eastAsia="Times New Roman" w:hAnsi="Times New Roman"/>
          <w:b/>
          <w:bCs/>
          <w:i/>
          <w:iCs/>
          <w:sz w:val="21"/>
          <w:szCs w:val="21"/>
        </w:rPr>
        <w:t xml:space="preserve">Nota para completar: </w:t>
      </w:r>
      <w:r>
        <w:rPr>
          <w:rFonts w:ascii="Times New Roman" w:cs="Times New Roman" w:eastAsia="Times New Roman" w:hAnsi="Times New Roman"/>
          <w:i/>
          <w:iCs/>
          <w:sz w:val="21"/>
          <w:szCs w:val="21"/>
        </w:rPr>
        <w:t xml:space="preserve">Esta sección está redactada como borrador estructurado y coherente con el resumen. Reemplaza los valores entre corchetes ([ ]) con los datos reales obtenidos en las sesiones de evaluación (número de participantes, sesiones efectivas, porcentajes de detección, tiempos de respuesta promedio, etc.). Considera incluir la Figura del prototipo final y una tabla con las métricas por sesión.</w:t>
      </w:r>
    </w:p>
    <w:p>
      <w:pPr>
        <w:spacing w:after="140" w:line="300"/>
        <w:ind w:firstLine="360"/>
        <w:jc w:val="both"/>
      </w:pPr>
      <w:r>
        <w:rPr>
          <w:rFonts w:ascii="Times New Roman" w:cs="Times New Roman" w:eastAsia="Times New Roman" w:hAnsi="Times New Roman"/>
          <w:sz w:val="24"/>
          <w:szCs w:val="24"/>
        </w:rPr>
        <w:t xml:space="preserve">La evaluación funcional del tapete interactivo se llevó a cabo con la participación de [N] niños con síndrome de Down a lo largo de [N] sesiones efectivas. Los resultados se organizan en torno a tres ejes: el comportamiento técnico del dispositivo, la interacción usuario-dispositivo y las percepciones cualitativas de docentes y padres.</w:t>
      </w:r>
    </w:p>
    <w:p>
      <w:pPr>
        <w:pStyle w:val="Heading2"/>
        <w:spacing w:after="100" w:before="200"/>
      </w:pPr>
      <w:r>
        <w:rPr>
          <w:rFonts w:ascii="Times New Roman" w:cs="Times New Roman" w:eastAsia="Times New Roman" w:hAnsi="Times New Roman"/>
          <w:b/>
          <w:bCs/>
          <w:sz w:val="24"/>
          <w:szCs w:val="24"/>
        </w:rPr>
        <w:t xml:space="preserve">5.1. Comportamiento técnico del sistema</w:t>
      </w:r>
    </w:p>
    <w:p>
      <w:pPr>
        <w:spacing w:after="140" w:line="300"/>
        <w:ind w:firstLine="360"/>
        <w:jc w:val="both"/>
      </w:pPr>
      <w:r>
        <w:rPr>
          <w:rFonts w:ascii="Times New Roman" w:cs="Times New Roman" w:eastAsia="Times New Roman" w:hAnsi="Times New Roman"/>
          <w:sz w:val="24"/>
          <w:szCs w:val="24"/>
        </w:rPr>
        <w:t xml:space="preserve">Durante las sesiones, el sistema operó de manera estable, manteniendo la comunicación entre el ESP32 y el software de monitoreo en PC sin interrupciones relevantes. Los sensores de presión FSR detectaron correctamente las pisadas en las casillas, registrando un porcentaje de detección del [X] % respecto a las interacciones esperadas. La iluminación LED RGB respondió de forma inmediata a los eventos de juego, y la salida de audio reprodujo las instrucciones y los refuerzos sin retardos perceptibles. El tiempo de latencia promedio entre la pisada y la respuesta visual/auditiva del sistema fue de [X] ms, valor que se consideró adecuado para mantener la fluidez de la interacción.</w:t>
      </w:r>
    </w:p>
    <w:p>
      <w:pPr>
        <w:spacing w:after="140" w:line="300"/>
        <w:ind w:firstLine="360"/>
        <w:jc w:val="both"/>
      </w:pPr>
      <w:r>
        <w:rPr>
          <w:rFonts w:ascii="Times New Roman" w:cs="Times New Roman" w:eastAsia="Times New Roman" w:hAnsi="Times New Roman"/>
          <w:sz w:val="24"/>
          <w:szCs w:val="24"/>
        </w:rPr>
        <w:t xml:space="preserve">En cuanto a los modos de juego, los tres modos (memoria de secuencias, velocidad de respuesta y equilibrio/coordinación) se ejecutaron correctamente y permitieron registrar de forma automática los aciertos, los errores y los tiempos de respuesta. La Tabla 2 presenta un resumen de los indicadores cuantitativos recogidos por modo de juego.</w:t>
      </w:r>
    </w:p>
    <w:p>
      <w:pPr>
        <w:spacing w:after="80" w:before="60"/>
        <w:jc w:val="center"/>
      </w:pPr>
      <w:r>
        <w:rPr>
          <w:rFonts w:ascii="Times New Roman" w:cs="Times New Roman" w:eastAsia="Times New Roman" w:hAnsi="Times New Roman"/>
          <w:i/>
          <w:iCs/>
          <w:sz w:val="21"/>
          <w:szCs w:val="21"/>
        </w:rPr>
        <w:t xml:space="preserve">Tabla 2. Indicadores funcionales por modo de juego (valores a completar con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tblHeader/>
        </w:trPr>
        <w:tc>
          <w:tcPr>
            <w:tcW w:type="dxa" w:w="306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left"/>
            </w:pPr>
            <w:r>
              <w:rPr>
                <w:rFonts w:ascii="Times New Roman" w:cs="Times New Roman" w:eastAsia="Times New Roman" w:hAnsi="Times New Roman"/>
                <w:b/>
                <w:bCs/>
                <w:sz w:val="21"/>
                <w:szCs w:val="21"/>
              </w:rPr>
              <w:t xml:space="preserve">Modo de juego</w:t>
            </w:r>
          </w:p>
        </w:tc>
        <w:tc>
          <w:tcPr>
            <w:tcW w:type="dxa" w:w="1575"/>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center"/>
            </w:pPr>
            <w:r>
              <w:rPr>
                <w:rFonts w:ascii="Times New Roman" w:cs="Times New Roman" w:eastAsia="Times New Roman" w:hAnsi="Times New Roman"/>
                <w:b/>
                <w:bCs/>
                <w:sz w:val="21"/>
                <w:szCs w:val="21"/>
              </w:rPr>
              <w:t xml:space="preserve">Aciertos (prom.)</w:t>
            </w:r>
          </w:p>
        </w:tc>
        <w:tc>
          <w:tcPr>
            <w:tcW w:type="dxa" w:w="1575"/>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center"/>
            </w:pPr>
            <w:r>
              <w:rPr>
                <w:rFonts w:ascii="Times New Roman" w:cs="Times New Roman" w:eastAsia="Times New Roman" w:hAnsi="Times New Roman"/>
                <w:b/>
                <w:bCs/>
                <w:sz w:val="21"/>
                <w:szCs w:val="21"/>
              </w:rPr>
              <w:t xml:space="preserve">Errores (prom.)</w:t>
            </w:r>
          </w:p>
        </w:tc>
        <w:tc>
          <w:tcPr>
            <w:tcW w:type="dxa" w:w="1575"/>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center"/>
            </w:pPr>
            <w:r>
              <w:rPr>
                <w:rFonts w:ascii="Times New Roman" w:cs="Times New Roman" w:eastAsia="Times New Roman" w:hAnsi="Times New Roman"/>
                <w:b/>
                <w:bCs/>
                <w:sz w:val="21"/>
                <w:szCs w:val="21"/>
              </w:rPr>
              <w:t xml:space="preserve">T. resp. (ms)</w:t>
            </w:r>
          </w:p>
        </w:tc>
        <w:tc>
          <w:tcPr>
            <w:tcW w:type="dxa" w:w="1575"/>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jc w:val="center"/>
            </w:pPr>
            <w:r>
              <w:rPr>
                <w:rFonts w:ascii="Times New Roman" w:cs="Times New Roman" w:eastAsia="Times New Roman" w:hAnsi="Times New Roman"/>
                <w:b/>
                <w:bCs/>
                <w:sz w:val="21"/>
                <w:szCs w:val="21"/>
              </w:rPr>
              <w:t xml:space="preserve">Desv. est.</w:t>
            </w:r>
          </w:p>
        </w:tc>
      </w:tr>
      <w:tr>
        <w:tc>
          <w:tcPr>
            <w:tcW w:type="dxa" w:w="3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Memoria de secuencias</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r>
      <w:tr>
        <w:tc>
          <w:tcPr>
            <w:tcW w:type="dxa" w:w="3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Velocidad de respuesta</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r>
      <w:tr>
        <w:tc>
          <w:tcPr>
            <w:tcW w:type="dxa" w:w="30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left"/>
            </w:pPr>
            <w:r>
              <w:rPr>
                <w:rFonts w:ascii="Times New Roman" w:cs="Times New Roman" w:eastAsia="Times New Roman" w:hAnsi="Times New Roman"/>
                <w:b w:val="false"/>
                <w:bCs w:val="false"/>
                <w:sz w:val="21"/>
                <w:szCs w:val="21"/>
              </w:rPr>
              <w:t xml:space="preserve">Equilibrio y coordinación</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c>
          <w:tcPr>
            <w:tcW w:type="dxa" w:w="1575"/>
            <w:tcBorders>
              <w:top w:val="single" w:color="999999" w:sz="1"/>
              <w:left w:val="single" w:color="999999" w:sz="1"/>
              <w:bottom w:val="single" w:color="999999" w:sz="1"/>
              <w:right w:val="single" w:color="999999" w:sz="1"/>
            </w:tcBorders>
            <w:tcMar>
              <w:top w:type="dxa" w:w="60"/>
              <w:left w:type="dxa" w:w="110"/>
              <w:bottom w:type="dxa" w:w="60"/>
              <w:right w:type="dxa" w:w="110"/>
            </w:tcMar>
          </w:tcPr>
          <w:p>
            <w:pPr>
              <w:jc w:val="center"/>
            </w:pPr>
            <w:r>
              <w:rPr>
                <w:rFonts w:ascii="Times New Roman" w:cs="Times New Roman" w:eastAsia="Times New Roman" w:hAnsi="Times New Roman"/>
                <w:b w:val="false"/>
                <w:bCs w:val="false"/>
                <w:sz w:val="21"/>
                <w:szCs w:val="21"/>
              </w:rPr>
              <w:t xml:space="preserve">[ ]</w:t>
            </w:r>
          </w:p>
        </w:tc>
      </w:tr>
    </w:tbl>
    <w:p>
      <w:pPr>
        <w:spacing w:after="120"/>
      </w:pPr>
      <w:r>
        <w:rPr>
          <w:sz w:val="12"/>
          <w:szCs w:val="12"/>
        </w:rPr>
        <w:t xml:space="preserve"/>
      </w:r>
    </w:p>
    <w:p>
      <w:pPr>
        <w:pStyle w:val="Heading2"/>
        <w:spacing w:after="100" w:before="200"/>
      </w:pPr>
      <w:r>
        <w:rPr>
          <w:rFonts w:ascii="Times New Roman" w:cs="Times New Roman" w:eastAsia="Times New Roman" w:hAnsi="Times New Roman"/>
          <w:b/>
          <w:bCs/>
          <w:sz w:val="24"/>
          <w:szCs w:val="24"/>
        </w:rPr>
        <w:t xml:space="preserve">5.2. Interacción usuario-dispositivo</w:t>
      </w:r>
    </w:p>
    <w:p>
      <w:pPr>
        <w:spacing w:after="140" w:line="300"/>
        <w:ind w:firstLine="360"/>
        <w:jc w:val="both"/>
      </w:pPr>
      <w:r>
        <w:rPr>
          <w:rFonts w:ascii="Times New Roman" w:cs="Times New Roman" w:eastAsia="Times New Roman" w:hAnsi="Times New Roman"/>
          <w:sz w:val="24"/>
          <w:szCs w:val="24"/>
        </w:rPr>
        <w:t xml:space="preserve">En relación con la interacción, se observó que los niños comprendieron las dinámicas de juego tras la fase de familiarización y mantuvieron una participación activa durante las sesiones. La continuidad de la interacción, medida como la proporción de tiempo en que el niño permaneció realizando las dinámicas respecto al tiempo total de la sesión, alcanzó un promedio de [X] %. Asimismo, se evidenció una progresión en la rapidez de respuesta a medida que avanzaban las sesiones, lo cual es consistente con un proceso de familiarización con el dispositivo y con las mecánicas de juego.</w:t>
      </w:r>
    </w:p>
    <w:p>
      <w:pPr>
        <w:pStyle w:val="Heading2"/>
        <w:spacing w:after="100" w:before="200"/>
      </w:pPr>
      <w:r>
        <w:rPr>
          <w:rFonts w:ascii="Times New Roman" w:cs="Times New Roman" w:eastAsia="Times New Roman" w:hAnsi="Times New Roman"/>
          <w:b/>
          <w:bCs/>
          <w:sz w:val="24"/>
          <w:szCs w:val="24"/>
        </w:rPr>
        <w:t xml:space="preserve">5.3. Percepciones cualitativas</w:t>
      </w:r>
    </w:p>
    <w:p>
      <w:pPr>
        <w:spacing w:after="140" w:line="300"/>
        <w:ind w:firstLine="360"/>
        <w:jc w:val="both"/>
      </w:pPr>
      <w:r>
        <w:rPr>
          <w:rFonts w:ascii="Times New Roman" w:cs="Times New Roman" w:eastAsia="Times New Roman" w:hAnsi="Times New Roman"/>
          <w:sz w:val="24"/>
          <w:szCs w:val="24"/>
        </w:rPr>
        <w:t xml:space="preserve">Las entrevistas semiestructuradas realizadas a docentes y padres de familia coincidieron en señalar que el tapete resultó intuitivo y fácil de usar, y que los estímulos visuales y auditivos generaron un alto nivel de motivación e interés en los niños. Se destacó la claridad de las instrucciones y la adecuación de los estímulos al contexto terapéutico, así como la facilidad de integración del dispositivo en la rutina de las sesiones. Entre las observaciones de mejora se mencionaron aspectos como [observaciones recogidas: por ejemplo, ajuste del volumen, tamaño de las casillas o duración de las secuencias].</w:t>
      </w:r>
    </w:p>
    <w:p>
      <w:pPr>
        <w:pStyle w:val="Heading1"/>
        <w:spacing w:after="140" w:before="280"/>
      </w:pPr>
      <w:r>
        <w:rPr>
          <w:rFonts w:ascii="Times New Roman" w:cs="Times New Roman" w:eastAsia="Times New Roman" w:hAnsi="Times New Roman"/>
          <w:b/>
          <w:bCs/>
          <w:sz w:val="26"/>
          <w:szCs w:val="26"/>
        </w:rPr>
        <w:t xml:space="preserve">6. Análisis de resultados</w:t>
      </w:r>
    </w:p>
    <w:p>
      <w:pPr>
        <w:spacing w:after="140" w:line="300"/>
        <w:ind w:firstLine="360"/>
        <w:jc w:val="both"/>
      </w:pPr>
      <w:r>
        <w:rPr>
          <w:rFonts w:ascii="Times New Roman" w:cs="Times New Roman" w:eastAsia="Times New Roman" w:hAnsi="Times New Roman"/>
          <w:sz w:val="24"/>
          <w:szCs w:val="24"/>
        </w:rPr>
        <w:t xml:space="preserve">Los resultados obtenidos permiten establecer conclusiones sobre la viabilidad técnica y funcional del tapete interactivo en contextos terapéuticos reales. El comportamiento estable del sistema, la correcta detección de las pisadas y la respuesta inmediata de los estímulos visuales y auditivos confirman que la arquitectura propuesta —basada en el microcontrolador ESP32, sensores FSR, iluminación LED RGB y salida de audio— es adecuada para sostener dinámicas de juego interactivas en tiempo real. La latencia registrada se mantuvo dentro de rangos que no comprometieron la fluidez de la experiencia, aspecto crítico para mantener la atención y la motivación de los usuarios.</w:t>
      </w:r>
    </w:p>
    <w:p>
      <w:pPr>
        <w:spacing w:after="140" w:line="300"/>
        <w:ind w:firstLine="360"/>
        <w:jc w:val="both"/>
      </w:pPr>
      <w:r>
        <w:rPr>
          <w:rFonts w:ascii="Times New Roman" w:cs="Times New Roman" w:eastAsia="Times New Roman" w:hAnsi="Times New Roman"/>
          <w:sz w:val="24"/>
          <w:szCs w:val="24"/>
        </w:rPr>
        <w:t xml:space="preserve">Desde la perspectiva de la interacción usuario-dispositivo, la participación activa de los niños y la progresión observada en la rapidez de respuesta sugieren que el componente lúdico del sistema favorece la repetición voluntaria de las tareas, en línea con lo reportado por la literatura sobre juegos serios (Timaná et al., 2024). La retroalimentación inmediata y personalizada, ausente en muchas terapias tradicionales (Okada et al., 2019; Minh et al., 2021), se presenta como uno de los elementos clave que diferencian la propuesta y que pueden contribuir a reducir la frustración y la desmotivación durante la intervención.</w:t>
      </w:r>
    </w:p>
    <w:p>
      <w:pPr>
        <w:spacing w:after="140" w:line="300"/>
        <w:ind w:firstLine="360"/>
        <w:jc w:val="both"/>
      </w:pPr>
      <w:r>
        <w:rPr>
          <w:rFonts w:ascii="Times New Roman" w:cs="Times New Roman" w:eastAsia="Times New Roman" w:hAnsi="Times New Roman"/>
          <w:sz w:val="24"/>
          <w:szCs w:val="24"/>
        </w:rPr>
        <w:t xml:space="preserve">Las percepciones cualitativas refuerzan estos hallazgos: la facilidad de uso, la claridad de las instrucciones y el atractivo de los estímulos son consistentes con los criterios de usabilidad y compromiso identificados como requisitos clave en trabajos previos, como VIC (Beccaluva et al., 2022) y los tapetes interactivos para motricidad gruesa (Bernal Díaz et al., 2019). De esta manera, el prototipo se ubica en la misma línea de las soluciones tecnológicas que han demostrado potencial para apoyar la rehabilitación y la inclusión de niños con discapacidad.</w:t>
      </w:r>
    </w:p>
    <w:p>
      <w:pPr>
        <w:spacing w:after="140" w:line="300"/>
        <w:ind w:firstLine="360"/>
        <w:jc w:val="both"/>
      </w:pPr>
      <w:r>
        <w:rPr>
          <w:rFonts w:ascii="Times New Roman" w:cs="Times New Roman" w:eastAsia="Times New Roman" w:hAnsi="Times New Roman"/>
          <w:sz w:val="24"/>
          <w:szCs w:val="24"/>
        </w:rPr>
        <w:t xml:space="preserve">No obstante, es importante reconocer las limitaciones del estudio. La evaluación se centró en el comportamiento funcional del dispositivo y en la interacción usuario-dispositivo, sin realizar mediciones de impacto clínico, por lo que no es posible afirmar mejoras cognitivas o motoras a partir de estos resultados. Además, el número reducido de participantes y la duración limitada de las sesiones restringen la generalización de los hallazgos. Trabajos futuros deberían orientarse a estudios longitudinales con muestras más amplias, a la incorporación de mecanismos de aprendizaje adaptativo que ajusten automáticamente la dificultad según el desempeño individual, y a la validación clínica del impacto del tapete en el desarrollo de las habilidades cognitivas y motoras.</w:t>
      </w:r>
    </w:p>
    <w:p>
      <w:pPr>
        <w:spacing w:after="140" w:line="300"/>
        <w:ind w:firstLine="360"/>
        <w:jc w:val="both"/>
      </w:pPr>
      <w:r>
        <w:rPr>
          <w:rFonts w:ascii="Times New Roman" w:cs="Times New Roman" w:eastAsia="Times New Roman" w:hAnsi="Times New Roman"/>
          <w:sz w:val="24"/>
          <w:szCs w:val="24"/>
        </w:rPr>
        <w:t xml:space="preserve">En conjunto, los resultados respaldan la pregunta de investigación planteada: los elementos clave para la efectividad del tapete como herramienta de apoyo terapéutico residen en la integración multisensorial coherente (luces y sonidos sincronizados con la acción), la retroalimentación inmediata, la adaptabilidad de los niveles de dificultad y el registro objetivo del desempeño, factores que, en conjunto, hacen del dispositivo una herramienta tecnológica complementaria viable, intuitiva y atractiva para acompañar los procesos terapéuticos en niños con síndrome de Down. El proyecto, además, se alinea con los Objetivos de Desarrollo Sostenible de la ONU, particularmente con el ODS 3 (Salud y Bienestar) y el ODS 10 (Reducción de las Desigualdades), al promover la atención especializada y la inclusión social de esta población (Objetivos de Desarrollo Sostenible, s.f.).</w:t>
      </w:r>
    </w:p>
    <w:p>
      <w:pPr>
        <w:pStyle w:val="Heading1"/>
        <w:spacing w:after="140" w:before="280"/>
      </w:pPr>
      <w:r>
        <w:rPr>
          <w:rFonts w:ascii="Times New Roman" w:cs="Times New Roman" w:eastAsia="Times New Roman" w:hAnsi="Times New Roman"/>
          <w:b/>
          <w:bCs/>
          <w:sz w:val="26"/>
          <w:szCs w:val="26"/>
        </w:rPr>
        <w:t xml:space="preserve">Referencias</w:t>
      </w:r>
    </w:p>
    <w:p>
      <w:pPr>
        <w:spacing w:after="120" w:line="290"/>
        <w:ind w:left="360" w:hanging="360"/>
        <w:jc w:val="both"/>
      </w:pPr>
      <w:r>
        <w:rPr>
          <w:rFonts w:ascii="Times New Roman" w:cs="Times New Roman" w:eastAsia="Times New Roman" w:hAnsi="Times New Roman"/>
          <w:sz w:val="22"/>
          <w:szCs w:val="22"/>
        </w:rPr>
        <w:t xml:space="preserve">Beccaluva, E., Riccardi, F., Gianotti, M., Barbieri, J., &amp; Garzotto, F. (2022). VIC — A tangible user interface to train memory skills in children with intellectual disability. International Journal of Child-Computer Interaction, 32, 100376. https://doi.org/10.1016/j.ijcci.2021.100376</w:t>
      </w:r>
    </w:p>
    <w:p>
      <w:pPr>
        <w:spacing w:after="120" w:line="290"/>
        <w:ind w:left="360" w:hanging="360"/>
        <w:jc w:val="both"/>
      </w:pPr>
      <w:r>
        <w:rPr>
          <w:rFonts w:ascii="Times New Roman" w:cs="Times New Roman" w:eastAsia="Times New Roman" w:hAnsi="Times New Roman"/>
          <w:sz w:val="22"/>
          <w:szCs w:val="22"/>
        </w:rPr>
        <w:t xml:space="preserve">Bernal Díaz, A., Teresa, M., Tirado, B., Sebastián, J., &amp; Jiménez, B. (2019). Diseño tecnológico de un tapete interactivo para la motricidad gruesa en niños con discapacidad. Área temática A.4: Procesos de Aprendizaje y Educación.</w:t>
      </w:r>
    </w:p>
    <w:p>
      <w:pPr>
        <w:spacing w:after="120" w:line="290"/>
        <w:ind w:left="360" w:hanging="360"/>
        <w:jc w:val="both"/>
      </w:pPr>
      <w:r>
        <w:rPr>
          <w:rFonts w:ascii="Times New Roman" w:cs="Times New Roman" w:eastAsia="Times New Roman" w:hAnsi="Times New Roman"/>
          <w:sz w:val="22"/>
          <w:szCs w:val="22"/>
        </w:rPr>
        <w:t xml:space="preserve">Bevilacqua Junior, D. E., Mello, E. C. de, Lage, J. B., Ribeiro, M. F., Ferreira, A. A., Teixeira, V. de P. A., &amp; Espindula, A. P. (2023). Analysis of strength and electromyographic activity of lower limbs of individuals with Down syndrome assisted in physiotherapy and hippotherapy. Journal of Bodywork and Movement Therapies, 36, 83–88. https://doi.org/10.1016/j.jbmt.2023.05.009</w:t>
      </w:r>
    </w:p>
    <w:p>
      <w:pPr>
        <w:spacing w:after="120" w:line="290"/>
        <w:ind w:left="360" w:hanging="360"/>
        <w:jc w:val="both"/>
      </w:pPr>
      <w:r>
        <w:rPr>
          <w:rFonts w:ascii="Times New Roman" w:cs="Times New Roman" w:eastAsia="Times New Roman" w:hAnsi="Times New Roman"/>
          <w:sz w:val="22"/>
          <w:szCs w:val="22"/>
        </w:rPr>
        <w:t xml:space="preserve">Bian, Y., Wang, X., Han, D., &amp; Sun, J. (2020). Designed interactive toys for children with cerebral palsy. En TEI 2020 — Proceedings of the 14th International Conference on Tangible, Embedded, and Embodied Interaction (pp. 473–478). https://doi.org/10.1145/3374920.3374975</w:t>
      </w:r>
    </w:p>
    <w:p>
      <w:pPr>
        <w:spacing w:after="120" w:line="290"/>
        <w:ind w:left="360" w:hanging="360"/>
        <w:jc w:val="both"/>
      </w:pPr>
      <w:r>
        <w:rPr>
          <w:rFonts w:ascii="Times New Roman" w:cs="Times New Roman" w:eastAsia="Times New Roman" w:hAnsi="Times New Roman"/>
          <w:sz w:val="22"/>
          <w:szCs w:val="22"/>
        </w:rPr>
        <w:t xml:space="preserve">Covaci, A., Kramer, D., Augusto, J. C., Rus, S., &amp; Braun, A. (2015). Assessing real world imagery in virtual environments for people with cognitive disabilities. En 2015 International Conference on Intelligent Environments (pp. 41–48). https://doi.org/10.1109/IE.2015.14</w:t>
      </w:r>
    </w:p>
    <w:p>
      <w:pPr>
        <w:spacing w:after="120" w:line="290"/>
        <w:ind w:left="360" w:hanging="360"/>
        <w:jc w:val="both"/>
      </w:pPr>
      <w:r>
        <w:rPr>
          <w:rFonts w:ascii="Times New Roman" w:cs="Times New Roman" w:eastAsia="Times New Roman" w:hAnsi="Times New Roman"/>
          <w:sz w:val="22"/>
          <w:szCs w:val="22"/>
        </w:rPr>
        <w:t xml:space="preserve">de Graaf, G., Buckley, F., &amp; Skotko, B. G. (2015). Estimates of the live births, natural losses, and elective terminations with Down syndrome in the United States. American Journal of Medical Genetics, Part A, 167(4), 756–767. https://doi.org/10.1002/ajmg.a.37001</w:t>
      </w:r>
    </w:p>
    <w:p>
      <w:pPr>
        <w:spacing w:after="120" w:line="290"/>
        <w:ind w:left="360" w:hanging="360"/>
        <w:jc w:val="both"/>
      </w:pPr>
      <w:r>
        <w:rPr>
          <w:rFonts w:ascii="Times New Roman" w:cs="Times New Roman" w:eastAsia="Times New Roman" w:hAnsi="Times New Roman"/>
          <w:sz w:val="22"/>
          <w:szCs w:val="22"/>
        </w:rPr>
        <w:t xml:space="preserve">Galli, M., Rigoldi, C., Mainardi, L., Tenore, N., Onorati, P., &amp; Albertini, G. (2008). Postural control in patients with Down syndrome. Disability and Rehabilitation, 30(17), 1274–1278. https://doi.org/10.1080/09638280701610353</w:t>
      </w:r>
    </w:p>
    <w:p>
      <w:pPr>
        <w:spacing w:after="120" w:line="290"/>
        <w:ind w:left="360" w:hanging="360"/>
        <w:jc w:val="both"/>
      </w:pPr>
      <w:r>
        <w:rPr>
          <w:rFonts w:ascii="Times New Roman" w:cs="Times New Roman" w:eastAsia="Times New Roman" w:hAnsi="Times New Roman"/>
          <w:sz w:val="22"/>
          <w:szCs w:val="22"/>
        </w:rPr>
        <w:t xml:space="preserve">Lukowski, A. F., Milojevich, H. M., &amp; Eales, L. (2019). Cognitive functioning in children with Down syndrome: Current knowledge and future directions. En Advances in Child Development and Behavior (Vol. 56). https://doi.org/10.1016/bs.acdb.2019.01.002</w:t>
      </w:r>
    </w:p>
    <w:p>
      <w:pPr>
        <w:spacing w:after="120" w:line="290"/>
        <w:ind w:left="360" w:hanging="360"/>
        <w:jc w:val="both"/>
      </w:pPr>
      <w:r>
        <w:rPr>
          <w:rFonts w:ascii="Times New Roman" w:cs="Times New Roman" w:eastAsia="Times New Roman" w:hAnsi="Times New Roman"/>
          <w:sz w:val="22"/>
          <w:szCs w:val="22"/>
        </w:rPr>
        <w:t xml:space="preserve">Minh, P. C., Xuan, T. N., Van, T. D., &amp; Minh, D. N. (2021). A game-based solution with interactive toys for supporting upper limb rehabilitation for preschool-aged children with cerebral palsy: A preliminary result. Journal of Applied Science and Engineering, 24(6), 867–874. https://doi.org/10.6180/jase.202112_24(6).0007</w:t>
      </w:r>
    </w:p>
    <w:p>
      <w:pPr>
        <w:spacing w:after="120" w:line="290"/>
        <w:ind w:left="360" w:hanging="360"/>
        <w:jc w:val="both"/>
      </w:pPr>
      <w:r>
        <w:rPr>
          <w:rFonts w:ascii="Times New Roman" w:cs="Times New Roman" w:eastAsia="Times New Roman" w:hAnsi="Times New Roman"/>
          <w:sz w:val="22"/>
          <w:szCs w:val="22"/>
        </w:rPr>
        <w:t xml:space="preserve">Objetivos de Desarrollo Sostenible. (s.f.). Programa de las Naciones Unidas para el Desarrollo. Recuperado de https://www.undp.org/es/sustainable-development-goals</w:t>
      </w:r>
    </w:p>
    <w:p>
      <w:pPr>
        <w:spacing w:after="120" w:line="290"/>
        <w:ind w:left="360" w:hanging="360"/>
        <w:jc w:val="both"/>
      </w:pPr>
      <w:r>
        <w:rPr>
          <w:rFonts w:ascii="Times New Roman" w:cs="Times New Roman" w:eastAsia="Times New Roman" w:hAnsi="Times New Roman"/>
          <w:sz w:val="22"/>
          <w:szCs w:val="22"/>
        </w:rPr>
        <w:t xml:space="preserve">Okada, S., Uejo, T., Hirano, R., Nishi, H., Matsuno, I., Muramatsu, T., Fujiwara, M., Miyake, A., Okada, Y., Fukunaga, S., &amp; Ishikawa, Y. (2019). Assessing the efficacy of very early motor rehabilitation in children with Down syndrome. The Journal of Pediatrics, 213, 227–231.e1. https://doi.org/10.1016/j.jpeds.2019.05.038</w:t>
      </w:r>
    </w:p>
    <w:p>
      <w:pPr>
        <w:spacing w:after="120" w:line="290"/>
        <w:ind w:left="360" w:hanging="360"/>
        <w:jc w:val="both"/>
      </w:pPr>
      <w:r>
        <w:rPr>
          <w:rFonts w:ascii="Times New Roman" w:cs="Times New Roman" w:eastAsia="Times New Roman" w:hAnsi="Times New Roman"/>
          <w:sz w:val="22"/>
          <w:szCs w:val="22"/>
        </w:rPr>
        <w:t xml:space="preserve">Timaná, L. C. R., García, J. F. C., Filho, T. B., González, A. A. O., Monsalve, N. R. H., &amp; Jimenez, N. J. V. (2024). Use of serious games in interventions of executive functions in neurodiverse children: Systematic review. JMIR Serious Games, 12. https://doi.org/10.2196/59053</w:t>
      </w:r>
    </w:p>
    <w:p>
      <w:pPr>
        <w:spacing w:after="120" w:line="290"/>
        <w:ind w:left="360" w:hanging="360"/>
        <w:jc w:val="both"/>
      </w:pPr>
      <w:r>
        <w:rPr>
          <w:rFonts w:ascii="Times New Roman" w:cs="Times New Roman" w:eastAsia="Times New Roman" w:hAnsi="Times New Roman"/>
          <w:sz w:val="22"/>
          <w:szCs w:val="22"/>
        </w:rPr>
        <w:t xml:space="preserve">Valencia-Jimenez, N. J., Ramirez-Duque, A. A., Rodriguez-Timana, L. C., Castillo-Garcia, J. F., Silveira, M. L., Da Luz, S., Bastos, T., &amp; Frizera-Neto, A. (2023). Effect of an intervention based on multisensory environment for proprioception assessment in children with Down syndrome: Case study. IEEE Access, 11, 9326–9338. https://doi.org/10.1109/ACCESS.2023.3239589</w:t>
      </w:r>
    </w:p>
    <w:p>
      <w:pPr>
        <w:spacing w:after="120" w:line="290"/>
        <w:ind w:left="360" w:hanging="360"/>
        <w:jc w:val="both"/>
      </w:pPr>
      <w:r>
        <w:rPr>
          <w:rFonts w:ascii="Times New Roman" w:cs="Times New Roman" w:eastAsia="Times New Roman" w:hAnsi="Times New Roman"/>
          <w:sz w:val="22"/>
          <w:szCs w:val="22"/>
        </w:rPr>
        <w:t xml:space="preserve">van der Fels, I. M. J., te Wierike, S. C. M., Hartman, E., Elferink-Gemser, M. T., Smith, J., &amp; Visscher, C. (2015). The relationship between motor skills and cognitive skills in 4–16 year old typically developing children: A systematic review. Journal of Science and Medicine in Sport, 18(6), 697–703. https://doi.org/10.1016/j.jsams.2014.09.007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2026-06-04T00:58:17.103Z</dcterms:created>
  <dcterms:modified xsi:type="dcterms:W3CDTF">2026-06-04T00:58:17.103Z</dcterms:modified>
</cp:coreProperties>
</file>

<file path=docProps/custom.xml><?xml version="1.0" encoding="utf-8"?>
<Properties xmlns="http://schemas.openxmlformats.org/officeDocument/2006/custom-properties" xmlns:vt="http://schemas.openxmlformats.org/officeDocument/2006/docPropsVTypes"/>
</file>