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LUMINAAPP</w:t>
      </w:r>
    </w:p>
    <w:p>
      <w:pPr>
        <w:jc w:val="center"/>
      </w:pPr>
      <w:r>
        <w:rPr>
          <w:b/>
          <w:sz w:val="36"/>
        </w:rPr>
        <w:t>Plan Maestro de Producto, Arquitectura e Ingesta Automática de Transacciones</w:t>
      </w:r>
    </w:p>
    <w:p>
      <w:pPr>
        <w:jc w:val="center"/>
      </w:pPr>
      <w:r>
        <w:rPr>
          <w:sz w:val="26"/>
        </w:rPr>
        <w:t>Documento de referencia para Antigravity</w:t>
        <w:br/>
      </w:r>
      <w:r>
        <w:rPr>
          <w:b/>
        </w:rPr>
        <w:t>Fecha: 4 de octubre de 2026</w:t>
        <w:br/>
      </w:r>
      <w:r>
        <w:t>Estado: investigación + planificación previa a implementación</w:t>
        <w:br/>
      </w:r>
      <w:r>
        <w:t>Propósito: avanzar por etapas pequeñas, verificables y seguras.</w:t>
      </w:r>
    </w:p>
    <w:p/>
    <w:p>
      <w:r>
        <w:rPr>
          <w:b/>
        </w:rPr>
        <w:t xml:space="preserve">Regla principal: </w:t>
      </w:r>
      <w:r>
        <w:t>Antigravity debe usar este documento como contexto y roadmap. No debe intentar implementar todo de una vez ni asumir que una API externa está disponible sin validarla.</w:t>
      </w:r>
    </w:p>
    <w:p>
      <w:r>
        <w:br w:type="page"/>
      </w:r>
    </w:p>
    <w:p>
      <w:pPr>
        <w:pStyle w:val="Heading1"/>
      </w:pPr>
      <w:r>
        <w:t>1. Resumen ejecutivo</w:t>
      </w:r>
    </w:p>
    <w:p>
      <w:r>
        <w:t>LuminaApp debe evolucionar de un prototipo de finanzas personales hacia una aplicación capaz de capturar automáticamente gastos e ingresos desde varias fuentes. El objetivo de producto es que el usuario tenga que registrar lo menos posible: Lumina detecta, normaliza, deduplica, categoriza y solo pide confirmación cuando existe incertidumbre.</w:t>
      </w:r>
    </w:p>
    <w:p>
      <w:r>
        <w:t>La investigación indica que no existe una única fuente universal para Panamá. Por eso, la arquitectura correcta es una capa de ingestión multifuente. Las posibles fuentes son Gmail, Outlook, notificaciones Android, agregadores bancarios, APIs bancarias/comerciales, Yappy, importaciones y entrada manual.</w:t>
      </w:r>
    </w:p>
    <w:p>
      <w:r>
        <w:t>La conclusión estratégica es no convertir n8n en el núcleo de Lumina. El núcleo debe pertenecer al backend de Lumina: conexiones, eventos, parsing, normalización, deduplicación, trazabilidad, permisos y almacenamiento.</w:t>
      </w:r>
    </w:p>
    <w:p>
      <w:pPr>
        <w:pStyle w:val="Heading2"/>
      </w:pPr>
      <w:r>
        <w:t>1.1 Objetivos</w:t>
      </w:r>
    </w:p>
    <w:p>
      <w:pPr>
        <w:pStyle w:val="ListBullet"/>
        <w:spacing w:after="40"/>
      </w:pPr>
      <w:r>
        <w:t>Reducir al mínimo la entrada manual.</w:t>
      </w:r>
    </w:p>
    <w:p>
      <w:pPr>
        <w:pStyle w:val="ListBullet"/>
        <w:spacing w:after="40"/>
      </w:pPr>
      <w:r>
        <w:t>Permitir conectar una fuente y dejar que Lumina procese en segundo plano.</w:t>
      </w:r>
    </w:p>
    <w:p>
      <w:pPr>
        <w:pStyle w:val="ListBullet"/>
        <w:spacing w:after="40"/>
      </w:pPr>
      <w:r>
        <w:t>No obligar al usuario a usar n8n.</w:t>
      </w:r>
    </w:p>
    <w:p>
      <w:pPr>
        <w:pStyle w:val="ListBullet"/>
        <w:spacing w:after="40"/>
      </w:pPr>
      <w:r>
        <w:t>Detectar la misma compra en varias fuentes y consolidarla.</w:t>
      </w:r>
    </w:p>
    <w:p>
      <w:pPr>
        <w:pStyle w:val="ListBullet"/>
        <w:spacing w:after="40"/>
      </w:pPr>
      <w:r>
        <w:t>Mantener trazabilidad del origen.</w:t>
      </w:r>
    </w:p>
    <w:p>
      <w:pPr>
        <w:pStyle w:val="ListBullet"/>
        <w:spacing w:after="40"/>
      </w:pPr>
      <w:r>
        <w:t>Crear una Review Queue para casos ambiguos.</w:t>
      </w:r>
    </w:p>
    <w:p>
      <w:pPr>
        <w:pStyle w:val="ListBullet"/>
        <w:spacing w:after="40"/>
      </w:pPr>
      <w:r>
        <w:t>Construir primero para Panamá sin cerrar la puerta a otros mercados.</w:t>
      </w:r>
    </w:p>
    <w:p>
      <w:pPr>
        <w:pStyle w:val="Heading2"/>
      </w:pPr>
      <w:r>
        <w:t>1.2 Principio de producto</w:t>
      </w:r>
    </w:p>
    <w:p>
      <w:pPr>
        <w:spacing w:after="80"/>
      </w:pPr>
      <w:r>
        <w:rPr>
          <w:rFonts w:ascii="Consolas" w:hAnsi="Consolas"/>
          <w:sz w:val="16"/>
        </w:rPr>
        <w:t>Usuario -&gt; conecta fuente -&gt; Lumina recibe evento -&gt; normaliza -&gt; deduplica -&gt; categoriza -&gt; guarda -&gt; usuario confirma solo si hace falta</w:t>
      </w:r>
    </w:p>
    <w:p>
      <w:pPr>
        <w:pStyle w:val="Heading1"/>
      </w:pPr>
      <w:r>
        <w:t>2. Estado actual de LuminaApp</w:t>
      </w:r>
    </w:p>
    <w:p>
      <w:r>
        <w:t>La base actual contiene React/Vite/TypeScript, Tailwind, TanStack Query, Recharts, Node/Express/TypeScript, Prisma, PostgreSQL previsto, Zod, JWT/bcrypt y despliegue frontend con Netlify. Varias partes todavía son de prototipo y deben reemplazarse gradualmente.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6"/>
              </w:rPr>
              <w:t>Área</w:t>
            </w:r>
          </w:p>
        </w:tc>
        <w:tc>
          <w:tcPr>
            <w:tcW w:type="dxa" w:w="2520"/>
            <w:shd w:fill="D9EAF7"/>
          </w:tcPr>
          <w:p>
            <w:r>
              <w:rPr>
                <w:b/>
                <w:sz w:val="16"/>
              </w:rPr>
              <w:t>Estado</w:t>
            </w:r>
          </w:p>
        </w:tc>
        <w:tc>
          <w:tcPr>
            <w:tcW w:type="dxa" w:w="2520"/>
            <w:shd w:fill="D9EAF7"/>
          </w:tcPr>
          <w:p>
            <w:r>
              <w:rPr>
                <w:b/>
                <w:sz w:val="16"/>
              </w:rPr>
              <w:t>Riesgo</w:t>
            </w:r>
          </w:p>
        </w:tc>
        <w:tc>
          <w:tcPr>
            <w:tcW w:type="dxa" w:w="2520"/>
            <w:shd w:fill="D9EAF7"/>
          </w:tcPr>
          <w:p>
            <w:r>
              <w:rPr>
                <w:b/>
                <w:sz w:val="16"/>
              </w:rPr>
              <w:t>Dirección</w:t>
            </w:r>
          </w:p>
        </w:tc>
      </w:tr>
      <w:tr>
        <w:tc>
          <w:tcPr>
            <w:tcW w:type="dxa" w:w="2520"/>
            <w:vAlign w:val="center"/>
          </w:tcPr>
          <w:p>
            <w:r>
              <w:rPr>
                <w:sz w:val="16"/>
              </w:rPr>
              <w:t>Frontend</w:t>
            </w:r>
          </w:p>
        </w:tc>
        <w:tc>
          <w:tcPr>
            <w:tcW w:type="dxa" w:w="2520"/>
            <w:vAlign w:val="center"/>
          </w:tcPr>
          <w:p>
            <w:r>
              <w:rPr>
                <w:sz w:val="16"/>
              </w:rPr>
              <w:t>React 19 + Vite + TS + Tailwind + TanStack Query</w:t>
            </w:r>
          </w:p>
        </w:tc>
        <w:tc>
          <w:tcPr>
            <w:tcW w:type="dxa" w:w="2520"/>
            <w:vAlign w:val="center"/>
          </w:tcPr>
          <w:p>
            <w:r>
              <w:rPr>
                <w:sz w:val="16"/>
              </w:rPr>
              <w:t>Medio</w:t>
            </w:r>
          </w:p>
        </w:tc>
        <w:tc>
          <w:tcPr>
            <w:tcW w:type="dxa" w:w="2520"/>
            <w:vAlign w:val="center"/>
          </w:tcPr>
          <w:p>
            <w:r>
              <w:rPr>
                <w:sz w:val="16"/>
              </w:rPr>
              <w:t>Mantener; conectar gradualmente al API.</w:t>
            </w:r>
          </w:p>
        </w:tc>
      </w:tr>
      <w:tr>
        <w:tc>
          <w:tcPr>
            <w:tcW w:type="dxa" w:w="2520"/>
            <w:vAlign w:val="center"/>
          </w:tcPr>
          <w:p>
            <w:r>
              <w:rPr>
                <w:sz w:val="16"/>
              </w:rPr>
              <w:t>Backend</w:t>
            </w:r>
          </w:p>
        </w:tc>
        <w:tc>
          <w:tcPr>
            <w:tcW w:type="dxa" w:w="2520"/>
            <w:vAlign w:val="center"/>
          </w:tcPr>
          <w:p>
            <w:r>
              <w:rPr>
                <w:sz w:val="16"/>
              </w:rPr>
              <w:t>Node + Express + TS</w:t>
            </w:r>
          </w:p>
        </w:tc>
        <w:tc>
          <w:tcPr>
            <w:tcW w:type="dxa" w:w="2520"/>
            <w:vAlign w:val="center"/>
          </w:tcPr>
          <w:p>
            <w:r>
              <w:rPr>
                <w:sz w:val="16"/>
              </w:rPr>
              <w:t>Medio</w:t>
            </w:r>
          </w:p>
        </w:tc>
        <w:tc>
          <w:tcPr>
            <w:tcW w:type="dxa" w:w="2520"/>
            <w:vAlign w:val="center"/>
          </w:tcPr>
          <w:p>
            <w:r>
              <w:rPr>
                <w:sz w:val="16"/>
              </w:rPr>
              <w:t>Mantener como API principal.</w:t>
            </w:r>
          </w:p>
        </w:tc>
      </w:tr>
      <w:tr>
        <w:tc>
          <w:tcPr>
            <w:tcW w:type="dxa" w:w="2520"/>
            <w:vAlign w:val="center"/>
          </w:tcPr>
          <w:p>
            <w:r>
              <w:rPr>
                <w:sz w:val="16"/>
              </w:rPr>
              <w:t>DB</w:t>
            </w:r>
          </w:p>
        </w:tc>
        <w:tc>
          <w:tcPr>
            <w:tcW w:type="dxa" w:w="2520"/>
            <w:vAlign w:val="center"/>
          </w:tcPr>
          <w:p>
            <w:r>
              <w:rPr>
                <w:sz w:val="16"/>
              </w:rPr>
              <w:t>Prisma + PostgreSQL</w:t>
            </w:r>
          </w:p>
        </w:tc>
        <w:tc>
          <w:tcPr>
            <w:tcW w:type="dxa" w:w="2520"/>
            <w:vAlign w:val="center"/>
          </w:tcPr>
          <w:p>
            <w:r>
              <w:rPr>
                <w:sz w:val="16"/>
              </w:rPr>
              <w:t>Medio</w:t>
            </w:r>
          </w:p>
        </w:tc>
        <w:tc>
          <w:tcPr>
            <w:tcW w:type="dxa" w:w="2520"/>
            <w:vAlign w:val="center"/>
          </w:tcPr>
          <w:p>
            <w:r>
              <w:rPr>
                <w:sz w:val="16"/>
              </w:rPr>
              <w:t>PostgreSQL como fuente de verdad.</w:t>
            </w:r>
          </w:p>
        </w:tc>
      </w:tr>
      <w:tr>
        <w:tc>
          <w:tcPr>
            <w:tcW w:type="dxa" w:w="2520"/>
            <w:vAlign w:val="center"/>
          </w:tcPr>
          <w:p>
            <w:r>
              <w:rPr>
                <w:sz w:val="16"/>
              </w:rPr>
              <w:t>Transacciones</w:t>
            </w:r>
          </w:p>
        </w:tc>
        <w:tc>
          <w:tcPr>
            <w:tcW w:type="dxa" w:w="2520"/>
            <w:vAlign w:val="center"/>
          </w:tcPr>
          <w:p>
            <w:r>
              <w:rPr>
                <w:sz w:val="16"/>
              </w:rPr>
              <w:t>Hay lógica/mock en memoria</w:t>
            </w:r>
          </w:p>
        </w:tc>
        <w:tc>
          <w:tcPr>
            <w:tcW w:type="dxa" w:w="2520"/>
            <w:vAlign w:val="center"/>
          </w:tcPr>
          <w:p>
            <w:r>
              <w:rPr>
                <w:sz w:val="16"/>
              </w:rPr>
              <w:t>Alto</w:t>
            </w:r>
          </w:p>
        </w:tc>
        <w:tc>
          <w:tcPr>
            <w:tcW w:type="dxa" w:w="2520"/>
            <w:vAlign w:val="center"/>
          </w:tcPr>
          <w:p>
            <w:r>
              <w:rPr>
                <w:sz w:val="16"/>
              </w:rPr>
              <w:t>Migrar a persistencia real.</w:t>
            </w:r>
          </w:p>
        </w:tc>
      </w:tr>
      <w:tr>
        <w:tc>
          <w:tcPr>
            <w:tcW w:type="dxa" w:w="2520"/>
            <w:vAlign w:val="center"/>
          </w:tcPr>
          <w:p>
            <w:r>
              <w:rPr>
                <w:sz w:val="16"/>
              </w:rPr>
              <w:t>Estado financiero</w:t>
            </w:r>
          </w:p>
        </w:tc>
        <w:tc>
          <w:tcPr>
            <w:tcW w:type="dxa" w:w="2520"/>
            <w:vAlign w:val="center"/>
          </w:tcPr>
          <w:p>
            <w:r>
              <w:rPr>
                <w:sz w:val="16"/>
              </w:rPr>
              <w:t>Parte usa localStorage</w:t>
            </w:r>
          </w:p>
        </w:tc>
        <w:tc>
          <w:tcPr>
            <w:tcW w:type="dxa" w:w="2520"/>
            <w:vAlign w:val="center"/>
          </w:tcPr>
          <w:p>
            <w:r>
              <w:rPr>
                <w:sz w:val="16"/>
              </w:rPr>
              <w:t>Alto</w:t>
            </w:r>
          </w:p>
        </w:tc>
        <w:tc>
          <w:tcPr>
            <w:tcW w:type="dxa" w:w="2520"/>
            <w:vAlign w:val="center"/>
          </w:tcPr>
          <w:p>
            <w:r>
              <w:rPr>
                <w:sz w:val="16"/>
              </w:rPr>
              <w:t>Backend/DB como fuente de verdad.</w:t>
            </w:r>
          </w:p>
        </w:tc>
      </w:tr>
      <w:tr>
        <w:tc>
          <w:tcPr>
            <w:tcW w:type="dxa" w:w="2520"/>
            <w:vAlign w:val="center"/>
          </w:tcPr>
          <w:p>
            <w:r>
              <w:rPr>
                <w:sz w:val="16"/>
              </w:rPr>
              <w:t>Auth</w:t>
            </w:r>
          </w:p>
        </w:tc>
        <w:tc>
          <w:tcPr>
            <w:tcW w:type="dxa" w:w="2520"/>
            <w:vAlign w:val="center"/>
          </w:tcPr>
          <w:p>
            <w:r>
              <w:rPr>
                <w:sz w:val="16"/>
              </w:rPr>
              <w:t>Login aún no equivale a OAuth completo</w:t>
            </w:r>
          </w:p>
        </w:tc>
        <w:tc>
          <w:tcPr>
            <w:tcW w:type="dxa" w:w="2520"/>
            <w:vAlign w:val="center"/>
          </w:tcPr>
          <w:p>
            <w:r>
              <w:rPr>
                <w:sz w:val="16"/>
              </w:rPr>
              <w:t>Alto</w:t>
            </w:r>
          </w:p>
        </w:tc>
        <w:tc>
          <w:tcPr>
            <w:tcW w:type="dxa" w:w="2520"/>
            <w:vAlign w:val="center"/>
          </w:tcPr>
          <w:p>
            <w:r>
              <w:rPr>
                <w:sz w:val="16"/>
              </w:rPr>
              <w:t>Identidad y autorización reales.</w:t>
            </w:r>
          </w:p>
        </w:tc>
      </w:tr>
      <w:tr>
        <w:tc>
          <w:tcPr>
            <w:tcW w:type="dxa" w:w="2520"/>
            <w:vAlign w:val="center"/>
          </w:tcPr>
          <w:p>
            <w:r>
              <w:rPr>
                <w:sz w:val="16"/>
              </w:rPr>
              <w:t>Webhook</w:t>
            </w:r>
          </w:p>
        </w:tc>
        <w:tc>
          <w:tcPr>
            <w:tcW w:type="dxa" w:w="2520"/>
            <w:vAlign w:val="center"/>
          </w:tcPr>
          <w:p>
            <w:r>
              <w:rPr>
                <w:sz w:val="16"/>
              </w:rPr>
              <w:t>Hay intención de HMAC/API key/idempotencia</w:t>
            </w:r>
          </w:p>
        </w:tc>
        <w:tc>
          <w:tcPr>
            <w:tcW w:type="dxa" w:w="2520"/>
            <w:vAlign w:val="center"/>
          </w:tcPr>
          <w:p>
            <w:r>
              <w:rPr>
                <w:sz w:val="16"/>
              </w:rPr>
              <w:t>Medio</w:t>
            </w:r>
          </w:p>
        </w:tc>
        <w:tc>
          <w:tcPr>
            <w:tcW w:type="dxa" w:w="2520"/>
            <w:vAlign w:val="center"/>
          </w:tcPr>
          <w:p>
            <w:r>
              <w:rPr>
                <w:sz w:val="16"/>
              </w:rPr>
              <w:t>Secretos por env + idempotencia persistente.</w:t>
            </w:r>
          </w:p>
        </w:tc>
      </w:tr>
      <w:tr>
        <w:tc>
          <w:tcPr>
            <w:tcW w:type="dxa" w:w="2520"/>
            <w:vAlign w:val="center"/>
          </w:tcPr>
          <w:p>
            <w:r>
              <w:rPr>
                <w:sz w:val="16"/>
              </w:rPr>
              <w:t>Netlify</w:t>
            </w:r>
          </w:p>
        </w:tc>
        <w:tc>
          <w:tcPr>
            <w:tcW w:type="dxa" w:w="2520"/>
            <w:vAlign w:val="center"/>
          </w:tcPr>
          <w:p>
            <w:r>
              <w:rPr>
                <w:sz w:val="16"/>
              </w:rPr>
              <w:t>Adecuado para frontend/staging</w:t>
            </w:r>
          </w:p>
        </w:tc>
        <w:tc>
          <w:tcPr>
            <w:tcW w:type="dxa" w:w="2520"/>
            <w:vAlign w:val="center"/>
          </w:tcPr>
          <w:p>
            <w:r>
              <w:rPr>
                <w:sz w:val="16"/>
              </w:rPr>
              <w:t>Bajo</w:t>
            </w:r>
          </w:p>
        </w:tc>
        <w:tc>
          <w:tcPr>
            <w:tcW w:type="dxa" w:w="2520"/>
            <w:vAlign w:val="center"/>
          </w:tcPr>
          <w:p>
            <w:r>
              <w:rPr>
                <w:sz w:val="16"/>
              </w:rPr>
              <w:t>Mantener.</w:t>
            </w:r>
          </w:p>
        </w:tc>
      </w:tr>
      <w:tr>
        <w:tc>
          <w:tcPr>
            <w:tcW w:type="dxa" w:w="2520"/>
            <w:vAlign w:val="center"/>
          </w:tcPr>
          <w:p>
            <w:r>
              <w:rPr>
                <w:sz w:val="16"/>
              </w:rPr>
              <w:t>Ingesta</w:t>
            </w:r>
          </w:p>
        </w:tc>
        <w:tc>
          <w:tcPr>
            <w:tcW w:type="dxa" w:w="2520"/>
            <w:vAlign w:val="center"/>
          </w:tcPr>
          <w:p>
            <w:r>
              <w:rPr>
                <w:sz w:val="16"/>
              </w:rPr>
              <w:t>No implementada</w:t>
            </w:r>
          </w:p>
        </w:tc>
        <w:tc>
          <w:tcPr>
            <w:tcW w:type="dxa" w:w="2520"/>
            <w:vAlign w:val="center"/>
          </w:tcPr>
          <w:p>
            <w:r>
              <w:rPr>
                <w:sz w:val="16"/>
              </w:rPr>
              <w:t>Muy alto</w:t>
            </w:r>
          </w:p>
        </w:tc>
        <w:tc>
          <w:tcPr>
            <w:tcW w:type="dxa" w:w="2520"/>
            <w:vAlign w:val="center"/>
          </w:tcPr>
          <w:p>
            <w:r>
              <w:rPr>
                <w:sz w:val="16"/>
              </w:rPr>
              <w:t>Construir como dominio nuevo.</w:t>
            </w:r>
          </w:p>
        </w:tc>
      </w:tr>
    </w:tbl>
    <w:p/>
    <w:p>
      <w:pPr>
        <w:pStyle w:val="Heading2"/>
      </w:pPr>
      <w:r>
        <w:t>2.1 No hacer todavía</w:t>
      </w:r>
    </w:p>
    <w:p>
      <w:pPr>
        <w:pStyle w:val="ListBullet"/>
        <w:spacing w:after="40"/>
      </w:pPr>
      <w:r>
        <w:t>Microservicios/Kubernetes.</w:t>
      </w:r>
    </w:p>
    <w:p>
      <w:pPr>
        <w:pStyle w:val="ListBullet"/>
        <w:spacing w:after="40"/>
      </w:pPr>
      <w:r>
        <w:t>Integrar todos los bancos al mismo tiempo.</w:t>
      </w:r>
    </w:p>
    <w:p>
      <w:pPr>
        <w:pStyle w:val="ListBullet"/>
        <w:spacing w:after="40"/>
      </w:pPr>
      <w:r>
        <w:t>Subir todas las notificaciones del teléfono.</w:t>
      </w:r>
    </w:p>
    <w:p>
      <w:pPr>
        <w:pStyle w:val="ListBullet"/>
        <w:spacing w:after="40"/>
      </w:pPr>
      <w:r>
        <w:t>Enviar cada correo completo a un LLM.</w:t>
      </w:r>
    </w:p>
    <w:p>
      <w:pPr>
        <w:pStyle w:val="ListBullet"/>
        <w:spacing w:after="40"/>
      </w:pPr>
      <w:r>
        <w:t>Guardar contraseñas bancarias.</w:t>
      </w:r>
    </w:p>
    <w:p>
      <w:pPr>
        <w:pStyle w:val="ListBullet"/>
        <w:spacing w:after="40"/>
      </w:pPr>
      <w:r>
        <w:t>Asumir que una API empresarial sirve para cuentas personales.</w:t>
      </w:r>
    </w:p>
    <w:p>
      <w:pPr>
        <w:pStyle w:val="ListBullet"/>
        <w:spacing w:after="40"/>
      </w:pPr>
      <w:r>
        <w:t>Hacer de n8n un requisito del usuario.</w:t>
      </w:r>
    </w:p>
    <w:p>
      <w:pPr>
        <w:pStyle w:val="ListBullet"/>
        <w:spacing w:after="40"/>
      </w:pPr>
      <w:r>
        <w:t>Meter todo en Issue #20 como una sola implementación.</w:t>
      </w:r>
    </w:p>
    <w:p>
      <w:pPr>
        <w:pStyle w:val="Heading1"/>
      </w:pPr>
      <w:r>
        <w:t>3. Arquitectura objetivo</w:t>
      </w:r>
    </w:p>
    <w:p>
      <w:pPr>
        <w:spacing w:after="80"/>
      </w:pPr>
      <w:r>
        <w:rPr>
          <w:rFonts w:ascii="Consolas" w:hAnsi="Consolas"/>
          <w:sz w:val="16"/>
        </w:rPr>
        <w:t xml:space="preserve">                         LUMINAAPP</w:t>
        <w:br/>
        <w:t xml:space="preserve">                            |</w:t>
        <w:br/>
        <w:t xml:space="preserve">                 Transaction Ingestion Layer</w:t>
        <w:br/>
        <w:t xml:space="preserve">                            |</w:t>
        <w:br/>
        <w:t xml:space="preserve">        +-------------------+-------------------+</w:t>
        <w:br/>
        <w:t xml:space="preserve">        |                   |                   |</w:t>
        <w:br/>
        <w:t xml:space="preserve">      EMAIL              MOBILE              BANKING</w:t>
        <w:br/>
        <w:t xml:space="preserve">   Gmail/Outlook     Android app        Aggregator/API</w:t>
        <w:br/>
        <w:t xml:space="preserve">        |                   |                   |</w:t>
        <w:br/>
        <w:t xml:space="preserve">        +-------------------+-------------------+</w:t>
        <w:br/>
        <w:t xml:space="preserve">                            |</w:t>
        <w:br/>
        <w:t xml:space="preserve">                    OTHER SOURCES</w:t>
        <w:br/>
        <w:t xml:space="preserve">             Yappy / CSV / PDF / manual</w:t>
        <w:br/>
        <w:t xml:space="preserve">                            |</w:t>
        <w:br/>
        <w:t xml:space="preserve">                            v</w:t>
        <w:br/>
        <w:t xml:space="preserve">                    Ingestion API</w:t>
        <w:br/>
        <w:t xml:space="preserve">                            |</w:t>
        <w:br/>
        <w:t xml:space="preserve">                            v</w:t>
        <w:br/>
        <w:t xml:space="preserve">                       Raw Event</w:t>
        <w:br/>
        <w:t xml:space="preserve">                            |</w:t>
        <w:br/>
        <w:t xml:space="preserve">                            v</w:t>
        <w:br/>
        <w:t xml:space="preserve">                      Normalization</w:t>
        <w:br/>
        <w:t xml:space="preserve">                            |</w:t>
        <w:br/>
        <w:t xml:space="preserve">                            v</w:t>
        <w:br/>
        <w:t xml:space="preserve">                      Deduplication</w:t>
        <w:br/>
        <w:t xml:space="preserve">                            |</w:t>
        <w:br/>
        <w:t xml:space="preserve">                            v</w:t>
        <w:br/>
        <w:t xml:space="preserve">                  Merchant Resolution</w:t>
        <w:br/>
        <w:t xml:space="preserve">                            |</w:t>
        <w:br/>
        <w:t xml:space="preserve">                            v</w:t>
        <w:br/>
        <w:t xml:space="preserve">                  Category + Confidence</w:t>
        <w:br/>
        <w:t xml:space="preserve">                            |</w:t>
        <w:br/>
        <w:t xml:space="preserve">               +------------+------------+</w:t>
        <w:br/>
        <w:t xml:space="preserve">               |                         |</w:t>
        <w:br/>
        <w:t xml:space="preserve">          High confidence          Low confidence</w:t>
        <w:br/>
        <w:t xml:space="preserve">               |                         |</w:t>
        <w:br/>
        <w:t xml:space="preserve">               v                         v</w:t>
        <w:br/>
        <w:t xml:space="preserve">          Transaction             Review Queue</w:t>
        <w:br/>
        <w:t xml:space="preserve">                                         |</w:t>
        <w:br/>
        <w:t xml:space="preserve">                                         v</w:t>
        <w:br/>
        <w:t xml:space="preserve">                                  User confirms</w:t>
      </w:r>
    </w:p>
    <w:p>
      <w:pPr>
        <w:pStyle w:val="Heading2"/>
      </w:pPr>
      <w:r>
        <w:t>3.1 Responsabilidades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Capa</w:t>
            </w:r>
          </w:p>
        </w:tc>
        <w:tc>
          <w:tcPr>
            <w:tcW w:type="dxa" w:w="3360"/>
            <w:shd w:fill="D9EAF7"/>
          </w:tcPr>
          <w:p>
            <w:r>
              <w:rPr>
                <w:b/>
                <w:sz w:val="16"/>
              </w:rPr>
              <w:t>Responsabilidad</w:t>
            </w:r>
          </w:p>
        </w:tc>
        <w:tc>
          <w:tcPr>
            <w:tcW w:type="dxa" w:w="3360"/>
            <w:shd w:fill="D9EAF7"/>
          </w:tcPr>
          <w:p>
            <w:r>
              <w:rPr>
                <w:b/>
                <w:sz w:val="16"/>
              </w:rPr>
              <w:t>No debe hacer</w:t>
            </w:r>
          </w:p>
        </w:tc>
      </w:tr>
      <w:tr>
        <w:tc>
          <w:tcPr>
            <w:tcW w:type="dxa" w:w="3360"/>
            <w:vAlign w:val="center"/>
          </w:tcPr>
          <w:p>
            <w:r>
              <w:rPr>
                <w:sz w:val="16"/>
              </w:rPr>
              <w:t>Source Connector</w:t>
            </w:r>
          </w:p>
        </w:tc>
        <w:tc>
          <w:tcPr>
            <w:tcW w:type="dxa" w:w="3360"/>
            <w:vAlign w:val="center"/>
          </w:tcPr>
          <w:p>
            <w:r>
              <w:rPr>
                <w:sz w:val="16"/>
              </w:rPr>
              <w:t>Conectar/auth y obtener eventos.</w:t>
            </w:r>
          </w:p>
        </w:tc>
        <w:tc>
          <w:tcPr>
            <w:tcW w:type="dxa" w:w="3360"/>
            <w:vAlign w:val="center"/>
          </w:tcPr>
          <w:p>
            <w:r>
              <w:rPr>
                <w:sz w:val="16"/>
              </w:rPr>
              <w:t>Crear Transaction directamente.</w:t>
            </w:r>
          </w:p>
        </w:tc>
      </w:tr>
      <w:tr>
        <w:tc>
          <w:tcPr>
            <w:tcW w:type="dxa" w:w="3360"/>
            <w:vAlign w:val="center"/>
          </w:tcPr>
          <w:p>
            <w:r>
              <w:rPr>
                <w:sz w:val="16"/>
              </w:rPr>
              <w:t>Raw Event</w:t>
            </w:r>
          </w:p>
        </w:tc>
        <w:tc>
          <w:tcPr>
            <w:tcW w:type="dxa" w:w="3360"/>
            <w:vAlign w:val="center"/>
          </w:tcPr>
          <w:p>
            <w:r>
              <w:rPr>
                <w:sz w:val="16"/>
              </w:rPr>
              <w:t>Guardar evidencia mínima.</w:t>
            </w:r>
          </w:p>
        </w:tc>
        <w:tc>
          <w:tcPr>
            <w:tcW w:type="dxa" w:w="3360"/>
            <w:vAlign w:val="center"/>
          </w:tcPr>
          <w:p>
            <w:r>
              <w:rPr>
                <w:sz w:val="16"/>
              </w:rPr>
              <w:t>Ser el modelo financiero final.</w:t>
            </w:r>
          </w:p>
        </w:tc>
      </w:tr>
      <w:tr>
        <w:tc>
          <w:tcPr>
            <w:tcW w:type="dxa" w:w="3360"/>
            <w:vAlign w:val="center"/>
          </w:tcPr>
          <w:p>
            <w:r>
              <w:rPr>
                <w:sz w:val="16"/>
              </w:rPr>
              <w:t>Parser</w:t>
            </w:r>
          </w:p>
        </w:tc>
        <w:tc>
          <w:tcPr>
            <w:tcW w:type="dxa" w:w="3360"/>
            <w:vAlign w:val="center"/>
          </w:tcPr>
          <w:p>
            <w:r>
              <w:rPr>
                <w:sz w:val="16"/>
              </w:rPr>
              <w:t>Extraer campos.</w:t>
            </w:r>
          </w:p>
        </w:tc>
        <w:tc>
          <w:tcPr>
            <w:tcW w:type="dxa" w:w="3360"/>
            <w:vAlign w:val="center"/>
          </w:tcPr>
          <w:p>
            <w:r>
              <w:rPr>
                <w:sz w:val="16"/>
              </w:rPr>
              <w:t>Inventar información.</w:t>
            </w:r>
          </w:p>
        </w:tc>
      </w:tr>
      <w:tr>
        <w:tc>
          <w:tcPr>
            <w:tcW w:type="dxa" w:w="3360"/>
            <w:vAlign w:val="center"/>
          </w:tcPr>
          <w:p>
            <w:r>
              <w:rPr>
                <w:sz w:val="16"/>
              </w:rPr>
              <w:t>Normalizer</w:t>
            </w:r>
          </w:p>
        </w:tc>
        <w:tc>
          <w:tcPr>
            <w:tcW w:type="dxa" w:w="3360"/>
            <w:vAlign w:val="center"/>
          </w:tcPr>
          <w:p>
            <w:r>
              <w:rPr>
                <w:sz w:val="16"/>
              </w:rPr>
              <w:t>Unificar formatos.</w:t>
            </w:r>
          </w:p>
        </w:tc>
        <w:tc>
          <w:tcPr>
            <w:tcW w:type="dxa" w:w="3360"/>
            <w:vAlign w:val="center"/>
          </w:tcPr>
          <w:p>
            <w:r>
              <w:rPr>
                <w:sz w:val="16"/>
              </w:rPr>
              <w:t>Acoplarse a un proveedor.</w:t>
            </w:r>
          </w:p>
        </w:tc>
      </w:tr>
      <w:tr>
        <w:tc>
          <w:tcPr>
            <w:tcW w:type="dxa" w:w="3360"/>
            <w:vAlign w:val="center"/>
          </w:tcPr>
          <w:p>
            <w:r>
              <w:rPr>
                <w:sz w:val="16"/>
              </w:rPr>
              <w:t>Deduplicator</w:t>
            </w:r>
          </w:p>
        </w:tc>
        <w:tc>
          <w:tcPr>
            <w:tcW w:type="dxa" w:w="3360"/>
            <w:vAlign w:val="center"/>
          </w:tcPr>
          <w:p>
            <w:r>
              <w:rPr>
                <w:sz w:val="16"/>
              </w:rPr>
              <w:t>Detectar eventos repetidos/mismo movimiento.</w:t>
            </w:r>
          </w:p>
        </w:tc>
        <w:tc>
          <w:tcPr>
            <w:tcW w:type="dxa" w:w="3360"/>
            <w:vAlign w:val="center"/>
          </w:tcPr>
          <w:p>
            <w:r>
              <w:rPr>
                <w:sz w:val="16"/>
              </w:rPr>
              <w:t>Borrar evidencia.</w:t>
            </w:r>
          </w:p>
        </w:tc>
      </w:tr>
      <w:tr>
        <w:tc>
          <w:tcPr>
            <w:tcW w:type="dxa" w:w="3360"/>
            <w:vAlign w:val="center"/>
          </w:tcPr>
          <w:p>
            <w:r>
              <w:rPr>
                <w:sz w:val="16"/>
              </w:rPr>
              <w:t>Merchant Resolver</w:t>
            </w:r>
          </w:p>
        </w:tc>
        <w:tc>
          <w:tcPr>
            <w:tcW w:type="dxa" w:w="3360"/>
            <w:vAlign w:val="center"/>
          </w:tcPr>
          <w:p>
            <w:r>
              <w:rPr>
                <w:sz w:val="16"/>
              </w:rPr>
              <w:t>Normalizar comercio.</w:t>
            </w:r>
          </w:p>
        </w:tc>
        <w:tc>
          <w:tcPr>
            <w:tcW w:type="dxa" w:w="3360"/>
            <w:vAlign w:val="center"/>
          </w:tcPr>
          <w:p>
            <w:r>
              <w:rPr>
                <w:sz w:val="16"/>
              </w:rPr>
              <w:t>Cambiar arbitrariamente el origen.</w:t>
            </w:r>
          </w:p>
        </w:tc>
      </w:tr>
      <w:tr>
        <w:tc>
          <w:tcPr>
            <w:tcW w:type="dxa" w:w="3360"/>
            <w:vAlign w:val="center"/>
          </w:tcPr>
          <w:p>
            <w:r>
              <w:rPr>
                <w:sz w:val="16"/>
              </w:rPr>
              <w:t>Categorizer</w:t>
            </w:r>
          </w:p>
        </w:tc>
        <w:tc>
          <w:tcPr>
            <w:tcW w:type="dxa" w:w="3360"/>
            <w:vAlign w:val="center"/>
          </w:tcPr>
          <w:p>
            <w:r>
              <w:rPr>
                <w:sz w:val="16"/>
              </w:rPr>
              <w:t>Categoría + confianza.</w:t>
            </w:r>
          </w:p>
        </w:tc>
        <w:tc>
          <w:tcPr>
            <w:tcW w:type="dxa" w:w="3360"/>
            <w:vAlign w:val="center"/>
          </w:tcPr>
          <w:p>
            <w:r>
              <w:rPr>
                <w:sz w:val="16"/>
              </w:rPr>
              <w:t>Ocultar datos originales.</w:t>
            </w:r>
          </w:p>
        </w:tc>
      </w:tr>
      <w:tr>
        <w:tc>
          <w:tcPr>
            <w:tcW w:type="dxa" w:w="3360"/>
            <w:vAlign w:val="center"/>
          </w:tcPr>
          <w:p>
            <w:r>
              <w:rPr>
                <w:sz w:val="16"/>
              </w:rPr>
              <w:t>Review Queue</w:t>
            </w:r>
          </w:p>
        </w:tc>
        <w:tc>
          <w:tcPr>
            <w:tcW w:type="dxa" w:w="3360"/>
            <w:vAlign w:val="center"/>
          </w:tcPr>
          <w:p>
            <w:r>
              <w:rPr>
                <w:sz w:val="16"/>
              </w:rPr>
              <w:t>Resolver incertidumbre.</w:t>
            </w:r>
          </w:p>
        </w:tc>
        <w:tc>
          <w:tcPr>
            <w:tcW w:type="dxa" w:w="3360"/>
            <w:vAlign w:val="center"/>
          </w:tcPr>
          <w:p>
            <w:r>
              <w:rPr>
                <w:sz w:val="16"/>
              </w:rPr>
              <w:t>Bloquear todo el pipeline.</w:t>
            </w:r>
          </w:p>
        </w:tc>
      </w:tr>
      <w:tr>
        <w:tc>
          <w:tcPr>
            <w:tcW w:type="dxa" w:w="3360"/>
            <w:vAlign w:val="center"/>
          </w:tcPr>
          <w:p>
            <w:r>
              <w:rPr>
                <w:sz w:val="16"/>
              </w:rPr>
              <w:t>Transaction</w:t>
            </w:r>
          </w:p>
        </w:tc>
        <w:tc>
          <w:tcPr>
            <w:tcW w:type="dxa" w:w="3360"/>
            <w:vAlign w:val="center"/>
          </w:tcPr>
          <w:p>
            <w:r>
              <w:rPr>
                <w:sz w:val="16"/>
              </w:rPr>
              <w:t>Transacción consolidada.</w:t>
            </w:r>
          </w:p>
        </w:tc>
        <w:tc>
          <w:tcPr>
            <w:tcW w:type="dxa" w:w="3360"/>
            <w:vAlign w:val="center"/>
          </w:tcPr>
          <w:p>
            <w:r>
              <w:rPr>
                <w:sz w:val="16"/>
              </w:rPr>
              <w:t>Guardar solo texto crudo.</w:t>
            </w:r>
          </w:p>
        </w:tc>
      </w:tr>
    </w:tbl>
    <w:p/>
    <w:p>
      <w:pPr>
        <w:pStyle w:val="Heading1"/>
      </w:pPr>
      <w:r>
        <w:t>4. Modelo de dominio recomendado</w:t>
      </w:r>
    </w:p>
    <w:p>
      <w:pPr>
        <w:spacing w:after="80"/>
      </w:pPr>
      <w:r>
        <w:rPr>
          <w:rFonts w:ascii="Consolas" w:hAnsi="Consolas"/>
          <w:sz w:val="16"/>
        </w:rPr>
        <w:t>User</w:t>
        <w:br/>
        <w:t xml:space="preserve"> ├── SourceConnection</w:t>
        <w:br/>
        <w:t xml:space="preserve"> │     ├── provider</w:t>
        <w:br/>
        <w:t xml:space="preserve"> │     ├── status</w:t>
        <w:br/>
        <w:t xml:space="preserve"> │     ├── scopes</w:t>
        <w:br/>
        <w:t xml:space="preserve"> │     ├── externalAccountId</w:t>
        <w:br/>
        <w:t xml:space="preserve"> │     ├── tokenRef</w:t>
        <w:br/>
        <w:t xml:space="preserve"> │     └── lastSyncAt</w:t>
        <w:br/>
        <w:t xml:space="preserve"> ├── Transaction</w:t>
        <w:br/>
        <w:t xml:space="preserve"> │     ├── amountInCents</w:t>
        <w:br/>
        <w:t xml:space="preserve"> │     ├── currency</w:t>
        <w:br/>
        <w:t xml:space="preserve"> │     ├── merchantName</w:t>
        <w:br/>
        <w:t xml:space="preserve"> │     ├── transactionDate</w:t>
        <w:br/>
        <w:t xml:space="preserve"> │     ├── categoryId</w:t>
        <w:br/>
        <w:t xml:space="preserve"> │     ├── confidence</w:t>
        <w:br/>
        <w:t xml:space="preserve"> │     └── status</w:t>
        <w:br/>
        <w:t xml:space="preserve"> └── ReviewItem</w:t>
        <w:br/>
        <w:br/>
        <w:t>Transaction</w:t>
        <w:br/>
        <w:t xml:space="preserve"> └── TransactionSource (1..N)</w:t>
        <w:br/>
        <w:t xml:space="preserve">       ├── provider</w:t>
        <w:br/>
        <w:t xml:space="preserve">       ├── externalId</w:t>
        <w:br/>
        <w:t xml:space="preserve">       ├── rawEventId</w:t>
        <w:br/>
        <w:t xml:space="preserve">       └── receivedAt</w:t>
        <w:br/>
        <w:br/>
        <w:t>RawEvent</w:t>
        <w:br/>
        <w:t xml:space="preserve"> ├── provider</w:t>
        <w:br/>
        <w:t xml:space="preserve"> ├── externalEventId</w:t>
        <w:br/>
        <w:t xml:space="preserve"> ├── receivedAt</w:t>
        <w:br/>
        <w:t xml:space="preserve"> ├── payloadHash</w:t>
        <w:br/>
        <w:t xml:space="preserve"> ├── processingStatus</w:t>
        <w:br/>
        <w:t xml:space="preserve"> └── minimal/encrypted payload when justified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Entidad</w:t>
            </w:r>
          </w:p>
        </w:tc>
        <w:tc>
          <w:tcPr>
            <w:tcW w:type="dxa" w:w="3360"/>
            <w:shd w:fill="D9EAF7"/>
          </w:tcPr>
          <w:p>
            <w:r>
              <w:rPr>
                <w:b/>
                <w:sz w:val="16"/>
              </w:rPr>
              <w:t>Propósito</w:t>
            </w:r>
          </w:p>
        </w:tc>
        <w:tc>
          <w:tcPr>
            <w:tcW w:type="dxa" w:w="3360"/>
            <w:shd w:fill="D9EAF7"/>
          </w:tcPr>
          <w:p>
            <w:r>
              <w:rPr>
                <w:b/>
                <w:sz w:val="16"/>
              </w:rPr>
              <w:t>Campos importantes</w:t>
            </w:r>
          </w:p>
        </w:tc>
      </w:tr>
      <w:tr>
        <w:tc>
          <w:tcPr>
            <w:tcW w:type="dxa" w:w="3360"/>
            <w:vAlign w:val="center"/>
          </w:tcPr>
          <w:p>
            <w:r>
              <w:rPr>
                <w:sz w:val="16"/>
              </w:rPr>
              <w:t>SourceConnection</w:t>
            </w:r>
          </w:p>
        </w:tc>
        <w:tc>
          <w:tcPr>
            <w:tcW w:type="dxa" w:w="3360"/>
            <w:vAlign w:val="center"/>
          </w:tcPr>
          <w:p>
            <w:r>
              <w:rPr>
                <w:sz w:val="16"/>
              </w:rPr>
              <w:t>Conexión del usuario.</w:t>
            </w:r>
          </w:p>
        </w:tc>
        <w:tc>
          <w:tcPr>
            <w:tcW w:type="dxa" w:w="3360"/>
            <w:vAlign w:val="center"/>
          </w:tcPr>
          <w:p>
            <w:r>
              <w:rPr>
                <w:sz w:val="16"/>
              </w:rPr>
              <w:t>userId, provider, status, scopes, externalAccountId, tokenRef, lastSyncAt</w:t>
            </w:r>
          </w:p>
        </w:tc>
      </w:tr>
      <w:tr>
        <w:tc>
          <w:tcPr>
            <w:tcW w:type="dxa" w:w="3360"/>
            <w:vAlign w:val="center"/>
          </w:tcPr>
          <w:p>
            <w:r>
              <w:rPr>
                <w:sz w:val="16"/>
              </w:rPr>
              <w:t>RawEvent</w:t>
            </w:r>
          </w:p>
        </w:tc>
        <w:tc>
          <w:tcPr>
            <w:tcW w:type="dxa" w:w="3360"/>
            <w:vAlign w:val="center"/>
          </w:tcPr>
          <w:p>
            <w:r>
              <w:rPr>
                <w:sz w:val="16"/>
              </w:rPr>
              <w:t>Evento antes de normalizar.</w:t>
            </w:r>
          </w:p>
        </w:tc>
        <w:tc>
          <w:tcPr>
            <w:tcW w:type="dxa" w:w="3360"/>
            <w:vAlign w:val="center"/>
          </w:tcPr>
          <w:p>
            <w:r>
              <w:rPr>
                <w:sz w:val="16"/>
              </w:rPr>
              <w:t>sourceConnectionId, externalEventId, payloadHash, receivedAt, status</w:t>
            </w:r>
          </w:p>
        </w:tc>
      </w:tr>
      <w:tr>
        <w:tc>
          <w:tcPr>
            <w:tcW w:type="dxa" w:w="3360"/>
            <w:vAlign w:val="center"/>
          </w:tcPr>
          <w:p>
            <w:r>
              <w:rPr>
                <w:sz w:val="16"/>
              </w:rPr>
              <w:t>TransactionSource</w:t>
            </w:r>
          </w:p>
        </w:tc>
        <w:tc>
          <w:tcPr>
            <w:tcW w:type="dxa" w:w="3360"/>
            <w:vAlign w:val="center"/>
          </w:tcPr>
          <w:p>
            <w:r>
              <w:rPr>
                <w:sz w:val="16"/>
              </w:rPr>
              <w:t>Evidencia externa.</w:t>
            </w:r>
          </w:p>
        </w:tc>
        <w:tc>
          <w:tcPr>
            <w:tcW w:type="dxa" w:w="3360"/>
            <w:vAlign w:val="center"/>
          </w:tcPr>
          <w:p>
            <w:r>
              <w:rPr>
                <w:sz w:val="16"/>
              </w:rPr>
              <w:t>transactionId, provider, externalId, rawEventId</w:t>
            </w:r>
          </w:p>
        </w:tc>
      </w:tr>
      <w:tr>
        <w:tc>
          <w:tcPr>
            <w:tcW w:type="dxa" w:w="3360"/>
            <w:vAlign w:val="center"/>
          </w:tcPr>
          <w:p>
            <w:r>
              <w:rPr>
                <w:sz w:val="16"/>
              </w:rPr>
              <w:t>Transaction</w:t>
            </w:r>
          </w:p>
        </w:tc>
        <w:tc>
          <w:tcPr>
            <w:tcW w:type="dxa" w:w="3360"/>
            <w:vAlign w:val="center"/>
          </w:tcPr>
          <w:p>
            <w:r>
              <w:rPr>
                <w:sz w:val="16"/>
              </w:rPr>
              <w:t>Transacción consolidada.</w:t>
            </w:r>
          </w:p>
        </w:tc>
        <w:tc>
          <w:tcPr>
            <w:tcW w:type="dxa" w:w="3360"/>
            <w:vAlign w:val="center"/>
          </w:tcPr>
          <w:p>
            <w:r>
              <w:rPr>
                <w:sz w:val="16"/>
              </w:rPr>
              <w:t>userId, amountInCents, currency, merchantName, date, categoryId, confidence, status</w:t>
            </w:r>
          </w:p>
        </w:tc>
      </w:tr>
      <w:tr>
        <w:tc>
          <w:tcPr>
            <w:tcW w:type="dxa" w:w="3360"/>
            <w:vAlign w:val="center"/>
          </w:tcPr>
          <w:p>
            <w:r>
              <w:rPr>
                <w:sz w:val="16"/>
              </w:rPr>
              <w:t>ReviewItem</w:t>
            </w:r>
          </w:p>
        </w:tc>
        <w:tc>
          <w:tcPr>
            <w:tcW w:type="dxa" w:w="3360"/>
            <w:vAlign w:val="center"/>
          </w:tcPr>
          <w:p>
            <w:r>
              <w:rPr>
                <w:sz w:val="16"/>
              </w:rPr>
              <w:t>Caso ambiguo.</w:t>
            </w:r>
          </w:p>
        </w:tc>
        <w:tc>
          <w:tcPr>
            <w:tcW w:type="dxa" w:w="3360"/>
            <w:vAlign w:val="center"/>
          </w:tcPr>
          <w:p>
            <w:r>
              <w:rPr>
                <w:sz w:val="16"/>
              </w:rPr>
              <w:t>transaction/rawEvent, reason, confidence, status</w:t>
            </w:r>
          </w:p>
        </w:tc>
      </w:tr>
      <w:tr>
        <w:tc>
          <w:tcPr>
            <w:tcW w:type="dxa" w:w="3360"/>
            <w:vAlign w:val="center"/>
          </w:tcPr>
          <w:p>
            <w:r>
              <w:rPr>
                <w:sz w:val="16"/>
              </w:rPr>
              <w:t>MerchantAlias</w:t>
            </w:r>
          </w:p>
        </w:tc>
        <w:tc>
          <w:tcPr>
            <w:tcW w:type="dxa" w:w="3360"/>
            <w:vAlign w:val="center"/>
          </w:tcPr>
          <w:p>
            <w:r>
              <w:rPr>
                <w:sz w:val="16"/>
              </w:rPr>
              <w:t>Normalización de comercios.</w:t>
            </w:r>
          </w:p>
        </w:tc>
        <w:tc>
          <w:tcPr>
            <w:tcW w:type="dxa" w:w="3360"/>
            <w:vAlign w:val="center"/>
          </w:tcPr>
          <w:p>
            <w:r>
              <w:rPr>
                <w:sz w:val="16"/>
              </w:rPr>
              <w:t>provider, sourceName, normalizedName</w:t>
            </w:r>
          </w:p>
        </w:tc>
      </w:tr>
      <w:tr>
        <w:tc>
          <w:tcPr>
            <w:tcW w:type="dxa" w:w="3360"/>
            <w:vAlign w:val="center"/>
          </w:tcPr>
          <w:p>
            <w:r>
              <w:rPr>
                <w:sz w:val="16"/>
              </w:rPr>
              <w:t>SyncCursor</w:t>
            </w:r>
          </w:p>
        </w:tc>
        <w:tc>
          <w:tcPr>
            <w:tcW w:type="dxa" w:w="3360"/>
            <w:vAlign w:val="center"/>
          </w:tcPr>
          <w:p>
            <w:r>
              <w:rPr>
                <w:sz w:val="16"/>
              </w:rPr>
              <w:t>Continuar sincronización.</w:t>
            </w:r>
          </w:p>
        </w:tc>
        <w:tc>
          <w:tcPr>
            <w:tcW w:type="dxa" w:w="3360"/>
            <w:vAlign w:val="center"/>
          </w:tcPr>
          <w:p>
            <w:r>
              <w:rPr>
                <w:sz w:val="16"/>
              </w:rPr>
              <w:t>connectionId, cursorValue, expiresAt</w:t>
            </w:r>
          </w:p>
        </w:tc>
      </w:tr>
    </w:tbl>
    <w:p/>
    <w:p>
      <w:pPr>
        <w:pStyle w:val="Heading2"/>
      </w:pPr>
      <w:r>
        <w:t>4.1 Reglas de dinero</w:t>
      </w:r>
    </w:p>
    <w:p>
      <w:pPr>
        <w:pStyle w:val="ListBullet"/>
        <w:spacing w:after="40"/>
      </w:pPr>
      <w:r>
        <w:t>Usar enteros de centavos en backend/DB.</w:t>
      </w:r>
    </w:p>
    <w:p>
      <w:pPr>
        <w:pStyle w:val="ListBullet"/>
        <w:spacing w:after="40"/>
      </w:pPr>
      <w:r>
        <w:t>No usar floats para dinero.</w:t>
      </w:r>
    </w:p>
    <w:p>
      <w:pPr>
        <w:pStyle w:val="ListBullet"/>
        <w:spacing w:after="40"/>
      </w:pPr>
      <w:r>
        <w:t>Moneda explícita.</w:t>
      </w:r>
    </w:p>
    <w:p>
      <w:pPr>
        <w:pStyle w:val="ListBullet"/>
        <w:spacing w:after="40"/>
      </w:pPr>
      <w:r>
        <w:t>Frontend solo formatea; backend/DB es la fuente de verdad.</w:t>
      </w:r>
    </w:p>
    <w:p>
      <w:pPr>
        <w:pStyle w:val="Heading1"/>
      </w:pPr>
      <w:r>
        <w:t>5. Contrato de ingestión</w:t>
      </w:r>
    </w:p>
    <w:p>
      <w:pPr>
        <w:spacing w:after="80"/>
      </w:pPr>
      <w:r>
        <w:rPr>
          <w:rFonts w:ascii="Consolas" w:hAnsi="Consolas"/>
          <w:sz w:val="16"/>
        </w:rPr>
        <w:t>NormalizedTransactionCandidate {</w:t>
        <w:br/>
        <w:t xml:space="preserve">  source: {</w:t>
        <w:br/>
        <w:t xml:space="preserve">    provider: "gmail" | "outlook" | "android_notification" | "bank_api" | "yappy" | "import",</w:t>
        <w:br/>
        <w:t xml:space="preserve">    externalId: string</w:t>
        <w:br/>
        <w:t xml:space="preserve">  },</w:t>
        <w:br/>
        <w:t xml:space="preserve">  amountInCents: number,</w:t>
        <w:br/>
        <w:t xml:space="preserve">  currency: string,</w:t>
        <w:br/>
        <w:t xml:space="preserve">  merchantName: string | null,</w:t>
        <w:br/>
        <w:t xml:space="preserve">  transactionDate: string,</w:t>
        <w:br/>
        <w:t xml:space="preserve">  direction: "expense" | "income" | "transfer" | "unknown",</w:t>
        <w:br/>
        <w:t xml:space="preserve">  description: string | null,</w:t>
        <w:br/>
        <w:t xml:space="preserve">  confidence: number,</w:t>
        <w:br/>
        <w:t xml:space="preserve">  evidence: {</w:t>
        <w:br/>
        <w:t xml:space="preserve">    fieldsDetected: string[],</w:t>
        <w:br/>
        <w:t xml:space="preserve">    parserVersion: string</w:t>
        <w:br/>
        <w:t xml:space="preserve">  }</w:t>
        <w:br/>
        <w:t>}</w:t>
      </w:r>
    </w:p>
    <w:p>
      <w:pPr>
        <w:pStyle w:val="Heading2"/>
      </w:pPr>
      <w:r>
        <w:t>5.1 Idempotencia</w:t>
      </w:r>
    </w:p>
    <w:p>
      <w:pPr>
        <w:pStyle w:val="ListBullet"/>
        <w:spacing w:after="40"/>
      </w:pPr>
      <w:r>
        <w:t>Usar externalId cuando el proveedor lo entregue.</w:t>
      </w:r>
    </w:p>
    <w:p>
      <w:pPr>
        <w:pStyle w:val="ListBullet"/>
        <w:spacing w:after="40"/>
      </w:pPr>
      <w:r>
        <w:t>Si no existe, generar fingerprint estable con provider + cuenta + fecha + importe + comercio + referencia.</w:t>
      </w:r>
    </w:p>
    <w:p>
      <w:pPr>
        <w:pStyle w:val="ListBullet"/>
        <w:spacing w:after="40"/>
      </w:pPr>
      <w:r>
        <w:t>No asumir que mismo importe/fecha significa mismo movimiento.</w:t>
      </w:r>
    </w:p>
    <w:p>
      <w:pPr>
        <w:pStyle w:val="ListBullet"/>
        <w:spacing w:after="40"/>
      </w:pPr>
      <w:r>
        <w:t>Conservar múltiples TransactionSource aunque exista una sola Transaction.</w:t>
      </w:r>
    </w:p>
    <w:p>
      <w:pPr>
        <w:pStyle w:val="Heading2"/>
      </w:pPr>
      <w:r>
        <w:t>5.2 Confianza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Nivel</w:t>
            </w:r>
          </w:p>
        </w:tc>
        <w:tc>
          <w:tcPr>
            <w:tcW w:type="dxa" w:w="3360"/>
            <w:shd w:fill="D9EAF7"/>
          </w:tcPr>
          <w:p>
            <w:r>
              <w:rPr>
                <w:b/>
                <w:sz w:val="16"/>
              </w:rPr>
              <w:t>Ejemplo</w:t>
            </w:r>
          </w:p>
        </w:tc>
        <w:tc>
          <w:tcPr>
            <w:tcW w:type="dxa" w:w="3360"/>
            <w:shd w:fill="D9EAF7"/>
          </w:tcPr>
          <w:p>
            <w:r>
              <w:rPr>
                <w:b/>
                <w:sz w:val="16"/>
              </w:rPr>
              <w:t>Acción</w:t>
            </w:r>
          </w:p>
        </w:tc>
      </w:tr>
      <w:tr>
        <w:tc>
          <w:tcPr>
            <w:tcW w:type="dxa" w:w="3360"/>
            <w:vAlign w:val="center"/>
          </w:tcPr>
          <w:p>
            <w:r>
              <w:rPr>
                <w:sz w:val="16"/>
              </w:rPr>
              <w:t>Alta</w:t>
            </w:r>
          </w:p>
        </w:tc>
        <w:tc>
          <w:tcPr>
            <w:tcW w:type="dxa" w:w="3360"/>
            <w:vAlign w:val="center"/>
          </w:tcPr>
          <w:p>
            <w:r>
              <w:rPr>
                <w:sz w:val="16"/>
              </w:rPr>
              <w:t>Importe + fecha + comercio + moneda con patrón confiable</w:t>
            </w:r>
          </w:p>
        </w:tc>
        <w:tc>
          <w:tcPr>
            <w:tcW w:type="dxa" w:w="3360"/>
            <w:vAlign w:val="center"/>
          </w:tcPr>
          <w:p>
            <w:r>
              <w:rPr>
                <w:sz w:val="16"/>
              </w:rPr>
              <w:t>Crear automáticamente.</w:t>
            </w:r>
          </w:p>
        </w:tc>
      </w:tr>
      <w:tr>
        <w:tc>
          <w:tcPr>
            <w:tcW w:type="dxa" w:w="3360"/>
            <w:vAlign w:val="center"/>
          </w:tcPr>
          <w:p>
            <w:r>
              <w:rPr>
                <w:sz w:val="16"/>
              </w:rPr>
              <w:t>Media</w:t>
            </w:r>
          </w:p>
        </w:tc>
        <w:tc>
          <w:tcPr>
            <w:tcW w:type="dxa" w:w="3360"/>
            <w:vAlign w:val="center"/>
          </w:tcPr>
          <w:p>
            <w:r>
              <w:rPr>
                <w:sz w:val="16"/>
              </w:rPr>
              <w:t>Importe + comercio, algún campo ambiguo</w:t>
            </w:r>
          </w:p>
        </w:tc>
        <w:tc>
          <w:tcPr>
            <w:tcW w:type="dxa" w:w="3360"/>
            <w:vAlign w:val="center"/>
          </w:tcPr>
          <w:p>
            <w:r>
              <w:rPr>
                <w:sz w:val="16"/>
              </w:rPr>
              <w:t>Provisional/revisión según regla.</w:t>
            </w:r>
          </w:p>
        </w:tc>
      </w:tr>
      <w:tr>
        <w:tc>
          <w:tcPr>
            <w:tcW w:type="dxa" w:w="3360"/>
            <w:vAlign w:val="center"/>
          </w:tcPr>
          <w:p>
            <w:r>
              <w:rPr>
                <w:sz w:val="16"/>
              </w:rPr>
              <w:t>Baja</w:t>
            </w:r>
          </w:p>
        </w:tc>
        <w:tc>
          <w:tcPr>
            <w:tcW w:type="dxa" w:w="3360"/>
            <w:vAlign w:val="center"/>
          </w:tcPr>
          <w:p>
            <w:r>
              <w:rPr>
                <w:sz w:val="16"/>
              </w:rPr>
              <w:t>Texto ambiguo o importe dudoso</w:t>
            </w:r>
          </w:p>
        </w:tc>
        <w:tc>
          <w:tcPr>
            <w:tcW w:type="dxa" w:w="3360"/>
            <w:vAlign w:val="center"/>
          </w:tcPr>
          <w:p>
            <w:r>
              <w:rPr>
                <w:sz w:val="16"/>
              </w:rPr>
              <w:t>Review Queue.</w:t>
            </w:r>
          </w:p>
        </w:tc>
      </w:tr>
    </w:tbl>
    <w:p/>
    <w:p>
      <w:pPr>
        <w:pStyle w:val="Heading1"/>
      </w:pPr>
      <w:r>
        <w:t>6. Investigación de fuentes</w:t>
      </w:r>
    </w:p>
    <w:p>
      <w:pPr>
        <w:pStyle w:val="Heading2"/>
      </w:pPr>
      <w:r>
        <w:t>6.1 Gmail</w:t>
      </w:r>
    </w:p>
    <w:p>
      <w:pPr>
        <w:pStyle w:val="ListBullet"/>
        <w:spacing w:after="40"/>
      </w:pPr>
      <w:r>
        <w:t>OAuth con scopes explícitos.</w:t>
      </w:r>
    </w:p>
    <w:p>
      <w:pPr>
        <w:pStyle w:val="ListBullet"/>
        <w:spacing w:after="40"/>
      </w:pPr>
      <w:r>
        <w:t>Push mediante Google Cloud Pub/Sub.</w:t>
      </w:r>
    </w:p>
    <w:p>
      <w:pPr>
        <w:pStyle w:val="ListBullet"/>
        <w:spacing w:after="40"/>
      </w:pPr>
      <w:r>
        <w:t>watch debe renovarse al menos cada 7 días; Google recomienda diariamente.</w:t>
      </w:r>
    </w:p>
    <w:p>
      <w:pPr>
        <w:pStyle w:val="ListBullet"/>
        <w:spacing w:after="40"/>
      </w:pPr>
      <w:r>
        <w:t>Debe existir resync porque notificaciones pueden retrasarse/perderse.</w:t>
      </w:r>
    </w:p>
    <w:p>
      <w:pPr>
        <w:pStyle w:val="ListBullet"/>
        <w:spacing w:after="40"/>
      </w:pPr>
      <w:r>
        <w:t>Scopes de lectura pueden ser sensibles/restringidos y activar verificación/requisitos adicionales.</w:t>
      </w:r>
    </w:p>
    <w:p>
      <w:pPr>
        <w:pStyle w:val="ListBullet"/>
        <w:spacing w:after="40"/>
      </w:pPr>
      <w:r>
        <w:t>Nunca pedir contraseña de Gmail.</w:t>
      </w:r>
    </w:p>
    <w:p>
      <w:r>
        <w:rPr>
          <w:b/>
        </w:rPr>
        <w:t xml:space="preserve">Conclusión: </w:t>
      </w:r>
      <w:r>
        <w:t>Excelente candidato para el primer MVP, con consentimiento y seguridad diseñados desde el principio.</w:t>
      </w:r>
    </w:p>
    <w:p>
      <w:pPr>
        <w:pStyle w:val="Heading2"/>
      </w:pPr>
      <w:r>
        <w:t>6.2 Outlook / Microsoft Graph</w:t>
      </w:r>
    </w:p>
    <w:p>
      <w:pPr>
        <w:pStyle w:val="ListBullet"/>
        <w:spacing w:after="40"/>
      </w:pPr>
      <w:r>
        <w:t>Mail.Read permite el escenario de lectura de correo.</w:t>
      </w:r>
    </w:p>
    <w:p>
      <w:pPr>
        <w:pStyle w:val="ListBullet"/>
        <w:spacing w:after="40"/>
      </w:pPr>
      <w:r>
        <w:t>Graph soporta change notifications/webhooks para mensajes.</w:t>
      </w:r>
    </w:p>
    <w:p>
      <w:pPr>
        <w:pStyle w:val="ListBullet"/>
        <w:spacing w:after="40"/>
      </w:pPr>
      <w:r>
        <w:t>Las suscripciones tienen ciclo de vida y eventos de reautorización/eliminación/pérdida.</w:t>
      </w:r>
    </w:p>
    <w:p>
      <w:pPr>
        <w:pStyle w:val="ListBullet"/>
        <w:spacing w:after="40"/>
      </w:pPr>
      <w:r>
        <w:t>El alcance depende de si es cuenta personal o de trabajo.</w:t>
      </w:r>
    </w:p>
    <w:p>
      <w:r>
        <w:rPr>
          <w:b/>
        </w:rPr>
        <w:t xml:space="preserve">Conclusión: </w:t>
      </w:r>
      <w:r>
        <w:t>Implementar como adapter separado pero reutilizando el mismo dominio de ingestión.</w:t>
      </w:r>
    </w:p>
    <w:p>
      <w:pPr>
        <w:pStyle w:val="Heading2"/>
      </w:pPr>
      <w:r>
        <w:t>6.3 Android NotificationListenerService</w:t>
      </w:r>
    </w:p>
    <w:p>
      <w:pPr>
        <w:pStyle w:val="ListBullet"/>
        <w:spacing w:after="40"/>
      </w:pPr>
      <w:r>
        <w:t>Android puede notificar a una app cuando se publican/eliminan notificaciones.</w:t>
      </w:r>
    </w:p>
    <w:p>
      <w:pPr>
        <w:pStyle w:val="ListBullet"/>
        <w:spacing w:after="40"/>
      </w:pPr>
      <w:r>
        <w:t>Requiere permiso explícito en ajustes del sistema.</w:t>
      </w:r>
    </w:p>
    <w:p>
      <w:pPr>
        <w:pStyle w:val="ListBullet"/>
        <w:spacing w:after="40"/>
      </w:pPr>
      <w:r>
        <w:t>Puede capturar notificaciones de bancos, Google Wallet y otras apps financieras.</w:t>
      </w:r>
    </w:p>
    <w:p>
      <w:pPr>
        <w:pStyle w:val="ListBullet"/>
        <w:spacing w:after="40"/>
      </w:pPr>
      <w:r>
        <w:t>Filtrar localmente y transmitir solo eventos financieros estructurados.</w:t>
      </w:r>
    </w:p>
    <w:p>
      <w:r>
        <w:rPr>
          <w:b/>
        </w:rPr>
        <w:t xml:space="preserve">Conclusión: </w:t>
      </w:r>
      <w:r>
        <w:t>Potencial diferenciador fuerte para Android.</w:t>
      </w:r>
    </w:p>
    <w:p>
      <w:pPr>
        <w:pStyle w:val="Heading2"/>
      </w:pPr>
      <w:r>
        <w:t>6.4 Google Wallet</w:t>
      </w:r>
    </w:p>
    <w:p>
      <w:pPr>
        <w:pStyle w:val="ListBullet"/>
        <w:spacing w:after="40"/>
      </w:pPr>
      <w:r>
        <w:t>Wallet muestra transacciones y puede emitir notificaciones de compras.</w:t>
      </w:r>
    </w:p>
    <w:p>
      <w:pPr>
        <w:pStyle w:val="ListBullet"/>
        <w:spacing w:after="40"/>
      </w:pPr>
      <w:r>
        <w:t>Google indica que el historial completo debe consultarse en los extractos bancarios.</w:t>
      </w:r>
    </w:p>
    <w:p>
      <w:pPr>
        <w:pStyle w:val="ListBullet"/>
        <w:spacing w:after="40"/>
      </w:pPr>
      <w:r>
        <w:t>No diseñar Lumina suponiendo una API pública general para historial personal.</w:t>
      </w:r>
    </w:p>
    <w:p>
      <w:r>
        <w:rPr>
          <w:b/>
        </w:rPr>
        <w:t xml:space="preserve">Conclusión: </w:t>
      </w:r>
      <w:r>
        <w:t>Tratar como fuente indirecta vía notificaciones Android.</w:t>
      </w:r>
    </w:p>
    <w:p>
      <w:pPr>
        <w:pStyle w:val="Heading2"/>
      </w:pPr>
      <w:r>
        <w:t>6.5 Yappy</w:t>
      </w:r>
    </w:p>
    <w:p>
      <w:pPr>
        <w:pStyle w:val="ListBullet"/>
        <w:spacing w:after="40"/>
      </w:pPr>
      <w:r>
        <w:t>Yappy publica APIs de integraciones para comercios/Yappy Comercial.</w:t>
      </w:r>
    </w:p>
    <w:p>
      <w:pPr>
        <w:pStyle w:val="ListBullet"/>
        <w:spacing w:after="40"/>
      </w:pPr>
      <w:r>
        <w:t>Incluyen consulta de transacciones/historial para escenarios comerciales.</w:t>
      </w:r>
    </w:p>
    <w:p>
      <w:pPr>
        <w:pStyle w:val="ListBullet"/>
        <w:spacing w:after="40"/>
      </w:pPr>
      <w:r>
        <w:t>Esto no demuestra acceso equivalente al historial personal.</w:t>
      </w:r>
    </w:p>
    <w:p>
      <w:r>
        <w:rPr>
          <w:b/>
        </w:rPr>
        <w:t xml:space="preserve">Conclusión: </w:t>
      </w:r>
      <w:r>
        <w:t>Investigar partner/personal y usar Android notifications como vía práctica inicial.</w:t>
      </w:r>
    </w:p>
    <w:p>
      <w:pPr>
        <w:pStyle w:val="Heading1"/>
      </w:pPr>
      <w:r>
        <w:t>7. Banca en Panamá</w:t>
      </w:r>
    </w:p>
    <w:p>
      <w:r>
        <w:t>La banca requiere discovery técnico/comercial. Una API empresarial no equivale a una API personal. No implementar una integración solo porque existe una página que menciona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6"/>
              </w:rPr>
              <w:t>Institución</w:t>
            </w:r>
          </w:p>
        </w:tc>
        <w:tc>
          <w:tcPr>
            <w:tcW w:type="dxa" w:w="2520"/>
            <w:shd w:fill="D9EAF7"/>
          </w:tcPr>
          <w:p>
            <w:r>
              <w:rPr>
                <w:b/>
                <w:sz w:val="16"/>
              </w:rPr>
              <w:t>Evidencia pública</w:t>
            </w:r>
          </w:p>
        </w:tc>
        <w:tc>
          <w:tcPr>
            <w:tcW w:type="dxa" w:w="2520"/>
            <w:shd w:fill="D9EAF7"/>
          </w:tcPr>
          <w:p>
            <w:r>
              <w:rPr>
                <w:b/>
                <w:sz w:val="16"/>
              </w:rPr>
              <w:t>Personal confirmado?</w:t>
            </w:r>
          </w:p>
        </w:tc>
        <w:tc>
          <w:tcPr>
            <w:tcW w:type="dxa" w:w="2520"/>
            <w:shd w:fill="D9EAF7"/>
          </w:tcPr>
          <w:p>
            <w:r>
              <w:rPr>
                <w:b/>
                <w:sz w:val="16"/>
              </w:rPr>
              <w:t>Plan</w:t>
            </w:r>
          </w:p>
        </w:tc>
      </w:tr>
      <w:tr>
        <w:tc>
          <w:tcPr>
            <w:tcW w:type="dxa" w:w="2520"/>
            <w:vAlign w:val="center"/>
          </w:tcPr>
          <w:p>
            <w:r>
              <w:rPr>
                <w:sz w:val="16"/>
              </w:rPr>
              <w:t>Banco General</w:t>
            </w:r>
          </w:p>
        </w:tc>
        <w:tc>
          <w:tcPr>
            <w:tcW w:type="dxa" w:w="2520"/>
            <w:vAlign w:val="center"/>
          </w:tcPr>
          <w:p>
            <w:r>
              <w:rPr>
                <w:sz w:val="16"/>
              </w:rPr>
              <w:t>Conexión BG: REST + OAuth 2.0, orientada a empresas/ERP.</w:t>
            </w:r>
          </w:p>
        </w:tc>
        <w:tc>
          <w:tcPr>
            <w:tcW w:type="dxa" w:w="2520"/>
            <w:vAlign w:val="center"/>
          </w:tcPr>
          <w:p>
            <w:r>
              <w:rPr>
                <w:sz w:val="16"/>
              </w:rPr>
              <w:t>No</w:t>
            </w:r>
          </w:p>
        </w:tc>
        <w:tc>
          <w:tcPr>
            <w:tcW w:type="dxa" w:w="2520"/>
            <w:vAlign w:val="center"/>
          </w:tcPr>
          <w:p>
            <w:r>
              <w:rPr>
                <w:sz w:val="16"/>
              </w:rPr>
              <w:t>Investigar acceso personal/agregador.</w:t>
            </w:r>
          </w:p>
        </w:tc>
      </w:tr>
      <w:tr>
        <w:tc>
          <w:tcPr>
            <w:tcW w:type="dxa" w:w="2520"/>
            <w:vAlign w:val="center"/>
          </w:tcPr>
          <w:p>
            <w:r>
              <w:rPr>
                <w:sz w:val="16"/>
              </w:rPr>
              <w:t>BAC</w:t>
            </w:r>
          </w:p>
        </w:tc>
        <w:tc>
          <w:tcPr>
            <w:tcW w:type="dxa" w:w="2520"/>
            <w:vAlign w:val="center"/>
          </w:tcPr>
          <w:p>
            <w:r>
              <w:rPr>
                <w:sz w:val="16"/>
              </w:rPr>
              <w:t>APIs de tesorería empresarial: saldos/movimientos en tiempo real.</w:t>
            </w:r>
          </w:p>
        </w:tc>
        <w:tc>
          <w:tcPr>
            <w:tcW w:type="dxa" w:w="2520"/>
            <w:vAlign w:val="center"/>
          </w:tcPr>
          <w:p>
            <w:r>
              <w:rPr>
                <w:sz w:val="16"/>
              </w:rPr>
              <w:t>No</w:t>
            </w:r>
          </w:p>
        </w:tc>
        <w:tc>
          <w:tcPr>
            <w:tcW w:type="dxa" w:w="2520"/>
            <w:vAlign w:val="center"/>
          </w:tcPr>
          <w:p>
            <w:r>
              <w:rPr>
                <w:sz w:val="16"/>
              </w:rPr>
              <w:t>Investigar acceso personal/agregador.</w:t>
            </w:r>
          </w:p>
        </w:tc>
      </w:tr>
      <w:tr>
        <w:tc>
          <w:tcPr>
            <w:tcW w:type="dxa" w:w="2520"/>
            <w:vAlign w:val="center"/>
          </w:tcPr>
          <w:p>
            <w:r>
              <w:rPr>
                <w:sz w:val="16"/>
              </w:rPr>
              <w:t>Banistmo</w:t>
            </w:r>
          </w:p>
        </w:tc>
        <w:tc>
          <w:tcPr>
            <w:tcW w:type="dxa" w:w="2520"/>
            <w:vAlign w:val="center"/>
          </w:tcPr>
          <w:p>
            <w:r>
              <w:rPr>
                <w:sz w:val="16"/>
              </w:rPr>
              <w:t>App informa transferencias, pagos, recargas y compras con tarjeta.</w:t>
            </w:r>
          </w:p>
        </w:tc>
        <w:tc>
          <w:tcPr>
            <w:tcW w:type="dxa" w:w="2520"/>
            <w:vAlign w:val="center"/>
          </w:tcPr>
          <w:p>
            <w:r>
              <w:rPr>
                <w:sz w:val="16"/>
              </w:rPr>
              <w:t>No API personal confirmada</w:t>
            </w:r>
          </w:p>
        </w:tc>
        <w:tc>
          <w:tcPr>
            <w:tcW w:type="dxa" w:w="2520"/>
            <w:vAlign w:val="center"/>
          </w:tcPr>
          <w:p>
            <w:r>
              <w:rPr>
                <w:sz w:val="16"/>
              </w:rPr>
              <w:t>Prioridad Android.</w:t>
            </w:r>
          </w:p>
        </w:tc>
      </w:tr>
      <w:tr>
        <w:tc>
          <w:tcPr>
            <w:tcW w:type="dxa" w:w="2520"/>
            <w:vAlign w:val="center"/>
          </w:tcPr>
          <w:p>
            <w:r>
              <w:rPr>
                <w:sz w:val="16"/>
              </w:rPr>
              <w:t>Banco Nacional</w:t>
            </w:r>
          </w:p>
        </w:tc>
        <w:tc>
          <w:tcPr>
            <w:tcW w:type="dxa" w:w="2520"/>
            <w:vAlign w:val="center"/>
          </w:tcPr>
          <w:p>
            <w:r>
              <w:rPr>
                <w:sz w:val="16"/>
              </w:rPr>
              <w:t>Cobertura actual debe verificarse.</w:t>
            </w:r>
          </w:p>
        </w:tc>
        <w:tc>
          <w:tcPr>
            <w:tcW w:type="dxa" w:w="2520"/>
            <w:vAlign w:val="center"/>
          </w:tcPr>
          <w:p>
            <w:r>
              <w:rPr>
                <w:sz w:val="16"/>
              </w:rPr>
              <w:t>No</w:t>
            </w:r>
          </w:p>
        </w:tc>
        <w:tc>
          <w:tcPr>
            <w:tcW w:type="dxa" w:w="2520"/>
            <w:vAlign w:val="center"/>
          </w:tcPr>
          <w:p>
            <w:r>
              <w:rPr>
                <w:sz w:val="16"/>
              </w:rPr>
              <w:t>Discovery.</w:t>
            </w:r>
          </w:p>
        </w:tc>
      </w:tr>
      <w:tr>
        <w:tc>
          <w:tcPr>
            <w:tcW w:type="dxa" w:w="2520"/>
            <w:vAlign w:val="center"/>
          </w:tcPr>
          <w:p>
            <w:r>
              <w:rPr>
                <w:sz w:val="16"/>
              </w:rPr>
              <w:t>Caja de Ahorros</w:t>
            </w:r>
          </w:p>
        </w:tc>
        <w:tc>
          <w:tcPr>
            <w:tcW w:type="dxa" w:w="2520"/>
            <w:vAlign w:val="center"/>
          </w:tcPr>
          <w:p>
            <w:r>
              <w:rPr>
                <w:sz w:val="16"/>
              </w:rPr>
              <w:t>Cobertura actual debe verificarse.</w:t>
            </w:r>
          </w:p>
        </w:tc>
        <w:tc>
          <w:tcPr>
            <w:tcW w:type="dxa" w:w="2520"/>
            <w:vAlign w:val="center"/>
          </w:tcPr>
          <w:p>
            <w:r>
              <w:rPr>
                <w:sz w:val="16"/>
              </w:rPr>
              <w:t>No</w:t>
            </w:r>
          </w:p>
        </w:tc>
        <w:tc>
          <w:tcPr>
            <w:tcW w:type="dxa" w:w="2520"/>
            <w:vAlign w:val="center"/>
          </w:tcPr>
          <w:p>
            <w:r>
              <w:rPr>
                <w:sz w:val="16"/>
              </w:rPr>
              <w:t>Discovery.</w:t>
            </w:r>
          </w:p>
        </w:tc>
      </w:tr>
      <w:tr>
        <w:tc>
          <w:tcPr>
            <w:tcW w:type="dxa" w:w="2520"/>
            <w:vAlign w:val="center"/>
          </w:tcPr>
          <w:p>
            <w:r>
              <w:rPr>
                <w:sz w:val="16"/>
              </w:rPr>
              <w:t>Global Bank</w:t>
            </w:r>
          </w:p>
        </w:tc>
        <w:tc>
          <w:tcPr>
            <w:tcW w:type="dxa" w:w="2520"/>
            <w:vAlign w:val="center"/>
          </w:tcPr>
          <w:p>
            <w:r>
              <w:rPr>
                <w:sz w:val="16"/>
              </w:rPr>
              <w:t>Cobertura actual debe verificarse.</w:t>
            </w:r>
          </w:p>
        </w:tc>
        <w:tc>
          <w:tcPr>
            <w:tcW w:type="dxa" w:w="2520"/>
            <w:vAlign w:val="center"/>
          </w:tcPr>
          <w:p>
            <w:r>
              <w:rPr>
                <w:sz w:val="16"/>
              </w:rPr>
              <w:t>No</w:t>
            </w:r>
          </w:p>
        </w:tc>
        <w:tc>
          <w:tcPr>
            <w:tcW w:type="dxa" w:w="2520"/>
            <w:vAlign w:val="center"/>
          </w:tcPr>
          <w:p>
            <w:r>
              <w:rPr>
                <w:sz w:val="16"/>
              </w:rPr>
              <w:t>Discovery.</w:t>
            </w:r>
          </w:p>
        </w:tc>
      </w:tr>
      <w:tr>
        <w:tc>
          <w:tcPr>
            <w:tcW w:type="dxa" w:w="2520"/>
            <w:vAlign w:val="center"/>
          </w:tcPr>
          <w:p>
            <w:r>
              <w:rPr>
                <w:sz w:val="16"/>
              </w:rPr>
              <w:t>Multibank/Credicorp/Canal Bank</w:t>
            </w:r>
          </w:p>
        </w:tc>
        <w:tc>
          <w:tcPr>
            <w:tcW w:type="dxa" w:w="2520"/>
            <w:vAlign w:val="center"/>
          </w:tcPr>
          <w:p>
            <w:r>
              <w:rPr>
                <w:sz w:val="16"/>
              </w:rPr>
              <w:t>Cobertura actual debe verificarse.</w:t>
            </w:r>
          </w:p>
        </w:tc>
        <w:tc>
          <w:tcPr>
            <w:tcW w:type="dxa" w:w="2520"/>
            <w:vAlign w:val="center"/>
          </w:tcPr>
          <w:p>
            <w:r>
              <w:rPr>
                <w:sz w:val="16"/>
              </w:rPr>
              <w:t>No</w:t>
            </w:r>
          </w:p>
        </w:tc>
        <w:tc>
          <w:tcPr>
            <w:tcW w:type="dxa" w:w="2520"/>
            <w:vAlign w:val="center"/>
          </w:tcPr>
          <w:p>
            <w:r>
              <w:rPr>
                <w:sz w:val="16"/>
              </w:rPr>
              <w:t>Discovery.</w:t>
            </w:r>
          </w:p>
        </w:tc>
      </w:tr>
      <w:tr>
        <w:tc>
          <w:tcPr>
            <w:tcW w:type="dxa" w:w="2520"/>
            <w:vAlign w:val="center"/>
          </w:tcPr>
          <w:p>
            <w:r>
              <w:rPr>
                <w:sz w:val="16"/>
              </w:rPr>
              <w:t>Yappy</w:t>
            </w:r>
          </w:p>
        </w:tc>
        <w:tc>
          <w:tcPr>
            <w:tcW w:type="dxa" w:w="2520"/>
            <w:vAlign w:val="center"/>
          </w:tcPr>
          <w:p>
            <w:r>
              <w:rPr>
                <w:sz w:val="16"/>
              </w:rPr>
              <w:t>APIs para Yappy Comercial.</w:t>
            </w:r>
          </w:p>
        </w:tc>
        <w:tc>
          <w:tcPr>
            <w:tcW w:type="dxa" w:w="2520"/>
            <w:vAlign w:val="center"/>
          </w:tcPr>
          <w:p>
            <w:r>
              <w:rPr>
                <w:sz w:val="16"/>
              </w:rPr>
              <w:t>No</w:t>
            </w:r>
          </w:p>
        </w:tc>
        <w:tc>
          <w:tcPr>
            <w:tcW w:type="dxa" w:w="2520"/>
            <w:vAlign w:val="center"/>
          </w:tcPr>
          <w:p>
            <w:r>
              <w:rPr>
                <w:sz w:val="16"/>
              </w:rPr>
              <w:t>Discovery separado.</w:t>
            </w:r>
          </w:p>
        </w:tc>
      </w:tr>
      <w:tr>
        <w:tc>
          <w:tcPr>
            <w:tcW w:type="dxa" w:w="2520"/>
            <w:vAlign w:val="center"/>
          </w:tcPr>
          <w:p>
            <w:r>
              <w:rPr>
                <w:sz w:val="16"/>
              </w:rPr>
              <w:t>Prometeo</w:t>
            </w:r>
          </w:p>
        </w:tc>
        <w:tc>
          <w:tcPr>
            <w:tcW w:type="dxa" w:w="2520"/>
            <w:vAlign w:val="center"/>
          </w:tcPr>
          <w:p>
            <w:r>
              <w:rPr>
                <w:sz w:val="16"/>
              </w:rPr>
              <w:t>Infraestructura financiera regional; cobertura concreta debe confirmarse.</w:t>
            </w:r>
          </w:p>
        </w:tc>
        <w:tc>
          <w:tcPr>
            <w:tcW w:type="dxa" w:w="2520"/>
            <w:vAlign w:val="center"/>
          </w:tcPr>
          <w:p>
            <w:r>
              <w:rPr>
                <w:sz w:val="16"/>
              </w:rPr>
              <w:t>No para este caso</w:t>
            </w:r>
          </w:p>
        </w:tc>
        <w:tc>
          <w:tcPr>
            <w:tcW w:type="dxa" w:w="2520"/>
            <w:vAlign w:val="center"/>
          </w:tcPr>
          <w:p>
            <w:r>
              <w:rPr>
                <w:sz w:val="16"/>
              </w:rPr>
              <w:t>Top discovery.</w:t>
            </w:r>
          </w:p>
        </w:tc>
      </w:tr>
    </w:tbl>
    <w:p/>
    <w:p>
      <w:pPr>
        <w:pStyle w:val="Heading2"/>
      </w:pPr>
      <w:r>
        <w:t>7.1 Preguntas para cada proveedor</w:t>
      </w:r>
    </w:p>
    <w:p>
      <w:pPr>
        <w:pStyle w:val="ListBullet"/>
        <w:spacing w:after="40"/>
      </w:pPr>
      <w:r>
        <w:t>¿Cuentas personales o solo empresariales?</w:t>
      </w:r>
    </w:p>
    <w:p>
      <w:pPr>
        <w:pStyle w:val="ListBullet"/>
        <w:spacing w:after="40"/>
      </w:pPr>
      <w:r>
        <w:t>¿OAuth/consentimiento sin entregar credenciales a Lumina?</w:t>
      </w:r>
    </w:p>
    <w:p>
      <w:pPr>
        <w:pStyle w:val="ListBullet"/>
        <w:spacing w:after="40"/>
      </w:pPr>
      <w:r>
        <w:t>¿Histórico?</w:t>
      </w:r>
    </w:p>
    <w:p>
      <w:pPr>
        <w:pStyle w:val="ListBullet"/>
        <w:spacing w:after="40"/>
      </w:pPr>
      <w:r>
        <w:t>¿Nuevos movimientos?</w:t>
      </w:r>
    </w:p>
    <w:p>
      <w:pPr>
        <w:pStyle w:val="ListBullet"/>
        <w:spacing w:after="40"/>
      </w:pPr>
      <w:r>
        <w:t>¿Frecuencia?</w:t>
      </w:r>
    </w:p>
    <w:p>
      <w:pPr>
        <w:pStyle w:val="ListBullet"/>
        <w:spacing w:after="40"/>
      </w:pPr>
      <w:r>
        <w:t>¿Cuenta corriente/ahorro/tarjetas?</w:t>
      </w:r>
    </w:p>
    <w:p>
      <w:pPr>
        <w:pStyle w:val="ListBullet"/>
        <w:spacing w:after="40"/>
      </w:pPr>
      <w:r>
        <w:t>¿Qué campos devuelve?</w:t>
      </w:r>
    </w:p>
    <w:p>
      <w:pPr>
        <w:pStyle w:val="ListBullet"/>
        <w:spacing w:after="40"/>
      </w:pPr>
      <w:r>
        <w:t>¿MFA?</w:t>
      </w:r>
    </w:p>
    <w:p>
      <w:pPr>
        <w:pStyle w:val="ListBullet"/>
        <w:spacing w:after="40"/>
      </w:pPr>
      <w:r>
        <w:t>¿Partner approval?</w:t>
      </w:r>
    </w:p>
    <w:p>
      <w:pPr>
        <w:pStyle w:val="ListBullet"/>
        <w:spacing w:after="40"/>
      </w:pPr>
      <w:r>
        <w:t>¿Precio?</w:t>
      </w:r>
    </w:p>
    <w:p>
      <w:pPr>
        <w:pStyle w:val="ListBullet"/>
        <w:spacing w:after="40"/>
      </w:pPr>
      <w:r>
        <w:t>¿Uso SaaS permitido?</w:t>
      </w:r>
    </w:p>
    <w:p>
      <w:pPr>
        <w:pStyle w:val="ListBullet"/>
        <w:spacing w:after="40"/>
      </w:pPr>
      <w:r>
        <w:t>¿Dónde se procesan datos?</w:t>
      </w:r>
    </w:p>
    <w:p>
      <w:pPr>
        <w:pStyle w:val="ListBullet"/>
        <w:spacing w:after="40"/>
      </w:pPr>
      <w:r>
        <w:t>¿Revocación?</w:t>
      </w:r>
    </w:p>
    <w:p>
      <w:pPr>
        <w:pStyle w:val="ListBullet"/>
        <w:spacing w:after="40"/>
      </w:pPr>
      <w:r>
        <w:t>¿Sandbox?</w:t>
      </w:r>
    </w:p>
    <w:p>
      <w:pPr>
        <w:pStyle w:val="ListBullet"/>
        <w:spacing w:after="40"/>
      </w:pPr>
      <w:r>
        <w:t>¿Rate limits/SLA?</w:t>
      </w:r>
    </w:p>
    <w:p>
      <w:pPr>
        <w:pStyle w:val="ListBullet"/>
        <w:spacing w:after="40"/>
      </w:pPr>
      <w:r>
        <w:t>¿Webhook o polling?</w:t>
      </w:r>
    </w:p>
    <w:p>
      <w:pPr>
        <w:pStyle w:val="Heading2"/>
      </w:pPr>
      <w:r>
        <w:t>7.2 Prometeo: SPIKE obligatorio</w:t>
      </w:r>
    </w:p>
    <w:p>
      <w:pPr>
        <w:pStyle w:val="ListBullet"/>
        <w:spacing w:after="40"/>
      </w:pPr>
      <w:r>
        <w:t>Solicitar demo/documentación actual.</w:t>
      </w:r>
    </w:p>
    <w:p>
      <w:pPr>
        <w:pStyle w:val="ListBullet"/>
        <w:spacing w:after="40"/>
      </w:pPr>
      <w:r>
        <w:t>Confirmar instituciones de Panamá disponibles.</w:t>
      </w:r>
    </w:p>
    <w:p>
      <w:pPr>
        <w:pStyle w:val="ListBullet"/>
        <w:spacing w:after="40"/>
      </w:pPr>
      <w:r>
        <w:t>Confirmar cuentas personales.</w:t>
      </w:r>
    </w:p>
    <w:p>
      <w:pPr>
        <w:pStyle w:val="ListBullet"/>
        <w:spacing w:after="40"/>
      </w:pPr>
      <w:r>
        <w:t>Confirmar sandbox.</w:t>
      </w:r>
    </w:p>
    <w:p>
      <w:pPr>
        <w:pStyle w:val="ListBullet"/>
        <w:spacing w:after="40"/>
      </w:pPr>
      <w:r>
        <w:t>Confirmar consentimiento sin entregar contraseñas a Lumina.</w:t>
      </w:r>
    </w:p>
    <w:p>
      <w:pPr>
        <w:pStyle w:val="ListBullet"/>
        <w:spacing w:after="40"/>
      </w:pPr>
      <w:r>
        <w:t>Confirmar histórico + nuevos movimientos + frecuencia.</w:t>
      </w:r>
    </w:p>
    <w:p>
      <w:pPr>
        <w:pStyle w:val="ListBullet"/>
        <w:spacing w:after="40"/>
      </w:pPr>
      <w:r>
        <w:t>Confirmar webhooks/polling.</w:t>
      </w:r>
    </w:p>
    <w:p>
      <w:pPr>
        <w:pStyle w:val="ListBullet"/>
        <w:spacing w:after="40"/>
      </w:pPr>
      <w:r>
        <w:t>Confirmar pricing.</w:t>
      </w:r>
    </w:p>
    <w:p>
      <w:pPr>
        <w:pStyle w:val="ListBullet"/>
        <w:spacing w:after="40"/>
      </w:pPr>
      <w:r>
        <w:t>Confirmar términos SaaS.</w:t>
      </w:r>
    </w:p>
    <w:p>
      <w:r>
        <w:rPr>
          <w:b/>
        </w:rPr>
        <w:t xml:space="preserve">Regla: </w:t>
      </w:r>
      <w:r>
        <w:t>No comprometer la arquitectura con Prometeo hasta terminar este discovery.</w:t>
      </w:r>
    </w:p>
    <w:p>
      <w:pPr>
        <w:pStyle w:val="Heading1"/>
      </w:pPr>
      <w:r>
        <w:t>8. n8n y Nango</w:t>
      </w:r>
    </w:p>
    <w:p>
      <w:pPr>
        <w:pStyle w:val="Heading2"/>
      </w:pPr>
      <w:r>
        <w:t>8.1 n8n</w:t>
      </w:r>
    </w:p>
    <w:p>
      <w:pPr>
        <w:pStyle w:val="ListBullet"/>
        <w:spacing w:after="40"/>
      </w:pPr>
      <w:r>
        <w:t>No debe ser core del producto.</w:t>
      </w:r>
    </w:p>
    <w:p>
      <w:pPr>
        <w:pStyle w:val="ListBullet"/>
        <w:spacing w:after="40"/>
      </w:pPr>
      <w:r>
        <w:t>No debe ser requisito del usuario final.</w:t>
      </w:r>
    </w:p>
    <w:p>
      <w:pPr>
        <w:pStyle w:val="ListBullet"/>
        <w:spacing w:after="40"/>
      </w:pPr>
      <w:r>
        <w:t>Puede servir para automatizaciones internas o prototipos.</w:t>
      </w:r>
    </w:p>
    <w:p>
      <w:pPr>
        <w:pStyle w:val="ListBullet"/>
        <w:spacing w:after="40"/>
      </w:pPr>
      <w:r>
        <w:t>Pricing publicado: Starter 20 €/mes anualizado; Pro 50 €/mes anualizado; Business 667 €/mes y self-hosted según la página actual.</w:t>
      </w:r>
    </w:p>
    <w:p>
      <w:r>
        <w:rPr>
          <w:b/>
        </w:rPr>
        <w:t xml:space="preserve">Decisión: </w:t>
      </w:r>
      <w:r>
        <w:t>No usar n8n como motor de ingestión de clientes.</w:t>
      </w:r>
    </w:p>
    <w:p>
      <w:pPr>
        <w:pStyle w:val="Heading2"/>
      </w:pPr>
      <w:r>
        <w:t>8.2 Nango</w:t>
      </w:r>
    </w:p>
    <w:p>
      <w:pPr>
        <w:pStyle w:val="ListBullet"/>
        <w:spacing w:after="40"/>
      </w:pPr>
      <w:r>
        <w:t>Es conceptualmente más cercano a infraestructura de OAuth/conexiones multi-tenant.</w:t>
      </w:r>
    </w:p>
    <w:p>
      <w:pPr>
        <w:pStyle w:val="ListBullet"/>
        <w:spacing w:after="40"/>
      </w:pPr>
      <w:r>
        <w:t>Puede reducir mantenimiento si Lumina acumula muchas integraciones.</w:t>
      </w:r>
    </w:p>
    <w:p>
      <w:pPr>
        <w:pStyle w:val="ListBullet"/>
        <w:spacing w:after="40"/>
      </w:pPr>
      <w:r>
        <w:t>No es necesario para el MVP.</w:t>
      </w:r>
    </w:p>
    <w:p>
      <w:r>
        <w:rPr>
          <w:b/>
        </w:rPr>
        <w:t xml:space="preserve">Decisión: </w:t>
      </w:r>
      <w:r>
        <w:t>Construir primero un adapter propio sencillo; evaluar Nango cuando el mantenimiento de conexiones lo justifique.</w:t>
      </w:r>
    </w:p>
    <w:p>
      <w:pPr>
        <w:pStyle w:val="Heading1"/>
      </w:pPr>
      <w:r>
        <w:t>9. Privacidad y seguridad</w:t>
      </w:r>
    </w:p>
    <w:p>
      <w:pPr>
        <w:pStyle w:val="ListBullet"/>
        <w:spacing w:after="40"/>
      </w:pPr>
      <w:r>
        <w:t>Minimización de datos.</w:t>
      </w:r>
    </w:p>
    <w:p>
      <w:pPr>
        <w:pStyle w:val="ListBullet"/>
        <w:spacing w:after="40"/>
      </w:pPr>
      <w:r>
        <w:t>Separar identidad, conexiones y datos financieros.</w:t>
      </w:r>
    </w:p>
    <w:p>
      <w:pPr>
        <w:pStyle w:val="ListBullet"/>
        <w:spacing w:after="40"/>
      </w:pPr>
      <w:r>
        <w:t>Cifrar secretos/tokens almacenados.</w:t>
      </w:r>
    </w:p>
    <w:p>
      <w:pPr>
        <w:pStyle w:val="ListBullet"/>
        <w:spacing w:after="40"/>
      </w:pPr>
      <w:r>
        <w:t>Nunca almacenar contraseñas bancarias.</w:t>
      </w:r>
    </w:p>
    <w:p>
      <w:pPr>
        <w:pStyle w:val="ListBullet"/>
        <w:spacing w:after="40"/>
      </w:pPr>
      <w:r>
        <w:t>Revocación de conexiones.</w:t>
      </w:r>
    </w:p>
    <w:p>
      <w:pPr>
        <w:pStyle w:val="ListBullet"/>
        <w:spacing w:after="40"/>
      </w:pPr>
      <w:r>
        <w:t>Eliminación de datos por usuario.</w:t>
      </w:r>
    </w:p>
    <w:p>
      <w:pPr>
        <w:pStyle w:val="ListBullet"/>
        <w:spacing w:after="40"/>
      </w:pPr>
      <w:r>
        <w:t>Logs sin contenido financiero completo.</w:t>
      </w:r>
    </w:p>
    <w:p>
      <w:pPr>
        <w:pStyle w:val="ListBullet"/>
        <w:spacing w:after="40"/>
      </w:pPr>
      <w:r>
        <w:t>HTTPS/TLS.</w:t>
      </w:r>
    </w:p>
    <w:p>
      <w:pPr>
        <w:pStyle w:val="ListBullet"/>
        <w:spacing w:after="40"/>
      </w:pPr>
      <w:r>
        <w:t>Rate limiting + Zod/validación.</w:t>
      </w:r>
    </w:p>
    <w:p>
      <w:pPr>
        <w:pStyle w:val="ListBullet"/>
        <w:spacing w:after="40"/>
      </w:pPr>
      <w:r>
        <w:t>Autenticidad de webhooks.</w:t>
      </w:r>
    </w:p>
    <w:p>
      <w:pPr>
        <w:pStyle w:val="ListBullet"/>
        <w:spacing w:after="40"/>
      </w:pPr>
      <w:r>
        <w:t>Idempotencia persistente.</w:t>
      </w:r>
    </w:p>
    <w:p>
      <w:pPr>
        <w:pStyle w:val="ListBullet"/>
        <w:spacing w:after="40"/>
      </w:pPr>
      <w:r>
        <w:t>No subir todas las notificaciones Android.</w:t>
      </w:r>
    </w:p>
    <w:p>
      <w:pPr>
        <w:pStyle w:val="ListBullet"/>
        <w:spacing w:after="40"/>
      </w:pPr>
      <w:r>
        <w:t>Política de retención de RawEvent.</w:t>
      </w:r>
    </w:p>
    <w:p>
      <w:pPr>
        <w:pStyle w:val="ListBullet"/>
        <w:spacing w:after="40"/>
      </w:pPr>
      <w:r>
        <w:t>Política de privacidad y términos antes de beta pública.</w:t>
      </w:r>
    </w:p>
    <w:p>
      <w:pPr>
        <w:pStyle w:val="Heading2"/>
      </w:pPr>
      <w:r>
        <w:t>9.1 Panamá</w:t>
      </w:r>
    </w:p>
    <w:p>
      <w:r>
        <w:t>La Ley 81 de 2019 y el Decreto Ejecutivo 285 de 2021 forman el marco general de protección de datos personales. Para Lumina son especialmente relevantes consentimiento, finalidad, proporcionalidad, seguridad, confidencialidad, derechos del usuario y transferencias internacionales.</w:t>
      </w:r>
    </w:p>
    <w:p>
      <w:r>
        <w:rPr>
          <w:b/>
        </w:rPr>
        <w:t xml:space="preserve">Aviso: </w:t>
      </w:r>
      <w:r>
        <w:t>Esto es planificación técnica, no asesoría legal. Antes de una operación comercial pública debe existir revisión legal.</w:t>
      </w:r>
    </w:p>
    <w:p>
      <w:pPr>
        <w:pStyle w:val="Heading1"/>
      </w:pPr>
      <w:r>
        <w:t>10. Uso de IA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Problema</w:t>
            </w:r>
          </w:p>
        </w:tc>
        <w:tc>
          <w:tcPr>
            <w:tcW w:type="dxa" w:w="3360"/>
            <w:shd w:fill="D9EAF7"/>
          </w:tcPr>
          <w:p>
            <w:r>
              <w:rPr>
                <w:b/>
                <w:sz w:val="16"/>
              </w:rPr>
              <w:t>Primera opción</w:t>
            </w:r>
          </w:p>
        </w:tc>
        <w:tc>
          <w:tcPr>
            <w:tcW w:type="dxa" w:w="3360"/>
            <w:shd w:fill="D9EAF7"/>
          </w:tcPr>
          <w:p>
            <w:r>
              <w:rPr>
                <w:b/>
                <w:sz w:val="16"/>
              </w:rPr>
              <w:t>IA cuando...</w:t>
            </w:r>
          </w:p>
        </w:tc>
      </w:tr>
      <w:tr>
        <w:tc>
          <w:tcPr>
            <w:tcW w:type="dxa" w:w="3360"/>
            <w:vAlign w:val="center"/>
          </w:tcPr>
          <w:p>
            <w:r>
              <w:rPr>
                <w:sz w:val="16"/>
              </w:rPr>
              <w:t>Importe</w:t>
            </w:r>
          </w:p>
        </w:tc>
        <w:tc>
          <w:tcPr>
            <w:tcW w:type="dxa" w:w="3360"/>
            <w:vAlign w:val="center"/>
          </w:tcPr>
          <w:p>
            <w:r>
              <w:rPr>
                <w:sz w:val="16"/>
              </w:rPr>
              <w:t>Regex/parser</w:t>
            </w:r>
          </w:p>
        </w:tc>
        <w:tc>
          <w:tcPr>
            <w:tcW w:type="dxa" w:w="3360"/>
            <w:vAlign w:val="center"/>
          </w:tcPr>
          <w:p>
            <w:r>
              <w:rPr>
                <w:sz w:val="16"/>
              </w:rPr>
              <w:t>Formato muy variable.</w:t>
            </w:r>
          </w:p>
        </w:tc>
      </w:tr>
      <w:tr>
        <w:tc>
          <w:tcPr>
            <w:tcW w:type="dxa" w:w="3360"/>
            <w:vAlign w:val="center"/>
          </w:tcPr>
          <w:p>
            <w:r>
              <w:rPr>
                <w:sz w:val="16"/>
              </w:rPr>
              <w:t>Moneda</w:t>
            </w:r>
          </w:p>
        </w:tc>
        <w:tc>
          <w:tcPr>
            <w:tcW w:type="dxa" w:w="3360"/>
            <w:vAlign w:val="center"/>
          </w:tcPr>
          <w:p>
            <w:r>
              <w:rPr>
                <w:sz w:val="16"/>
              </w:rPr>
              <w:t>Reglas</w:t>
            </w:r>
          </w:p>
        </w:tc>
        <w:tc>
          <w:tcPr>
            <w:tcW w:type="dxa" w:w="3360"/>
            <w:vAlign w:val="center"/>
          </w:tcPr>
          <w:p>
            <w:r>
              <w:rPr>
                <w:sz w:val="16"/>
              </w:rPr>
              <w:t>Ambigüedad.</w:t>
            </w:r>
          </w:p>
        </w:tc>
      </w:tr>
      <w:tr>
        <w:tc>
          <w:tcPr>
            <w:tcW w:type="dxa" w:w="3360"/>
            <w:vAlign w:val="center"/>
          </w:tcPr>
          <w:p>
            <w:r>
              <w:rPr>
                <w:sz w:val="16"/>
              </w:rPr>
              <w:t>Comercio</w:t>
            </w:r>
          </w:p>
        </w:tc>
        <w:tc>
          <w:tcPr>
            <w:tcW w:type="dxa" w:w="3360"/>
            <w:vAlign w:val="center"/>
          </w:tcPr>
          <w:p>
            <w:r>
              <w:rPr>
                <w:sz w:val="16"/>
              </w:rPr>
              <w:t>Parser + diccionario</w:t>
            </w:r>
          </w:p>
        </w:tc>
        <w:tc>
          <w:tcPr>
            <w:tcW w:type="dxa" w:w="3360"/>
            <w:vAlign w:val="center"/>
          </w:tcPr>
          <w:p>
            <w:r>
              <w:rPr>
                <w:sz w:val="16"/>
              </w:rPr>
              <w:t>Necesita interpretación.</w:t>
            </w:r>
          </w:p>
        </w:tc>
      </w:tr>
      <w:tr>
        <w:tc>
          <w:tcPr>
            <w:tcW w:type="dxa" w:w="3360"/>
            <w:vAlign w:val="center"/>
          </w:tcPr>
          <w:p>
            <w:r>
              <w:rPr>
                <w:sz w:val="16"/>
              </w:rPr>
              <w:t>Categoría</w:t>
            </w:r>
          </w:p>
        </w:tc>
        <w:tc>
          <w:tcPr>
            <w:tcW w:type="dxa" w:w="3360"/>
            <w:vAlign w:val="center"/>
          </w:tcPr>
          <w:p>
            <w:r>
              <w:rPr>
                <w:sz w:val="16"/>
              </w:rPr>
              <w:t>Reglas</w:t>
            </w:r>
          </w:p>
        </w:tc>
        <w:tc>
          <w:tcPr>
            <w:tcW w:type="dxa" w:w="3360"/>
            <w:vAlign w:val="center"/>
          </w:tcPr>
          <w:p>
            <w:r>
              <w:rPr>
                <w:sz w:val="16"/>
              </w:rPr>
              <w:t>No existe regla suficiente.</w:t>
            </w:r>
          </w:p>
        </w:tc>
      </w:tr>
      <w:tr>
        <w:tc>
          <w:tcPr>
            <w:tcW w:type="dxa" w:w="3360"/>
            <w:vAlign w:val="center"/>
          </w:tcPr>
          <w:p>
            <w:r>
              <w:rPr>
                <w:sz w:val="16"/>
              </w:rPr>
              <w:t>Merchant normalization</w:t>
            </w:r>
          </w:p>
        </w:tc>
        <w:tc>
          <w:tcPr>
            <w:tcW w:type="dxa" w:w="3360"/>
            <w:vAlign w:val="center"/>
          </w:tcPr>
          <w:p>
            <w:r>
              <w:rPr>
                <w:sz w:val="16"/>
              </w:rPr>
              <w:t>Aliases</w:t>
            </w:r>
          </w:p>
        </w:tc>
        <w:tc>
          <w:tcPr>
            <w:tcW w:type="dxa" w:w="3360"/>
            <w:vAlign w:val="center"/>
          </w:tcPr>
          <w:p>
            <w:r>
              <w:rPr>
                <w:sz w:val="16"/>
              </w:rPr>
              <w:t>Casos complejos.</w:t>
            </w:r>
          </w:p>
        </w:tc>
      </w:tr>
      <w:tr>
        <w:tc>
          <w:tcPr>
            <w:tcW w:type="dxa" w:w="3360"/>
            <w:vAlign w:val="center"/>
          </w:tcPr>
          <w:p>
            <w:r>
              <w:rPr>
                <w:sz w:val="16"/>
              </w:rPr>
              <w:t>Deduplicación</w:t>
            </w:r>
          </w:p>
        </w:tc>
        <w:tc>
          <w:tcPr>
            <w:tcW w:type="dxa" w:w="3360"/>
            <w:vAlign w:val="center"/>
          </w:tcPr>
          <w:p>
            <w:r>
              <w:rPr>
                <w:sz w:val="16"/>
              </w:rPr>
              <w:t>Reglas + similarity</w:t>
            </w:r>
          </w:p>
        </w:tc>
        <w:tc>
          <w:tcPr>
            <w:tcW w:type="dxa" w:w="3360"/>
            <w:vAlign w:val="center"/>
          </w:tcPr>
          <w:p>
            <w:r>
              <w:rPr>
                <w:sz w:val="16"/>
              </w:rPr>
              <w:t>Hay ambigüedad.</w:t>
            </w:r>
          </w:p>
        </w:tc>
      </w:tr>
      <w:tr>
        <w:tc>
          <w:tcPr>
            <w:tcW w:type="dxa" w:w="3360"/>
            <w:vAlign w:val="center"/>
          </w:tcPr>
          <w:p>
            <w:r>
              <w:rPr>
                <w:sz w:val="16"/>
              </w:rPr>
              <w:t>Texto complejo</w:t>
            </w:r>
          </w:p>
        </w:tc>
        <w:tc>
          <w:tcPr>
            <w:tcW w:type="dxa" w:w="3360"/>
            <w:vAlign w:val="center"/>
          </w:tcPr>
          <w:p>
            <w:r>
              <w:rPr>
                <w:sz w:val="16"/>
              </w:rPr>
              <w:t>Parser</w:t>
            </w:r>
          </w:p>
        </w:tc>
        <w:tc>
          <w:tcPr>
            <w:tcW w:type="dxa" w:w="3360"/>
            <w:vAlign w:val="center"/>
          </w:tcPr>
          <w:p>
            <w:r>
              <w:rPr>
                <w:sz w:val="16"/>
              </w:rPr>
              <w:t>No hay estructura suficiente.</w:t>
            </w:r>
          </w:p>
        </w:tc>
      </w:tr>
    </w:tbl>
    <w:p/>
    <w:p>
      <w:r>
        <w:rPr>
          <w:b/>
        </w:rPr>
        <w:t xml:space="preserve">Regla: </w:t>
      </w:r>
      <w:r>
        <w:t>Toda decisión financiera asistida por IA debe ser auditable y corregible.</w:t>
      </w:r>
    </w:p>
    <w:p>
      <w:pPr>
        <w:pStyle w:val="Heading1"/>
      </w:pPr>
      <w:r>
        <w:t>11. MVP recomendado</w:t>
      </w:r>
    </w:p>
    <w:p>
      <w:pPr>
        <w:pStyle w:val="Heading2"/>
      </w:pPr>
      <w:r>
        <w:t>11.1 MVP v1</w:t>
      </w:r>
    </w:p>
    <w:p>
      <w:pPr>
        <w:pStyle w:val="ListNumber"/>
        <w:spacing w:after="40"/>
      </w:pPr>
      <w:r>
        <w:t>Auth real.</w:t>
      </w:r>
    </w:p>
    <w:p>
      <w:pPr>
        <w:pStyle w:val="ListNumber"/>
        <w:spacing w:after="40"/>
      </w:pPr>
      <w:r>
        <w:t>SourceConnection.</w:t>
      </w:r>
    </w:p>
    <w:p>
      <w:pPr>
        <w:pStyle w:val="ListNumber"/>
        <w:spacing w:after="40"/>
      </w:pPr>
      <w:r>
        <w:t>RawEvent.</w:t>
      </w:r>
    </w:p>
    <w:p>
      <w:pPr>
        <w:pStyle w:val="ListNumber"/>
        <w:spacing w:after="40"/>
      </w:pPr>
      <w:r>
        <w:t>TransactionSource.</w:t>
      </w:r>
    </w:p>
    <w:p>
      <w:pPr>
        <w:pStyle w:val="ListNumber"/>
        <w:spacing w:after="40"/>
      </w:pPr>
      <w:r>
        <w:t>Transaction persistente en PostgreSQL.</w:t>
      </w:r>
    </w:p>
    <w:p>
      <w:pPr>
        <w:pStyle w:val="ListNumber"/>
        <w:spacing w:after="40"/>
      </w:pPr>
      <w:r>
        <w:t>Ingest API idempotente.</w:t>
      </w:r>
    </w:p>
    <w:p>
      <w:pPr>
        <w:pStyle w:val="ListNumber"/>
        <w:spacing w:after="40"/>
      </w:pPr>
      <w:r>
        <w:t>Gmail OAuth.</w:t>
      </w:r>
    </w:p>
    <w:p>
      <w:pPr>
        <w:pStyle w:val="ListNumber"/>
        <w:spacing w:after="40"/>
      </w:pPr>
      <w:r>
        <w:t>Gmail Pub/Sub.</w:t>
      </w:r>
    </w:p>
    <w:p>
      <w:pPr>
        <w:pStyle w:val="ListNumber"/>
        <w:spacing w:after="40"/>
      </w:pPr>
      <w:r>
        <w:t>Parser de pocos patrones financieros.</w:t>
      </w:r>
    </w:p>
    <w:p>
      <w:pPr>
        <w:pStyle w:val="ListNumber"/>
        <w:spacing w:after="40"/>
      </w:pPr>
      <w:r>
        <w:t>Deduplicación básica.</w:t>
      </w:r>
    </w:p>
    <w:p>
      <w:pPr>
        <w:pStyle w:val="ListNumber"/>
        <w:spacing w:after="40"/>
      </w:pPr>
      <w:r>
        <w:t>Categorías por reglas.</w:t>
      </w:r>
    </w:p>
    <w:p>
      <w:pPr>
        <w:pStyle w:val="ListNumber"/>
        <w:spacing w:after="40"/>
      </w:pPr>
      <w:r>
        <w:t>Review Queue.</w:t>
      </w:r>
    </w:p>
    <w:p>
      <w:pPr>
        <w:pStyle w:val="ListNumber"/>
        <w:spacing w:after="40"/>
      </w:pPr>
      <w:r>
        <w:t>UI para conectar/desconectar Gmail y revisar transacciones.</w:t>
      </w:r>
    </w:p>
    <w:p>
      <w:pPr>
        <w:pStyle w:val="ListNumber"/>
        <w:spacing w:after="40"/>
      </w:pPr>
      <w:r>
        <w:t>Logs y métricas mínimas.</w:t>
      </w:r>
    </w:p>
    <w:p>
      <w:pPr>
        <w:pStyle w:val="Heading2"/>
      </w:pPr>
      <w:r>
        <w:t>11.2 Fuera de MVP</w:t>
      </w:r>
    </w:p>
    <w:p>
      <w:pPr>
        <w:pStyle w:val="ListBullet"/>
        <w:spacing w:after="40"/>
      </w:pPr>
      <w:r>
        <w:t>Todos los bancos.</w:t>
      </w:r>
    </w:p>
    <w:p>
      <w:pPr>
        <w:pStyle w:val="ListBullet"/>
        <w:spacing w:after="40"/>
      </w:pPr>
      <w:r>
        <w:t>iOS notification listener equivalente a Android.</w:t>
      </w:r>
    </w:p>
    <w:p>
      <w:pPr>
        <w:pStyle w:val="ListBullet"/>
        <w:spacing w:after="40"/>
      </w:pPr>
      <w:r>
        <w:t>LLM para cada evento.</w:t>
      </w:r>
    </w:p>
    <w:p>
      <w:pPr>
        <w:pStyle w:val="ListBullet"/>
        <w:spacing w:after="40"/>
      </w:pPr>
      <w:r>
        <w:t>Yappy personal vía API no confirmada.</w:t>
      </w:r>
    </w:p>
    <w:p>
      <w:pPr>
        <w:pStyle w:val="ListBullet"/>
        <w:spacing w:after="40"/>
      </w:pPr>
      <w:r>
        <w:t>Google Wallet como API bancaria.</w:t>
      </w:r>
    </w:p>
    <w:p>
      <w:pPr>
        <w:pStyle w:val="ListBullet"/>
        <w:spacing w:after="40"/>
      </w:pPr>
      <w:r>
        <w:t>Nango obligatorio.</w:t>
      </w:r>
    </w:p>
    <w:p>
      <w:pPr>
        <w:pStyle w:val="ListBullet"/>
        <w:spacing w:after="40"/>
      </w:pPr>
      <w:r>
        <w:t>n8n como core.</w:t>
      </w:r>
    </w:p>
    <w:p>
      <w:pPr>
        <w:pStyle w:val="ListBullet"/>
        <w:spacing w:after="40"/>
      </w:pPr>
      <w:r>
        <w:t>Microservicios/Kubernetes.</w:t>
      </w:r>
    </w:p>
    <w:p>
      <w:pPr>
        <w:pStyle w:val="Heading1"/>
      </w:pPr>
      <w:r>
        <w:t>12. Plan de acción por fases</w:t>
      </w:r>
    </w:p>
    <w:p>
      <w:pPr>
        <w:pStyle w:val="Heading2"/>
      </w:pPr>
      <w:r>
        <w:t>Fase 0 — Alcance y ADRs</w:t>
      </w:r>
    </w:p>
    <w:p>
      <w:r>
        <w:rPr>
          <w:b/>
        </w:rPr>
        <w:t xml:space="preserve">Duración orientativa: </w:t>
      </w:r>
      <w:r>
        <w:t>1–3 días</w:t>
      </w:r>
    </w:p>
    <w:p>
      <w:pPr>
        <w:pStyle w:val="ListBullet"/>
        <w:spacing w:after="40"/>
      </w:pPr>
      <w:r>
        <w:t>Adoptar este documento.</w:t>
      </w:r>
    </w:p>
    <w:p>
      <w:pPr>
        <w:pStyle w:val="ListBullet"/>
        <w:spacing w:after="40"/>
      </w:pPr>
      <w:r>
        <w:t>Separar Issue #20 como epic.</w:t>
      </w:r>
    </w:p>
    <w:p>
      <w:pPr>
        <w:pStyle w:val="ListBullet"/>
        <w:spacing w:after="40"/>
      </w:pPr>
      <w:r>
        <w:t>Crear backlog de ingestión.</w:t>
      </w:r>
    </w:p>
    <w:p>
      <w:pPr>
        <w:pStyle w:val="ListBullet"/>
        <w:spacing w:after="40"/>
      </w:pPr>
      <w:r>
        <w:t>Definir Transaction válida.</w:t>
      </w:r>
    </w:p>
    <w:p>
      <w:r>
        <w:rPr>
          <w:b/>
        </w:rPr>
        <w:t xml:space="preserve">Salida: </w:t>
      </w:r>
      <w:r>
        <w:t>ROADMAP + ADRs + backlog.</w:t>
      </w:r>
    </w:p>
    <w:p>
      <w:pPr>
        <w:pStyle w:val="Heading2"/>
      </w:pPr>
      <w:r>
        <w:t>Fase 1 — Núcleo actual</w:t>
      </w:r>
    </w:p>
    <w:p>
      <w:r>
        <w:rPr>
          <w:b/>
        </w:rPr>
        <w:t xml:space="preserve">Duración orientativa: </w:t>
      </w:r>
      <w:r>
        <w:t>3–7 días</w:t>
      </w:r>
    </w:p>
    <w:p>
      <w:pPr>
        <w:pStyle w:val="ListBullet"/>
        <w:spacing w:after="40"/>
      </w:pPr>
      <w:r>
        <w:t>Quitar dependencia de mocks.</w:t>
      </w:r>
    </w:p>
    <w:p>
      <w:pPr>
        <w:pStyle w:val="ListBullet"/>
        <w:spacing w:after="40"/>
      </w:pPr>
      <w:r>
        <w:t>CRUD real con Prisma.</w:t>
      </w:r>
    </w:p>
    <w:p>
      <w:pPr>
        <w:pStyle w:val="ListBullet"/>
        <w:spacing w:after="40"/>
      </w:pPr>
      <w:r>
        <w:t>Derivar userId de sesión.</w:t>
      </w:r>
    </w:p>
    <w:p>
      <w:pPr>
        <w:pStyle w:val="ListBullet"/>
        <w:spacing w:after="40"/>
      </w:pPr>
      <w:r>
        <w:t>Validar autorización.</w:t>
      </w:r>
    </w:p>
    <w:p>
      <w:pPr>
        <w:pStyle w:val="ListBullet"/>
        <w:spacing w:after="40"/>
      </w:pPr>
      <w:r>
        <w:t>Secretos por env.</w:t>
      </w:r>
    </w:p>
    <w:p>
      <w:pPr>
        <w:pStyle w:val="ListBullet"/>
        <w:spacing w:after="40"/>
      </w:pPr>
      <w:r>
        <w:t>Idempotencia/webhooks.</w:t>
      </w:r>
    </w:p>
    <w:p>
      <w:r>
        <w:rPr>
          <w:b/>
        </w:rPr>
        <w:t xml:space="preserve">Salida: </w:t>
      </w:r>
      <w:r>
        <w:t>CRUD persistente y seguro.</w:t>
      </w:r>
    </w:p>
    <w:p>
      <w:pPr>
        <w:pStyle w:val="Heading2"/>
      </w:pPr>
      <w:r>
        <w:t>Fase 2 — Ingestion Domain</w:t>
      </w:r>
    </w:p>
    <w:p>
      <w:r>
        <w:rPr>
          <w:b/>
        </w:rPr>
        <w:t xml:space="preserve">Duración orientativa: </w:t>
      </w:r>
      <w:r>
        <w:t>4–7 días</w:t>
      </w:r>
    </w:p>
    <w:p>
      <w:pPr>
        <w:pStyle w:val="ListBullet"/>
        <w:spacing w:after="40"/>
      </w:pPr>
      <w:r>
        <w:t>SourceConnection.</w:t>
      </w:r>
    </w:p>
    <w:p>
      <w:pPr>
        <w:pStyle w:val="ListBullet"/>
        <w:spacing w:after="40"/>
      </w:pPr>
      <w:r>
        <w:t>RawEvent.</w:t>
      </w:r>
    </w:p>
    <w:p>
      <w:pPr>
        <w:pStyle w:val="ListBullet"/>
        <w:spacing w:after="40"/>
      </w:pPr>
      <w:r>
        <w:t>TransactionSource.</w:t>
      </w:r>
    </w:p>
    <w:p>
      <w:pPr>
        <w:pStyle w:val="ListBullet"/>
        <w:spacing w:after="40"/>
      </w:pPr>
      <w:r>
        <w:t>ReviewItem.</w:t>
      </w:r>
    </w:p>
    <w:p>
      <w:pPr>
        <w:pStyle w:val="ListBullet"/>
        <w:spacing w:after="40"/>
      </w:pPr>
      <w:r>
        <w:t>Parser interface.</w:t>
      </w:r>
    </w:p>
    <w:p>
      <w:pPr>
        <w:pStyle w:val="ListBullet"/>
        <w:spacing w:after="40"/>
      </w:pPr>
      <w:r>
        <w:t>Deduplicador.</w:t>
      </w:r>
    </w:p>
    <w:p>
      <w:pPr>
        <w:pStyle w:val="ListBullet"/>
        <w:spacing w:after="40"/>
      </w:pPr>
      <w:r>
        <w:t>Confidence.</w:t>
      </w:r>
    </w:p>
    <w:p>
      <w:pPr>
        <w:pStyle w:val="ListBullet"/>
        <w:spacing w:after="40"/>
      </w:pPr>
      <w:r>
        <w:t>Tests con eventos fake.</w:t>
      </w:r>
    </w:p>
    <w:p>
      <w:r>
        <w:rPr>
          <w:b/>
        </w:rPr>
        <w:t xml:space="preserve">Salida: </w:t>
      </w:r>
      <w:r>
        <w:t>Pipeline interno sin proveedores.</w:t>
      </w:r>
    </w:p>
    <w:p>
      <w:pPr>
        <w:pStyle w:val="Heading2"/>
      </w:pPr>
      <w:r>
        <w:t>Fase 3 — Gmail MVP</w:t>
      </w:r>
    </w:p>
    <w:p>
      <w:r>
        <w:rPr>
          <w:b/>
        </w:rPr>
        <w:t xml:space="preserve">Duración orientativa: </w:t>
      </w:r>
      <w:r>
        <w:t>1–2 semanas</w:t>
      </w:r>
    </w:p>
    <w:p>
      <w:pPr>
        <w:pStyle w:val="ListBullet"/>
        <w:spacing w:after="40"/>
      </w:pPr>
      <w:r>
        <w:t>Google OAuth.</w:t>
      </w:r>
    </w:p>
    <w:p>
      <w:pPr>
        <w:pStyle w:val="ListBullet"/>
        <w:spacing w:after="40"/>
      </w:pPr>
      <w:r>
        <w:t>Scopes mínimos.</w:t>
      </w:r>
    </w:p>
    <w:p>
      <w:pPr>
        <w:pStyle w:val="ListBullet"/>
        <w:spacing w:after="40"/>
      </w:pPr>
      <w:r>
        <w:t>Gmail watch/PubSub.</w:t>
      </w:r>
    </w:p>
    <w:p>
      <w:pPr>
        <w:pStyle w:val="ListBullet"/>
        <w:spacing w:after="40"/>
      </w:pPr>
      <w:r>
        <w:t>Renovación.</w:t>
      </w:r>
    </w:p>
    <w:p>
      <w:pPr>
        <w:pStyle w:val="ListBullet"/>
        <w:spacing w:after="40"/>
      </w:pPr>
      <w:r>
        <w:t>history.list.</w:t>
      </w:r>
    </w:p>
    <w:p>
      <w:pPr>
        <w:pStyle w:val="ListBullet"/>
        <w:spacing w:after="40"/>
      </w:pPr>
      <w:r>
        <w:t>Parser inicial.</w:t>
      </w:r>
    </w:p>
    <w:p>
      <w:pPr>
        <w:pStyle w:val="ListBullet"/>
        <w:spacing w:after="40"/>
      </w:pPr>
      <w:r>
        <w:t>Persistencia.</w:t>
      </w:r>
    </w:p>
    <w:p>
      <w:pPr>
        <w:pStyle w:val="ListBullet"/>
        <w:spacing w:after="40"/>
      </w:pPr>
      <w:r>
        <w:t>Review Queue.</w:t>
      </w:r>
    </w:p>
    <w:p>
      <w:r>
        <w:rPr>
          <w:b/>
        </w:rPr>
        <w:t xml:space="preserve">Salida: </w:t>
      </w:r>
      <w:r>
        <w:t>Primera fuente real end-to-end.</w:t>
      </w:r>
    </w:p>
    <w:p>
      <w:pPr>
        <w:pStyle w:val="Heading2"/>
      </w:pPr>
      <w:r>
        <w:t>Fase 4 — Android Companion</w:t>
      </w:r>
    </w:p>
    <w:p>
      <w:r>
        <w:rPr>
          <w:b/>
        </w:rPr>
        <w:t xml:space="preserve">Duración orientativa: </w:t>
      </w:r>
      <w:r>
        <w:t>1–3 semanas prototipo</w:t>
      </w:r>
    </w:p>
    <w:p>
      <w:pPr>
        <w:pStyle w:val="ListBullet"/>
        <w:spacing w:after="40"/>
      </w:pPr>
      <w:r>
        <w:t>App mínima.</w:t>
      </w:r>
    </w:p>
    <w:p>
      <w:pPr>
        <w:pStyle w:val="ListBullet"/>
        <w:spacing w:after="40"/>
      </w:pPr>
      <w:r>
        <w:t>NotificationListenerService.</w:t>
      </w:r>
    </w:p>
    <w:p>
      <w:pPr>
        <w:pStyle w:val="ListBullet"/>
        <w:spacing w:after="40"/>
      </w:pPr>
      <w:r>
        <w:t>Permiso explícito.</w:t>
      </w:r>
    </w:p>
    <w:p>
      <w:pPr>
        <w:pStyle w:val="ListBullet"/>
        <w:spacing w:after="40"/>
      </w:pPr>
      <w:r>
        <w:t>Filtro local.</w:t>
      </w:r>
    </w:p>
    <w:p>
      <w:pPr>
        <w:pStyle w:val="ListBullet"/>
        <w:spacing w:after="40"/>
      </w:pPr>
      <w:r>
        <w:t>Parser.</w:t>
      </w:r>
    </w:p>
    <w:p>
      <w:pPr>
        <w:pStyle w:val="ListBullet"/>
        <w:spacing w:after="40"/>
      </w:pPr>
      <w:r>
        <w:t>Envío de eventos estructurados.</w:t>
      </w:r>
    </w:p>
    <w:p>
      <w:pPr>
        <w:pStyle w:val="ListBullet"/>
        <w:spacing w:after="40"/>
      </w:pPr>
      <w:r>
        <w:t>Dedup contra Gmail.</w:t>
      </w:r>
    </w:p>
    <w:p>
      <w:pPr>
        <w:pStyle w:val="ListBullet"/>
        <w:spacing w:after="40"/>
      </w:pPr>
      <w:r>
        <w:t>Prueba Wallet + banco.</w:t>
      </w:r>
    </w:p>
    <w:p>
      <w:r>
        <w:rPr>
          <w:b/>
        </w:rPr>
        <w:t xml:space="preserve">Salida: </w:t>
      </w:r>
      <w:r>
        <w:t>Captura Android controlada.</w:t>
      </w:r>
    </w:p>
    <w:p>
      <w:pPr>
        <w:pStyle w:val="Heading2"/>
      </w:pPr>
      <w:r>
        <w:t>Fase 5 — Banking Discovery</w:t>
      </w:r>
    </w:p>
    <w:p>
      <w:r>
        <w:rPr>
          <w:b/>
        </w:rPr>
        <w:t xml:space="preserve">Duración orientativa: </w:t>
      </w:r>
      <w:r>
        <w:t>1–2 semanas</w:t>
      </w:r>
    </w:p>
    <w:p>
      <w:pPr>
        <w:pStyle w:val="ListBullet"/>
        <w:spacing w:after="40"/>
      </w:pPr>
      <w:r>
        <w:t>Prometeo.</w:t>
      </w:r>
    </w:p>
    <w:p>
      <w:pPr>
        <w:pStyle w:val="ListBullet"/>
        <w:spacing w:after="40"/>
      </w:pPr>
      <w:r>
        <w:t>Banco General.</w:t>
      </w:r>
    </w:p>
    <w:p>
      <w:pPr>
        <w:pStyle w:val="ListBullet"/>
        <w:spacing w:after="40"/>
      </w:pPr>
      <w:r>
        <w:t>BAC.</w:t>
      </w:r>
    </w:p>
    <w:p>
      <w:pPr>
        <w:pStyle w:val="ListBullet"/>
        <w:spacing w:after="40"/>
      </w:pPr>
      <w:r>
        <w:t>Banco Nacional.</w:t>
      </w:r>
    </w:p>
    <w:p>
      <w:pPr>
        <w:pStyle w:val="ListBullet"/>
        <w:spacing w:after="40"/>
      </w:pPr>
      <w:r>
        <w:t>Caja de Ahorros.</w:t>
      </w:r>
    </w:p>
    <w:p>
      <w:pPr>
        <w:pStyle w:val="ListBullet"/>
        <w:spacing w:after="40"/>
      </w:pPr>
      <w:r>
        <w:t>Global Bank.</w:t>
      </w:r>
    </w:p>
    <w:p>
      <w:pPr>
        <w:pStyle w:val="ListBullet"/>
        <w:spacing w:after="40"/>
      </w:pPr>
      <w:r>
        <w:t>Multibank/Credicorp/Canal.</w:t>
      </w:r>
    </w:p>
    <w:p>
      <w:pPr>
        <w:pStyle w:val="ListBullet"/>
        <w:spacing w:after="40"/>
      </w:pPr>
      <w:r>
        <w:t>Banistmo.</w:t>
      </w:r>
    </w:p>
    <w:p>
      <w:pPr>
        <w:pStyle w:val="ListBullet"/>
        <w:spacing w:after="40"/>
      </w:pPr>
      <w:r>
        <w:t>Yappy.</w:t>
      </w:r>
    </w:p>
    <w:p>
      <w:r>
        <w:rPr>
          <w:b/>
        </w:rPr>
        <w:t xml:space="preserve">Salida: </w:t>
      </w:r>
      <w:r>
        <w:t>Matriz de decisión con evidencia.</w:t>
      </w:r>
    </w:p>
    <w:p>
      <w:pPr>
        <w:pStyle w:val="Heading2"/>
      </w:pPr>
      <w:r>
        <w:t>Fase 6 — Primera integración bancaria</w:t>
      </w:r>
    </w:p>
    <w:p>
      <w:r>
        <w:rPr>
          <w:b/>
        </w:rPr>
        <w:t xml:space="preserve">Duración orientativa: </w:t>
      </w:r>
      <w:r>
        <w:t>Según proveedor</w:t>
      </w:r>
    </w:p>
    <w:p>
      <w:pPr>
        <w:pStyle w:val="ListBullet"/>
        <w:spacing w:after="40"/>
      </w:pPr>
      <w:r>
        <w:t>Elegir una.</w:t>
      </w:r>
    </w:p>
    <w:p>
      <w:pPr>
        <w:pStyle w:val="ListBullet"/>
        <w:spacing w:after="40"/>
      </w:pPr>
      <w:r>
        <w:t>Sandbox.</w:t>
      </w:r>
    </w:p>
    <w:p>
      <w:pPr>
        <w:pStyle w:val="ListBullet"/>
        <w:spacing w:after="40"/>
      </w:pPr>
      <w:r>
        <w:t>Consentimiento/revocación.</w:t>
      </w:r>
    </w:p>
    <w:p>
      <w:pPr>
        <w:pStyle w:val="ListBullet"/>
        <w:spacing w:after="40"/>
      </w:pPr>
      <w:r>
        <w:t>Histórico + nuevos.</w:t>
      </w:r>
    </w:p>
    <w:p>
      <w:pPr>
        <w:pStyle w:val="ListBullet"/>
        <w:spacing w:after="40"/>
      </w:pPr>
      <w:r>
        <w:t>Comparar con otras fuentes.</w:t>
      </w:r>
    </w:p>
    <w:p>
      <w:pPr>
        <w:pStyle w:val="ListBullet"/>
        <w:spacing w:after="40"/>
      </w:pPr>
      <w:r>
        <w:t>Medir duplicados.</w:t>
      </w:r>
    </w:p>
    <w:p>
      <w:r>
        <w:rPr>
          <w:b/>
        </w:rPr>
        <w:t xml:space="preserve">Salida: </w:t>
      </w:r>
      <w:r>
        <w:t>Primera fuente bancaria real.</w:t>
      </w:r>
    </w:p>
    <w:p>
      <w:pPr>
        <w:pStyle w:val="Heading2"/>
      </w:pPr>
      <w:r>
        <w:t>Fase 7 — Merchant/Categorías</w:t>
      </w:r>
    </w:p>
    <w:p>
      <w:r>
        <w:rPr>
          <w:b/>
        </w:rPr>
        <w:t xml:space="preserve">Duración orientativa: </w:t>
      </w:r>
      <w:r>
        <w:t>1–2 semanas</w:t>
      </w:r>
    </w:p>
    <w:p>
      <w:pPr>
        <w:pStyle w:val="ListBullet"/>
        <w:spacing w:after="40"/>
      </w:pPr>
      <w:r>
        <w:t>Aliases.</w:t>
      </w:r>
    </w:p>
    <w:p>
      <w:pPr>
        <w:pStyle w:val="ListBullet"/>
        <w:spacing w:after="40"/>
      </w:pPr>
      <w:r>
        <w:t>Merchant normalization.</w:t>
      </w:r>
    </w:p>
    <w:p>
      <w:pPr>
        <w:pStyle w:val="ListBullet"/>
        <w:spacing w:after="40"/>
      </w:pPr>
      <w:r>
        <w:t>Reglas.</w:t>
      </w:r>
    </w:p>
    <w:p>
      <w:pPr>
        <w:pStyle w:val="ListBullet"/>
        <w:spacing w:after="40"/>
      </w:pPr>
      <w:r>
        <w:t>Confidence.</w:t>
      </w:r>
    </w:p>
    <w:p>
      <w:pPr>
        <w:pStyle w:val="ListBullet"/>
        <w:spacing w:after="40"/>
      </w:pPr>
      <w:r>
        <w:t>Enriquecimiento opcional.</w:t>
      </w:r>
    </w:p>
    <w:p>
      <w:pPr>
        <w:pStyle w:val="ListBullet"/>
        <w:spacing w:after="40"/>
      </w:pPr>
      <w:r>
        <w:t>IA para casos difíciles.</w:t>
      </w:r>
    </w:p>
    <w:p>
      <w:r>
        <w:rPr>
          <w:b/>
        </w:rPr>
        <w:t xml:space="preserve">Salida: </w:t>
      </w:r>
      <w:r>
        <w:t>Datos más limpios.</w:t>
      </w:r>
    </w:p>
    <w:p>
      <w:pPr>
        <w:pStyle w:val="Heading2"/>
      </w:pPr>
      <w:r>
        <w:t>Fase 8 — Privacidad/Beta</w:t>
      </w:r>
    </w:p>
    <w:p>
      <w:r>
        <w:rPr>
          <w:b/>
        </w:rPr>
        <w:t xml:space="preserve">Duración orientativa: </w:t>
      </w:r>
      <w:r>
        <w:t>1–2 semanas</w:t>
      </w:r>
    </w:p>
    <w:p>
      <w:pPr>
        <w:pStyle w:val="ListBullet"/>
        <w:spacing w:after="40"/>
      </w:pPr>
      <w:r>
        <w:t>Consentimiento.</w:t>
      </w:r>
    </w:p>
    <w:p>
      <w:pPr>
        <w:pStyle w:val="ListBullet"/>
        <w:spacing w:after="40"/>
      </w:pPr>
      <w:r>
        <w:t>Revocación.</w:t>
      </w:r>
    </w:p>
    <w:p>
      <w:pPr>
        <w:pStyle w:val="ListBullet"/>
        <w:spacing w:after="40"/>
      </w:pPr>
      <w:r>
        <w:t>Borrado.</w:t>
      </w:r>
    </w:p>
    <w:p>
      <w:pPr>
        <w:pStyle w:val="ListBullet"/>
        <w:spacing w:after="40"/>
      </w:pPr>
      <w:r>
        <w:t>Privacy/Terms.</w:t>
      </w:r>
    </w:p>
    <w:p>
      <w:pPr>
        <w:pStyle w:val="ListBullet"/>
        <w:spacing w:after="40"/>
      </w:pPr>
      <w:r>
        <w:t>Logs.</w:t>
      </w:r>
    </w:p>
    <w:p>
      <w:pPr>
        <w:pStyle w:val="ListBullet"/>
        <w:spacing w:after="40"/>
      </w:pPr>
      <w:r>
        <w:t>Rate limit.</w:t>
      </w:r>
    </w:p>
    <w:p>
      <w:pPr>
        <w:pStyle w:val="ListBullet"/>
        <w:spacing w:after="40"/>
      </w:pPr>
      <w:r>
        <w:t>Backups.</w:t>
      </w:r>
    </w:p>
    <w:p>
      <w:pPr>
        <w:pStyle w:val="ListBullet"/>
        <w:spacing w:after="40"/>
      </w:pPr>
      <w:r>
        <w:t>Monitoreo.</w:t>
      </w:r>
    </w:p>
    <w:p>
      <w:pPr>
        <w:pStyle w:val="ListBullet"/>
        <w:spacing w:after="40"/>
      </w:pPr>
      <w:r>
        <w:t>Security tests.</w:t>
      </w:r>
    </w:p>
    <w:p>
      <w:r>
        <w:rPr>
          <w:b/>
        </w:rPr>
        <w:t xml:space="preserve">Salida: </w:t>
      </w:r>
      <w:r>
        <w:t>Beta cerrada.</w:t>
      </w:r>
    </w:p>
    <w:p>
      <w:pPr>
        <w:pStyle w:val="Heading2"/>
      </w:pPr>
      <w:r>
        <w:t>Fase 9 — Escala</w:t>
      </w:r>
    </w:p>
    <w:p>
      <w:r>
        <w:rPr>
          <w:b/>
        </w:rPr>
        <w:t xml:space="preserve">Duración orientativa: </w:t>
      </w:r>
      <w:r>
        <w:t>Continuo</w:t>
      </w:r>
    </w:p>
    <w:p>
      <w:pPr>
        <w:pStyle w:val="ListBullet"/>
        <w:spacing w:after="40"/>
      </w:pPr>
      <w:r>
        <w:t>Más bancos.</w:t>
      </w:r>
    </w:p>
    <w:p>
      <w:pPr>
        <w:pStyle w:val="ListBullet"/>
        <w:spacing w:after="40"/>
      </w:pPr>
      <w:r>
        <w:t>Outlook.</w:t>
      </w:r>
    </w:p>
    <w:p>
      <w:pPr>
        <w:pStyle w:val="ListBullet"/>
        <w:spacing w:after="40"/>
      </w:pPr>
      <w:r>
        <w:t>CSV/PDF.</w:t>
      </w:r>
    </w:p>
    <w:p>
      <w:pPr>
        <w:pStyle w:val="ListBullet"/>
        <w:spacing w:after="40"/>
      </w:pPr>
      <w:r>
        <w:t>Mejoras Android.</w:t>
      </w:r>
    </w:p>
    <w:p>
      <w:pPr>
        <w:pStyle w:val="ListBullet"/>
        <w:spacing w:after="40"/>
      </w:pPr>
      <w:r>
        <w:t>iOS vía otras fuentes.</w:t>
      </w:r>
    </w:p>
    <w:p>
      <w:pPr>
        <w:pStyle w:val="ListBullet"/>
        <w:spacing w:after="40"/>
      </w:pPr>
      <w:r>
        <w:t>Nango si aplica.</w:t>
      </w:r>
    </w:p>
    <w:p>
      <w:pPr>
        <w:pStyle w:val="ListBullet"/>
        <w:spacing w:after="40"/>
      </w:pPr>
      <w:r>
        <w:t>Merchant enrichment.</w:t>
      </w:r>
    </w:p>
    <w:p>
      <w:r>
        <w:rPr>
          <w:b/>
        </w:rPr>
        <w:t xml:space="preserve">Salida: </w:t>
      </w:r>
      <w:r>
        <w:t>Expansión basada en métricas.</w:t>
      </w:r>
    </w:p>
    <w:p>
      <w:pPr>
        <w:pStyle w:val="Heading1"/>
      </w:pPr>
      <w:r>
        <w:t>13. Backlog sugerido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sz w:val="16"/>
              </w:rPr>
              <w:t>ID</w:t>
            </w:r>
          </w:p>
        </w:tc>
        <w:tc>
          <w:tcPr>
            <w:tcW w:type="dxa" w:w="2016"/>
            <w:shd w:fill="D9EAF7"/>
          </w:tcPr>
          <w:p>
            <w:r>
              <w:rPr>
                <w:b/>
                <w:sz w:val="16"/>
              </w:rPr>
              <w:t>Issue</w:t>
            </w:r>
          </w:p>
        </w:tc>
        <w:tc>
          <w:tcPr>
            <w:tcW w:type="dxa" w:w="2016"/>
            <w:shd w:fill="D9EAF7"/>
          </w:tcPr>
          <w:p>
            <w:r>
              <w:rPr>
                <w:b/>
                <w:sz w:val="16"/>
              </w:rPr>
              <w:t>Prioridad</w:t>
            </w:r>
          </w:p>
        </w:tc>
        <w:tc>
          <w:tcPr>
            <w:tcW w:type="dxa" w:w="2016"/>
            <w:shd w:fill="D9EAF7"/>
          </w:tcPr>
          <w:p>
            <w:r>
              <w:rPr>
                <w:b/>
                <w:sz w:val="16"/>
              </w:rPr>
              <w:t>Dependencia</w:t>
            </w:r>
          </w:p>
        </w:tc>
        <w:tc>
          <w:tcPr>
            <w:tcW w:type="dxa" w:w="2016"/>
            <w:shd w:fill="D9EAF7"/>
          </w:tcPr>
          <w:p>
            <w:r>
              <w:rPr>
                <w:b/>
                <w:sz w:val="16"/>
              </w:rPr>
              <w:t>Definition of Done</w:t>
            </w:r>
          </w:p>
        </w:tc>
      </w:tr>
      <w:tr>
        <w:tc>
          <w:tcPr>
            <w:tcW w:type="dxa" w:w="2016"/>
            <w:vAlign w:val="center"/>
          </w:tcPr>
          <w:p>
            <w:r>
              <w:rPr>
                <w:sz w:val="16"/>
              </w:rPr>
              <w:t>ING-01</w:t>
            </w:r>
          </w:p>
        </w:tc>
        <w:tc>
          <w:tcPr>
            <w:tcW w:type="dxa" w:w="2016"/>
            <w:vAlign w:val="center"/>
          </w:tcPr>
          <w:p>
            <w:r>
              <w:rPr>
                <w:sz w:val="16"/>
              </w:rPr>
              <w:t>SourceConnection</w:t>
            </w:r>
          </w:p>
        </w:tc>
        <w:tc>
          <w:tcPr>
            <w:tcW w:type="dxa" w:w="2016"/>
            <w:vAlign w:val="center"/>
          </w:tcPr>
          <w:p>
            <w:r>
              <w:rPr>
                <w:sz w:val="16"/>
              </w:rPr>
              <w:t>P0</w:t>
            </w:r>
          </w:p>
        </w:tc>
        <w:tc>
          <w:tcPr>
            <w:tcW w:type="dxa" w:w="2016"/>
            <w:vAlign w:val="center"/>
          </w:tcPr>
          <w:p>
            <w:r>
              <w:rPr>
                <w:sz w:val="16"/>
              </w:rPr>
              <w:t>—</w:t>
            </w:r>
          </w:p>
        </w:tc>
        <w:tc>
          <w:tcPr>
            <w:tcW w:type="dxa" w:w="2016"/>
            <w:vAlign w:val="center"/>
          </w:tcPr>
          <w:p>
            <w:r>
              <w:rPr>
                <w:sz w:val="16"/>
              </w:rPr>
              <w:t>Modelo + migración + tests.</w:t>
            </w:r>
          </w:p>
        </w:tc>
      </w:tr>
      <w:tr>
        <w:tc>
          <w:tcPr>
            <w:tcW w:type="dxa" w:w="2016"/>
            <w:vAlign w:val="center"/>
          </w:tcPr>
          <w:p>
            <w:r>
              <w:rPr>
                <w:sz w:val="16"/>
              </w:rPr>
              <w:t>ING-02</w:t>
            </w:r>
          </w:p>
        </w:tc>
        <w:tc>
          <w:tcPr>
            <w:tcW w:type="dxa" w:w="2016"/>
            <w:vAlign w:val="center"/>
          </w:tcPr>
          <w:p>
            <w:r>
              <w:rPr>
                <w:sz w:val="16"/>
              </w:rPr>
              <w:t>RawEvent</w:t>
            </w:r>
          </w:p>
        </w:tc>
        <w:tc>
          <w:tcPr>
            <w:tcW w:type="dxa" w:w="2016"/>
            <w:vAlign w:val="center"/>
          </w:tcPr>
          <w:p>
            <w:r>
              <w:rPr>
                <w:sz w:val="16"/>
              </w:rPr>
              <w:t>P0</w:t>
            </w:r>
          </w:p>
        </w:tc>
        <w:tc>
          <w:tcPr>
            <w:tcW w:type="dxa" w:w="2016"/>
            <w:vAlign w:val="center"/>
          </w:tcPr>
          <w:p>
            <w:r>
              <w:rPr>
                <w:sz w:val="16"/>
              </w:rPr>
              <w:t>ING-01</w:t>
            </w:r>
          </w:p>
        </w:tc>
        <w:tc>
          <w:tcPr>
            <w:tcW w:type="dxa" w:w="2016"/>
            <w:vAlign w:val="center"/>
          </w:tcPr>
          <w:p>
            <w:r>
              <w:rPr>
                <w:sz w:val="16"/>
              </w:rPr>
              <w:t>Persistencia + hash/idempotencia.</w:t>
            </w:r>
          </w:p>
        </w:tc>
      </w:tr>
      <w:tr>
        <w:tc>
          <w:tcPr>
            <w:tcW w:type="dxa" w:w="2016"/>
            <w:vAlign w:val="center"/>
          </w:tcPr>
          <w:p>
            <w:r>
              <w:rPr>
                <w:sz w:val="16"/>
              </w:rPr>
              <w:t>ING-03</w:t>
            </w:r>
          </w:p>
        </w:tc>
        <w:tc>
          <w:tcPr>
            <w:tcW w:type="dxa" w:w="2016"/>
            <w:vAlign w:val="center"/>
          </w:tcPr>
          <w:p>
            <w:r>
              <w:rPr>
                <w:sz w:val="16"/>
              </w:rPr>
              <w:t>TransactionSource</w:t>
            </w:r>
          </w:p>
        </w:tc>
        <w:tc>
          <w:tcPr>
            <w:tcW w:type="dxa" w:w="2016"/>
            <w:vAlign w:val="center"/>
          </w:tcPr>
          <w:p>
            <w:r>
              <w:rPr>
                <w:sz w:val="16"/>
              </w:rPr>
              <w:t>P0</w:t>
            </w:r>
          </w:p>
        </w:tc>
        <w:tc>
          <w:tcPr>
            <w:tcW w:type="dxa" w:w="2016"/>
            <w:vAlign w:val="center"/>
          </w:tcPr>
          <w:p>
            <w:r>
              <w:rPr>
                <w:sz w:val="16"/>
              </w:rPr>
              <w:t>ING-02</w:t>
            </w:r>
          </w:p>
        </w:tc>
        <w:tc>
          <w:tcPr>
            <w:tcW w:type="dxa" w:w="2016"/>
            <w:vAlign w:val="center"/>
          </w:tcPr>
          <w:p>
            <w:r>
              <w:rPr>
                <w:sz w:val="16"/>
              </w:rPr>
              <w:t>Múltiples fuentes por Transaction.</w:t>
            </w:r>
          </w:p>
        </w:tc>
      </w:tr>
      <w:tr>
        <w:tc>
          <w:tcPr>
            <w:tcW w:type="dxa" w:w="2016"/>
            <w:vAlign w:val="center"/>
          </w:tcPr>
          <w:p>
            <w:r>
              <w:rPr>
                <w:sz w:val="16"/>
              </w:rPr>
              <w:t>ING-04</w:t>
            </w:r>
          </w:p>
        </w:tc>
        <w:tc>
          <w:tcPr>
            <w:tcW w:type="dxa" w:w="2016"/>
            <w:vAlign w:val="center"/>
          </w:tcPr>
          <w:p>
            <w:r>
              <w:rPr>
                <w:sz w:val="16"/>
              </w:rPr>
              <w:t>Deduplicación</w:t>
            </w:r>
          </w:p>
        </w:tc>
        <w:tc>
          <w:tcPr>
            <w:tcW w:type="dxa" w:w="2016"/>
            <w:vAlign w:val="center"/>
          </w:tcPr>
          <w:p>
            <w:r>
              <w:rPr>
                <w:sz w:val="16"/>
              </w:rPr>
              <w:t>P0</w:t>
            </w:r>
          </w:p>
        </w:tc>
        <w:tc>
          <w:tcPr>
            <w:tcW w:type="dxa" w:w="2016"/>
            <w:vAlign w:val="center"/>
          </w:tcPr>
          <w:p>
            <w:r>
              <w:rPr>
                <w:sz w:val="16"/>
              </w:rPr>
              <w:t>ING-02/03</w:t>
            </w:r>
          </w:p>
        </w:tc>
        <w:tc>
          <w:tcPr>
            <w:tcW w:type="dxa" w:w="2016"/>
            <w:vAlign w:val="center"/>
          </w:tcPr>
          <w:p>
            <w:r>
              <w:rPr>
                <w:sz w:val="16"/>
              </w:rPr>
              <w:t>Repetidos no duplican.</w:t>
            </w:r>
          </w:p>
        </w:tc>
      </w:tr>
      <w:tr>
        <w:tc>
          <w:tcPr>
            <w:tcW w:type="dxa" w:w="2016"/>
            <w:vAlign w:val="center"/>
          </w:tcPr>
          <w:p>
            <w:r>
              <w:rPr>
                <w:sz w:val="16"/>
              </w:rPr>
              <w:t>ING-05</w:t>
            </w:r>
          </w:p>
        </w:tc>
        <w:tc>
          <w:tcPr>
            <w:tcW w:type="dxa" w:w="2016"/>
            <w:vAlign w:val="center"/>
          </w:tcPr>
          <w:p>
            <w:r>
              <w:rPr>
                <w:sz w:val="16"/>
              </w:rPr>
              <w:t>Parser interface</w:t>
            </w:r>
          </w:p>
        </w:tc>
        <w:tc>
          <w:tcPr>
            <w:tcW w:type="dxa" w:w="2016"/>
            <w:vAlign w:val="center"/>
          </w:tcPr>
          <w:p>
            <w:r>
              <w:rPr>
                <w:sz w:val="16"/>
              </w:rPr>
              <w:t>P0</w:t>
            </w:r>
          </w:p>
        </w:tc>
        <w:tc>
          <w:tcPr>
            <w:tcW w:type="dxa" w:w="2016"/>
            <w:vAlign w:val="center"/>
          </w:tcPr>
          <w:p>
            <w:r>
              <w:rPr>
                <w:sz w:val="16"/>
              </w:rPr>
              <w:t>ING-02</w:t>
            </w:r>
          </w:p>
        </w:tc>
        <w:tc>
          <w:tcPr>
            <w:tcW w:type="dxa" w:w="2016"/>
            <w:vAlign w:val="center"/>
          </w:tcPr>
          <w:p>
            <w:r>
              <w:rPr>
                <w:sz w:val="16"/>
              </w:rPr>
              <w:t>Interface + fake parser + tests.</w:t>
            </w:r>
          </w:p>
        </w:tc>
      </w:tr>
      <w:tr>
        <w:tc>
          <w:tcPr>
            <w:tcW w:type="dxa" w:w="2016"/>
            <w:vAlign w:val="center"/>
          </w:tcPr>
          <w:p>
            <w:r>
              <w:rPr>
                <w:sz w:val="16"/>
              </w:rPr>
              <w:t>ING-06</w:t>
            </w:r>
          </w:p>
        </w:tc>
        <w:tc>
          <w:tcPr>
            <w:tcW w:type="dxa" w:w="2016"/>
            <w:vAlign w:val="center"/>
          </w:tcPr>
          <w:p>
            <w:r>
              <w:rPr>
                <w:sz w:val="16"/>
              </w:rPr>
              <w:t>Confidence</w:t>
            </w:r>
          </w:p>
        </w:tc>
        <w:tc>
          <w:tcPr>
            <w:tcW w:type="dxa" w:w="2016"/>
            <w:vAlign w:val="center"/>
          </w:tcPr>
          <w:p>
            <w:r>
              <w:rPr>
                <w:sz w:val="16"/>
              </w:rPr>
              <w:t>P1</w:t>
            </w:r>
          </w:p>
        </w:tc>
        <w:tc>
          <w:tcPr>
            <w:tcW w:type="dxa" w:w="2016"/>
            <w:vAlign w:val="center"/>
          </w:tcPr>
          <w:p>
            <w:r>
              <w:rPr>
                <w:sz w:val="16"/>
              </w:rPr>
              <w:t>ING-05</w:t>
            </w:r>
          </w:p>
        </w:tc>
        <w:tc>
          <w:tcPr>
            <w:tcW w:type="dxa" w:w="2016"/>
            <w:vAlign w:val="center"/>
          </w:tcPr>
          <w:p>
            <w:r>
              <w:rPr>
                <w:sz w:val="16"/>
              </w:rPr>
              <w:t>Score documentado.</w:t>
            </w:r>
          </w:p>
        </w:tc>
      </w:tr>
      <w:tr>
        <w:tc>
          <w:tcPr>
            <w:tcW w:type="dxa" w:w="2016"/>
            <w:vAlign w:val="center"/>
          </w:tcPr>
          <w:p>
            <w:r>
              <w:rPr>
                <w:sz w:val="16"/>
              </w:rPr>
              <w:t>ING-07</w:t>
            </w:r>
          </w:p>
        </w:tc>
        <w:tc>
          <w:tcPr>
            <w:tcW w:type="dxa" w:w="2016"/>
            <w:vAlign w:val="center"/>
          </w:tcPr>
          <w:p>
            <w:r>
              <w:rPr>
                <w:sz w:val="16"/>
              </w:rPr>
              <w:t>Review Queue</w:t>
            </w:r>
          </w:p>
        </w:tc>
        <w:tc>
          <w:tcPr>
            <w:tcW w:type="dxa" w:w="2016"/>
            <w:vAlign w:val="center"/>
          </w:tcPr>
          <w:p>
            <w:r>
              <w:rPr>
                <w:sz w:val="16"/>
              </w:rPr>
              <w:t>P1</w:t>
            </w:r>
          </w:p>
        </w:tc>
        <w:tc>
          <w:tcPr>
            <w:tcW w:type="dxa" w:w="2016"/>
            <w:vAlign w:val="center"/>
          </w:tcPr>
          <w:p>
            <w:r>
              <w:rPr>
                <w:sz w:val="16"/>
              </w:rPr>
              <w:t>ING-06</w:t>
            </w:r>
          </w:p>
        </w:tc>
        <w:tc>
          <w:tcPr>
            <w:tcW w:type="dxa" w:w="2016"/>
            <w:vAlign w:val="center"/>
          </w:tcPr>
          <w:p>
            <w:r>
              <w:rPr>
                <w:sz w:val="16"/>
              </w:rPr>
              <w:t>Usuario confirma/rechaza.</w:t>
            </w:r>
          </w:p>
        </w:tc>
      </w:tr>
      <w:tr>
        <w:tc>
          <w:tcPr>
            <w:tcW w:type="dxa" w:w="2016"/>
            <w:vAlign w:val="center"/>
          </w:tcPr>
          <w:p>
            <w:r>
              <w:rPr>
                <w:sz w:val="16"/>
              </w:rPr>
              <w:t>GMAIL-01</w:t>
            </w:r>
          </w:p>
        </w:tc>
        <w:tc>
          <w:tcPr>
            <w:tcW w:type="dxa" w:w="2016"/>
            <w:vAlign w:val="center"/>
          </w:tcPr>
          <w:p>
            <w:r>
              <w:rPr>
                <w:sz w:val="16"/>
              </w:rPr>
              <w:t>Google OAuth</w:t>
            </w:r>
          </w:p>
        </w:tc>
        <w:tc>
          <w:tcPr>
            <w:tcW w:type="dxa" w:w="2016"/>
            <w:vAlign w:val="center"/>
          </w:tcPr>
          <w:p>
            <w:r>
              <w:rPr>
                <w:sz w:val="16"/>
              </w:rPr>
              <w:t>P0</w:t>
            </w:r>
          </w:p>
        </w:tc>
        <w:tc>
          <w:tcPr>
            <w:tcW w:type="dxa" w:w="2016"/>
            <w:vAlign w:val="center"/>
          </w:tcPr>
          <w:p>
            <w:r>
              <w:rPr>
                <w:sz w:val="16"/>
              </w:rPr>
              <w:t>Auth</w:t>
            </w:r>
          </w:p>
        </w:tc>
        <w:tc>
          <w:tcPr>
            <w:tcW w:type="dxa" w:w="2016"/>
            <w:vAlign w:val="center"/>
          </w:tcPr>
          <w:p>
            <w:r>
              <w:rPr>
                <w:sz w:val="16"/>
              </w:rPr>
              <w:t>Conectar/revocar.</w:t>
            </w:r>
          </w:p>
        </w:tc>
      </w:tr>
      <w:tr>
        <w:tc>
          <w:tcPr>
            <w:tcW w:type="dxa" w:w="2016"/>
            <w:vAlign w:val="center"/>
          </w:tcPr>
          <w:p>
            <w:r>
              <w:rPr>
                <w:sz w:val="16"/>
              </w:rPr>
              <w:t>GMAIL-02</w:t>
            </w:r>
          </w:p>
        </w:tc>
        <w:tc>
          <w:tcPr>
            <w:tcW w:type="dxa" w:w="2016"/>
            <w:vAlign w:val="center"/>
          </w:tcPr>
          <w:p>
            <w:r>
              <w:rPr>
                <w:sz w:val="16"/>
              </w:rPr>
              <w:t>Gmail watch/PubSub</w:t>
            </w:r>
          </w:p>
        </w:tc>
        <w:tc>
          <w:tcPr>
            <w:tcW w:type="dxa" w:w="2016"/>
            <w:vAlign w:val="center"/>
          </w:tcPr>
          <w:p>
            <w:r>
              <w:rPr>
                <w:sz w:val="16"/>
              </w:rPr>
              <w:t>P0</w:t>
            </w:r>
          </w:p>
        </w:tc>
        <w:tc>
          <w:tcPr>
            <w:tcW w:type="dxa" w:w="2016"/>
            <w:vAlign w:val="center"/>
          </w:tcPr>
          <w:p>
            <w:r>
              <w:rPr>
                <w:sz w:val="16"/>
              </w:rPr>
              <w:t>GMAIL-01</w:t>
            </w:r>
          </w:p>
        </w:tc>
        <w:tc>
          <w:tcPr>
            <w:tcW w:type="dxa" w:w="2016"/>
            <w:vAlign w:val="center"/>
          </w:tcPr>
          <w:p>
            <w:r>
              <w:rPr>
                <w:sz w:val="16"/>
              </w:rPr>
              <w:t>Evento llega.</w:t>
            </w:r>
          </w:p>
        </w:tc>
      </w:tr>
      <w:tr>
        <w:tc>
          <w:tcPr>
            <w:tcW w:type="dxa" w:w="2016"/>
            <w:vAlign w:val="center"/>
          </w:tcPr>
          <w:p>
            <w:r>
              <w:rPr>
                <w:sz w:val="16"/>
              </w:rPr>
              <w:t>GMAIL-03</w:t>
            </w:r>
          </w:p>
        </w:tc>
        <w:tc>
          <w:tcPr>
            <w:tcW w:type="dxa" w:w="2016"/>
            <w:vAlign w:val="center"/>
          </w:tcPr>
          <w:p>
            <w:r>
              <w:rPr>
                <w:sz w:val="16"/>
              </w:rPr>
              <w:t>Gmail history sync</w:t>
            </w:r>
          </w:p>
        </w:tc>
        <w:tc>
          <w:tcPr>
            <w:tcW w:type="dxa" w:w="2016"/>
            <w:vAlign w:val="center"/>
          </w:tcPr>
          <w:p>
            <w:r>
              <w:rPr>
                <w:sz w:val="16"/>
              </w:rPr>
              <w:t>P0</w:t>
            </w:r>
          </w:p>
        </w:tc>
        <w:tc>
          <w:tcPr>
            <w:tcW w:type="dxa" w:w="2016"/>
            <w:vAlign w:val="center"/>
          </w:tcPr>
          <w:p>
            <w:r>
              <w:rPr>
                <w:sz w:val="16"/>
              </w:rPr>
              <w:t>GMAIL-02</w:t>
            </w:r>
          </w:p>
        </w:tc>
        <w:tc>
          <w:tcPr>
            <w:tcW w:type="dxa" w:w="2016"/>
            <w:vAlign w:val="center"/>
          </w:tcPr>
          <w:p>
            <w:r>
              <w:rPr>
                <w:sz w:val="16"/>
              </w:rPr>
              <w:t>Cursor funciona.</w:t>
            </w:r>
          </w:p>
        </w:tc>
      </w:tr>
      <w:tr>
        <w:tc>
          <w:tcPr>
            <w:tcW w:type="dxa" w:w="2016"/>
            <w:vAlign w:val="center"/>
          </w:tcPr>
          <w:p>
            <w:r>
              <w:rPr>
                <w:sz w:val="16"/>
              </w:rPr>
              <w:t>GMAIL-04</w:t>
            </w:r>
          </w:p>
        </w:tc>
        <w:tc>
          <w:tcPr>
            <w:tcW w:type="dxa" w:w="2016"/>
            <w:vAlign w:val="center"/>
          </w:tcPr>
          <w:p>
            <w:r>
              <w:rPr>
                <w:sz w:val="16"/>
              </w:rPr>
              <w:t>Parser financiero</w:t>
            </w:r>
          </w:p>
        </w:tc>
        <w:tc>
          <w:tcPr>
            <w:tcW w:type="dxa" w:w="2016"/>
            <w:vAlign w:val="center"/>
          </w:tcPr>
          <w:p>
            <w:r>
              <w:rPr>
                <w:sz w:val="16"/>
              </w:rPr>
              <w:t>P0</w:t>
            </w:r>
          </w:p>
        </w:tc>
        <w:tc>
          <w:tcPr>
            <w:tcW w:type="dxa" w:w="2016"/>
            <w:vAlign w:val="center"/>
          </w:tcPr>
          <w:p>
            <w:r>
              <w:rPr>
                <w:sz w:val="16"/>
              </w:rPr>
              <w:t>ING-05</w:t>
            </w:r>
          </w:p>
        </w:tc>
        <w:tc>
          <w:tcPr>
            <w:tcW w:type="dxa" w:w="2016"/>
            <w:vAlign w:val="center"/>
          </w:tcPr>
          <w:p>
            <w:r>
              <w:rPr>
                <w:sz w:val="16"/>
              </w:rPr>
              <w:t>Fixtures pasan.</w:t>
            </w:r>
          </w:p>
        </w:tc>
      </w:tr>
      <w:tr>
        <w:tc>
          <w:tcPr>
            <w:tcW w:type="dxa" w:w="2016"/>
            <w:vAlign w:val="center"/>
          </w:tcPr>
          <w:p>
            <w:r>
              <w:rPr>
                <w:sz w:val="16"/>
              </w:rPr>
              <w:t>AND-01</w:t>
            </w:r>
          </w:p>
        </w:tc>
        <w:tc>
          <w:tcPr>
            <w:tcW w:type="dxa" w:w="2016"/>
            <w:vAlign w:val="center"/>
          </w:tcPr>
          <w:p>
            <w:r>
              <w:rPr>
                <w:sz w:val="16"/>
              </w:rPr>
              <w:t>Android skeleton</w:t>
            </w:r>
          </w:p>
        </w:tc>
        <w:tc>
          <w:tcPr>
            <w:tcW w:type="dxa" w:w="2016"/>
            <w:vAlign w:val="center"/>
          </w:tcPr>
          <w:p>
            <w:r>
              <w:rPr>
                <w:sz w:val="16"/>
              </w:rPr>
              <w:t>P1</w:t>
            </w:r>
          </w:p>
        </w:tc>
        <w:tc>
          <w:tcPr>
            <w:tcW w:type="dxa" w:w="2016"/>
            <w:vAlign w:val="center"/>
          </w:tcPr>
          <w:p>
            <w:r>
              <w:rPr>
                <w:sz w:val="16"/>
              </w:rPr>
              <w:t>Auth</w:t>
            </w:r>
          </w:p>
        </w:tc>
        <w:tc>
          <w:tcPr>
            <w:tcW w:type="dxa" w:w="2016"/>
            <w:vAlign w:val="center"/>
          </w:tcPr>
          <w:p>
            <w:r>
              <w:rPr>
                <w:sz w:val="16"/>
              </w:rPr>
              <w:t>Instala/autentica.</w:t>
            </w:r>
          </w:p>
        </w:tc>
      </w:tr>
      <w:tr>
        <w:tc>
          <w:tcPr>
            <w:tcW w:type="dxa" w:w="2016"/>
            <w:vAlign w:val="center"/>
          </w:tcPr>
          <w:p>
            <w:r>
              <w:rPr>
                <w:sz w:val="16"/>
              </w:rPr>
              <w:t>AND-02</w:t>
            </w:r>
          </w:p>
        </w:tc>
        <w:tc>
          <w:tcPr>
            <w:tcW w:type="dxa" w:w="2016"/>
            <w:vAlign w:val="center"/>
          </w:tcPr>
          <w:p>
            <w:r>
              <w:rPr>
                <w:sz w:val="16"/>
              </w:rPr>
              <w:t>NotificationListener</w:t>
            </w:r>
          </w:p>
        </w:tc>
        <w:tc>
          <w:tcPr>
            <w:tcW w:type="dxa" w:w="2016"/>
            <w:vAlign w:val="center"/>
          </w:tcPr>
          <w:p>
            <w:r>
              <w:rPr>
                <w:sz w:val="16"/>
              </w:rPr>
              <w:t>P1</w:t>
            </w:r>
          </w:p>
        </w:tc>
        <w:tc>
          <w:tcPr>
            <w:tcW w:type="dxa" w:w="2016"/>
            <w:vAlign w:val="center"/>
          </w:tcPr>
          <w:p>
            <w:r>
              <w:rPr>
                <w:sz w:val="16"/>
              </w:rPr>
              <w:t>AND-01</w:t>
            </w:r>
          </w:p>
        </w:tc>
        <w:tc>
          <w:tcPr>
            <w:tcW w:type="dxa" w:w="2016"/>
            <w:vAlign w:val="center"/>
          </w:tcPr>
          <w:p>
            <w:r>
              <w:rPr>
                <w:sz w:val="16"/>
              </w:rPr>
              <w:t>Captura con permiso.</w:t>
            </w:r>
          </w:p>
        </w:tc>
      </w:tr>
      <w:tr>
        <w:tc>
          <w:tcPr>
            <w:tcW w:type="dxa" w:w="2016"/>
            <w:vAlign w:val="center"/>
          </w:tcPr>
          <w:p>
            <w:r>
              <w:rPr>
                <w:sz w:val="16"/>
              </w:rPr>
              <w:t>AND-03</w:t>
            </w:r>
          </w:p>
        </w:tc>
        <w:tc>
          <w:tcPr>
            <w:tcW w:type="dxa" w:w="2016"/>
            <w:vAlign w:val="center"/>
          </w:tcPr>
          <w:p>
            <w:r>
              <w:rPr>
                <w:sz w:val="16"/>
              </w:rPr>
              <w:t>Filtro local</w:t>
            </w:r>
          </w:p>
        </w:tc>
        <w:tc>
          <w:tcPr>
            <w:tcW w:type="dxa" w:w="2016"/>
            <w:vAlign w:val="center"/>
          </w:tcPr>
          <w:p>
            <w:r>
              <w:rPr>
                <w:sz w:val="16"/>
              </w:rPr>
              <w:t>P1</w:t>
            </w:r>
          </w:p>
        </w:tc>
        <w:tc>
          <w:tcPr>
            <w:tcW w:type="dxa" w:w="2016"/>
            <w:vAlign w:val="center"/>
          </w:tcPr>
          <w:p>
            <w:r>
              <w:rPr>
                <w:sz w:val="16"/>
              </w:rPr>
              <w:t>AND-02</w:t>
            </w:r>
          </w:p>
        </w:tc>
        <w:tc>
          <w:tcPr>
            <w:tcW w:type="dxa" w:w="2016"/>
            <w:vAlign w:val="center"/>
          </w:tcPr>
          <w:p>
            <w:r>
              <w:rPr>
                <w:sz w:val="16"/>
              </w:rPr>
              <w:t>Solo eventos financieros salen.</w:t>
            </w:r>
          </w:p>
        </w:tc>
      </w:tr>
      <w:tr>
        <w:tc>
          <w:tcPr>
            <w:tcW w:type="dxa" w:w="2016"/>
            <w:vAlign w:val="center"/>
          </w:tcPr>
          <w:p>
            <w:r>
              <w:rPr>
                <w:sz w:val="16"/>
              </w:rPr>
              <w:t>BANK-01</w:t>
            </w:r>
          </w:p>
        </w:tc>
        <w:tc>
          <w:tcPr>
            <w:tcW w:type="dxa" w:w="2016"/>
            <w:vAlign w:val="center"/>
          </w:tcPr>
          <w:p>
            <w:r>
              <w:rPr>
                <w:sz w:val="16"/>
              </w:rPr>
              <w:t>Prometeo discovery</w:t>
            </w:r>
          </w:p>
        </w:tc>
        <w:tc>
          <w:tcPr>
            <w:tcW w:type="dxa" w:w="2016"/>
            <w:vAlign w:val="center"/>
          </w:tcPr>
          <w:p>
            <w:r>
              <w:rPr>
                <w:sz w:val="16"/>
              </w:rPr>
              <w:t>P0</w:t>
            </w:r>
          </w:p>
        </w:tc>
        <w:tc>
          <w:tcPr>
            <w:tcW w:type="dxa" w:w="2016"/>
            <w:vAlign w:val="center"/>
          </w:tcPr>
          <w:p>
            <w:r>
              <w:rPr>
                <w:sz w:val="16"/>
              </w:rPr>
              <w:t>—</w:t>
            </w:r>
          </w:p>
        </w:tc>
        <w:tc>
          <w:tcPr>
            <w:tcW w:type="dxa" w:w="2016"/>
            <w:vAlign w:val="center"/>
          </w:tcPr>
          <w:p>
            <w:r>
              <w:rPr>
                <w:sz w:val="16"/>
              </w:rPr>
              <w:t>Cobertura/precio/terms.</w:t>
            </w:r>
          </w:p>
        </w:tc>
      </w:tr>
      <w:tr>
        <w:tc>
          <w:tcPr>
            <w:tcW w:type="dxa" w:w="2016"/>
            <w:vAlign w:val="center"/>
          </w:tcPr>
          <w:p>
            <w:r>
              <w:rPr>
                <w:sz w:val="16"/>
              </w:rPr>
              <w:t>BANK-02</w:t>
            </w:r>
          </w:p>
        </w:tc>
        <w:tc>
          <w:tcPr>
            <w:tcW w:type="dxa" w:w="2016"/>
            <w:vAlign w:val="center"/>
          </w:tcPr>
          <w:p>
            <w:r>
              <w:rPr>
                <w:sz w:val="16"/>
              </w:rPr>
              <w:t>Banco General discovery</w:t>
            </w:r>
          </w:p>
        </w:tc>
        <w:tc>
          <w:tcPr>
            <w:tcW w:type="dxa" w:w="2016"/>
            <w:vAlign w:val="center"/>
          </w:tcPr>
          <w:p>
            <w:r>
              <w:rPr>
                <w:sz w:val="16"/>
              </w:rPr>
              <w:t>P1</w:t>
            </w:r>
          </w:p>
        </w:tc>
        <w:tc>
          <w:tcPr>
            <w:tcW w:type="dxa" w:w="2016"/>
            <w:vAlign w:val="center"/>
          </w:tcPr>
          <w:p>
            <w:r>
              <w:rPr>
                <w:sz w:val="16"/>
              </w:rPr>
              <w:t>—</w:t>
            </w:r>
          </w:p>
        </w:tc>
        <w:tc>
          <w:tcPr>
            <w:tcW w:type="dxa" w:w="2016"/>
            <w:vAlign w:val="center"/>
          </w:tcPr>
          <w:p>
            <w:r>
              <w:rPr>
                <w:sz w:val="16"/>
              </w:rPr>
              <w:t>Personal/comercial confirmado.</w:t>
            </w:r>
          </w:p>
        </w:tc>
      </w:tr>
      <w:tr>
        <w:tc>
          <w:tcPr>
            <w:tcW w:type="dxa" w:w="2016"/>
            <w:vAlign w:val="center"/>
          </w:tcPr>
          <w:p>
            <w:r>
              <w:rPr>
                <w:sz w:val="16"/>
              </w:rPr>
              <w:t>BANK-03</w:t>
            </w:r>
          </w:p>
        </w:tc>
        <w:tc>
          <w:tcPr>
            <w:tcW w:type="dxa" w:w="2016"/>
            <w:vAlign w:val="center"/>
          </w:tcPr>
          <w:p>
            <w:r>
              <w:rPr>
                <w:sz w:val="16"/>
              </w:rPr>
              <w:t>BAC discovery</w:t>
            </w:r>
          </w:p>
        </w:tc>
        <w:tc>
          <w:tcPr>
            <w:tcW w:type="dxa" w:w="2016"/>
            <w:vAlign w:val="center"/>
          </w:tcPr>
          <w:p>
            <w:r>
              <w:rPr>
                <w:sz w:val="16"/>
              </w:rPr>
              <w:t>P1</w:t>
            </w:r>
          </w:p>
        </w:tc>
        <w:tc>
          <w:tcPr>
            <w:tcW w:type="dxa" w:w="2016"/>
            <w:vAlign w:val="center"/>
          </w:tcPr>
          <w:p>
            <w:r>
              <w:rPr>
                <w:sz w:val="16"/>
              </w:rPr>
              <w:t>—</w:t>
            </w:r>
          </w:p>
        </w:tc>
        <w:tc>
          <w:tcPr>
            <w:tcW w:type="dxa" w:w="2016"/>
            <w:vAlign w:val="center"/>
          </w:tcPr>
          <w:p>
            <w:r>
              <w:rPr>
                <w:sz w:val="16"/>
              </w:rPr>
              <w:t>Personal/comercial confirmado.</w:t>
            </w:r>
          </w:p>
        </w:tc>
      </w:tr>
      <w:tr>
        <w:tc>
          <w:tcPr>
            <w:tcW w:type="dxa" w:w="2016"/>
            <w:vAlign w:val="center"/>
          </w:tcPr>
          <w:p>
            <w:r>
              <w:rPr>
                <w:sz w:val="16"/>
              </w:rPr>
              <w:t>BANK-04</w:t>
            </w:r>
          </w:p>
        </w:tc>
        <w:tc>
          <w:tcPr>
            <w:tcW w:type="dxa" w:w="2016"/>
            <w:vAlign w:val="center"/>
          </w:tcPr>
          <w:p>
            <w:r>
              <w:rPr>
                <w:sz w:val="16"/>
              </w:rPr>
              <w:t>Otros bancos</w:t>
            </w:r>
          </w:p>
        </w:tc>
        <w:tc>
          <w:tcPr>
            <w:tcW w:type="dxa" w:w="2016"/>
            <w:vAlign w:val="center"/>
          </w:tcPr>
          <w:p>
            <w:r>
              <w:rPr>
                <w:sz w:val="16"/>
              </w:rPr>
              <w:t>P2</w:t>
            </w:r>
          </w:p>
        </w:tc>
        <w:tc>
          <w:tcPr>
            <w:tcW w:type="dxa" w:w="2016"/>
            <w:vAlign w:val="center"/>
          </w:tcPr>
          <w:p>
            <w:r>
              <w:rPr>
                <w:sz w:val="16"/>
              </w:rPr>
              <w:t>—</w:t>
            </w:r>
          </w:p>
        </w:tc>
        <w:tc>
          <w:tcPr>
            <w:tcW w:type="dxa" w:w="2016"/>
            <w:vAlign w:val="center"/>
          </w:tcPr>
          <w:p>
            <w:r>
              <w:rPr>
                <w:sz w:val="16"/>
              </w:rPr>
              <w:t>Matriz completada.</w:t>
            </w:r>
          </w:p>
        </w:tc>
      </w:tr>
      <w:tr>
        <w:tc>
          <w:tcPr>
            <w:tcW w:type="dxa" w:w="2016"/>
            <w:vAlign w:val="center"/>
          </w:tcPr>
          <w:p>
            <w:r>
              <w:rPr>
                <w:sz w:val="16"/>
              </w:rPr>
              <w:t>SEC-01</w:t>
            </w:r>
          </w:p>
        </w:tc>
        <w:tc>
          <w:tcPr>
            <w:tcW w:type="dxa" w:w="2016"/>
            <w:vAlign w:val="center"/>
          </w:tcPr>
          <w:p>
            <w:r>
              <w:rPr>
                <w:sz w:val="16"/>
              </w:rPr>
              <w:t>Secrets</w:t>
            </w:r>
          </w:p>
        </w:tc>
        <w:tc>
          <w:tcPr>
            <w:tcW w:type="dxa" w:w="2016"/>
            <w:vAlign w:val="center"/>
          </w:tcPr>
          <w:p>
            <w:r>
              <w:rPr>
                <w:sz w:val="16"/>
              </w:rPr>
              <w:t>P0</w:t>
            </w:r>
          </w:p>
        </w:tc>
        <w:tc>
          <w:tcPr>
            <w:tcW w:type="dxa" w:w="2016"/>
            <w:vAlign w:val="center"/>
          </w:tcPr>
          <w:p>
            <w:r>
              <w:rPr>
                <w:sz w:val="16"/>
              </w:rPr>
              <w:t>Backend</w:t>
            </w:r>
          </w:p>
        </w:tc>
        <w:tc>
          <w:tcPr>
            <w:tcW w:type="dxa" w:w="2016"/>
            <w:vAlign w:val="center"/>
          </w:tcPr>
          <w:p>
            <w:r>
              <w:rPr>
                <w:sz w:val="16"/>
              </w:rPr>
              <w:t>Sin secretos por defecto.</w:t>
            </w:r>
          </w:p>
        </w:tc>
      </w:tr>
      <w:tr>
        <w:tc>
          <w:tcPr>
            <w:tcW w:type="dxa" w:w="2016"/>
            <w:vAlign w:val="center"/>
          </w:tcPr>
          <w:p>
            <w:r>
              <w:rPr>
                <w:sz w:val="16"/>
              </w:rPr>
              <w:t>SEC-02</w:t>
            </w:r>
          </w:p>
        </w:tc>
        <w:tc>
          <w:tcPr>
            <w:tcW w:type="dxa" w:w="2016"/>
            <w:vAlign w:val="center"/>
          </w:tcPr>
          <w:p>
            <w:r>
              <w:rPr>
                <w:sz w:val="16"/>
              </w:rPr>
              <w:t>Data deletion</w:t>
            </w:r>
          </w:p>
        </w:tc>
        <w:tc>
          <w:tcPr>
            <w:tcW w:type="dxa" w:w="2016"/>
            <w:vAlign w:val="center"/>
          </w:tcPr>
          <w:p>
            <w:r>
              <w:rPr>
                <w:sz w:val="16"/>
              </w:rPr>
              <w:t>P1</w:t>
            </w:r>
          </w:p>
        </w:tc>
        <w:tc>
          <w:tcPr>
            <w:tcW w:type="dxa" w:w="2016"/>
            <w:vAlign w:val="center"/>
          </w:tcPr>
          <w:p>
            <w:r>
              <w:rPr>
                <w:sz w:val="16"/>
              </w:rPr>
              <w:t>DB</w:t>
            </w:r>
          </w:p>
        </w:tc>
        <w:tc>
          <w:tcPr>
            <w:tcW w:type="dxa" w:w="2016"/>
            <w:vAlign w:val="center"/>
          </w:tcPr>
          <w:p>
            <w:r>
              <w:rPr>
                <w:sz w:val="16"/>
              </w:rPr>
              <w:t>Borrado implementado.</w:t>
            </w:r>
          </w:p>
        </w:tc>
      </w:tr>
      <w:tr>
        <w:tc>
          <w:tcPr>
            <w:tcW w:type="dxa" w:w="2016"/>
            <w:vAlign w:val="center"/>
          </w:tcPr>
          <w:p>
            <w:r>
              <w:rPr>
                <w:sz w:val="16"/>
              </w:rPr>
              <w:t>SEC-03</w:t>
            </w:r>
          </w:p>
        </w:tc>
        <w:tc>
          <w:tcPr>
            <w:tcW w:type="dxa" w:w="2016"/>
            <w:vAlign w:val="center"/>
          </w:tcPr>
          <w:p>
            <w:r>
              <w:rPr>
                <w:sz w:val="16"/>
              </w:rPr>
              <w:t>Revocation</w:t>
            </w:r>
          </w:p>
        </w:tc>
        <w:tc>
          <w:tcPr>
            <w:tcW w:type="dxa" w:w="2016"/>
            <w:vAlign w:val="center"/>
          </w:tcPr>
          <w:p>
            <w:r>
              <w:rPr>
                <w:sz w:val="16"/>
              </w:rPr>
              <w:t>P1</w:t>
            </w:r>
          </w:p>
        </w:tc>
        <w:tc>
          <w:tcPr>
            <w:tcW w:type="dxa" w:w="2016"/>
            <w:vAlign w:val="center"/>
          </w:tcPr>
          <w:p>
            <w:r>
              <w:rPr>
                <w:sz w:val="16"/>
              </w:rPr>
              <w:t>SourceConnection</w:t>
            </w:r>
          </w:p>
        </w:tc>
        <w:tc>
          <w:tcPr>
            <w:tcW w:type="dxa" w:w="2016"/>
            <w:vAlign w:val="center"/>
          </w:tcPr>
          <w:p>
            <w:r>
              <w:rPr>
                <w:sz w:val="16"/>
              </w:rPr>
              <w:t>Conexión revocable.</w:t>
            </w:r>
          </w:p>
        </w:tc>
      </w:tr>
      <w:tr>
        <w:tc>
          <w:tcPr>
            <w:tcW w:type="dxa" w:w="2016"/>
            <w:vAlign w:val="center"/>
          </w:tcPr>
          <w:p>
            <w:r>
              <w:rPr>
                <w:sz w:val="16"/>
              </w:rPr>
              <w:t>QA-01</w:t>
            </w:r>
          </w:p>
        </w:tc>
        <w:tc>
          <w:tcPr>
            <w:tcW w:type="dxa" w:w="2016"/>
            <w:vAlign w:val="center"/>
          </w:tcPr>
          <w:p>
            <w:r>
              <w:rPr>
                <w:sz w:val="16"/>
              </w:rPr>
              <w:t>Parser fixtures</w:t>
            </w:r>
          </w:p>
        </w:tc>
        <w:tc>
          <w:tcPr>
            <w:tcW w:type="dxa" w:w="2016"/>
            <w:vAlign w:val="center"/>
          </w:tcPr>
          <w:p>
            <w:r>
              <w:rPr>
                <w:sz w:val="16"/>
              </w:rPr>
              <w:t>P0</w:t>
            </w:r>
          </w:p>
        </w:tc>
        <w:tc>
          <w:tcPr>
            <w:tcW w:type="dxa" w:w="2016"/>
            <w:vAlign w:val="center"/>
          </w:tcPr>
          <w:p>
            <w:r>
              <w:rPr>
                <w:sz w:val="16"/>
              </w:rPr>
              <w:t>ING-05</w:t>
            </w:r>
          </w:p>
        </w:tc>
        <w:tc>
          <w:tcPr>
            <w:tcW w:type="dxa" w:w="2016"/>
            <w:vAlign w:val="center"/>
          </w:tcPr>
          <w:p>
            <w:r>
              <w:rPr>
                <w:sz w:val="16"/>
              </w:rPr>
              <w:t>Casos anonimizados.</w:t>
            </w:r>
          </w:p>
        </w:tc>
      </w:tr>
      <w:tr>
        <w:tc>
          <w:tcPr>
            <w:tcW w:type="dxa" w:w="2016"/>
            <w:vAlign w:val="center"/>
          </w:tcPr>
          <w:p>
            <w:r>
              <w:rPr>
                <w:sz w:val="16"/>
              </w:rPr>
              <w:t>QA-02</w:t>
            </w:r>
          </w:p>
        </w:tc>
        <w:tc>
          <w:tcPr>
            <w:tcW w:type="dxa" w:w="2016"/>
            <w:vAlign w:val="center"/>
          </w:tcPr>
          <w:p>
            <w:r>
              <w:rPr>
                <w:sz w:val="16"/>
              </w:rPr>
              <w:t>Dedup fixtures</w:t>
            </w:r>
          </w:p>
        </w:tc>
        <w:tc>
          <w:tcPr>
            <w:tcW w:type="dxa" w:w="2016"/>
            <w:vAlign w:val="center"/>
          </w:tcPr>
          <w:p>
            <w:r>
              <w:rPr>
                <w:sz w:val="16"/>
              </w:rPr>
              <w:t>P0</w:t>
            </w:r>
          </w:p>
        </w:tc>
        <w:tc>
          <w:tcPr>
            <w:tcW w:type="dxa" w:w="2016"/>
            <w:vAlign w:val="center"/>
          </w:tcPr>
          <w:p>
            <w:r>
              <w:rPr>
                <w:sz w:val="16"/>
              </w:rPr>
              <w:t>ING-04</w:t>
            </w:r>
          </w:p>
        </w:tc>
        <w:tc>
          <w:tcPr>
            <w:tcW w:type="dxa" w:w="2016"/>
            <w:vAlign w:val="center"/>
          </w:tcPr>
          <w:p>
            <w:r>
              <w:rPr>
                <w:sz w:val="16"/>
              </w:rPr>
              <w:t>Multi-source cubierto.</w:t>
            </w:r>
          </w:p>
        </w:tc>
      </w:tr>
    </w:tbl>
    <w:p/>
    <w:p>
      <w:pPr>
        <w:pStyle w:val="Heading1"/>
      </w:pPr>
      <w:r>
        <w:t>14. Criterios de calidad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t>Área</w:t>
            </w:r>
          </w:p>
        </w:tc>
        <w:tc>
          <w:tcPr>
            <w:tcW w:type="dxa" w:w="5040"/>
            <w:shd w:fill="D9EAF7"/>
          </w:tcPr>
          <w:p>
            <w:r>
              <w:rPr>
                <w:b/>
                <w:sz w:val="16"/>
              </w:rPr>
              <w:t>Criterio</w:t>
            </w:r>
          </w:p>
        </w:tc>
      </w:tr>
      <w:tr>
        <w:tc>
          <w:tcPr>
            <w:tcW w:type="dxa" w:w="5040"/>
            <w:vAlign w:val="center"/>
          </w:tcPr>
          <w:p>
            <w:r>
              <w:rPr>
                <w:sz w:val="16"/>
              </w:rPr>
              <w:t>Exactitud</w:t>
            </w:r>
          </w:p>
        </w:tc>
        <w:tc>
          <w:tcPr>
            <w:tcW w:type="dxa" w:w="5040"/>
            <w:vAlign w:val="center"/>
          </w:tcPr>
          <w:p>
            <w:r>
              <w:rPr>
                <w:sz w:val="16"/>
              </w:rPr>
              <w:t>No duplicar eventos obvios.</w:t>
            </w:r>
          </w:p>
        </w:tc>
      </w:tr>
      <w:tr>
        <w:tc>
          <w:tcPr>
            <w:tcW w:type="dxa" w:w="5040"/>
            <w:vAlign w:val="center"/>
          </w:tcPr>
          <w:p>
            <w:r>
              <w:rPr>
                <w:sz w:val="16"/>
              </w:rPr>
              <w:t>Trazabilidad</w:t>
            </w:r>
          </w:p>
        </w:tc>
        <w:tc>
          <w:tcPr>
            <w:tcW w:type="dxa" w:w="5040"/>
            <w:vAlign w:val="center"/>
          </w:tcPr>
          <w:p>
            <w:r>
              <w:rPr>
                <w:sz w:val="16"/>
              </w:rPr>
              <w:t>Toda transacción automática tiene una o más fuentes.</w:t>
            </w:r>
          </w:p>
        </w:tc>
      </w:tr>
      <w:tr>
        <w:tc>
          <w:tcPr>
            <w:tcW w:type="dxa" w:w="5040"/>
            <w:vAlign w:val="center"/>
          </w:tcPr>
          <w:p>
            <w:r>
              <w:rPr>
                <w:sz w:val="16"/>
              </w:rPr>
              <w:t>Privacidad</w:t>
            </w:r>
          </w:p>
        </w:tc>
        <w:tc>
          <w:tcPr>
            <w:tcW w:type="dxa" w:w="5040"/>
            <w:vAlign w:val="center"/>
          </w:tcPr>
          <w:p>
            <w:r>
              <w:rPr>
                <w:sz w:val="16"/>
              </w:rPr>
              <w:t>Solo se almacena lo necesario.</w:t>
            </w:r>
          </w:p>
        </w:tc>
      </w:tr>
      <w:tr>
        <w:tc>
          <w:tcPr>
            <w:tcW w:type="dxa" w:w="5040"/>
            <w:vAlign w:val="center"/>
          </w:tcPr>
          <w:p>
            <w:r>
              <w:rPr>
                <w:sz w:val="16"/>
              </w:rPr>
              <w:t>Seguridad</w:t>
            </w:r>
          </w:p>
        </w:tc>
        <w:tc>
          <w:tcPr>
            <w:tcW w:type="dxa" w:w="5040"/>
            <w:vAlign w:val="center"/>
          </w:tcPr>
          <w:p>
            <w:r>
              <w:rPr>
                <w:sz w:val="16"/>
              </w:rPr>
              <w:t>Nunca se solicita contraseña bancaria.</w:t>
            </w:r>
          </w:p>
        </w:tc>
      </w:tr>
      <w:tr>
        <w:tc>
          <w:tcPr>
            <w:tcW w:type="dxa" w:w="5040"/>
            <w:vAlign w:val="center"/>
          </w:tcPr>
          <w:p>
            <w:r>
              <w:rPr>
                <w:sz w:val="16"/>
              </w:rPr>
              <w:t>Revocación</w:t>
            </w:r>
          </w:p>
        </w:tc>
        <w:tc>
          <w:tcPr>
            <w:tcW w:type="dxa" w:w="5040"/>
            <w:vAlign w:val="center"/>
          </w:tcPr>
          <w:p>
            <w:r>
              <w:rPr>
                <w:sz w:val="16"/>
              </w:rPr>
              <w:t>Usuario puede desconectar fuente.</w:t>
            </w:r>
          </w:p>
        </w:tc>
      </w:tr>
      <w:tr>
        <w:tc>
          <w:tcPr>
            <w:tcW w:type="dxa" w:w="5040"/>
            <w:vAlign w:val="center"/>
          </w:tcPr>
          <w:p>
            <w:r>
              <w:rPr>
                <w:sz w:val="16"/>
              </w:rPr>
              <w:t>Recuperación</w:t>
            </w:r>
          </w:p>
        </w:tc>
        <w:tc>
          <w:tcPr>
            <w:tcW w:type="dxa" w:w="5040"/>
            <w:vAlign w:val="center"/>
          </w:tcPr>
          <w:p>
            <w:r>
              <w:rPr>
                <w:sz w:val="16"/>
              </w:rPr>
              <w:t>Fallo de webhook no destruye cursor/historial.</w:t>
            </w:r>
          </w:p>
        </w:tc>
      </w:tr>
      <w:tr>
        <w:tc>
          <w:tcPr>
            <w:tcW w:type="dxa" w:w="5040"/>
            <w:vAlign w:val="center"/>
          </w:tcPr>
          <w:p>
            <w:r>
              <w:rPr>
                <w:sz w:val="16"/>
              </w:rPr>
              <w:t>Observabilidad</w:t>
            </w:r>
          </w:p>
        </w:tc>
        <w:tc>
          <w:tcPr>
            <w:tcW w:type="dxa" w:w="5040"/>
            <w:vAlign w:val="center"/>
          </w:tcPr>
          <w:p>
            <w:r>
              <w:rPr>
                <w:sz w:val="16"/>
              </w:rPr>
              <w:t>Errores diagnosticables sin datos sensibles.</w:t>
            </w:r>
          </w:p>
        </w:tc>
      </w:tr>
      <w:tr>
        <w:tc>
          <w:tcPr>
            <w:tcW w:type="dxa" w:w="5040"/>
            <w:vAlign w:val="center"/>
          </w:tcPr>
          <w:p>
            <w:r>
              <w:rPr>
                <w:sz w:val="16"/>
              </w:rPr>
              <w:t>UX</w:t>
            </w:r>
          </w:p>
        </w:tc>
        <w:tc>
          <w:tcPr>
            <w:tcW w:type="dxa" w:w="5040"/>
            <w:vAlign w:val="center"/>
          </w:tcPr>
          <w:p>
            <w:r>
              <w:rPr>
                <w:sz w:val="16"/>
              </w:rPr>
              <w:t>Usuario entiende qué conecta y qué procesa.</w:t>
            </w:r>
          </w:p>
        </w:tc>
      </w:tr>
      <w:tr>
        <w:tc>
          <w:tcPr>
            <w:tcW w:type="dxa" w:w="5040"/>
            <w:vAlign w:val="center"/>
          </w:tcPr>
          <w:p>
            <w:r>
              <w:rPr>
                <w:sz w:val="16"/>
              </w:rPr>
              <w:t>Corrección</w:t>
            </w:r>
          </w:p>
        </w:tc>
        <w:tc>
          <w:tcPr>
            <w:tcW w:type="dxa" w:w="5040"/>
            <w:vAlign w:val="center"/>
          </w:tcPr>
          <w:p>
            <w:r>
              <w:rPr>
                <w:sz w:val="16"/>
              </w:rPr>
              <w:t>Usuario puede corregir categoría/comercio/transacción.</w:t>
            </w:r>
          </w:p>
        </w:tc>
      </w:tr>
      <w:tr>
        <w:tc>
          <w:tcPr>
            <w:tcW w:type="dxa" w:w="5040"/>
            <w:vAlign w:val="center"/>
          </w:tcPr>
          <w:p>
            <w:r>
              <w:rPr>
                <w:sz w:val="16"/>
              </w:rPr>
              <w:t>Escalabilidad</w:t>
            </w:r>
          </w:p>
        </w:tc>
        <w:tc>
          <w:tcPr>
            <w:tcW w:type="dxa" w:w="5040"/>
            <w:vAlign w:val="center"/>
          </w:tcPr>
          <w:p>
            <w:r>
              <w:rPr>
                <w:sz w:val="16"/>
              </w:rPr>
              <w:t>Nuevo proveedor no obliga a rediseñar Transaction.</w:t>
            </w:r>
          </w:p>
        </w:tc>
      </w:tr>
    </w:tbl>
    <w:p/>
    <w:p>
      <w:pPr>
        <w:pStyle w:val="Heading1"/>
      </w:pPr>
      <w:r>
        <w:t>15. Escenarios de prueba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Escenario</w:t>
            </w:r>
          </w:p>
        </w:tc>
        <w:tc>
          <w:tcPr>
            <w:tcW w:type="dxa" w:w="3360"/>
            <w:shd w:fill="D9EAF7"/>
          </w:tcPr>
          <w:p>
            <w:r>
              <w:rPr>
                <w:b/>
                <w:sz w:val="16"/>
              </w:rPr>
              <w:t>Situación</w:t>
            </w:r>
          </w:p>
        </w:tc>
        <w:tc>
          <w:tcPr>
            <w:tcW w:type="dxa" w:w="3360"/>
            <w:shd w:fill="D9EAF7"/>
          </w:tcPr>
          <w:p>
            <w:r>
              <w:rPr>
                <w:b/>
                <w:sz w:val="16"/>
              </w:rPr>
              <w:t>Resultado</w:t>
            </w:r>
          </w:p>
        </w:tc>
      </w:tr>
      <w:tr>
        <w:tc>
          <w:tcPr>
            <w:tcW w:type="dxa" w:w="3360"/>
            <w:vAlign w:val="center"/>
          </w:tcPr>
          <w:p>
            <w:r>
              <w:rPr>
                <w:sz w:val="16"/>
              </w:rPr>
              <w:t>Android + banco + Gmail</w:t>
            </w:r>
          </w:p>
        </w:tc>
        <w:tc>
          <w:tcPr>
            <w:tcW w:type="dxa" w:w="3360"/>
            <w:vAlign w:val="center"/>
          </w:tcPr>
          <w:p>
            <w:r>
              <w:rPr>
                <w:sz w:val="16"/>
              </w:rPr>
              <w:t>Una compra aparece en dos fuentes.</w:t>
            </w:r>
          </w:p>
        </w:tc>
        <w:tc>
          <w:tcPr>
            <w:tcW w:type="dxa" w:w="3360"/>
            <w:vAlign w:val="center"/>
          </w:tcPr>
          <w:p>
            <w:r>
              <w:rPr>
                <w:sz w:val="16"/>
              </w:rPr>
              <w:t>Una Transaction + dos TransactionSource.</w:t>
            </w:r>
          </w:p>
        </w:tc>
      </w:tr>
      <w:tr>
        <w:tc>
          <w:tcPr>
            <w:tcW w:type="dxa" w:w="3360"/>
            <w:vAlign w:val="center"/>
          </w:tcPr>
          <w:p>
            <w:r>
              <w:rPr>
                <w:sz w:val="16"/>
              </w:rPr>
              <w:t>Wallet + banco</w:t>
            </w:r>
          </w:p>
        </w:tc>
        <w:tc>
          <w:tcPr>
            <w:tcW w:type="dxa" w:w="3360"/>
            <w:vAlign w:val="center"/>
          </w:tcPr>
          <w:p>
            <w:r>
              <w:rPr>
                <w:sz w:val="16"/>
              </w:rPr>
              <w:t>Dos notificaciones para el mismo movimiento.</w:t>
            </w:r>
          </w:p>
        </w:tc>
        <w:tc>
          <w:tcPr>
            <w:tcW w:type="dxa" w:w="3360"/>
            <w:vAlign w:val="center"/>
          </w:tcPr>
          <w:p>
            <w:r>
              <w:rPr>
                <w:sz w:val="16"/>
              </w:rPr>
              <w:t>Una Transaction, evidencia doble.</w:t>
            </w:r>
          </w:p>
        </w:tc>
      </w:tr>
      <w:tr>
        <w:tc>
          <w:tcPr>
            <w:tcW w:type="dxa" w:w="3360"/>
            <w:vAlign w:val="center"/>
          </w:tcPr>
          <w:p>
            <w:r>
              <w:rPr>
                <w:sz w:val="16"/>
              </w:rPr>
              <w:t>Outlook</w:t>
            </w:r>
          </w:p>
        </w:tc>
        <w:tc>
          <w:tcPr>
            <w:tcW w:type="dxa" w:w="3360"/>
            <w:vAlign w:val="center"/>
          </w:tcPr>
          <w:p>
            <w:r>
              <w:rPr>
                <w:sz w:val="16"/>
              </w:rPr>
              <w:t>Usuario no usa Gmail.</w:t>
            </w:r>
          </w:p>
        </w:tc>
        <w:tc>
          <w:tcPr>
            <w:tcW w:type="dxa" w:w="3360"/>
            <w:vAlign w:val="center"/>
          </w:tcPr>
          <w:p>
            <w:r>
              <w:rPr>
                <w:sz w:val="16"/>
              </w:rPr>
              <w:t>Mismo pipeline con otro provider.</w:t>
            </w:r>
          </w:p>
        </w:tc>
      </w:tr>
      <w:tr>
        <w:tc>
          <w:tcPr>
            <w:tcW w:type="dxa" w:w="3360"/>
            <w:vAlign w:val="center"/>
          </w:tcPr>
          <w:p>
            <w:r>
              <w:rPr>
                <w:sz w:val="16"/>
              </w:rPr>
              <w:t>Correo ambiguo</w:t>
            </w:r>
          </w:p>
        </w:tc>
        <w:tc>
          <w:tcPr>
            <w:tcW w:type="dxa" w:w="3360"/>
            <w:vAlign w:val="center"/>
          </w:tcPr>
          <w:p>
            <w:r>
              <w:rPr>
                <w:sz w:val="16"/>
              </w:rPr>
              <w:t>Comercio no claro.</w:t>
            </w:r>
          </w:p>
        </w:tc>
        <w:tc>
          <w:tcPr>
            <w:tcW w:type="dxa" w:w="3360"/>
            <w:vAlign w:val="center"/>
          </w:tcPr>
          <w:p>
            <w:r>
              <w:rPr>
                <w:sz w:val="16"/>
              </w:rPr>
              <w:t>Review Queue.</w:t>
            </w:r>
          </w:p>
        </w:tc>
      </w:tr>
      <w:tr>
        <w:tc>
          <w:tcPr>
            <w:tcW w:type="dxa" w:w="3360"/>
            <w:vAlign w:val="center"/>
          </w:tcPr>
          <w:p>
            <w:r>
              <w:rPr>
                <w:sz w:val="16"/>
              </w:rPr>
              <w:t>Webhook duplicado</w:t>
            </w:r>
          </w:p>
        </w:tc>
        <w:tc>
          <w:tcPr>
            <w:tcW w:type="dxa" w:w="3360"/>
            <w:vAlign w:val="center"/>
          </w:tcPr>
          <w:p>
            <w:r>
              <w:rPr>
                <w:sz w:val="16"/>
              </w:rPr>
              <w:t>Proveedor reenvía evento.</w:t>
            </w:r>
          </w:p>
        </w:tc>
        <w:tc>
          <w:tcPr>
            <w:tcW w:type="dxa" w:w="3360"/>
            <w:vAlign w:val="center"/>
          </w:tcPr>
          <w:p>
            <w:r>
              <w:rPr>
                <w:sz w:val="16"/>
              </w:rPr>
              <w:t>No se duplica.</w:t>
            </w:r>
          </w:p>
        </w:tc>
      </w:tr>
      <w:tr>
        <w:tc>
          <w:tcPr>
            <w:tcW w:type="dxa" w:w="3360"/>
            <w:vAlign w:val="center"/>
          </w:tcPr>
          <w:p>
            <w:r>
              <w:rPr>
                <w:sz w:val="16"/>
              </w:rPr>
              <w:t>Token inválido</w:t>
            </w:r>
          </w:p>
        </w:tc>
        <w:tc>
          <w:tcPr>
            <w:tcW w:type="dxa" w:w="3360"/>
            <w:vAlign w:val="center"/>
          </w:tcPr>
          <w:p>
            <w:r>
              <w:rPr>
                <w:sz w:val="16"/>
              </w:rPr>
              <w:t>OAuth expira/revoca.</w:t>
            </w:r>
          </w:p>
        </w:tc>
        <w:tc>
          <w:tcPr>
            <w:tcW w:type="dxa" w:w="3360"/>
            <w:vAlign w:val="center"/>
          </w:tcPr>
          <w:p>
            <w:r>
              <w:rPr>
                <w:sz w:val="16"/>
              </w:rPr>
              <w:t>Connection marcada para reautorización.</w:t>
            </w:r>
          </w:p>
        </w:tc>
      </w:tr>
      <w:tr>
        <w:tc>
          <w:tcPr>
            <w:tcW w:type="dxa" w:w="3360"/>
            <w:vAlign w:val="center"/>
          </w:tcPr>
          <w:p>
            <w:r>
              <w:rPr>
                <w:sz w:val="16"/>
              </w:rPr>
              <w:t>Desconexión</w:t>
            </w:r>
          </w:p>
        </w:tc>
        <w:tc>
          <w:tcPr>
            <w:tcW w:type="dxa" w:w="3360"/>
            <w:vAlign w:val="center"/>
          </w:tcPr>
          <w:p>
            <w:r>
              <w:rPr>
                <w:sz w:val="16"/>
              </w:rPr>
              <w:t>Usuario revoca fuente.</w:t>
            </w:r>
          </w:p>
        </w:tc>
        <w:tc>
          <w:tcPr>
            <w:tcW w:type="dxa" w:w="3360"/>
            <w:vAlign w:val="center"/>
          </w:tcPr>
          <w:p>
            <w:r>
              <w:rPr>
                <w:sz w:val="16"/>
              </w:rPr>
              <w:t>No llegan eventos nuevos; retención según política.</w:t>
            </w:r>
          </w:p>
        </w:tc>
      </w:tr>
      <w:tr>
        <w:tc>
          <w:tcPr>
            <w:tcW w:type="dxa" w:w="3360"/>
            <w:vAlign w:val="center"/>
          </w:tcPr>
          <w:p>
            <w:r>
              <w:rPr>
                <w:sz w:val="16"/>
              </w:rPr>
              <w:t>Banco sin API</w:t>
            </w:r>
          </w:p>
        </w:tc>
        <w:tc>
          <w:tcPr>
            <w:tcW w:type="dxa" w:w="3360"/>
            <w:vAlign w:val="center"/>
          </w:tcPr>
          <w:p>
            <w:r>
              <w:rPr>
                <w:sz w:val="16"/>
              </w:rPr>
              <w:t>Institución no cubierta.</w:t>
            </w:r>
          </w:p>
        </w:tc>
        <w:tc>
          <w:tcPr>
            <w:tcW w:type="dxa" w:w="3360"/>
            <w:vAlign w:val="center"/>
          </w:tcPr>
          <w:p>
            <w:r>
              <w:rPr>
                <w:sz w:val="16"/>
              </w:rPr>
              <w:t>CSV/manual como fallback.</w:t>
            </w:r>
          </w:p>
        </w:tc>
      </w:tr>
    </w:tbl>
    <w:p/>
    <w:p>
      <w:pPr>
        <w:pStyle w:val="Heading1"/>
      </w:pPr>
      <w:r>
        <w:t>16. Instrucciones para Antigravity</w:t>
      </w:r>
    </w:p>
    <w:p>
      <w:pPr>
        <w:spacing w:after="80"/>
      </w:pPr>
      <w:r>
        <w:rPr>
          <w:rFonts w:ascii="Consolas" w:hAnsi="Consolas"/>
          <w:sz w:val="16"/>
        </w:rPr>
        <w:t>REGLAS DE IMPLEMENTACIÓN DE LUMINAAPP</w:t>
        <w:br/>
        <w:br/>
        <w:t>1. Inspeccionar el repositorio antes de modificarlo.</w:t>
        <w:br/>
        <w:t>2. Implementar una fase pequeña, no varias a la vez.</w:t>
        <w:br/>
        <w:t>3. No rehacer arquitectura existente sin ADR.</w:t>
        <w:br/>
        <w:t>4. PostgreSQL/Prisma será la fuente de verdad financiera.</w:t>
        <w:br/>
        <w:t>5. No confiar en userId enviado por frontend.</w:t>
        <w:br/>
        <w:t>6. No guardar contraseñas bancarias.</w:t>
        <w:br/>
        <w:t>7. Todo proveedor entra mediante adapter/conector.</w:t>
        <w:br/>
        <w:t>8. Transaction no debe depender del formato de un proveedor.</w:t>
        <w:br/>
        <w:t>9. Mantener RawEvent + TransactionSource para trazabilidad.</w:t>
        <w:br/>
        <w:t>10. Toda ingestión debe ser idempotente.</w:t>
        <w:br/>
        <w:t>11. Parser/deduplication deben tener tests.</w:t>
        <w:br/>
        <w:t>12. Si un proveedor no está confirmado, hacer SPIKE/POC.</w:t>
        <w:br/>
        <w:t>13. Marcar NEEDS_VALIDATION en lugar de inventar soporte.</w:t>
        <w:br/>
        <w:t>14. Usar IA solo donde reglas no sean suficientes.</w:t>
        <w:br/>
        <w:t>15. Android debe filtrar localmente.</w:t>
        <w:br/>
        <w:t>16. Nunca imprimir secretos o contenido financiero completo en logs.</w:t>
        <w:br/>
        <w:t>17. Ejecutar tests/typecheck/build después de cada cambio relevante.</w:t>
        <w:br/>
        <w:t>18. Reportar archivos cambiados, pruebas, riesgos y siguiente paso.</w:t>
        <w:br/>
        <w:t>19. No cerrar una issue solo porque compila: cumplir Definition of Done.</w:t>
        <w:br/>
        <w:t>20. Si una decisión externa cambió, actualizar este documento/ADR antes de continuar.</w:t>
      </w:r>
    </w:p>
    <w:p>
      <w:pPr>
        <w:pStyle w:val="Heading2"/>
      </w:pPr>
      <w:r>
        <w:t>16.1 Flujo por tarea</w:t>
      </w:r>
    </w:p>
    <w:p>
      <w:pPr>
        <w:pStyle w:val="ListNumber"/>
        <w:spacing w:after="40"/>
      </w:pPr>
      <w:r>
        <w:t>Leer issue y localizar archivos.</w:t>
      </w:r>
    </w:p>
    <w:p>
      <w:pPr>
        <w:pStyle w:val="ListNumber"/>
        <w:spacing w:after="40"/>
      </w:pPr>
      <w:r>
        <w:t>Explicar cambio mínimo.</w:t>
      </w:r>
    </w:p>
    <w:p>
      <w:pPr>
        <w:pStyle w:val="ListNumber"/>
        <w:spacing w:after="40"/>
      </w:pPr>
      <w:r>
        <w:t>Implementar.</w:t>
      </w:r>
    </w:p>
    <w:p>
      <w:pPr>
        <w:pStyle w:val="ListNumber"/>
        <w:spacing w:after="40"/>
      </w:pPr>
      <w:r>
        <w:t>Agregar/actualizar tests.</w:t>
      </w:r>
    </w:p>
    <w:p>
      <w:pPr>
        <w:pStyle w:val="ListNumber"/>
        <w:spacing w:after="40"/>
      </w:pPr>
      <w:r>
        <w:t>Ejecutar lint/typecheck/tests/build.</w:t>
      </w:r>
    </w:p>
    <w:p>
      <w:pPr>
        <w:pStyle w:val="ListNumber"/>
        <w:spacing w:after="40"/>
      </w:pPr>
      <w:r>
        <w:t>Revisar seguridad.</w:t>
      </w:r>
    </w:p>
    <w:p>
      <w:pPr>
        <w:pStyle w:val="ListNumber"/>
        <w:spacing w:after="40"/>
      </w:pPr>
      <w:r>
        <w:t>Documentar env/migraciones.</w:t>
      </w:r>
    </w:p>
    <w:p>
      <w:pPr>
        <w:pStyle w:val="ListNumber"/>
        <w:spacing w:after="40"/>
      </w:pPr>
      <w:r>
        <w:t>Indicar pendientes y siguiente issue.</w:t>
      </w:r>
    </w:p>
    <w:p>
      <w:pPr>
        <w:pStyle w:val="Heading1"/>
      </w:pPr>
      <w:r>
        <w:t>17. ADRs recomendados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t>ADR</w:t>
            </w:r>
          </w:p>
        </w:tc>
        <w:tc>
          <w:tcPr>
            <w:tcW w:type="dxa" w:w="5040"/>
            <w:shd w:fill="D9EAF7"/>
          </w:tcPr>
          <w:p>
            <w:r>
              <w:rPr>
                <w:b/>
                <w:sz w:val="16"/>
              </w:rPr>
              <w:t>Decisión</w:t>
            </w:r>
          </w:p>
        </w:tc>
      </w:tr>
      <w:tr>
        <w:tc>
          <w:tcPr>
            <w:tcW w:type="dxa" w:w="5040"/>
            <w:vAlign w:val="center"/>
          </w:tcPr>
          <w:p>
            <w:r>
              <w:rPr>
                <w:sz w:val="16"/>
              </w:rPr>
              <w:t>ADR-001</w:t>
            </w:r>
          </w:p>
        </w:tc>
        <w:tc>
          <w:tcPr>
            <w:tcW w:type="dxa" w:w="5040"/>
            <w:vAlign w:val="center"/>
          </w:tcPr>
          <w:p>
            <w:r>
              <w:rPr>
                <w:sz w:val="16"/>
              </w:rPr>
              <w:t>Transaction Ingestion Layer como dominio central.</w:t>
            </w:r>
          </w:p>
        </w:tc>
      </w:tr>
      <w:tr>
        <w:tc>
          <w:tcPr>
            <w:tcW w:type="dxa" w:w="5040"/>
            <w:vAlign w:val="center"/>
          </w:tcPr>
          <w:p>
            <w:r>
              <w:rPr>
                <w:sz w:val="16"/>
              </w:rPr>
              <w:t>ADR-002</w:t>
            </w:r>
          </w:p>
        </w:tc>
        <w:tc>
          <w:tcPr>
            <w:tcW w:type="dxa" w:w="5040"/>
            <w:vAlign w:val="center"/>
          </w:tcPr>
          <w:p>
            <w:r>
              <w:rPr>
                <w:sz w:val="16"/>
              </w:rPr>
              <w:t>PostgreSQL como fuente de verdad.</w:t>
            </w:r>
          </w:p>
        </w:tc>
      </w:tr>
      <w:tr>
        <w:tc>
          <w:tcPr>
            <w:tcW w:type="dxa" w:w="5040"/>
            <w:vAlign w:val="center"/>
          </w:tcPr>
          <w:p>
            <w:r>
              <w:rPr>
                <w:sz w:val="16"/>
              </w:rPr>
              <w:t>ADR-003</w:t>
            </w:r>
          </w:p>
        </w:tc>
        <w:tc>
          <w:tcPr>
            <w:tcW w:type="dxa" w:w="5040"/>
            <w:vAlign w:val="center"/>
          </w:tcPr>
          <w:p>
            <w:r>
              <w:rPr>
                <w:sz w:val="16"/>
              </w:rPr>
              <w:t>TransactionSource para provenance/deduplicación.</w:t>
            </w:r>
          </w:p>
        </w:tc>
      </w:tr>
      <w:tr>
        <w:tc>
          <w:tcPr>
            <w:tcW w:type="dxa" w:w="5040"/>
            <w:vAlign w:val="center"/>
          </w:tcPr>
          <w:p>
            <w:r>
              <w:rPr>
                <w:sz w:val="16"/>
              </w:rPr>
              <w:t>ADR-004</w:t>
            </w:r>
          </w:p>
        </w:tc>
        <w:tc>
          <w:tcPr>
            <w:tcW w:type="dxa" w:w="5040"/>
            <w:vAlign w:val="center"/>
          </w:tcPr>
          <w:p>
            <w:r>
              <w:rPr>
                <w:sz w:val="16"/>
              </w:rPr>
              <w:t>n8n no es core ni requisito de usuario.</w:t>
            </w:r>
          </w:p>
        </w:tc>
      </w:tr>
      <w:tr>
        <w:tc>
          <w:tcPr>
            <w:tcW w:type="dxa" w:w="5040"/>
            <w:vAlign w:val="center"/>
          </w:tcPr>
          <w:p>
            <w:r>
              <w:rPr>
                <w:sz w:val="16"/>
              </w:rPr>
              <w:t>ADR-005</w:t>
            </w:r>
          </w:p>
        </w:tc>
        <w:tc>
          <w:tcPr>
            <w:tcW w:type="dxa" w:w="5040"/>
            <w:vAlign w:val="center"/>
          </w:tcPr>
          <w:p>
            <w:r>
              <w:rPr>
                <w:sz w:val="16"/>
              </w:rPr>
              <w:t>Gmail/Outlook como adapters independientes.</w:t>
            </w:r>
          </w:p>
        </w:tc>
      </w:tr>
      <w:tr>
        <w:tc>
          <w:tcPr>
            <w:tcW w:type="dxa" w:w="5040"/>
            <w:vAlign w:val="center"/>
          </w:tcPr>
          <w:p>
            <w:r>
              <w:rPr>
                <w:sz w:val="16"/>
              </w:rPr>
              <w:t>ADR-006</w:t>
            </w:r>
          </w:p>
        </w:tc>
        <w:tc>
          <w:tcPr>
            <w:tcW w:type="dxa" w:w="5040"/>
            <w:vAlign w:val="center"/>
          </w:tcPr>
          <w:p>
            <w:r>
              <w:rPr>
                <w:sz w:val="16"/>
              </w:rPr>
              <w:t>Android NotificationListenerService como fuente opcional.</w:t>
            </w:r>
          </w:p>
        </w:tc>
      </w:tr>
      <w:tr>
        <w:tc>
          <w:tcPr>
            <w:tcW w:type="dxa" w:w="5040"/>
            <w:vAlign w:val="center"/>
          </w:tcPr>
          <w:p>
            <w:r>
              <w:rPr>
                <w:sz w:val="16"/>
              </w:rPr>
              <w:t>ADR-007</w:t>
            </w:r>
          </w:p>
        </w:tc>
        <w:tc>
          <w:tcPr>
            <w:tcW w:type="dxa" w:w="5040"/>
            <w:vAlign w:val="center"/>
          </w:tcPr>
          <w:p>
            <w:r>
              <w:rPr>
                <w:sz w:val="16"/>
              </w:rPr>
              <w:t>Google Wallet vía notificaciones, no API bancaria personal.</w:t>
            </w:r>
          </w:p>
        </w:tc>
      </w:tr>
      <w:tr>
        <w:tc>
          <w:tcPr>
            <w:tcW w:type="dxa" w:w="5040"/>
            <w:vAlign w:val="center"/>
          </w:tcPr>
          <w:p>
            <w:r>
              <w:rPr>
                <w:sz w:val="16"/>
              </w:rPr>
              <w:t>ADR-008</w:t>
            </w:r>
          </w:p>
        </w:tc>
        <w:tc>
          <w:tcPr>
            <w:tcW w:type="dxa" w:w="5040"/>
            <w:vAlign w:val="center"/>
          </w:tcPr>
          <w:p>
            <w:r>
              <w:rPr>
                <w:sz w:val="16"/>
              </w:rPr>
              <w:t>IA para casos ambiguos, no cada evento.</w:t>
            </w:r>
          </w:p>
        </w:tc>
      </w:tr>
      <w:tr>
        <w:tc>
          <w:tcPr>
            <w:tcW w:type="dxa" w:w="5040"/>
            <w:vAlign w:val="center"/>
          </w:tcPr>
          <w:p>
            <w:r>
              <w:rPr>
                <w:sz w:val="16"/>
              </w:rPr>
              <w:t>ADR-009</w:t>
            </w:r>
          </w:p>
        </w:tc>
        <w:tc>
          <w:tcPr>
            <w:tcW w:type="dxa" w:w="5040"/>
            <w:vAlign w:val="center"/>
          </w:tcPr>
          <w:p>
            <w:r>
              <w:rPr>
                <w:sz w:val="16"/>
              </w:rPr>
              <w:t>Banco/agregador elegido después de discovery.</w:t>
            </w:r>
          </w:p>
        </w:tc>
      </w:tr>
      <w:tr>
        <w:tc>
          <w:tcPr>
            <w:tcW w:type="dxa" w:w="5040"/>
            <w:vAlign w:val="center"/>
          </w:tcPr>
          <w:p>
            <w:r>
              <w:rPr>
                <w:sz w:val="16"/>
              </w:rPr>
              <w:t>ADR-010</w:t>
            </w:r>
          </w:p>
        </w:tc>
        <w:tc>
          <w:tcPr>
            <w:tcW w:type="dxa" w:w="5040"/>
            <w:vAlign w:val="center"/>
          </w:tcPr>
          <w:p>
            <w:r>
              <w:rPr>
                <w:sz w:val="16"/>
              </w:rPr>
              <w:t>Privacy by design.</w:t>
            </w:r>
          </w:p>
        </w:tc>
      </w:tr>
    </w:tbl>
    <w:p/>
    <w:p>
      <w:pPr>
        <w:pStyle w:val="Heading1"/>
      </w:pPr>
      <w:r>
        <w:t>18. Métricas para beta</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t>Métrica</w:t>
            </w:r>
          </w:p>
        </w:tc>
        <w:tc>
          <w:tcPr>
            <w:tcW w:type="dxa" w:w="5040"/>
            <w:shd w:fill="D9EAF7"/>
          </w:tcPr>
          <w:p>
            <w:r>
              <w:rPr>
                <w:b/>
                <w:sz w:val="16"/>
              </w:rPr>
              <w:t>Objetivo</w:t>
            </w:r>
          </w:p>
        </w:tc>
      </w:tr>
      <w:tr>
        <w:tc>
          <w:tcPr>
            <w:tcW w:type="dxa" w:w="5040"/>
            <w:vAlign w:val="center"/>
          </w:tcPr>
          <w:p>
            <w:r>
              <w:rPr>
                <w:sz w:val="16"/>
              </w:rPr>
              <w:t>Auto-capture rate</w:t>
            </w:r>
          </w:p>
        </w:tc>
        <w:tc>
          <w:tcPr>
            <w:tcW w:type="dxa" w:w="5040"/>
            <w:vAlign w:val="center"/>
          </w:tcPr>
          <w:p>
            <w:r>
              <w:rPr>
                <w:sz w:val="16"/>
              </w:rPr>
              <w:t>Medir cuánto trabajo manual elimina Lumina.</w:t>
            </w:r>
          </w:p>
        </w:tc>
      </w:tr>
      <w:tr>
        <w:tc>
          <w:tcPr>
            <w:tcW w:type="dxa" w:w="5040"/>
            <w:vAlign w:val="center"/>
          </w:tcPr>
          <w:p>
            <w:r>
              <w:rPr>
                <w:sz w:val="16"/>
              </w:rPr>
              <w:t>Parser success rate</w:t>
            </w:r>
          </w:p>
        </w:tc>
        <w:tc>
          <w:tcPr>
            <w:tcW w:type="dxa" w:w="5040"/>
            <w:vAlign w:val="center"/>
          </w:tcPr>
          <w:p>
            <w:r>
              <w:rPr>
                <w:sz w:val="16"/>
              </w:rPr>
              <w:t>Calidad de extracción.</w:t>
            </w:r>
          </w:p>
        </w:tc>
      </w:tr>
      <w:tr>
        <w:tc>
          <w:tcPr>
            <w:tcW w:type="dxa" w:w="5040"/>
            <w:vAlign w:val="center"/>
          </w:tcPr>
          <w:p>
            <w:r>
              <w:rPr>
                <w:sz w:val="16"/>
              </w:rPr>
              <w:t>Duplicate rate</w:t>
            </w:r>
          </w:p>
        </w:tc>
        <w:tc>
          <w:tcPr>
            <w:tcW w:type="dxa" w:w="5040"/>
            <w:vAlign w:val="center"/>
          </w:tcPr>
          <w:p>
            <w:r>
              <w:rPr>
                <w:sz w:val="16"/>
              </w:rPr>
              <w:t>Calidad de consolidación.</w:t>
            </w:r>
          </w:p>
        </w:tc>
      </w:tr>
      <w:tr>
        <w:tc>
          <w:tcPr>
            <w:tcW w:type="dxa" w:w="5040"/>
            <w:vAlign w:val="center"/>
          </w:tcPr>
          <w:p>
            <w:r>
              <w:rPr>
                <w:sz w:val="16"/>
              </w:rPr>
              <w:t>Review rate</w:t>
            </w:r>
          </w:p>
        </w:tc>
        <w:tc>
          <w:tcPr>
            <w:tcW w:type="dxa" w:w="5040"/>
            <w:vAlign w:val="center"/>
          </w:tcPr>
          <w:p>
            <w:r>
              <w:rPr>
                <w:sz w:val="16"/>
              </w:rPr>
              <w:t>Trabajo manual restante.</w:t>
            </w:r>
          </w:p>
        </w:tc>
      </w:tr>
      <w:tr>
        <w:tc>
          <w:tcPr>
            <w:tcW w:type="dxa" w:w="5040"/>
            <w:vAlign w:val="center"/>
          </w:tcPr>
          <w:p>
            <w:r>
              <w:rPr>
                <w:sz w:val="16"/>
              </w:rPr>
              <w:t>False positive rate</w:t>
            </w:r>
          </w:p>
        </w:tc>
        <w:tc>
          <w:tcPr>
            <w:tcW w:type="dxa" w:w="5040"/>
            <w:vAlign w:val="center"/>
          </w:tcPr>
          <w:p>
            <w:r>
              <w:rPr>
                <w:sz w:val="16"/>
              </w:rPr>
              <w:t>Eventos no financieros detectados.</w:t>
            </w:r>
          </w:p>
        </w:tc>
      </w:tr>
      <w:tr>
        <w:tc>
          <w:tcPr>
            <w:tcW w:type="dxa" w:w="5040"/>
            <w:vAlign w:val="center"/>
          </w:tcPr>
          <w:p>
            <w:r>
              <w:rPr>
                <w:sz w:val="16"/>
              </w:rPr>
              <w:t>Source reliability</w:t>
            </w:r>
          </w:p>
        </w:tc>
        <w:tc>
          <w:tcPr>
            <w:tcW w:type="dxa" w:w="5040"/>
            <w:vAlign w:val="center"/>
          </w:tcPr>
          <w:p>
            <w:r>
              <w:rPr>
                <w:sz w:val="16"/>
              </w:rPr>
              <w:t>Salud de cada proveedor.</w:t>
            </w:r>
          </w:p>
        </w:tc>
      </w:tr>
      <w:tr>
        <w:tc>
          <w:tcPr>
            <w:tcW w:type="dxa" w:w="5040"/>
            <w:vAlign w:val="center"/>
          </w:tcPr>
          <w:p>
            <w:r>
              <w:rPr>
                <w:sz w:val="16"/>
              </w:rPr>
              <w:t>Sync latency</w:t>
            </w:r>
          </w:p>
        </w:tc>
        <w:tc>
          <w:tcPr>
            <w:tcW w:type="dxa" w:w="5040"/>
            <w:vAlign w:val="center"/>
          </w:tcPr>
          <w:p>
            <w:r>
              <w:rPr>
                <w:sz w:val="16"/>
              </w:rPr>
              <w:t>Tiempo evento -&gt; Lumina.</w:t>
            </w:r>
          </w:p>
        </w:tc>
      </w:tr>
      <w:tr>
        <w:tc>
          <w:tcPr>
            <w:tcW w:type="dxa" w:w="5040"/>
            <w:vAlign w:val="center"/>
          </w:tcPr>
          <w:p>
            <w:r>
              <w:rPr>
                <w:sz w:val="16"/>
              </w:rPr>
              <w:t>Connection failure rate</w:t>
            </w:r>
          </w:p>
        </w:tc>
        <w:tc>
          <w:tcPr>
            <w:tcW w:type="dxa" w:w="5040"/>
            <w:vAlign w:val="center"/>
          </w:tcPr>
          <w:p>
            <w:r>
              <w:rPr>
                <w:sz w:val="16"/>
              </w:rPr>
              <w:t>Salud OAuth/conectores.</w:t>
            </w:r>
          </w:p>
        </w:tc>
      </w:tr>
      <w:tr>
        <w:tc>
          <w:tcPr>
            <w:tcW w:type="dxa" w:w="5040"/>
            <w:vAlign w:val="center"/>
          </w:tcPr>
          <w:p>
            <w:r>
              <w:rPr>
                <w:sz w:val="16"/>
              </w:rPr>
              <w:t>User correction rate</w:t>
            </w:r>
          </w:p>
        </w:tc>
        <w:tc>
          <w:tcPr>
            <w:tcW w:type="dxa" w:w="5040"/>
            <w:vAlign w:val="center"/>
          </w:tcPr>
          <w:p>
            <w:r>
              <w:rPr>
                <w:sz w:val="16"/>
              </w:rPr>
              <w:t>Calidad de merchant/categoría.</w:t>
            </w:r>
          </w:p>
        </w:tc>
      </w:tr>
    </w:tbl>
    <w:p/>
    <w:p>
      <w:pPr>
        <w:pStyle w:val="Heading1"/>
      </w:pPr>
      <w:r>
        <w:t>19. Riesgos y mitigación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Riesgo</w:t>
            </w:r>
          </w:p>
        </w:tc>
        <w:tc>
          <w:tcPr>
            <w:tcW w:type="dxa" w:w="3360"/>
            <w:shd w:fill="D9EAF7"/>
          </w:tcPr>
          <w:p>
            <w:r>
              <w:rPr>
                <w:b/>
                <w:sz w:val="16"/>
              </w:rPr>
              <w:t>Impacto</w:t>
            </w:r>
          </w:p>
        </w:tc>
        <w:tc>
          <w:tcPr>
            <w:tcW w:type="dxa" w:w="3360"/>
            <w:shd w:fill="D9EAF7"/>
          </w:tcPr>
          <w:p>
            <w:r>
              <w:rPr>
                <w:b/>
                <w:sz w:val="16"/>
              </w:rPr>
              <w:t>Mitigación</w:t>
            </w:r>
          </w:p>
        </w:tc>
      </w:tr>
      <w:tr>
        <w:tc>
          <w:tcPr>
            <w:tcW w:type="dxa" w:w="3360"/>
            <w:vAlign w:val="center"/>
          </w:tcPr>
          <w:p>
            <w:r>
              <w:rPr>
                <w:sz w:val="16"/>
              </w:rPr>
              <w:t>Banco sin API personal</w:t>
            </w:r>
          </w:p>
        </w:tc>
        <w:tc>
          <w:tcPr>
            <w:tcW w:type="dxa" w:w="3360"/>
            <w:vAlign w:val="center"/>
          </w:tcPr>
          <w:p>
            <w:r>
              <w:rPr>
                <w:sz w:val="16"/>
              </w:rPr>
              <w:t>Alto</w:t>
            </w:r>
          </w:p>
        </w:tc>
        <w:tc>
          <w:tcPr>
            <w:tcW w:type="dxa" w:w="3360"/>
            <w:vAlign w:val="center"/>
          </w:tcPr>
          <w:p>
            <w:r>
              <w:rPr>
                <w:sz w:val="16"/>
              </w:rPr>
              <w:t>Android/email/import + agregador.</w:t>
            </w:r>
          </w:p>
        </w:tc>
      </w:tr>
      <w:tr>
        <w:tc>
          <w:tcPr>
            <w:tcW w:type="dxa" w:w="3360"/>
            <w:vAlign w:val="center"/>
          </w:tcPr>
          <w:p>
            <w:r>
              <w:rPr>
                <w:sz w:val="16"/>
              </w:rPr>
              <w:t>Cambio de API</w:t>
            </w:r>
          </w:p>
        </w:tc>
        <w:tc>
          <w:tcPr>
            <w:tcW w:type="dxa" w:w="3360"/>
            <w:vAlign w:val="center"/>
          </w:tcPr>
          <w:p>
            <w:r>
              <w:rPr>
                <w:sz w:val="16"/>
              </w:rPr>
              <w:t>Alto</w:t>
            </w:r>
          </w:p>
        </w:tc>
        <w:tc>
          <w:tcPr>
            <w:tcW w:type="dxa" w:w="3360"/>
            <w:vAlign w:val="center"/>
          </w:tcPr>
          <w:p>
            <w:r>
              <w:rPr>
                <w:sz w:val="16"/>
              </w:rPr>
              <w:t>Adapters + tests contractuales.</w:t>
            </w:r>
          </w:p>
        </w:tc>
      </w:tr>
      <w:tr>
        <w:tc>
          <w:tcPr>
            <w:tcW w:type="dxa" w:w="3360"/>
            <w:vAlign w:val="center"/>
          </w:tcPr>
          <w:p>
            <w:r>
              <w:rPr>
                <w:sz w:val="16"/>
              </w:rPr>
              <w:t>OAuth verification</w:t>
            </w:r>
          </w:p>
        </w:tc>
        <w:tc>
          <w:tcPr>
            <w:tcW w:type="dxa" w:w="3360"/>
            <w:vAlign w:val="center"/>
          </w:tcPr>
          <w:p>
            <w:r>
              <w:rPr>
                <w:sz w:val="16"/>
              </w:rPr>
              <w:t>Alto</w:t>
            </w:r>
          </w:p>
        </w:tc>
        <w:tc>
          <w:tcPr>
            <w:tcW w:type="dxa" w:w="3360"/>
            <w:vAlign w:val="center"/>
          </w:tcPr>
          <w:p>
            <w:r>
              <w:rPr>
                <w:sz w:val="16"/>
              </w:rPr>
              <w:t>Scopes mínimos + preparación temprana.</w:t>
            </w:r>
          </w:p>
        </w:tc>
      </w:tr>
      <w:tr>
        <w:tc>
          <w:tcPr>
            <w:tcW w:type="dxa" w:w="3360"/>
            <w:vAlign w:val="center"/>
          </w:tcPr>
          <w:p>
            <w:r>
              <w:rPr>
                <w:sz w:val="16"/>
              </w:rPr>
              <w:t>Duplicados</w:t>
            </w:r>
          </w:p>
        </w:tc>
        <w:tc>
          <w:tcPr>
            <w:tcW w:type="dxa" w:w="3360"/>
            <w:vAlign w:val="center"/>
          </w:tcPr>
          <w:p>
            <w:r>
              <w:rPr>
                <w:sz w:val="16"/>
              </w:rPr>
              <w:t>Alto</w:t>
            </w:r>
          </w:p>
        </w:tc>
        <w:tc>
          <w:tcPr>
            <w:tcW w:type="dxa" w:w="3360"/>
            <w:vAlign w:val="center"/>
          </w:tcPr>
          <w:p>
            <w:r>
              <w:rPr>
                <w:sz w:val="16"/>
              </w:rPr>
              <w:t>TransactionSource + idempotencia.</w:t>
            </w:r>
          </w:p>
        </w:tc>
      </w:tr>
      <w:tr>
        <w:tc>
          <w:tcPr>
            <w:tcW w:type="dxa" w:w="3360"/>
            <w:vAlign w:val="center"/>
          </w:tcPr>
          <w:p>
            <w:r>
              <w:rPr>
                <w:sz w:val="16"/>
              </w:rPr>
              <w:t>Eventos perdidos</w:t>
            </w:r>
          </w:p>
        </w:tc>
        <w:tc>
          <w:tcPr>
            <w:tcW w:type="dxa" w:w="3360"/>
            <w:vAlign w:val="center"/>
          </w:tcPr>
          <w:p>
            <w:r>
              <w:rPr>
                <w:sz w:val="16"/>
              </w:rPr>
              <w:t>Medio/alto</w:t>
            </w:r>
          </w:p>
        </w:tc>
        <w:tc>
          <w:tcPr>
            <w:tcW w:type="dxa" w:w="3360"/>
            <w:vAlign w:val="center"/>
          </w:tcPr>
          <w:p>
            <w:r>
              <w:rPr>
                <w:sz w:val="16"/>
              </w:rPr>
              <w:t>Cursors + resync.</w:t>
            </w:r>
          </w:p>
        </w:tc>
      </w:tr>
      <w:tr>
        <w:tc>
          <w:tcPr>
            <w:tcW w:type="dxa" w:w="3360"/>
            <w:vAlign w:val="center"/>
          </w:tcPr>
          <w:p>
            <w:r>
              <w:rPr>
                <w:sz w:val="16"/>
              </w:rPr>
              <w:t>Datos expuestos</w:t>
            </w:r>
          </w:p>
        </w:tc>
        <w:tc>
          <w:tcPr>
            <w:tcW w:type="dxa" w:w="3360"/>
            <w:vAlign w:val="center"/>
          </w:tcPr>
          <w:p>
            <w:r>
              <w:rPr>
                <w:sz w:val="16"/>
              </w:rPr>
              <w:t>Crítico</w:t>
            </w:r>
          </w:p>
        </w:tc>
        <w:tc>
          <w:tcPr>
            <w:tcW w:type="dxa" w:w="3360"/>
            <w:vAlign w:val="center"/>
          </w:tcPr>
          <w:p>
            <w:r>
              <w:rPr>
                <w:sz w:val="16"/>
              </w:rPr>
              <w:t>Minimización + cifrado + logs seguros.</w:t>
            </w:r>
          </w:p>
        </w:tc>
      </w:tr>
      <w:tr>
        <w:tc>
          <w:tcPr>
            <w:tcW w:type="dxa" w:w="3360"/>
            <w:vAlign w:val="center"/>
          </w:tcPr>
          <w:p>
            <w:r>
              <w:rPr>
                <w:sz w:val="16"/>
              </w:rPr>
              <w:t>Parser incorrecto</w:t>
            </w:r>
          </w:p>
        </w:tc>
        <w:tc>
          <w:tcPr>
            <w:tcW w:type="dxa" w:w="3360"/>
            <w:vAlign w:val="center"/>
          </w:tcPr>
          <w:p>
            <w:r>
              <w:rPr>
                <w:sz w:val="16"/>
              </w:rPr>
              <w:t>Alto</w:t>
            </w:r>
          </w:p>
        </w:tc>
        <w:tc>
          <w:tcPr>
            <w:tcW w:type="dxa" w:w="3360"/>
            <w:vAlign w:val="center"/>
          </w:tcPr>
          <w:p>
            <w:r>
              <w:rPr>
                <w:sz w:val="16"/>
              </w:rPr>
              <w:t>Confidence + Review Queue + fixtures.</w:t>
            </w:r>
          </w:p>
        </w:tc>
      </w:tr>
      <w:tr>
        <w:tc>
          <w:tcPr>
            <w:tcW w:type="dxa" w:w="3360"/>
            <w:vAlign w:val="center"/>
          </w:tcPr>
          <w:p>
            <w:r>
              <w:rPr>
                <w:sz w:val="16"/>
              </w:rPr>
              <w:t>Costos externos</w:t>
            </w:r>
          </w:p>
        </w:tc>
        <w:tc>
          <w:tcPr>
            <w:tcW w:type="dxa" w:w="3360"/>
            <w:vAlign w:val="center"/>
          </w:tcPr>
          <w:p>
            <w:r>
              <w:rPr>
                <w:sz w:val="16"/>
              </w:rPr>
              <w:t>Medio/alto</w:t>
            </w:r>
          </w:p>
        </w:tc>
        <w:tc>
          <w:tcPr>
            <w:tcW w:type="dxa" w:w="3360"/>
            <w:vAlign w:val="center"/>
          </w:tcPr>
          <w:p>
            <w:r>
              <w:rPr>
                <w:sz w:val="16"/>
              </w:rPr>
              <w:t>Discovery comercial.</w:t>
            </w:r>
          </w:p>
        </w:tc>
      </w:tr>
      <w:tr>
        <w:tc>
          <w:tcPr>
            <w:tcW w:type="dxa" w:w="3360"/>
            <w:vAlign w:val="center"/>
          </w:tcPr>
          <w:p>
            <w:r>
              <w:rPr>
                <w:sz w:val="16"/>
              </w:rPr>
              <w:t>Complejidad excesiva</w:t>
            </w:r>
          </w:p>
        </w:tc>
        <w:tc>
          <w:tcPr>
            <w:tcW w:type="dxa" w:w="3360"/>
            <w:vAlign w:val="center"/>
          </w:tcPr>
          <w:p>
            <w:r>
              <w:rPr>
                <w:sz w:val="16"/>
              </w:rPr>
              <w:t>Alto</w:t>
            </w:r>
          </w:p>
        </w:tc>
        <w:tc>
          <w:tcPr>
            <w:tcW w:type="dxa" w:w="3360"/>
            <w:vAlign w:val="center"/>
          </w:tcPr>
          <w:p>
            <w:r>
              <w:rPr>
                <w:sz w:val="16"/>
              </w:rPr>
              <w:t>Monolito modular + fases.</w:t>
            </w:r>
          </w:p>
        </w:tc>
      </w:tr>
    </w:tbl>
    <w:p/>
    <w:p>
      <w:pPr>
        <w:pStyle w:val="Heading1"/>
      </w:pPr>
      <w:r>
        <w:t>20. Matriz inicial de fuentes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sz w:val="16"/>
              </w:rPr>
              <w:t>Fuente</w:t>
            </w:r>
          </w:p>
        </w:tc>
        <w:tc>
          <w:tcPr>
            <w:tcW w:type="dxa" w:w="1680"/>
            <w:shd w:fill="D9EAF7"/>
          </w:tcPr>
          <w:p>
            <w:r>
              <w:rPr>
                <w:b/>
                <w:sz w:val="16"/>
              </w:rPr>
              <w:t>Automatización</w:t>
            </w:r>
          </w:p>
        </w:tc>
        <w:tc>
          <w:tcPr>
            <w:tcW w:type="dxa" w:w="1680"/>
            <w:shd w:fill="D9EAF7"/>
          </w:tcPr>
          <w:p>
            <w:r>
              <w:rPr>
                <w:b/>
                <w:sz w:val="16"/>
              </w:rPr>
              <w:t>Panamá</w:t>
            </w:r>
          </w:p>
        </w:tc>
        <w:tc>
          <w:tcPr>
            <w:tcW w:type="dxa" w:w="1680"/>
            <w:shd w:fill="D9EAF7"/>
          </w:tcPr>
          <w:p>
            <w:r>
              <w:rPr>
                <w:b/>
                <w:sz w:val="16"/>
              </w:rPr>
              <w:t>Fricción</w:t>
            </w:r>
          </w:p>
        </w:tc>
        <w:tc>
          <w:tcPr>
            <w:tcW w:type="dxa" w:w="1680"/>
            <w:shd w:fill="D9EAF7"/>
          </w:tcPr>
          <w:p>
            <w:r>
              <w:rPr>
                <w:b/>
                <w:sz w:val="16"/>
              </w:rPr>
              <w:t>Costo/terms</w:t>
            </w:r>
          </w:p>
        </w:tc>
        <w:tc>
          <w:tcPr>
            <w:tcW w:type="dxa" w:w="1680"/>
            <w:shd w:fill="D9EAF7"/>
          </w:tcPr>
          <w:p>
            <w:r>
              <w:rPr>
                <w:b/>
                <w:sz w:val="16"/>
              </w:rPr>
              <w:t>Prioridad</w:t>
            </w:r>
          </w:p>
        </w:tc>
      </w:tr>
      <w:tr>
        <w:tc>
          <w:tcPr>
            <w:tcW w:type="dxa" w:w="1680"/>
            <w:vAlign w:val="center"/>
          </w:tcPr>
          <w:p>
            <w:r>
              <w:rPr>
                <w:sz w:val="16"/>
              </w:rPr>
              <w:t>Gmail</w:t>
            </w:r>
          </w:p>
        </w:tc>
        <w:tc>
          <w:tcPr>
            <w:tcW w:type="dxa" w:w="1680"/>
            <w:vAlign w:val="center"/>
          </w:tcPr>
          <w:p>
            <w:r>
              <w:rPr>
                <w:sz w:val="16"/>
              </w:rPr>
              <w:t>Alta</w:t>
            </w:r>
          </w:p>
        </w:tc>
        <w:tc>
          <w:tcPr>
            <w:tcW w:type="dxa" w:w="1680"/>
            <w:vAlign w:val="center"/>
          </w:tcPr>
          <w:p>
            <w:r>
              <w:rPr>
                <w:sz w:val="16"/>
              </w:rPr>
              <w:t>Sí, como correo</w:t>
            </w:r>
          </w:p>
        </w:tc>
        <w:tc>
          <w:tcPr>
            <w:tcW w:type="dxa" w:w="1680"/>
            <w:vAlign w:val="center"/>
          </w:tcPr>
          <w:p>
            <w:r>
              <w:rPr>
                <w:sz w:val="16"/>
              </w:rPr>
              <w:t>Media</w:t>
            </w:r>
          </w:p>
        </w:tc>
        <w:tc>
          <w:tcPr>
            <w:tcW w:type="dxa" w:w="1680"/>
            <w:vAlign w:val="center"/>
          </w:tcPr>
          <w:p>
            <w:r>
              <w:rPr>
                <w:sz w:val="16"/>
              </w:rPr>
              <w:t>OAuth/verificación posible</w:t>
            </w:r>
          </w:p>
        </w:tc>
        <w:tc>
          <w:tcPr>
            <w:tcW w:type="dxa" w:w="1680"/>
            <w:vAlign w:val="center"/>
          </w:tcPr>
          <w:p>
            <w:r>
              <w:rPr>
                <w:sz w:val="16"/>
              </w:rPr>
              <w:t>P0</w:t>
            </w:r>
          </w:p>
        </w:tc>
      </w:tr>
      <w:tr>
        <w:tc>
          <w:tcPr>
            <w:tcW w:type="dxa" w:w="1680"/>
            <w:vAlign w:val="center"/>
          </w:tcPr>
          <w:p>
            <w:r>
              <w:rPr>
                <w:sz w:val="16"/>
              </w:rPr>
              <w:t>Outlook</w:t>
            </w:r>
          </w:p>
        </w:tc>
        <w:tc>
          <w:tcPr>
            <w:tcW w:type="dxa" w:w="1680"/>
            <w:vAlign w:val="center"/>
          </w:tcPr>
          <w:p>
            <w:r>
              <w:rPr>
                <w:sz w:val="16"/>
              </w:rPr>
              <w:t>Alta</w:t>
            </w:r>
          </w:p>
        </w:tc>
        <w:tc>
          <w:tcPr>
            <w:tcW w:type="dxa" w:w="1680"/>
            <w:vAlign w:val="center"/>
          </w:tcPr>
          <w:p>
            <w:r>
              <w:rPr>
                <w:sz w:val="16"/>
              </w:rPr>
              <w:t>Sí, como correo</w:t>
            </w:r>
          </w:p>
        </w:tc>
        <w:tc>
          <w:tcPr>
            <w:tcW w:type="dxa" w:w="1680"/>
            <w:vAlign w:val="center"/>
          </w:tcPr>
          <w:p>
            <w:r>
              <w:rPr>
                <w:sz w:val="16"/>
              </w:rPr>
              <w:t>Media</w:t>
            </w:r>
          </w:p>
        </w:tc>
        <w:tc>
          <w:tcPr>
            <w:tcW w:type="dxa" w:w="1680"/>
            <w:vAlign w:val="center"/>
          </w:tcPr>
          <w:p>
            <w:r>
              <w:rPr>
                <w:sz w:val="16"/>
              </w:rPr>
              <w:t>OAuth/permisos</w:t>
            </w:r>
          </w:p>
        </w:tc>
        <w:tc>
          <w:tcPr>
            <w:tcW w:type="dxa" w:w="1680"/>
            <w:vAlign w:val="center"/>
          </w:tcPr>
          <w:p>
            <w:r>
              <w:rPr>
                <w:sz w:val="16"/>
              </w:rPr>
              <w:t>P2</w:t>
            </w:r>
          </w:p>
        </w:tc>
      </w:tr>
      <w:tr>
        <w:tc>
          <w:tcPr>
            <w:tcW w:type="dxa" w:w="1680"/>
            <w:vAlign w:val="center"/>
          </w:tcPr>
          <w:p>
            <w:r>
              <w:rPr>
                <w:sz w:val="16"/>
              </w:rPr>
              <w:t>Android notifications</w:t>
            </w:r>
          </w:p>
        </w:tc>
        <w:tc>
          <w:tcPr>
            <w:tcW w:type="dxa" w:w="1680"/>
            <w:vAlign w:val="center"/>
          </w:tcPr>
          <w:p>
            <w:r>
              <w:rPr>
                <w:sz w:val="16"/>
              </w:rPr>
              <w:t>Alta</w:t>
            </w:r>
          </w:p>
        </w:tc>
        <w:tc>
          <w:tcPr>
            <w:tcW w:type="dxa" w:w="1680"/>
            <w:vAlign w:val="center"/>
          </w:tcPr>
          <w:p>
            <w:r>
              <w:rPr>
                <w:sz w:val="16"/>
              </w:rPr>
              <w:t>Depende de apps</w:t>
            </w:r>
          </w:p>
        </w:tc>
        <w:tc>
          <w:tcPr>
            <w:tcW w:type="dxa" w:w="1680"/>
            <w:vAlign w:val="center"/>
          </w:tcPr>
          <w:p>
            <w:r>
              <w:rPr>
                <w:sz w:val="16"/>
              </w:rPr>
              <w:t>Media/alta</w:t>
            </w:r>
          </w:p>
        </w:tc>
        <w:tc>
          <w:tcPr>
            <w:tcW w:type="dxa" w:w="1680"/>
            <w:vAlign w:val="center"/>
          </w:tcPr>
          <w:p>
            <w:r>
              <w:rPr>
                <w:sz w:val="16"/>
              </w:rPr>
              <w:t>App propia</w:t>
            </w:r>
          </w:p>
        </w:tc>
        <w:tc>
          <w:tcPr>
            <w:tcW w:type="dxa" w:w="1680"/>
            <w:vAlign w:val="center"/>
          </w:tcPr>
          <w:p>
            <w:r>
              <w:rPr>
                <w:sz w:val="16"/>
              </w:rPr>
              <w:t>P1</w:t>
            </w:r>
          </w:p>
        </w:tc>
      </w:tr>
      <w:tr>
        <w:tc>
          <w:tcPr>
            <w:tcW w:type="dxa" w:w="1680"/>
            <w:vAlign w:val="center"/>
          </w:tcPr>
          <w:p>
            <w:r>
              <w:rPr>
                <w:sz w:val="16"/>
              </w:rPr>
              <w:t>Google Wallet API personal</w:t>
            </w:r>
          </w:p>
        </w:tc>
        <w:tc>
          <w:tcPr>
            <w:tcW w:type="dxa" w:w="1680"/>
            <w:vAlign w:val="center"/>
          </w:tcPr>
          <w:p>
            <w:r>
              <w:rPr>
                <w:sz w:val="16"/>
              </w:rPr>
              <w:t>No asumir</w:t>
            </w:r>
          </w:p>
        </w:tc>
        <w:tc>
          <w:tcPr>
            <w:tcW w:type="dxa" w:w="1680"/>
            <w:vAlign w:val="center"/>
          </w:tcPr>
          <w:p>
            <w:r>
              <w:rPr>
                <w:sz w:val="16"/>
              </w:rPr>
              <w:t>No confirmada</w:t>
            </w:r>
          </w:p>
        </w:tc>
        <w:tc>
          <w:tcPr>
            <w:tcW w:type="dxa" w:w="1680"/>
            <w:vAlign w:val="center"/>
          </w:tcPr>
          <w:p>
            <w:r>
              <w:rPr>
                <w:sz w:val="16"/>
              </w:rPr>
              <w:t>N/A</w:t>
            </w:r>
          </w:p>
        </w:tc>
        <w:tc>
          <w:tcPr>
            <w:tcW w:type="dxa" w:w="1680"/>
            <w:vAlign w:val="center"/>
          </w:tcPr>
          <w:p>
            <w:r>
              <w:rPr>
                <w:sz w:val="16"/>
              </w:rPr>
              <w:t>N/A</w:t>
            </w:r>
          </w:p>
        </w:tc>
        <w:tc>
          <w:tcPr>
            <w:tcW w:type="dxa" w:w="1680"/>
            <w:vAlign w:val="center"/>
          </w:tcPr>
          <w:p>
            <w:r>
              <w:rPr>
                <w:sz w:val="16"/>
              </w:rPr>
              <w:t>No priorizar</w:t>
            </w:r>
          </w:p>
        </w:tc>
      </w:tr>
      <w:tr>
        <w:tc>
          <w:tcPr>
            <w:tcW w:type="dxa" w:w="1680"/>
            <w:vAlign w:val="center"/>
          </w:tcPr>
          <w:p>
            <w:r>
              <w:rPr>
                <w:sz w:val="16"/>
              </w:rPr>
              <w:t>Prometeo</w:t>
            </w:r>
          </w:p>
        </w:tc>
        <w:tc>
          <w:tcPr>
            <w:tcW w:type="dxa" w:w="1680"/>
            <w:vAlign w:val="center"/>
          </w:tcPr>
          <w:p>
            <w:r>
              <w:rPr>
                <w:sz w:val="16"/>
              </w:rPr>
              <w:t>Potencial alta</w:t>
            </w:r>
          </w:p>
        </w:tc>
        <w:tc>
          <w:tcPr>
            <w:tcW w:type="dxa" w:w="1680"/>
            <w:vAlign w:val="center"/>
          </w:tcPr>
          <w:p>
            <w:r>
              <w:rPr>
                <w:sz w:val="16"/>
              </w:rPr>
              <w:t>Validar</w:t>
            </w:r>
          </w:p>
        </w:tc>
        <w:tc>
          <w:tcPr>
            <w:tcW w:type="dxa" w:w="1680"/>
            <w:vAlign w:val="center"/>
          </w:tcPr>
          <w:p>
            <w:r>
              <w:rPr>
                <w:sz w:val="16"/>
              </w:rPr>
              <w:t>Media</w:t>
            </w:r>
          </w:p>
        </w:tc>
        <w:tc>
          <w:tcPr>
            <w:tcW w:type="dxa" w:w="1680"/>
            <w:vAlign w:val="center"/>
          </w:tcPr>
          <w:p>
            <w:r>
              <w:rPr>
                <w:sz w:val="16"/>
              </w:rPr>
              <w:t>Comercial</w:t>
            </w:r>
          </w:p>
        </w:tc>
        <w:tc>
          <w:tcPr>
            <w:tcW w:type="dxa" w:w="1680"/>
            <w:vAlign w:val="center"/>
          </w:tcPr>
          <w:p>
            <w:r>
              <w:rPr>
                <w:sz w:val="16"/>
              </w:rPr>
              <w:t>P0 discovery</w:t>
            </w:r>
          </w:p>
        </w:tc>
      </w:tr>
      <w:tr>
        <w:tc>
          <w:tcPr>
            <w:tcW w:type="dxa" w:w="1680"/>
            <w:vAlign w:val="center"/>
          </w:tcPr>
          <w:p>
            <w:r>
              <w:rPr>
                <w:sz w:val="16"/>
              </w:rPr>
              <w:t>Banco General API</w:t>
            </w:r>
          </w:p>
        </w:tc>
        <w:tc>
          <w:tcPr>
            <w:tcW w:type="dxa" w:w="1680"/>
            <w:vAlign w:val="center"/>
          </w:tcPr>
          <w:p>
            <w:r>
              <w:rPr>
                <w:sz w:val="16"/>
              </w:rPr>
              <w:t>Alta si aplica</w:t>
            </w:r>
          </w:p>
        </w:tc>
        <w:tc>
          <w:tcPr>
            <w:tcW w:type="dxa" w:w="1680"/>
            <w:vAlign w:val="center"/>
          </w:tcPr>
          <w:p>
            <w:r>
              <w:rPr>
                <w:sz w:val="16"/>
              </w:rPr>
              <w:t>Oferta empresarial confirmada</w:t>
            </w:r>
          </w:p>
        </w:tc>
        <w:tc>
          <w:tcPr>
            <w:tcW w:type="dxa" w:w="1680"/>
            <w:vAlign w:val="center"/>
          </w:tcPr>
          <w:p>
            <w:r>
              <w:rPr>
                <w:sz w:val="16"/>
              </w:rPr>
              <w:t>Validar</w:t>
            </w:r>
          </w:p>
        </w:tc>
        <w:tc>
          <w:tcPr>
            <w:tcW w:type="dxa" w:w="1680"/>
            <w:vAlign w:val="center"/>
          </w:tcPr>
          <w:p>
            <w:r>
              <w:rPr>
                <w:sz w:val="16"/>
              </w:rPr>
              <w:t>Comercial</w:t>
            </w:r>
          </w:p>
        </w:tc>
        <w:tc>
          <w:tcPr>
            <w:tcW w:type="dxa" w:w="1680"/>
            <w:vAlign w:val="center"/>
          </w:tcPr>
          <w:p>
            <w:r>
              <w:rPr>
                <w:sz w:val="16"/>
              </w:rPr>
              <w:t>P1 discovery</w:t>
            </w:r>
          </w:p>
        </w:tc>
      </w:tr>
      <w:tr>
        <w:tc>
          <w:tcPr>
            <w:tcW w:type="dxa" w:w="1680"/>
            <w:vAlign w:val="center"/>
          </w:tcPr>
          <w:p>
            <w:r>
              <w:rPr>
                <w:sz w:val="16"/>
              </w:rPr>
              <w:t>BAC API</w:t>
            </w:r>
          </w:p>
        </w:tc>
        <w:tc>
          <w:tcPr>
            <w:tcW w:type="dxa" w:w="1680"/>
            <w:vAlign w:val="center"/>
          </w:tcPr>
          <w:p>
            <w:r>
              <w:rPr>
                <w:sz w:val="16"/>
              </w:rPr>
              <w:t>Alta si aplica</w:t>
            </w:r>
          </w:p>
        </w:tc>
        <w:tc>
          <w:tcPr>
            <w:tcW w:type="dxa" w:w="1680"/>
            <w:vAlign w:val="center"/>
          </w:tcPr>
          <w:p>
            <w:r>
              <w:rPr>
                <w:sz w:val="16"/>
              </w:rPr>
              <w:t>Oferta empresarial confirmada</w:t>
            </w:r>
          </w:p>
        </w:tc>
        <w:tc>
          <w:tcPr>
            <w:tcW w:type="dxa" w:w="1680"/>
            <w:vAlign w:val="center"/>
          </w:tcPr>
          <w:p>
            <w:r>
              <w:rPr>
                <w:sz w:val="16"/>
              </w:rPr>
              <w:t>Validar</w:t>
            </w:r>
          </w:p>
        </w:tc>
        <w:tc>
          <w:tcPr>
            <w:tcW w:type="dxa" w:w="1680"/>
            <w:vAlign w:val="center"/>
          </w:tcPr>
          <w:p>
            <w:r>
              <w:rPr>
                <w:sz w:val="16"/>
              </w:rPr>
              <w:t>Comercial</w:t>
            </w:r>
          </w:p>
        </w:tc>
        <w:tc>
          <w:tcPr>
            <w:tcW w:type="dxa" w:w="1680"/>
            <w:vAlign w:val="center"/>
          </w:tcPr>
          <w:p>
            <w:r>
              <w:rPr>
                <w:sz w:val="16"/>
              </w:rPr>
              <w:t>P1 discovery</w:t>
            </w:r>
          </w:p>
        </w:tc>
      </w:tr>
      <w:tr>
        <w:tc>
          <w:tcPr>
            <w:tcW w:type="dxa" w:w="1680"/>
            <w:vAlign w:val="center"/>
          </w:tcPr>
          <w:p>
            <w:r>
              <w:rPr>
                <w:sz w:val="16"/>
              </w:rPr>
              <w:t>Banistmo notifications</w:t>
            </w:r>
          </w:p>
        </w:tc>
        <w:tc>
          <w:tcPr>
            <w:tcW w:type="dxa" w:w="1680"/>
            <w:vAlign w:val="center"/>
          </w:tcPr>
          <w:p>
            <w:r>
              <w:rPr>
                <w:sz w:val="16"/>
              </w:rPr>
              <w:t>Alta Android</w:t>
            </w:r>
          </w:p>
        </w:tc>
        <w:tc>
          <w:tcPr>
            <w:tcW w:type="dxa" w:w="1680"/>
            <w:vAlign w:val="center"/>
          </w:tcPr>
          <w:p>
            <w:r>
              <w:rPr>
                <w:sz w:val="16"/>
              </w:rPr>
              <w:t>Sí</w:t>
            </w:r>
          </w:p>
        </w:tc>
        <w:tc>
          <w:tcPr>
            <w:tcW w:type="dxa" w:w="1680"/>
            <w:vAlign w:val="center"/>
          </w:tcPr>
          <w:p>
            <w:r>
              <w:rPr>
                <w:sz w:val="16"/>
              </w:rPr>
              <w:t>Media</w:t>
            </w:r>
          </w:p>
        </w:tc>
        <w:tc>
          <w:tcPr>
            <w:tcW w:type="dxa" w:w="1680"/>
            <w:vAlign w:val="center"/>
          </w:tcPr>
          <w:p>
            <w:r>
              <w:rPr>
                <w:sz w:val="16"/>
              </w:rPr>
              <w:t>Sin API personal confirmada</w:t>
            </w:r>
          </w:p>
        </w:tc>
        <w:tc>
          <w:tcPr>
            <w:tcW w:type="dxa" w:w="1680"/>
            <w:vAlign w:val="center"/>
          </w:tcPr>
          <w:p>
            <w:r>
              <w:rPr>
                <w:sz w:val="16"/>
              </w:rPr>
              <w:t>P1</w:t>
            </w:r>
          </w:p>
        </w:tc>
      </w:tr>
      <w:tr>
        <w:tc>
          <w:tcPr>
            <w:tcW w:type="dxa" w:w="1680"/>
            <w:vAlign w:val="center"/>
          </w:tcPr>
          <w:p>
            <w:r>
              <w:rPr>
                <w:sz w:val="16"/>
              </w:rPr>
              <w:t>Yappy API</w:t>
            </w:r>
          </w:p>
        </w:tc>
        <w:tc>
          <w:tcPr>
            <w:tcW w:type="dxa" w:w="1680"/>
            <w:vAlign w:val="center"/>
          </w:tcPr>
          <w:p>
            <w:r>
              <w:rPr>
                <w:sz w:val="16"/>
              </w:rPr>
              <w:t>Alta comercial</w:t>
            </w:r>
          </w:p>
        </w:tc>
        <w:tc>
          <w:tcPr>
            <w:tcW w:type="dxa" w:w="1680"/>
            <w:vAlign w:val="center"/>
          </w:tcPr>
          <w:p>
            <w:r>
              <w:rPr>
                <w:sz w:val="16"/>
              </w:rPr>
              <w:t>Sí</w:t>
            </w:r>
          </w:p>
        </w:tc>
        <w:tc>
          <w:tcPr>
            <w:tcW w:type="dxa" w:w="1680"/>
            <w:vAlign w:val="center"/>
          </w:tcPr>
          <w:p>
            <w:r>
              <w:rPr>
                <w:sz w:val="16"/>
              </w:rPr>
              <w:t>No aplica directamente personal</w:t>
            </w:r>
          </w:p>
        </w:tc>
        <w:tc>
          <w:tcPr>
            <w:tcW w:type="dxa" w:w="1680"/>
            <w:vAlign w:val="center"/>
          </w:tcPr>
          <w:p>
            <w:r>
              <w:rPr>
                <w:sz w:val="16"/>
              </w:rPr>
              <w:t>Comercial</w:t>
            </w:r>
          </w:p>
        </w:tc>
        <w:tc>
          <w:tcPr>
            <w:tcW w:type="dxa" w:w="1680"/>
            <w:vAlign w:val="center"/>
          </w:tcPr>
          <w:p>
            <w:r>
              <w:rPr>
                <w:sz w:val="16"/>
              </w:rPr>
              <w:t>P1 discovery</w:t>
            </w:r>
          </w:p>
        </w:tc>
      </w:tr>
      <w:tr>
        <w:tc>
          <w:tcPr>
            <w:tcW w:type="dxa" w:w="1680"/>
            <w:vAlign w:val="center"/>
          </w:tcPr>
          <w:p>
            <w:r>
              <w:rPr>
                <w:sz w:val="16"/>
              </w:rPr>
              <w:t>CSV/PDF</w:t>
            </w:r>
          </w:p>
        </w:tc>
        <w:tc>
          <w:tcPr>
            <w:tcW w:type="dxa" w:w="1680"/>
            <w:vAlign w:val="center"/>
          </w:tcPr>
          <w:p>
            <w:r>
              <w:rPr>
                <w:sz w:val="16"/>
              </w:rPr>
              <w:t>Media</w:t>
            </w:r>
          </w:p>
        </w:tc>
        <w:tc>
          <w:tcPr>
            <w:tcW w:type="dxa" w:w="1680"/>
            <w:vAlign w:val="center"/>
          </w:tcPr>
          <w:p>
            <w:r>
              <w:rPr>
                <w:sz w:val="16"/>
              </w:rPr>
              <w:t>Universal</w:t>
            </w:r>
          </w:p>
        </w:tc>
        <w:tc>
          <w:tcPr>
            <w:tcW w:type="dxa" w:w="1680"/>
            <w:vAlign w:val="center"/>
          </w:tcPr>
          <w:p>
            <w:r>
              <w:rPr>
                <w:sz w:val="16"/>
              </w:rPr>
              <w:t>Alta</w:t>
            </w:r>
          </w:p>
        </w:tc>
        <w:tc>
          <w:tcPr>
            <w:tcW w:type="dxa" w:w="1680"/>
            <w:vAlign w:val="center"/>
          </w:tcPr>
          <w:p>
            <w:r>
              <w:rPr>
                <w:sz w:val="16"/>
              </w:rPr>
              <w:t>Bajo</w:t>
            </w:r>
          </w:p>
        </w:tc>
        <w:tc>
          <w:tcPr>
            <w:tcW w:type="dxa" w:w="1680"/>
            <w:vAlign w:val="center"/>
          </w:tcPr>
          <w:p>
            <w:r>
              <w:rPr>
                <w:sz w:val="16"/>
              </w:rPr>
              <w:t>P1 fallback</w:t>
            </w:r>
          </w:p>
        </w:tc>
      </w:tr>
      <w:tr>
        <w:tc>
          <w:tcPr>
            <w:tcW w:type="dxa" w:w="1680"/>
            <w:vAlign w:val="center"/>
          </w:tcPr>
          <w:p>
            <w:r>
              <w:rPr>
                <w:sz w:val="16"/>
              </w:rPr>
              <w:t>Manual</w:t>
            </w:r>
          </w:p>
        </w:tc>
        <w:tc>
          <w:tcPr>
            <w:tcW w:type="dxa" w:w="1680"/>
            <w:vAlign w:val="center"/>
          </w:tcPr>
          <w:p>
            <w:r>
              <w:rPr>
                <w:sz w:val="16"/>
              </w:rPr>
              <w:t>Baja</w:t>
            </w:r>
          </w:p>
        </w:tc>
        <w:tc>
          <w:tcPr>
            <w:tcW w:type="dxa" w:w="1680"/>
            <w:vAlign w:val="center"/>
          </w:tcPr>
          <w:p>
            <w:r>
              <w:rPr>
                <w:sz w:val="16"/>
              </w:rPr>
              <w:t>Universal</w:t>
            </w:r>
          </w:p>
        </w:tc>
        <w:tc>
          <w:tcPr>
            <w:tcW w:type="dxa" w:w="1680"/>
            <w:vAlign w:val="center"/>
          </w:tcPr>
          <w:p>
            <w:r>
              <w:rPr>
                <w:sz w:val="16"/>
              </w:rPr>
              <w:t>Alta</w:t>
            </w:r>
          </w:p>
        </w:tc>
        <w:tc>
          <w:tcPr>
            <w:tcW w:type="dxa" w:w="1680"/>
            <w:vAlign w:val="center"/>
          </w:tcPr>
          <w:p>
            <w:r>
              <w:rPr>
                <w:sz w:val="16"/>
              </w:rPr>
              <w:t>Bajo</w:t>
            </w:r>
          </w:p>
        </w:tc>
        <w:tc>
          <w:tcPr>
            <w:tcW w:type="dxa" w:w="1680"/>
            <w:vAlign w:val="center"/>
          </w:tcPr>
          <w:p>
            <w:r>
              <w:rPr>
                <w:sz w:val="16"/>
              </w:rPr>
              <w:t>P0 fallback</w:t>
            </w:r>
          </w:p>
        </w:tc>
      </w:tr>
    </w:tbl>
    <w:p/>
    <w:p>
      <w:pPr>
        <w:pStyle w:val="Heading1"/>
      </w:pPr>
      <w:r>
        <w:t>21. Orden recomendado de ejecución</w:t>
      </w:r>
    </w:p>
    <w:p>
      <w:pPr>
        <w:pStyle w:val="ListNumber"/>
        <w:spacing w:after="40"/>
      </w:pPr>
      <w:r>
        <w:t>Estabilizar persistencia y autorización.</w:t>
      </w:r>
    </w:p>
    <w:p>
      <w:pPr>
        <w:pStyle w:val="ListNumber"/>
        <w:spacing w:after="40"/>
      </w:pPr>
      <w:r>
        <w:t>Crear Transaction Ingestion Domain.</w:t>
      </w:r>
    </w:p>
    <w:p>
      <w:pPr>
        <w:pStyle w:val="ListNumber"/>
        <w:spacing w:after="40"/>
      </w:pPr>
      <w:r>
        <w:t>Crear RawEvent + TransactionSource + idempotencia.</w:t>
      </w:r>
    </w:p>
    <w:p>
      <w:pPr>
        <w:pStyle w:val="ListNumber"/>
        <w:spacing w:after="40"/>
      </w:pPr>
      <w:r>
        <w:t>Crear parser interface + fixtures.</w:t>
      </w:r>
    </w:p>
    <w:p>
      <w:pPr>
        <w:pStyle w:val="ListNumber"/>
        <w:spacing w:after="40"/>
      </w:pPr>
      <w:r>
        <w:t>Crear Review Queue.</w:t>
      </w:r>
    </w:p>
    <w:p>
      <w:pPr>
        <w:pStyle w:val="ListNumber"/>
        <w:spacing w:after="40"/>
      </w:pPr>
      <w:r>
        <w:t>Integrar Gmail OAuth.</w:t>
      </w:r>
    </w:p>
    <w:p>
      <w:pPr>
        <w:pStyle w:val="ListNumber"/>
        <w:spacing w:after="40"/>
      </w:pPr>
      <w:r>
        <w:t>Integrar Gmail push/history sync.</w:t>
      </w:r>
    </w:p>
    <w:p>
      <w:pPr>
        <w:pStyle w:val="ListNumber"/>
        <w:spacing w:after="40"/>
      </w:pPr>
      <w:r>
        <w:t>Probar end-to-end con correos controlados/anonimizados.</w:t>
      </w:r>
    </w:p>
    <w:p>
      <w:pPr>
        <w:pStyle w:val="ListNumber"/>
        <w:spacing w:after="40"/>
      </w:pPr>
      <w:r>
        <w:t>Crear Android Companion.</w:t>
      </w:r>
    </w:p>
    <w:p>
      <w:pPr>
        <w:pStyle w:val="ListNumber"/>
        <w:spacing w:after="40"/>
      </w:pPr>
      <w:r>
        <w:t>Capturar notificaciones localmente.</w:t>
      </w:r>
    </w:p>
    <w:p>
      <w:pPr>
        <w:pStyle w:val="ListNumber"/>
        <w:spacing w:after="40"/>
      </w:pPr>
      <w:r>
        <w:t>Probar Google Wallet + una app bancaria.</w:t>
      </w:r>
    </w:p>
    <w:p>
      <w:pPr>
        <w:pStyle w:val="ListNumber"/>
        <w:spacing w:after="40"/>
      </w:pPr>
      <w:r>
        <w:t>Hacer discovery formal con Prometeo y bancos.</w:t>
      </w:r>
    </w:p>
    <w:p>
      <w:pPr>
        <w:pStyle w:val="ListNumber"/>
        <w:spacing w:after="40"/>
      </w:pPr>
      <w:r>
        <w:t>Elegir primera integración bancaria con evidencia.</w:t>
      </w:r>
    </w:p>
    <w:p>
      <w:pPr>
        <w:pStyle w:val="ListNumber"/>
        <w:spacing w:after="40"/>
      </w:pPr>
      <w:r>
        <w:t>Implementar adapter bancario.</w:t>
      </w:r>
    </w:p>
    <w:p>
      <w:pPr>
        <w:pStyle w:val="ListNumber"/>
        <w:spacing w:after="40"/>
      </w:pPr>
      <w:r>
        <w:t>Mejorar merchant/categorías/IA.</w:t>
      </w:r>
    </w:p>
    <w:p>
      <w:pPr>
        <w:pStyle w:val="ListNumber"/>
        <w:spacing w:after="40"/>
      </w:pPr>
      <w:r>
        <w:t>Completar privacidad, borrado, revocación, monitoreo y beta.</w:t>
      </w:r>
    </w:p>
    <w:p>
      <w:pPr>
        <w:pStyle w:val="ListNumber"/>
        <w:spacing w:after="40"/>
      </w:pPr>
      <w:r>
        <w:t>Agregar nuevas fuentes según métricas.</w:t>
      </w:r>
    </w:p>
    <w:p>
      <w:pPr>
        <w:pStyle w:val="Heading1"/>
      </w:pPr>
      <w:r>
        <w:t>22. Definición de éxito</w:t>
      </w:r>
    </w:p>
    <w:p>
      <w:r>
        <w:t>El primer nivel serio de producto se alcanza cuando un usuario puede conectar al menos una fuente real, recibir automáticamente una transacción, verla persistida en su cuenta, evitar duplicados, corregirla, desconectar la fuente y eliminar sus datos según la política definida.</w:t>
      </w:r>
    </w:p>
    <w:p>
      <w:r>
        <w:t>El objetivo no es tener muchas integraciones. El objetivo es que agregar una nueva fuente sea relativamente sencillo y que el usuario sienta que Lumina realmente registra sus gastos por él.</w:t>
      </w:r>
    </w:p>
    <w:p>
      <w:pPr>
        <w:pStyle w:val="Heading1"/>
      </w:pPr>
      <w:r>
        <w:t>23. Fuentes oficiales consultadas</w:t>
      </w:r>
    </w:p>
    <w:p>
      <w:pPr>
        <w:pStyle w:val="ListBullet"/>
      </w:pPr>
      <w:r>
        <w:rPr>
          <w:b/>
        </w:rPr>
        <w:t xml:space="preserve">n8n — Pricing: </w:t>
      </w:r>
      <w:r>
        <w:t>https://n8n.io/pricing/</w:t>
      </w:r>
    </w:p>
    <w:p>
      <w:pPr>
        <w:pStyle w:val="ListBullet"/>
      </w:pPr>
      <w:r>
        <w:rPr>
          <w:b/>
        </w:rPr>
        <w:t xml:space="preserve">Google — Gmail scopes: </w:t>
      </w:r>
      <w:r>
        <w:t>https://developers.google.com/workspace/gmail/api/auth/scopes</w:t>
      </w:r>
    </w:p>
    <w:p>
      <w:pPr>
        <w:pStyle w:val="ListBullet"/>
      </w:pPr>
      <w:r>
        <w:rPr>
          <w:b/>
        </w:rPr>
        <w:t xml:space="preserve">Google — Gmail push: </w:t>
      </w:r>
      <w:r>
        <w:t>https://developers.google.com/workspace/gmail/api/guides/push</w:t>
      </w:r>
    </w:p>
    <w:p>
      <w:pPr>
        <w:pStyle w:val="ListBullet"/>
      </w:pPr>
      <w:r>
        <w:rPr>
          <w:b/>
        </w:rPr>
        <w:t xml:space="preserve">Microsoft — Outlook change notifications: </w:t>
      </w:r>
      <w:r>
        <w:t>https://learn.microsoft.com/en-us/graph/outlook-change-notifications-overview</w:t>
      </w:r>
    </w:p>
    <w:p>
      <w:pPr>
        <w:pStyle w:val="ListBullet"/>
      </w:pPr>
      <w:r>
        <w:rPr>
          <w:b/>
        </w:rPr>
        <w:t xml:space="preserve">Microsoft — Graph subscriptions: </w:t>
      </w:r>
      <w:r>
        <w:t>https://learn.microsoft.com/en-us/graph/api/subscription-post-subscriptions?view=graph-rest-1.0</w:t>
      </w:r>
    </w:p>
    <w:p>
      <w:pPr>
        <w:pStyle w:val="ListBullet"/>
      </w:pPr>
      <w:r>
        <w:rPr>
          <w:b/>
        </w:rPr>
        <w:t xml:space="preserve">Android — NotificationListenerService: </w:t>
      </w:r>
      <w:r>
        <w:t>https://developer.android.com/reference/android/service/notification/NotificationListenerService</w:t>
      </w:r>
    </w:p>
    <w:p>
      <w:pPr>
        <w:pStyle w:val="ListBullet"/>
      </w:pPr>
      <w:r>
        <w:rPr>
          <w:b/>
        </w:rPr>
        <w:t xml:space="preserve">Google Wallet — transactions: </w:t>
      </w:r>
      <w:r>
        <w:t>https://support.google.com/wallet/answer/12059878?hl=es</w:t>
      </w:r>
    </w:p>
    <w:p>
      <w:pPr>
        <w:pStyle w:val="ListBullet"/>
      </w:pPr>
      <w:r>
        <w:rPr>
          <w:b/>
        </w:rPr>
        <w:t xml:space="preserve">Google Wallet — notifications: </w:t>
      </w:r>
      <w:r>
        <w:t>https://support.google.com/wallet/answer/14775537?hl=es-US</w:t>
      </w:r>
    </w:p>
    <w:p>
      <w:pPr>
        <w:pStyle w:val="ListBullet"/>
      </w:pPr>
      <w:r>
        <w:rPr>
          <w:b/>
        </w:rPr>
        <w:t xml:space="preserve">Prometeo: </w:t>
      </w:r>
      <w:r>
        <w:t>https://prometeoapi.com/</w:t>
      </w:r>
    </w:p>
    <w:p>
      <w:pPr>
        <w:pStyle w:val="ListBullet"/>
      </w:pPr>
      <w:r>
        <w:rPr>
          <w:b/>
        </w:rPr>
        <w:t xml:space="preserve">Banco General — Conexión BG: </w:t>
      </w:r>
      <w:r>
        <w:t>https://www.bgeneral.com/empresas/conexion-bg/</w:t>
      </w:r>
    </w:p>
    <w:p>
      <w:pPr>
        <w:pStyle w:val="ListBullet"/>
      </w:pPr>
      <w:r>
        <w:rPr>
          <w:b/>
        </w:rPr>
        <w:t xml:space="preserve">BAC — APIs: </w:t>
      </w:r>
      <w:r>
        <w:t>https://www.baccredomatic.com/empresas/api-tesoreria-corporativa-digital</w:t>
      </w:r>
    </w:p>
    <w:p>
      <w:pPr>
        <w:pStyle w:val="ListBullet"/>
      </w:pPr>
      <w:r>
        <w:rPr>
          <w:b/>
        </w:rPr>
        <w:t xml:space="preserve">Banistmo App: </w:t>
      </w:r>
      <w:r>
        <w:t>https://www.banistmo.com/personas/canales/banistmo-app</w:t>
      </w:r>
    </w:p>
    <w:p>
      <w:pPr>
        <w:pStyle w:val="ListBullet"/>
      </w:pPr>
      <w:r>
        <w:rPr>
          <w:b/>
        </w:rPr>
        <w:t xml:space="preserve">Yappy — Integraciones: </w:t>
      </w:r>
      <w:r>
        <w:t>https://www.yappy.com.pa/comercial/integraciones-yappy/</w:t>
      </w:r>
    </w:p>
    <w:p>
      <w:pPr>
        <w:pStyle w:val="ListBullet"/>
      </w:pPr>
      <w:r>
        <w:rPr>
          <w:b/>
        </w:rPr>
        <w:t xml:space="preserve">Panamá — Ley 81 / Decreto 285: </w:t>
      </w:r>
      <w:r>
        <w:t>https://www.superbancos.gob.pa/documentos/sac/leyes/Ley-81.pdf</w:t>
      </w:r>
    </w:p>
    <w:p>
      <w:pPr>
        <w:pStyle w:val="Heading1"/>
      </w:pPr>
      <w:r>
        <w:t>24. Checklist de arranque</w:t>
      </w:r>
    </w:p>
    <w:p>
      <w:pPr>
        <w:pStyle w:val="ListBullet"/>
        <w:spacing w:after="40"/>
      </w:pPr>
      <w:r>
        <w:t>Leer el documento completo.</w:t>
      </w:r>
    </w:p>
    <w:p>
      <w:pPr>
        <w:pStyle w:val="ListBullet"/>
        <w:spacing w:after="40"/>
      </w:pPr>
      <w:r>
        <w:t>Comparar el estado real del repositorio con la sección 2.</w:t>
      </w:r>
    </w:p>
    <w:p>
      <w:pPr>
        <w:pStyle w:val="ListBullet"/>
        <w:spacing w:after="40"/>
      </w:pPr>
      <w:r>
        <w:t>Crear/actualizar ROADMAP.md.</w:t>
      </w:r>
    </w:p>
    <w:p>
      <w:pPr>
        <w:pStyle w:val="ListBullet"/>
        <w:spacing w:after="40"/>
      </w:pPr>
      <w:r>
        <w:t>Crear ADRs.</w:t>
      </w:r>
    </w:p>
    <w:p>
      <w:pPr>
        <w:pStyle w:val="ListBullet"/>
        <w:spacing w:after="40"/>
      </w:pPr>
      <w:r>
        <w:t>Crear issues ING-01 a ING-07.</w:t>
      </w:r>
    </w:p>
    <w:p>
      <w:pPr>
        <w:pStyle w:val="ListBullet"/>
        <w:spacing w:after="40"/>
      </w:pPr>
      <w:r>
        <w:t>Trabajar una sola P0 a la vez.</w:t>
      </w:r>
    </w:p>
    <w:p>
      <w:pPr>
        <w:pStyle w:val="ListBullet"/>
        <w:spacing w:after="40"/>
      </w:pPr>
      <w:r>
        <w:t>No integrar bancos sin discovery.</w:t>
      </w:r>
    </w:p>
    <w:p>
      <w:pPr>
        <w:pStyle w:val="ListBullet"/>
        <w:spacing w:after="40"/>
      </w:pPr>
      <w:r>
        <w:t>Al finalizar cada tarea reportar archivos, tests, riesgos y siguiente paso.</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trabajo | 4 de octubre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LuminaApp — Plan Maestro de Producto, Arquitectura e Ingesta Financiera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