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Best-supported GAMs by panel</w:t>
      </w:r>
    </w:p>
    <w:p>
      <w:pPr>
        <w:spacing w:before="0" w:after="60"/>
        <w:keepNext/>
        <w:jc w:val="start"/>
        <w:pStyle w:val="caption"/>
      </w:pPr>
      <w:r>
        <w:rPr>
          <w:i/>
          <w:rFonts w:ascii="Calibri" w:hAnsi="Calibri"/>
          <w:sz w:val="20"/>
          <w:color w:val="333333"/>
        </w:rPr>
        <w:t xml:space="preserve">Top Linear and Smooth candidates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Model Type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Climate Driver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AIC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Deviance Explained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R² Adj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Climate term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Climate p-value (term)</w:t>
            </w:r>
            <w:r>
              <w:rPr>
                <w:vertAlign w:val="superscript"/>
                <w:i/>
                <w:rFonts w:ascii="Calibri" w:hAnsi="Calibri"/>
                <w:sz w:val="20"/>
                <w:color w:val="FFFFFF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Significant contrasts vs. reference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EDF Terms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Inference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Linear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 regime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-80.549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&lt;1e-04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Thermalcooler (-1.48, p=0.031); ThermalLIA (-3.79, p=&lt;1e-04)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(EDF=4.73)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Supported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Smooth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Smoothed TC frequency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-60.770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n/a (no categorical terms)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(EDF=6.46); s(Hur100_av) (EDF=3)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Supported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Linear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M_hyd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Hydroclimatic trends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Hydro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(EDF=2.92)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Weak support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Smooth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TC frequency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-8.743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s(Hur100_fqcy)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n/a (no categorical terms)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(EDF=3.16); s(Hur100_fqcy) (EDF=2.04)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Weak support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Linear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 regime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-4.492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Hurricanehigh (4.22, p=0.019)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(EDF=2.15)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Weak support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Smooth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GMHT anomalies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-5.081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n/a (no categorical terms)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(EDF=1.99); s(GMHT_CPS0_30N) (EDF=1)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Supported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Linear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 regime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-3.541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(EDF=1.65)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Weak support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Smooth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Smoothed TC frequency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-8.601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n/a (no categorical terms)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(EDF=2.51); s(Hur100_av) (EDF=3.05)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Weak support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Linear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 regime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-57.861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Hurricanecalm (-2.41, p=0.043)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(EDF=3.08)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Supported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Smooth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GMHT anomalies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-46.070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n/a (no categorical terms)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(EDF=2.67); s(GMHT_CPS0_30N) (EDF=2.31)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Supported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Climate p-value: joint Wald test of the whole term (all factor levels together for categorical regimes; the spline for continuous predictors). Contrasts are relative to the reference levels warmer / wet / low.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2026-10-08T17:43:06Z</dcterms:created>
  <dcterms:modified xsi:type="dcterms:W3CDTF">2026-10-08T17:43:06Z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