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Best-supported combined GAMs by panel</w:t>
      </w:r>
    </w:p>
    <w:p>
      <w:pPr>
        <w:spacing w:before="0" w:after="60"/>
        <w:keepNext/>
        <w:jc w:val="start"/>
        <w:pStyle w:val="caption"/>
      </w:pPr>
      <w:r>
        <w:rPr>
          <w:i/>
          <w:rFonts w:ascii="Calibri" w:hAnsi="Calibri"/>
          <w:sz w:val="20"/>
          <w:color w:val="333333"/>
        </w:rPr>
        <w:t xml:space="preserve">Top multivariate model selected by AIC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Panel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Climate 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AIC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Akaike Weight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Deviance Explained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R² Adj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Significant terms (term-level p)</w:t>
            </w:r>
            <w:r>
              <w:rPr>
                <w:vertAlign w:val="superscript"/>
                <w:i/>
                <w:rFonts w:ascii="Calibri" w:hAnsi="Calibri"/>
                <w:sz w:val="20"/>
                <w:color w:val="FFFFFF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Significant contrasts vs. 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EDF Terms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Thermal–disturbance model (intensity)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-55.450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 (p=&lt;1e-04)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(EDF=0.83); s(GMHT_CPS0_30N) (EDF=1.12); s(dT_raw) (EDF=0.52); s(Hur100_av) (EDF=4.07)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Thermal–disturbance model (intensity)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 (p=0.0092)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(EDF=0); s(GMHT_CPS0_30N) (EDF=1.49); s(dT_raw) (EDF=0); s(Hur100_av) (EDF=1.59)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Integrated climate model (frequency)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 (p=0.0017); s(GMHT_CPS0_30N) (p=0.033); s(Hur100_fqcy) (p=0.032)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Hydrovariable (1.16, p=0.039); ThermalCWP&amp;MWA (-1.77, p=0.024); ThermalLIA (-2.39, p=0.0033)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(EDF=0.54); s(GMHT_CPS0_30N) (EDF=1.71); s(dT_raw) (EDF=0); s(Hur100_fqcy) (EDF=1.55)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Thermal–disturbance model (frequency)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-10.516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 (p=0.0092); s(Hur100_fqcy) (p=0.032)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(EDF=0.16); s(GMHT_CPS0_30N) (EDF=0); s(dT_raw) (EDF=1.55); s(Hur100_fqcy) (EDF=0.78)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Integrated climate model (intensity)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-25.869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 (p=0.025)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ThermalLIA (-1.96, p=0.0032)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(EDF=2.75); s(GMHT_CPS0_30N) (EDF=0.6); s(dT_raw) (EDF=0); s(Hur100_av) (EDF=0)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Term-level p: joint Wald test of the whole term (all factor levels together; the spline for continuous predictors); s(age) excluded. Contrasts are relative to the reference levels warmer / wet / low. Rank-deficient candidates were excluded before model selection.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2026-09-30T18:55:50Z</dcterms:created>
  <dcterms:modified xsi:type="dcterms:W3CDTF">2026-09-30T18:55:50Z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