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Best-supported GAMs by panel</w:t>
      </w:r>
    </w:p>
    <w:p>
      <w:pPr>
        <w:spacing w:before="0" w:after="60"/>
        <w:keepNext/>
        <w:jc w:val="start"/>
        <w:pStyle w:val="caption"/>
      </w:pPr>
      <w:r>
        <w:rPr>
          <w:i/>
          <w:rFonts w:ascii="Calibri" w:hAnsi="Calibri"/>
          <w:sz w:val="20"/>
          <w:color w:val="333333"/>
        </w:rPr>
        <w:t xml:space="preserve">Top Linear and Smooth candidates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Model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Climate Driver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Deviance Explained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R² Adj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Climate 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Climate p-value (term)</w:t>
            </w:r>
            <w:r>
              <w:rPr>
                <w:vertAlign w:val="superscript"/>
                <w:i/>
                <w:rFonts w:ascii="Calibri" w:hAnsi="Calibri"/>
                <w:sz w:val="20"/>
                <w:color w:val="FFFFFF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Significant contrasts vs. reference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EDF Terms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7298C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Inference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 regime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-80.549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Thermalcooler (-1.48, p=0.031); ThermalLIA (-3.79, p=&lt;1e-04)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 (EDF=4.73)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Supported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Hurricane average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-87.047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s(Hur100_av)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n/a (no categorical terms)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 (EDF=1); s(Hur100_av) (EDF=3.46)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Supported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M_hyd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Hydroclimatic trends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Hydro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 (EDF=2.92)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Weak support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GMHT anomalies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s(GMHT_CPS0_30N)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n/a (no categorical terms)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 (EDF=1); s(GMHT_CPS0_30N) (EDF=2.1)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Weak support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Hurricane regime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Hurricane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Hurricanehigh (4.22, p=0.019)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 (EDF=2.15)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Weak support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GMHT anomalies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s(GMHT_CPS0_30N)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n/a (no categorical terms)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 (EDF=1.99); s(GMHT_CPS0_30N) (EDF=1)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Supported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M_hyd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Hydroclimatic trends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Hydro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Hydrono data (-1.68, p=0.028)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 (EDF=3.62)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Supported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M_dt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thermal rate of change δT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s(dT_raw)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n/a (no categorical terms)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 (EDF=2.66); s(dT_raw) (EDF=1)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Weak support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Hurricane regime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-57.861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Hurricane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Hurricanecalm (-2.41, p=0.043)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 (EDF=3.08)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Supported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M_hav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Hurricane average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-66.595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s(Hur100_av)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&lt;1e-04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n/a (no categorical terms)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s(age) (EDF=1); s(Hur100_av) (EDF=3.01)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Supported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Climate p-value: joint Wald test of the whole term (all factor levels together for categorical regimes; the spline for continuous predictors). Contrasts are relative to the reference levels warmer / wet / low.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2026-10-04T01:41:17Z</dcterms:created>
  <dcterms:modified xsi:type="dcterms:W3CDTF">2026-10-04T01:41:17Z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