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2"/>
        <w:gridCol w:w="6788"/>
      </w:tblGrid>
      <w:tr w:rsidR="00DB5780" w:rsidRPr="00240DC4" w:rsidTr="00240DC4">
        <w:trPr>
          <w:trHeight w:val="220"/>
        </w:trPr>
        <w:tc>
          <w:tcPr>
            <w:tcW w:w="90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80" w:rsidRPr="00240DC4" w:rsidRDefault="00240DC4" w:rsidP="00240DC4">
            <w:pPr>
              <w:rPr>
                <w:highlight w:val="white"/>
              </w:rPr>
            </w:pPr>
            <w:r>
              <w:rPr>
                <w:highlight w:val="white"/>
              </w:rPr>
              <w:t>JALA</w:t>
            </w:r>
          </w:p>
        </w:tc>
      </w:tr>
      <w:tr w:rsidR="00DB5780" w:rsidRPr="00240DC4" w:rsidTr="00240DC4">
        <w:trPr>
          <w:trHeight w:val="640"/>
        </w:trPr>
        <w:tc>
          <w:tcPr>
            <w:tcW w:w="9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5780" w:rsidRPr="00240DC4" w:rsidRDefault="00240DC4" w:rsidP="00240DC4">
            <w:pPr>
              <w:rPr>
                <w:highlight w:val="white"/>
              </w:rPr>
            </w:pPr>
            <w:r w:rsidRPr="00240DC4">
              <w:rPr>
                <w:highlight w:val="white"/>
              </w:rPr>
              <w:t>NOMENCLATURA</w:t>
            </w:r>
          </w:p>
        </w:tc>
      </w:tr>
      <w:tr w:rsidR="00DB5780" w:rsidRPr="00240DC4" w:rsidTr="00240DC4">
        <w:trPr>
          <w:trHeight w:val="500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0" w:type="dxa"/>
              <w:left w:w="100" w:type="dxa"/>
              <w:bottom w:w="100" w:type="dxa"/>
              <w:right w:w="100" w:type="dxa"/>
            </w:tcMar>
          </w:tcPr>
          <w:p w:rsidR="00DB5780" w:rsidRPr="00240DC4" w:rsidRDefault="00240DC4" w:rsidP="00240DC4">
            <w:pPr>
              <w:rPr>
                <w:highlight w:val="white"/>
              </w:rPr>
            </w:pPr>
            <w:r w:rsidRPr="00240DC4">
              <w:rPr>
                <w:highlight w:val="white"/>
              </w:rPr>
              <w:t>Denominación</w:t>
            </w:r>
          </w:p>
        </w:tc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0" w:type="dxa"/>
              <w:left w:w="100" w:type="dxa"/>
              <w:bottom w:w="100" w:type="dxa"/>
              <w:right w:w="100" w:type="dxa"/>
            </w:tcMar>
          </w:tcPr>
          <w:p w:rsidR="00DB5780" w:rsidRPr="00240DC4" w:rsidRDefault="00240DC4" w:rsidP="00240DC4">
            <w:pPr>
              <w:rPr>
                <w:highlight w:val="white"/>
              </w:rPr>
            </w:pPr>
            <w:r w:rsidRPr="00240DC4">
              <w:rPr>
                <w:highlight w:val="white"/>
              </w:rPr>
              <w:t>Toponimia</w:t>
            </w:r>
          </w:p>
        </w:tc>
      </w:tr>
      <w:tr w:rsidR="00DB5780" w:rsidRPr="00240DC4" w:rsidTr="00240DC4">
        <w:trPr>
          <w:trHeight w:val="960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80" w:rsidRPr="00240DC4" w:rsidRDefault="00240DC4" w:rsidP="00240DC4">
            <w:pPr>
              <w:rPr>
                <w:highlight w:val="white"/>
              </w:rPr>
            </w:pPr>
            <w:r w:rsidRPr="00240DC4">
              <w:rPr>
                <w:highlight w:val="white"/>
              </w:rPr>
              <w:t>Jala</w:t>
            </w:r>
          </w:p>
        </w:tc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80" w:rsidRPr="00240DC4" w:rsidRDefault="00240DC4" w:rsidP="00240DC4">
            <w:pPr>
              <w:rPr>
                <w:highlight w:val="white"/>
              </w:rPr>
            </w:pPr>
            <w:r w:rsidRPr="00240DC4">
              <w:rPr>
                <w:highlight w:val="white"/>
              </w:rPr>
              <w:t>El nombre de Jala- lugar donde abunda la arena, se deriva del vocablo náhuatl "</w:t>
            </w:r>
            <w:proofErr w:type="spellStart"/>
            <w:r w:rsidRPr="00240DC4">
              <w:rPr>
                <w:highlight w:val="white"/>
              </w:rPr>
              <w:t>Xali</w:t>
            </w:r>
            <w:proofErr w:type="spellEnd"/>
            <w:r w:rsidRPr="00240DC4">
              <w:rPr>
                <w:highlight w:val="white"/>
              </w:rPr>
              <w:t>", que significa "Arena", y la variante "</w:t>
            </w:r>
            <w:proofErr w:type="spellStart"/>
            <w:r w:rsidRPr="00240DC4">
              <w:rPr>
                <w:highlight w:val="white"/>
              </w:rPr>
              <w:t>Tla</w:t>
            </w:r>
            <w:proofErr w:type="spellEnd"/>
            <w:r w:rsidRPr="00240DC4">
              <w:rPr>
                <w:highlight w:val="white"/>
              </w:rPr>
              <w:t>", que significa "lugar donde abunda".</w:t>
            </w:r>
          </w:p>
        </w:tc>
      </w:tr>
    </w:tbl>
    <w:p w:rsidR="00DB5780" w:rsidRDefault="00DB5780">
      <w:pPr>
        <w:rPr>
          <w:color w:val="222222"/>
          <w:sz w:val="21"/>
          <w:szCs w:val="21"/>
          <w:highlight w:val="white"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3"/>
        <w:gridCol w:w="7727"/>
      </w:tblGrid>
      <w:tr w:rsidR="00DB5780">
        <w:trPr>
          <w:trHeight w:val="9560"/>
        </w:trPr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100" w:type="dxa"/>
              <w:bottom w:w="100" w:type="dxa"/>
              <w:right w:w="100" w:type="dxa"/>
            </w:tcMar>
          </w:tcPr>
          <w:p w:rsidR="00DB5780" w:rsidRDefault="00240DC4">
            <w:pPr>
              <w:jc w:val="both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  <w:highlight w:val="white"/>
              </w:rPr>
              <w:t>Reseña Histórica</w:t>
            </w:r>
          </w:p>
        </w:tc>
        <w:tc>
          <w:tcPr>
            <w:tcW w:w="77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780" w:rsidRDefault="00240DC4">
            <w:pPr>
              <w:spacing w:before="200" w:after="200"/>
              <w:jc w:val="both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La existencia de vestigios prehispánicos en el municipio, están relacionados a las dos últimas tradiciones culturales que se conocen para Nayarit; la de Tumbas de Tiro y la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Aztatlán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(650 d. C. hasta la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conquista)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Losprimeros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pueblos que habitaron la zona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, fueron portadores de mágicos y misteriosos cultos funerarios, conocidos como constructores de Tumbas de Tiro.</w:t>
            </w:r>
          </w:p>
          <w:p w:rsidR="00DB5780" w:rsidRDefault="00240DC4">
            <w:pPr>
              <w:spacing w:before="200" w:after="200"/>
              <w:jc w:val="both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Pueblos y aldeas que compartieron el acervo común que se manifiesta en sus piezas de cerámica, herramientas de obsidiana e implementos de caza, 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de gran diversidad en sus formas de expresión artística y espiritual.</w:t>
            </w:r>
          </w:p>
          <w:p w:rsidR="00DB5780" w:rsidRDefault="00240DC4">
            <w:pPr>
              <w:jc w:val="center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  <w:highlight w:val="white"/>
                <w:lang w:val="es-MX"/>
              </w:rPr>
              <w:drawing>
                <wp:inline distT="114300" distB="114300" distL="114300" distR="114300">
                  <wp:extent cx="3718560" cy="2362200"/>
                  <wp:effectExtent l="0" t="0" r="0" b="0"/>
                  <wp:docPr id="2" name="image2.jpg" descr="panorámica de ja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panorámica de jala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236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B5780" w:rsidRDefault="00240DC4">
            <w:pPr>
              <w:spacing w:before="200" w:after="200"/>
              <w:jc w:val="both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Durante la tradición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Aztatlán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, los pueblos asentados en la zona participaron en el surgimiento de formas arquitectónicas en la construcción de templos (como fueron los toriles, de Ixtlán del Río); así mismo, sus habitantes fueron tributarios del Señorío de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Ahuacatlán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. Jala, la vieja, fue el primer asentamiento con pobladores de origen náhuatl, que en su tiempo pertenecieron al cacicazgo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Xuchitepec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, localizado a 6 km de la cabecera municipal. Fue evangelizado por los frailes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Ahuacatlán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, que lo visitaba</w:t>
            </w: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n junto con los pueblos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Jomulco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, Ixtlán,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Acatil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Tequepexpan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. Posteriormente, pasó de pueblo a villa y el 5 de febrero de 1918, con la promulgación de la Constitución Política del Estado de Nayarit, Jala quedó integrado como municipio de esta entidad.</w:t>
            </w:r>
          </w:p>
        </w:tc>
      </w:tr>
    </w:tbl>
    <w:p w:rsidR="00DB5780" w:rsidRDefault="00DB5780">
      <w:pPr>
        <w:rPr>
          <w:color w:val="222222"/>
          <w:sz w:val="21"/>
          <w:szCs w:val="21"/>
          <w:highlight w:val="white"/>
        </w:rPr>
      </w:pPr>
      <w:bookmarkStart w:id="0" w:name="_GoBack"/>
      <w:bookmarkEnd w:id="0"/>
    </w:p>
    <w:sectPr w:rsidR="00DB57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80"/>
    <w:rsid w:val="00240DC4"/>
    <w:rsid w:val="00DB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39AC"/>
  <w15:docId w15:val="{57CBAB6C-E0E4-4EA3-A6A5-3E1D117B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Josías Ponce</dc:creator>
  <cp:lastModifiedBy>Josías Ponce</cp:lastModifiedBy>
  <cp:revision>2</cp:revision>
  <dcterms:created xsi:type="dcterms:W3CDTF">2019-09-11T01:53:00Z</dcterms:created>
  <dcterms:modified xsi:type="dcterms:W3CDTF">2019-09-11T01:53:00Z</dcterms:modified>
</cp:coreProperties>
</file>