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Descripción y Desarrollo del Prototipo de Asistente Virtual (Arquitectura RAG)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detalla el funcionamiento, la arquitectura y el desarrollo del prototipo de asistente virtual basado en Generación Aumentada por Recuperación (RAG) diseñado para la Universidad del Valle de Guatemala (UVG) Campus Altiplano [cite: 1].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Descripción General de la Plataforma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plataforma es una aplicación web diseñada para automatizar la atención al estudiante en la UVG Altiplano, resolviendo consultas sobre normativas internas, reglamentos académicos, beneficios estudiantiles y seguros institucionales [cite: 1]. Su objetivo principal es reducir el cuello de botella operativo y la latencia del modelo de atención manual actual, despachando respuestas precisas y contextualizadas sin intervención humana para liberar al personal hacia tareas administrativas críticas [cite: 1].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Funcionamiento de la Arquitectura RAG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utiliza la arquitectura RAG para desvincular el conocimiento interno del modelo de lenguaje de su capacidad de razonamiento, permitiendo consultas en tiempo real a información propietaria y mitigando las alucinaciones [cite: 1]. El flujo operativo consta de las siguientes etapas: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Procesamiento de Datos (ETL) y Chunking:</w:t>
      </w:r>
      <w:r w:rsidDel="00000000" w:rsidR="00000000" w:rsidRPr="00000000">
        <w:rPr>
          <w:rtl w:val="0"/>
        </w:rPr>
        <w:t xml:space="preserve"> Los documentos oficiales en PDF se extraen usando la librería PyMuPDF, se limpian con expresiones regulares y se dividen en fragmentos de tamaño fijo mediante RecursiveCharacterTextSplitter, manteniendo un solapamiento (overlap) de 100 caracteres para preservar la coherencia semántica [cite: 1].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Vectorización (Embeddings):</w:t>
      </w:r>
      <w:r w:rsidDel="00000000" w:rsidR="00000000" w:rsidRPr="00000000">
        <w:rPr>
          <w:rtl w:val="0"/>
        </w:rPr>
        <w:t xml:space="preserve"> El texto limpio se transforma en vectores numéricos multidimensionales utilizando el modelo preentrenado sentence-transformers/all-MiniLM-L6-v2 [cite: 1].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Recuperación Semántica:</w:t>
      </w:r>
      <w:r w:rsidDel="00000000" w:rsidR="00000000" w:rsidRPr="00000000">
        <w:rPr>
          <w:rtl w:val="0"/>
        </w:rPr>
        <w:t xml:space="preserve"> Los vectores se indexan en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, una base de datos vectorial local [cite: 1]. Cuando el usuario hace una pregunta, el sistema la convierte en un vector y aplica la Similitud del Coseno para extraer los fragmentos más relevantes (Top-K) del corpus documental institucional [cite: 1].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Comportamiento y Configuración del Agente de IA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agente inteligente está restringido a operar como un experto normativo, procesando la información a través del Modelo de Lenguaje Masivo </w:t>
      </w:r>
      <w:r w:rsidDel="00000000" w:rsidR="00000000" w:rsidRPr="00000000">
        <w:rPr>
          <w:b w:val="1"/>
          <w:bCs w:val="1"/>
          <w:rtl w:val="0"/>
        </w:rPr>
        <w:t xml:space="preserve">Claude 3.5 Sonnet</w:t>
      </w:r>
      <w:r w:rsidDel="00000000" w:rsidR="00000000" w:rsidRPr="00000000">
        <w:rPr>
          <w:rtl w:val="0"/>
        </w:rPr>
        <w:t xml:space="preserve"> de Anthropic [cite: 1]. Su comportamiento se rige por las siguientes reglas: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Ingeniería de Prompts y Verificación:</w:t>
      </w:r>
      <w:r w:rsidDel="00000000" w:rsidR="00000000" w:rsidRPr="00000000">
        <w:rPr>
          <w:rtl w:val="0"/>
        </w:rPr>
        <w:t xml:space="preserve"> Utiliza un </w:t>
      </w:r>
      <w:r w:rsidDel="00000000" w:rsidR="00000000" w:rsidRPr="00000000">
        <w:rPr>
          <w:i w:val="1"/>
          <w:iCs w:val="1"/>
          <w:rtl w:val="0"/>
        </w:rPr>
        <w:t xml:space="preserve">System Prompt</w:t>
      </w:r>
      <w:r w:rsidDel="00000000" w:rsidR="00000000" w:rsidRPr="00000000">
        <w:rPr>
          <w:rtl w:val="0"/>
        </w:rPr>
        <w:t xml:space="preserve"> estricto con la estrategia </w:t>
      </w:r>
      <w:r w:rsidDel="00000000" w:rsidR="00000000" w:rsidRPr="00000000">
        <w:rPr>
          <w:i w:val="1"/>
          <w:iCs w:val="1"/>
          <w:rtl w:val="0"/>
        </w:rPr>
        <w:t xml:space="preserve">Chain-of-Verification</w:t>
      </w:r>
      <w:r w:rsidDel="00000000" w:rsidR="00000000" w:rsidRPr="00000000">
        <w:rPr>
          <w:rtl w:val="0"/>
        </w:rPr>
        <w:t xml:space="preserve">, forzando al agente a construir su respuesta utilizando única y exclusivamente los fragmentos de texto recuperados por la base de datos [cite: 1].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Restricción de Alucinaciones:</w:t>
      </w:r>
      <w:r w:rsidDel="00000000" w:rsidR="00000000" w:rsidRPr="00000000">
        <w:rPr>
          <w:rtl w:val="0"/>
        </w:rPr>
        <w:t xml:space="preserve"> El agente tiene la instrucción obligatoria de declarar que no posee la información si ChromaDB no devuelve datos relevantes, evitando así la invención de respuestas [cite: 1].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Determinismo:</w:t>
      </w:r>
      <w:r w:rsidDel="00000000" w:rsidR="00000000" w:rsidRPr="00000000">
        <w:rPr>
          <w:rtl w:val="0"/>
        </w:rPr>
        <w:t xml:space="preserve"> El parámetro de Temperatura del LLM se establece en 0.0 (</w:t>
      </w:r>
      <w:r w:rsidDel="00000000" w:rsidR="00000000" w:rsidRPr="00000000">
        <w:rPr>
          <w:i w:val="1"/>
          <w:iCs w:val="1"/>
          <w:rtl w:val="0"/>
        </w:rPr>
        <w:t xml:space="preserve">Greedy Decoding</w:t>
      </w:r>
      <w:r w:rsidDel="00000000" w:rsidR="00000000" w:rsidRPr="00000000">
        <w:rPr>
          <w:rtl w:val="0"/>
        </w:rPr>
        <w:t xml:space="preserve">) para anular la aleatoriedad, garantizando que el modelo seleccione siempre los tokens más probables y emita respuestas objetivas y consistentes [cite: 1].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Fases de Desarrollo e Implementación Tecnológica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prototipo se construye bajo una arquitectura de software fuertemente desacoplada [cite: 1]: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Componente del Sistema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Tecnologías Utilizadas [cite: 1]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Propósito en el Desarrollo [cite: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de Presentación (Frontend)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React y Tailwind CSS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Proveer una interfaz de chat interactiva, responsiva y minimalista que utiliza estados de carga (typing indicators) para reducir la percepción de latencia en el usuario [cite: 1].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Servidor (Backend)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FastAPI (Python) y LangChain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API RESTful asíncrona encargada de orquestar la comunicación bidireccional entre la interfaz, el motor de búsqueda vectorial y la API del LLM [cite: 1].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Conocimiento Local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Almacenar de forma persistente y topológica los vectores institucionales, garantizando la privacidad de los datos al no exponerlos a internet [cite: 1].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Despliegue y Contenedorización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Docker y Docker Compose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Empaquetar toda la aplicación y sus dependencias para garantizar un entorno de ejecución estandarizado, reproducible y portable a infraestructuras institucionales [cite: 1].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Validación del Sistema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desempeño del agente se evaluará empíricamente contra el modelo de atención manual utilizando el framework </w:t>
      </w:r>
      <w:r w:rsidDel="00000000" w:rsidR="00000000" w:rsidRPr="00000000">
        <w:rPr>
          <w:b w:val="1"/>
          <w:bCs w:val="1"/>
          <w:rtl w:val="0"/>
        </w:rPr>
        <w:t xml:space="preserve">RAGAS</w:t>
      </w:r>
      <w:r w:rsidDel="00000000" w:rsidR="00000000" w:rsidRPr="00000000">
        <w:rPr>
          <w:rtl w:val="0"/>
        </w:rPr>
        <w:t xml:space="preserve">, midiendo la Tríada RAG [cite: 1]: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Fidelidad:</w:t>
      </w:r>
      <w:r w:rsidDel="00000000" w:rsidR="00000000" w:rsidRPr="00000000">
        <w:rPr>
          <w:rtl w:val="0"/>
        </w:rPr>
        <w:t xml:space="preserve"> Asegurar que la respuesta se derive estrictamente del contexto recuperado [cite: 1].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Relevancia del Contexto:</w:t>
      </w:r>
      <w:r w:rsidDel="00000000" w:rsidR="00000000" w:rsidRPr="00000000">
        <w:rPr>
          <w:rtl w:val="0"/>
        </w:rPr>
        <w:t xml:space="preserve"> Verificar que ChromaDB extraiga únicamente información útil [cite: 1].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Relevancia de la Respuesta:</w:t>
      </w:r>
      <w:r w:rsidDel="00000000" w:rsidR="00000000" w:rsidRPr="00000000">
        <w:rPr>
          <w:rtl w:val="0"/>
        </w:rPr>
        <w:t xml:space="preserve"> Comprobar que la respuesta atienda directamente la intención de la consulta [cite: 1].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Latencia:</w:t>
      </w:r>
      <w:r w:rsidDel="00000000" w:rsidR="00000000" w:rsidRPr="00000000">
        <w:rPr>
          <w:rtl w:val="0"/>
        </w:rPr>
        <w:t xml:space="preserve"> Comparar el tiempo de inferencia del sistema completo (en segundos) contra el tiempo de respuesta manual cronometrado [cite: 1].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