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300" w:before="0" w:line="276"/>
        <w:jc w:val="center"/>
      </w:pPr>
      <w:r>
        <w:rPr>
          <w:rFonts w:ascii="Arial" w:cs="Arial" w:eastAsia="Arial" w:hAnsi="Arial"/>
          <w:i/>
          <w:iCs/>
          <w:color w:val="999999"/>
          <w:sz w:val="18"/>
          <w:szCs w:val="18"/>
        </w:rPr>
        <w:t xml:space="preserve">[ Insert official UPAEP logo ]</w:t>
      </w:r>
    </w:p>
    <w:p>
      <w:pPr>
        <w:spacing w:after="0" w:before="0" w:line="276"/>
        <w:jc w:val="center"/>
      </w:pPr>
      <w:r>
        <w:rPr>
          <w:rFonts w:ascii="Arial" w:cs="Arial" w:eastAsia="Arial" w:hAnsi="Arial"/>
          <w:b/>
          <w:bCs/>
          <w:color w:val="9E1B32"/>
          <w:sz w:val="26"/>
          <w:szCs w:val="26"/>
        </w:rPr>
        <w:t xml:space="preserve">UNIVERSIDAD POPULAR AUTÓNOMA</w:t>
      </w:r>
    </w:p>
    <w:p>
      <w:pPr>
        <w:spacing w:after="160" w:before="0" w:line="276"/>
        <w:jc w:val="center"/>
      </w:pPr>
      <w:r>
        <w:rPr>
          <w:rFonts w:ascii="Arial" w:cs="Arial" w:eastAsia="Arial" w:hAnsi="Arial"/>
          <w:b/>
          <w:bCs/>
          <w:color w:val="9E1B32"/>
          <w:sz w:val="26"/>
          <w:szCs w:val="26"/>
        </w:rPr>
        <w:t xml:space="preserve">DEL ESTADO DE PUEBLA</w:t>
      </w:r>
    </w:p>
    <w:p>
      <w:pPr>
        <w:spacing w:after="40" w:before="0" w:line="276"/>
        <w:jc w:val="center"/>
      </w:pPr>
      <w:r>
        <w:rPr>
          <w:rFonts w:ascii="Arial" w:cs="Arial" w:eastAsia="Arial" w:hAnsi="Arial"/>
          <w:color w:val="222222"/>
          <w:sz w:val="22"/>
          <w:szCs w:val="22"/>
        </w:rPr>
        <w:t xml:space="preserve">Decanato de Ingenierías</w:t>
      </w:r>
    </w:p>
    <w:p>
      <w:pPr>
        <w:spacing w:after="500" w:before="0" w:line="276"/>
        <w:jc w:val="center"/>
      </w:pPr>
      <w:r>
        <w:rPr>
          <w:rFonts w:ascii="Arial" w:cs="Arial" w:eastAsia="Arial" w:hAnsi="Arial"/>
          <w:color w:val="3A3A3A"/>
          <w:sz w:val="20"/>
          <w:szCs w:val="20"/>
        </w:rPr>
        <w:t xml:space="preserve">Course: Agile Project Management</w:t>
      </w:r>
    </w:p>
    <w:p>
      <w:pPr>
        <w:spacing w:after="60" w:before="0" w:line="276"/>
        <w:jc w:val="center"/>
      </w:pPr>
      <w:r>
        <w:rPr>
          <w:rFonts w:ascii="Arial" w:cs="Arial" w:eastAsia="Arial" w:hAnsi="Arial"/>
          <w:b/>
          <w:bCs/>
          <w:color w:val="222222"/>
          <w:sz w:val="56"/>
          <w:szCs w:val="56"/>
        </w:rPr>
        <w:t xml:space="preserve">SPRINT 2</w:t>
      </w:r>
    </w:p>
    <w:p>
      <w:pPr>
        <w:spacing w:after="120" w:before="0" w:line="276"/>
        <w:jc w:val="center"/>
      </w:pPr>
      <w:r>
        <w:rPr>
          <w:rFonts w:ascii="Arial" w:cs="Arial" w:eastAsia="Arial" w:hAnsi="Arial"/>
          <w:b/>
          <w:bCs/>
          <w:color w:val="222222"/>
          <w:sz w:val="30"/>
          <w:szCs w:val="30"/>
        </w:rPr>
        <w:t xml:space="preserve">SPRINT REVIEW &amp; DELIVERY</w:t>
      </w:r>
    </w:p>
    <w:p>
      <w:pPr>
        <w:spacing w:after="60" w:before="0" w:line="276"/>
        <w:jc w:val="center"/>
      </w:pPr>
      <w:r>
        <w:rPr>
          <w:rFonts w:ascii="Arial" w:cs="Arial" w:eastAsia="Arial" w:hAnsi="Arial"/>
          <w:b/>
          <w:bCs/>
          <w:color w:val="9E1B32"/>
          <w:sz w:val="24"/>
          <w:szCs w:val="24"/>
        </w:rPr>
        <w:t xml:space="preserve">SmartGreenAI: Cilantro Crop</w:t>
      </w:r>
    </w:p>
    <w:p>
      <w:pPr>
        <w:spacing w:after="500" w:before="0" w:line="276"/>
        <w:jc w:val="center"/>
      </w:pPr>
      <w:r>
        <w:rPr>
          <w:rFonts w:ascii="Arial" w:cs="Arial" w:eastAsia="Arial" w:hAnsi="Arial"/>
          <w:color w:val="6B6B6B"/>
          <w:sz w:val="18"/>
          <w:szCs w:val="18"/>
        </w:rPr>
        <w:t xml:space="preserve">Sprint Backlog, Execution Evidence and Increment (September 21, 2026 – October 9, 2026)</w:t>
      </w:r>
    </w:p>
    <w:p>
      <w:pPr>
        <w:spacing w:after="20" w:before="0" w:line="276"/>
        <w:jc w:val="center"/>
      </w:pPr>
      <w:r>
        <w:rPr>
          <w:rFonts w:ascii="Arial" w:cs="Arial" w:eastAsia="Arial" w:hAnsi="Arial"/>
          <w:b/>
          <w:bCs/>
          <w:color w:val="222222"/>
          <w:sz w:val="20"/>
          <w:szCs w:val="20"/>
        </w:rPr>
        <w:t xml:space="preserve">Professor</w:t>
      </w:r>
    </w:p>
    <w:p>
      <w:pPr>
        <w:spacing w:after="300" w:before="0" w:line="276"/>
        <w:jc w:val="center"/>
      </w:pPr>
      <w:r>
        <w:rPr>
          <w:rFonts w:ascii="Arial" w:cs="Arial" w:eastAsia="Arial" w:hAnsi="Arial"/>
          <w:color w:val="222222"/>
          <w:sz w:val="20"/>
          <w:szCs w:val="20"/>
        </w:rPr>
        <w:t xml:space="preserve">Jorge Rafael Aguilar Cisneros</w:t>
      </w:r>
    </w:p>
    <w:p>
      <w:pPr>
        <w:spacing w:after="100" w:before="0" w:line="276"/>
        <w:jc w:val="center"/>
      </w:pPr>
      <w:r>
        <w:rPr>
          <w:rFonts w:ascii="Arial" w:cs="Arial" w:eastAsia="Arial" w:hAnsi="Arial"/>
          <w:b/>
          <w:bCs/>
          <w:color w:val="222222"/>
          <w:sz w:val="20"/>
          <w:szCs w:val="20"/>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rPr>
          <w:cantSplit/>
          <w:tblHeader/>
        </w:trPr>
        <w:tc>
          <w:tcPr>
            <w:tcW w:type="dxa" w:w="42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Student</w:t>
            </w:r>
          </w:p>
        </w:tc>
        <w:tc>
          <w:tcPr>
            <w:tcW w:type="dxa" w:w="1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Student ID</w:t>
            </w:r>
          </w:p>
        </w:tc>
        <w:tc>
          <w:tcPr>
            <w:tcW w:type="dxa" w:w="35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Scrum role</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Scrum Master / 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2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1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[ID]</w:t>
            </w:r>
          </w:p>
        </w:tc>
        <w:tc>
          <w:tcPr>
            <w:tcW w:type="dxa" w:w="3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Product Owner / Developer</w:t>
            </w:r>
          </w:p>
        </w:tc>
      </w:tr>
    </w:tbl>
    <w:p>
      <w:pPr>
        <w:spacing w:after="700"/>
      </w:pPr>
    </w:p>
    <w:p>
      <w:pPr>
        <w:spacing w:after="120" w:before="0" w:line="276"/>
        <w:jc w:val="center"/>
      </w:pPr>
      <w:r>
        <w:rPr>
          <w:rFonts w:ascii="Arial" w:cs="Arial" w:eastAsia="Arial" w:hAnsi="Arial"/>
          <w:color w:val="6B6B6B"/>
          <w:sz w:val="20"/>
          <w:szCs w:val="20"/>
        </w:rPr>
        <w:t xml:space="preserve">Puebla, Puebla — September 2026</w:t>
      </w:r>
    </w:p>
    <w:p>
      <w:r>
        <w:br w:type="page"/>
      </w:r>
    </w:p>
    <w:p>
      <w:pPr>
        <w:pStyle w:val="Heading1"/>
        <w:keepNext/>
        <w:pBdr>
          <w:bottom w:val="single" w:color="DDDDDD" w:sz="6" w:space="4"/>
        </w:pBdr>
        <w:spacing w:after="140" w:before="280"/>
      </w:pPr>
      <w:r>
        <w:rPr>
          <w:rFonts w:ascii="Arial" w:cs="Arial" w:eastAsia="Arial" w:hAnsi="Arial"/>
          <w:b/>
          <w:bCs/>
          <w:color w:val="9E1B32"/>
          <w:sz w:val="30"/>
          <w:szCs w:val="30"/>
        </w:rPr>
        <w:t xml:space="preserve">1. Sprint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Sprint</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Sprint 2 — IoT Cloud Communication, Storage and APIs</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Dates</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September 21, 2026 – October 9, 2026 (3 weeks)</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Sprint Goal</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Extend the SmartGreenAI platform by enabling cloud communication and data storage for IoT measurements, providing APIs for system integration, configuring environmental thresholds, displaying actuator status, managing IoT infrastructure, and completing secure role-based login.</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Result</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Sprint Goal achieved. All committed user stories are Done and accepted by the Product Owner.</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User stories</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7 committed / 7 done</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Tasks</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34 development tasks + 2 sprint-level tasks, all Done</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Hours</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42 h planned / 44 h actual (velocity: 42 h of committed work completed)</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Review date</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October 9, 2026, 4:30 PM</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2. Sprint Goal Assessment</w:t>
      </w:r>
    </w:p>
    <w:p>
      <w:pPr>
        <w:spacing w:after="120" w:before="0" w:line="276"/>
      </w:pPr>
      <w:r>
        <w:rPr>
          <w:rFonts w:ascii="Arial" w:cs="Arial" w:eastAsia="Arial" w:hAnsi="Arial"/>
          <w:b/>
          <w:bCs/>
          <w:color w:val="222222"/>
          <w:sz w:val="20"/>
          <w:szCs w:val="20"/>
        </w:rPr>
        <w:t xml:space="preserve">Measurable goal: </w:t>
      </w:r>
      <w:r>
        <w:rPr>
          <w:rFonts w:ascii="Arial" w:cs="Arial" w:eastAsia="Arial" w:hAnsi="Arial"/>
          <w:color w:val="222222"/>
          <w:sz w:val="20"/>
          <w:szCs w:val="20"/>
        </w:rPr>
        <w:t xml:space="preserve">a registered sensor sends measurements to the cloud, they are stored with sensor ID and timestamp, they can be consulted through the API, an administrator can configure thresholds, and a logged-in producer can see the status of every actuator.</w:t>
      </w:r>
    </w:p>
    <w:p>
      <w:pPr>
        <w:spacing w:after="120" w:before="0" w:line="276"/>
      </w:pPr>
      <w:r>
        <w:rPr>
          <w:rFonts w:ascii="Arial" w:cs="Arial" w:eastAsia="Arial" w:hAnsi="Arial"/>
          <w:b/>
          <w:bCs/>
          <w:color w:val="222222"/>
          <w:sz w:val="20"/>
          <w:szCs w:val="20"/>
        </w:rPr>
        <w:t xml:space="preserve">Assessment: </w:t>
      </w:r>
      <w:r>
        <w:rPr>
          <w:rFonts w:ascii="Arial" w:cs="Arial" w:eastAsia="Arial" w:hAnsi="Arial"/>
          <w:color w:val="222222"/>
          <w:sz w:val="20"/>
          <w:szCs w:val="20"/>
        </w:rPr>
        <w:t xml:space="preserve">the measurable goal was demonstrated live at the Sprint Review (section 8). Transmission test result: 100 readings sent, 99 stored correctly (99%), average delay 1.4 s.</w:t>
      </w:r>
    </w:p>
    <w:p>
      <w:pPr>
        <w:pStyle w:val="Heading1"/>
        <w:keepNext/>
        <w:pBdr>
          <w:bottom w:val="single" w:color="DDDDDD" w:sz="6" w:space="4"/>
        </w:pBdr>
        <w:spacing w:after="140" w:before="280"/>
      </w:pPr>
      <w:r>
        <w:rPr>
          <w:rFonts w:ascii="Arial" w:cs="Arial" w:eastAsia="Arial" w:hAnsi="Arial"/>
          <w:b/>
          <w:bCs/>
          <w:color w:val="9E1B32"/>
          <w:sz w:val="30"/>
          <w:szCs w:val="30"/>
        </w:rPr>
        <w:t xml:space="preserve">3. Sprint Backlog — Final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3000"/>
        <w:gridCol w:w="850"/>
        <w:gridCol w:w="2160"/>
        <w:gridCol w:w="750"/>
        <w:gridCol w:w="800"/>
        <w:gridCol w:w="850"/>
      </w:tblGrid>
      <w:tr>
        <w:trPr>
          <w:cantSplit/>
          <w:tblHeader/>
        </w:trPr>
        <w:tc>
          <w:tcPr>
            <w:tcW w:type="dxa" w:w="9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ID</w:t>
            </w:r>
          </w:p>
        </w:tc>
        <w:tc>
          <w:tcPr>
            <w:tcW w:type="dxa" w:w="30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User Story</w:t>
            </w:r>
          </w:p>
        </w:tc>
        <w:tc>
          <w:tcPr>
            <w:tcW w:type="dxa" w:w="8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Priority</w:t>
            </w:r>
          </w:p>
        </w:tc>
        <w:tc>
          <w:tcPr>
            <w:tcW w:type="dxa" w:w="21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Owner</w:t>
            </w:r>
          </w:p>
        </w:tc>
        <w:tc>
          <w:tcPr>
            <w:tcW w:type="dxa" w:w="7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Plan h</w:t>
            </w:r>
          </w:p>
        </w:tc>
        <w:tc>
          <w:tcPr>
            <w:tcW w:type="dxa" w:w="8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Actual h</w:t>
            </w:r>
          </w:p>
        </w:tc>
        <w:tc>
          <w:tcPr>
            <w:tcW w:type="dxa" w:w="8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US-01-C</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Complete secure login and role-based access</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Transmit IoT measurements to the cloud</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9</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Store measurements with sensor IDs and timestamps</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Provide APIs for IoT devices and web application</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9</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Configure sensor thresholds</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5</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US-14</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View actuator status</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Must</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US-25</w:t>
            </w:r>
          </w:p>
        </w:tc>
        <w:tc>
          <w:tcPr>
            <w:tcW w:type="dxa" w:w="30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Register IoT devices, sensors and actuators</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Could</w:t>
            </w:r>
          </w:p>
        </w:tc>
        <w:tc>
          <w:tcPr>
            <w:tcW w:type="dxa" w:w="2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7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8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c>
          <w:tcPr>
            <w:tcW w:type="dxa" w:w="8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r>
      <w:tr>
        <w:trPr>
          <w:cantSplit/>
        </w:trPr>
        <w:tc>
          <w:tcPr>
            <w:tcW w:type="dxa" w:w="9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30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Total Sprint 2</w:t>
            </w:r>
          </w:p>
        </w:tc>
        <w:tc>
          <w:tcPr>
            <w:tcW w:type="dxa" w:w="8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216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c>
          <w:tcPr>
            <w:tcW w:type="dxa" w:w="7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42</w:t>
            </w:r>
          </w:p>
        </w:tc>
        <w:tc>
          <w:tcPr>
            <w:tcW w:type="dxa" w:w="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44</w:t>
            </w:r>
          </w:p>
        </w:tc>
        <w:tc>
          <w:tcPr>
            <w:tcW w:type="dxa" w:w="85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7"/>
                <w:szCs w:val="17"/>
              </w:rPr>
              <w:t xml:space="preserve"/>
            </w:r>
          </w:p>
        </w:tc>
      </w:tr>
    </w:tbl>
    <w:p>
      <w:pPr>
        <w:spacing w:after="120" w:before="80" w:line="276"/>
      </w:pPr>
      <w:r>
        <w:rPr>
          <w:rFonts w:ascii="Arial" w:cs="Arial" w:eastAsia="Arial" w:hAnsi="Arial"/>
          <w:i/>
          <w:iCs/>
          <w:color w:val="6B6B6B"/>
          <w:sz w:val="20"/>
          <w:szCs w:val="20"/>
        </w:rPr>
        <w:t xml:space="preserve">Estimation variance: US06-T3 took 3 h instead of 2 h; US08-T4 took 2 h instead of 1 h. The Week 3 buffer absorbed the difference.</w:t>
      </w:r>
    </w:p>
    <w:p>
      <w:pPr>
        <w:pStyle w:val="Heading1"/>
        <w:keepNext/>
        <w:pBdr>
          <w:bottom w:val="single" w:color="DDDDDD" w:sz="6" w:space="4"/>
        </w:pBdr>
        <w:spacing w:after="140" w:before="280"/>
      </w:pPr>
      <w:r>
        <w:rPr>
          <w:rFonts w:ascii="Arial" w:cs="Arial" w:eastAsia="Arial" w:hAnsi="Arial"/>
          <w:b/>
          <w:bCs/>
          <w:color w:val="9E1B32"/>
          <w:sz w:val="30"/>
          <w:szCs w:val="30"/>
        </w:rPr>
        <w:t xml:space="preserve">4. Tasks Completed and Evidence</w:t>
      </w:r>
    </w:p>
    <w:p>
      <w:pPr>
        <w:spacing w:after="120" w:before="0" w:line="276"/>
      </w:pPr>
      <w:r>
        <w:rPr>
          <w:rFonts w:ascii="Arial" w:cs="Arial" w:eastAsia="Arial" w:hAnsi="Arial"/>
          <w:color w:val="222222"/>
          <w:sz w:val="20"/>
          <w:szCs w:val="20"/>
        </w:rPr>
        <w:t xml:space="preserve">Every task has its evidence file in the folder Sprint 2/Evidence/&lt;User Story&gt;/. The file name starts with the task ID so that each completion condition can be traced to its proof.</w:t>
      </w:r>
    </w:p>
    <w:p>
      <w:pPr>
        <w:pStyle w:val="Heading2"/>
        <w:keepNext/>
        <w:spacing w:after="100" w:before="220"/>
      </w:pPr>
      <w:r>
        <w:rPr>
          <w:rFonts w:ascii="Arial" w:cs="Arial" w:eastAsia="Arial" w:hAnsi="Arial"/>
          <w:b/>
          <w:bCs/>
          <w:color w:val="9E1B32"/>
          <w:sz w:val="22"/>
          <w:szCs w:val="22"/>
        </w:rPr>
        <w:t xml:space="preserve">US-01-C — Complete secure login and role-based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US01C-T1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Connect the login form to the authentication service</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US01C-T1_Connect_Login_Form_Authentication_Service.docx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US01C-T2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role-based access (RBAC) and redirection</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US01C-T2_Implement_Role-Based_Access_RBAC_Redirection.docx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US01C-T3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Build and run the permission matrix test</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US01C-T3_Build_Run_Permission_Matrix_Test.docx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US01C-T4</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invalid credentials and unauthorized access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US01C-T4_Test_Invalid_Credentials_Unauthorized_Access.docx</w:t>
            </w:r>
          </w:p>
        </w:tc>
      </w:tr>
    </w:tbl>
    <w:p>
      <w:pPr>
        <w:pStyle w:val="Heading2"/>
        <w:keepNext/>
        <w:spacing w:after="100" w:before="220"/>
      </w:pPr>
      <w:r>
        <w:rPr>
          <w:rFonts w:ascii="Arial" w:cs="Arial" w:eastAsia="Arial" w:hAnsi="Arial"/>
          <w:b/>
          <w:bCs/>
          <w:color w:val="9E1B32"/>
          <w:sz w:val="22"/>
          <w:szCs w:val="22"/>
        </w:rPr>
        <w:t xml:space="preserve">US-06 — Transmit IoT measurements to the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Design the IoT-to-cloud data flow and message format</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US06-T1_Design_IoT-To-Cloud_Data_Flow_Message.docx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Configure the cloud service and device authentication</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US06-T2_Configure_Cloud_Service_Device_Authentication.docx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measurement sending from the device (or simulator)</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US06-T3_Implement_Measurement_Sending_Device_Simulator.docx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US06-T4</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Handle connection failures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US06-T4_Handle_Connection_Failures.docx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US06-T5</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End-to-end transmission test</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US06-T5_End-To-End_Transmission_Test.docx</w:t>
            </w:r>
          </w:p>
        </w:tc>
      </w:tr>
    </w:tbl>
    <w:p>
      <w:pPr>
        <w:pStyle w:val="Heading2"/>
        <w:keepNext/>
        <w:spacing w:after="100" w:before="220"/>
      </w:pPr>
      <w:r>
        <w:rPr>
          <w:rFonts w:ascii="Arial" w:cs="Arial" w:eastAsia="Arial" w:hAnsi="Arial"/>
          <w:b/>
          <w:bCs/>
          <w:color w:val="9E1B32"/>
          <w:sz w:val="22"/>
          <w:szCs w:val="22"/>
        </w:rPr>
        <w:t xml:space="preserve">US-07 — Store measurements with sensor IDs and timestamps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Design the measurement data model</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US07-T1_Design_Measurement_Data_Model.docx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Create the database schema</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US07-T2_Create_Database_Schema.docx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storage service</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US07-T3_Implement_Storage_Service.docx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US07-T4</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history queries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US07-T4_Implement_History_Queries.docx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US07-T5</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storage and retrieval</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US07-T5_Test_Storage_Retrieval.docx</w:t>
            </w:r>
          </w:p>
        </w:tc>
      </w:tr>
    </w:tbl>
    <w:p>
      <w:pPr>
        <w:pStyle w:val="Heading2"/>
        <w:keepNext/>
        <w:spacing w:after="100" w:before="220"/>
      </w:pPr>
      <w:r>
        <w:rPr>
          <w:rFonts w:ascii="Arial" w:cs="Arial" w:eastAsia="Arial" w:hAnsi="Arial"/>
          <w:b/>
          <w:bCs/>
          <w:color w:val="9E1B32"/>
          <w:sz w:val="22"/>
          <w:szCs w:val="22"/>
        </w:rPr>
        <w:t xml:space="preserve">US-08 — Provide APIs for IoT devices and web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Write the API specification</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US08-T1_API_Specification_SmartGreenAI.docx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Set up the API project and security layer</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US08-T2_Set_Up_API_Project_Security.docx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measurement endpoints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US08-T3_Implement_Measurement_Endpoints.docx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US08-T4</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web application endpoints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US08-T4_Implement_Web_Application_Endpoints.docx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US08-T5</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Standardize validation and error responses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US08-T5_Standardize_Validation_Error_Responses.docx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US08-T6</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API test collection</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US08-T6_API_Test_Collection.docx</w:t>
            </w:r>
          </w:p>
        </w:tc>
      </w:tr>
    </w:tbl>
    <w:p>
      <w:pPr>
        <w:pStyle w:val="Heading2"/>
        <w:keepNext/>
        <w:spacing w:after="100" w:before="220"/>
      </w:pPr>
      <w:r>
        <w:rPr>
          <w:rFonts w:ascii="Arial" w:cs="Arial" w:eastAsia="Arial" w:hAnsi="Arial"/>
          <w:b/>
          <w:bCs/>
          <w:color w:val="9E1B32"/>
          <w:sz w:val="22"/>
          <w:szCs w:val="22"/>
        </w:rPr>
        <w:t xml:space="preserve">US-10 — Configure sensor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Define the threshold data model and default values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US10-T1_Define_Threshold_Data_Model_Default.docx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Design the threshold configuration screen</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US10-T2_Design_Threshold_Configuration_Screen.docx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create/update logic with validation</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US10-T3_Implement_Create_Update_Logic_Validation.docx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US10-T4</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Connect the screen to the API</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US10-T4_Connect_Screen_API.docx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US10-T5</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threshold configuration</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US10-T5_Test_Threshold_Configuration.docx</w:t>
            </w:r>
          </w:p>
        </w:tc>
      </w:tr>
    </w:tbl>
    <w:p>
      <w:pPr>
        <w:pStyle w:val="Heading2"/>
        <w:keepNext/>
        <w:spacing w:after="100" w:before="220"/>
      </w:pPr>
      <w:r>
        <w:rPr>
          <w:rFonts w:ascii="Arial" w:cs="Arial" w:eastAsia="Arial" w:hAnsi="Arial"/>
          <w:b/>
          <w:bCs/>
          <w:color w:val="9E1B32"/>
          <w:sz w:val="22"/>
          <w:szCs w:val="22"/>
        </w:rPr>
        <w:t xml:space="preserve">US-14 — View actuator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US14-T1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Define actuator states and data</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US14-T1_Define_Actuator_States_Data.docx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US14-T2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the current-status query</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US14-T2_Implement_Current-Status_Query.docx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US14-T3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Build the actuator status panel</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US14-T3_Build_Actuator_Status_Panel.docx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US14-T4</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actuator status visualization</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US14-T4_Test_Actuator_Status_Visualization.docx</w:t>
            </w:r>
          </w:p>
        </w:tc>
      </w:tr>
    </w:tbl>
    <w:p>
      <w:pPr>
        <w:pStyle w:val="Heading2"/>
        <w:keepNext/>
        <w:spacing w:after="100" w:before="220"/>
      </w:pPr>
      <w:r>
        <w:rPr>
          <w:rFonts w:ascii="Arial" w:cs="Arial" w:eastAsia="Arial" w:hAnsi="Arial"/>
          <w:b/>
          <w:bCs/>
          <w:color w:val="9E1B32"/>
          <w:sz w:val="22"/>
          <w:szCs w:val="22"/>
        </w:rPr>
        <w:t xml:space="preserve">US-25 — Register IoT devices, sensors and actuators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50"/>
        <w:gridCol w:w="1450"/>
        <w:gridCol w:w="480"/>
        <w:gridCol w:w="700"/>
        <w:gridCol w:w="3400"/>
      </w:tblGrid>
      <w:tr>
        <w:trPr>
          <w:cantSplit/>
          <w:tblHeader/>
        </w:trPr>
        <w:tc>
          <w:tcPr>
            <w:tcW w:type="dxa" w:w="10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2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14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4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Hrs</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US25-T1</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Define the device registry model</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US25-T1_Define_Device_Registry_Model.docx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US25-T2</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Design the registration screens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US25-T2_Design_Registration_Screens.docx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US25-T3</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Implement register, edit and deactivate</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3</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US25-T3_Implement_Register_Edit_Deactivate.docx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US25-T4</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Generate device credentials</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US25-T4_Generate_Device_Credentials.docx</w:t>
            </w:r>
          </w:p>
        </w:tc>
      </w:tr>
      <w:tr>
        <w:trPr>
          <w:cantSplit/>
        </w:trPr>
        <w:tc>
          <w:tcPr>
            <w:tcW w:type="dxa" w:w="10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US25-T5</w:t>
            </w:r>
          </w:p>
        </w:tc>
        <w:tc>
          <w:tcPr>
            <w:tcW w:type="dxa" w:w="22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Test the registration flow</w:t>
            </w:r>
          </w:p>
        </w:tc>
        <w:tc>
          <w:tcPr>
            <w:tcW w:type="dxa" w:w="14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US25-T5_Test_Registration_Flow.docx</w:t>
            </w:r>
          </w:p>
        </w:tc>
      </w:tr>
    </w:tbl>
    <w:p>
      <w:pPr>
        <w:pStyle w:val="Heading2"/>
        <w:keepNext/>
        <w:spacing w:after="100" w:before="220"/>
      </w:pPr>
      <w:r>
        <w:rPr>
          <w:rFonts w:ascii="Arial" w:cs="Arial" w:eastAsia="Arial" w:hAnsi="Arial"/>
          <w:b/>
          <w:bCs/>
          <w:color w:val="9E1B32"/>
          <w:sz w:val="22"/>
          <w:szCs w:val="22"/>
        </w:rPr>
        <w:t xml:space="preserve">Sprint-level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2600"/>
        <w:gridCol w:w="2100"/>
        <w:gridCol w:w="700"/>
        <w:gridCol w:w="3010"/>
      </w:tblGrid>
      <w:tr>
        <w:trPr>
          <w:cantSplit/>
          <w:tblHeader/>
        </w:trPr>
        <w:tc>
          <w:tcPr>
            <w:tcW w:type="dxa" w:w="9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 ID</w:t>
            </w:r>
          </w:p>
        </w:tc>
        <w:tc>
          <w:tcPr>
            <w:tcW w:type="dxa" w:w="26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Task</w:t>
            </w:r>
          </w:p>
        </w:tc>
        <w:tc>
          <w:tcPr>
            <w:tcW w:type="dxa" w:w="21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Responsible</w:t>
            </w:r>
          </w:p>
        </w:tc>
        <w:tc>
          <w:tcPr>
            <w:tcW w:type="dxa" w:w="7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Status</w:t>
            </w:r>
          </w:p>
        </w:tc>
        <w:tc>
          <w:tcPr>
            <w:tcW w:type="dxa" w:w="301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Evidence file</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SPR-T1</w:t>
            </w:r>
          </w:p>
        </w:tc>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End-to-end integration test</w:t>
            </w:r>
          </w:p>
        </w:tc>
        <w:tc>
          <w:tcPr>
            <w:tcW w:type="dxa" w:w="2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Whole team (facilitated by Jorge)</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01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Sprint2_SPR-T1_End-To-End_Integration_Test.docx</w:t>
            </w:r>
          </w:p>
        </w:tc>
      </w:tr>
      <w:tr>
        <w:trPr>
          <w:cantSplit/>
        </w:trPr>
        <w:tc>
          <w:tcPr>
            <w:tcW w:type="dxa" w:w="9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SPR-T2</w:t>
            </w:r>
          </w:p>
        </w:tc>
        <w:tc>
          <w:tcPr>
            <w:tcW w:type="dxa" w:w="26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Review preparation and evidence compilation</w:t>
            </w:r>
          </w:p>
        </w:tc>
        <w:tc>
          <w:tcPr>
            <w:tcW w:type="dxa" w:w="21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 + Alexis Enrique Valle Parra</w:t>
            </w:r>
          </w:p>
        </w:tc>
        <w:tc>
          <w:tcPr>
            <w:tcW w:type="dxa" w:w="7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Done</w:t>
            </w:r>
          </w:p>
        </w:tc>
        <w:tc>
          <w:tcPr>
            <w:tcW w:type="dxa" w:w="301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Sprint2_SPR-T2_Sprint_Review_Preparation_Evidence_Compilation.docx</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5. Acceptance Criteria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900"/>
        <w:gridCol w:w="3160"/>
      </w:tblGrid>
      <w:tr>
        <w:trPr>
          <w:cantSplit/>
          <w:tblHeader/>
        </w:trPr>
        <w:tc>
          <w:tcPr>
            <w:tcW w:type="dxa" w:w="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Story</w:t>
            </w:r>
          </w:p>
        </w:tc>
        <w:tc>
          <w:tcPr>
            <w:tcW w:type="dxa" w:w="44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Acceptance criterion</w:t>
            </w:r>
          </w:p>
        </w:tc>
        <w:tc>
          <w:tcPr>
            <w:tcW w:type="dxa" w:w="90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Result</w:t>
            </w:r>
          </w:p>
        </w:tc>
        <w:tc>
          <w:tcPr>
            <w:tcW w:type="dxa" w:w="31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Main evidence</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US-01-C</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Valid users log in and are redirected according to their role (Super Administrator, Administrator or Producer).</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US01C-T4_Test_Invalid_Credentials_Unauthorized_Access.docx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Passwords are never stored in plain text and sessions expire.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US01C-T4_Test_Invalid_Credentials_Unauthorized_Access.docx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Invalid credentials, expired sessions and direct access to restricted URLs are rejected.</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US01C-T4_Test_Invalid_Credentials_Unauthorized_Access.docx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Measurements are transmitted automatically from the sensor system (or simulator) to the cloud at the defined interval.</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US06-T5_End-To-End_Transmission_Test.docx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Each message contains device ID, sensor ID, value, unit and UTC timestamp.</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US06-T5_End-To-End_Transmission_Test.docx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At least 95% of the messages in the test run are received correctly.</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US06-T5_End-To-End_Transmission_Test.docx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Every measurement is stored with sensor ID, value, unit and UTC timestamp.</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US07-T5_Test_Storage_Retrieval.docx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Measurements from unknown or inactive sensors are rejected.</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US07-T5_Test_Storage_Retrieval.docx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Measurements can be retrieved by sensor and by date/time range.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US07-T5_Test_Storage_Retrieval.docx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IoT devices and the web application exchange data only through the documented endpoints.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US08-T6_API_Test_Collection.docx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Every endpoint requires authentication and respects user roles.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US08-T6_API_Test_Collection.docx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Invalid requests return clear errors with the correct HTTP code.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US08-T6_API_Test_Collection.docx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An administrator can create and update min/max values for each environmental variable.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US10-T5_Test_Threshold_Configuration.docx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Invalid values are rejected with a clear message.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US10-T5_Test_Threshold_Configuration.docx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Producers can view but cannot modify thresholds.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US10-T5_Test_Threshold_Configuration.docx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US-14</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The current status of each registered actuator is visible to authorized users.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US14-T4_Test_Actuator_Status_Visualization.docx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The panel shows the time of the last update and refreshes automatically.</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US14-T4_Test_Actuator_Status_Visualization.docx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Actuators without recent updates are displayed as OFFLINE.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US14-T4_Test_Actuator_Status_Visualization.docx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US-25</w:t>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An administrator can register, edit and deactivate devices, sensors and actuators.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US25-T5_Test_Registration_Flow.docx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Every sensor and actuator has a unique ID linked to its device.</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US25-T5_Test_Registration_Flow.docx</w:t>
            </w:r>
          </w:p>
        </w:tc>
      </w:tr>
      <w:tr>
        <w:trPr>
          <w:cantSplit/>
        </w:trPr>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
            </w:r>
          </w:p>
        </w:tc>
        <w:tc>
          <w:tcPr>
            <w:tcW w:type="dxa" w:w="44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Only registered and active devices can send measurements.</w:t>
            </w:r>
          </w:p>
        </w:tc>
        <w:tc>
          <w:tcPr>
            <w:tcW w:type="dxa" w:w="90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Met ✓</w:t>
            </w:r>
          </w:p>
        </w:tc>
        <w:tc>
          <w:tcPr>
            <w:tcW w:type="dxa" w:w="31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i/>
                <w:iCs/>
                <w:color w:val="222222"/>
                <w:sz w:val="17"/>
                <w:szCs w:val="17"/>
              </w:rPr>
              <w:t xml:space="preserve">US25-T5_Test_Registration_Flow.docx</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6. Burndown</w:t>
      </w:r>
    </w:p>
    <w:p>
      <w:pPr>
        <w:spacing w:after="120" w:before="0" w:line="276"/>
      </w:pPr>
      <w:r>
        <w:rPr>
          <w:rFonts w:ascii="Arial" w:cs="Arial" w:eastAsia="Arial" w:hAnsi="Arial"/>
          <w:color w:val="222222"/>
          <w:sz w:val="20"/>
          <w:szCs w:val="20"/>
        </w:rPr>
        <w:t xml:space="preserve">Remaining planned hours at each Monday checkpoint compared with the ideal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Checkpoint</w:t>
            </w:r>
          </w:p>
        </w:tc>
        <w:tc>
          <w:tcPr>
            <w:tcW w:type="dxa" w:w="234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Date</w:t>
            </w:r>
          </w:p>
        </w:tc>
        <w:tc>
          <w:tcPr>
            <w:tcW w:type="dxa" w:w="234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Ideal remaining h</w:t>
            </w:r>
          </w:p>
        </w:tc>
        <w:tc>
          <w:tcPr>
            <w:tcW w:type="dxa" w:w="234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Actual remaining h</w:t>
            </w:r>
          </w:p>
        </w:tc>
      </w:tr>
      <w:tr>
        <w:trPr>
          <w:cantSplit/>
        </w:trPr>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Sprint start</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September 21, 2026</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42</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42</w:t>
            </w:r>
          </w:p>
        </w:tc>
      </w:tr>
      <w:tr>
        <w:trPr>
          <w:cantSplit/>
        </w:trPr>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End of Week 1</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September 28, 2026</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28</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27</w:t>
            </w:r>
          </w:p>
        </w:tc>
      </w:tr>
      <w:tr>
        <w:trPr>
          <w:cantSplit/>
        </w:trPr>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End of Week 2</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October 5, 2026</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14</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8</w:t>
            </w:r>
          </w:p>
        </w:tc>
      </w:tr>
      <w:tr>
        <w:trPr>
          <w:cantSplit/>
        </w:trPr>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End of Week 3</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October 9, 2026</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0</w:t>
            </w:r>
          </w:p>
        </w:tc>
        <w:tc>
          <w:tcPr>
            <w:tcW w:type="dxa" w:w="234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0</w:t>
            </w:r>
          </w:p>
        </w:tc>
      </w:tr>
    </w:tbl>
    <w:p>
      <w:pPr>
        <w:spacing w:after="120" w:before="160"/>
        <w:jc w:val="center"/>
      </w:pPr>
      <w:r>
        <w:drawing>
          <wp:inline distT="0" distB="0" distL="0" distR="0">
            <wp:extent cx="4953000" cy="2667000"/>
            <wp:effectExtent t="0" r="0" b="0" l="0"/>
            <wp:docPr id="1" name="burndown" descr="Sprint 2 burndown chart" title="Bur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67000"/>
                    </a:xfrm>
                    <a:prstGeom prst="rect">
                      <a:avLst/>
                    </a:prstGeom>
                  </pic:spPr>
                </pic:pic>
              </a:graphicData>
            </a:graphic>
          </wp:inline>
        </w:drawing>
      </w:r>
    </w:p>
    <w:p>
      <w:pPr>
        <w:pStyle w:val="Heading1"/>
        <w:keepNext/>
        <w:pBdr>
          <w:bottom w:val="single" w:color="DDDDDD" w:sz="6" w:space="4"/>
        </w:pBdr>
        <w:spacing w:after="140" w:before="280"/>
      </w:pPr>
      <w:r>
        <w:rPr>
          <w:rFonts w:ascii="Arial" w:cs="Arial" w:eastAsia="Arial" w:hAnsi="Arial"/>
          <w:b/>
          <w:bCs/>
          <w:color w:val="9E1B32"/>
          <w:sz w:val="30"/>
          <w:szCs w:val="30"/>
        </w:rPr>
        <w:t xml:space="preserve">7. Definition of Done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350"/>
        <w:gridCol w:w="1350"/>
        <w:gridCol w:w="1350"/>
        <w:gridCol w:w="1350"/>
        <w:gridCol w:w="1350"/>
        <w:gridCol w:w="1350"/>
      </w:tblGrid>
      <w:tr>
        <w:trPr>
          <w:cantSplit/>
          <w:tblHeader/>
        </w:trPr>
        <w:tc>
          <w:tcPr>
            <w:tcW w:type="dxa" w:w="126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Story</w:t>
            </w:r>
          </w:p>
        </w:tc>
        <w:tc>
          <w:tcPr>
            <w:tcW w:type="dxa" w:w="13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Code in repo</w:t>
            </w:r>
          </w:p>
        </w:tc>
        <w:tc>
          <w:tcPr>
            <w:tcW w:type="dxa" w:w="13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Acceptance met</w:t>
            </w:r>
          </w:p>
        </w:tc>
        <w:tc>
          <w:tcPr>
            <w:tcW w:type="dxa" w:w="13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Tests + evidence</w:t>
            </w:r>
          </w:p>
        </w:tc>
        <w:tc>
          <w:tcPr>
            <w:tcW w:type="dxa" w:w="13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Conditions checked</w:t>
            </w:r>
          </w:p>
        </w:tc>
        <w:tc>
          <w:tcPr>
            <w:tcW w:type="dxa" w:w="13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Board updated</w:t>
            </w:r>
          </w:p>
        </w:tc>
        <w:tc>
          <w:tcPr>
            <w:tcW w:type="dxa" w:w="135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Peer review</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US-01-C</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US-06</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US-07</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US-08</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US-10</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US-14</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r>
        <w:trPr>
          <w:cantSplit/>
        </w:trPr>
        <w:tc>
          <w:tcPr>
            <w:tcW w:type="dxa" w:w="12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US-25</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c>
          <w:tcPr>
            <w:tcW w:type="dxa" w:w="135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jc w:val="center"/>
            </w:pPr>
            <w:r>
              <w:rPr>
                <w:rFonts w:ascii="Arial" w:cs="Arial" w:eastAsia="Arial" w:hAnsi="Arial"/>
                <w:color w:val="222222"/>
                <w:sz w:val="17"/>
                <w:szCs w:val="17"/>
              </w:rPr>
              <w:t xml:space="preserve">✓</w:t>
            </w:r>
          </w:p>
        </w:tc>
      </w:tr>
    </w:tbl>
    <w:p>
      <w:pPr>
        <w:pStyle w:val="Heading1"/>
        <w:keepNext/>
        <w:pBdr>
          <w:bottom w:val="single" w:color="DDDDDD" w:sz="6" w:space="4"/>
        </w:pBdr>
        <w:spacing w:after="140" w:before="280"/>
      </w:pPr>
      <w:r>
        <w:rPr>
          <w:rFonts w:ascii="Arial" w:cs="Arial" w:eastAsia="Arial" w:hAnsi="Arial"/>
          <w:b/>
          <w:bCs/>
          <w:color w:val="9E1B32"/>
          <w:sz w:val="30"/>
          <w:szCs w:val="30"/>
        </w:rPr>
        <w:t xml:space="preserve">8. Sprint Review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Date</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October 9, 2026, 4:30 PM</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Attendees</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50" w:line="252"/>
            </w:pPr>
            <w:r>
              <w:rPr>
                <w:rFonts w:ascii="Arial" w:cs="Arial" w:eastAsia="Arial" w:hAnsi="Arial"/>
                <w:color w:val="222222"/>
                <w:sz w:val="18"/>
                <w:szCs w:val="18"/>
              </w:rPr>
              <w:t xml:space="preserve">Jorge Velez Delgado</w:t>
            </w:r>
          </w:p>
          <w:p>
            <w:pPr>
              <w:spacing w:after="50" w:line="252"/>
            </w:pPr>
            <w:r>
              <w:rPr>
                <w:rFonts w:ascii="Arial" w:cs="Arial" w:eastAsia="Arial" w:hAnsi="Arial"/>
                <w:color w:val="222222"/>
                <w:sz w:val="18"/>
                <w:szCs w:val="18"/>
              </w:rPr>
              <w:t xml:space="preserve">Vicente Rocha Alfaro</w:t>
            </w:r>
          </w:p>
          <w:p>
            <w:pPr>
              <w:spacing w:after="50" w:line="252"/>
            </w:pPr>
            <w:r>
              <w:rPr>
                <w:rFonts w:ascii="Arial" w:cs="Arial" w:eastAsia="Arial" w:hAnsi="Arial"/>
                <w:color w:val="222222"/>
                <w:sz w:val="18"/>
                <w:szCs w:val="18"/>
              </w:rPr>
              <w:t xml:space="preserve">Oscar Abraham Talavera Nava</w:t>
            </w:r>
          </w:p>
          <w:p>
            <w:pPr>
              <w:spacing w:after="50" w:line="252"/>
            </w:pPr>
            <w:r>
              <w:rPr>
                <w:rFonts w:ascii="Arial" w:cs="Arial" w:eastAsia="Arial" w:hAnsi="Arial"/>
                <w:color w:val="222222"/>
                <w:sz w:val="18"/>
                <w:szCs w:val="18"/>
              </w:rPr>
              <w:t xml:space="preserve">Carlos Ramirez Mendoza</w:t>
            </w:r>
          </w:p>
          <w:p>
            <w:pPr>
              <w:spacing w:after="50" w:line="252"/>
            </w:pPr>
            <w:r>
              <w:rPr>
                <w:rFonts w:ascii="Arial" w:cs="Arial" w:eastAsia="Arial" w:hAnsi="Arial"/>
                <w:color w:val="222222"/>
                <w:sz w:val="18"/>
                <w:szCs w:val="18"/>
              </w:rPr>
              <w:t xml:space="preserve">Alexis Enrique Valle Parra</w:t>
            </w:r>
          </w:p>
          <w:p>
            <w:pPr>
              <w:spacing w:after="50" w:line="252"/>
            </w:pPr>
            <w:r>
              <w:rPr>
                <w:rFonts w:ascii="Arial" w:cs="Arial" w:eastAsia="Arial" w:hAnsi="Arial"/>
                <w:color w:val="222222"/>
                <w:sz w:val="18"/>
                <w:szCs w:val="18"/>
              </w:rPr>
              <w:t xml:space="preserve">Professor Jorge Rafael Aguilar Cisneros (stakeholder)</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Facilitator</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Jorge Velez Delgado (Scrum Master)</w:t>
            </w:r>
          </w:p>
        </w:tc>
      </w:tr>
      <w:tr>
        <w:trPr>
          <w:cantSplit/>
        </w:trPr>
        <w:tc>
          <w:tcPr>
            <w:tcW w:type="dxa" w:w="2800"/>
            <w:tcBorders>
              <w:top w:val="single" w:color="DDDDDD" w:sz="4"/>
              <w:left w:val="single" w:color="DDDDDD" w:sz="4"/>
              <w:bottom w:val="single" w:color="DDDDDD" w:sz="4"/>
              <w:right w:val="single" w:color="DDDDDD" w:sz="4"/>
            </w:tcBorders>
            <w:shd w:fill="F6E8EA" w:color="auto" w:val="clear"/>
            <w:tcMar>
              <w:top w:type="dxa" w:w="60"/>
              <w:left w:type="dxa" w:w="90"/>
              <w:bottom w:type="dxa" w:w="60"/>
              <w:right w:type="dxa" w:w="90"/>
            </w:tcMar>
          </w:tcPr>
          <w:p>
            <w:pPr>
              <w:spacing w:after="0" w:line="252"/>
            </w:pPr>
            <w:r>
              <w:rPr>
                <w:rFonts w:ascii="Arial" w:cs="Arial" w:eastAsia="Arial" w:hAnsi="Arial"/>
                <w:b/>
                <w:bCs/>
                <w:color w:val="222222"/>
                <w:sz w:val="18"/>
                <w:szCs w:val="18"/>
              </w:rPr>
              <w:t xml:space="preserve">Presenter of the increment</w:t>
            </w:r>
          </w:p>
        </w:tc>
        <w:tc>
          <w:tcPr>
            <w:tcW w:type="dxa" w:w="656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8"/>
                <w:szCs w:val="18"/>
              </w:rPr>
              <w:t xml:space="preserve">Every owner presented their own user story</w:t>
            </w:r>
          </w:p>
        </w:tc>
      </w:tr>
    </w:tbl>
    <w:p>
      <w:pPr>
        <w:pStyle w:val="Heading2"/>
        <w:keepNext/>
        <w:spacing w:after="100" w:before="220"/>
      </w:pPr>
      <w:r>
        <w:rPr>
          <w:rFonts w:ascii="Arial" w:cs="Arial" w:eastAsia="Arial" w:hAnsi="Arial"/>
          <w:b/>
          <w:bCs/>
          <w:color w:val="9E1B32"/>
          <w:sz w:val="22"/>
          <w:szCs w:val="22"/>
        </w:rPr>
        <w:t xml:space="preserve">Demonstration script</w:t>
      </w:r>
    </w:p>
    <w:p>
      <w:pPr>
        <w:spacing w:after="60" w:before="0" w:line="276"/>
      </w:pPr>
      <w:r>
        <w:rPr>
          <w:rFonts w:ascii="Arial" w:cs="Arial" w:eastAsia="Arial" w:hAnsi="Arial"/>
          <w:color w:val="222222"/>
          <w:sz w:val="20"/>
          <w:szCs w:val="20"/>
        </w:rPr>
        <w:t xml:space="preserve">1. Login as Administrator and as Producer; each role lands on its own page and restricted routes return 403.</w:t>
      </w:r>
    </w:p>
    <w:p>
      <w:pPr>
        <w:spacing w:after="60" w:before="0" w:line="276"/>
      </w:pPr>
      <w:r>
        <w:rPr>
          <w:rFonts w:ascii="Arial" w:cs="Arial" w:eastAsia="Arial" w:hAnsi="Arial"/>
          <w:color w:val="222222"/>
          <w:sz w:val="20"/>
          <w:szCs w:val="20"/>
        </w:rPr>
        <w:t xml:space="preserve">2. Register a new IoT device with its sensors and actuators and obtain its API key.</w:t>
      </w:r>
    </w:p>
    <w:p>
      <w:pPr>
        <w:spacing w:after="60" w:before="0" w:line="276"/>
      </w:pPr>
      <w:r>
        <w:rPr>
          <w:rFonts w:ascii="Arial" w:cs="Arial" w:eastAsia="Arial" w:hAnsi="Arial"/>
          <w:color w:val="222222"/>
          <w:sz w:val="20"/>
          <w:szCs w:val="20"/>
        </w:rPr>
        <w:t xml:space="preserve">3. Start the simulator with that API key; measurements arrive every 60 s.</w:t>
      </w:r>
    </w:p>
    <w:p>
      <w:pPr>
        <w:spacing w:after="60" w:before="0" w:line="276"/>
      </w:pPr>
      <w:r>
        <w:rPr>
          <w:rFonts w:ascii="Arial" w:cs="Arial" w:eastAsia="Arial" w:hAnsi="Arial"/>
          <w:color w:val="222222"/>
          <w:sz w:val="20"/>
          <w:szCs w:val="20"/>
        </w:rPr>
        <w:t xml:space="preserve">4. Show the measurements stored with sensor ID, value, unit, recorded_at and received_at.</w:t>
      </w:r>
    </w:p>
    <w:p>
      <w:pPr>
        <w:spacing w:after="60" w:before="0" w:line="276"/>
      </w:pPr>
      <w:r>
        <w:rPr>
          <w:rFonts w:ascii="Arial" w:cs="Arial" w:eastAsia="Arial" w:hAnsi="Arial"/>
          <w:color w:val="222222"/>
          <w:sz w:val="20"/>
          <w:szCs w:val="20"/>
        </w:rPr>
        <w:t xml:space="preserve">5. Query the history of SM-01 through GET /sensors/SM-01/measurements with from/to filters in Postman.</w:t>
      </w:r>
    </w:p>
    <w:p>
      <w:pPr>
        <w:spacing w:after="60" w:before="0" w:line="276"/>
      </w:pPr>
      <w:r>
        <w:rPr>
          <w:rFonts w:ascii="Arial" w:cs="Arial" w:eastAsia="Arial" w:hAnsi="Arial"/>
          <w:color w:val="222222"/>
          <w:sz w:val="20"/>
          <w:szCs w:val="20"/>
        </w:rPr>
        <w:t xml:space="preserve">6. Change the soil-moisture threshold as Administrator; show that the Producer can view but not edit it.</w:t>
      </w:r>
    </w:p>
    <w:p>
      <w:pPr>
        <w:spacing w:after="60" w:before="0" w:line="276"/>
      </w:pPr>
      <w:r>
        <w:rPr>
          <w:rFonts w:ascii="Arial" w:cs="Arial" w:eastAsia="Arial" w:hAnsi="Arial"/>
          <w:color w:val="222222"/>
          <w:sz w:val="20"/>
          <w:szCs w:val="20"/>
        </w:rPr>
        <w:t xml:space="preserve">7. Show the actuator status panel refreshing and an actuator without heartbeat displayed as OFFLINE.</w:t>
      </w:r>
    </w:p>
    <w:p>
      <w:pPr>
        <w:spacing w:after="60" w:before="0" w:line="276"/>
      </w:pPr>
      <w:r>
        <w:rPr>
          <w:rFonts w:ascii="Arial" w:cs="Arial" w:eastAsia="Arial" w:hAnsi="Arial"/>
          <w:color w:val="222222"/>
          <w:sz w:val="20"/>
          <w:szCs w:val="20"/>
        </w:rPr>
        <w:t xml:space="preserve">8. Cut the network of the simulator and show that buffered readings are delivered after reconnection.</w:t>
      </w:r>
    </w:p>
    <w:p>
      <w:pPr>
        <w:pStyle w:val="Heading2"/>
        <w:keepNext/>
        <w:spacing w:after="100" w:before="220"/>
      </w:pPr>
      <w:r>
        <w:rPr>
          <w:rFonts w:ascii="Arial" w:cs="Arial" w:eastAsia="Arial" w:hAnsi="Arial"/>
          <w:b/>
          <w:bCs/>
          <w:color w:val="9E1B32"/>
          <w:sz w:val="22"/>
          <w:szCs w:val="22"/>
        </w:rPr>
        <w:t xml:space="preserve">Feedback received</w:t>
      </w:r>
    </w:p>
    <w:p>
      <w:pPr>
        <w:pStyle w:val="ListParagraph"/>
        <w:numPr>
          <w:ilvl w:val="0"/>
          <w:numId w:val="2"/>
        </w:numPr>
        <w:spacing w:after="60" w:line="264"/>
      </w:pPr>
      <w:r>
        <w:rPr>
          <w:rFonts w:ascii="Arial" w:cs="Arial" w:eastAsia="Arial" w:hAnsi="Arial"/>
          <w:color w:val="222222"/>
          <w:sz w:val="20"/>
          <w:szCs w:val="20"/>
        </w:rPr>
        <w:t xml:space="preserve">Product Owner accepted the seven user stories: all acceptance criteria met.</w:t>
      </w:r>
    </w:p>
    <w:p>
      <w:pPr>
        <w:pStyle w:val="ListParagraph"/>
        <w:numPr>
          <w:ilvl w:val="0"/>
          <w:numId w:val="2"/>
        </w:numPr>
        <w:spacing w:after="60" w:line="264"/>
      </w:pPr>
      <w:r>
        <w:rPr>
          <w:rFonts w:ascii="Arial" w:cs="Arial" w:eastAsia="Arial" w:hAnsi="Arial"/>
          <w:color w:val="222222"/>
          <w:sz w:val="20"/>
          <w:szCs w:val="20"/>
        </w:rPr>
        <w:t xml:space="preserve">Stakeholder suggestion: show the measurement history as a chart, not only as a table (added to US-27 in Sprint 4).</w:t>
      </w:r>
    </w:p>
    <w:p>
      <w:pPr>
        <w:pStyle w:val="ListParagraph"/>
        <w:numPr>
          <w:ilvl w:val="0"/>
          <w:numId w:val="2"/>
        </w:numPr>
        <w:spacing w:after="60" w:line="264"/>
      </w:pPr>
      <w:r>
        <w:rPr>
          <w:rFonts w:ascii="Arial" w:cs="Arial" w:eastAsia="Arial" w:hAnsi="Arial"/>
          <w:color w:val="222222"/>
          <w:sz w:val="20"/>
          <w:szCs w:val="20"/>
        </w:rPr>
        <w:t xml:space="preserve">Stakeholder suggestion: keep the simulator as part of the final demo because the physical sensors may not be available.</w:t>
      </w:r>
    </w:p>
    <w:p>
      <w:pPr>
        <w:pStyle w:val="Heading2"/>
        <w:keepNext/>
        <w:spacing w:after="100" w:before="220"/>
      </w:pPr>
      <w:r>
        <w:rPr>
          <w:rFonts w:ascii="Arial" w:cs="Arial" w:eastAsia="Arial" w:hAnsi="Arial"/>
          <w:b/>
          <w:bCs/>
          <w:color w:val="9E1B32"/>
          <w:sz w:val="22"/>
          <w:szCs w:val="22"/>
        </w:rPr>
        <w:t xml:space="preserve">Product Backlog changes</w:t>
      </w:r>
    </w:p>
    <w:p>
      <w:pPr>
        <w:pStyle w:val="ListParagraph"/>
        <w:numPr>
          <w:ilvl w:val="0"/>
          <w:numId w:val="2"/>
        </w:numPr>
        <w:spacing w:after="60" w:line="264"/>
      </w:pPr>
      <w:r>
        <w:rPr>
          <w:rFonts w:ascii="Arial" w:cs="Arial" w:eastAsia="Arial" w:hAnsi="Arial"/>
          <w:color w:val="222222"/>
          <w:sz w:val="20"/>
          <w:szCs w:val="20"/>
        </w:rPr>
        <w:t xml:space="preserve">Historical graphs added as a task of US-27 (Sprint 4).</w:t>
      </w:r>
    </w:p>
    <w:p>
      <w:pPr>
        <w:pStyle w:val="ListParagraph"/>
        <w:numPr>
          <w:ilvl w:val="0"/>
          <w:numId w:val="2"/>
        </w:numPr>
        <w:spacing w:after="60" w:line="264"/>
      </w:pPr>
      <w:r>
        <w:rPr>
          <w:rFonts w:ascii="Arial" w:cs="Arial" w:eastAsia="Arial" w:hAnsi="Arial"/>
          <w:color w:val="222222"/>
          <w:sz w:val="20"/>
          <w:szCs w:val="20"/>
        </w:rPr>
        <w:t xml:space="preserve">US-17 (actuator events) proposed to move from Sprint 4 to Sprint 3 because irrigation will need it.</w:t>
      </w:r>
    </w:p>
    <w:p>
      <w:pPr>
        <w:pStyle w:val="Heading1"/>
        <w:keepNext/>
        <w:pBdr>
          <w:bottom w:val="single" w:color="DDDDDD" w:sz="6" w:space="4"/>
        </w:pBdr>
        <w:spacing w:after="140" w:before="280"/>
      </w:pPr>
      <w:r>
        <w:rPr>
          <w:rFonts w:ascii="Arial" w:cs="Arial" w:eastAsia="Arial" w:hAnsi="Arial"/>
          <w:b/>
          <w:bCs/>
          <w:color w:val="9E1B32"/>
          <w:sz w:val="30"/>
          <w:szCs w:val="30"/>
        </w:rPr>
        <w:t xml:space="preserve">9. Increment Delivered</w:t>
      </w:r>
    </w:p>
    <w:p>
      <w:pPr>
        <w:pStyle w:val="ListParagraph"/>
        <w:numPr>
          <w:ilvl w:val="0"/>
          <w:numId w:val="2"/>
        </w:numPr>
        <w:spacing w:after="60" w:line="264"/>
      </w:pPr>
      <w:r>
        <w:rPr>
          <w:rFonts w:ascii="Arial" w:cs="Arial" w:eastAsia="Arial" w:hAnsi="Arial"/>
          <w:color w:val="222222"/>
          <w:sz w:val="20"/>
          <w:szCs w:val="20"/>
        </w:rPr>
        <w:t xml:space="preserve">Secure login integrated with user roles and its permission test matrix.</w:t>
      </w:r>
    </w:p>
    <w:p>
      <w:pPr>
        <w:pStyle w:val="ListParagraph"/>
        <w:numPr>
          <w:ilvl w:val="0"/>
          <w:numId w:val="2"/>
        </w:numPr>
        <w:spacing w:after="60" w:line="264"/>
      </w:pPr>
      <w:r>
        <w:rPr>
          <w:rFonts w:ascii="Arial" w:cs="Arial" w:eastAsia="Arial" w:hAnsi="Arial"/>
          <w:color w:val="222222"/>
          <w:sz w:val="20"/>
          <w:szCs w:val="20"/>
        </w:rPr>
        <w:t xml:space="preserve">IoT-to-cloud data flow diagram, working transmission and simulator script.</w:t>
      </w:r>
    </w:p>
    <w:p>
      <w:pPr>
        <w:pStyle w:val="ListParagraph"/>
        <w:numPr>
          <w:ilvl w:val="0"/>
          <w:numId w:val="2"/>
        </w:numPr>
        <w:spacing w:after="60" w:line="264"/>
      </w:pPr>
      <w:r>
        <w:rPr>
          <w:rFonts w:ascii="Arial" w:cs="Arial" w:eastAsia="Arial" w:hAnsi="Arial"/>
          <w:color w:val="222222"/>
          <w:sz w:val="20"/>
          <w:szCs w:val="20"/>
        </w:rPr>
        <w:t xml:space="preserve">Database model and measurement storage with sensor IDs and timestamps.</w:t>
      </w:r>
    </w:p>
    <w:p>
      <w:pPr>
        <w:pStyle w:val="ListParagraph"/>
        <w:numPr>
          <w:ilvl w:val="0"/>
          <w:numId w:val="2"/>
        </w:numPr>
        <w:spacing w:after="60" w:line="264"/>
      </w:pPr>
      <w:r>
        <w:rPr>
          <w:rFonts w:ascii="Arial" w:cs="Arial" w:eastAsia="Arial" w:hAnsi="Arial"/>
          <w:color w:val="222222"/>
          <w:sz w:val="20"/>
          <w:szCs w:val="20"/>
        </w:rPr>
        <w:t xml:space="preserve">API specification, implementation and Postman test collection.</w:t>
      </w:r>
    </w:p>
    <w:p>
      <w:pPr>
        <w:pStyle w:val="ListParagraph"/>
        <w:numPr>
          <w:ilvl w:val="0"/>
          <w:numId w:val="2"/>
        </w:numPr>
        <w:spacing w:after="60" w:line="264"/>
      </w:pPr>
      <w:r>
        <w:rPr>
          <w:rFonts w:ascii="Arial" w:cs="Arial" w:eastAsia="Arial" w:hAnsi="Arial"/>
          <w:color w:val="222222"/>
          <w:sz w:val="20"/>
          <w:szCs w:val="20"/>
        </w:rPr>
        <w:t xml:space="preserve">Environmental threshold configuration screen and logic.</w:t>
      </w:r>
    </w:p>
    <w:p>
      <w:pPr>
        <w:pStyle w:val="ListParagraph"/>
        <w:numPr>
          <w:ilvl w:val="0"/>
          <w:numId w:val="2"/>
        </w:numPr>
        <w:spacing w:after="60" w:line="264"/>
      </w:pPr>
      <w:r>
        <w:rPr>
          <w:rFonts w:ascii="Arial" w:cs="Arial" w:eastAsia="Arial" w:hAnsi="Arial"/>
          <w:color w:val="222222"/>
          <w:sz w:val="20"/>
          <w:szCs w:val="20"/>
        </w:rPr>
        <w:t xml:space="preserve">Actuator status panel in the dashboard.</w:t>
      </w:r>
    </w:p>
    <w:p>
      <w:pPr>
        <w:pStyle w:val="ListParagraph"/>
        <w:numPr>
          <w:ilvl w:val="0"/>
          <w:numId w:val="2"/>
        </w:numPr>
        <w:spacing w:after="60" w:line="264"/>
      </w:pPr>
      <w:r>
        <w:rPr>
          <w:rFonts w:ascii="Arial" w:cs="Arial" w:eastAsia="Arial" w:hAnsi="Arial"/>
          <w:color w:val="222222"/>
          <w:sz w:val="20"/>
          <w:szCs w:val="20"/>
        </w:rPr>
        <w:t xml:space="preserve">IoT device, sensor and actuator registration.</w:t>
      </w:r>
    </w:p>
    <w:p>
      <w:pPr>
        <w:pStyle w:val="ListParagraph"/>
        <w:numPr>
          <w:ilvl w:val="0"/>
          <w:numId w:val="2"/>
        </w:numPr>
        <w:spacing w:after="60" w:line="264"/>
      </w:pPr>
      <w:r>
        <w:rPr>
          <w:rFonts w:ascii="Arial" w:cs="Arial" w:eastAsia="Arial" w:hAnsi="Arial"/>
          <w:color w:val="222222"/>
          <w:sz w:val="20"/>
          <w:szCs w:val="20"/>
        </w:rPr>
        <w:t xml:space="preserve">End-to-end integration evidence and testing evidence for each Sprint 2 user story.</w:t>
      </w:r>
    </w:p>
    <w:p>
      <w:pPr>
        <w:pStyle w:val="Heading1"/>
        <w:keepNext/>
        <w:pBdr>
          <w:bottom w:val="single" w:color="DDDDDD" w:sz="6" w:space="4"/>
        </w:pBdr>
        <w:spacing w:after="140" w:before="280"/>
      </w:pPr>
      <w:r>
        <w:rPr>
          <w:rFonts w:ascii="Arial" w:cs="Arial" w:eastAsia="Arial" w:hAnsi="Arial"/>
          <w:b/>
          <w:bCs/>
          <w:color w:val="9E1B32"/>
          <w:sz w:val="30"/>
          <w:szCs w:val="30"/>
        </w:rPr>
        <w:t xml:space="preserve">10. Evidence Folder Structure</w:t>
      </w:r>
    </w:p>
    <w:p>
      <w:pPr>
        <w:spacing w:after="40" w:before="0" w:line="276"/>
      </w:pPr>
      <w:r>
        <w:rPr>
          <w:rFonts w:ascii="Arial" w:cs="Arial" w:eastAsia="Arial" w:hAnsi="Arial"/>
          <w:b/>
          <w:bCs/>
          <w:color w:val="222222"/>
          <w:sz w:val="20"/>
          <w:szCs w:val="20"/>
        </w:rPr>
        <w:t xml:space="preserve">Sprint 2/</w:t>
      </w:r>
    </w:p>
    <w:p>
      <w:pPr>
        <w:spacing w:after="20" w:before="0" w:line="276"/>
      </w:pPr>
      <w:r>
        <w:rPr>
          <w:rFonts w:ascii="Arial" w:cs="Arial" w:eastAsia="Arial" w:hAnsi="Arial"/>
          <w:color w:val="222222"/>
          <w:sz w:val="18"/>
          <w:szCs w:val="18"/>
        </w:rPr>
        <w:t xml:space="preserve">    Sprint_2_Planning_SmartGreenAI_Cilantro.docx</w:t>
      </w:r>
    </w:p>
    <w:p>
      <w:pPr>
        <w:spacing w:after="20" w:before="0" w:line="276"/>
      </w:pPr>
      <w:r>
        <w:rPr>
          <w:rFonts w:ascii="Arial" w:cs="Arial" w:eastAsia="Arial" w:hAnsi="Arial"/>
          <w:color w:val="222222"/>
          <w:sz w:val="18"/>
          <w:szCs w:val="18"/>
        </w:rPr>
        <w:t xml:space="preserve">    Daily_Meeting_1/2/3_Sprint_2_SmartGreenAI.docx</w:t>
      </w:r>
    </w:p>
    <w:p>
      <w:pPr>
        <w:spacing w:after="20" w:before="0" w:line="276"/>
      </w:pPr>
      <w:r>
        <w:rPr>
          <w:rFonts w:ascii="Arial" w:cs="Arial" w:eastAsia="Arial" w:hAnsi="Arial"/>
          <w:color w:val="222222"/>
          <w:sz w:val="18"/>
          <w:szCs w:val="18"/>
        </w:rPr>
        <w:t xml:space="preserve">    Sprint_2_Review_Delivery_SmartGreenAI_Cilantro.docx</w:t>
      </w:r>
    </w:p>
    <w:p>
      <w:pPr>
        <w:spacing w:after="20" w:before="0" w:line="276"/>
      </w:pPr>
      <w:r>
        <w:rPr>
          <w:rFonts w:ascii="Arial" w:cs="Arial" w:eastAsia="Arial" w:hAnsi="Arial"/>
          <w:color w:val="222222"/>
          <w:sz w:val="18"/>
          <w:szCs w:val="18"/>
        </w:rPr>
        <w:t xml:space="preserve">    Retrospective_Meeting_Sprint_2_SmartGreenAI.docx</w:t>
      </w:r>
    </w:p>
    <w:p>
      <w:pPr>
        <w:spacing w:after="20" w:before="0" w:line="276"/>
      </w:pPr>
      <w:r>
        <w:rPr>
          <w:rFonts w:ascii="Arial" w:cs="Arial" w:eastAsia="Arial" w:hAnsi="Arial"/>
          <w:b/>
          <w:bCs/>
          <w:color w:val="222222"/>
          <w:sz w:val="18"/>
          <w:szCs w:val="18"/>
        </w:rPr>
        <w:t xml:space="preserve">    Evidence/</w:t>
      </w:r>
    </w:p>
    <w:p>
      <w:pPr>
        <w:spacing w:after="20" w:before="0" w:line="276"/>
      </w:pPr>
      <w:r>
        <w:rPr>
          <w:rFonts w:ascii="Arial" w:cs="Arial" w:eastAsia="Arial" w:hAnsi="Arial"/>
          <w:color w:val="222222"/>
          <w:sz w:val="18"/>
          <w:szCs w:val="18"/>
        </w:rPr>
        <w:t xml:space="preserve">        US-01-C/  (US01C-T1, US01C-T2, US01C-T3, US01C-T4)</w:t>
      </w:r>
    </w:p>
    <w:p>
      <w:pPr>
        <w:spacing w:after="20" w:before="0" w:line="276"/>
      </w:pPr>
      <w:r>
        <w:rPr>
          <w:rFonts w:ascii="Arial" w:cs="Arial" w:eastAsia="Arial" w:hAnsi="Arial"/>
          <w:color w:val="222222"/>
          <w:sz w:val="18"/>
          <w:szCs w:val="18"/>
        </w:rPr>
        <w:t xml:space="preserve">        US-06/  (US06-T1, US06-T2, US06-T3, US06-T4, US06-T5)</w:t>
      </w:r>
    </w:p>
    <w:p>
      <w:pPr>
        <w:spacing w:after="20" w:before="0" w:line="276"/>
      </w:pPr>
      <w:r>
        <w:rPr>
          <w:rFonts w:ascii="Arial" w:cs="Arial" w:eastAsia="Arial" w:hAnsi="Arial"/>
          <w:color w:val="222222"/>
          <w:sz w:val="18"/>
          <w:szCs w:val="18"/>
        </w:rPr>
        <w:t xml:space="preserve">        US-07/  (US07-T1, US07-T2, US07-T3, US07-T4, US07-T5)</w:t>
      </w:r>
    </w:p>
    <w:p>
      <w:pPr>
        <w:spacing w:after="20" w:before="0" w:line="276"/>
      </w:pPr>
      <w:r>
        <w:rPr>
          <w:rFonts w:ascii="Arial" w:cs="Arial" w:eastAsia="Arial" w:hAnsi="Arial"/>
          <w:color w:val="222222"/>
          <w:sz w:val="18"/>
          <w:szCs w:val="18"/>
        </w:rPr>
        <w:t xml:space="preserve">        US-08/  (US08-T1, US08-T2, US08-T3, US08-T4, US08-T5, US08-T6)</w:t>
      </w:r>
    </w:p>
    <w:p>
      <w:pPr>
        <w:spacing w:after="20" w:before="0" w:line="276"/>
      </w:pPr>
      <w:r>
        <w:rPr>
          <w:rFonts w:ascii="Arial" w:cs="Arial" w:eastAsia="Arial" w:hAnsi="Arial"/>
          <w:color w:val="222222"/>
          <w:sz w:val="18"/>
          <w:szCs w:val="18"/>
        </w:rPr>
        <w:t xml:space="preserve">        US-10/  (US10-T1, US10-T2, US10-T3, US10-T4, US10-T5)</w:t>
      </w:r>
    </w:p>
    <w:p>
      <w:pPr>
        <w:spacing w:after="20" w:before="0" w:line="276"/>
      </w:pPr>
      <w:r>
        <w:rPr>
          <w:rFonts w:ascii="Arial" w:cs="Arial" w:eastAsia="Arial" w:hAnsi="Arial"/>
          <w:color w:val="222222"/>
          <w:sz w:val="18"/>
          <w:szCs w:val="18"/>
        </w:rPr>
        <w:t xml:space="preserve">        US-14/  (US14-T1, US14-T2, US14-T3, US14-T4)</w:t>
      </w:r>
    </w:p>
    <w:p>
      <w:pPr>
        <w:spacing w:after="20" w:before="0" w:line="276"/>
      </w:pPr>
      <w:r>
        <w:rPr>
          <w:rFonts w:ascii="Arial" w:cs="Arial" w:eastAsia="Arial" w:hAnsi="Arial"/>
          <w:color w:val="222222"/>
          <w:sz w:val="18"/>
          <w:szCs w:val="18"/>
        </w:rPr>
        <w:t xml:space="preserve">        US-25/  (US25-T1, US25-T2, US25-T3, US25-T4, US25-T5)</w:t>
      </w:r>
    </w:p>
    <w:p>
      <w:pPr>
        <w:spacing w:after="120" w:before="0" w:line="276"/>
      </w:pPr>
      <w:r>
        <w:rPr>
          <w:rFonts w:ascii="Arial" w:cs="Arial" w:eastAsia="Arial" w:hAnsi="Arial"/>
          <w:color w:val="222222"/>
          <w:sz w:val="18"/>
          <w:szCs w:val="18"/>
        </w:rPr>
        <w:t xml:space="preserve">        Sprint/  (SPR-T1, SPR-T2)</w:t>
      </w:r>
    </w:p>
    <w:p>
      <w:pPr>
        <w:spacing w:after="120" w:before="0" w:line="276"/>
      </w:pPr>
      <w:r>
        <w:rPr>
          <w:rFonts w:ascii="Arial" w:cs="Arial" w:eastAsia="Arial" w:hAnsi="Arial"/>
          <w:color w:val="222222"/>
          <w:sz w:val="20"/>
          <w:szCs w:val="20"/>
        </w:rPr>
        <w:t xml:space="preserve">Each evidence document contains the task information, every completion condition marked with its proof (screenshot, log, query result, test table or diagram) and the list of attached files named &lt;TaskID&gt;_&lt;Task_Name&gt;_&lt;n&gt;.&lt;ext&gt;.</w:t>
      </w:r>
    </w:p>
    <w:p>
      <w:pPr>
        <w:pStyle w:val="Heading1"/>
        <w:keepNext/>
        <w:pBdr>
          <w:bottom w:val="single" w:color="DDDDDD" w:sz="6" w:space="4"/>
        </w:pBdr>
        <w:spacing w:after="140" w:before="280"/>
      </w:pPr>
      <w:r>
        <w:rPr>
          <w:rFonts w:ascii="Arial" w:cs="Arial" w:eastAsia="Arial" w:hAnsi="Arial"/>
          <w:b/>
          <w:bCs/>
          <w:color w:val="9E1B32"/>
          <w:sz w:val="30"/>
          <w:szCs w:val="30"/>
        </w:rPr>
        <w:t xml:space="preserve">11. Next Sprint</w:t>
      </w:r>
    </w:p>
    <w:p>
      <w:pPr>
        <w:spacing w:after="120" w:before="0" w:line="276"/>
      </w:pPr>
      <w:r>
        <w:rPr>
          <w:rFonts w:ascii="Arial" w:cs="Arial" w:eastAsia="Arial" w:hAnsi="Arial"/>
          <w:color w:val="222222"/>
          <w:sz w:val="20"/>
          <w:szCs w:val="20"/>
        </w:rPr>
        <w:t xml:space="preserve">Sprint 3 (October 12 – October 30, 2026) will add threshold alerts with severity and history, manual and automatic irrigation, the actuator event log (pulled forward from Sprint 4) and anomaly detection. No stories are carried over.</w:t>
      </w:r>
    </w:p>
    <w:p>
      <w:pPr>
        <w:pStyle w:val="Heading1"/>
        <w:keepNext/>
        <w:pBdr>
          <w:bottom w:val="single" w:color="DDDDDD" w:sz="6" w:space="4"/>
        </w:pBdr>
        <w:spacing w:after="140" w:before="280"/>
      </w:pPr>
      <w:r>
        <w:rPr>
          <w:rFonts w:ascii="Arial" w:cs="Arial" w:eastAsia="Arial" w:hAnsi="Arial"/>
          <w:b/>
          <w:bCs/>
          <w:color w:val="9E1B32"/>
          <w:sz w:val="30"/>
          <w:szCs w:val="30"/>
        </w:rPr>
        <w:t xml:space="preserve">12. Scrum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Student</w:t>
            </w:r>
          </w:p>
        </w:tc>
        <w:tc>
          <w:tcPr>
            <w:tcW w:type="dxa" w:w="4680"/>
            <w:tcBorders>
              <w:top w:val="single" w:color="DDDDDD" w:sz="4"/>
              <w:left w:val="single" w:color="DDDDDD" w:sz="4"/>
              <w:bottom w:val="single" w:color="DDDDDD" w:sz="4"/>
              <w:right w:val="single" w:color="DDDDDD" w:sz="4"/>
            </w:tcBorders>
            <w:shd w:fill="9E1B32" w:color="auto" w:val="clear"/>
            <w:tcMar>
              <w:top w:type="dxa" w:w="60"/>
              <w:left w:type="dxa" w:w="90"/>
              <w:bottom w:type="dxa" w:w="60"/>
              <w:right w:type="dxa" w:w="90"/>
            </w:tcMar>
          </w:tcPr>
          <w:p>
            <w:pPr>
              <w:spacing w:after="0" w:line="252"/>
            </w:pPr>
            <w:r>
              <w:rPr>
                <w:rFonts w:ascii="Arial" w:cs="Arial" w:eastAsia="Arial" w:hAnsi="Arial"/>
                <w:b/>
                <w:bCs/>
                <w:color w:val="FFFFFF"/>
                <w:sz w:val="17"/>
                <w:szCs w:val="17"/>
              </w:rPr>
              <w:t xml:space="preserve">Role</w:t>
            </w:r>
          </w:p>
        </w:tc>
      </w:tr>
      <w:tr>
        <w:trPr>
          <w:cantSplit/>
        </w:trPr>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Jorge Velez Delgado</w:t>
            </w:r>
          </w:p>
        </w:tc>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Scrum Master / Developer</w:t>
            </w:r>
          </w:p>
        </w:tc>
      </w:tr>
      <w:tr>
        <w:trPr>
          <w:cantSplit/>
        </w:trPr>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Vicente Rocha Alfaro</w:t>
            </w:r>
          </w:p>
        </w:tc>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Oscar Abraham Talavera Nava</w:t>
            </w:r>
          </w:p>
        </w:tc>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Carlos Ramirez Mendoza</w:t>
            </w:r>
          </w:p>
        </w:tc>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Developer</w:t>
            </w:r>
          </w:p>
        </w:tc>
      </w:tr>
      <w:tr>
        <w:trPr>
          <w:cantSplit/>
        </w:trPr>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Alexis Enrique Valle Parra</w:t>
            </w:r>
          </w:p>
        </w:tc>
        <w:tc>
          <w:tcPr>
            <w:tcW w:type="dxa" w:w="4680"/>
            <w:tcBorders>
              <w:top w:val="single" w:color="DDDDDD" w:sz="4"/>
              <w:left w:val="single" w:color="DDDDDD" w:sz="4"/>
              <w:bottom w:val="single" w:color="DDDDDD" w:sz="4"/>
              <w:right w:val="single" w:color="DDDDDD" w:sz="4"/>
            </w:tcBorders>
            <w:shd w:fill="FAFAFA" w:color="auto" w:val="clear"/>
            <w:tcMar>
              <w:top w:type="dxa" w:w="60"/>
              <w:left w:type="dxa" w:w="90"/>
              <w:bottom w:type="dxa" w:w="60"/>
              <w:right w:type="dxa" w:w="90"/>
            </w:tcMar>
          </w:tcPr>
          <w:p>
            <w:pPr>
              <w:spacing w:after="0" w:line="252"/>
            </w:pPr>
            <w:r>
              <w:rPr>
                <w:rFonts w:ascii="Arial" w:cs="Arial" w:eastAsia="Arial" w:hAnsi="Arial"/>
                <w:color w:val="222222"/>
                <w:sz w:val="17"/>
                <w:szCs w:val="17"/>
              </w:rPr>
              <w:t xml:space="preserve">Product Owner / Developer</w:t>
            </w:r>
          </w:p>
        </w:tc>
      </w:tr>
    </w:tbl>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999999"/>
        <w:sz w:val="15"/>
        <w:szCs w:val="15"/>
      </w:rPr>
      <w:t xml:space="preserve">UPAEP · SmartGreenAI — Sprint 2 Review &amp; Delivery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9E1B32"/>
      <w:sz w:val="30"/>
      <w:szCs w:val="30"/>
    </w:rPr>
  </w:style>
  <w:style w:type="paragraph" w:styleId="Heading2">
    <w:name w:val="Heading 2"/>
    <w:basedOn w:val="Normal"/>
    <w:next w:val="Normal"/>
    <w:qFormat/>
    <w:pPr>
      <w:outlineLvl w:val="1"/>
    </w:pPr>
    <w:rPr>
      <w:rFonts w:ascii="Arial" w:cs="Arial" w:eastAsia="Arial" w:hAnsi="Arial"/>
      <w:b/>
      <w:bCs/>
      <w:color w:val="9E1B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6f5a58aadd7dfdd659386129a349db54fbf405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SmartGreenAI — Sprint 2 Review &amp; Delivery</dc:title>
  <dc:creator>Team 3 - SmartGreenAI</dc:creator>
  <cp:lastModifiedBy>Un-named</cp:lastModifiedBy>
  <cp:revision>1</cp:revision>
  <dcterms:created xsi:type="dcterms:W3CDTF">2026-09-28T15:59:19.923Z</dcterms:created>
  <dcterms:modified xsi:type="dcterms:W3CDTF">2026-09-28T15:59:19.923Z</dcterms:modified>
</cp:coreProperties>
</file>

<file path=docProps/custom.xml><?xml version="1.0" encoding="utf-8"?>
<Properties xmlns="http://schemas.openxmlformats.org/officeDocument/2006/custom-properties" xmlns:vt="http://schemas.openxmlformats.org/officeDocument/2006/docPropsVTypes"/>
</file>