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300" w:before="0" w:line="276"/>
        <w:jc w:val="center"/>
      </w:pPr>
      <w:r>
        <w:rPr>
          <w:rFonts w:ascii="Arial" w:cs="Arial" w:eastAsia="Arial" w:hAnsi="Arial"/>
          <w:i/>
          <w:iCs/>
          <w:color w:val="999999"/>
          <w:sz w:val="18"/>
          <w:szCs w:val="18"/>
        </w:rPr>
        <w:t xml:space="preserve">[ Insert official UPAEP logo ]</w:t>
      </w:r>
    </w:p>
    <w:p>
      <w:pPr>
        <w:spacing w:after="0" w:before="0" w:line="276"/>
        <w:jc w:val="center"/>
      </w:pPr>
      <w:r>
        <w:rPr>
          <w:rFonts w:ascii="Arial" w:cs="Arial" w:eastAsia="Arial" w:hAnsi="Arial"/>
          <w:b/>
          <w:bCs/>
          <w:color w:val="9E1B32"/>
          <w:sz w:val="26"/>
          <w:szCs w:val="26"/>
        </w:rPr>
        <w:t xml:space="preserve">UNIVERSIDAD POPULAR AUTÓNOMA</w:t>
      </w:r>
    </w:p>
    <w:p>
      <w:pPr>
        <w:spacing w:after="160" w:before="0" w:line="276"/>
        <w:jc w:val="center"/>
      </w:pPr>
      <w:r>
        <w:rPr>
          <w:rFonts w:ascii="Arial" w:cs="Arial" w:eastAsia="Arial" w:hAnsi="Arial"/>
          <w:b/>
          <w:bCs/>
          <w:color w:val="9E1B32"/>
          <w:sz w:val="26"/>
          <w:szCs w:val="26"/>
        </w:rPr>
        <w:t xml:space="preserve">DEL ESTADO DE PUEBLA</w:t>
      </w:r>
    </w:p>
    <w:p>
      <w:pPr>
        <w:spacing w:after="40" w:before="0" w:line="276"/>
        <w:jc w:val="center"/>
      </w:pPr>
      <w:r>
        <w:rPr>
          <w:rFonts w:ascii="Arial" w:cs="Arial" w:eastAsia="Arial" w:hAnsi="Arial"/>
          <w:color w:val="222222"/>
          <w:sz w:val="22"/>
          <w:szCs w:val="22"/>
        </w:rPr>
        <w:t xml:space="preserve">Decanato de Ingenierías</w:t>
      </w:r>
    </w:p>
    <w:p>
      <w:pPr>
        <w:spacing w:after="500" w:before="0" w:line="276"/>
        <w:jc w:val="center"/>
      </w:pPr>
      <w:r>
        <w:rPr>
          <w:rFonts w:ascii="Arial" w:cs="Arial" w:eastAsia="Arial" w:hAnsi="Arial"/>
          <w:color w:val="3A3A3A"/>
          <w:sz w:val="20"/>
          <w:szCs w:val="20"/>
        </w:rPr>
        <w:t xml:space="preserve">Course: Agile Project Management</w:t>
      </w:r>
    </w:p>
    <w:p>
      <w:pPr>
        <w:spacing w:after="60" w:before="0" w:line="276"/>
        <w:jc w:val="center"/>
      </w:pPr>
      <w:r>
        <w:rPr>
          <w:rFonts w:ascii="Arial" w:cs="Arial" w:eastAsia="Arial" w:hAnsi="Arial"/>
          <w:b/>
          <w:bCs/>
          <w:color w:val="222222"/>
          <w:sz w:val="56"/>
          <w:szCs w:val="56"/>
        </w:rPr>
        <w:t xml:space="preserve">SPRINT 3</w:t>
      </w:r>
    </w:p>
    <w:p>
      <w:pPr>
        <w:spacing w:after="120" w:before="0" w:line="276"/>
        <w:jc w:val="center"/>
      </w:pPr>
      <w:r>
        <w:rPr>
          <w:rFonts w:ascii="Arial" w:cs="Arial" w:eastAsia="Arial" w:hAnsi="Arial"/>
          <w:b/>
          <w:bCs/>
          <w:color w:val="222222"/>
          <w:sz w:val="30"/>
          <w:szCs w:val="30"/>
        </w:rPr>
        <w:t xml:space="preserve">SPRINT REVIEW &amp; DELIVERY</w:t>
      </w:r>
    </w:p>
    <w:p>
      <w:pPr>
        <w:spacing w:after="60" w:before="0" w:line="276"/>
        <w:jc w:val="center"/>
      </w:pPr>
      <w:r>
        <w:rPr>
          <w:rFonts w:ascii="Arial" w:cs="Arial" w:eastAsia="Arial" w:hAnsi="Arial"/>
          <w:b/>
          <w:bCs/>
          <w:color w:val="9E1B32"/>
          <w:sz w:val="24"/>
          <w:szCs w:val="24"/>
        </w:rPr>
        <w:t xml:space="preserve">SmartGreenAI: Cilantro Crop</w:t>
      </w:r>
    </w:p>
    <w:p>
      <w:pPr>
        <w:spacing w:after="500" w:before="0" w:line="276"/>
        <w:jc w:val="center"/>
      </w:pPr>
      <w:r>
        <w:rPr>
          <w:rFonts w:ascii="Arial" w:cs="Arial" w:eastAsia="Arial" w:hAnsi="Arial"/>
          <w:color w:val="6B6B6B"/>
          <w:sz w:val="18"/>
          <w:szCs w:val="18"/>
        </w:rPr>
        <w:t xml:space="preserve">Sprint Backlog, Execution Evidence and Increment (October 12, 2026 – October 30, 2026)</w:t>
      </w:r>
    </w:p>
    <w:p>
      <w:pPr>
        <w:spacing w:after="20" w:before="0" w:line="276"/>
        <w:jc w:val="center"/>
      </w:pPr>
      <w:r>
        <w:rPr>
          <w:rFonts w:ascii="Arial" w:cs="Arial" w:eastAsia="Arial" w:hAnsi="Arial"/>
          <w:b/>
          <w:bCs/>
          <w:color w:val="222222"/>
          <w:sz w:val="20"/>
          <w:szCs w:val="20"/>
        </w:rPr>
        <w:t xml:space="preserve">Professor</w:t>
      </w:r>
    </w:p>
    <w:p>
      <w:pPr>
        <w:spacing w:after="300" w:before="0" w:line="276"/>
        <w:jc w:val="center"/>
      </w:pPr>
      <w:r>
        <w:rPr>
          <w:rFonts w:ascii="Arial" w:cs="Arial" w:eastAsia="Arial" w:hAnsi="Arial"/>
          <w:color w:val="222222"/>
          <w:sz w:val="20"/>
          <w:szCs w:val="20"/>
        </w:rPr>
        <w:t xml:space="preserve">Jorge Rafael Aguilar Cisneros</w:t>
      </w:r>
    </w:p>
    <w:p>
      <w:pPr>
        <w:spacing w:after="100" w:before="0" w:line="276"/>
        <w:jc w:val="center"/>
      </w:pPr>
      <w:r>
        <w:rPr>
          <w:rFonts w:ascii="Arial" w:cs="Arial" w:eastAsia="Arial" w:hAnsi="Arial"/>
          <w:b/>
          <w:bCs/>
          <w:color w:val="222222"/>
          <w:sz w:val="20"/>
          <w:szCs w:val="20"/>
        </w:rPr>
        <w:t xml:space="preserve">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rPr>
          <w:cantSplit/>
          <w:tblHeader/>
        </w:trPr>
        <w:tc>
          <w:tcPr>
            <w:tcW w:type="dxa" w:w="42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Student</w:t>
            </w:r>
          </w:p>
        </w:tc>
        <w:tc>
          <w:tcPr>
            <w:tcW w:type="dxa" w:w="16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Student ID</w:t>
            </w:r>
          </w:p>
        </w:tc>
        <w:tc>
          <w:tcPr>
            <w:tcW w:type="dxa" w:w="35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Scrum role</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Scrum Master / Developer</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Product Owner / Developer</w:t>
            </w:r>
          </w:p>
        </w:tc>
      </w:tr>
    </w:tbl>
    <w:p>
      <w:pPr>
        <w:spacing w:after="700"/>
      </w:pPr>
    </w:p>
    <w:p>
      <w:pPr>
        <w:spacing w:after="120" w:before="0" w:line="276"/>
        <w:jc w:val="center"/>
      </w:pPr>
      <w:r>
        <w:rPr>
          <w:rFonts w:ascii="Arial" w:cs="Arial" w:eastAsia="Arial" w:hAnsi="Arial"/>
          <w:color w:val="6B6B6B"/>
          <w:sz w:val="20"/>
          <w:szCs w:val="20"/>
        </w:rPr>
        <w:t xml:space="preserve">Puebla, Puebla — October 2026</w:t>
      </w:r>
    </w:p>
    <w:p>
      <w:r>
        <w:br w:type="page"/>
      </w:r>
    </w:p>
    <w:p>
      <w:pPr>
        <w:pStyle w:val="Heading1"/>
        <w:keepNext/>
        <w:pBdr>
          <w:bottom w:val="single" w:color="DDDDDD" w:sz="6" w:space="4"/>
        </w:pBdr>
        <w:spacing w:after="140" w:before="280"/>
      </w:pPr>
      <w:r>
        <w:rPr>
          <w:rFonts w:ascii="Arial" w:cs="Arial" w:eastAsia="Arial" w:hAnsi="Arial"/>
          <w:b/>
          <w:bCs/>
          <w:color w:val="9E1B32"/>
          <w:sz w:val="30"/>
          <w:szCs w:val="30"/>
        </w:rPr>
        <w:t xml:space="preserve">1. Sprint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Sprint</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Sprint 3 — Alerts, Irrigation Control and Anomaly Detection</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Dates</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October 12, 2026 – October 30, 2026 (3 weeks)</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Sprint Goal</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Transform SmartGreenAI into an active greenhouse control system by generating threshold alerts with severity and history, allowing manual and automatic irrigation with a recorded event log, and detecting abnormal sensor measurements.</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Result</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Sprint Goal achieved. All committed user stories are Done and accepted by the Product Owner.</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User stories</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7 committed / 7 done</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Tasks</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28 development tasks + 2 sprint-level tasks, all Done</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Hours</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43 h planned / 45 h actual (velocity: 43 h of committed work completed)</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Review date</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October 30, 2026, 4:30 PM</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2. Sprint Goal Assessment</w:t>
      </w:r>
    </w:p>
    <w:p>
      <w:pPr>
        <w:spacing w:after="120" w:before="0" w:line="276"/>
      </w:pPr>
      <w:r>
        <w:rPr>
          <w:rFonts w:ascii="Arial" w:cs="Arial" w:eastAsia="Arial" w:hAnsi="Arial"/>
          <w:b/>
          <w:bCs/>
          <w:color w:val="222222"/>
          <w:sz w:val="20"/>
          <w:szCs w:val="20"/>
        </w:rPr>
        <w:t xml:space="preserve">Measurable goal: </w:t>
      </w:r>
      <w:r>
        <w:rPr>
          <w:rFonts w:ascii="Arial" w:cs="Arial" w:eastAsia="Arial" w:hAnsi="Arial"/>
          <w:color w:val="222222"/>
          <w:sz w:val="20"/>
          <w:szCs w:val="20"/>
        </w:rPr>
        <w:t xml:space="preserve">when the simulator sends a soil-moisture value below the configured minimum, an alert with its severity appears on the dashboard and in the alert history, automatic irrigation turns the pump ON (or the producer turns it on manually), the event is recorded with its source, and an injected abnormal value is flagged as an anomaly.</w:t>
      </w:r>
    </w:p>
    <w:p>
      <w:pPr>
        <w:spacing w:after="120" w:before="0" w:line="276"/>
      </w:pPr>
      <w:r>
        <w:rPr>
          <w:rFonts w:ascii="Arial" w:cs="Arial" w:eastAsia="Arial" w:hAnsi="Arial"/>
          <w:b/>
          <w:bCs/>
          <w:color w:val="222222"/>
          <w:sz w:val="20"/>
          <w:szCs w:val="20"/>
        </w:rPr>
        <w:t xml:space="preserve">Assessment: </w:t>
      </w:r>
      <w:r>
        <w:rPr>
          <w:rFonts w:ascii="Arial" w:cs="Arial" w:eastAsia="Arial" w:hAnsi="Arial"/>
          <w:color w:val="222222"/>
          <w:sz w:val="20"/>
          <w:szCs w:val="20"/>
        </w:rPr>
        <w:t xml:space="preserve">the measurable goal was demonstrated live at the Sprint Review (section 8). </w:t>
      </w:r>
    </w:p>
    <w:p>
      <w:pPr>
        <w:pStyle w:val="Heading1"/>
        <w:keepNext/>
        <w:pBdr>
          <w:bottom w:val="single" w:color="DDDDDD" w:sz="6" w:space="4"/>
        </w:pBdr>
        <w:spacing w:after="140" w:before="280"/>
      </w:pPr>
      <w:r>
        <w:rPr>
          <w:rFonts w:ascii="Arial" w:cs="Arial" w:eastAsia="Arial" w:hAnsi="Arial"/>
          <w:b/>
          <w:bCs/>
          <w:color w:val="9E1B32"/>
          <w:sz w:val="30"/>
          <w:szCs w:val="30"/>
        </w:rPr>
        <w:t xml:space="preserve">3. Sprint Backlog — Final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3000"/>
        <w:gridCol w:w="850"/>
        <w:gridCol w:w="2160"/>
        <w:gridCol w:w="750"/>
        <w:gridCol w:w="800"/>
        <w:gridCol w:w="850"/>
      </w:tblGrid>
      <w:tr>
        <w:trPr>
          <w:cantSplit/>
          <w:tblHeader/>
        </w:trPr>
        <w:tc>
          <w:tcPr>
            <w:tcW w:type="dxa" w:w="9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ID</w:t>
            </w:r>
          </w:p>
        </w:tc>
        <w:tc>
          <w:tcPr>
            <w:tcW w:type="dxa" w:w="3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User Story</w:t>
            </w:r>
          </w:p>
        </w:tc>
        <w:tc>
          <w:tcPr>
            <w:tcW w:type="dxa" w:w="8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Priority</w:t>
            </w:r>
          </w:p>
        </w:tc>
        <w:tc>
          <w:tcPr>
            <w:tcW w:type="dxa" w:w="21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Owner</w:t>
            </w:r>
          </w:p>
        </w:tc>
        <w:tc>
          <w:tcPr>
            <w:tcW w:type="dxa" w:w="7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Plan h</w:t>
            </w:r>
          </w:p>
        </w:tc>
        <w:tc>
          <w:tcPr>
            <w:tcW w:type="dxa" w:w="8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Actual h</w:t>
            </w:r>
          </w:p>
        </w:tc>
        <w:tc>
          <w:tcPr>
            <w:tcW w:type="dxa" w:w="8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US-11</w:t>
            </w:r>
          </w:p>
        </w:tc>
        <w:tc>
          <w:tcPr>
            <w:tcW w:type="dxa" w:w="3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Receive threshold alerts</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2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7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5</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5</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US-12</w:t>
            </w:r>
          </w:p>
        </w:tc>
        <w:tc>
          <w:tcPr>
            <w:tcW w:type="dxa" w:w="3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Classify alerts by severity</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2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7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US-13</w:t>
            </w:r>
          </w:p>
        </w:tc>
        <w:tc>
          <w:tcPr>
            <w:tcW w:type="dxa" w:w="3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View alert history</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2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7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US-15</w:t>
            </w:r>
          </w:p>
        </w:tc>
        <w:tc>
          <w:tcPr>
            <w:tcW w:type="dxa" w:w="3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Manually activate or deactivate irrigation</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2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7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9</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US-16</w:t>
            </w:r>
          </w:p>
        </w:tc>
        <w:tc>
          <w:tcPr>
            <w:tcW w:type="dxa" w:w="3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Automatic irrigation according to predefined conditions</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Should</w:t>
            </w:r>
          </w:p>
        </w:tc>
        <w:tc>
          <w:tcPr>
            <w:tcW w:type="dxa" w:w="2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7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13</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14</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US-17</w:t>
            </w:r>
          </w:p>
        </w:tc>
        <w:tc>
          <w:tcPr>
            <w:tcW w:type="dxa" w:w="3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Record actuator activation events</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Could</w:t>
            </w:r>
          </w:p>
        </w:tc>
        <w:tc>
          <w:tcPr>
            <w:tcW w:type="dxa" w:w="2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7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US-19</w:t>
            </w:r>
          </w:p>
        </w:tc>
        <w:tc>
          <w:tcPr>
            <w:tcW w:type="dxa" w:w="3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Identify unusual environmental measurements</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2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7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r>
      <w:tr>
        <w:trPr>
          <w:cantSplit/>
        </w:trPr>
        <w:tc>
          <w:tcPr>
            <w:tcW w:type="dxa" w:w="9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 Sprint 3</w:t>
            </w:r>
          </w:p>
        </w:tc>
        <w:tc>
          <w:tcPr>
            <w:tcW w:type="dxa" w:w="8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21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7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43</w:t>
            </w:r>
          </w:p>
        </w:tc>
        <w:tc>
          <w:tcPr>
            <w:tcW w:type="dxa" w:w="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45</w:t>
            </w:r>
          </w:p>
        </w:tc>
        <w:tc>
          <w:tcPr>
            <w:tcW w:type="dxa" w:w="8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spacing w:after="120" w:before="80" w:line="276"/>
      </w:pPr>
      <w:r>
        <w:rPr>
          <w:rFonts w:ascii="Arial" w:cs="Arial" w:eastAsia="Arial" w:hAnsi="Arial"/>
          <w:i/>
          <w:iCs/>
          <w:color w:val="6B6B6B"/>
          <w:sz w:val="20"/>
          <w:szCs w:val="20"/>
        </w:rPr>
        <w:t xml:space="preserve">Estimation variance: US15-T3 took 3 h instead of 2 h; US16-T3 took 4 h instead of 3 h. The Week 3 buffer absorbed the difference.</w:t>
      </w:r>
    </w:p>
    <w:p>
      <w:pPr>
        <w:pStyle w:val="Heading1"/>
        <w:keepNext/>
        <w:pBdr>
          <w:bottom w:val="single" w:color="DDDDDD" w:sz="6" w:space="4"/>
        </w:pBdr>
        <w:spacing w:after="140" w:before="280"/>
      </w:pPr>
      <w:r>
        <w:rPr>
          <w:rFonts w:ascii="Arial" w:cs="Arial" w:eastAsia="Arial" w:hAnsi="Arial"/>
          <w:b/>
          <w:bCs/>
          <w:color w:val="9E1B32"/>
          <w:sz w:val="30"/>
          <w:szCs w:val="30"/>
        </w:rPr>
        <w:t xml:space="preserve">4. Tasks Completed and Evidence</w:t>
      </w:r>
    </w:p>
    <w:p>
      <w:pPr>
        <w:spacing w:after="120" w:before="0" w:line="276"/>
      </w:pPr>
      <w:r>
        <w:rPr>
          <w:rFonts w:ascii="Arial" w:cs="Arial" w:eastAsia="Arial" w:hAnsi="Arial"/>
          <w:color w:val="222222"/>
          <w:sz w:val="20"/>
          <w:szCs w:val="20"/>
        </w:rPr>
        <w:t xml:space="preserve">Every task has its evidence file in the folder Sprint 3/Evidence/&lt;User Story&gt;/. The file name starts with the task ID so that each completion condition can be traced to its proof.</w:t>
      </w:r>
    </w:p>
    <w:p>
      <w:pPr>
        <w:pStyle w:val="Heading2"/>
        <w:keepNext/>
        <w:spacing w:after="100" w:before="220"/>
      </w:pPr>
      <w:r>
        <w:rPr>
          <w:rFonts w:ascii="Arial" w:cs="Arial" w:eastAsia="Arial" w:hAnsi="Arial"/>
          <w:b/>
          <w:bCs/>
          <w:color w:val="9E1B32"/>
          <w:sz w:val="22"/>
          <w:szCs w:val="22"/>
        </w:rPr>
        <w:t xml:space="preserve">US-11 — Receive threshold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250"/>
        <w:gridCol w:w="1450"/>
        <w:gridCol w:w="480"/>
        <w:gridCol w:w="700"/>
        <w:gridCol w:w="3400"/>
      </w:tblGrid>
      <w:tr>
        <w:trPr>
          <w:cantSplit/>
          <w:tblHeader/>
        </w:trPr>
        <w:tc>
          <w:tcPr>
            <w:tcW w:type="dxa" w:w="10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2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1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4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c>
          <w:tcPr>
            <w:tcW w:type="dxa" w:w="3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Evidence file</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US11-T1</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Design the alert engine and alert data model</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US11-T1_Design_Alert_Engine_Alert_Data.docx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US11-T2</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alert evaluation on measurement ingestion</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US11-T2_Implement_Alert_Evaluation_Measurement_Ingestion.docx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US11-T3</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Show active alerts to the producer</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US11-T3_Show_Active_Alerts_Producer.docx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US11-T4</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alert generation</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US11-T4_Test_Alert_Generation.docx</w:t>
            </w:r>
          </w:p>
        </w:tc>
      </w:tr>
    </w:tbl>
    <w:p>
      <w:pPr>
        <w:pStyle w:val="Heading2"/>
        <w:keepNext/>
        <w:spacing w:after="100" w:before="220"/>
      </w:pPr>
      <w:r>
        <w:rPr>
          <w:rFonts w:ascii="Arial" w:cs="Arial" w:eastAsia="Arial" w:hAnsi="Arial"/>
          <w:b/>
          <w:bCs/>
          <w:color w:val="9E1B32"/>
          <w:sz w:val="22"/>
          <w:szCs w:val="22"/>
        </w:rPr>
        <w:t xml:space="preserve">US-12 — Classify alerts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250"/>
        <w:gridCol w:w="1450"/>
        <w:gridCol w:w="480"/>
        <w:gridCol w:w="700"/>
        <w:gridCol w:w="3400"/>
      </w:tblGrid>
      <w:tr>
        <w:trPr>
          <w:cantSplit/>
          <w:tblHeader/>
        </w:trPr>
        <w:tc>
          <w:tcPr>
            <w:tcW w:type="dxa" w:w="10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2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1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4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c>
          <w:tcPr>
            <w:tcW w:type="dxa" w:w="3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Evidence file</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US12-T1</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Define severity classification rules</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US12-T1_Define_Severity_Classification_Rules.docx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US12-T2</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severity classification and display</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US12-T2_Implement_Severity_Classification_Display.docx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US12-T3</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severity classification</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US12-T3_Test_Severity_Classification.docx</w:t>
            </w:r>
          </w:p>
        </w:tc>
      </w:tr>
    </w:tbl>
    <w:p>
      <w:pPr>
        <w:pStyle w:val="Heading2"/>
        <w:keepNext/>
        <w:spacing w:after="100" w:before="220"/>
      </w:pPr>
      <w:r>
        <w:rPr>
          <w:rFonts w:ascii="Arial" w:cs="Arial" w:eastAsia="Arial" w:hAnsi="Arial"/>
          <w:b/>
          <w:bCs/>
          <w:color w:val="9E1B32"/>
          <w:sz w:val="22"/>
          <w:szCs w:val="22"/>
        </w:rPr>
        <w:t xml:space="preserve">US-13 — View alert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250"/>
        <w:gridCol w:w="1450"/>
        <w:gridCol w:w="480"/>
        <w:gridCol w:w="700"/>
        <w:gridCol w:w="3400"/>
      </w:tblGrid>
      <w:tr>
        <w:trPr>
          <w:cantSplit/>
          <w:tblHeader/>
        </w:trPr>
        <w:tc>
          <w:tcPr>
            <w:tcW w:type="dxa" w:w="10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2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1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4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c>
          <w:tcPr>
            <w:tcW w:type="dxa" w:w="3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Evidence file</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US13-T1</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the alert history endpoint</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US13-T1_Implement_Alert_History_Endpoint.docx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US13-T2</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Build the alert history screen</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US13-T2_Build_Alert_History_Screen.docx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US13-T3</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alert history</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US13-T3_Test_Alert_History.docx</w:t>
            </w:r>
          </w:p>
        </w:tc>
      </w:tr>
    </w:tbl>
    <w:p>
      <w:pPr>
        <w:pStyle w:val="Heading2"/>
        <w:keepNext/>
        <w:spacing w:after="100" w:before="220"/>
      </w:pPr>
      <w:r>
        <w:rPr>
          <w:rFonts w:ascii="Arial" w:cs="Arial" w:eastAsia="Arial" w:hAnsi="Arial"/>
          <w:b/>
          <w:bCs/>
          <w:color w:val="9E1B32"/>
          <w:sz w:val="22"/>
          <w:szCs w:val="22"/>
        </w:rPr>
        <w:t xml:space="preserve">US-15 — Manually activate or deactivate irrigation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250"/>
        <w:gridCol w:w="1450"/>
        <w:gridCol w:w="480"/>
        <w:gridCol w:w="700"/>
        <w:gridCol w:w="3400"/>
      </w:tblGrid>
      <w:tr>
        <w:trPr>
          <w:cantSplit/>
          <w:tblHeader/>
        </w:trPr>
        <w:tc>
          <w:tcPr>
            <w:tcW w:type="dxa" w:w="10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2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1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4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c>
          <w:tcPr>
            <w:tcW w:type="dxa" w:w="3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Evidence file</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US15-T1</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Design the actuator command flow</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US15-T1_Design_Actuator_Command_Flow.docx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US15-T2</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the actuator command endpoint</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US15-T2_Implement_Actuator_Command_Endpoint.docx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US15-T3</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Execute commands on the device or simulator</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US15-T3_Execute_Commands_Device_Simulator.docx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US15-T4</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Build irrigation control and mode selector</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US15-T4_Build_Irrigation_Control_Mode_Selector.docx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US15-T5</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manual irrigation</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US15-T5_Test_Manual_Irrigation.docx</w:t>
            </w:r>
          </w:p>
        </w:tc>
      </w:tr>
    </w:tbl>
    <w:p>
      <w:pPr>
        <w:pStyle w:val="Heading2"/>
        <w:keepNext/>
        <w:spacing w:after="100" w:before="220"/>
      </w:pPr>
      <w:r>
        <w:rPr>
          <w:rFonts w:ascii="Arial" w:cs="Arial" w:eastAsia="Arial" w:hAnsi="Arial"/>
          <w:b/>
          <w:bCs/>
          <w:color w:val="9E1B32"/>
          <w:sz w:val="22"/>
          <w:szCs w:val="22"/>
        </w:rPr>
        <w:t xml:space="preserve">US-16 — Automatic irrigation according to predefined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250"/>
        <w:gridCol w:w="1450"/>
        <w:gridCol w:w="480"/>
        <w:gridCol w:w="700"/>
        <w:gridCol w:w="3400"/>
      </w:tblGrid>
      <w:tr>
        <w:trPr>
          <w:cantSplit/>
          <w:tblHeader/>
        </w:trPr>
        <w:tc>
          <w:tcPr>
            <w:tcW w:type="dxa" w:w="10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2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1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4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c>
          <w:tcPr>
            <w:tcW w:type="dxa" w:w="3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Evidence file</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US16-T1</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Define automatic irrigation rules</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US16-T1_Define_Automatic_Irrigation_Rules.docx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US16-T2</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Build the irrigation parameters screen</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US16-T2_Build_Irrigation_Parameters_Screen.docx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US16-T3</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the automatic irrigation engine</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US16-T3_Implement_Automatic_Irrigation_Engine.docx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US16-T4</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irrigation safety conditions</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US16-T4_Implement_Irrigation_Safety_Conditions.docx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US16-T5</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Run the closed-loop irrigation simulation</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US16-T5_Run_Closed-Loop_Irrigation_Simulation.docx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US16-T6</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automatic irrigation</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US16-T6_Test_Automatic_Irrigation.docx</w:t>
            </w:r>
          </w:p>
        </w:tc>
      </w:tr>
    </w:tbl>
    <w:p>
      <w:pPr>
        <w:pStyle w:val="Heading2"/>
        <w:keepNext/>
        <w:spacing w:after="100" w:before="220"/>
      </w:pPr>
      <w:r>
        <w:rPr>
          <w:rFonts w:ascii="Arial" w:cs="Arial" w:eastAsia="Arial" w:hAnsi="Arial"/>
          <w:b/>
          <w:bCs/>
          <w:color w:val="9E1B32"/>
          <w:sz w:val="22"/>
          <w:szCs w:val="22"/>
        </w:rPr>
        <w:t xml:space="preserve">US-17 — Record actuator activation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250"/>
        <w:gridCol w:w="1450"/>
        <w:gridCol w:w="480"/>
        <w:gridCol w:w="700"/>
        <w:gridCol w:w="3400"/>
      </w:tblGrid>
      <w:tr>
        <w:trPr>
          <w:cantSplit/>
          <w:tblHeader/>
        </w:trPr>
        <w:tc>
          <w:tcPr>
            <w:tcW w:type="dxa" w:w="10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2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1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4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c>
          <w:tcPr>
            <w:tcW w:type="dxa" w:w="3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Evidence file</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US17-T1</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the actuator event log</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US17-T1_Implement_Actuator_Event_Log.docx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US17-T2</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Build the irrigation history screen</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US17-T2_Build_Irrigation_History_Screen.docx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US17-T3</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event recording</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US17-T3_Test_Event_Recording.docx</w:t>
            </w:r>
          </w:p>
        </w:tc>
      </w:tr>
    </w:tbl>
    <w:p>
      <w:pPr>
        <w:pStyle w:val="Heading2"/>
        <w:keepNext/>
        <w:spacing w:after="100" w:before="220"/>
      </w:pPr>
      <w:r>
        <w:rPr>
          <w:rFonts w:ascii="Arial" w:cs="Arial" w:eastAsia="Arial" w:hAnsi="Arial"/>
          <w:b/>
          <w:bCs/>
          <w:color w:val="9E1B32"/>
          <w:sz w:val="22"/>
          <w:szCs w:val="22"/>
        </w:rPr>
        <w:t xml:space="preserve">US-19 — Identify unusual environmental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250"/>
        <w:gridCol w:w="1450"/>
        <w:gridCol w:w="480"/>
        <w:gridCol w:w="700"/>
        <w:gridCol w:w="3400"/>
      </w:tblGrid>
      <w:tr>
        <w:trPr>
          <w:cantSplit/>
          <w:tblHeader/>
        </w:trPr>
        <w:tc>
          <w:tcPr>
            <w:tcW w:type="dxa" w:w="10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2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1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4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c>
          <w:tcPr>
            <w:tcW w:type="dxa" w:w="3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Evidence file</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US19-T1</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Define anomaly detection methods</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US19-T1_Define_Anomaly_Detection_Methods.docx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US19-T2</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the anomaly detection service</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US19-T2_Implement_Anomaly_Detection_Service.docx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US19-T3</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Display anomalies to the producer</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US19-T3_Display_Anomalies_Producer.docx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US19-T4</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anomaly detection</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US19-T4_Test_Anomaly_Detection.docx</w:t>
            </w:r>
          </w:p>
        </w:tc>
      </w:tr>
    </w:tbl>
    <w:p>
      <w:pPr>
        <w:pStyle w:val="Heading2"/>
        <w:keepNext/>
        <w:spacing w:after="100" w:before="220"/>
      </w:pPr>
      <w:r>
        <w:rPr>
          <w:rFonts w:ascii="Arial" w:cs="Arial" w:eastAsia="Arial" w:hAnsi="Arial"/>
          <w:b/>
          <w:bCs/>
          <w:color w:val="9E1B32"/>
          <w:sz w:val="22"/>
          <w:szCs w:val="22"/>
        </w:rPr>
        <w:t xml:space="preserve">Sprint-level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2600"/>
        <w:gridCol w:w="2100"/>
        <w:gridCol w:w="700"/>
        <w:gridCol w:w="3010"/>
      </w:tblGrid>
      <w:tr>
        <w:trPr>
          <w:cantSplit/>
          <w:tblHeader/>
        </w:trPr>
        <w:tc>
          <w:tcPr>
            <w:tcW w:type="dxa" w:w="9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6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21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c>
          <w:tcPr>
            <w:tcW w:type="dxa" w:w="301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Evidence file</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SPR-T1</w:t>
            </w:r>
          </w:p>
        </w:tc>
        <w:tc>
          <w:tcPr>
            <w:tcW w:type="dxa" w:w="2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End-to-end integration test</w:t>
            </w:r>
          </w:p>
        </w:tc>
        <w:tc>
          <w:tcPr>
            <w:tcW w:type="dxa" w:w="2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Whole team (facilitated by Jorge)</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01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Sprint3_SPR-T1_End-To-End_Integration_Test.docx</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SPR-T2</w:t>
            </w:r>
          </w:p>
        </w:tc>
        <w:tc>
          <w:tcPr>
            <w:tcW w:type="dxa" w:w="2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 Review preparation and evidence compilation</w:t>
            </w:r>
          </w:p>
        </w:tc>
        <w:tc>
          <w:tcPr>
            <w:tcW w:type="dxa" w:w="2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 + Alexis Enrique Valle Parra</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01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Sprint3_SPR-T2_Sprint_Review_Preparation_Evidence_Compilation.docx</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5. Acceptance Criteria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900"/>
        <w:gridCol w:w="3160"/>
      </w:tblGrid>
      <w:tr>
        <w:trPr>
          <w:cantSplit/>
          <w:tblHeader/>
        </w:trPr>
        <w:tc>
          <w:tcPr>
            <w:tcW w:type="dxa" w:w="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Story</w:t>
            </w:r>
          </w:p>
        </w:tc>
        <w:tc>
          <w:tcPr>
            <w:tcW w:type="dxa" w:w="4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Acceptance criterion</w:t>
            </w:r>
          </w:p>
        </w:tc>
        <w:tc>
          <w:tcPr>
            <w:tcW w:type="dxa" w:w="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Result</w:t>
            </w:r>
          </w:p>
        </w:tc>
        <w:tc>
          <w:tcPr>
            <w:tcW w:type="dxa" w:w="31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Main evidence</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US-11</w:t>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An alert is generated when a measurement is below the minimum or above the maximum configured threshold.</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US11-T4_Test_Alert_Generation.docx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Repeated out-of-range readings do not create duplicate alerts while one is open.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US11-T4_Test_Alert_Generation.docx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The alert is resolved automatically when the variable returns to the configured range.</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US11-T4_Test_Alert_Generation.docx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US-12</w:t>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Every alert displays a severity level: Low, Medium or High.</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US12-T3_Test_Severity_Classification.docx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Severity is calculated consistently from the deviation with respect to the threshold.</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US12-T3_Test_Severity_Classification.docx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Severity is shown with text and color, not only with color.</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US12-T3_Test_Severity_Classification.docx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US-13</w:t>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Users can view a chronological history of generated alerts.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US13-T3_Test_Alert_History.docx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The history can be filtered by status, severity, sensor and date range.</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US13-T3_Test_Alert_History.docx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Resolved alerts remain in the history.</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US13-T3_Test_Alert_History.docx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US-15</w:t>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An authorized producer can manually activate and deactivate irrigation.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US15-T5_Test_Manual_Irrigation.docx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The new pump state is visible on the actuator panel.</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US15-T5_Test_Manual_Irrigation.docx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Commands sent to an offline device expire and the user is informed.</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US15-T5_Test_Manual_Irrigation.docx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US-16</w:t>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Irrigation activates automatically when the configured conditions are met in AUTOMATIC mode.</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US16-T6_Test_Automatic_Irrigation.docx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Irrigation stops when the target moisture or the maximum duration is reached.</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US16-T6_Test_Automatic_Irrigation.docx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Safety rules prevent irrigation when conditions are unsafe (low tank, stale sensor, cooldown).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US16-T6_Test_Automatic_Irrigation.docx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US-17</w:t>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Each actuator activation is recorded with actuator, action, source, user and time.</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US17-T3_Test_Event_Recording.docx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The irrigation history can be consulted and filtered.</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US17-T3_Test_Event_Recording.docx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Manual, automatic and AI sources are distinguished.</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US17-T3_Test_Event_Recording.docx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US-19</w:t>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Unusual environmental measurements are detected and identified by the system.</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US19-T4_Test_Anomaly_Detection.docx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Missing or frozen sensor data is detected (NFR-08).</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US19-T4_Test_Anomaly_Detection.docx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Detected anomalies are shown to the producer with a short explanation.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US19-T4_Test_Anomaly_Detection.docx</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6. Burndown</w:t>
      </w:r>
    </w:p>
    <w:p>
      <w:pPr>
        <w:spacing w:after="120" w:before="0" w:line="276"/>
      </w:pPr>
      <w:r>
        <w:rPr>
          <w:rFonts w:ascii="Arial" w:cs="Arial" w:eastAsia="Arial" w:hAnsi="Arial"/>
          <w:color w:val="222222"/>
          <w:sz w:val="20"/>
          <w:szCs w:val="20"/>
        </w:rPr>
        <w:t xml:space="preserve">Remaining planned hours at each Monday checkpoint compared with the ideal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Checkpoint</w:t>
            </w:r>
          </w:p>
        </w:tc>
        <w:tc>
          <w:tcPr>
            <w:tcW w:type="dxa" w:w="234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Date</w:t>
            </w:r>
          </w:p>
        </w:tc>
        <w:tc>
          <w:tcPr>
            <w:tcW w:type="dxa" w:w="234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Ideal remaining h</w:t>
            </w:r>
          </w:p>
        </w:tc>
        <w:tc>
          <w:tcPr>
            <w:tcW w:type="dxa" w:w="234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Actual remaining h</w:t>
            </w:r>
          </w:p>
        </w:tc>
      </w:tr>
      <w:tr>
        <w:trPr>
          <w:cantSplit/>
        </w:trPr>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 start</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October 12, 2026</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43</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43</w:t>
            </w:r>
          </w:p>
        </w:tc>
      </w:tr>
      <w:tr>
        <w:trPr>
          <w:cantSplit/>
        </w:trPr>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End of Week 1</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October 19, 2026</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29</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30</w:t>
            </w:r>
          </w:p>
        </w:tc>
      </w:tr>
      <w:tr>
        <w:trPr>
          <w:cantSplit/>
        </w:trPr>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End of Week 2</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October 26, 2026</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14</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11</w:t>
            </w:r>
          </w:p>
        </w:tc>
      </w:tr>
      <w:tr>
        <w:trPr>
          <w:cantSplit/>
        </w:trPr>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End of Week 3</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October 30, 2026</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0</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0</w:t>
            </w:r>
          </w:p>
        </w:tc>
      </w:tr>
    </w:tbl>
    <w:p>
      <w:pPr>
        <w:spacing w:after="120" w:before="160"/>
        <w:jc w:val="center"/>
      </w:pPr>
      <w:r>
        <w:drawing>
          <wp:inline distT="0" distB="0" distL="0" distR="0">
            <wp:extent cx="4953000" cy="2667000"/>
            <wp:effectExtent t="0" r="0" b="0" l="0"/>
            <wp:docPr id="1" name="burndown" descr="Sprint 3 burndown chart" title="Bur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667000"/>
                    </a:xfrm>
                    <a:prstGeom prst="rect">
                      <a:avLst/>
                    </a:prstGeom>
                  </pic:spPr>
                </pic:pic>
              </a:graphicData>
            </a:graphic>
          </wp:inline>
        </w:drawing>
      </w:r>
    </w:p>
    <w:p>
      <w:pPr>
        <w:pStyle w:val="Heading1"/>
        <w:keepNext/>
        <w:pBdr>
          <w:bottom w:val="single" w:color="DDDDDD" w:sz="6" w:space="4"/>
        </w:pBdr>
        <w:spacing w:after="140" w:before="280"/>
      </w:pPr>
      <w:r>
        <w:rPr>
          <w:rFonts w:ascii="Arial" w:cs="Arial" w:eastAsia="Arial" w:hAnsi="Arial"/>
          <w:b/>
          <w:bCs/>
          <w:color w:val="9E1B32"/>
          <w:sz w:val="30"/>
          <w:szCs w:val="30"/>
        </w:rPr>
        <w:t xml:space="preserve">7. Definition of Done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350"/>
        <w:gridCol w:w="1350"/>
        <w:gridCol w:w="1350"/>
        <w:gridCol w:w="1350"/>
        <w:gridCol w:w="1350"/>
        <w:gridCol w:w="1350"/>
      </w:tblGrid>
      <w:tr>
        <w:trPr>
          <w:cantSplit/>
          <w:tblHeader/>
        </w:trPr>
        <w:tc>
          <w:tcPr>
            <w:tcW w:type="dxa" w:w="12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Story</w:t>
            </w:r>
          </w:p>
        </w:tc>
        <w:tc>
          <w:tcPr>
            <w:tcW w:type="dxa" w:w="13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Code in repo</w:t>
            </w:r>
          </w:p>
        </w:tc>
        <w:tc>
          <w:tcPr>
            <w:tcW w:type="dxa" w:w="13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Acceptance met</w:t>
            </w:r>
          </w:p>
        </w:tc>
        <w:tc>
          <w:tcPr>
            <w:tcW w:type="dxa" w:w="13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Tests + evidence</w:t>
            </w:r>
          </w:p>
        </w:tc>
        <w:tc>
          <w:tcPr>
            <w:tcW w:type="dxa" w:w="13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Conditions checked</w:t>
            </w:r>
          </w:p>
        </w:tc>
        <w:tc>
          <w:tcPr>
            <w:tcW w:type="dxa" w:w="13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Board updated</w:t>
            </w:r>
          </w:p>
        </w:tc>
        <w:tc>
          <w:tcPr>
            <w:tcW w:type="dxa" w:w="13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Peer review</w:t>
            </w:r>
          </w:p>
        </w:tc>
      </w:tr>
      <w:tr>
        <w:trPr>
          <w:cantSplit/>
        </w:trPr>
        <w:tc>
          <w:tcPr>
            <w:tcW w:type="dxa" w:w="1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US-11</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r>
      <w:tr>
        <w:trPr>
          <w:cantSplit/>
        </w:trPr>
        <w:tc>
          <w:tcPr>
            <w:tcW w:type="dxa" w:w="1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US-12</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r>
      <w:tr>
        <w:trPr>
          <w:cantSplit/>
        </w:trPr>
        <w:tc>
          <w:tcPr>
            <w:tcW w:type="dxa" w:w="1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US-13</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r>
      <w:tr>
        <w:trPr>
          <w:cantSplit/>
        </w:trPr>
        <w:tc>
          <w:tcPr>
            <w:tcW w:type="dxa" w:w="1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US-15</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r>
      <w:tr>
        <w:trPr>
          <w:cantSplit/>
        </w:trPr>
        <w:tc>
          <w:tcPr>
            <w:tcW w:type="dxa" w:w="1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US-16</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r>
      <w:tr>
        <w:trPr>
          <w:cantSplit/>
        </w:trPr>
        <w:tc>
          <w:tcPr>
            <w:tcW w:type="dxa" w:w="1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US-17</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r>
      <w:tr>
        <w:trPr>
          <w:cantSplit/>
        </w:trPr>
        <w:tc>
          <w:tcPr>
            <w:tcW w:type="dxa" w:w="1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US-19</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8. Sprint Review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Date</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October 30, 2026, 4:30 PM</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Attendees</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8"/>
                <w:szCs w:val="18"/>
              </w:rPr>
              <w:t xml:space="preserve">Jorge Velez Delgado</w:t>
            </w:r>
          </w:p>
          <w:p>
            <w:pPr>
              <w:spacing w:after="50" w:line="252"/>
            </w:pPr>
            <w:r>
              <w:rPr>
                <w:rFonts w:ascii="Arial" w:cs="Arial" w:eastAsia="Arial" w:hAnsi="Arial"/>
                <w:color w:val="222222"/>
                <w:sz w:val="18"/>
                <w:szCs w:val="18"/>
              </w:rPr>
              <w:t xml:space="preserve">Vicente Rocha Alfaro</w:t>
            </w:r>
          </w:p>
          <w:p>
            <w:pPr>
              <w:spacing w:after="50" w:line="252"/>
            </w:pPr>
            <w:r>
              <w:rPr>
                <w:rFonts w:ascii="Arial" w:cs="Arial" w:eastAsia="Arial" w:hAnsi="Arial"/>
                <w:color w:val="222222"/>
                <w:sz w:val="18"/>
                <w:szCs w:val="18"/>
              </w:rPr>
              <w:t xml:space="preserve">Oscar Abraham Talavera Nava</w:t>
            </w:r>
          </w:p>
          <w:p>
            <w:pPr>
              <w:spacing w:after="50" w:line="252"/>
            </w:pPr>
            <w:r>
              <w:rPr>
                <w:rFonts w:ascii="Arial" w:cs="Arial" w:eastAsia="Arial" w:hAnsi="Arial"/>
                <w:color w:val="222222"/>
                <w:sz w:val="18"/>
                <w:szCs w:val="18"/>
              </w:rPr>
              <w:t xml:space="preserve">Carlos Ramirez Mendoza</w:t>
            </w:r>
          </w:p>
          <w:p>
            <w:pPr>
              <w:spacing w:after="50" w:line="252"/>
            </w:pPr>
            <w:r>
              <w:rPr>
                <w:rFonts w:ascii="Arial" w:cs="Arial" w:eastAsia="Arial" w:hAnsi="Arial"/>
                <w:color w:val="222222"/>
                <w:sz w:val="18"/>
                <w:szCs w:val="18"/>
              </w:rPr>
              <w:t xml:space="preserve">Alexis Enrique Valle Parra</w:t>
            </w:r>
          </w:p>
          <w:p>
            <w:pPr>
              <w:spacing w:after="50" w:line="252"/>
            </w:pPr>
            <w:r>
              <w:rPr>
                <w:rFonts w:ascii="Arial" w:cs="Arial" w:eastAsia="Arial" w:hAnsi="Arial"/>
                <w:color w:val="222222"/>
                <w:sz w:val="18"/>
                <w:szCs w:val="18"/>
              </w:rPr>
              <w:t xml:space="preserve">Professor Jorge Rafael Aguilar Cisneros (stakeholder)</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Facilitator</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Jorge Velez Delgado (Scrum Master)</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Presenter of the increment</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Every owner presented their own user story</w:t>
            </w:r>
          </w:p>
        </w:tc>
      </w:tr>
    </w:tbl>
    <w:p>
      <w:pPr>
        <w:pStyle w:val="Heading2"/>
        <w:keepNext/>
        <w:spacing w:after="100" w:before="220"/>
      </w:pPr>
      <w:r>
        <w:rPr>
          <w:rFonts w:ascii="Arial" w:cs="Arial" w:eastAsia="Arial" w:hAnsi="Arial"/>
          <w:b/>
          <w:bCs/>
          <w:color w:val="9E1B32"/>
          <w:sz w:val="22"/>
          <w:szCs w:val="22"/>
        </w:rPr>
        <w:t xml:space="preserve">Demonstration script</w:t>
      </w:r>
    </w:p>
    <w:p>
      <w:pPr>
        <w:spacing w:after="60" w:before="0" w:line="276"/>
      </w:pPr>
      <w:r>
        <w:rPr>
          <w:rFonts w:ascii="Arial" w:cs="Arial" w:eastAsia="Arial" w:hAnsi="Arial"/>
          <w:color w:val="222222"/>
          <w:sz w:val="20"/>
          <w:szCs w:val="20"/>
        </w:rPr>
        <w:t xml:space="preserve">1. The simulator sends a soil-moisture value below the minimum; a LOW alert with severity appears on the dashboard within 30 s.</w:t>
      </w:r>
    </w:p>
    <w:p>
      <w:pPr>
        <w:spacing w:after="60" w:before="0" w:line="276"/>
      </w:pPr>
      <w:r>
        <w:rPr>
          <w:rFonts w:ascii="Arial" w:cs="Arial" w:eastAsia="Arial" w:hAnsi="Arial"/>
          <w:color w:val="222222"/>
          <w:sz w:val="20"/>
          <w:szCs w:val="20"/>
        </w:rPr>
        <w:t xml:space="preserve">2. Show the alert history with filters and CSV export; the alert resolves automatically when moisture recovers.</w:t>
      </w:r>
    </w:p>
    <w:p>
      <w:pPr>
        <w:spacing w:after="60" w:before="0" w:line="276"/>
      </w:pPr>
      <w:r>
        <w:rPr>
          <w:rFonts w:ascii="Arial" w:cs="Arial" w:eastAsia="Arial" w:hAnsi="Arial"/>
          <w:color w:val="222222"/>
          <w:sz w:val="20"/>
          <w:szCs w:val="20"/>
        </w:rPr>
        <w:t xml:space="preserve">3. In AUTOMATIC mode the engine turns the pump ON, the simulator soil moisture rises and the pump turns OFF at the target.</w:t>
      </w:r>
    </w:p>
    <w:p>
      <w:pPr>
        <w:spacing w:after="60" w:before="0" w:line="276"/>
      </w:pPr>
      <w:r>
        <w:rPr>
          <w:rFonts w:ascii="Arial" w:cs="Arial" w:eastAsia="Arial" w:hAnsi="Arial"/>
          <w:color w:val="222222"/>
          <w:sz w:val="20"/>
          <w:szCs w:val="20"/>
        </w:rPr>
        <w:t xml:space="preserve">4. Show the event log with source AUTOMATIC and the daily irrigation minutes.</w:t>
      </w:r>
    </w:p>
    <w:p>
      <w:pPr>
        <w:spacing w:after="60" w:before="0" w:line="276"/>
      </w:pPr>
      <w:r>
        <w:rPr>
          <w:rFonts w:ascii="Arial" w:cs="Arial" w:eastAsia="Arial" w:hAnsi="Arial"/>
          <w:color w:val="222222"/>
          <w:sz w:val="20"/>
          <w:szCs w:val="20"/>
        </w:rPr>
        <w:t xml:space="preserve">5. Switch the area to MANUAL and turn irrigation ON and OFF from the dashboard; event recorded with source MANUAL and the user.</w:t>
      </w:r>
    </w:p>
    <w:p>
      <w:pPr>
        <w:spacing w:after="60" w:before="0" w:line="276"/>
      </w:pPr>
      <w:r>
        <w:rPr>
          <w:rFonts w:ascii="Arial" w:cs="Arial" w:eastAsia="Arial" w:hAnsi="Arial"/>
          <w:color w:val="222222"/>
          <w:sz w:val="20"/>
          <w:szCs w:val="20"/>
        </w:rPr>
        <w:t xml:space="preserve">6. Set the tank level low: automatic irrigation is blocked and an alert is created.</w:t>
      </w:r>
    </w:p>
    <w:p>
      <w:pPr>
        <w:spacing w:after="60" w:before="0" w:line="276"/>
      </w:pPr>
      <w:r>
        <w:rPr>
          <w:rFonts w:ascii="Arial" w:cs="Arial" w:eastAsia="Arial" w:hAnsi="Arial"/>
          <w:color w:val="222222"/>
          <w:sz w:val="20"/>
          <w:szCs w:val="20"/>
        </w:rPr>
        <w:t xml:space="preserve">7. Inject a spike and a flatline: both are flagged as anomalies with an explanation.</w:t>
      </w:r>
    </w:p>
    <w:p>
      <w:pPr>
        <w:spacing w:after="60" w:before="0" w:line="276"/>
      </w:pPr>
      <w:r>
        <w:rPr>
          <w:rFonts w:ascii="Arial" w:cs="Arial" w:eastAsia="Arial" w:hAnsi="Arial"/>
          <w:color w:val="222222"/>
          <w:sz w:val="20"/>
          <w:szCs w:val="20"/>
        </w:rPr>
        <w:t xml:space="preserve">8. Show the closed-loop simulation chart (soil moisture vs pump state).</w:t>
      </w:r>
    </w:p>
    <w:p>
      <w:pPr>
        <w:pStyle w:val="Heading2"/>
        <w:keepNext/>
        <w:spacing w:after="100" w:before="220"/>
      </w:pPr>
      <w:r>
        <w:rPr>
          <w:rFonts w:ascii="Arial" w:cs="Arial" w:eastAsia="Arial" w:hAnsi="Arial"/>
          <w:b/>
          <w:bCs/>
          <w:color w:val="9E1B32"/>
          <w:sz w:val="22"/>
          <w:szCs w:val="22"/>
        </w:rPr>
        <w:t xml:space="preserve">Feedback received</w:t>
      </w:r>
    </w:p>
    <w:p>
      <w:pPr>
        <w:pStyle w:val="ListParagraph"/>
        <w:numPr>
          <w:ilvl w:val="0"/>
          <w:numId w:val="2"/>
        </w:numPr>
        <w:spacing w:after="60" w:line="264"/>
      </w:pPr>
      <w:r>
        <w:rPr>
          <w:rFonts w:ascii="Arial" w:cs="Arial" w:eastAsia="Arial" w:hAnsi="Arial"/>
          <w:color w:val="222222"/>
          <w:sz w:val="20"/>
          <w:szCs w:val="20"/>
        </w:rPr>
        <w:t xml:space="preserve">Product Owner accepted the seven user stories: all acceptance criteria met.</w:t>
      </w:r>
    </w:p>
    <w:p>
      <w:pPr>
        <w:pStyle w:val="ListParagraph"/>
        <w:numPr>
          <w:ilvl w:val="0"/>
          <w:numId w:val="2"/>
        </w:numPr>
        <w:spacing w:after="60" w:line="264"/>
      </w:pPr>
      <w:r>
        <w:rPr>
          <w:rFonts w:ascii="Arial" w:cs="Arial" w:eastAsia="Arial" w:hAnsi="Arial"/>
          <w:color w:val="222222"/>
          <w:sz w:val="20"/>
          <w:szCs w:val="20"/>
        </w:rPr>
        <w:t xml:space="preserve">Stakeholder suggestion: show the water-tank level next to the pump control (added to US27-T3 in Sprint 4).</w:t>
      </w:r>
    </w:p>
    <w:p>
      <w:pPr>
        <w:pStyle w:val="ListParagraph"/>
        <w:numPr>
          <w:ilvl w:val="0"/>
          <w:numId w:val="2"/>
        </w:numPr>
        <w:spacing w:after="60" w:line="264"/>
      </w:pPr>
      <w:r>
        <w:rPr>
          <w:rFonts w:ascii="Arial" w:cs="Arial" w:eastAsia="Arial" w:hAnsi="Arial"/>
          <w:color w:val="222222"/>
          <w:sz w:val="20"/>
          <w:szCs w:val="20"/>
        </w:rPr>
        <w:t xml:space="preserve">PO suggestion: in a future version allow irrigation parameters per crop stage (registered as a future backlog idea).</w:t>
      </w:r>
    </w:p>
    <w:p>
      <w:pPr>
        <w:pStyle w:val="Heading2"/>
        <w:keepNext/>
        <w:spacing w:after="100" w:before="220"/>
      </w:pPr>
      <w:r>
        <w:rPr>
          <w:rFonts w:ascii="Arial" w:cs="Arial" w:eastAsia="Arial" w:hAnsi="Arial"/>
          <w:b/>
          <w:bCs/>
          <w:color w:val="9E1B32"/>
          <w:sz w:val="22"/>
          <w:szCs w:val="22"/>
        </w:rPr>
        <w:t xml:space="preserve">Product Backlog changes</w:t>
      </w:r>
    </w:p>
    <w:p>
      <w:pPr>
        <w:pStyle w:val="ListParagraph"/>
        <w:numPr>
          <w:ilvl w:val="0"/>
          <w:numId w:val="2"/>
        </w:numPr>
        <w:spacing w:after="60" w:line="264"/>
      </w:pPr>
      <w:r>
        <w:rPr>
          <w:rFonts w:ascii="Arial" w:cs="Arial" w:eastAsia="Arial" w:hAnsi="Arial"/>
          <w:color w:val="222222"/>
          <w:sz w:val="20"/>
          <w:szCs w:val="20"/>
        </w:rPr>
        <w:t xml:space="preserve">Tank level next to the pump control added to US27-T3.</w:t>
      </w:r>
    </w:p>
    <w:p>
      <w:pPr>
        <w:pStyle w:val="ListParagraph"/>
        <w:numPr>
          <w:ilvl w:val="0"/>
          <w:numId w:val="2"/>
        </w:numPr>
        <w:spacing w:after="60" w:line="264"/>
      </w:pPr>
      <w:r>
        <w:rPr>
          <w:rFonts w:ascii="Arial" w:cs="Arial" w:eastAsia="Arial" w:hAnsi="Arial"/>
          <w:color w:val="222222"/>
          <w:sz w:val="20"/>
          <w:szCs w:val="20"/>
        </w:rPr>
        <w:t xml:space="preserve">Future idea (not in the prototype scope): irrigation parameters per crop stage.</w:t>
      </w:r>
    </w:p>
    <w:p>
      <w:pPr>
        <w:pStyle w:val="Heading1"/>
        <w:keepNext/>
        <w:pBdr>
          <w:bottom w:val="single" w:color="DDDDDD" w:sz="6" w:space="4"/>
        </w:pBdr>
        <w:spacing w:after="140" w:before="280"/>
      </w:pPr>
      <w:r>
        <w:rPr>
          <w:rFonts w:ascii="Arial" w:cs="Arial" w:eastAsia="Arial" w:hAnsi="Arial"/>
          <w:b/>
          <w:bCs/>
          <w:color w:val="9E1B32"/>
          <w:sz w:val="30"/>
          <w:szCs w:val="30"/>
        </w:rPr>
        <w:t xml:space="preserve">9. Increment Delivered</w:t>
      </w:r>
    </w:p>
    <w:p>
      <w:pPr>
        <w:pStyle w:val="ListParagraph"/>
        <w:numPr>
          <w:ilvl w:val="0"/>
          <w:numId w:val="2"/>
        </w:numPr>
        <w:spacing w:after="60" w:line="264"/>
      </w:pPr>
      <w:r>
        <w:rPr>
          <w:rFonts w:ascii="Arial" w:cs="Arial" w:eastAsia="Arial" w:hAnsi="Arial"/>
          <w:color w:val="222222"/>
          <w:sz w:val="20"/>
          <w:szCs w:val="20"/>
        </w:rPr>
        <w:t xml:space="preserve">Alert engine with LOW/HIGH alerts, de-duplication and automatic resolution.</w:t>
      </w:r>
    </w:p>
    <w:p>
      <w:pPr>
        <w:pStyle w:val="ListParagraph"/>
        <w:numPr>
          <w:ilvl w:val="0"/>
          <w:numId w:val="2"/>
        </w:numPr>
        <w:spacing w:after="60" w:line="264"/>
      </w:pPr>
      <w:r>
        <w:rPr>
          <w:rFonts w:ascii="Arial" w:cs="Arial" w:eastAsia="Arial" w:hAnsi="Arial"/>
          <w:color w:val="222222"/>
          <w:sz w:val="20"/>
          <w:szCs w:val="20"/>
        </w:rPr>
        <w:t xml:space="preserve">Severity classification (Low, Medium, High) and alert history screen with CSV export.</w:t>
      </w:r>
    </w:p>
    <w:p>
      <w:pPr>
        <w:pStyle w:val="ListParagraph"/>
        <w:numPr>
          <w:ilvl w:val="0"/>
          <w:numId w:val="2"/>
        </w:numPr>
        <w:spacing w:after="60" w:line="264"/>
      </w:pPr>
      <w:r>
        <w:rPr>
          <w:rFonts w:ascii="Arial" w:cs="Arial" w:eastAsia="Arial" w:hAnsi="Arial"/>
          <w:color w:val="222222"/>
          <w:sz w:val="20"/>
          <w:szCs w:val="20"/>
        </w:rPr>
        <w:t xml:space="preserve">Actuator command flow, manual irrigation control and MANUAL/AUTOMATIC mode selector.</w:t>
      </w:r>
    </w:p>
    <w:p>
      <w:pPr>
        <w:pStyle w:val="ListParagraph"/>
        <w:numPr>
          <w:ilvl w:val="0"/>
          <w:numId w:val="2"/>
        </w:numPr>
        <w:spacing w:after="60" w:line="264"/>
      </w:pPr>
      <w:r>
        <w:rPr>
          <w:rFonts w:ascii="Arial" w:cs="Arial" w:eastAsia="Arial" w:hAnsi="Arial"/>
          <w:color w:val="222222"/>
          <w:sz w:val="20"/>
          <w:szCs w:val="20"/>
        </w:rPr>
        <w:t xml:space="preserve">Automatic irrigation engine with safety conditions and parameter screen.</w:t>
      </w:r>
    </w:p>
    <w:p>
      <w:pPr>
        <w:pStyle w:val="ListParagraph"/>
        <w:numPr>
          <w:ilvl w:val="0"/>
          <w:numId w:val="2"/>
        </w:numPr>
        <w:spacing w:after="60" w:line="264"/>
      </w:pPr>
      <w:r>
        <w:rPr>
          <w:rFonts w:ascii="Arial" w:cs="Arial" w:eastAsia="Arial" w:hAnsi="Arial"/>
          <w:color w:val="222222"/>
          <w:sz w:val="20"/>
          <w:szCs w:val="20"/>
        </w:rPr>
        <w:t xml:space="preserve">Actuator event log and irrigation history.</w:t>
      </w:r>
    </w:p>
    <w:p>
      <w:pPr>
        <w:pStyle w:val="ListParagraph"/>
        <w:numPr>
          <w:ilvl w:val="0"/>
          <w:numId w:val="2"/>
        </w:numPr>
        <w:spacing w:after="60" w:line="264"/>
      </w:pPr>
      <w:r>
        <w:rPr>
          <w:rFonts w:ascii="Arial" w:cs="Arial" w:eastAsia="Arial" w:hAnsi="Arial"/>
          <w:color w:val="222222"/>
          <w:sz w:val="20"/>
          <w:szCs w:val="20"/>
        </w:rPr>
        <w:t xml:space="preserve">Anomaly detection service and anomaly display.</w:t>
      </w:r>
    </w:p>
    <w:p>
      <w:pPr>
        <w:pStyle w:val="ListParagraph"/>
        <w:numPr>
          <w:ilvl w:val="0"/>
          <w:numId w:val="2"/>
        </w:numPr>
        <w:spacing w:after="60" w:line="264"/>
      </w:pPr>
      <w:r>
        <w:rPr>
          <w:rFonts w:ascii="Arial" w:cs="Arial" w:eastAsia="Arial" w:hAnsi="Arial"/>
          <w:color w:val="222222"/>
          <w:sz w:val="20"/>
          <w:szCs w:val="20"/>
        </w:rPr>
        <w:t xml:space="preserve">Closed-loop irrigation simulation, end-to-end integration evidence and testing evidence for each Sprint 3 user story.</w:t>
      </w:r>
    </w:p>
    <w:p>
      <w:pPr>
        <w:pStyle w:val="Heading1"/>
        <w:keepNext/>
        <w:pBdr>
          <w:bottom w:val="single" w:color="DDDDDD" w:sz="6" w:space="4"/>
        </w:pBdr>
        <w:spacing w:after="140" w:before="280"/>
      </w:pPr>
      <w:r>
        <w:rPr>
          <w:rFonts w:ascii="Arial" w:cs="Arial" w:eastAsia="Arial" w:hAnsi="Arial"/>
          <w:b/>
          <w:bCs/>
          <w:color w:val="9E1B32"/>
          <w:sz w:val="30"/>
          <w:szCs w:val="30"/>
        </w:rPr>
        <w:t xml:space="preserve">10. Evidence Folder Structure</w:t>
      </w:r>
    </w:p>
    <w:p>
      <w:pPr>
        <w:spacing w:after="40" w:before="0" w:line="276"/>
      </w:pPr>
      <w:r>
        <w:rPr>
          <w:rFonts w:ascii="Arial" w:cs="Arial" w:eastAsia="Arial" w:hAnsi="Arial"/>
          <w:b/>
          <w:bCs/>
          <w:color w:val="222222"/>
          <w:sz w:val="20"/>
          <w:szCs w:val="20"/>
        </w:rPr>
        <w:t xml:space="preserve">Sprint 3/</w:t>
      </w:r>
    </w:p>
    <w:p>
      <w:pPr>
        <w:spacing w:after="20" w:before="0" w:line="276"/>
      </w:pPr>
      <w:r>
        <w:rPr>
          <w:rFonts w:ascii="Arial" w:cs="Arial" w:eastAsia="Arial" w:hAnsi="Arial"/>
          <w:color w:val="222222"/>
          <w:sz w:val="18"/>
          <w:szCs w:val="18"/>
        </w:rPr>
        <w:t xml:space="preserve">    Sprint_3_Planning_SmartGreenAI_Cilantro.docx</w:t>
      </w:r>
    </w:p>
    <w:p>
      <w:pPr>
        <w:spacing w:after="20" w:before="0" w:line="276"/>
      </w:pPr>
      <w:r>
        <w:rPr>
          <w:rFonts w:ascii="Arial" w:cs="Arial" w:eastAsia="Arial" w:hAnsi="Arial"/>
          <w:color w:val="222222"/>
          <w:sz w:val="18"/>
          <w:szCs w:val="18"/>
        </w:rPr>
        <w:t xml:space="preserve">    Daily_Meeting_1/2/3_Sprint_3_SmartGreenAI.docx</w:t>
      </w:r>
    </w:p>
    <w:p>
      <w:pPr>
        <w:spacing w:after="20" w:before="0" w:line="276"/>
      </w:pPr>
      <w:r>
        <w:rPr>
          <w:rFonts w:ascii="Arial" w:cs="Arial" w:eastAsia="Arial" w:hAnsi="Arial"/>
          <w:color w:val="222222"/>
          <w:sz w:val="18"/>
          <w:szCs w:val="18"/>
        </w:rPr>
        <w:t xml:space="preserve">    Sprint_3_Review_Delivery_SmartGreenAI_Cilantro.docx</w:t>
      </w:r>
    </w:p>
    <w:p>
      <w:pPr>
        <w:spacing w:after="20" w:before="0" w:line="276"/>
      </w:pPr>
      <w:r>
        <w:rPr>
          <w:rFonts w:ascii="Arial" w:cs="Arial" w:eastAsia="Arial" w:hAnsi="Arial"/>
          <w:color w:val="222222"/>
          <w:sz w:val="18"/>
          <w:szCs w:val="18"/>
        </w:rPr>
        <w:t xml:space="preserve">    Retrospective_Meeting_Sprint_3_SmartGreenAI.docx</w:t>
      </w:r>
    </w:p>
    <w:p>
      <w:pPr>
        <w:spacing w:after="20" w:before="0" w:line="276"/>
      </w:pPr>
      <w:r>
        <w:rPr>
          <w:rFonts w:ascii="Arial" w:cs="Arial" w:eastAsia="Arial" w:hAnsi="Arial"/>
          <w:b/>
          <w:bCs/>
          <w:color w:val="222222"/>
          <w:sz w:val="18"/>
          <w:szCs w:val="18"/>
        </w:rPr>
        <w:t xml:space="preserve">    Evidence/</w:t>
      </w:r>
    </w:p>
    <w:p>
      <w:pPr>
        <w:spacing w:after="20" w:before="0" w:line="276"/>
      </w:pPr>
      <w:r>
        <w:rPr>
          <w:rFonts w:ascii="Arial" w:cs="Arial" w:eastAsia="Arial" w:hAnsi="Arial"/>
          <w:color w:val="222222"/>
          <w:sz w:val="18"/>
          <w:szCs w:val="18"/>
        </w:rPr>
        <w:t xml:space="preserve">        US-11/  (US11-T1, US11-T2, US11-T3, US11-T4)</w:t>
      </w:r>
    </w:p>
    <w:p>
      <w:pPr>
        <w:spacing w:after="20" w:before="0" w:line="276"/>
      </w:pPr>
      <w:r>
        <w:rPr>
          <w:rFonts w:ascii="Arial" w:cs="Arial" w:eastAsia="Arial" w:hAnsi="Arial"/>
          <w:color w:val="222222"/>
          <w:sz w:val="18"/>
          <w:szCs w:val="18"/>
        </w:rPr>
        <w:t xml:space="preserve">        US-12/  (US12-T1, US12-T2, US12-T3)</w:t>
      </w:r>
    </w:p>
    <w:p>
      <w:pPr>
        <w:spacing w:after="20" w:before="0" w:line="276"/>
      </w:pPr>
      <w:r>
        <w:rPr>
          <w:rFonts w:ascii="Arial" w:cs="Arial" w:eastAsia="Arial" w:hAnsi="Arial"/>
          <w:color w:val="222222"/>
          <w:sz w:val="18"/>
          <w:szCs w:val="18"/>
        </w:rPr>
        <w:t xml:space="preserve">        US-13/  (US13-T1, US13-T2, US13-T3)</w:t>
      </w:r>
    </w:p>
    <w:p>
      <w:pPr>
        <w:spacing w:after="20" w:before="0" w:line="276"/>
      </w:pPr>
      <w:r>
        <w:rPr>
          <w:rFonts w:ascii="Arial" w:cs="Arial" w:eastAsia="Arial" w:hAnsi="Arial"/>
          <w:color w:val="222222"/>
          <w:sz w:val="18"/>
          <w:szCs w:val="18"/>
        </w:rPr>
        <w:t xml:space="preserve">        US-15/  (US15-T1, US15-T2, US15-T3, US15-T4, US15-T5)</w:t>
      </w:r>
    </w:p>
    <w:p>
      <w:pPr>
        <w:spacing w:after="20" w:before="0" w:line="276"/>
      </w:pPr>
      <w:r>
        <w:rPr>
          <w:rFonts w:ascii="Arial" w:cs="Arial" w:eastAsia="Arial" w:hAnsi="Arial"/>
          <w:color w:val="222222"/>
          <w:sz w:val="18"/>
          <w:szCs w:val="18"/>
        </w:rPr>
        <w:t xml:space="preserve">        US-16/  (US16-T1, US16-T2, US16-T3, US16-T4, US16-T5, US16-T6)</w:t>
      </w:r>
    </w:p>
    <w:p>
      <w:pPr>
        <w:spacing w:after="20" w:before="0" w:line="276"/>
      </w:pPr>
      <w:r>
        <w:rPr>
          <w:rFonts w:ascii="Arial" w:cs="Arial" w:eastAsia="Arial" w:hAnsi="Arial"/>
          <w:color w:val="222222"/>
          <w:sz w:val="18"/>
          <w:szCs w:val="18"/>
        </w:rPr>
        <w:t xml:space="preserve">        US-17/  (US17-T1, US17-T2, US17-T3)</w:t>
      </w:r>
    </w:p>
    <w:p>
      <w:pPr>
        <w:spacing w:after="20" w:before="0" w:line="276"/>
      </w:pPr>
      <w:r>
        <w:rPr>
          <w:rFonts w:ascii="Arial" w:cs="Arial" w:eastAsia="Arial" w:hAnsi="Arial"/>
          <w:color w:val="222222"/>
          <w:sz w:val="18"/>
          <w:szCs w:val="18"/>
        </w:rPr>
        <w:t xml:space="preserve">        US-19/  (US19-T1, US19-T2, US19-T3, US19-T4)</w:t>
      </w:r>
    </w:p>
    <w:p>
      <w:pPr>
        <w:spacing w:after="120" w:before="0" w:line="276"/>
      </w:pPr>
      <w:r>
        <w:rPr>
          <w:rFonts w:ascii="Arial" w:cs="Arial" w:eastAsia="Arial" w:hAnsi="Arial"/>
          <w:color w:val="222222"/>
          <w:sz w:val="18"/>
          <w:szCs w:val="18"/>
        </w:rPr>
        <w:t xml:space="preserve">        Sprint/  (SPR-T1, SPR-T2)</w:t>
      </w:r>
    </w:p>
    <w:p>
      <w:pPr>
        <w:spacing w:after="120" w:before="0" w:line="276"/>
      </w:pPr>
      <w:r>
        <w:rPr>
          <w:rFonts w:ascii="Arial" w:cs="Arial" w:eastAsia="Arial" w:hAnsi="Arial"/>
          <w:color w:val="222222"/>
          <w:sz w:val="20"/>
          <w:szCs w:val="20"/>
        </w:rPr>
        <w:t xml:space="preserve">Each evidence document contains the task information, every completion condition marked with its proof (screenshot, log, query result, test table or diagram) and the list of attached files named &lt;TaskID&gt;_&lt;Task_Name&gt;_&lt;n&gt;.&lt;ext&gt;.</w:t>
      </w:r>
    </w:p>
    <w:p>
      <w:pPr>
        <w:pStyle w:val="Heading1"/>
        <w:keepNext/>
        <w:pBdr>
          <w:bottom w:val="single" w:color="DDDDDD" w:sz="6" w:space="4"/>
        </w:pBdr>
        <w:spacing w:after="140" w:before="280"/>
      </w:pPr>
      <w:r>
        <w:rPr>
          <w:rFonts w:ascii="Arial" w:cs="Arial" w:eastAsia="Arial" w:hAnsi="Arial"/>
          <w:b/>
          <w:bCs/>
          <w:color w:val="9E1B32"/>
          <w:sz w:val="30"/>
          <w:szCs w:val="30"/>
        </w:rPr>
        <w:t xml:space="preserve">11. Next Sprint</w:t>
      </w:r>
    </w:p>
    <w:p>
      <w:pPr>
        <w:spacing w:after="120" w:before="0" w:line="276"/>
      </w:pPr>
      <w:r>
        <w:rPr>
          <w:rFonts w:ascii="Arial" w:cs="Arial" w:eastAsia="Arial" w:hAnsi="Arial"/>
          <w:color w:val="222222"/>
          <w:sz w:val="20"/>
          <w:szCs w:val="20"/>
        </w:rPr>
        <w:t xml:space="preserve">Sprint 4 (November 2 – November 20, 2026) will add historical analysis, AI irrigation recommendations with explanations, accept/reject, the integrated dashboard (with historical graphs and tank level) and the complete system test campaign. No stories are carried over.</w:t>
      </w:r>
    </w:p>
    <w:p>
      <w:pPr>
        <w:pStyle w:val="Heading1"/>
        <w:keepNext/>
        <w:pBdr>
          <w:bottom w:val="single" w:color="DDDDDD" w:sz="6" w:space="4"/>
        </w:pBdr>
        <w:spacing w:after="140" w:before="280"/>
      </w:pPr>
      <w:r>
        <w:rPr>
          <w:rFonts w:ascii="Arial" w:cs="Arial" w:eastAsia="Arial" w:hAnsi="Arial"/>
          <w:b/>
          <w:bCs/>
          <w:color w:val="9E1B32"/>
          <w:sz w:val="30"/>
          <w:szCs w:val="30"/>
        </w:rPr>
        <w:t xml:space="preserve">12. Scrum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Student</w:t>
            </w:r>
          </w:p>
        </w:tc>
        <w:tc>
          <w:tcPr>
            <w:tcW w:type="dxa" w:w="46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Role</w:t>
            </w:r>
          </w:p>
        </w:tc>
      </w:tr>
      <w:tr>
        <w:trPr>
          <w:cantSplit/>
        </w:trPr>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Scrum Master / Developer</w:t>
            </w:r>
          </w:p>
        </w:tc>
      </w:tr>
      <w:tr>
        <w:trPr>
          <w:cantSplit/>
        </w:trPr>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Product Owner / Developer</w:t>
            </w:r>
          </w:p>
        </w:tc>
      </w:tr>
    </w:tbl>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999999"/>
        <w:sz w:val="15"/>
        <w:szCs w:val="15"/>
      </w:rPr>
      <w:t xml:space="preserve">UPAEP · SmartGreenAI — Sprint 3 Review &amp; Delivery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9E1B32"/>
      <w:sz w:val="30"/>
      <w:szCs w:val="30"/>
    </w:rPr>
  </w:style>
  <w:style w:type="paragraph" w:styleId="Heading2">
    <w:name w:val="Heading 2"/>
    <w:basedOn w:val="Normal"/>
    <w:next w:val="Normal"/>
    <w:qFormat/>
    <w:pPr>
      <w:outlineLvl w:val="1"/>
    </w:pPr>
    <w:rPr>
      <w:rFonts w:ascii="Arial" w:cs="Arial" w:eastAsia="Arial" w:hAnsi="Arial"/>
      <w:b/>
      <w:bCs/>
      <w:color w:val="9E1B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bfed2b451948496533c13b2dba309f149feba4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SmartGreenAI — Sprint 3 Review &amp; Delivery</dc:title>
  <dc:creator>Team 3 - SmartGreenAI</dc:creator>
  <cp:lastModifiedBy>Un-named</cp:lastModifiedBy>
  <cp:revision>1</cp:revision>
  <dcterms:created xsi:type="dcterms:W3CDTF">2026-09-28T15:59:20.839Z</dcterms:created>
  <dcterms:modified xsi:type="dcterms:W3CDTF">2026-09-28T15:59:20.839Z</dcterms:modified>
</cp:coreProperties>
</file>

<file path=docProps/custom.xml><?xml version="1.0" encoding="utf-8"?>
<Properties xmlns="http://schemas.openxmlformats.org/officeDocument/2006/custom-properties" xmlns:vt="http://schemas.openxmlformats.org/officeDocument/2006/docPropsVTypes"/>
</file>