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QA del incremento académico SEDAPAL</w:t>
      </w:r>
    </w:p>
    <w:p>
      <w:r>
        <w:t>Equipo 5 • Desarrollo de Software I • Para aprobación</w:t>
      </w:r>
    </w:p>
    <w:p>
      <w:r>
        <w:t>Corte 2026-10-14T13:47:57.813583-05:00</w:t>
        <w:br/>
        <w:t>Versión 0.1.1-SNAPSHOT</w:t>
        <w:br/>
        <w:t>Código probado 55c805e352fb20afe064187a79341dcf8abb3fb8</w:t>
      </w:r>
    </w:p>
    <w:p>
      <w:pPr>
        <w:pStyle w:val="Heading1"/>
      </w:pPr>
      <w:r>
        <w:t>Resultado de la auditoría</w:t>
      </w:r>
    </w:p>
    <w:p>
      <w:r>
        <w:t>La auditoría recuperó y conservó el historial Git del MVP, incluida la mejora HU-02 41070eb. El incremento 0.1.1-SNAPSHOT implementa cuenta ciudadana, seguimiento público sin información privada, evidencias autorizadas y revisadas, cierre por titular y solicitud de reapertura con historial preservado. No se alteraron los documentos oficiales ni se publicó el sistema.</w:t>
      </w:r>
    </w:p>
    <w:p>
      <w:r>
        <w:t>Resultados actuales: línea base 12 tests JUnit; incremento 46 tests JUnit PASS; humo original 16/17 checks PASS; incremento 41/41 checks de navegador PASS. Hay capturas reales a 1366, 768 y 360 px y ejecución en Chrome/Edge. Se corrigió un defecto HTTP 405 detectado en navegador; el intento fallido se conserva. Rendimiento local: 20/20 consultas &lt;=3 s, p95 0.170 s; muestra pequeña y carga secuencial.</w:t>
      </w:r>
    </w:p>
    <w:p>
      <w:r>
        <w:t>Ninguna HU se declara Done. Siguen pendientes usabilidad con participantes reales, accesibilidad y contraste completos, Safari/dispositivos físicos, HTTPS desplegado. No hay constancia de revisión independiente ni aceptación del equipo. Los 39 CA tienen trazabilidad propuesta y limitaciones explícitas.</w:t>
      </w:r>
    </w:p>
    <w:p>
      <w:pPr>
        <w:pStyle w:val="Heading1"/>
      </w:pPr>
      <w:r>
        <w:t>Validación solicitada al responsable</w:t>
      </w:r>
    </w:p>
    <w:p>
      <w:r>
        <w:t>Para aprobar: revisar el incremento y las NC abiertas; decidir responsables y planificación real, revisar el tratamiento de archivos y actualizar la matriz oficial a partir de los CSV. Esta entrega no aprueba cambios de alcance, Sprints, presupuesto ni fechas. El ZIP y el bundle permiten inspección y recuperación posterior.</w:t>
        <w:br/>
      </w:r>
    </w:p>
    <w:p>
      <w:r>
        <w:br w:type="page"/>
      </w:r>
    </w:p>
    <w:p>
      <w:pPr>
        <w:pStyle w:val="Heading1"/>
      </w:pPr>
      <w:r>
        <w:t>Ejecuciones verificables</w:t>
      </w:r>
    </w:p>
    <w:p>
      <w:r>
        <w:t>Java 21 y Spring Boot con H2 aislada, puertos libres y datos ficticios. El primer intento de Maven se bloqueó por el aislamiento; la repetición usó forkCount=0. La instancia del usuario en 8080 no fue modificada.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DCEAF5"/>
          </w:tcPr>
          <w:p>
            <w:r>
              <w:t>Batería</w:t>
            </w:r>
          </w:p>
        </w:tc>
        <w:tc>
          <w:tcPr>
            <w:tcW w:type="dxa" w:w="3312"/>
            <w:shd w:fill="DCEAF5"/>
          </w:tcPr>
          <w:p>
            <w:r>
              <w:t>Resultado</w:t>
            </w:r>
          </w:p>
        </w:tc>
        <w:tc>
          <w:tcPr>
            <w:tcW w:type="dxa" w:w="3312"/>
            <w:shd w:fill="DCEAF5"/>
          </w:tcPr>
          <w:p>
            <w:r>
              <w:t>Evidencia</w:t>
            </w:r>
          </w:p>
        </w:tc>
      </w:tr>
      <w:tr>
        <w:tc>
          <w:tcPr>
            <w:tcW w:type="dxa" w:w="3312"/>
          </w:tcPr>
          <w:p>
            <w:r>
              <w:t>Línea base fuente</w:t>
            </w:r>
          </w:p>
        </w:tc>
        <w:tc>
          <w:tcPr>
            <w:tcW w:type="dxa" w:w="3312"/>
          </w:tcPr>
          <w:p>
            <w:r>
              <w:t>12 JUnit PASS</w:t>
            </w:r>
          </w:p>
        </w:tc>
        <w:tc>
          <w:tcPr>
            <w:tcW w:type="dxa" w:w="3312"/>
          </w:tcPr>
          <w:p>
            <w:r>
              <w:t>maven-baseline.log</w:t>
            </w:r>
          </w:p>
        </w:tc>
      </w:tr>
      <w:tr>
        <w:tc>
          <w:tcPr>
            <w:tcW w:type="dxa" w:w="3312"/>
            <w:shd w:fill="F5F8FA"/>
          </w:tcPr>
          <w:p>
            <w:r>
              <w:t>Incremento fuente</w:t>
            </w:r>
          </w:p>
        </w:tc>
        <w:tc>
          <w:tcPr>
            <w:tcW w:type="dxa" w:w="3312"/>
            <w:shd w:fill="F5F8FA"/>
          </w:tcPr>
          <w:p>
            <w:r>
              <w:t>46 JUnit PASS</w:t>
            </w:r>
          </w:p>
        </w:tc>
        <w:tc>
          <w:tcPr>
            <w:tcW w:type="dxa" w:w="3312"/>
            <w:shd w:fill="F5F8FA"/>
          </w:tcPr>
          <w:p>
            <w:r>
              <w:t>maven-final.log; junit-final</w:t>
            </w:r>
          </w:p>
        </w:tc>
      </w:tr>
      <w:tr>
        <w:tc>
          <w:tcPr>
            <w:tcW w:type="dxa" w:w="3312"/>
          </w:tcPr>
          <w:p>
            <w:r>
              <w:t>JAR original</w:t>
            </w:r>
          </w:p>
        </w:tc>
        <w:tc>
          <w:tcPr>
            <w:tcW w:type="dxa" w:w="3312"/>
          </w:tcPr>
          <w:p>
            <w:r>
              <w:t>8/8 HU-02 y 8/9 HTTP PASS</w:t>
            </w:r>
          </w:p>
        </w:tc>
        <w:tc>
          <w:tcPr>
            <w:tcW w:type="dxa" w:w="3312"/>
          </w:tcPr>
          <w:p>
            <w:r>
              <w:t>BASE-* en JSON</w:t>
            </w:r>
          </w:p>
        </w:tc>
      </w:tr>
      <w:tr>
        <w:tc>
          <w:tcPr>
            <w:tcW w:type="dxa" w:w="3312"/>
            <w:shd w:fill="F5F8FA"/>
          </w:tcPr>
          <w:p>
            <w:r>
              <w:t>Navegador incremento</w:t>
            </w:r>
          </w:p>
        </w:tc>
        <w:tc>
          <w:tcPr>
            <w:tcW w:type="dxa" w:w="3312"/>
            <w:shd w:fill="F5F8FA"/>
          </w:tcPr>
          <w:p>
            <w:r>
              <w:t>41/41 checks PASS</w:t>
            </w:r>
          </w:p>
        </w:tc>
        <w:tc>
          <w:tcPr>
            <w:tcW w:type="dxa" w:w="3312"/>
            <w:shd w:fill="F5F8FA"/>
          </w:tcPr>
          <w:p>
            <w:r>
              <w:t>playwright.log; JSON</w:t>
            </w:r>
          </w:p>
        </w:tc>
      </w:tr>
      <w:tr>
        <w:tc>
          <w:tcPr>
            <w:tcW w:type="dxa" w:w="3312"/>
          </w:tcPr>
          <w:p>
            <w:r>
              <w:t>Rendimiento local</w:t>
            </w:r>
          </w:p>
        </w:tc>
        <w:tc>
          <w:tcPr>
            <w:tcW w:type="dxa" w:w="3312"/>
          </w:tcPr>
          <w:p>
            <w:r>
              <w:t>20/20; p95 0.170 s</w:t>
            </w:r>
          </w:p>
        </w:tc>
        <w:tc>
          <w:tcPr>
            <w:tcW w:type="dxa" w:w="3312"/>
          </w:tcPr>
          <w:p>
            <w:r>
              <w:t>rendimiento-20.json</w:t>
            </w:r>
          </w:p>
        </w:tc>
      </w:tr>
    </w:tbl>
    <w:p>
      <w:r>
        <w:t>Las rutas de evidencia anteriores son relativas a EVIDENCIAS dentro de la entrega. RESULTADOS_PRUEBAS.csv identifica casos, fechas, versión, responsable, esperado y obtenido. El humo HTTP fue reconstruido; no se dispone del script HTTP original. El JAR original devolvió 405 en lugar de 403 al omitir CSRF; el incremento verifica 403. No sumar checks solapados como HU.</w:t>
      </w:r>
    </w:p>
    <w:p>
      <w:pPr>
        <w:pStyle w:val="Heading1"/>
      </w:pPr>
      <w:r>
        <w:t>Defecto encontrado durante el navegador</w:t>
      </w:r>
    </w:p>
    <w:p>
      <w:r>
        <w:t>WEB-20 detectó HTTP 405 en un POST ajeno. El reenvío del manejador de acceso denegado conservaba POST hacia una vista GET. El commit 91511b4 corrigió la respuesta a 403. INTENTO_01 conserva la ejecución fallida; la batería final verifica el incremento corregido.</w:t>
      </w:r>
    </w:p>
    <w:p>
      <w:pPr>
        <w:pStyle w:val="Heading1"/>
      </w:pPr>
      <w:r>
        <w:t>Procedencia del código</w:t>
      </w:r>
    </w:p>
    <w:p>
      <w:r>
        <w:t>El historial se recuperó del bundle original, incluida la importación fc52549 y la mejora HU-02 41070eb. El POM heredado usaba 0.0.1-SNAPSHOT; el incremento usa 0.1.1-SNAPSHOT. No se atribuyen cambios retrospectivos a Sprints 1 y 2. CAMBIOS_IMPLEMENTADOS.md contiene hashes reales.</w:t>
      </w:r>
    </w:p>
    <w:p>
      <w:r>
        <w:br w:type="page"/>
      </w:r>
    </w:p>
    <w:p>
      <w:pPr>
        <w:pStyle w:val="Heading1"/>
      </w:pPr>
      <w:r>
        <w:t>Cumplimiento y pendientes</w:t>
      </w:r>
    </w:p>
    <w:p>
      <w:r>
        <w:t>Se revisaron los 10 RF, 8 HU, 39 CA, 9 RNF y 9 condiciones DoD del catálogo v1.4 frente a la matriz v1.8. Las fuentes oficiales permanecen intactas. Los CSV de estado conservan los textos aprobados y distinguen implementación, pruebas parciales y aceptación.</w:t>
      </w:r>
    </w:p>
    <w:p>
      <w:pPr>
        <w:pStyle w:val="Heading2"/>
      </w:pPr>
      <w:r>
        <w:t>Historias y DoD</w:t>
      </w:r>
    </w:p>
    <w:p>
      <w:r>
        <w:t>Ninguna HU se declara Done. Los 39 CA están vinculados a pruebas satisfactorias en escenarios ejecutados; la validación formal sigue pendiente. La incorporación a la matriz oficial y la revisión humana quedan pendientes.</w:t>
      </w:r>
    </w:p>
    <w:p>
      <w:pPr>
        <w:pStyle w:val="Heading2"/>
      </w:pPr>
      <w:r>
        <w:t>Requisitos no funcionales</w:t>
      </w:r>
    </w:p>
    <w:p>
      <w:r>
        <w:t>Faltan usabilidad con participantes reales, accesibilidad y contraste completos, Safari iOS, dispositivos físicos y HTTPS desplegado. Los tamaños 360, 768 y 1366 son viewports reales de navegador headless, no dispositivos físicos.</w:t>
      </w:r>
    </w:p>
    <w:p>
      <w:pPr>
        <w:pStyle w:val="Heading2"/>
      </w:pPr>
      <w:r>
        <w:t>Archivos y cobertura puntual</w:t>
      </w:r>
    </w:p>
    <w:p>
      <w:r>
        <w:t>Se reconoce PDF cifrado y se conservan sus bytes sin publicación automática. Un rollback elimina solo el archivo nuevo. Se añadieron aserciones por evento de aviso y campo obligatorio; el servidor rechazó formato, contenido y exceso de tamaño en pruebas HTTP.</w:t>
      </w:r>
    </w:p>
    <w:p>
      <w:pPr>
        <w:pStyle w:val="Heading2"/>
      </w:pPr>
      <w:r>
        <w:t>Rendimiento</w:t>
      </w:r>
    </w:p>
    <w:p>
      <w:r>
        <w:t>Chrome headless, navegación DOM seguimiento propio, H2 en memoria 4 incidencias, un usuario secuencial, 20 consultas, equipo local compartido. Muestra de veinte navegaciones DOM; al menos 19 deben responder dentro de tres segundos. Resultado 20/20; no extrapolable a producción.</w:t>
      </w:r>
    </w:p>
    <w:p>
      <w:r>
        <w:t>No se ejecutó pentest exhaustivo ni análisis de vulnerabilidades de dependencias. NO_CONFORMIDADES.csv contiene prioridades, evidencias y acciones; PLAN_CORRECTIVO.md propone el orden técnico sin comprometer fechas ni presupuesto.</w:t>
      </w:r>
    </w:p>
    <w:p>
      <w:r>
        <w:br w:type="page"/>
      </w:r>
    </w:p>
    <w:p>
      <w:pPr>
        <w:pStyle w:val="Heading1"/>
      </w:pPr>
      <w:r>
        <w:t>Registros y trazabilidad para aprobación</w:t>
      </w:r>
    </w:p>
    <w:p>
      <w:pPr>
        <w:pStyle w:val="Heading2"/>
      </w:pPr>
      <w:r>
        <w:t>Medición y seguimiento</w:t>
      </w:r>
    </w:p>
    <w:p>
      <w:r>
        <w:t>REGISTRO_MA.md conserva conteos y muestras actuales. MATRIZ_PRELIMINAR_ESTADO.md diferencia PP, EDT, REQM, PMC, MA, PPQA, CM, SAM, Sprint Backlogs y APF2. No se inventan reuniones, horas del equipo ni historias terminadas.</w:t>
      </w:r>
    </w:p>
    <w:p>
      <w:pPr>
        <w:pStyle w:val="Heading2"/>
      </w:pPr>
      <w:r>
        <w:t>Calidad y configuración</w:t>
      </w:r>
    </w:p>
    <w:p>
      <w:r>
        <w:t>CHECKLIST_PPQA.md documenta revisión automatizada del mismo agente y requiere independencia posterior. REGISTRO_CM.md identifica líneas base, rama, commits y recuperación mediante HISTORIAL_GIT.bundle.</w:t>
      </w:r>
    </w:p>
    <w:p>
      <w:pPr>
        <w:pStyle w:val="Heading2"/>
      </w:pPr>
      <w:r>
        <w:t>Matriz oficial</w:t>
      </w:r>
    </w:p>
    <w:p>
      <w:r>
        <w:t>ACTUALIZACIONES_PARA_MATRIZ.csv propone 39 correspondencias de CA con EDT, RF, HU, prueba, evidencia, PPQA y commit. ESTADO_10_RF.csv, ESTADO_8_HU.csv, ESTADO_39_CA.csv, ESTADO_9_RNF.csv y ESTADO_9_DOD.csv permiten revisión por ítem.</w:t>
      </w:r>
    </w:p>
    <w:p>
      <w:pPr>
        <w:pStyle w:val="Heading2"/>
      </w:pPr>
      <w:r>
        <w:t>Cómo inspeccionar</w:t>
      </w:r>
    </w:p>
    <w:p>
      <w:r>
        <w:t>Abrir REPORTE_QA.md y los CSV; revisar logs, XML, JSON y PNG en EVIDENCIAS; recuperar el historial con git clone HISTORIAL_GIT.bundle. CODIGO_FUENTE incluye las pruebas reproducibles. No hay publicación externa ni aprobación de liberación.</w:t>
      </w:r>
    </w:p>
    <w:p>
      <w:r>
        <w:t>Fuente funcional: catálogo oficial v1.4. Trazabilidad: matriz v1.8. Referencia técnica PDF: https://pdfbox.apache.org/3.0/migration.html. La referencia describe la API; los resultados se sustentan en las ejecuciones conservadas.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SEDAPAL académico • Auditoría automatizada • Pendiente de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QA del incremento académico SEDAPAL</dc:title>
  <dc:subject/>
  <dc:creator>Codex agente automatizado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