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200"/>
      </w:pPr>
    </w:p>
    <w:p>
      <w:pPr>
        <w:jc w:val="center"/>
        <w:spacing w:before="0" w:after="120"/>
      </w:pPr>
      <w:r>
        <w:rPr>
          <w:rFonts w:ascii="Times New Roman" w:hAnsi="Times New Roman"/>
          <w:b/>
          <w:color w:val="000000"/>
          <w:sz w:val="28"/>
        </w:rPr>
        <w:t>Actividad PrÃ¡ctica de la Semana Cinco: Manuales de InstalaciÃ³n, Modelo Conceptual y Modelo LÃ³gico Relacional</w:t>
      </w:r>
    </w:p>
    <w:p>
      <w:pPr>
        <w:jc w:val="center"/>
        <w:spacing w:before="0" w:after="360"/>
      </w:pPr>
      <w:r>
        <w:rPr>
          <w:rFonts w:ascii="Times New Roman" w:hAnsi="Times New Roman"/>
          <w:i/>
          <w:color w:val="000000"/>
          <w:sz w:val="24"/>
        </w:rPr>
        <w:t>DiseÃ±o e ImplementaciÃ³n de Base de Datos para el Sistema Web NEXORA</w:t>
      </w:r>
    </w:p>
    <w:p>
      <w:pPr>
        <w:jc w:val="center"/>
        <w:spacing w:before="40" w:after="60" w:line="360" w:lineRule="auto"/>
      </w:pPr>
      <w:r>
        <w:t>Alessandro Villogas Gaspar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Escuela Profesional de IngenierÃ­a de Sistemas y ComputaciÃ³n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Facultad de IngenierÃ­a, Universidad Peruana Los Andes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Desarrollo de Aplicaciones I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Mg. Ing. RaÃºl FernÃ¡ndez Bejarano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Octubre de 2026</w:t>
      </w:r>
    </w:p>
    <w:p>
      <w:pPr>
        <w:spacing w:before="0" w:after="0"/>
      </w:pPr>
      <w:r>
        <w:br w:type="page"/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Manual de InstalaciÃ³n de Microsoft SQL Server y Herramientas Administrativas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presente apartado describe el procedimiento metodolÃ³gico para la instalaciÃ³n del motor de bases de datos relacionales Microsoft SQL Server junto con su consola de gestiÃ³n SQL Server Management Studio. Esta infraestructura permite dar soporte de persistencia transaccional, control de accesos e inventario al sistema informÃ¡tico NEXORA.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Requisitos de Infraestructura Local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Sistema Operativo: </w:t>
      </w:r>
      <w:r>
        <w:rPr>
          <w:rFonts w:ascii="Times New Roman" w:hAnsi="Times New Roman"/>
          <w:color w:val="000000"/>
          <w:sz w:val="24"/>
        </w:rPr>
        <w:t xml:space="preserve">Plataforma Windows de sesenta y cuatro bits en ediciones diez, once o servidor corporativo.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Memoria de Trabajo: </w:t>
      </w:r>
      <w:r>
        <w:rPr>
          <w:rFonts w:ascii="Times New Roman" w:hAnsi="Times New Roman"/>
          <w:color w:val="000000"/>
          <w:sz w:val="24"/>
        </w:rPr>
        <w:t xml:space="preserve">AsignaciÃ³n mÃ­nima de cuatro gigabytes, recomendÃ¡ndose una capacidad de ocho gigabytes para un desempeÃ±o fluido.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Espacio de Almacenamiento: </w:t>
      </w:r>
      <w:r>
        <w:rPr>
          <w:rFonts w:ascii="Times New Roman" w:hAnsi="Times New Roman"/>
          <w:color w:val="000000"/>
          <w:sz w:val="24"/>
        </w:rPr>
        <w:t xml:space="preserve">Disponibilidad de seis gigabytes en disco para binarios del motor y utilitarios.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Entorno de Desarrollo: </w:t>
      </w:r>
      <w:r>
        <w:rPr>
          <w:rFonts w:ascii="Times New Roman" w:hAnsi="Times New Roman"/>
          <w:color w:val="000000"/>
          <w:sz w:val="24"/>
        </w:rPr>
        <w:t xml:space="preserve">Kit de desarrollo de Java en su ediciÃ³n diecisiete, servidor de aplicaciones Apache Tomcat y entorno integrado Apache NetBeans.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Secuencia de InstalaciÃ³n y ConfiguraciÃ³n del Servicio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uno, obtenciÃ³n del instalador: </w:t>
      </w:r>
      <w:r>
        <w:rPr>
          <w:rFonts w:ascii="Times New Roman" w:hAnsi="Times New Roman"/>
          <w:color w:val="000000"/>
          <w:sz w:val="24"/>
        </w:rPr>
        <w:t xml:space="preserve">Se accede al portal oficial de descargas de Microsoft para descargar la ediciÃ³n Developer, diseÃ±ada para fines de investigaciÃ³n acadÃ©mica y desarrollo de software.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dos, ejecuciÃ³n personalizada: </w:t>
      </w:r>
      <w:r>
        <w:rPr>
          <w:rFonts w:ascii="Times New Roman" w:hAnsi="Times New Roman"/>
          <w:color w:val="000000"/>
          <w:sz w:val="24"/>
        </w:rPr>
        <w:t xml:space="preserve">Se ejecuta el instalador con privilegios de administrador y se selecciona el tipo de instalaciÃ³n personalizada para definir los componentes estrictamente necesarios.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tres, selecciÃ³n de componentes esenciales: </w:t>
      </w:r>
      <w:r>
        <w:rPr>
          <w:rFonts w:ascii="Times New Roman" w:hAnsi="Times New Roman"/>
          <w:color w:val="000000"/>
          <w:sz w:val="24"/>
        </w:rPr>
        <w:t xml:space="preserve">En el centro de instalaciÃ³n independiente se seleccionan los servicios del motor de base de datos para la gestiÃ³n del almacenamiento relacional.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cuatro, definiciÃ³n de la instancia: </w:t>
      </w:r>
      <w:r>
        <w:rPr>
          <w:rFonts w:ascii="Times New Roman" w:hAnsi="Times New Roman"/>
          <w:color w:val="000000"/>
          <w:sz w:val="24"/>
        </w:rPr>
        <w:t xml:space="preserve">Se establece la instancia predeterminada MSSQLSERVER o bien una instancia especÃ­fica identificada como SQLEXPRESS.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cinco, seguridad y modo de autenticaciÃ³n: </w:t>
      </w:r>
      <w:r>
        <w:rPr>
          <w:rFonts w:ascii="Times New Roman" w:hAnsi="Times New Roman"/>
          <w:color w:val="000000"/>
          <w:sz w:val="24"/>
        </w:rPr>
        <w:t xml:space="preserve">Se selecciona el modo de autenticaciÃ³n mixto para habilitar tanto credenciales de Windows como cuentas nativas de SQL Server, asignando una contraseÃ±a robusta al usuario maestro sa.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seis, configuraciÃ³n de conectividad de red: </w:t>
      </w:r>
      <w:r>
        <w:rPr>
          <w:rFonts w:ascii="Times New Roman" w:hAnsi="Times New Roman"/>
          <w:color w:val="000000"/>
          <w:sz w:val="24"/>
        </w:rPr>
        <w:t xml:space="preserve">A travÃ©s del administrador de configuraciÃ³n de SQL Server se habilita el protocolo TCP sobre el puerto estandarizado 1433, permitiendo la comunicaciÃ³n desde aplicaciones externas.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siete, entorno grÃ¡fico de administraciÃ³n: </w:t>
      </w:r>
      <w:r>
        <w:rPr>
          <w:rFonts w:ascii="Times New Roman" w:hAnsi="Times New Roman"/>
          <w:color w:val="000000"/>
          <w:sz w:val="24"/>
        </w:rPr>
        <w:t xml:space="preserve">Se completa la instalaciÃ³n de SQL Server Management Studio para interactuar de forma grÃ¡fica con las bases de datos y ejecutar scripts de verificaciÃ³n.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Manual de InstalaciÃ³n y Despliegue en la Nube de Microsoft Azure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Microsoft Azure ofrece una alternativa de arquitectura en la nube mediante el servicio de plataforma como servicio denominado Azure SQL Database. Esta modalidad permite alojar la base de datos BD_NEXORA en centros de datos distribuidos, garantizando accesibilidad y alta disponibilidad sin necesidad de mantener infraestructura fÃ­sica local.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Aprovisionamiento de la Cuenta y Recursos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Acceso a la consola en la nube: </w:t>
      </w:r>
      <w:r>
        <w:rPr>
          <w:rFonts w:ascii="Times New Roman" w:hAnsi="Times New Roman"/>
          <w:color w:val="000000"/>
          <w:sz w:val="24"/>
        </w:rPr>
        <w:t xml:space="preserve">El estudiante ingresa al portal de Azure con las credenciales institucionales otorgadas por la universidad para aprovechar los beneficios acadÃ©micos de suscripciÃ³n.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CreaciÃ³n del contenedor de recursos: </w:t>
      </w:r>
      <w:r>
        <w:rPr>
          <w:rFonts w:ascii="Times New Roman" w:hAnsi="Times New Roman"/>
          <w:color w:val="000000"/>
          <w:sz w:val="24"/>
        </w:rPr>
        <w:t xml:space="preserve">Se define un grupo de recursos denominado rg-nexora para agrupar lÃ³gicamente todos los servicios asociados a la soluciÃ³n.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ConfiguraciÃ³n de la Base de Datos en Azure SQL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Aprovisionamiento del servicio: </w:t>
      </w:r>
      <w:r>
        <w:rPr>
          <w:rFonts w:ascii="Times New Roman" w:hAnsi="Times New Roman"/>
          <w:color w:val="000000"/>
          <w:sz w:val="24"/>
        </w:rPr>
        <w:t xml:space="preserve">En el catÃ¡logo de recursos se crea una nueva base de datos asignando el nombre oficial BD_NEXORA.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Servidor lÃ³gico asociado: </w:t>
      </w:r>
      <w:r>
        <w:rPr>
          <w:rFonts w:ascii="Times New Roman" w:hAnsi="Times New Roman"/>
          <w:color w:val="000000"/>
          <w:sz w:val="24"/>
        </w:rPr>
        <w:t xml:space="preserve">Se configura un servidor lÃ³gico con nomenclatura srv-nexora que expone el punto de enlace de conexiÃ³n para las aplicaciones externas.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Nivel de cÃ³mputo eficiente: </w:t>
      </w:r>
      <w:r>
        <w:rPr>
          <w:rFonts w:ascii="Times New Roman" w:hAnsi="Times New Roman"/>
          <w:color w:val="000000"/>
          <w:sz w:val="24"/>
        </w:rPr>
        <w:t xml:space="preserve">Se selecciona un nivel de cÃ³mputo bÃ¡sico o de consumo elÃ¡stico para optimizar el gasto de crÃ©ditos y preservar los recursos durante el periodo de pruebas.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Reglas de cortafuegos y seguridad: </w:t>
      </w:r>
      <w:r>
        <w:rPr>
          <w:rFonts w:ascii="Times New Roman" w:hAnsi="Times New Roman"/>
          <w:color w:val="000000"/>
          <w:sz w:val="24"/>
        </w:rPr>
        <w:t xml:space="preserve">Se autoriza explÃ­citamente el acceso a los servicios internos de Azure y se agrega la direcciÃ³n de red pÃºblica del equipo del estudiante para permitir el enlace seguro.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Cadena de conexiÃ³n: </w:t>
      </w:r>
      <w:r>
        <w:rPr>
          <w:rFonts w:ascii="Times New Roman" w:hAnsi="Times New Roman"/>
          <w:color w:val="000000"/>
          <w:sz w:val="24"/>
        </w:rPr>
        <w:t xml:space="preserve">Se copia la cadena de conexiÃ³n en formato Java para vincular la aplicaciÃ³n mediante su controlador correspondiente.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Modelo Conceptual de Base de Datos y SelecciÃ³n de Herramientas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modelo conceptual define las entidades sustantivas, los atributos elementales y los vÃ­nculos que sustentan el ecosistema de la plataforma NEXORA, garantizando un control de roles transparente, registro de auditorÃ­a de sesiones y la gestiÃ³n de compras y pedidos por parte de los clientes.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EvaluaciÃ³n de Herramientas de Modelado Conceptual de Bases de Datos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Herramienta de Software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Tipo de NotaciÃ³n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AplicaciÃ³n en el Proyecto NEXORA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Draw.io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NotaciÃ³n Chen y NotaciÃ³n de IngenierÃ­a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ElaboraciÃ³n del diagrama conceptual de alto nivel con representaciÃ³n clara de cardinalidades y entidades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SQL Server Management Studio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DiagramaciÃ³n fÃ­sica relacional directa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ValidaciÃ³n del esquema fÃ­sico directamente sobre el motor de base de datos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Erwin Data Modeler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Herramienta de ingenierÃ­a asistida por computadora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GeneraciÃ³n de esquemas en tercera forma normal e ingenierÃ­a directa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Dia Diagram Editor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DiagramaciÃ³n acadÃ©mica libre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Bosquejo preliminar de entidades y relaciones de negocio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ComparaciÃ³n de software de modelado para el diseÃ±o de bases de datos relacionales.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DefiniciÃ³n de Entidades y Cardinalidades de Negocio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Rol: </w:t>
      </w:r>
      <w:r>
        <w:rPr>
          <w:rFonts w:ascii="Times New Roman" w:hAnsi="Times New Roman"/>
          <w:color w:val="000000"/>
          <w:sz w:val="24"/>
        </w:rPr>
        <w:t xml:space="preserve">Representa los cuatro perfiles del sistema correspondientes a Administrador con nivel uno, AlmacÃ©n con nivel dos, Cliente con nivel tres y Consulta con nivel cuatro.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Usuario: </w:t>
      </w:r>
      <w:r>
        <w:rPr>
          <w:rFonts w:ascii="Times New Roman" w:hAnsi="Times New Roman"/>
          <w:color w:val="000000"/>
          <w:sz w:val="24"/>
        </w:rPr>
        <w:t xml:space="preserve">Almacena las credenciales de ingreso compuestas por nombre de cuenta, contraseÃ±a, nombre completo del titular, correo electrÃ³nico y fecha de creaciÃ³n.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SesiÃ³n Acceso: </w:t>
      </w:r>
      <w:r>
        <w:rPr>
          <w:rFonts w:ascii="Times New Roman" w:hAnsi="Times New Roman"/>
          <w:color w:val="000000"/>
          <w:sz w:val="24"/>
        </w:rPr>
        <w:t xml:space="preserve">BitÃ¡cora cronolÃ³gica donde se audita cada intento de acceso registrando la fecha exacta, la direcciÃ³n de red del cliente y el resultado de la autenticaciÃ³n.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CategorÃ­a: </w:t>
      </w:r>
      <w:r>
        <w:rPr>
          <w:rFonts w:ascii="Times New Roman" w:hAnsi="Times New Roman"/>
          <w:color w:val="000000"/>
          <w:sz w:val="24"/>
        </w:rPr>
        <w:t xml:space="preserve">CatÃ¡logo estructurado que agrupa los productos en computadoras, accesorios, monitores, impresoras, almacenamiento y conectividad.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Producto: </w:t>
      </w:r>
      <w:r>
        <w:rPr>
          <w:rFonts w:ascii="Times New Roman" w:hAnsi="Times New Roman"/>
          <w:color w:val="000000"/>
          <w:sz w:val="24"/>
        </w:rPr>
        <w:t xml:space="preserve">Entidad medular del catÃ¡logo que resguarda el cÃ³digo, nombre comercial, precio unitario, existencias actuales y estado de disponibilidad.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Pedido: </w:t>
      </w:r>
      <w:r>
        <w:rPr>
          <w:rFonts w:ascii="Times New Roman" w:hAnsi="Times New Roman"/>
          <w:color w:val="000000"/>
          <w:sz w:val="24"/>
        </w:rPr>
        <w:t xml:space="preserve">Registra las adquisiciones formales realizadas por los usuarios con rol de cliente, descontando el inventario disponible de manera inmediata.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1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Diagrama Entidad RelaciÃ³n del Modelo Conceptual del Sistema NEXORA</w:t>
      </w:r>
    </w:p>
    <w:p>
      <w:pPr>
        <w:jc w:val="center"/>
        <w:spacing w:before="60" w:after="80"/>
      </w:pPr>
      <w:r>
        <w:drawing>
          <wp:inline distT="0" distB="0" distL="0" distR="0">
            <wp:extent cx="5750000" cy="3108000"/>
            <wp:docPr id="1" name="ModeloConceptua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oConceptualER"/>
                    <pic:cNvPicPr/>
                  </pic:nvPicPr>
                  <pic:blipFill>
                    <a:blip r:embed="rIdImgER"/>
                    <a:stretch>
                      <a:fillRect/>
                    </a:stretch>
                  </pic:blipFill>
                  <pic:spPr>
                    <a:xfrm>
                      <a:off x="0" y="0"/>
                      <a:ext cx="5750000" cy="3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RepresentaciÃ³n formal de entidades, relaciones y atributos empleando la notaciÃ³n Chen.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Modelo LÃ³gico Relacional de Base de Datos en Tercera Forma Normal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modelo lÃ³gico traduce las abstracciones conceptuales a una estructura relacional rigurosa, eliminando redundancias y anomalÃ­as de actualizaciÃ³n mediante la aplicaciÃ³n estricta de las reglas de normalizaciÃ³n hasta la tercera forma normal.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2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Estructura Relacional Normalizada del Sistema NEXORA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Nombre de la Tabla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Clave Primaria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Claves ForÃ¡neas Vinculadas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PropÃ³sito en la Plataforma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id_rol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Sin claves forÃ¡neas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Estructura de perfiles de usuario y jerarquÃ­a de permisos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id_rol vinculada con 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Cuentas de usuario autorizadas para el ingreso al sistema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dbo.sesion_acceso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id_sesion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vinculada con 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Registro de auditorÃ­a y trazabilidad de ingresos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dbo.categoria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id_categoria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Sin claves forÃ¡neas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ClasificaciÃ³n de familias de productos del inventario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dbo.producto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codigo de tipo alfanumÃ©rico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id_categoria vinculada con dbo.categoria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Control cuantitativo y valorizado de productos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dbo.pedido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id_pedido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e id_producto vinculadas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GestiÃ³n de transacciones de compra de los clientes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Esquema de tablas relacionales normalizadas para la base de datos BD_NEXORA.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2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Diagrama del Modelo LÃ³gico Relacional Normalizado</w:t>
      </w:r>
    </w:p>
    <w:p>
      <w:pPr>
        <w:jc w:val="center"/>
        <w:spacing w:before="60" w:after="80"/>
      </w:pPr>
      <w:r>
        <w:drawing>
          <wp:inline distT="0" distB="0" distL="0" distR="0">
            <wp:extent cx="5750000" cy="3030000"/>
            <wp:docPr id="2" name="ModeloLogicoRel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oLogicoRelacional"/>
                    <pic:cNvPicPr/>
                  </pic:nvPicPr>
                  <pic:blipFill>
                    <a:blip r:embed="rIdImgRel"/>
                    <a:stretch>
                      <a:fillRect/>
                    </a:stretch>
                  </pic:blipFill>
                  <pic:spPr>
                    <a:xfrm>
                      <a:off x="0" y="0"/>
                      <a:ext cx="5750000" cy="30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Estructura relacional con claves primarias, forÃ¡neas y multiplicidades de asociaciÃ³n.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ImgRel" Type="http://schemas.openxmlformats.org/officeDocument/2006/relationships/image" Target="media/modelo_logico_relacional.png"/><Relationship Id="rIdImgER" Type="http://schemas.openxmlformats.org/officeDocument/2006/relationships/image" Target="media/modelo_conceptual_er.png"/></Relationships>
</file>