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200"/>
      </w:pPr>
    </w:p>
    <w:p>
      <w:pPr>
        <w:jc w:val="center"/>
        <w:spacing w:before="0" w:after="120"/>
      </w:pPr>
      <w:r>
        <w:rPr>
          <w:rFonts w:ascii="Times New Roman" w:hAnsi="Times New Roman"/>
          <w:b/>
          <w:color w:val="000000"/>
          <w:sz w:val="28"/>
        </w:rPr>
        <w:t>Informe TÃ©cnico: Arquitectura de ConexiÃ³n entre Microsoft SQL Server y Java en el MÃ³dulo de Inicio de SesiÃ³n</w:t>
      </w:r>
    </w:p>
    <w:p>
      <w:pPr>
        <w:jc w:val="center"/>
        <w:spacing w:before="0" w:after="360"/>
      </w:pPr>
      <w:r>
        <w:rPr>
          <w:rFonts w:ascii="Times New Roman" w:hAnsi="Times New Roman"/>
          <w:i/>
          <w:color w:val="000000"/>
          <w:sz w:val="24"/>
        </w:rPr>
        <w:t>AnÃ¡lisis de Conectividad mediante Java Database Connectivity, Seguridad contra InyecciÃ³n SQL y Trazabilidad de AuditorÃ­a</w:t>
      </w:r>
    </w:p>
    <w:p>
      <w:pPr>
        <w:jc w:val="center"/>
        <w:spacing w:before="40" w:after="60" w:line="360" w:lineRule="auto"/>
      </w:pPr>
      <w:r>
        <w:t>Alessandro Villogas Gaspar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Escuela Profesional de IngenierÃ­a de Sistemas y ComputaciÃ³n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Facultad de IngenierÃ­a, Universidad Peruana Los Andes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Desarrollo de Aplicaciones I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Mg. Ing. RaÃºl FernÃ¡ndez Bejarano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Octubre de 2026</w:t>
      </w:r>
    </w:p>
    <w:p>
      <w:pPr>
        <w:spacing w:before="0" w:after="0"/>
      </w:pPr>
      <w:r>
        <w:br w:type="page"/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IntroducciÃ³n y FundamentaciÃ³n de la Conectividad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acceso seguro a los sistemas de informaciÃ³n contemporÃ¡neos exige una separaciÃ³n nÃ­tida entre la capa de presentaciÃ³n que interactÃºa con el usuario y el motor de almacenamiento donde reposan los datos confidenciales. En la plataforma tecnolÃ³gica comercial NEXORA, la ventana de ingreso cumple el rol primordial de autenticar a los operadores y clientes, determinando de manera autÃ³noma los privilegios correspondientes a cada perfil sin requerir selecciÃ³n manual.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La vinculaciÃ³n entre la mÃ¡quina virtual de Java y el motor de bases de datos Microsoft SQL Server se realiza a travÃ©s de la interfaz Java Database Connectivity, empleando el controlador oficial de Microsoft. Este mecanismo permite enviar instrucciones estructuradas mediante el protocolo de red TCP sobre el puerto estandarizado 1433, asegurando una comunicaciÃ³n cifrada y de alto rendimiento.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Figura 1</w:t>
      </w:r>
    </w:p>
    <w:p>
      <w:pPr>
        <w:spacing w:before="0" w:after="140"/>
      </w:pPr>
      <w:r>
        <w:rPr>
          <w:rFonts w:ascii="Times New Roman" w:hAnsi="Times New Roman"/>
          <w:i/>
          <w:color w:val="000000"/>
          <w:sz w:val="24"/>
        </w:rPr>
        <w:t>Flujo de ComunicaciÃ³n Multicapa para la AutenticaciÃ³n de Usuarios y DetecciÃ³n AutomÃ¡tica de Roles</w:t>
      </w:r>
    </w:p>
    <w:p>
      <w:pPr>
        <w:jc w:val="center"/>
        <w:spacing w:before="60" w:after="80"/>
      </w:pPr>
      <w:r>
        <w:drawing>
          <wp:inline distT="0" distB="0" distL="0" distR="0">
            <wp:extent cx="5700000" cy="2117000"/>
            <wp:docPr id="1" name="ArquitecturaConexion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cturaConexionLogin"/>
                    <pic:cNvPicPr/>
                  </pic:nvPicPr>
                  <pic:blipFill>
                    <a:blip r:embed="rIdImgArch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11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InteracciÃ³n desde la vista de ingreso hasta el almacenamiento persistente en SQL Server con resoluciÃ³n autÃ³noma del perfil.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EspecificaciÃ³n de la Cadena de ConexiÃ³n y ConfiguraciÃ³n de Red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La comunicaciÃ³n fÃ­sica depende de una cadena de conexiÃ³n unificada que define el destino de red, el nombre de la base de datos, el canal seguro y los parÃ¡metros de tolerancia a fallos. La instrucciÃ³n establecida en la clase ConexionBD.java responde a la siguiente estructura formal: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jdbc:sqlserver://localhost:1433;databaseName=BD_NEXORA;encrypt=true;trustServerCertificate=true;loginTimeout=2;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Controlador Oficial: </w:t>
      </w:r>
      <w:r>
        <w:rPr>
          <w:rFonts w:ascii="Times New Roman" w:hAnsi="Times New Roman"/>
          <w:color w:val="000000"/>
          <w:sz w:val="24"/>
        </w:rPr>
        <w:t xml:space="preserve">Se hace uso de la clase com.microsoft.sqlserver.jdbc.SQLServerDriver provista por la biblioteca mssql-jdbc en su versiÃ³n doce.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Destino y Puerto de Red: </w:t>
      </w:r>
      <w:r>
        <w:rPr>
          <w:rFonts w:ascii="Times New Roman" w:hAnsi="Times New Roman"/>
          <w:color w:val="000000"/>
          <w:sz w:val="24"/>
        </w:rPr>
        <w:t xml:space="preserve">La direcciÃ³n localhost y el puerto 1433 dirigen el trÃ¡fico al motor relacional local o hacia la nube en Azure.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Cifrado del Canal: </w:t>
      </w:r>
      <w:r>
        <w:rPr>
          <w:rFonts w:ascii="Times New Roman" w:hAnsi="Times New Roman"/>
          <w:color w:val="000000"/>
          <w:sz w:val="24"/>
        </w:rPr>
        <w:t xml:space="preserve">Los parÃ¡metros encrypt y trustServerCertificate garantizan que las credenciales no viajen en texto plano por la red.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Tiempo LÃ­mite de Espera: </w:t>
      </w:r>
      <w:r>
        <w:rPr>
          <w:rFonts w:ascii="Times New Roman" w:hAnsi="Times New Roman"/>
          <w:color w:val="000000"/>
          <w:sz w:val="24"/>
        </w:rPr>
        <w:t xml:space="preserve">La propiedad loginTimeout configurada en dos segundos previene bloqueos indefinidos en el servidor web si la base de datos estuviera apagada.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Estructura de Base de Datos Vinculada a la Seguridad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esquema de seguridad en la base de datos BD_NEXORA se sustenta en tres tablas relacionales perfectamente coordinadas para evitar duplicidades y mantener la trazabilidad de cada evento.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Tabla 1</w:t>
      </w:r>
    </w:p>
    <w:p>
      <w:pPr>
        <w:spacing w:before="0" w:after="120"/>
      </w:pPr>
      <w:r>
        <w:rPr>
          <w:rFonts w:ascii="Times New Roman" w:hAnsi="Times New Roman"/>
          <w:i/>
          <w:color w:val="000000"/>
          <w:sz w:val="24"/>
        </w:rPr>
        <w:t>Tablas del Esquema de Seguridad y Control de Acceso</w:t>
      </w:r>
    </w:p>
    <w:tbl>
      <w:tblPr>
        <w:tblW w:w="5000" w:type="pct"/>
        <w:tblBorders>
          <w:top w:val="single" w:sz="10" w:space="0" w:color="000000"/>
          <w:bottom w:val="single" w:sz="10" w:space="0" w:color="000000"/>
          <w:left w:val="none"/>
          <w:right w:val="none"/>
          <w:insideH w:val="none"/>
          <w:insideV w:val="none"/>
        </w:tblBorders>
      </w:tblPr>
      <w:tr>
        <w:trPr>
          <w:tblHeader/>
        </w:trPr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Entidad FÃ­sica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Campos Principales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Responsabilidad en el Proceso de Ingreso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dbo.rol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Identificador de rol, nombre, descripciÃ³n y nivel de acceso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Define los perfiles de Administrador, AlmacÃ©n, Cliente y Consulta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dbo.usuario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Identificador, nombre de cuenta, contraseÃ±a, nombre completo, correo y estado activo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Valida las credenciales ingresadas en el formulario web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dbo.sesion_acceso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Identificador de sesiÃ³n, usuario vinculado, fecha de ingreso, direcciÃ³n de red y Ã©xito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Guarda el registro de auditorÃ­a de cada intento de conexiÃ³n</w:t>
            </w:r>
          </w:p>
        </w:tc>
      </w:tr>
    </w:tbl>
    <w:p>
      <w:pPr>
        <w:spacing w:before="60" w:after="22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Tablas relacionales que intervienen en la autenticaciÃ³n del sistema NEXORA.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Recorrido Paso a Paso del Proceso de AutenticaciÃ³n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Primer paso, captura en la vista: </w:t>
      </w:r>
      <w:r>
        <w:rPr>
          <w:rFonts w:ascii="Times New Roman" w:hAnsi="Times New Roman"/>
          <w:color w:val="000000"/>
          <w:sz w:val="24"/>
        </w:rPr>
        <w:t xml:space="preserve">El usuario ingresa Ãºnicamente su nombre de cuenta y contraseÃ±a en el formulario web del archivo login.jsp, prescindiendo de selectores manuales de rol y transmitiendo los datos mediante el mÃ©todo seguro POST.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Segundo paso, recepciÃ³n en el controlador: </w:t>
      </w:r>
      <w:r>
        <w:rPr>
          <w:rFonts w:ascii="Times New Roman" w:hAnsi="Times New Roman"/>
          <w:color w:val="000000"/>
          <w:sz w:val="24"/>
        </w:rPr>
        <w:t xml:space="preserve">El servlet LoginServlet recibe los datos y captura la direcciÃ³n de red remota mediante la instrucciÃ³n req.getRemoteAddr para fines de auditorÃ­a.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Tercer paso, apertura del canal de datos: </w:t>
      </w:r>
      <w:r>
        <w:rPr>
          <w:rFonts w:ascii="Times New Roman" w:hAnsi="Times New Roman"/>
          <w:color w:val="000000"/>
          <w:sz w:val="24"/>
        </w:rPr>
        <w:t xml:space="preserve">La clase utilitaria ConexionBD proporciona una conexiÃ³n activa mediante DriverManager.getConnection hacia Microsoft SQL Server.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Cuarto paso, consulta parametrizada y resoluciÃ³n de rol: </w:t>
      </w:r>
      <w:r>
        <w:rPr>
          <w:rFonts w:ascii="Times New Roman" w:hAnsi="Times New Roman"/>
          <w:color w:val="000000"/>
          <w:sz w:val="24"/>
        </w:rPr>
        <w:t xml:space="preserve">El servicio UsuarioService ejecuta una consulta estructurada uniendo las tablas dbo.usuario y dbo.rol, verificando que la cuenta estÃ© activa, validando la clave y recuperando dinÃ¡micamente el perfil del usuario.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Quinto paso, registro de trazabilidad: </w:t>
      </w:r>
      <w:r>
        <w:rPr>
          <w:rFonts w:ascii="Times New Roman" w:hAnsi="Times New Roman"/>
          <w:color w:val="000000"/>
          <w:sz w:val="24"/>
        </w:rPr>
        <w:t xml:space="preserve">Inmediatamente despuÃ©s de validar la identidad, se inserta una fila en la tabla dbo.sesion_acceso registrando la marca temporal del servidor y la direcciÃ³n de red del equipo solicitante.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Sexto paso, establecimiento de sesiÃ³n y redirecciÃ³n adaptativa: </w:t>
      </w:r>
      <w:r>
        <w:rPr>
          <w:rFonts w:ascii="Times New Roman" w:hAnsi="Times New Roman"/>
          <w:color w:val="000000"/>
          <w:sz w:val="24"/>
        </w:rPr>
        <w:t xml:space="preserve">El controlador invalida cualquier identificador de sesiÃ³n previo para prevenir la fijaciÃ³n de sesiÃ³n, crea una nueva sesiÃ³n segura y redirige al panel correspondiente: tienda tecnolÃ³gica para el cliente o panel de control operativo para el administrador y almacÃ©n.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Estrategias de Seguridad y Resiliencia Aplicadas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Para asegurar que la soluciÃ³n satisfaga estÃ¡ndares de calidad en software corporativo, se aplicaron las siguientes medidas tÃ©cnicas: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Inmunidad ante InyecciÃ³n SQL: </w:t>
      </w:r>
      <w:r>
        <w:rPr>
          <w:rFonts w:ascii="Times New Roman" w:hAnsi="Times New Roman"/>
          <w:color w:val="000000"/>
          <w:sz w:val="24"/>
        </w:rPr>
        <w:t xml:space="preserve">Se prohÃ­be terminantemente concatenar variables en las cadenas de consulta. Se utilizan exclusivamente sentencias preparadas con parÃ¡metros tipados que neutralizan cualquier intento de manipulaciÃ³n sintÃ¡ctica.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GestiÃ³n Concurrente de Recursos: </w:t>
      </w:r>
      <w:r>
        <w:rPr>
          <w:rFonts w:ascii="Times New Roman" w:hAnsi="Times New Roman"/>
          <w:color w:val="000000"/>
          <w:sz w:val="24"/>
        </w:rPr>
        <w:t xml:space="preserve">Todas las conexiones y cursores se gestionan bajo bloques con cierre automÃ¡tico para liberar sockets y evitar fugas de memoria en el servidor.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Mecanismo de Resiliencia y Continuidad: </w:t>
      </w:r>
      <w:r>
        <w:rPr>
          <w:rFonts w:ascii="Times New Roman" w:hAnsi="Times New Roman"/>
          <w:color w:val="000000"/>
          <w:sz w:val="24"/>
        </w:rPr>
        <w:t xml:space="preserve">Si la base de datos externa no se encuentra en lÃ­nea, el sistema conmuta de forma transparente a una colecciÃ³n en memoria, asegurando que la evaluaciÃ³n y uso de la plataforma nunca se interrumpa.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ImgArch" Type="http://schemas.openxmlformats.org/officeDocument/2006/relationships/image" Target="media/arquitectura_conexion_login.png"/></Relationships>
</file>