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5"/>
      </w:pPr>
      <w:r>
        <w:rPr/>
        <w:pict>
          <v:group style="width:469.25pt;height:36.5pt;mso-position-horizontal-relative:char;mso-position-vertical-relative:line" coordorigin="0,0" coordsize="9385,730">
            <v:rect style="position:absolute;left:134;top:178;width:9110;height:413" filled="true" fillcolor="#ffff00" stroked="false">
              <v:fill type="solid"/>
            </v:rect>
            <v:line style="position:absolute" from="15,590" to="9370,590" stroked="true" strokeweight="1.44pt" strokecolor="#000000">
              <v:stroke dashstyle="solid"/>
            </v:line>
            <v:line style="position:absolute" from="58,178" to="9365,178" stroked="true" strokeweight="1.44pt" strokecolor="#000000">
              <v:stroke dashstyle="solid"/>
            </v:line>
            <v:line style="position:absolute" from="139,15" to="139,677" stroked="true" strokeweight="1.44pt" strokecolor="#000000">
              <v:stroke dashstyle="solid"/>
            </v:line>
            <v:line style="position:absolute" from="9245,58" to="9245,715" stroked="true" strokeweight="1.44pt" strokecolor="#000000">
              <v:stroke dashstyle="solid"/>
            </v:line>
            <v:shape style="position:absolute;left:1037;top:283;width:7430;height:235" type="#_x0000_t75" stroked="false">
              <v:imagedata r:id="rId5" o:title=""/>
            </v:shape>
          </v:group>
        </w:pict>
      </w:r>
      <w:r>
        <w:rPr/>
      </w:r>
    </w:p>
    <w:p>
      <w:pPr>
        <w:pStyle w:val="BodyText"/>
      </w:pPr>
    </w:p>
    <w:p>
      <w:pPr>
        <w:pStyle w:val="BodyText"/>
      </w:pPr>
    </w:p>
    <w:p>
      <w:pPr>
        <w:pStyle w:val="BodyText"/>
      </w:pPr>
    </w:p>
    <w:p>
      <w:pPr>
        <w:pStyle w:val="BodyText"/>
        <w:spacing w:before="6"/>
        <w:rPr>
          <w:sz w:val="17"/>
        </w:rPr>
      </w:pPr>
      <w:r>
        <w:rPr/>
        <w:drawing>
          <wp:anchor distT="0" distB="0" distL="0" distR="0" allowOverlap="1" layoutInCell="1" locked="0" behindDoc="0" simplePos="0" relativeHeight="1048">
            <wp:simplePos x="0" y="0"/>
            <wp:positionH relativeFrom="page">
              <wp:posOffset>2014727</wp:posOffset>
            </wp:positionH>
            <wp:positionV relativeFrom="paragraph">
              <wp:posOffset>152945</wp:posOffset>
            </wp:positionV>
            <wp:extent cx="4197478" cy="600075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197478" cy="600075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3"/>
        <w:rPr>
          <w:sz w:val="24"/>
        </w:rPr>
      </w:pPr>
    </w:p>
    <w:p>
      <w:pPr>
        <w:spacing w:line="244" w:lineRule="auto" w:before="97"/>
        <w:ind w:left="3076" w:right="0" w:firstLine="3926"/>
        <w:jc w:val="left"/>
        <w:rPr>
          <w:rFonts w:ascii="Arial" w:hAnsi="Arial"/>
          <w:sz w:val="18"/>
        </w:rPr>
      </w:pPr>
      <w:r>
        <w:rPr>
          <w:rFonts w:ascii="Arial" w:hAnsi="Arial"/>
          <w:sz w:val="18"/>
        </w:rPr>
        <w:t>© 1994 Southwest Airlines Co. This annual report was downloaded from our website at  </w:t>
      </w:r>
      <w:hyperlink r:id="rId7">
        <w:r>
          <w:rPr>
            <w:rFonts w:ascii="Arial" w:hAnsi="Arial"/>
            <w:sz w:val="18"/>
          </w:rPr>
          <w:t>http://www.iflyswa.com</w:t>
        </w:r>
      </w:hyperlink>
    </w:p>
    <w:p>
      <w:pPr>
        <w:spacing w:after="0" w:line="244" w:lineRule="auto"/>
        <w:jc w:val="left"/>
        <w:rPr>
          <w:rFonts w:ascii="Arial" w:hAnsi="Arial"/>
          <w:sz w:val="18"/>
        </w:rPr>
        <w:sectPr>
          <w:type w:val="continuous"/>
          <w:pgSz w:w="12240" w:h="15840"/>
          <w:pgMar w:top="1420" w:bottom="280" w:left="1680" w:right="960"/>
        </w:sectPr>
      </w:pPr>
    </w:p>
    <w:p>
      <w:pPr>
        <w:pStyle w:val="BodyText"/>
        <w:rPr>
          <w:rFonts w:ascii="Arial"/>
        </w:rPr>
      </w:pPr>
    </w:p>
    <w:p>
      <w:pPr>
        <w:pStyle w:val="BodyText"/>
        <w:spacing w:before="9"/>
        <w:rPr>
          <w:rFonts w:ascii="Arial"/>
          <w:sz w:val="24"/>
        </w:rPr>
      </w:pPr>
    </w:p>
    <w:p>
      <w:pPr>
        <w:pStyle w:val="Heading1"/>
      </w:pPr>
      <w:r>
        <w:rPr/>
        <w:pict>
          <v:line style="position:absolute;mso-position-horizontal-relative:page;mso-position-vertical-relative:paragraph;z-index:1072;mso-wrap-distance-left:0;mso-wrap-distance-right:0" from="88.559998pt,27.763792pt" to="559.439998pt,27.763792pt" stroked="true" strokeweight="1.44pt" strokecolor="#000000">
            <v:stroke dashstyle="solid"/>
            <w10:wrap type="topAndBottom"/>
          </v:line>
        </w:pict>
      </w:r>
      <w:bookmarkStart w:name="_TOC_250020" w:id="1"/>
      <w:bookmarkEnd w:id="1"/>
      <w:r>
        <w:rPr/>
        <w:t>Table of Contents</w:t>
      </w:r>
    </w:p>
    <w:p>
      <w:pPr>
        <w:pStyle w:val="BodyText"/>
        <w:rPr>
          <w:rFonts w:ascii="Arial"/>
        </w:rPr>
      </w:pPr>
    </w:p>
    <w:sdt>
      <w:sdtPr>
        <w:docPartObj>
          <w:docPartGallery w:val="Table of Contents"/>
          <w:docPartUnique/>
        </w:docPartObj>
      </w:sdtPr>
      <w:sdtEndPr/>
      <w:sdtContent>
        <w:p>
          <w:pPr>
            <w:pStyle w:val="TOC1"/>
            <w:tabs>
              <w:tab w:pos="9519" w:val="right" w:leader="dot"/>
            </w:tabs>
            <w:spacing w:before="222"/>
          </w:pPr>
          <w:hyperlink w:history="true" w:anchor="_TOC_250020">
            <w:r>
              <w:rPr/>
              <w:t>Table</w:t>
            </w:r>
            <w:r>
              <w:rPr>
                <w:spacing w:val="-6"/>
              </w:rPr>
              <w:t> </w:t>
            </w:r>
            <w:r>
              <w:rPr/>
              <w:t>of</w:t>
            </w:r>
            <w:r>
              <w:rPr>
                <w:spacing w:val="1"/>
              </w:rPr>
              <w:t> </w:t>
            </w:r>
            <w:r>
              <w:rPr/>
              <w:t>Contents</w:t>
              <w:tab/>
              <w:t>2</w:t>
            </w:r>
          </w:hyperlink>
        </w:p>
        <w:p>
          <w:pPr>
            <w:pStyle w:val="TOC1"/>
            <w:tabs>
              <w:tab w:pos="9519" w:val="right" w:leader="dot"/>
            </w:tabs>
          </w:pPr>
          <w:hyperlink w:history="true" w:anchor="_TOC_250019">
            <w:r>
              <w:rPr/>
              <w:t>Consolidated</w:t>
            </w:r>
            <w:r>
              <w:rPr>
                <w:spacing w:val="1"/>
              </w:rPr>
              <w:t> </w:t>
            </w:r>
            <w:r>
              <w:rPr/>
              <w:t>Highlights</w:t>
              <w:tab/>
              <w:t>3</w:t>
            </w:r>
          </w:hyperlink>
        </w:p>
        <w:p>
          <w:pPr>
            <w:pStyle w:val="TOC1"/>
            <w:tabs>
              <w:tab w:pos="9519" w:val="right" w:leader="dot"/>
            </w:tabs>
          </w:pPr>
          <w:hyperlink w:history="true" w:anchor="_TOC_250018">
            <w:r>
              <w:rPr/>
              <w:t>Low</w:t>
            </w:r>
            <w:r>
              <w:rPr>
                <w:spacing w:val="6"/>
              </w:rPr>
              <w:t> </w:t>
            </w:r>
            <w:r>
              <w:rPr/>
              <w:t>Fares</w:t>
              <w:tab/>
              <w:t>5</w:t>
            </w:r>
          </w:hyperlink>
        </w:p>
        <w:p>
          <w:pPr>
            <w:pStyle w:val="TOC1"/>
            <w:tabs>
              <w:tab w:pos="9519" w:val="right" w:leader="dot"/>
            </w:tabs>
          </w:pPr>
          <w:hyperlink w:history="true" w:anchor="_TOC_250017">
            <w:r>
              <w:rPr/>
              <w:t>To</w:t>
            </w:r>
            <w:r>
              <w:rPr>
                <w:spacing w:val="6"/>
              </w:rPr>
              <w:t> </w:t>
            </w:r>
            <w:r>
              <w:rPr/>
              <w:t>Our</w:t>
            </w:r>
            <w:r>
              <w:rPr>
                <w:spacing w:val="3"/>
              </w:rPr>
              <w:t> </w:t>
            </w:r>
            <w:r>
              <w:rPr/>
              <w:t>Shareholders</w:t>
              <w:tab/>
              <w:t>6</w:t>
            </w:r>
          </w:hyperlink>
        </w:p>
        <w:p>
          <w:pPr>
            <w:pStyle w:val="TOC1"/>
            <w:tabs>
              <w:tab w:pos="9519" w:val="right" w:leader="dot"/>
            </w:tabs>
          </w:pPr>
          <w:hyperlink w:history="true" w:anchor="_TOC_250016">
            <w:r>
              <w:rPr/>
              <w:t>Low</w:t>
            </w:r>
            <w:r>
              <w:rPr>
                <w:spacing w:val="6"/>
              </w:rPr>
              <w:t> </w:t>
            </w:r>
            <w:r>
              <w:rPr/>
              <w:t>Cost</w:t>
              <w:tab/>
              <w:t>8</w:t>
            </w:r>
          </w:hyperlink>
        </w:p>
        <w:p>
          <w:pPr>
            <w:pStyle w:val="TOC1"/>
            <w:tabs>
              <w:tab w:pos="9519" w:val="right" w:leader="dot"/>
            </w:tabs>
          </w:pPr>
          <w:hyperlink w:history="true" w:anchor="_TOC_250015">
            <w:r>
              <w:rPr/>
              <w:t>Productivity</w:t>
              <w:tab/>
              <w:t>10</w:t>
            </w:r>
          </w:hyperlink>
        </w:p>
        <w:p>
          <w:pPr>
            <w:pStyle w:val="TOC1"/>
            <w:tabs>
              <w:tab w:pos="9519" w:val="right" w:leader="dot"/>
            </w:tabs>
          </w:pPr>
          <w:hyperlink w:history="true" w:anchor="_TOC_250014">
            <w:r>
              <w:rPr/>
              <w:t>Jet</w:t>
            </w:r>
            <w:r>
              <w:rPr>
                <w:spacing w:val="6"/>
              </w:rPr>
              <w:t> </w:t>
            </w:r>
            <w:r>
              <w:rPr/>
              <w:t>Fleet</w:t>
              <w:tab/>
              <w:t>11</w:t>
            </w:r>
          </w:hyperlink>
        </w:p>
        <w:p>
          <w:pPr>
            <w:pStyle w:val="TOC1"/>
            <w:tabs>
              <w:tab w:pos="9519" w:val="right" w:leader="dot"/>
            </w:tabs>
          </w:pPr>
          <w:hyperlink w:history="true" w:anchor="_TOC_250013">
            <w:r>
              <w:rPr/>
              <w:t>Service</w:t>
              <w:tab/>
              <w:t>12</w:t>
            </w:r>
          </w:hyperlink>
        </w:p>
        <w:p>
          <w:pPr>
            <w:pStyle w:val="TOC1"/>
            <w:tabs>
              <w:tab w:pos="9519" w:val="right" w:leader="dot"/>
            </w:tabs>
          </w:pPr>
          <w:hyperlink w:history="true" w:anchor="_TOC_250012">
            <w:r>
              <w:rPr/>
              <w:t>Spirit</w:t>
              <w:tab/>
              <w:t>13</w:t>
            </w:r>
          </w:hyperlink>
        </w:p>
        <w:p>
          <w:pPr>
            <w:pStyle w:val="TOC1"/>
            <w:tabs>
              <w:tab w:pos="9519" w:val="right" w:leader="dot"/>
            </w:tabs>
          </w:pPr>
          <w:hyperlink w:history="true" w:anchor="_TOC_250011">
            <w:r>
              <w:rPr/>
              <w:t>Expansion</w:t>
              <w:tab/>
              <w:t>14</w:t>
            </w:r>
          </w:hyperlink>
        </w:p>
        <w:p>
          <w:pPr>
            <w:pStyle w:val="TOC1"/>
            <w:tabs>
              <w:tab w:pos="9519" w:val="right" w:leader="dot"/>
            </w:tabs>
          </w:pPr>
          <w:hyperlink w:history="true" w:anchor="_TOC_250010">
            <w:r>
              <w:rPr/>
              <w:t>Outlook</w:t>
              <w:tab/>
              <w:t>16</w:t>
            </w:r>
          </w:hyperlink>
        </w:p>
        <w:p>
          <w:pPr>
            <w:pStyle w:val="TOC1"/>
          </w:pPr>
          <w:r>
            <w:rPr/>
            <w:t>Management's Discussion and Analysis</w:t>
          </w:r>
        </w:p>
        <w:p>
          <w:pPr>
            <w:pStyle w:val="TOC1"/>
            <w:tabs>
              <w:tab w:pos="9519" w:val="right" w:leader="dot"/>
            </w:tabs>
            <w:spacing w:before="6"/>
          </w:pPr>
          <w:r>
            <w:rPr/>
            <w:t>of Financial Condition and Results</w:t>
          </w:r>
          <w:r>
            <w:rPr>
              <w:spacing w:val="7"/>
            </w:rPr>
            <w:t> </w:t>
          </w:r>
          <w:r>
            <w:rPr/>
            <w:t>of Operations</w:t>
            <w:tab/>
            <w:t>17</w:t>
          </w:r>
        </w:p>
        <w:p>
          <w:pPr>
            <w:pStyle w:val="TOC1"/>
            <w:tabs>
              <w:tab w:pos="9519" w:val="right" w:leader="dot"/>
            </w:tabs>
          </w:pPr>
          <w:hyperlink w:history="true" w:anchor="_TOC_250009">
            <w:r>
              <w:rPr/>
              <w:t>Consolidated</w:t>
            </w:r>
            <w:r>
              <w:rPr>
                <w:spacing w:val="1"/>
              </w:rPr>
              <w:t> </w:t>
            </w:r>
            <w:r>
              <w:rPr/>
              <w:t>Balance</w:t>
            </w:r>
            <w:r>
              <w:rPr>
                <w:spacing w:val="1"/>
              </w:rPr>
              <w:t> </w:t>
            </w:r>
            <w:r>
              <w:rPr/>
              <w:t>Sheet</w:t>
              <w:tab/>
              <w:t>23</w:t>
            </w:r>
          </w:hyperlink>
        </w:p>
        <w:p>
          <w:pPr>
            <w:pStyle w:val="TOC1"/>
            <w:tabs>
              <w:tab w:pos="9519" w:val="right" w:leader="dot"/>
            </w:tabs>
          </w:pPr>
          <w:hyperlink w:history="true" w:anchor="_TOC_250008">
            <w:r>
              <w:rPr/>
              <w:t>Consolidated Statement</w:t>
            </w:r>
            <w:r>
              <w:rPr>
                <w:spacing w:val="11"/>
              </w:rPr>
              <w:t> </w:t>
            </w:r>
            <w:r>
              <w:rPr/>
              <w:t>Of</w:t>
            </w:r>
            <w:r>
              <w:rPr>
                <w:spacing w:val="1"/>
              </w:rPr>
              <w:t> </w:t>
            </w:r>
            <w:r>
              <w:rPr/>
              <w:t>Income</w:t>
              <w:tab/>
              <w:t>24</w:t>
            </w:r>
          </w:hyperlink>
        </w:p>
        <w:p>
          <w:pPr>
            <w:pStyle w:val="TOC1"/>
            <w:tabs>
              <w:tab w:pos="9519" w:val="right" w:leader="dot"/>
            </w:tabs>
          </w:pPr>
          <w:hyperlink w:history="true" w:anchor="_TOC_250007">
            <w:r>
              <w:rPr/>
              <w:t>Consolidated Statement Of</w:t>
            </w:r>
            <w:r>
              <w:rPr>
                <w:spacing w:val="11"/>
              </w:rPr>
              <w:t> </w:t>
            </w:r>
            <w:r>
              <w:rPr/>
              <w:t>Stockholders'</w:t>
            </w:r>
            <w:r>
              <w:rPr>
                <w:spacing w:val="6"/>
              </w:rPr>
              <w:t> </w:t>
            </w:r>
            <w:r>
              <w:rPr/>
              <w:t>Equity</w:t>
              <w:tab/>
              <w:t>25</w:t>
            </w:r>
          </w:hyperlink>
        </w:p>
        <w:p>
          <w:pPr>
            <w:pStyle w:val="TOC1"/>
            <w:tabs>
              <w:tab w:pos="9519" w:val="right" w:leader="dot"/>
            </w:tabs>
          </w:pPr>
          <w:hyperlink w:history="true" w:anchor="_TOC_250006">
            <w:r>
              <w:rPr/>
              <w:t>Consolidated Statement Of</w:t>
            </w:r>
            <w:r>
              <w:rPr>
                <w:spacing w:val="12"/>
              </w:rPr>
              <w:t> </w:t>
            </w:r>
            <w:r>
              <w:rPr/>
              <w:t>Cash</w:t>
            </w:r>
            <w:r>
              <w:rPr>
                <w:spacing w:val="1"/>
              </w:rPr>
              <w:t> </w:t>
            </w:r>
            <w:r>
              <w:rPr/>
              <w:t>Flows</w:t>
              <w:tab/>
              <w:t>26</w:t>
            </w:r>
          </w:hyperlink>
        </w:p>
        <w:p>
          <w:pPr>
            <w:pStyle w:val="TOC1"/>
            <w:tabs>
              <w:tab w:pos="9519" w:val="right" w:leader="dot"/>
            </w:tabs>
          </w:pPr>
          <w:hyperlink w:history="true" w:anchor="_TOC_250005">
            <w:r>
              <w:rPr/>
              <w:t>Notes </w:t>
            </w:r>
            <w:r>
              <w:rPr>
                <w:spacing w:val="2"/>
              </w:rPr>
              <w:t>to </w:t>
            </w:r>
            <w:r>
              <w:rPr/>
              <w:t>Consolidated</w:t>
            </w:r>
            <w:r>
              <w:rPr>
                <w:spacing w:val="6"/>
              </w:rPr>
              <w:t> </w:t>
            </w:r>
            <w:r>
              <w:rPr/>
              <w:t>Financial</w:t>
            </w:r>
            <w:r>
              <w:rPr>
                <w:spacing w:val="1"/>
              </w:rPr>
              <w:t> </w:t>
            </w:r>
            <w:r>
              <w:rPr/>
              <w:t>Statements</w:t>
              <w:tab/>
              <w:t>27</w:t>
            </w:r>
          </w:hyperlink>
        </w:p>
        <w:p>
          <w:pPr>
            <w:pStyle w:val="TOC1"/>
            <w:tabs>
              <w:tab w:pos="9519" w:val="right" w:leader="dot"/>
            </w:tabs>
          </w:pPr>
          <w:hyperlink w:history="true" w:anchor="_TOC_250004">
            <w:r>
              <w:rPr/>
              <w:t>Independent</w:t>
            </w:r>
            <w:r>
              <w:rPr>
                <w:spacing w:val="-9"/>
              </w:rPr>
              <w:t> </w:t>
            </w:r>
            <w:r>
              <w:rPr/>
              <w:t>Auditors</w:t>
              <w:tab/>
              <w:t>37</w:t>
            </w:r>
          </w:hyperlink>
        </w:p>
        <w:p>
          <w:pPr>
            <w:pStyle w:val="TOC1"/>
            <w:tabs>
              <w:tab w:pos="9519" w:val="right" w:leader="dot"/>
            </w:tabs>
          </w:pPr>
          <w:hyperlink w:history="true" w:anchor="_TOC_250003">
            <w:r>
              <w:rPr/>
              <w:t>Corporate</w:t>
            </w:r>
            <w:r>
              <w:rPr>
                <w:spacing w:val="2"/>
              </w:rPr>
              <w:t> </w:t>
            </w:r>
            <w:r>
              <w:rPr/>
              <w:t>Data</w:t>
              <w:tab/>
              <w:t>38</w:t>
            </w:r>
          </w:hyperlink>
        </w:p>
        <w:p>
          <w:pPr>
            <w:pStyle w:val="TOC1"/>
            <w:tabs>
              <w:tab w:pos="9519" w:val="right" w:leader="dot"/>
            </w:tabs>
          </w:pPr>
          <w:hyperlink w:history="true" w:anchor="_TOC_250002">
            <w:r>
              <w:rPr/>
              <w:t>Directors</w:t>
              <w:tab/>
              <w:t>39</w:t>
            </w:r>
          </w:hyperlink>
        </w:p>
        <w:p>
          <w:pPr>
            <w:pStyle w:val="TOC1"/>
            <w:tabs>
              <w:tab w:pos="9519" w:val="right" w:leader="dot"/>
            </w:tabs>
          </w:pPr>
          <w:hyperlink w:history="true" w:anchor="_TOC_250001">
            <w:r>
              <w:rPr/>
              <w:t>Officers</w:t>
              <w:tab/>
              <w:t>40</w:t>
            </w:r>
          </w:hyperlink>
        </w:p>
        <w:p>
          <w:pPr>
            <w:pStyle w:val="TOC1"/>
            <w:tabs>
              <w:tab w:pos="9519" w:val="right" w:leader="dot"/>
            </w:tabs>
          </w:pPr>
          <w:hyperlink w:history="true" w:anchor="_TOC_250000">
            <w:r>
              <w:rPr/>
              <w:t>Dedication</w:t>
              <w:tab/>
              <w:t>42</w:t>
            </w:r>
          </w:hyperlink>
        </w:p>
      </w:sdtContent>
    </w:sdt>
    <w:p>
      <w:pPr>
        <w:spacing w:after="0"/>
        <w:sectPr>
          <w:headerReference w:type="default" r:id="rId8"/>
          <w:footerReference w:type="default" r:id="rId9"/>
          <w:pgSz w:w="12240" w:h="15840"/>
          <w:pgMar w:header="725" w:footer="746" w:top="940" w:bottom="940" w:left="1640" w:right="920"/>
          <w:pgNumType w:start="2"/>
        </w:sectPr>
      </w:pPr>
    </w:p>
    <w:p>
      <w:pPr>
        <w:pStyle w:val="Heading1"/>
        <w:spacing w:before="603"/>
      </w:pPr>
      <w:r>
        <w:rPr/>
        <w:pict>
          <v:line style="position:absolute;mso-position-horizontal-relative:page;mso-position-vertical-relative:paragraph;z-index:1096" from="88.559998pt,53.51379pt" to="559.439998pt,53.51379pt" stroked="true" strokeweight="1.44pt" strokecolor="#000000">
            <v:stroke dashstyle="solid"/>
            <w10:wrap type="none"/>
          </v:line>
        </w:pict>
      </w:r>
      <w:bookmarkStart w:name="_TOC_250019" w:id="2"/>
      <w:bookmarkEnd w:id="2"/>
      <w:r>
        <w:rPr/>
        <w:t>Consolidated Highlights</w:t>
      </w:r>
    </w:p>
    <w:p>
      <w:pPr>
        <w:pStyle w:val="BodyText"/>
        <w:spacing w:before="552"/>
        <w:ind w:left="880"/>
      </w:pPr>
      <w:r>
        <w:rPr/>
        <w:t>(Dollars in thousands except per share amounts)</w:t>
      </w:r>
    </w:p>
    <w:p>
      <w:pPr>
        <w:pStyle w:val="BodyText"/>
        <w:spacing w:before="2" w:after="1"/>
        <w:rPr>
          <w:sz w:val="21"/>
        </w:rPr>
      </w:pPr>
    </w:p>
    <w:tbl>
      <w:tblPr>
        <w:tblW w:w="0" w:type="auto"/>
        <w:jc w:val="left"/>
        <w:tblInd w:w="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40"/>
        <w:gridCol w:w="1440"/>
        <w:gridCol w:w="1442"/>
      </w:tblGrid>
      <w:tr>
        <w:trPr>
          <w:trHeight w:val="329" w:hRule="exact"/>
        </w:trPr>
        <w:tc>
          <w:tcPr>
            <w:tcW w:w="4318" w:type="dxa"/>
            <w:tcBorders>
              <w:bottom w:val="single" w:sz="6" w:space="0" w:color="FFFF00"/>
              <w:right w:val="single" w:sz="6" w:space="0" w:color="FFFF00"/>
            </w:tcBorders>
          </w:tcPr>
          <w:p>
            <w:pPr/>
          </w:p>
        </w:tc>
        <w:tc>
          <w:tcPr>
            <w:tcW w:w="1440" w:type="dxa"/>
            <w:tcBorders>
              <w:left w:val="single" w:sz="6" w:space="0" w:color="FFFF00"/>
              <w:bottom w:val="single" w:sz="6" w:space="0" w:color="FFFF00"/>
              <w:right w:val="single" w:sz="6" w:space="0" w:color="FFFF00"/>
            </w:tcBorders>
          </w:tcPr>
          <w:p>
            <w:pPr>
              <w:pStyle w:val="TableParagraph"/>
              <w:spacing w:before="85"/>
              <w:ind w:left="189" w:right="191"/>
              <w:jc w:val="center"/>
              <w:rPr>
                <w:rFonts w:ascii="Arial"/>
                <w:sz w:val="16"/>
              </w:rPr>
            </w:pPr>
            <w:r>
              <w:rPr>
                <w:rFonts w:ascii="Arial"/>
                <w:sz w:val="16"/>
              </w:rPr>
              <w:t>1994</w:t>
            </w:r>
          </w:p>
        </w:tc>
        <w:tc>
          <w:tcPr>
            <w:tcW w:w="1440" w:type="dxa"/>
            <w:tcBorders>
              <w:left w:val="single" w:sz="6" w:space="0" w:color="FFFF00"/>
              <w:bottom w:val="single" w:sz="6" w:space="0" w:color="FFFF00"/>
              <w:right w:val="single" w:sz="6" w:space="0" w:color="FFFF00"/>
            </w:tcBorders>
          </w:tcPr>
          <w:p>
            <w:pPr>
              <w:pStyle w:val="TableParagraph"/>
              <w:spacing w:before="85"/>
              <w:ind w:left="189" w:right="191"/>
              <w:jc w:val="center"/>
              <w:rPr>
                <w:rFonts w:ascii="Arial"/>
                <w:sz w:val="16"/>
              </w:rPr>
            </w:pPr>
            <w:r>
              <w:rPr>
                <w:rFonts w:ascii="Arial"/>
                <w:sz w:val="16"/>
              </w:rPr>
              <w:t>1993</w:t>
            </w:r>
          </w:p>
        </w:tc>
        <w:tc>
          <w:tcPr>
            <w:tcW w:w="1442" w:type="dxa"/>
            <w:tcBorders>
              <w:left w:val="single" w:sz="6" w:space="0" w:color="FFFF00"/>
              <w:bottom w:val="single" w:sz="6" w:space="0" w:color="FFFF00"/>
            </w:tcBorders>
          </w:tcPr>
          <w:p>
            <w:pPr>
              <w:pStyle w:val="TableParagraph"/>
              <w:spacing w:before="85"/>
              <w:ind w:right="208"/>
              <w:jc w:val="right"/>
              <w:rPr>
                <w:rFonts w:ascii="Arial"/>
                <w:sz w:val="16"/>
              </w:rPr>
            </w:pPr>
            <w:r>
              <w:rPr>
                <w:rFonts w:ascii="Arial"/>
                <w:sz w:val="16"/>
              </w:rPr>
              <w:t>Percent Change</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revenues</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$2,591,933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$2,296,673</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12.9</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expenses</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$2,275,224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$2,004,700</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13.5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income</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$316,709</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$291,973</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8.5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margin</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12.2%</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12.7%</w:t>
            </w:r>
          </w:p>
        </w:tc>
        <w:tc>
          <w:tcPr>
            <w:tcW w:w="1442" w:type="dxa"/>
            <w:tcBorders>
              <w:top w:val="single" w:sz="6" w:space="0" w:color="FFFF00"/>
              <w:left w:val="single" w:sz="6" w:space="0" w:color="FFFF00"/>
              <w:bottom w:val="single" w:sz="6" w:space="0" w:color="FFFF00"/>
            </w:tcBorders>
          </w:tcPr>
          <w:p>
            <w:pPr>
              <w:pStyle w:val="TableParagraph"/>
              <w:ind w:right="185"/>
              <w:jc w:val="right"/>
              <w:rPr>
                <w:sz w:val="20"/>
              </w:rPr>
            </w:pPr>
            <w:r>
              <w:rPr>
                <w:sz w:val="20"/>
              </w:rPr>
              <w:t>(0.5)pts.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13"/>
              </w:rPr>
            </w:pPr>
            <w:r>
              <w:rPr>
                <w:sz w:val="20"/>
              </w:rPr>
              <w:t>Net income </w:t>
            </w:r>
            <w:r>
              <w:rPr>
                <w:position w:val="9"/>
                <w:sz w:val="13"/>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$179,331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$154,284</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16.2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13"/>
              </w:rPr>
            </w:pPr>
            <w:r>
              <w:rPr>
                <w:sz w:val="20"/>
              </w:rPr>
              <w:t>Net margin </w:t>
            </w:r>
            <w:r>
              <w:rPr>
                <w:position w:val="9"/>
                <w:sz w:val="13"/>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6.9%</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6.7%</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0.2pts.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Net income per common and</w:t>
            </w:r>
          </w:p>
        </w:tc>
        <w:tc>
          <w:tcPr>
            <w:tcW w:w="1440" w:type="dxa"/>
            <w:tcBorders>
              <w:top w:val="single" w:sz="6" w:space="0" w:color="FFFF00"/>
              <w:left w:val="single" w:sz="6" w:space="0" w:color="FFFF00"/>
              <w:bottom w:val="single" w:sz="6" w:space="0" w:color="FFFF00"/>
              <w:right w:val="single" w:sz="6" w:space="0" w:color="FFFF00"/>
            </w:tcBorders>
          </w:tcPr>
          <w:p>
            <w:pPr/>
          </w:p>
        </w:tc>
        <w:tc>
          <w:tcPr>
            <w:tcW w:w="1440" w:type="dxa"/>
            <w:tcBorders>
              <w:top w:val="single" w:sz="6" w:space="0" w:color="FFFF00"/>
              <w:left w:val="single" w:sz="6" w:space="0" w:color="FFFF00"/>
              <w:bottom w:val="single" w:sz="6" w:space="0" w:color="FFFF00"/>
              <w:right w:val="single" w:sz="6" w:space="0" w:color="FFFF00"/>
            </w:tcBorders>
          </w:tcPr>
          <w:p>
            <w:pPr/>
          </w:p>
        </w:tc>
        <w:tc>
          <w:tcPr>
            <w:tcW w:w="1442" w:type="dxa"/>
            <w:tcBorders>
              <w:top w:val="single" w:sz="6" w:space="0" w:color="FFFF00"/>
              <w:left w:val="single" w:sz="6" w:space="0" w:color="FFFF00"/>
              <w:bottom w:val="single" w:sz="6" w:space="0" w:color="FFFF00"/>
            </w:tcBorders>
          </w:tcPr>
          <w:p>
            <w:pP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13"/>
              </w:rPr>
            </w:pPr>
            <w:r>
              <w:rPr>
                <w:sz w:val="20"/>
              </w:rPr>
              <w:t>common equivalent share </w:t>
            </w:r>
            <w:r>
              <w:rPr>
                <w:position w:val="9"/>
                <w:sz w:val="13"/>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$1.22</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$1.05</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16.2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Stockholders equity</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$1,238,706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$1,054,019</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17.5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13"/>
              </w:rPr>
            </w:pPr>
            <w:r>
              <w:rPr>
                <w:sz w:val="20"/>
              </w:rPr>
              <w:t>Return on average stockholders equity </w:t>
            </w:r>
            <w:r>
              <w:rPr>
                <w:position w:val="9"/>
                <w:sz w:val="13"/>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15.6%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16.0%</w:t>
            </w:r>
          </w:p>
        </w:tc>
        <w:tc>
          <w:tcPr>
            <w:tcW w:w="1442" w:type="dxa"/>
            <w:tcBorders>
              <w:top w:val="single" w:sz="6" w:space="0" w:color="FFFF00"/>
              <w:left w:val="single" w:sz="6" w:space="0" w:color="FFFF00"/>
              <w:bottom w:val="single" w:sz="6" w:space="0" w:color="FFFF00"/>
            </w:tcBorders>
          </w:tcPr>
          <w:p>
            <w:pPr>
              <w:pStyle w:val="TableParagraph"/>
              <w:ind w:right="185"/>
              <w:jc w:val="right"/>
              <w:rPr>
                <w:sz w:val="20"/>
              </w:rPr>
            </w:pPr>
            <w:r>
              <w:rPr>
                <w:sz w:val="20"/>
              </w:rPr>
              <w:t>(0.4)pts.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Debt as a percentage of invested capital</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32.0%</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37.7%</w:t>
            </w:r>
          </w:p>
        </w:tc>
        <w:tc>
          <w:tcPr>
            <w:tcW w:w="1442" w:type="dxa"/>
            <w:tcBorders>
              <w:top w:val="single" w:sz="6" w:space="0" w:color="FFFF00"/>
              <w:left w:val="single" w:sz="6" w:space="0" w:color="FFFF00"/>
              <w:bottom w:val="single" w:sz="6" w:space="0" w:color="FFFF00"/>
            </w:tcBorders>
          </w:tcPr>
          <w:p>
            <w:pPr>
              <w:pStyle w:val="TableParagraph"/>
              <w:ind w:right="185"/>
              <w:jc w:val="right"/>
              <w:rPr>
                <w:sz w:val="20"/>
              </w:rPr>
            </w:pPr>
            <w:r>
              <w:rPr>
                <w:sz w:val="20"/>
              </w:rPr>
              <w:t>(5.7)pts.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Stockholders equity per common share</w:t>
            </w:r>
          </w:p>
        </w:tc>
        <w:tc>
          <w:tcPr>
            <w:tcW w:w="1440" w:type="dxa"/>
            <w:tcBorders>
              <w:top w:val="single" w:sz="6" w:space="0" w:color="FFFF00"/>
              <w:left w:val="single" w:sz="6" w:space="0" w:color="FFFF00"/>
              <w:bottom w:val="single" w:sz="6" w:space="0" w:color="FFFF00"/>
              <w:right w:val="single" w:sz="6" w:space="0" w:color="FFFF00"/>
            </w:tcBorders>
          </w:tcPr>
          <w:p>
            <w:pPr/>
          </w:p>
        </w:tc>
        <w:tc>
          <w:tcPr>
            <w:tcW w:w="1440" w:type="dxa"/>
            <w:tcBorders>
              <w:top w:val="single" w:sz="6" w:space="0" w:color="FFFF00"/>
              <w:left w:val="single" w:sz="6" w:space="0" w:color="FFFF00"/>
              <w:bottom w:val="single" w:sz="6" w:space="0" w:color="FFFF00"/>
              <w:right w:val="single" w:sz="6" w:space="0" w:color="FFFF00"/>
            </w:tcBorders>
          </w:tcPr>
          <w:p>
            <w:pPr/>
          </w:p>
        </w:tc>
        <w:tc>
          <w:tcPr>
            <w:tcW w:w="1442" w:type="dxa"/>
            <w:tcBorders>
              <w:top w:val="single" w:sz="6" w:space="0" w:color="FFFF00"/>
              <w:left w:val="single" w:sz="6" w:space="0" w:color="FFFF00"/>
              <w:bottom w:val="single" w:sz="6" w:space="0" w:color="FFFF00"/>
            </w:tcBorders>
          </w:tcPr>
          <w:p>
            <w:pP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outstanding</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$8.65</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$7.38</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17.2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Revenue passengers carried</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42,742,602</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36,955,221</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15.7</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Revenue passenger miles (RPM) (000s)</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21,611,266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18,827,288</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14.8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Available seat miles (ASM) (000s)</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32,123,974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4"/>
              <w:jc w:val="right"/>
              <w:rPr>
                <w:sz w:val="20"/>
              </w:rPr>
            </w:pPr>
            <w:r>
              <w:rPr>
                <w:sz w:val="20"/>
              </w:rPr>
              <w:t>27,511,000</w:t>
            </w:r>
          </w:p>
        </w:tc>
        <w:tc>
          <w:tcPr>
            <w:tcW w:w="1442" w:type="dxa"/>
            <w:tcBorders>
              <w:top w:val="single" w:sz="6" w:space="0" w:color="FFFF00"/>
              <w:left w:val="single" w:sz="6" w:space="0" w:color="FFFF00"/>
              <w:bottom w:val="single" w:sz="6" w:space="0" w:color="FFFF00"/>
            </w:tcBorders>
          </w:tcPr>
          <w:p>
            <w:pPr>
              <w:pStyle w:val="TableParagraph"/>
              <w:ind w:right="182"/>
              <w:jc w:val="right"/>
              <w:rPr>
                <w:sz w:val="20"/>
              </w:rPr>
            </w:pPr>
            <w:r>
              <w:rPr>
                <w:sz w:val="20"/>
              </w:rPr>
              <w:t>16.8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Passenger load factor</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67.3%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3"/>
              <w:jc w:val="right"/>
              <w:rPr>
                <w:sz w:val="20"/>
              </w:rPr>
            </w:pPr>
            <w:r>
              <w:rPr>
                <w:sz w:val="20"/>
              </w:rPr>
              <w:t>68.4%</w:t>
            </w:r>
          </w:p>
        </w:tc>
        <w:tc>
          <w:tcPr>
            <w:tcW w:w="1442" w:type="dxa"/>
            <w:tcBorders>
              <w:top w:val="single" w:sz="6" w:space="0" w:color="FFFF00"/>
              <w:left w:val="single" w:sz="6" w:space="0" w:color="FFFF00"/>
              <w:bottom w:val="single" w:sz="6" w:space="0" w:color="FFFF00"/>
            </w:tcBorders>
          </w:tcPr>
          <w:p>
            <w:pPr>
              <w:pStyle w:val="TableParagraph"/>
              <w:ind w:right="184"/>
              <w:jc w:val="right"/>
              <w:rPr>
                <w:sz w:val="20"/>
              </w:rPr>
            </w:pPr>
            <w:r>
              <w:rPr>
                <w:sz w:val="20"/>
              </w:rPr>
              <w:t>(1.1)pts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Passenger revenue yield per RPM</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11.56¢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11.77¢</w:t>
            </w:r>
          </w:p>
        </w:tc>
        <w:tc>
          <w:tcPr>
            <w:tcW w:w="1442" w:type="dxa"/>
            <w:tcBorders>
              <w:top w:val="single" w:sz="6" w:space="0" w:color="FFFF00"/>
              <w:left w:val="single" w:sz="6" w:space="0" w:color="FFFF00"/>
              <w:bottom w:val="single" w:sz="6" w:space="0" w:color="FFFF00"/>
            </w:tcBorders>
          </w:tcPr>
          <w:p>
            <w:pPr>
              <w:pStyle w:val="TableParagraph"/>
              <w:ind w:right="181"/>
              <w:jc w:val="right"/>
              <w:rPr>
                <w:sz w:val="20"/>
              </w:rPr>
            </w:pPr>
            <w:r>
              <w:rPr>
                <w:sz w:val="20"/>
              </w:rPr>
              <w:t>(1.8)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revenue yield per ASM</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8.07¢</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8.35¢</w:t>
            </w:r>
          </w:p>
        </w:tc>
        <w:tc>
          <w:tcPr>
            <w:tcW w:w="1442" w:type="dxa"/>
            <w:tcBorders>
              <w:top w:val="single" w:sz="6" w:space="0" w:color="FFFF00"/>
              <w:left w:val="single" w:sz="6" w:space="0" w:color="FFFF00"/>
              <w:bottom w:val="single" w:sz="6" w:space="0" w:color="FFFF00"/>
            </w:tcBorders>
          </w:tcPr>
          <w:p>
            <w:pPr>
              <w:pStyle w:val="TableParagraph"/>
              <w:ind w:right="181"/>
              <w:jc w:val="right"/>
              <w:rPr>
                <w:sz w:val="20"/>
              </w:rPr>
            </w:pPr>
            <w:r>
              <w:rPr>
                <w:sz w:val="20"/>
              </w:rPr>
              <w:t>(3.4)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Operating expenses per ASM</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7.08¢</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right="182"/>
              <w:jc w:val="right"/>
              <w:rPr>
                <w:sz w:val="20"/>
              </w:rPr>
            </w:pPr>
            <w:r>
              <w:rPr>
                <w:sz w:val="20"/>
              </w:rPr>
              <w:t>7.25¢</w:t>
            </w:r>
          </w:p>
        </w:tc>
        <w:tc>
          <w:tcPr>
            <w:tcW w:w="1442" w:type="dxa"/>
            <w:tcBorders>
              <w:top w:val="single" w:sz="6" w:space="0" w:color="FFFF00"/>
              <w:left w:val="single" w:sz="6" w:space="0" w:color="FFFF00"/>
              <w:bottom w:val="single" w:sz="6" w:space="0" w:color="FFFF00"/>
            </w:tcBorders>
          </w:tcPr>
          <w:p>
            <w:pPr>
              <w:pStyle w:val="TableParagraph"/>
              <w:ind w:right="181"/>
              <w:jc w:val="right"/>
              <w:rPr>
                <w:sz w:val="20"/>
              </w:rPr>
            </w:pPr>
            <w:r>
              <w:rPr>
                <w:sz w:val="20"/>
              </w:rPr>
              <w:t>(2.3)</w:t>
            </w:r>
          </w:p>
        </w:tc>
      </w:tr>
      <w:tr>
        <w:trPr>
          <w:trHeight w:val="324" w:hRule="exact"/>
        </w:trPr>
        <w:tc>
          <w:tcPr>
            <w:tcW w:w="4318" w:type="dxa"/>
            <w:tcBorders>
              <w:top w:val="single" w:sz="6" w:space="0" w:color="FFFF00"/>
              <w:right w:val="single" w:sz="6" w:space="0" w:color="FFFF00"/>
            </w:tcBorders>
          </w:tcPr>
          <w:p>
            <w:pPr>
              <w:pStyle w:val="TableParagraph"/>
              <w:spacing w:line="226" w:lineRule="exact" w:before="0"/>
              <w:ind w:left="187"/>
              <w:rPr>
                <w:sz w:val="20"/>
              </w:rPr>
            </w:pPr>
            <w:r>
              <w:rPr>
                <w:sz w:val="20"/>
              </w:rPr>
              <w:t>Number of Employees at yearend</w:t>
            </w:r>
          </w:p>
        </w:tc>
        <w:tc>
          <w:tcPr>
            <w:tcW w:w="1440" w:type="dxa"/>
            <w:tcBorders>
              <w:top w:val="single" w:sz="6" w:space="0" w:color="FFFF00"/>
              <w:left w:val="single" w:sz="6" w:space="0" w:color="FFFF00"/>
              <w:right w:val="single" w:sz="6" w:space="0" w:color="FFFF00"/>
            </w:tcBorders>
          </w:tcPr>
          <w:p>
            <w:pPr>
              <w:pStyle w:val="TableParagraph"/>
              <w:ind w:right="182"/>
              <w:jc w:val="right"/>
              <w:rPr>
                <w:sz w:val="20"/>
              </w:rPr>
            </w:pPr>
            <w:r>
              <w:rPr>
                <w:sz w:val="20"/>
              </w:rPr>
              <w:t>16,818</w:t>
            </w:r>
          </w:p>
        </w:tc>
        <w:tc>
          <w:tcPr>
            <w:tcW w:w="1440" w:type="dxa"/>
            <w:tcBorders>
              <w:top w:val="single" w:sz="6" w:space="0" w:color="FFFF00"/>
              <w:left w:val="single" w:sz="6" w:space="0" w:color="FFFF00"/>
              <w:right w:val="single" w:sz="6" w:space="0" w:color="FFFF00"/>
            </w:tcBorders>
          </w:tcPr>
          <w:p>
            <w:pPr>
              <w:pStyle w:val="TableParagraph"/>
              <w:ind w:right="182"/>
              <w:jc w:val="right"/>
              <w:rPr>
                <w:sz w:val="20"/>
              </w:rPr>
            </w:pPr>
            <w:r>
              <w:rPr>
                <w:sz w:val="20"/>
              </w:rPr>
              <w:t>15,175</w:t>
            </w:r>
          </w:p>
        </w:tc>
        <w:tc>
          <w:tcPr>
            <w:tcW w:w="1442" w:type="dxa"/>
            <w:tcBorders>
              <w:top w:val="single" w:sz="6" w:space="0" w:color="FFFF00"/>
              <w:left w:val="single" w:sz="6" w:space="0" w:color="FFFF00"/>
            </w:tcBorders>
          </w:tcPr>
          <w:p>
            <w:pPr>
              <w:pStyle w:val="TableParagraph"/>
              <w:ind w:right="182"/>
              <w:jc w:val="right"/>
              <w:rPr>
                <w:sz w:val="20"/>
              </w:rPr>
            </w:pPr>
            <w:r>
              <w:rPr>
                <w:sz w:val="20"/>
              </w:rPr>
              <w:t>10.8</w:t>
            </w:r>
          </w:p>
        </w:tc>
      </w:tr>
    </w:tbl>
    <w:p>
      <w:pPr>
        <w:spacing w:before="123"/>
        <w:ind w:left="1240" w:right="0" w:firstLine="0"/>
        <w:jc w:val="left"/>
        <w:rPr>
          <w:rFonts w:ascii="Arial"/>
          <w:sz w:val="16"/>
        </w:rPr>
      </w:pPr>
      <w:r>
        <w:rPr>
          <w:rFonts w:ascii="Arial"/>
          <w:sz w:val="16"/>
        </w:rPr>
        <w:t>(1)  1993 amounts exclude cumulative effect of accounting changes</w:t>
      </w:r>
    </w:p>
    <w:p>
      <w:pPr>
        <w:spacing w:after="0"/>
        <w:jc w:val="left"/>
        <w:rPr>
          <w:rFonts w:ascii="Arial"/>
          <w:sz w:val="16"/>
        </w:rPr>
        <w:sectPr>
          <w:headerReference w:type="default" r:id="rId10"/>
          <w:pgSz w:w="12240" w:h="15840"/>
          <w:pgMar w:header="725" w:footer="746" w:top="940" w:bottom="940" w:left="1640" w:right="920"/>
        </w:sectPr>
      </w:pPr>
    </w:p>
    <w:p>
      <w:pPr>
        <w:pStyle w:val="BodyText"/>
        <w:rPr>
          <w:rFonts w:ascii="Arial"/>
        </w:rPr>
      </w:pPr>
    </w:p>
    <w:p>
      <w:pPr>
        <w:pStyle w:val="BodyText"/>
        <w:rPr>
          <w:rFonts w:ascii="Arial"/>
        </w:rPr>
      </w:pPr>
    </w:p>
    <w:p>
      <w:pPr>
        <w:spacing w:after="0"/>
        <w:rPr>
          <w:rFonts w:ascii="Arial"/>
        </w:rPr>
        <w:sectPr>
          <w:pgSz w:w="12240" w:h="15840"/>
          <w:pgMar w:header="725" w:footer="746" w:top="940" w:bottom="940" w:left="1700" w:right="960"/>
        </w:sectPr>
      </w:pPr>
    </w:p>
    <w:p>
      <w:pPr>
        <w:pStyle w:val="BodyText"/>
        <w:spacing w:before="10"/>
        <w:rPr>
          <w:rFonts w:ascii="Arial"/>
          <w:sz w:val="23"/>
        </w:rPr>
      </w:pPr>
    </w:p>
    <w:p>
      <w:pPr>
        <w:pStyle w:val="Heading2"/>
        <w:ind w:left="819"/>
      </w:pPr>
      <w:r>
        <w:rPr/>
        <w:drawing>
          <wp:anchor distT="0" distB="0" distL="0" distR="0" allowOverlap="1" layoutInCell="1" locked="0" behindDoc="1" simplePos="0" relativeHeight="268312703">
            <wp:simplePos x="0" y="0"/>
            <wp:positionH relativeFrom="page">
              <wp:posOffset>1598675</wp:posOffset>
            </wp:positionH>
            <wp:positionV relativeFrom="paragraph">
              <wp:posOffset>210564</wp:posOffset>
            </wp:positionV>
            <wp:extent cx="3675888" cy="1173480"/>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3675888" cy="1173480"/>
                    </a:xfrm>
                    <a:prstGeom prst="rect">
                      <a:avLst/>
                    </a:prstGeom>
                  </pic:spPr>
                </pic:pic>
              </a:graphicData>
            </a:graphic>
          </wp:anchor>
        </w:drawing>
      </w:r>
      <w:r>
        <w:rPr/>
        <w:t>Net Income</w:t>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10"/>
        <w:rPr>
          <w:rFonts w:ascii="Arial"/>
          <w:b/>
          <w:sz w:val="23"/>
        </w:rPr>
      </w:pPr>
    </w:p>
    <w:p>
      <w:pPr>
        <w:pStyle w:val="BodyText"/>
        <w:ind w:right="193"/>
        <w:jc w:val="right"/>
        <w:rPr>
          <w:rFonts w:ascii="Arial"/>
        </w:rPr>
      </w:pPr>
      <w:r>
        <w:rPr>
          <w:rFonts w:ascii="Arial"/>
        </w:rPr>
        <w:t>$51</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8"/>
        <w:rPr>
          <w:rFonts w:ascii="Arial"/>
          <w:sz w:val="31"/>
        </w:rPr>
      </w:pPr>
    </w:p>
    <w:p>
      <w:pPr>
        <w:pStyle w:val="BodyText"/>
        <w:ind w:left="512"/>
        <w:rPr>
          <w:rFonts w:ascii="Arial"/>
        </w:rPr>
      </w:pPr>
      <w:r>
        <w:rPr>
          <w:rFonts w:ascii="Arial"/>
          <w:spacing w:val="-1"/>
        </w:rPr>
        <w:t>$33</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4"/>
        <w:rPr>
          <w:rFonts w:ascii="Arial"/>
          <w:sz w:val="22"/>
        </w:rPr>
      </w:pPr>
    </w:p>
    <w:p>
      <w:pPr>
        <w:pStyle w:val="BodyText"/>
        <w:jc w:val="right"/>
        <w:rPr>
          <w:rFonts w:ascii="Arial"/>
        </w:rPr>
      </w:pPr>
      <w:r>
        <w:rPr>
          <w:rFonts w:ascii="Arial"/>
        </w:rPr>
        <w:t>$97</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spacing w:before="7"/>
        <w:rPr>
          <w:rFonts w:ascii="Arial"/>
          <w:sz w:val="19"/>
        </w:rPr>
      </w:pPr>
    </w:p>
    <w:p>
      <w:pPr>
        <w:pStyle w:val="BodyText"/>
        <w:ind w:left="650"/>
        <w:rPr>
          <w:rFonts w:ascii="Arial"/>
        </w:rPr>
      </w:pPr>
      <w:r>
        <w:rPr>
          <w:rFonts w:ascii="Arial"/>
          <w:spacing w:val="-1"/>
        </w:rPr>
        <w:t>$154</w:t>
      </w:r>
    </w:p>
    <w:p>
      <w:pPr>
        <w:pStyle w:val="BodyText"/>
        <w:rPr>
          <w:rFonts w:ascii="Arial"/>
          <w:sz w:val="22"/>
        </w:rPr>
      </w:pPr>
      <w:r>
        <w:rPr/>
        <w:br w:type="column"/>
      </w:r>
      <w:r>
        <w:rPr>
          <w:rFonts w:ascii="Arial"/>
          <w:sz w:val="22"/>
        </w:rPr>
      </w:r>
    </w:p>
    <w:p>
      <w:pPr>
        <w:pStyle w:val="BodyText"/>
        <w:spacing w:before="3"/>
        <w:rPr>
          <w:rFonts w:ascii="Arial"/>
          <w:sz w:val="32"/>
        </w:rPr>
      </w:pPr>
    </w:p>
    <w:p>
      <w:pPr>
        <w:pStyle w:val="BodyText"/>
        <w:spacing w:before="1"/>
        <w:ind w:left="597"/>
        <w:rPr>
          <w:rFonts w:ascii="Arial"/>
        </w:rPr>
      </w:pPr>
      <w:r>
        <w:rPr>
          <w:rFonts w:ascii="Arial"/>
          <w:spacing w:val="-1"/>
        </w:rPr>
        <w:t>$179</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9"/>
        <w:rPr>
          <w:rFonts w:ascii="Arial"/>
          <w:sz w:val="25"/>
        </w:rPr>
      </w:pPr>
    </w:p>
    <w:p>
      <w:pPr>
        <w:pStyle w:val="BodyText"/>
        <w:ind w:left="501"/>
        <w:rPr>
          <w:rFonts w:ascii="Arial"/>
        </w:rPr>
      </w:pPr>
      <w:r>
        <w:rPr/>
        <w:drawing>
          <wp:anchor distT="0" distB="0" distL="0" distR="0" allowOverlap="1" layoutInCell="1" locked="0" behindDoc="1" simplePos="0" relativeHeight="268313087">
            <wp:simplePos x="0" y="0"/>
            <wp:positionH relativeFrom="page">
              <wp:posOffset>5335523</wp:posOffset>
            </wp:positionH>
            <wp:positionV relativeFrom="paragraph">
              <wp:posOffset>117600</wp:posOffset>
            </wp:positionV>
            <wp:extent cx="3048" cy="3048"/>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111">
            <wp:simplePos x="0" y="0"/>
            <wp:positionH relativeFrom="page">
              <wp:posOffset>5417820</wp:posOffset>
            </wp:positionH>
            <wp:positionV relativeFrom="paragraph">
              <wp:posOffset>117600</wp:posOffset>
            </wp:positionV>
            <wp:extent cx="3048" cy="3048"/>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135">
            <wp:simplePos x="0" y="0"/>
            <wp:positionH relativeFrom="page">
              <wp:posOffset>5500115</wp:posOffset>
            </wp:positionH>
            <wp:positionV relativeFrom="paragraph">
              <wp:posOffset>117600</wp:posOffset>
            </wp:positionV>
            <wp:extent cx="3048" cy="3048"/>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159">
            <wp:simplePos x="0" y="0"/>
            <wp:positionH relativeFrom="page">
              <wp:posOffset>5582411</wp:posOffset>
            </wp:positionH>
            <wp:positionV relativeFrom="paragraph">
              <wp:posOffset>117600</wp:posOffset>
            </wp:positionV>
            <wp:extent cx="3048" cy="3048"/>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183">
            <wp:simplePos x="0" y="0"/>
            <wp:positionH relativeFrom="page">
              <wp:posOffset>5664708</wp:posOffset>
            </wp:positionH>
            <wp:positionV relativeFrom="paragraph">
              <wp:posOffset>117600</wp:posOffset>
            </wp:positionV>
            <wp:extent cx="3048" cy="3048"/>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$175</w:t>
      </w:r>
    </w:p>
    <w:p>
      <w:pPr>
        <w:pStyle w:val="BodyText"/>
        <w:spacing w:before="130"/>
        <w:ind w:left="501"/>
        <w:rPr>
          <w:rFonts w:ascii="Arial"/>
        </w:rPr>
      </w:pPr>
      <w:r>
        <w:rPr/>
        <w:drawing>
          <wp:anchor distT="0" distB="0" distL="0" distR="0" allowOverlap="1" layoutInCell="1" locked="0" behindDoc="1" simplePos="0" relativeHeight="268312967">
            <wp:simplePos x="0" y="0"/>
            <wp:positionH relativeFrom="page">
              <wp:posOffset>5335523</wp:posOffset>
            </wp:positionH>
            <wp:positionV relativeFrom="paragraph">
              <wp:posOffset>200150</wp:posOffset>
            </wp:positionV>
            <wp:extent cx="3048" cy="3048"/>
            <wp:effectExtent l="0" t="0" r="0" b="0"/>
            <wp:wrapNone/>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991">
            <wp:simplePos x="0" y="0"/>
            <wp:positionH relativeFrom="page">
              <wp:posOffset>5417820</wp:posOffset>
            </wp:positionH>
            <wp:positionV relativeFrom="paragraph">
              <wp:posOffset>200150</wp:posOffset>
            </wp:positionV>
            <wp:extent cx="3048" cy="3048"/>
            <wp:effectExtent l="0" t="0" r="0" b="0"/>
            <wp:wrapNone/>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015">
            <wp:simplePos x="0" y="0"/>
            <wp:positionH relativeFrom="page">
              <wp:posOffset>5500115</wp:posOffset>
            </wp:positionH>
            <wp:positionV relativeFrom="paragraph">
              <wp:posOffset>200150</wp:posOffset>
            </wp:positionV>
            <wp:extent cx="3048" cy="3048"/>
            <wp:effectExtent l="0" t="0" r="0" b="0"/>
            <wp:wrapNone/>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039">
            <wp:simplePos x="0" y="0"/>
            <wp:positionH relativeFrom="page">
              <wp:posOffset>5582411</wp:posOffset>
            </wp:positionH>
            <wp:positionV relativeFrom="paragraph">
              <wp:posOffset>200150</wp:posOffset>
            </wp:positionV>
            <wp:extent cx="3048" cy="3048"/>
            <wp:effectExtent l="0" t="0" r="0" b="0"/>
            <wp:wrapNone/>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063">
            <wp:simplePos x="0" y="0"/>
            <wp:positionH relativeFrom="page">
              <wp:posOffset>5664708</wp:posOffset>
            </wp:positionH>
            <wp:positionV relativeFrom="paragraph">
              <wp:posOffset>200150</wp:posOffset>
            </wp:positionV>
            <wp:extent cx="3048" cy="3048"/>
            <wp:effectExtent l="0" t="0" r="0" b="0"/>
            <wp:wrapNone/>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$150</w:t>
      </w:r>
    </w:p>
    <w:p>
      <w:pPr>
        <w:pStyle w:val="BodyText"/>
        <w:spacing w:before="130"/>
        <w:ind w:left="501"/>
        <w:rPr>
          <w:rFonts w:ascii="Arial"/>
        </w:rPr>
      </w:pPr>
      <w:r>
        <w:rPr/>
        <w:drawing>
          <wp:anchor distT="0" distB="0" distL="0" distR="0" allowOverlap="1" layoutInCell="1" locked="0" behindDoc="1" simplePos="0" relativeHeight="268312847">
            <wp:simplePos x="0" y="0"/>
            <wp:positionH relativeFrom="page">
              <wp:posOffset>5335523</wp:posOffset>
            </wp:positionH>
            <wp:positionV relativeFrom="paragraph">
              <wp:posOffset>200150</wp:posOffset>
            </wp:positionV>
            <wp:extent cx="3048" cy="3048"/>
            <wp:effectExtent l="0" t="0" r="0" b="0"/>
            <wp:wrapNone/>
            <wp:docPr id="25" name="image4.png" descr=""/>
            <wp:cNvGraphicFramePr>
              <a:graphicFrameLocks noChangeAspect="1"/>
            </wp:cNvGraphicFramePr>
            <a:graphic>
              <a:graphicData uri="http://schemas.openxmlformats.org/drawingml/2006/picture">
                <pic:pic>
                  <pic:nvPicPr>
                    <pic:cNvPr id="26"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871">
            <wp:simplePos x="0" y="0"/>
            <wp:positionH relativeFrom="page">
              <wp:posOffset>5417820</wp:posOffset>
            </wp:positionH>
            <wp:positionV relativeFrom="paragraph">
              <wp:posOffset>200150</wp:posOffset>
            </wp:positionV>
            <wp:extent cx="3048" cy="3048"/>
            <wp:effectExtent l="0" t="0" r="0" b="0"/>
            <wp:wrapNone/>
            <wp:docPr id="27" name="image4.png" descr=""/>
            <wp:cNvGraphicFramePr>
              <a:graphicFrameLocks noChangeAspect="1"/>
            </wp:cNvGraphicFramePr>
            <a:graphic>
              <a:graphicData uri="http://schemas.openxmlformats.org/drawingml/2006/picture">
                <pic:pic>
                  <pic:nvPicPr>
                    <pic:cNvPr id="2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895">
            <wp:simplePos x="0" y="0"/>
            <wp:positionH relativeFrom="page">
              <wp:posOffset>5500115</wp:posOffset>
            </wp:positionH>
            <wp:positionV relativeFrom="paragraph">
              <wp:posOffset>200150</wp:posOffset>
            </wp:positionV>
            <wp:extent cx="3048" cy="3048"/>
            <wp:effectExtent l="0" t="0" r="0" b="0"/>
            <wp:wrapNone/>
            <wp:docPr id="29" name="image4.png" descr=""/>
            <wp:cNvGraphicFramePr>
              <a:graphicFrameLocks noChangeAspect="1"/>
            </wp:cNvGraphicFramePr>
            <a:graphic>
              <a:graphicData uri="http://schemas.openxmlformats.org/drawingml/2006/picture">
                <pic:pic>
                  <pic:nvPicPr>
                    <pic:cNvPr id="3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919">
            <wp:simplePos x="0" y="0"/>
            <wp:positionH relativeFrom="page">
              <wp:posOffset>5582411</wp:posOffset>
            </wp:positionH>
            <wp:positionV relativeFrom="paragraph">
              <wp:posOffset>200150</wp:posOffset>
            </wp:positionV>
            <wp:extent cx="3048" cy="3048"/>
            <wp:effectExtent l="0" t="0" r="0" b="0"/>
            <wp:wrapNone/>
            <wp:docPr id="31" name="image4.png" descr=""/>
            <wp:cNvGraphicFramePr>
              <a:graphicFrameLocks noChangeAspect="1"/>
            </wp:cNvGraphicFramePr>
            <a:graphic>
              <a:graphicData uri="http://schemas.openxmlformats.org/drawingml/2006/picture">
                <pic:pic>
                  <pic:nvPicPr>
                    <pic:cNvPr id="3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943">
            <wp:simplePos x="0" y="0"/>
            <wp:positionH relativeFrom="page">
              <wp:posOffset>5664708</wp:posOffset>
            </wp:positionH>
            <wp:positionV relativeFrom="paragraph">
              <wp:posOffset>200150</wp:posOffset>
            </wp:positionV>
            <wp:extent cx="3048" cy="3048"/>
            <wp:effectExtent l="0" t="0" r="0" b="0"/>
            <wp:wrapNone/>
            <wp:docPr id="33" name="image4.png" descr=""/>
            <wp:cNvGraphicFramePr>
              <a:graphicFrameLocks noChangeAspect="1"/>
            </wp:cNvGraphicFramePr>
            <a:graphic>
              <a:graphicData uri="http://schemas.openxmlformats.org/drawingml/2006/picture">
                <pic:pic>
                  <pic:nvPicPr>
                    <pic:cNvPr id="34"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$100</w:t>
      </w:r>
    </w:p>
    <w:p>
      <w:pPr>
        <w:pStyle w:val="BodyText"/>
        <w:tabs>
          <w:tab w:pos="844" w:val="left" w:leader="none"/>
        </w:tabs>
        <w:spacing w:before="130"/>
        <w:ind w:left="501"/>
        <w:rPr>
          <w:rFonts w:ascii="Arial"/>
        </w:rPr>
      </w:pPr>
      <w:r>
        <w:rPr/>
        <w:drawing>
          <wp:anchor distT="0" distB="0" distL="0" distR="0" allowOverlap="1" layoutInCell="1" locked="0" behindDoc="1" simplePos="0" relativeHeight="268312727">
            <wp:simplePos x="0" y="0"/>
            <wp:positionH relativeFrom="page">
              <wp:posOffset>5335523</wp:posOffset>
            </wp:positionH>
            <wp:positionV relativeFrom="paragraph">
              <wp:posOffset>200150</wp:posOffset>
            </wp:positionV>
            <wp:extent cx="3048" cy="3048"/>
            <wp:effectExtent l="0" t="0" r="0" b="0"/>
            <wp:wrapNone/>
            <wp:docPr id="35" name="image4.png" descr=""/>
            <wp:cNvGraphicFramePr>
              <a:graphicFrameLocks noChangeAspect="1"/>
            </wp:cNvGraphicFramePr>
            <a:graphic>
              <a:graphicData uri="http://schemas.openxmlformats.org/drawingml/2006/picture">
                <pic:pic>
                  <pic:nvPicPr>
                    <pic:cNvPr id="36"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751">
            <wp:simplePos x="0" y="0"/>
            <wp:positionH relativeFrom="page">
              <wp:posOffset>5417820</wp:posOffset>
            </wp:positionH>
            <wp:positionV relativeFrom="paragraph">
              <wp:posOffset>200150</wp:posOffset>
            </wp:positionV>
            <wp:extent cx="3048" cy="3048"/>
            <wp:effectExtent l="0" t="0" r="0" b="0"/>
            <wp:wrapNone/>
            <wp:docPr id="37" name="image4.png" descr=""/>
            <wp:cNvGraphicFramePr>
              <a:graphicFrameLocks noChangeAspect="1"/>
            </wp:cNvGraphicFramePr>
            <a:graphic>
              <a:graphicData uri="http://schemas.openxmlformats.org/drawingml/2006/picture">
                <pic:pic>
                  <pic:nvPicPr>
                    <pic:cNvPr id="3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775">
            <wp:simplePos x="0" y="0"/>
            <wp:positionH relativeFrom="page">
              <wp:posOffset>5500115</wp:posOffset>
            </wp:positionH>
            <wp:positionV relativeFrom="paragraph">
              <wp:posOffset>200150</wp:posOffset>
            </wp:positionV>
            <wp:extent cx="3048" cy="3048"/>
            <wp:effectExtent l="0" t="0" r="0" b="0"/>
            <wp:wrapNone/>
            <wp:docPr id="39" name="image4.png" descr=""/>
            <wp:cNvGraphicFramePr>
              <a:graphicFrameLocks noChangeAspect="1"/>
            </wp:cNvGraphicFramePr>
            <a:graphic>
              <a:graphicData uri="http://schemas.openxmlformats.org/drawingml/2006/picture">
                <pic:pic>
                  <pic:nvPicPr>
                    <pic:cNvPr id="4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799">
            <wp:simplePos x="0" y="0"/>
            <wp:positionH relativeFrom="page">
              <wp:posOffset>5582411</wp:posOffset>
            </wp:positionH>
            <wp:positionV relativeFrom="paragraph">
              <wp:posOffset>200150</wp:posOffset>
            </wp:positionV>
            <wp:extent cx="3048" cy="3048"/>
            <wp:effectExtent l="0" t="0" r="0" b="0"/>
            <wp:wrapNone/>
            <wp:docPr id="41" name="image4.png" descr=""/>
            <wp:cNvGraphicFramePr>
              <a:graphicFrameLocks noChangeAspect="1"/>
            </wp:cNvGraphicFramePr>
            <a:graphic>
              <a:graphicData uri="http://schemas.openxmlformats.org/drawingml/2006/picture">
                <pic:pic>
                  <pic:nvPicPr>
                    <pic:cNvPr id="4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2823">
            <wp:simplePos x="0" y="0"/>
            <wp:positionH relativeFrom="page">
              <wp:posOffset>5664708</wp:posOffset>
            </wp:positionH>
            <wp:positionV relativeFrom="paragraph">
              <wp:posOffset>200150</wp:posOffset>
            </wp:positionV>
            <wp:extent cx="3048" cy="3048"/>
            <wp:effectExtent l="0" t="0" r="0" b="0"/>
            <wp:wrapNone/>
            <wp:docPr id="43" name="image4.png" descr=""/>
            <wp:cNvGraphicFramePr>
              <a:graphicFrameLocks noChangeAspect="1"/>
            </wp:cNvGraphicFramePr>
            <a:graphic>
              <a:graphicData uri="http://schemas.openxmlformats.org/drawingml/2006/picture">
                <pic:pic>
                  <pic:nvPicPr>
                    <pic:cNvPr id="44"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ab/>
        <w:t>$50</w:t>
      </w:r>
    </w:p>
    <w:p>
      <w:pPr>
        <w:spacing w:after="0"/>
        <w:rPr>
          <w:rFonts w:ascii="Arial"/>
        </w:rPr>
        <w:sectPr>
          <w:type w:val="continuous"/>
          <w:pgSz w:w="12240" w:h="15840"/>
          <w:pgMar w:top="1420" w:bottom="280" w:left="1700" w:right="960"/>
          <w:cols w:num="6" w:equalWidth="0">
            <w:col w:w="1905" w:space="40"/>
            <w:col w:w="845" w:space="40"/>
            <w:col w:w="1041" w:space="40"/>
            <w:col w:w="1093" w:space="40"/>
            <w:col w:w="1040" w:space="40"/>
            <w:col w:w="3456"/>
          </w:cols>
        </w:sectPr>
      </w:pPr>
    </w:p>
    <w:p>
      <w:pPr>
        <w:pStyle w:val="BodyText"/>
        <w:spacing w:before="10"/>
        <w:rPr>
          <w:rFonts w:ascii="Arial"/>
          <w:sz w:val="26"/>
        </w:rPr>
      </w:pPr>
    </w:p>
    <w:p>
      <w:pPr>
        <w:spacing w:after="0"/>
        <w:rPr>
          <w:rFonts w:ascii="Arial"/>
          <w:sz w:val="26"/>
        </w:rPr>
        <w:sectPr>
          <w:type w:val="continuous"/>
          <w:pgSz w:w="12240" w:h="15840"/>
          <w:pgMar w:top="1420" w:bottom="280" w:left="1700" w:right="96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spacing w:before="3"/>
        <w:rPr>
          <w:rFonts w:ascii="Arial"/>
          <w:sz w:val="9"/>
        </w:rPr>
      </w:pPr>
    </w:p>
    <w:p>
      <w:pPr>
        <w:spacing w:after="0"/>
        <w:rPr>
          <w:rFonts w:ascii="Arial"/>
          <w:sz w:val="9"/>
        </w:rPr>
        <w:sectPr>
          <w:type w:val="continuous"/>
          <w:pgSz w:w="12240" w:h="15840"/>
          <w:pgMar w:top="1420" w:bottom="280" w:left="1700" w:right="960"/>
        </w:sectPr>
      </w:pPr>
    </w:p>
    <w:p>
      <w:pPr>
        <w:pStyle w:val="Heading2"/>
        <w:spacing w:before="95"/>
        <w:ind w:left="0"/>
        <w:jc w:val="right"/>
      </w:pPr>
      <w:r>
        <w:rPr/>
        <w:drawing>
          <wp:anchor distT="0" distB="0" distL="0" distR="0" allowOverlap="1" layoutInCell="1" locked="0" behindDoc="1" simplePos="0" relativeHeight="268313207">
            <wp:simplePos x="0" y="0"/>
            <wp:positionH relativeFrom="page">
              <wp:posOffset>1598675</wp:posOffset>
            </wp:positionH>
            <wp:positionV relativeFrom="paragraph">
              <wp:posOffset>371473</wp:posOffset>
            </wp:positionV>
            <wp:extent cx="3675888" cy="1170431"/>
            <wp:effectExtent l="0" t="0" r="0" b="0"/>
            <wp:wrapNone/>
            <wp:docPr id="45" name="image5.png" descr=""/>
            <wp:cNvGraphicFramePr>
              <a:graphicFrameLocks noChangeAspect="1"/>
            </wp:cNvGraphicFramePr>
            <a:graphic>
              <a:graphicData uri="http://schemas.openxmlformats.org/drawingml/2006/picture">
                <pic:pic>
                  <pic:nvPicPr>
                    <pic:cNvPr id="46" name="image5.png"/>
                    <pic:cNvPicPr/>
                  </pic:nvPicPr>
                  <pic:blipFill>
                    <a:blip r:embed="rId13" cstate="print"/>
                    <a:stretch>
                      <a:fillRect/>
                    </a:stretch>
                  </pic:blipFill>
                  <pic:spPr>
                    <a:xfrm>
                      <a:off x="0" y="0"/>
                      <a:ext cx="3675888" cy="1170431"/>
                    </a:xfrm>
                    <a:prstGeom prst="rect">
                      <a:avLst/>
                    </a:prstGeom>
                  </pic:spPr>
                </pic:pic>
              </a:graphicData>
            </a:graphic>
          </wp:anchor>
        </w:drawing>
      </w:r>
      <w:r>
        <w:rPr/>
        <w:t>Net Income per Share</w:t>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9"/>
        <w:rPr>
          <w:rFonts w:ascii="Arial"/>
          <w:b/>
          <w:sz w:val="21"/>
        </w:rPr>
      </w:pPr>
    </w:p>
    <w:p>
      <w:pPr>
        <w:pStyle w:val="BodyText"/>
        <w:spacing w:line="206" w:lineRule="exact"/>
        <w:ind w:left="1270" w:right="1077"/>
        <w:jc w:val="center"/>
        <w:rPr>
          <w:rFonts w:ascii="Arial"/>
        </w:rPr>
      </w:pPr>
      <w:r>
        <w:rPr>
          <w:rFonts w:ascii="Arial"/>
        </w:rPr>
        <w:t>$0.39</w:t>
      </w:r>
    </w:p>
    <w:p>
      <w:pPr>
        <w:pStyle w:val="BodyText"/>
        <w:spacing w:line="206" w:lineRule="exact"/>
        <w:ind w:right="14"/>
        <w:jc w:val="right"/>
        <w:rPr>
          <w:rFonts w:ascii="Arial"/>
        </w:rPr>
      </w:pPr>
      <w:r>
        <w:rPr>
          <w:rFonts w:ascii="Arial"/>
        </w:rPr>
        <w:t>$0.25</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129"/>
        <w:ind w:left="523"/>
        <w:rPr>
          <w:rFonts w:ascii="Arial"/>
        </w:rPr>
      </w:pPr>
      <w:r>
        <w:rPr>
          <w:rFonts w:ascii="Arial"/>
          <w:w w:val="95"/>
        </w:rPr>
        <w:t>$0.68</w:t>
      </w:r>
    </w:p>
    <w:p>
      <w:pPr>
        <w:pStyle w:val="BodyText"/>
        <w:rPr>
          <w:rFonts w:ascii="Arial"/>
          <w:sz w:val="22"/>
        </w:rPr>
      </w:pPr>
      <w:r>
        <w:rPr/>
        <w:br w:type="column"/>
      </w:r>
      <w:r>
        <w:rPr>
          <w:rFonts w:ascii="Arial"/>
          <w:sz w:val="22"/>
        </w:rPr>
      </w:r>
    </w:p>
    <w:p>
      <w:pPr>
        <w:pStyle w:val="BodyText"/>
        <w:spacing w:before="1"/>
        <w:rPr>
          <w:rFonts w:ascii="Arial"/>
          <w:sz w:val="30"/>
        </w:rPr>
      </w:pPr>
    </w:p>
    <w:p>
      <w:pPr>
        <w:pStyle w:val="BodyText"/>
        <w:ind w:left="540"/>
        <w:rPr>
          <w:rFonts w:ascii="Arial"/>
        </w:rPr>
      </w:pPr>
      <w:r>
        <w:rPr>
          <w:rFonts w:ascii="Arial"/>
          <w:spacing w:val="-1"/>
        </w:rPr>
        <w:t>$1.05</w:t>
      </w:r>
    </w:p>
    <w:p>
      <w:pPr>
        <w:pStyle w:val="BodyText"/>
        <w:rPr>
          <w:rFonts w:ascii="Arial"/>
          <w:sz w:val="22"/>
        </w:rPr>
      </w:pPr>
      <w:r>
        <w:rPr/>
        <w:br w:type="column"/>
      </w:r>
      <w:r>
        <w:rPr>
          <w:rFonts w:ascii="Arial"/>
          <w:sz w:val="22"/>
        </w:rPr>
      </w:r>
    </w:p>
    <w:p>
      <w:pPr>
        <w:pStyle w:val="BodyText"/>
        <w:spacing w:before="168"/>
        <w:ind w:left="540"/>
        <w:rPr>
          <w:rFonts w:ascii="Arial"/>
        </w:rPr>
      </w:pPr>
      <w:r>
        <w:rPr>
          <w:rFonts w:ascii="Arial"/>
          <w:w w:val="95"/>
        </w:rPr>
        <w:t>$1.22</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11"/>
        <w:rPr>
          <w:rFonts w:ascii="Arial"/>
          <w:sz w:val="23"/>
        </w:rPr>
      </w:pPr>
    </w:p>
    <w:p>
      <w:pPr>
        <w:pStyle w:val="BodyText"/>
        <w:ind w:left="472"/>
        <w:rPr>
          <w:rFonts w:ascii="Arial"/>
        </w:rPr>
      </w:pPr>
      <w:r>
        <w:rPr/>
        <w:drawing>
          <wp:anchor distT="0" distB="0" distL="0" distR="0" allowOverlap="1" layoutInCell="1" locked="0" behindDoc="1" simplePos="0" relativeHeight="268313591">
            <wp:simplePos x="0" y="0"/>
            <wp:positionH relativeFrom="page">
              <wp:posOffset>5335523</wp:posOffset>
            </wp:positionH>
            <wp:positionV relativeFrom="paragraph">
              <wp:posOffset>117600</wp:posOffset>
            </wp:positionV>
            <wp:extent cx="3048" cy="3048"/>
            <wp:effectExtent l="0" t="0" r="0" b="0"/>
            <wp:wrapNone/>
            <wp:docPr id="47" name="image4.png" descr=""/>
            <wp:cNvGraphicFramePr>
              <a:graphicFrameLocks noChangeAspect="1"/>
            </wp:cNvGraphicFramePr>
            <a:graphic>
              <a:graphicData uri="http://schemas.openxmlformats.org/drawingml/2006/picture">
                <pic:pic>
                  <pic:nvPicPr>
                    <pic:cNvPr id="4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615">
            <wp:simplePos x="0" y="0"/>
            <wp:positionH relativeFrom="page">
              <wp:posOffset>5417820</wp:posOffset>
            </wp:positionH>
            <wp:positionV relativeFrom="paragraph">
              <wp:posOffset>117600</wp:posOffset>
            </wp:positionV>
            <wp:extent cx="3048" cy="3048"/>
            <wp:effectExtent l="0" t="0" r="0" b="0"/>
            <wp:wrapNone/>
            <wp:docPr id="49" name="image4.png" descr=""/>
            <wp:cNvGraphicFramePr>
              <a:graphicFrameLocks noChangeAspect="1"/>
            </wp:cNvGraphicFramePr>
            <a:graphic>
              <a:graphicData uri="http://schemas.openxmlformats.org/drawingml/2006/picture">
                <pic:pic>
                  <pic:nvPicPr>
                    <pic:cNvPr id="5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639">
            <wp:simplePos x="0" y="0"/>
            <wp:positionH relativeFrom="page">
              <wp:posOffset>5500115</wp:posOffset>
            </wp:positionH>
            <wp:positionV relativeFrom="paragraph">
              <wp:posOffset>117600</wp:posOffset>
            </wp:positionV>
            <wp:extent cx="3048" cy="3048"/>
            <wp:effectExtent l="0" t="0" r="0" b="0"/>
            <wp:wrapNone/>
            <wp:docPr id="51" name="image4.png" descr=""/>
            <wp:cNvGraphicFramePr>
              <a:graphicFrameLocks noChangeAspect="1"/>
            </wp:cNvGraphicFramePr>
            <a:graphic>
              <a:graphicData uri="http://schemas.openxmlformats.org/drawingml/2006/picture">
                <pic:pic>
                  <pic:nvPicPr>
                    <pic:cNvPr id="5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663">
            <wp:simplePos x="0" y="0"/>
            <wp:positionH relativeFrom="page">
              <wp:posOffset>5582411</wp:posOffset>
            </wp:positionH>
            <wp:positionV relativeFrom="paragraph">
              <wp:posOffset>117600</wp:posOffset>
            </wp:positionV>
            <wp:extent cx="3048" cy="3048"/>
            <wp:effectExtent l="0" t="0" r="0" b="0"/>
            <wp:wrapNone/>
            <wp:docPr id="53" name="image4.png" descr=""/>
            <wp:cNvGraphicFramePr>
              <a:graphicFrameLocks noChangeAspect="1"/>
            </wp:cNvGraphicFramePr>
            <a:graphic>
              <a:graphicData uri="http://schemas.openxmlformats.org/drawingml/2006/picture">
                <pic:pic>
                  <pic:nvPicPr>
                    <pic:cNvPr id="54"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687">
            <wp:simplePos x="0" y="0"/>
            <wp:positionH relativeFrom="page">
              <wp:posOffset>5664708</wp:posOffset>
            </wp:positionH>
            <wp:positionV relativeFrom="paragraph">
              <wp:posOffset>117600</wp:posOffset>
            </wp:positionV>
            <wp:extent cx="3048" cy="3048"/>
            <wp:effectExtent l="0" t="0" r="0" b="0"/>
            <wp:wrapNone/>
            <wp:docPr id="55" name="image4.png" descr=""/>
            <wp:cNvGraphicFramePr>
              <a:graphicFrameLocks noChangeAspect="1"/>
            </wp:cNvGraphicFramePr>
            <a:graphic>
              <a:graphicData uri="http://schemas.openxmlformats.org/drawingml/2006/picture">
                <pic:pic>
                  <pic:nvPicPr>
                    <pic:cNvPr id="56"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$1.00</w:t>
      </w:r>
    </w:p>
    <w:p>
      <w:pPr>
        <w:pStyle w:val="BodyText"/>
        <w:spacing w:before="130"/>
        <w:ind w:left="472"/>
        <w:rPr>
          <w:rFonts w:ascii="Arial"/>
        </w:rPr>
      </w:pPr>
      <w:r>
        <w:rPr/>
        <w:drawing>
          <wp:anchor distT="0" distB="0" distL="0" distR="0" allowOverlap="1" layoutInCell="1" locked="0" behindDoc="1" simplePos="0" relativeHeight="268313471">
            <wp:simplePos x="0" y="0"/>
            <wp:positionH relativeFrom="page">
              <wp:posOffset>5335523</wp:posOffset>
            </wp:positionH>
            <wp:positionV relativeFrom="paragraph">
              <wp:posOffset>200150</wp:posOffset>
            </wp:positionV>
            <wp:extent cx="3048" cy="3048"/>
            <wp:effectExtent l="0" t="0" r="0" b="0"/>
            <wp:wrapNone/>
            <wp:docPr id="57" name="image4.png" descr=""/>
            <wp:cNvGraphicFramePr>
              <a:graphicFrameLocks noChangeAspect="1"/>
            </wp:cNvGraphicFramePr>
            <a:graphic>
              <a:graphicData uri="http://schemas.openxmlformats.org/drawingml/2006/picture">
                <pic:pic>
                  <pic:nvPicPr>
                    <pic:cNvPr id="5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495">
            <wp:simplePos x="0" y="0"/>
            <wp:positionH relativeFrom="page">
              <wp:posOffset>5417820</wp:posOffset>
            </wp:positionH>
            <wp:positionV relativeFrom="paragraph">
              <wp:posOffset>200150</wp:posOffset>
            </wp:positionV>
            <wp:extent cx="3048" cy="3048"/>
            <wp:effectExtent l="0" t="0" r="0" b="0"/>
            <wp:wrapNone/>
            <wp:docPr id="59" name="image4.png" descr=""/>
            <wp:cNvGraphicFramePr>
              <a:graphicFrameLocks noChangeAspect="1"/>
            </wp:cNvGraphicFramePr>
            <a:graphic>
              <a:graphicData uri="http://schemas.openxmlformats.org/drawingml/2006/picture">
                <pic:pic>
                  <pic:nvPicPr>
                    <pic:cNvPr id="6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519">
            <wp:simplePos x="0" y="0"/>
            <wp:positionH relativeFrom="page">
              <wp:posOffset>5500115</wp:posOffset>
            </wp:positionH>
            <wp:positionV relativeFrom="paragraph">
              <wp:posOffset>200150</wp:posOffset>
            </wp:positionV>
            <wp:extent cx="3048" cy="3048"/>
            <wp:effectExtent l="0" t="0" r="0" b="0"/>
            <wp:wrapNone/>
            <wp:docPr id="61" name="image4.png" descr=""/>
            <wp:cNvGraphicFramePr>
              <a:graphicFrameLocks noChangeAspect="1"/>
            </wp:cNvGraphicFramePr>
            <a:graphic>
              <a:graphicData uri="http://schemas.openxmlformats.org/drawingml/2006/picture">
                <pic:pic>
                  <pic:nvPicPr>
                    <pic:cNvPr id="6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543">
            <wp:simplePos x="0" y="0"/>
            <wp:positionH relativeFrom="page">
              <wp:posOffset>5582411</wp:posOffset>
            </wp:positionH>
            <wp:positionV relativeFrom="paragraph">
              <wp:posOffset>200150</wp:posOffset>
            </wp:positionV>
            <wp:extent cx="3048" cy="3048"/>
            <wp:effectExtent l="0" t="0" r="0" b="0"/>
            <wp:wrapNone/>
            <wp:docPr id="63" name="image4.png" descr=""/>
            <wp:cNvGraphicFramePr>
              <a:graphicFrameLocks noChangeAspect="1"/>
            </wp:cNvGraphicFramePr>
            <a:graphic>
              <a:graphicData uri="http://schemas.openxmlformats.org/drawingml/2006/picture">
                <pic:pic>
                  <pic:nvPicPr>
                    <pic:cNvPr id="64"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567">
            <wp:simplePos x="0" y="0"/>
            <wp:positionH relativeFrom="page">
              <wp:posOffset>5664708</wp:posOffset>
            </wp:positionH>
            <wp:positionV relativeFrom="paragraph">
              <wp:posOffset>200150</wp:posOffset>
            </wp:positionV>
            <wp:extent cx="3048" cy="3048"/>
            <wp:effectExtent l="0" t="0" r="0" b="0"/>
            <wp:wrapNone/>
            <wp:docPr id="65" name="image4.png" descr=""/>
            <wp:cNvGraphicFramePr>
              <a:graphicFrameLocks noChangeAspect="1"/>
            </wp:cNvGraphicFramePr>
            <a:graphic>
              <a:graphicData uri="http://schemas.openxmlformats.org/drawingml/2006/picture">
                <pic:pic>
                  <pic:nvPicPr>
                    <pic:cNvPr id="66"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$0.75</w:t>
      </w:r>
    </w:p>
    <w:p>
      <w:pPr>
        <w:pStyle w:val="BodyText"/>
        <w:spacing w:before="125"/>
        <w:ind w:left="472"/>
        <w:rPr>
          <w:rFonts w:ascii="Arial"/>
        </w:rPr>
      </w:pPr>
      <w:r>
        <w:rPr/>
        <w:drawing>
          <wp:anchor distT="0" distB="0" distL="0" distR="0" allowOverlap="1" layoutInCell="1" locked="0" behindDoc="1" simplePos="0" relativeHeight="268313351">
            <wp:simplePos x="0" y="0"/>
            <wp:positionH relativeFrom="page">
              <wp:posOffset>5335523</wp:posOffset>
            </wp:positionH>
            <wp:positionV relativeFrom="paragraph">
              <wp:posOffset>196975</wp:posOffset>
            </wp:positionV>
            <wp:extent cx="3048" cy="3048"/>
            <wp:effectExtent l="0" t="0" r="0" b="0"/>
            <wp:wrapNone/>
            <wp:docPr id="67" name="image4.png" descr=""/>
            <wp:cNvGraphicFramePr>
              <a:graphicFrameLocks noChangeAspect="1"/>
            </wp:cNvGraphicFramePr>
            <a:graphic>
              <a:graphicData uri="http://schemas.openxmlformats.org/drawingml/2006/picture">
                <pic:pic>
                  <pic:nvPicPr>
                    <pic:cNvPr id="6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375">
            <wp:simplePos x="0" y="0"/>
            <wp:positionH relativeFrom="page">
              <wp:posOffset>5417820</wp:posOffset>
            </wp:positionH>
            <wp:positionV relativeFrom="paragraph">
              <wp:posOffset>196975</wp:posOffset>
            </wp:positionV>
            <wp:extent cx="3048" cy="3048"/>
            <wp:effectExtent l="0" t="0" r="0" b="0"/>
            <wp:wrapNone/>
            <wp:docPr id="69" name="image4.png" descr=""/>
            <wp:cNvGraphicFramePr>
              <a:graphicFrameLocks noChangeAspect="1"/>
            </wp:cNvGraphicFramePr>
            <a:graphic>
              <a:graphicData uri="http://schemas.openxmlformats.org/drawingml/2006/picture">
                <pic:pic>
                  <pic:nvPicPr>
                    <pic:cNvPr id="7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399">
            <wp:simplePos x="0" y="0"/>
            <wp:positionH relativeFrom="page">
              <wp:posOffset>5500115</wp:posOffset>
            </wp:positionH>
            <wp:positionV relativeFrom="paragraph">
              <wp:posOffset>196975</wp:posOffset>
            </wp:positionV>
            <wp:extent cx="3048" cy="3048"/>
            <wp:effectExtent l="0" t="0" r="0" b="0"/>
            <wp:wrapNone/>
            <wp:docPr id="71" name="image4.png" descr=""/>
            <wp:cNvGraphicFramePr>
              <a:graphicFrameLocks noChangeAspect="1"/>
            </wp:cNvGraphicFramePr>
            <a:graphic>
              <a:graphicData uri="http://schemas.openxmlformats.org/drawingml/2006/picture">
                <pic:pic>
                  <pic:nvPicPr>
                    <pic:cNvPr id="7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423">
            <wp:simplePos x="0" y="0"/>
            <wp:positionH relativeFrom="page">
              <wp:posOffset>5582411</wp:posOffset>
            </wp:positionH>
            <wp:positionV relativeFrom="paragraph">
              <wp:posOffset>196975</wp:posOffset>
            </wp:positionV>
            <wp:extent cx="3048" cy="3048"/>
            <wp:effectExtent l="0" t="0" r="0" b="0"/>
            <wp:wrapNone/>
            <wp:docPr id="73" name="image4.png" descr=""/>
            <wp:cNvGraphicFramePr>
              <a:graphicFrameLocks noChangeAspect="1"/>
            </wp:cNvGraphicFramePr>
            <a:graphic>
              <a:graphicData uri="http://schemas.openxmlformats.org/drawingml/2006/picture">
                <pic:pic>
                  <pic:nvPicPr>
                    <pic:cNvPr id="74"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447">
            <wp:simplePos x="0" y="0"/>
            <wp:positionH relativeFrom="page">
              <wp:posOffset>5664708</wp:posOffset>
            </wp:positionH>
            <wp:positionV relativeFrom="paragraph">
              <wp:posOffset>196975</wp:posOffset>
            </wp:positionV>
            <wp:extent cx="3048" cy="3048"/>
            <wp:effectExtent l="0" t="0" r="0" b="0"/>
            <wp:wrapNone/>
            <wp:docPr id="75" name="image4.png" descr=""/>
            <wp:cNvGraphicFramePr>
              <a:graphicFrameLocks noChangeAspect="1"/>
            </wp:cNvGraphicFramePr>
            <a:graphic>
              <a:graphicData uri="http://schemas.openxmlformats.org/drawingml/2006/picture">
                <pic:pic>
                  <pic:nvPicPr>
                    <pic:cNvPr id="76"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$.050</w:t>
      </w:r>
    </w:p>
    <w:p>
      <w:pPr>
        <w:pStyle w:val="BodyText"/>
        <w:spacing w:before="129"/>
        <w:ind w:left="472"/>
        <w:rPr>
          <w:rFonts w:ascii="Arial"/>
        </w:rPr>
      </w:pPr>
      <w:r>
        <w:rPr/>
        <w:drawing>
          <wp:anchor distT="0" distB="0" distL="0" distR="0" allowOverlap="1" layoutInCell="1" locked="0" behindDoc="1" simplePos="0" relativeHeight="268313231">
            <wp:simplePos x="0" y="0"/>
            <wp:positionH relativeFrom="page">
              <wp:posOffset>5335523</wp:posOffset>
            </wp:positionH>
            <wp:positionV relativeFrom="paragraph">
              <wp:posOffset>199515</wp:posOffset>
            </wp:positionV>
            <wp:extent cx="3048" cy="3048"/>
            <wp:effectExtent l="0" t="0" r="0" b="0"/>
            <wp:wrapNone/>
            <wp:docPr id="77" name="image4.png" descr=""/>
            <wp:cNvGraphicFramePr>
              <a:graphicFrameLocks noChangeAspect="1"/>
            </wp:cNvGraphicFramePr>
            <a:graphic>
              <a:graphicData uri="http://schemas.openxmlformats.org/drawingml/2006/picture">
                <pic:pic>
                  <pic:nvPicPr>
                    <pic:cNvPr id="78"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255">
            <wp:simplePos x="0" y="0"/>
            <wp:positionH relativeFrom="page">
              <wp:posOffset>5417820</wp:posOffset>
            </wp:positionH>
            <wp:positionV relativeFrom="paragraph">
              <wp:posOffset>199515</wp:posOffset>
            </wp:positionV>
            <wp:extent cx="3048" cy="3048"/>
            <wp:effectExtent l="0" t="0" r="0" b="0"/>
            <wp:wrapNone/>
            <wp:docPr id="79" name="image4.png" descr=""/>
            <wp:cNvGraphicFramePr>
              <a:graphicFrameLocks noChangeAspect="1"/>
            </wp:cNvGraphicFramePr>
            <a:graphic>
              <a:graphicData uri="http://schemas.openxmlformats.org/drawingml/2006/picture">
                <pic:pic>
                  <pic:nvPicPr>
                    <pic:cNvPr id="80"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279">
            <wp:simplePos x="0" y="0"/>
            <wp:positionH relativeFrom="page">
              <wp:posOffset>5500115</wp:posOffset>
            </wp:positionH>
            <wp:positionV relativeFrom="paragraph">
              <wp:posOffset>199515</wp:posOffset>
            </wp:positionV>
            <wp:extent cx="3048" cy="3048"/>
            <wp:effectExtent l="0" t="0" r="0" b="0"/>
            <wp:wrapNone/>
            <wp:docPr id="81" name="image4.png" descr=""/>
            <wp:cNvGraphicFramePr>
              <a:graphicFrameLocks noChangeAspect="1"/>
            </wp:cNvGraphicFramePr>
            <a:graphic>
              <a:graphicData uri="http://schemas.openxmlformats.org/drawingml/2006/picture">
                <pic:pic>
                  <pic:nvPicPr>
                    <pic:cNvPr id="82"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303">
            <wp:simplePos x="0" y="0"/>
            <wp:positionH relativeFrom="page">
              <wp:posOffset>5582411</wp:posOffset>
            </wp:positionH>
            <wp:positionV relativeFrom="paragraph">
              <wp:posOffset>199515</wp:posOffset>
            </wp:positionV>
            <wp:extent cx="3048" cy="3048"/>
            <wp:effectExtent l="0" t="0" r="0" b="0"/>
            <wp:wrapNone/>
            <wp:docPr id="83" name="image4.png" descr=""/>
            <wp:cNvGraphicFramePr>
              <a:graphicFrameLocks noChangeAspect="1"/>
            </wp:cNvGraphicFramePr>
            <a:graphic>
              <a:graphicData uri="http://schemas.openxmlformats.org/drawingml/2006/picture">
                <pic:pic>
                  <pic:nvPicPr>
                    <pic:cNvPr id="84" name="image4.png"/>
                    <pic:cNvPicPr/>
                  </pic:nvPicPr>
                  <pic:blipFill>
                    <a:blip r:embed="rId12" cstate="print"/>
                    <a:stretch>
                      <a:fillRect/>
                    </a:stretch>
                  </pic:blipFill>
                  <pic:spPr>
                    <a:xfrm>
                      <a:off x="0" y="0"/>
                      <a:ext cx="3048" cy="3048"/>
                    </a:xfrm>
                    <a:prstGeom prst="rect">
                      <a:avLst/>
                    </a:prstGeom>
                  </pic:spPr>
                </pic:pic>
              </a:graphicData>
            </a:graphic>
          </wp:anchor>
        </w:drawing>
      </w:r>
      <w:r>
        <w:rPr/>
        <w:drawing>
          <wp:anchor distT="0" distB="0" distL="0" distR="0" allowOverlap="1" layoutInCell="1" locked="0" behindDoc="1" simplePos="0" relativeHeight="268313327">
            <wp:simplePos x="0" y="0"/>
            <wp:positionH relativeFrom="page">
              <wp:posOffset>5664708</wp:posOffset>
            </wp:positionH>
            <wp:positionV relativeFrom="paragraph">
              <wp:posOffset>199515</wp:posOffset>
            </wp:positionV>
            <wp:extent cx="3048" cy="3048"/>
            <wp:effectExtent l="0" t="0" r="0" b="0"/>
            <wp:wrapNone/>
            <wp:docPr id="85" name="image4.png" descr=""/>
            <wp:cNvGraphicFramePr>
              <a:graphicFrameLocks noChangeAspect="1"/>
            </wp:cNvGraphicFramePr>
            <a:graphic>
              <a:graphicData uri="http://schemas.openxmlformats.org/drawingml/2006/picture">
                <pic:pic>
                  <pic:nvPicPr>
                    <pic:cNvPr id="86" name="image4.png"/>
                    <pic:cNvPicPr/>
                  </pic:nvPicPr>
                  <pic:blipFill>
                    <a:blip r:embed="rId12" cstate="print"/>
                    <a:stretch>
                      <a:fillRect/>
                    </a:stretch>
                  </pic:blipFill>
                  <pic:spPr>
                    <a:xfrm>
                      <a:off x="0" y="0"/>
                      <a:ext cx="3048" cy="3048"/>
                    </a:xfrm>
                    <a:prstGeom prst="rect">
                      <a:avLst/>
                    </a:prstGeom>
                  </pic:spPr>
                </pic:pic>
              </a:graphicData>
            </a:graphic>
          </wp:anchor>
        </w:drawing>
      </w:r>
      <w:r>
        <w:rPr>
          <w:rFonts w:ascii="Arial"/>
          <w:w w:val="100"/>
          <w:u w:val="single"/>
        </w:rPr>
        <w:t> </w:t>
      </w:r>
      <w:r>
        <w:rPr>
          <w:rFonts w:ascii="Arial"/>
          <w:u w:val="single"/>
        </w:rPr>
        <w:t>  $0.25</w:t>
      </w:r>
    </w:p>
    <w:p>
      <w:pPr>
        <w:spacing w:after="0"/>
        <w:rPr>
          <w:rFonts w:ascii="Arial"/>
        </w:rPr>
        <w:sectPr>
          <w:type w:val="continuous"/>
          <w:pgSz w:w="12240" w:h="15840"/>
          <w:pgMar w:top="1420" w:bottom="280" w:left="1700" w:right="960"/>
          <w:cols w:num="5" w:equalWidth="0">
            <w:col w:w="2888" w:space="40"/>
            <w:col w:w="1024" w:space="40"/>
            <w:col w:w="1040" w:space="40"/>
            <w:col w:w="1041" w:space="40"/>
            <w:col w:w="3427"/>
          </w:cols>
        </w:sectPr>
      </w:pPr>
    </w:p>
    <w:p>
      <w:pPr>
        <w:pStyle w:val="BodyText"/>
        <w:spacing w:before="10"/>
        <w:rPr>
          <w:rFonts w:ascii="Arial"/>
          <w:sz w:val="26"/>
        </w:rPr>
      </w:pPr>
    </w:p>
    <w:p>
      <w:pPr>
        <w:spacing w:after="0"/>
        <w:rPr>
          <w:rFonts w:ascii="Arial"/>
          <w:sz w:val="26"/>
        </w:rPr>
        <w:sectPr>
          <w:type w:val="continuous"/>
          <w:pgSz w:w="12240" w:h="15840"/>
          <w:pgMar w:top="1420" w:bottom="280" w:left="1700" w:right="96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rPr>
          <w:rFonts w:ascii="Arial"/>
        </w:rPr>
      </w:pPr>
    </w:p>
    <w:p>
      <w:pPr>
        <w:pStyle w:val="BodyText"/>
        <w:spacing w:before="9"/>
        <w:rPr>
          <w:rFonts w:ascii="Arial"/>
          <w:sz w:val="24"/>
        </w:rPr>
      </w:pPr>
    </w:p>
    <w:p>
      <w:pPr>
        <w:pStyle w:val="Heading1"/>
      </w:pPr>
      <w:r>
        <w:rPr/>
        <w:pict>
          <v:line style="position:absolute;mso-position-horizontal-relative:page;mso-position-vertical-relative:paragraph;z-index:2128;mso-wrap-distance-left:0;mso-wrap-distance-right:0" from="88.559998pt,27.763792pt" to="559.439998pt,27.763792pt" stroked="true" strokeweight="1.44pt" strokecolor="#000000">
            <v:stroke dashstyle="solid"/>
            <w10:wrap type="topAndBottom"/>
          </v:line>
        </w:pict>
      </w:r>
      <w:bookmarkStart w:name="_TOC_250018" w:id="3"/>
      <w:bookmarkEnd w:id="3"/>
      <w:r>
        <w:rPr/>
        <w:t>Low Fares</w:t>
      </w:r>
    </w:p>
    <w:p>
      <w:pPr>
        <w:pStyle w:val="BodyText"/>
        <w:rPr>
          <w:rFonts w:ascii="Arial"/>
        </w:rPr>
      </w:pPr>
    </w:p>
    <w:p>
      <w:pPr>
        <w:pStyle w:val="BodyText"/>
        <w:spacing w:before="7"/>
        <w:rPr>
          <w:rFonts w:ascii="Arial"/>
          <w:sz w:val="19"/>
        </w:rPr>
      </w:pPr>
    </w:p>
    <w:p>
      <w:pPr>
        <w:pStyle w:val="BodyText"/>
        <w:spacing w:line="249" w:lineRule="auto"/>
        <w:ind w:left="879" w:right="167"/>
      </w:pPr>
      <w:r>
        <w:rPr/>
        <w:t>Southwest Airlines was built, from the ground up, to save our Customers time and money. The blueprint looks simple enough: Never lose sight of your vision. Keep productivity high and fares low. Maintain a young, pure jet fleet. Consistently deliver Triple Crown</w:t>
      </w:r>
      <w:r>
        <w:rPr>
          <w:position w:val="6"/>
          <w:sz w:val="14"/>
        </w:rPr>
        <w:t>® </w:t>
      </w:r>
      <w:r>
        <w:rPr/>
        <w:t>Service. And let your Southwest Spirit come shining through.</w:t>
      </w:r>
    </w:p>
    <w:p>
      <w:pPr>
        <w:pStyle w:val="BodyText"/>
        <w:spacing w:line="249" w:lineRule="auto" w:before="120"/>
        <w:ind w:left="880"/>
      </w:pPr>
      <w:r>
        <w:rPr/>
        <w:t>Many have tried to build </w:t>
      </w:r>
      <w:r>
        <w:rPr>
          <w:u w:val="single"/>
        </w:rPr>
        <w:t>a </w:t>
      </w:r>
      <w:r>
        <w:rPr/>
        <w:t>low fare airline. But only Southwest has built </w:t>
      </w:r>
      <w:r>
        <w:rPr>
          <w:u w:val="single"/>
        </w:rPr>
        <w:t>THE </w:t>
      </w:r>
      <w:r>
        <w:rPr/>
        <w:t>Low Fare Airline. Even if someone could duplicate everything else we do (and nobody’s done it yet), they could never match our Southwest Spirit. When we built Southwest Airlines, we broke the mold.</w:t>
      </w:r>
    </w:p>
    <w:p>
      <w:pPr>
        <w:pStyle w:val="BodyText"/>
        <w:spacing w:line="249" w:lineRule="auto" w:before="120"/>
        <w:ind w:left="880" w:right="191"/>
      </w:pPr>
      <w:r>
        <w:rPr/>
        <w:t>Southwest Airlines Co. is the nation’s low fare, high </w:t>
      </w:r>
      <w:r>
        <w:rPr>
          <w:spacing w:val="2"/>
        </w:rPr>
        <w:t>Customer </w:t>
      </w:r>
      <w:r>
        <w:rPr/>
        <w:t>Satisfaction airline. We primarily serve </w:t>
      </w:r>
      <w:r>
        <w:rPr>
          <w:spacing w:val="2"/>
        </w:rPr>
        <w:t>shorthaul city </w:t>
      </w:r>
      <w:r>
        <w:rPr/>
        <w:t>pairs, providing single class air </w:t>
      </w:r>
      <w:r>
        <w:rPr>
          <w:spacing w:val="2"/>
        </w:rPr>
        <w:t>transportation, </w:t>
      </w:r>
      <w:r>
        <w:rPr/>
        <w:t>which </w:t>
      </w:r>
      <w:r>
        <w:rPr>
          <w:spacing w:val="2"/>
        </w:rPr>
        <w:t>targets the </w:t>
      </w:r>
      <w:r>
        <w:rPr/>
        <w:t>business </w:t>
      </w:r>
      <w:r>
        <w:rPr>
          <w:spacing w:val="2"/>
        </w:rPr>
        <w:t>commuter </w:t>
      </w:r>
      <w:r>
        <w:rPr/>
        <w:t>as well as leisure travelers. The Company, </w:t>
      </w:r>
      <w:r>
        <w:rPr>
          <w:spacing w:val="2"/>
        </w:rPr>
        <w:t>incorporated </w:t>
      </w:r>
      <w:r>
        <w:rPr/>
        <w:t>in Texas, commenced Customer Service </w:t>
      </w:r>
      <w:r>
        <w:rPr>
          <w:spacing w:val="2"/>
        </w:rPr>
        <w:t>on </w:t>
      </w:r>
      <w:r>
        <w:rPr/>
        <w:t>June 18, 1971 with three Boeing 737 aircraft serving three </w:t>
      </w:r>
      <w:r>
        <w:rPr>
          <w:spacing w:val="2"/>
        </w:rPr>
        <w:t>Texas </w:t>
      </w:r>
      <w:r>
        <w:rPr/>
        <w:t>cities— Dallas, </w:t>
      </w:r>
      <w:r>
        <w:rPr>
          <w:spacing w:val="2"/>
        </w:rPr>
        <w:t>Houston, </w:t>
      </w:r>
      <w:r>
        <w:rPr/>
        <w:t>and San Antonio. At yearend 1994, Southwest </w:t>
      </w:r>
      <w:r>
        <w:rPr>
          <w:spacing w:val="3"/>
        </w:rPr>
        <w:t>operated </w:t>
      </w:r>
      <w:r>
        <w:rPr/>
        <w:t>199 Boeing 737 aircraft and provided service to 45 airports in 44 cities principally in the midwestern, southwestern, and western regions </w:t>
      </w:r>
      <w:r>
        <w:rPr>
          <w:spacing w:val="2"/>
        </w:rPr>
        <w:t>of </w:t>
      </w:r>
      <w:r>
        <w:rPr/>
        <w:t>the United States. Southwest has </w:t>
      </w:r>
      <w:r>
        <w:rPr>
          <w:spacing w:val="3"/>
        </w:rPr>
        <w:t>one  </w:t>
      </w:r>
      <w:r>
        <w:rPr/>
        <w:t>of the best </w:t>
      </w:r>
      <w:r>
        <w:rPr>
          <w:spacing w:val="3"/>
        </w:rPr>
        <w:t>overall </w:t>
      </w:r>
      <w:r>
        <w:rPr/>
        <w:t>Customer Service records, </w:t>
      </w:r>
      <w:r>
        <w:rPr>
          <w:spacing w:val="2"/>
        </w:rPr>
        <w:t>one </w:t>
      </w:r>
      <w:r>
        <w:rPr/>
        <w:t>of the lowest </w:t>
      </w:r>
      <w:r>
        <w:rPr>
          <w:spacing w:val="3"/>
        </w:rPr>
        <w:t>operating </w:t>
      </w:r>
      <w:r>
        <w:rPr/>
        <w:t>cost structures, and consistently </w:t>
      </w:r>
      <w:r>
        <w:rPr>
          <w:spacing w:val="4"/>
        </w:rPr>
        <w:t>offers </w:t>
      </w:r>
      <w:r>
        <w:rPr/>
        <w:t>the lowest and simplest fares in the domestic airline industry. LUV is </w:t>
      </w:r>
      <w:r>
        <w:rPr>
          <w:spacing w:val="3"/>
        </w:rPr>
        <w:t>our </w:t>
      </w:r>
      <w:r>
        <w:rPr>
          <w:spacing w:val="2"/>
        </w:rPr>
        <w:t>stock </w:t>
      </w:r>
      <w:r>
        <w:rPr/>
        <w:t>exchange symbol, selected </w:t>
      </w:r>
      <w:r>
        <w:rPr>
          <w:spacing w:val="2"/>
        </w:rPr>
        <w:t>to </w:t>
      </w:r>
      <w:r>
        <w:rPr/>
        <w:t>represent </w:t>
      </w:r>
      <w:r>
        <w:rPr>
          <w:spacing w:val="2"/>
        </w:rPr>
        <w:t>our </w:t>
      </w:r>
      <w:r>
        <w:rPr/>
        <w:t>home at Dallas Love Field, as well as the theme of </w:t>
      </w:r>
      <w:r>
        <w:rPr>
          <w:spacing w:val="2"/>
        </w:rPr>
        <w:t>our </w:t>
      </w:r>
      <w:r>
        <w:rPr/>
        <w:t>Employee and Customer </w:t>
      </w:r>
      <w:r>
        <w:rPr>
          <w:spacing w:val="3"/>
        </w:rPr>
        <w:t>relationships.</w:t>
      </w:r>
    </w:p>
    <w:p>
      <w:pPr>
        <w:spacing w:after="0" w:line="249" w:lineRule="auto"/>
        <w:sectPr>
          <w:headerReference w:type="default" r:id="rId14"/>
          <w:pgSz w:w="12240" w:h="15840"/>
          <w:pgMar w:header="725" w:footer="746" w:top="940" w:bottom="940" w:left="1640" w:right="92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2152;mso-wrap-distance-left:0;mso-wrap-distance-right:0" from="88.559998pt,27.763792pt" to="559.439998pt,27.763792pt" stroked="true" strokeweight="1.44pt" strokecolor="#000000">
            <v:stroke dashstyle="solid"/>
            <w10:wrap type="topAndBottom"/>
          </v:line>
        </w:pict>
      </w:r>
      <w:bookmarkStart w:name="_TOC_250017" w:id="4"/>
      <w:bookmarkEnd w:id="4"/>
      <w:r>
        <w:rPr/>
        <w:t>To Our Shareholders</w:t>
      </w:r>
    </w:p>
    <w:p>
      <w:pPr>
        <w:pStyle w:val="BodyText"/>
        <w:rPr>
          <w:rFonts w:ascii="Arial"/>
        </w:rPr>
      </w:pPr>
    </w:p>
    <w:p>
      <w:pPr>
        <w:pStyle w:val="BodyText"/>
        <w:spacing w:before="7"/>
        <w:rPr>
          <w:rFonts w:ascii="Arial"/>
          <w:sz w:val="19"/>
        </w:rPr>
      </w:pPr>
    </w:p>
    <w:p>
      <w:pPr>
        <w:pStyle w:val="BodyText"/>
        <w:spacing w:line="249" w:lineRule="auto"/>
        <w:ind w:left="880"/>
      </w:pPr>
      <w:r>
        <w:rPr/>
        <w:t>In 1994, Southwest Airlines produced a profit of $179.3 million, a 16.2 percent increase over the $154.3 million of 1993, excluding the cumulative effect of 1993 accounting changes. Our net profit margin was</w:t>
      </w:r>
    </w:p>
    <w:p>
      <w:pPr>
        <w:pStyle w:val="ListParagraph"/>
        <w:numPr>
          <w:ilvl w:val="1"/>
          <w:numId w:val="1"/>
        </w:numPr>
        <w:tabs>
          <w:tab w:pos="1191" w:val="left" w:leader="none"/>
        </w:tabs>
        <w:spacing w:line="240" w:lineRule="auto" w:before="0" w:after="0"/>
        <w:ind w:left="1190" w:right="0" w:hanging="310"/>
        <w:jc w:val="left"/>
        <w:rPr>
          <w:sz w:val="20"/>
        </w:rPr>
      </w:pPr>
      <w:r>
        <w:rPr>
          <w:sz w:val="20"/>
        </w:rPr>
        <w:t>percent in a year when the domestic passenger carrier industry, as a whole, basically broke </w:t>
      </w:r>
      <w:r>
        <w:rPr>
          <w:spacing w:val="1"/>
          <w:sz w:val="20"/>
        </w:rPr>
        <w:t> </w:t>
      </w:r>
      <w:r>
        <w:rPr>
          <w:sz w:val="20"/>
        </w:rPr>
        <w:t>even.</w:t>
      </w:r>
    </w:p>
    <w:p>
      <w:pPr>
        <w:pStyle w:val="BodyText"/>
        <w:spacing w:before="129"/>
        <w:ind w:left="880"/>
      </w:pPr>
      <w:r>
        <w:rPr/>
        <w:t>In 1994, we also:</w:t>
      </w:r>
    </w:p>
    <w:p>
      <w:pPr>
        <w:pStyle w:val="ListParagraph"/>
        <w:numPr>
          <w:ilvl w:val="2"/>
          <w:numId w:val="1"/>
        </w:numPr>
        <w:tabs>
          <w:tab w:pos="1599" w:val="left" w:leader="none"/>
          <w:tab w:pos="1600" w:val="left" w:leader="none"/>
        </w:tabs>
        <w:spacing w:line="249" w:lineRule="auto" w:before="72" w:after="0"/>
        <w:ind w:left="1600" w:right="449" w:hanging="360"/>
        <w:jc w:val="left"/>
        <w:rPr>
          <w:sz w:val="20"/>
        </w:rPr>
      </w:pPr>
      <w:r>
        <w:rPr>
          <w:sz w:val="20"/>
        </w:rPr>
        <w:t>Completed negotiation of the launch contract for the Boeing 737-700 and the definition of </w:t>
      </w:r>
      <w:r>
        <w:rPr>
          <w:spacing w:val="2"/>
          <w:sz w:val="20"/>
        </w:rPr>
        <w:t>our </w:t>
      </w:r>
      <w:r>
        <w:rPr>
          <w:sz w:val="20"/>
        </w:rPr>
        <w:t>new aircraft </w:t>
      </w:r>
      <w:r>
        <w:rPr>
          <w:spacing w:val="2"/>
          <w:sz w:val="20"/>
        </w:rPr>
        <w:t>to </w:t>
      </w:r>
      <w:r>
        <w:rPr>
          <w:sz w:val="20"/>
        </w:rPr>
        <w:t>be received by Southwest beginning in fourth quarter</w:t>
      </w:r>
      <w:r>
        <w:rPr>
          <w:spacing w:val="9"/>
          <w:sz w:val="20"/>
        </w:rPr>
        <w:t> </w:t>
      </w:r>
      <w:r>
        <w:rPr>
          <w:sz w:val="20"/>
        </w:rPr>
        <w:t>1997;</w:t>
      </w:r>
    </w:p>
    <w:p>
      <w:pPr>
        <w:pStyle w:val="ListParagraph"/>
        <w:numPr>
          <w:ilvl w:val="2"/>
          <w:numId w:val="1"/>
        </w:numPr>
        <w:tabs>
          <w:tab w:pos="1599" w:val="left" w:leader="none"/>
          <w:tab w:pos="1600" w:val="left" w:leader="none"/>
        </w:tabs>
        <w:spacing w:line="249" w:lineRule="auto" w:before="63" w:after="0"/>
        <w:ind w:left="1600" w:right="283" w:hanging="360"/>
        <w:jc w:val="left"/>
        <w:rPr>
          <w:sz w:val="20"/>
        </w:rPr>
      </w:pPr>
      <w:r>
        <w:rPr>
          <w:sz w:val="20"/>
        </w:rPr>
        <w:t>Completed negotiation of a contract for installation of Heads Up Displays (HUD) in the cockpits </w:t>
      </w:r>
      <w:r>
        <w:rPr>
          <w:spacing w:val="2"/>
          <w:sz w:val="20"/>
        </w:rPr>
        <w:t>of </w:t>
      </w:r>
      <w:r>
        <w:rPr>
          <w:spacing w:val="3"/>
          <w:sz w:val="20"/>
        </w:rPr>
        <w:t>our </w:t>
      </w:r>
      <w:r>
        <w:rPr>
          <w:sz w:val="20"/>
        </w:rPr>
        <w:t>737-300s, -500s, and -700s, providing greater landing and takeoff capabilities in adverse weather conditions, such as</w:t>
      </w:r>
      <w:r>
        <w:rPr>
          <w:spacing w:val="2"/>
          <w:sz w:val="20"/>
        </w:rPr>
        <w:t> </w:t>
      </w:r>
      <w:r>
        <w:rPr>
          <w:sz w:val="20"/>
        </w:rPr>
        <w:t>fog;</w:t>
      </w:r>
    </w:p>
    <w:p>
      <w:pPr>
        <w:pStyle w:val="ListParagraph"/>
        <w:numPr>
          <w:ilvl w:val="2"/>
          <w:numId w:val="1"/>
        </w:numPr>
        <w:tabs>
          <w:tab w:pos="1599" w:val="left" w:leader="none"/>
          <w:tab w:pos="1600" w:val="left" w:leader="none"/>
        </w:tabs>
        <w:spacing w:line="249" w:lineRule="auto" w:before="63" w:after="0"/>
        <w:ind w:left="1600" w:right="235" w:hanging="360"/>
        <w:jc w:val="left"/>
        <w:rPr>
          <w:sz w:val="20"/>
        </w:rPr>
      </w:pPr>
      <w:r>
        <w:rPr>
          <w:sz w:val="20"/>
        </w:rPr>
        <w:t>Acquired Morris Air and </w:t>
      </w:r>
      <w:r>
        <w:rPr>
          <w:spacing w:val="2"/>
          <w:sz w:val="20"/>
        </w:rPr>
        <w:t>smoothly, </w:t>
      </w:r>
      <w:r>
        <w:rPr>
          <w:sz w:val="20"/>
        </w:rPr>
        <w:t>successfully, and profitably integrated Morris into Southwest </w:t>
      </w:r>
      <w:r>
        <w:rPr>
          <w:spacing w:val="4"/>
          <w:sz w:val="20"/>
        </w:rPr>
        <w:t>within </w:t>
      </w:r>
      <w:r>
        <w:rPr>
          <w:spacing w:val="3"/>
          <w:sz w:val="20"/>
        </w:rPr>
        <w:t>nine</w:t>
      </w:r>
      <w:r>
        <w:rPr>
          <w:spacing w:val="-39"/>
          <w:sz w:val="20"/>
        </w:rPr>
        <w:t> </w:t>
      </w:r>
      <w:r>
        <w:rPr>
          <w:spacing w:val="5"/>
          <w:sz w:val="20"/>
        </w:rPr>
        <w:t>months;</w:t>
      </w:r>
    </w:p>
    <w:p>
      <w:pPr>
        <w:pStyle w:val="ListParagraph"/>
        <w:numPr>
          <w:ilvl w:val="2"/>
          <w:numId w:val="1"/>
        </w:numPr>
        <w:tabs>
          <w:tab w:pos="1599" w:val="left" w:leader="none"/>
          <w:tab w:pos="1600" w:val="left" w:leader="none"/>
        </w:tabs>
        <w:spacing w:line="249" w:lineRule="auto" w:before="63" w:after="0"/>
        <w:ind w:left="1600" w:right="882" w:hanging="360"/>
        <w:jc w:val="left"/>
        <w:rPr>
          <w:sz w:val="20"/>
        </w:rPr>
      </w:pPr>
      <w:r>
        <w:rPr>
          <w:sz w:val="20"/>
        </w:rPr>
        <w:t>Including Morris, added seven new cities and introduced 30 percent more capacity </w:t>
      </w:r>
      <w:r>
        <w:rPr>
          <w:spacing w:val="2"/>
          <w:sz w:val="20"/>
        </w:rPr>
        <w:t>to the </w:t>
      </w:r>
      <w:r>
        <w:rPr>
          <w:sz w:val="20"/>
        </w:rPr>
        <w:t>Southwest</w:t>
      </w:r>
      <w:r>
        <w:rPr>
          <w:spacing w:val="-14"/>
          <w:sz w:val="20"/>
        </w:rPr>
        <w:t> </w:t>
      </w:r>
      <w:r>
        <w:rPr>
          <w:sz w:val="20"/>
        </w:rPr>
        <w:t>system;</w:t>
      </w:r>
    </w:p>
    <w:p>
      <w:pPr>
        <w:pStyle w:val="ListParagraph"/>
        <w:numPr>
          <w:ilvl w:val="2"/>
          <w:numId w:val="1"/>
        </w:numPr>
        <w:tabs>
          <w:tab w:pos="1599" w:val="left" w:leader="none"/>
          <w:tab w:pos="1600" w:val="left" w:leader="none"/>
        </w:tabs>
        <w:spacing w:line="249" w:lineRule="auto" w:before="63" w:after="0"/>
        <w:ind w:left="1601" w:right="1147" w:hanging="361"/>
        <w:jc w:val="left"/>
        <w:rPr>
          <w:sz w:val="20"/>
        </w:rPr>
      </w:pPr>
      <w:r>
        <w:rPr>
          <w:sz w:val="20"/>
        </w:rPr>
        <w:t>Designed, developed, tested, and prepared to go nationwide on January 31, 1995 with “Ticketless” air</w:t>
      </w:r>
      <w:r>
        <w:rPr>
          <w:spacing w:val="-15"/>
          <w:sz w:val="20"/>
        </w:rPr>
        <w:t> </w:t>
      </w:r>
      <w:r>
        <w:rPr>
          <w:spacing w:val="3"/>
          <w:sz w:val="20"/>
        </w:rPr>
        <w:t>travel;</w:t>
      </w:r>
    </w:p>
    <w:p>
      <w:pPr>
        <w:pStyle w:val="ListParagraph"/>
        <w:numPr>
          <w:ilvl w:val="2"/>
          <w:numId w:val="1"/>
        </w:numPr>
        <w:tabs>
          <w:tab w:pos="1599" w:val="left" w:leader="none"/>
          <w:tab w:pos="1600" w:val="left" w:leader="none"/>
        </w:tabs>
        <w:spacing w:line="249" w:lineRule="auto" w:before="63" w:after="0"/>
        <w:ind w:left="1600" w:right="220" w:hanging="360"/>
        <w:jc w:val="left"/>
        <w:rPr>
          <w:sz w:val="20"/>
        </w:rPr>
      </w:pPr>
      <w:r>
        <w:rPr>
          <w:sz w:val="20"/>
        </w:rPr>
        <w:t>On an interim basis, after </w:t>
      </w:r>
      <w:r>
        <w:rPr>
          <w:spacing w:val="3"/>
          <w:sz w:val="20"/>
        </w:rPr>
        <w:t>our </w:t>
      </w:r>
      <w:r>
        <w:rPr>
          <w:spacing w:val="4"/>
          <w:sz w:val="20"/>
        </w:rPr>
        <w:t>ouster </w:t>
      </w:r>
      <w:r>
        <w:rPr>
          <w:sz w:val="20"/>
        </w:rPr>
        <w:t>from Apollo and System One, introduced </w:t>
      </w:r>
      <w:r>
        <w:rPr>
          <w:spacing w:val="3"/>
          <w:sz w:val="20"/>
        </w:rPr>
        <w:t>our own </w:t>
      </w:r>
      <w:r>
        <w:rPr>
          <w:sz w:val="20"/>
        </w:rPr>
        <w:t>Southwest “CRS” (SWAT) for very high volume travel agencies and </w:t>
      </w:r>
      <w:r>
        <w:rPr>
          <w:spacing w:val="4"/>
          <w:sz w:val="20"/>
        </w:rPr>
        <w:t>overnight </w:t>
      </w:r>
      <w:r>
        <w:rPr>
          <w:sz w:val="20"/>
        </w:rPr>
        <w:t>ticket delivery for high volume </w:t>
      </w:r>
      <w:r>
        <w:rPr>
          <w:spacing w:val="2"/>
          <w:sz w:val="20"/>
        </w:rPr>
        <w:t>travel</w:t>
      </w:r>
      <w:r>
        <w:rPr>
          <w:spacing w:val="3"/>
          <w:sz w:val="20"/>
        </w:rPr>
        <w:t> </w:t>
      </w:r>
      <w:r>
        <w:rPr>
          <w:sz w:val="20"/>
        </w:rPr>
        <w:t>agencies;</w:t>
      </w:r>
    </w:p>
    <w:p>
      <w:pPr>
        <w:pStyle w:val="ListParagraph"/>
        <w:numPr>
          <w:ilvl w:val="2"/>
          <w:numId w:val="1"/>
        </w:numPr>
        <w:tabs>
          <w:tab w:pos="1599" w:val="left" w:leader="none"/>
          <w:tab w:pos="1600" w:val="left" w:leader="none"/>
        </w:tabs>
        <w:spacing w:line="240" w:lineRule="auto" w:before="63" w:after="0"/>
        <w:ind w:left="1600" w:right="0" w:hanging="360"/>
        <w:jc w:val="left"/>
        <w:rPr>
          <w:sz w:val="20"/>
        </w:rPr>
      </w:pPr>
      <w:r>
        <w:rPr>
          <w:sz w:val="20"/>
        </w:rPr>
        <w:t>Introduced three-day Ticket By Mail for direct</w:t>
      </w:r>
      <w:r>
        <w:rPr>
          <w:spacing w:val="4"/>
          <w:sz w:val="20"/>
        </w:rPr>
        <w:t> </w:t>
      </w:r>
      <w:r>
        <w:rPr>
          <w:sz w:val="20"/>
        </w:rPr>
        <w:t>consumers;</w:t>
      </w:r>
    </w:p>
    <w:p>
      <w:pPr>
        <w:pStyle w:val="ListParagraph"/>
        <w:numPr>
          <w:ilvl w:val="2"/>
          <w:numId w:val="1"/>
        </w:numPr>
        <w:tabs>
          <w:tab w:pos="1599" w:val="left" w:leader="none"/>
          <w:tab w:pos="1600" w:val="left" w:leader="none"/>
        </w:tabs>
        <w:spacing w:line="249" w:lineRule="auto" w:before="72" w:after="0"/>
        <w:ind w:left="1600" w:right="168" w:hanging="360"/>
        <w:jc w:val="left"/>
        <w:rPr>
          <w:sz w:val="20"/>
        </w:rPr>
      </w:pPr>
      <w:r>
        <w:rPr>
          <w:sz w:val="20"/>
        </w:rPr>
        <w:t>Defined </w:t>
      </w:r>
      <w:r>
        <w:rPr>
          <w:spacing w:val="2"/>
          <w:sz w:val="20"/>
        </w:rPr>
        <w:t>the functionality </w:t>
      </w:r>
      <w:r>
        <w:rPr>
          <w:sz w:val="20"/>
        </w:rPr>
        <w:t>and </w:t>
      </w:r>
      <w:r>
        <w:rPr>
          <w:spacing w:val="2"/>
          <w:sz w:val="20"/>
        </w:rPr>
        <w:t>negotiated </w:t>
      </w:r>
      <w:r>
        <w:rPr>
          <w:sz w:val="20"/>
        </w:rPr>
        <w:t>a </w:t>
      </w:r>
      <w:r>
        <w:rPr>
          <w:spacing w:val="2"/>
          <w:sz w:val="20"/>
        </w:rPr>
        <w:t>contract with </w:t>
      </w:r>
      <w:r>
        <w:rPr>
          <w:sz w:val="20"/>
        </w:rPr>
        <w:t>American Airlines for </w:t>
      </w:r>
      <w:r>
        <w:rPr>
          <w:spacing w:val="2"/>
          <w:sz w:val="20"/>
        </w:rPr>
        <w:t>entry into </w:t>
      </w:r>
      <w:r>
        <w:rPr>
          <w:sz w:val="20"/>
        </w:rPr>
        <w:t>Basic SABRE, which, on May 1, 1995, will afford automated access to </w:t>
      </w:r>
      <w:r>
        <w:rPr>
          <w:spacing w:val="2"/>
          <w:sz w:val="20"/>
        </w:rPr>
        <w:t>our </w:t>
      </w:r>
      <w:r>
        <w:rPr>
          <w:sz w:val="20"/>
        </w:rPr>
        <w:t>Reservations System for 60 percent of </w:t>
      </w:r>
      <w:r>
        <w:rPr>
          <w:spacing w:val="2"/>
          <w:sz w:val="20"/>
        </w:rPr>
        <w:t>our </w:t>
      </w:r>
      <w:r>
        <w:rPr>
          <w:sz w:val="20"/>
        </w:rPr>
        <w:t>travel agency sales, and, we are convinced, produce lesser </w:t>
      </w:r>
      <w:r>
        <w:rPr>
          <w:spacing w:val="3"/>
          <w:sz w:val="20"/>
        </w:rPr>
        <w:t>overall </w:t>
      </w:r>
      <w:r>
        <w:rPr>
          <w:sz w:val="20"/>
        </w:rPr>
        <w:t>distribution costs for Southwest; while also providing </w:t>
      </w:r>
      <w:r>
        <w:rPr>
          <w:spacing w:val="2"/>
          <w:sz w:val="20"/>
        </w:rPr>
        <w:t>our </w:t>
      </w:r>
      <w:r>
        <w:rPr>
          <w:sz w:val="20"/>
        </w:rPr>
        <w:t>first direct, computerized access </w:t>
      </w:r>
      <w:r>
        <w:rPr>
          <w:spacing w:val="2"/>
          <w:sz w:val="20"/>
        </w:rPr>
        <w:t>to </w:t>
      </w:r>
      <w:r>
        <w:rPr>
          <w:sz w:val="20"/>
        </w:rPr>
        <w:t>the consumer through </w:t>
      </w:r>
      <w:r>
        <w:rPr>
          <w:spacing w:val="2"/>
          <w:sz w:val="20"/>
        </w:rPr>
        <w:t>Easy </w:t>
      </w:r>
      <w:r>
        <w:rPr>
          <w:sz w:val="20"/>
        </w:rPr>
        <w:t>SABRE and Commercial</w:t>
      </w:r>
      <w:r>
        <w:rPr>
          <w:spacing w:val="-4"/>
          <w:sz w:val="20"/>
        </w:rPr>
        <w:t> </w:t>
      </w:r>
      <w:r>
        <w:rPr>
          <w:sz w:val="20"/>
        </w:rPr>
        <w:t>SABRE;</w:t>
      </w:r>
    </w:p>
    <w:p>
      <w:pPr>
        <w:pStyle w:val="ListParagraph"/>
        <w:numPr>
          <w:ilvl w:val="2"/>
          <w:numId w:val="1"/>
        </w:numPr>
        <w:tabs>
          <w:tab w:pos="1599" w:val="left" w:leader="none"/>
          <w:tab w:pos="1600" w:val="left" w:leader="none"/>
        </w:tabs>
        <w:spacing w:line="249" w:lineRule="auto" w:before="63" w:after="0"/>
        <w:ind w:left="1600" w:right="359" w:hanging="360"/>
        <w:jc w:val="left"/>
        <w:rPr>
          <w:sz w:val="20"/>
        </w:rPr>
      </w:pPr>
      <w:r>
        <w:rPr>
          <w:sz w:val="20"/>
        </w:rPr>
        <w:t>Negotiated a contract with the State of Arkansas and City of Little Rock and designed and built </w:t>
      </w:r>
      <w:r>
        <w:rPr>
          <w:spacing w:val="2"/>
          <w:sz w:val="20"/>
        </w:rPr>
        <w:t>our </w:t>
      </w:r>
      <w:r>
        <w:rPr>
          <w:sz w:val="20"/>
        </w:rPr>
        <w:t>900-Agent Little Rock Reservations</w:t>
      </w:r>
      <w:r>
        <w:rPr>
          <w:spacing w:val="7"/>
          <w:sz w:val="20"/>
        </w:rPr>
        <w:t> </w:t>
      </w:r>
      <w:r>
        <w:rPr>
          <w:sz w:val="20"/>
        </w:rPr>
        <w:t>Center;</w:t>
      </w:r>
    </w:p>
    <w:p>
      <w:pPr>
        <w:pStyle w:val="ListParagraph"/>
        <w:numPr>
          <w:ilvl w:val="2"/>
          <w:numId w:val="1"/>
        </w:numPr>
        <w:tabs>
          <w:tab w:pos="1600" w:val="left" w:leader="none"/>
        </w:tabs>
        <w:spacing w:line="249" w:lineRule="auto" w:before="63" w:after="0"/>
        <w:ind w:left="1600" w:right="1057" w:hanging="360"/>
        <w:jc w:val="left"/>
        <w:rPr>
          <w:sz w:val="20"/>
        </w:rPr>
      </w:pPr>
      <w:r>
        <w:rPr>
          <w:spacing w:val="2"/>
          <w:sz w:val="20"/>
        </w:rPr>
        <w:t>Negotiated </w:t>
      </w:r>
      <w:r>
        <w:rPr>
          <w:sz w:val="20"/>
        </w:rPr>
        <w:t>and signed a collective bargaining agreement with the IAM covering 5,000 Reservation Sales and Customer Service</w:t>
      </w:r>
      <w:r>
        <w:rPr>
          <w:spacing w:val="1"/>
          <w:sz w:val="20"/>
        </w:rPr>
        <w:t> </w:t>
      </w:r>
      <w:r>
        <w:rPr>
          <w:sz w:val="20"/>
        </w:rPr>
        <w:t>Agents;</w:t>
      </w:r>
    </w:p>
    <w:p>
      <w:pPr>
        <w:pStyle w:val="ListParagraph"/>
        <w:numPr>
          <w:ilvl w:val="2"/>
          <w:numId w:val="1"/>
        </w:numPr>
        <w:tabs>
          <w:tab w:pos="1600" w:val="left" w:leader="none"/>
        </w:tabs>
        <w:spacing w:line="249" w:lineRule="auto" w:before="63" w:after="0"/>
        <w:ind w:left="1600" w:right="268" w:hanging="360"/>
        <w:jc w:val="left"/>
        <w:rPr>
          <w:sz w:val="20"/>
        </w:rPr>
      </w:pPr>
      <w:r>
        <w:rPr>
          <w:spacing w:val="2"/>
          <w:sz w:val="20"/>
        </w:rPr>
        <w:t>Negotiated </w:t>
      </w:r>
      <w:r>
        <w:rPr>
          <w:sz w:val="20"/>
        </w:rPr>
        <w:t>a landmark Pilot contract with the Southwest Airlines </w:t>
      </w:r>
      <w:r>
        <w:rPr>
          <w:spacing w:val="2"/>
          <w:sz w:val="20"/>
        </w:rPr>
        <w:t>Pilots’ </w:t>
      </w:r>
      <w:r>
        <w:rPr>
          <w:sz w:val="20"/>
        </w:rPr>
        <w:t>Association (SWAPA), fundamentally</w:t>
      </w:r>
      <w:r>
        <w:rPr>
          <w:spacing w:val="-7"/>
          <w:sz w:val="20"/>
        </w:rPr>
        <w:t> </w:t>
      </w:r>
      <w:r>
        <w:rPr>
          <w:spacing w:val="4"/>
          <w:sz w:val="20"/>
        </w:rPr>
        <w:t>offering</w:t>
      </w:r>
      <w:r>
        <w:rPr>
          <w:spacing w:val="-25"/>
          <w:sz w:val="20"/>
        </w:rPr>
        <w:t> </w:t>
      </w:r>
      <w:r>
        <w:rPr>
          <w:spacing w:val="2"/>
          <w:sz w:val="20"/>
        </w:rPr>
        <w:t>stock</w:t>
      </w:r>
      <w:r>
        <w:rPr>
          <w:spacing w:val="-7"/>
          <w:sz w:val="20"/>
        </w:rPr>
        <w:t> </w:t>
      </w:r>
      <w:r>
        <w:rPr>
          <w:spacing w:val="4"/>
          <w:sz w:val="20"/>
        </w:rPr>
        <w:t>options</w:t>
      </w:r>
      <w:r>
        <w:rPr>
          <w:spacing w:val="-17"/>
          <w:sz w:val="20"/>
        </w:rPr>
        <w:t> </w:t>
      </w:r>
      <w:r>
        <w:rPr>
          <w:sz w:val="20"/>
        </w:rPr>
        <w:t>in</w:t>
      </w:r>
      <w:r>
        <w:rPr>
          <w:spacing w:val="-7"/>
          <w:sz w:val="20"/>
        </w:rPr>
        <w:t> </w:t>
      </w:r>
      <w:r>
        <w:rPr>
          <w:sz w:val="20"/>
        </w:rPr>
        <w:t>lieu</w:t>
      </w:r>
      <w:r>
        <w:rPr>
          <w:spacing w:val="-7"/>
          <w:sz w:val="20"/>
        </w:rPr>
        <w:t> </w:t>
      </w:r>
      <w:r>
        <w:rPr>
          <w:spacing w:val="2"/>
          <w:sz w:val="20"/>
        </w:rPr>
        <w:t>of</w:t>
      </w:r>
      <w:r>
        <w:rPr>
          <w:spacing w:val="-7"/>
          <w:sz w:val="20"/>
        </w:rPr>
        <w:t> </w:t>
      </w:r>
      <w:r>
        <w:rPr>
          <w:sz w:val="20"/>
        </w:rPr>
        <w:t>pay</w:t>
      </w:r>
      <w:r>
        <w:rPr>
          <w:spacing w:val="-7"/>
          <w:sz w:val="20"/>
        </w:rPr>
        <w:t> </w:t>
      </w:r>
      <w:r>
        <w:rPr>
          <w:sz w:val="20"/>
        </w:rPr>
        <w:t>increases;</w:t>
      </w:r>
    </w:p>
    <w:p>
      <w:pPr>
        <w:pStyle w:val="ListParagraph"/>
        <w:numPr>
          <w:ilvl w:val="2"/>
          <w:numId w:val="1"/>
        </w:numPr>
        <w:tabs>
          <w:tab w:pos="1600" w:val="left" w:leader="none"/>
        </w:tabs>
        <w:spacing w:line="249" w:lineRule="auto" w:before="63" w:after="0"/>
        <w:ind w:left="1600" w:right="589" w:hanging="360"/>
        <w:jc w:val="left"/>
        <w:rPr>
          <w:sz w:val="20"/>
        </w:rPr>
      </w:pPr>
      <w:r>
        <w:rPr>
          <w:sz w:val="20"/>
        </w:rPr>
        <w:t>Sustained a year-long collision </w:t>
      </w:r>
      <w:r>
        <w:rPr>
          <w:spacing w:val="2"/>
          <w:sz w:val="20"/>
        </w:rPr>
        <w:t>with Continental Lite, indirectly </w:t>
      </w:r>
      <w:r>
        <w:rPr>
          <w:sz w:val="20"/>
        </w:rPr>
        <w:t>in </w:t>
      </w:r>
      <w:r>
        <w:rPr>
          <w:spacing w:val="3"/>
          <w:sz w:val="20"/>
        </w:rPr>
        <w:t>Texas </w:t>
      </w:r>
      <w:r>
        <w:rPr>
          <w:sz w:val="20"/>
        </w:rPr>
        <w:t>and </w:t>
      </w:r>
      <w:r>
        <w:rPr>
          <w:spacing w:val="2"/>
          <w:sz w:val="20"/>
        </w:rPr>
        <w:t>directly </w:t>
      </w:r>
      <w:r>
        <w:rPr>
          <w:spacing w:val="3"/>
          <w:sz w:val="20"/>
        </w:rPr>
        <w:t>on</w:t>
      </w:r>
      <w:r>
        <w:rPr>
          <w:spacing w:val="-28"/>
          <w:sz w:val="20"/>
        </w:rPr>
        <w:t> </w:t>
      </w:r>
      <w:r>
        <w:rPr>
          <w:spacing w:val="3"/>
          <w:sz w:val="20"/>
        </w:rPr>
        <w:t>the </w:t>
      </w:r>
      <w:r>
        <w:rPr>
          <w:sz w:val="20"/>
        </w:rPr>
        <w:t>Midway Airport-Cleveland-Baltimore axis </w:t>
      </w:r>
      <w:r>
        <w:rPr>
          <w:spacing w:val="2"/>
          <w:sz w:val="20"/>
        </w:rPr>
        <w:t>of </w:t>
      </w:r>
      <w:r>
        <w:rPr>
          <w:spacing w:val="3"/>
          <w:sz w:val="20"/>
        </w:rPr>
        <w:t>our</w:t>
      </w:r>
      <w:r>
        <w:rPr>
          <w:spacing w:val="-10"/>
          <w:sz w:val="20"/>
        </w:rPr>
        <w:t> </w:t>
      </w:r>
      <w:r>
        <w:rPr>
          <w:sz w:val="20"/>
        </w:rPr>
        <w:t>system;</w:t>
      </w:r>
    </w:p>
    <w:p>
      <w:pPr>
        <w:pStyle w:val="ListParagraph"/>
        <w:numPr>
          <w:ilvl w:val="2"/>
          <w:numId w:val="1"/>
        </w:numPr>
        <w:tabs>
          <w:tab w:pos="1600" w:val="left" w:leader="none"/>
        </w:tabs>
        <w:spacing w:line="240" w:lineRule="auto" w:before="63" w:after="0"/>
        <w:ind w:left="1600" w:right="0" w:hanging="360"/>
        <w:jc w:val="left"/>
        <w:rPr>
          <w:sz w:val="20"/>
        </w:rPr>
      </w:pPr>
      <w:r>
        <w:rPr>
          <w:sz w:val="20"/>
        </w:rPr>
        <w:t>Met the United Shuttle assault head-on in California </w:t>
      </w:r>
      <w:r>
        <w:rPr>
          <w:spacing w:val="2"/>
          <w:sz w:val="20"/>
        </w:rPr>
        <w:t>on </w:t>
      </w:r>
      <w:r>
        <w:rPr>
          <w:sz w:val="20"/>
        </w:rPr>
        <w:t>October 1, </w:t>
      </w:r>
      <w:r>
        <w:rPr>
          <w:spacing w:val="14"/>
          <w:sz w:val="20"/>
        </w:rPr>
        <w:t> </w:t>
      </w:r>
      <w:r>
        <w:rPr>
          <w:sz w:val="20"/>
        </w:rPr>
        <w:t>1994;</w:t>
      </w:r>
    </w:p>
    <w:p>
      <w:pPr>
        <w:pStyle w:val="ListParagraph"/>
        <w:numPr>
          <w:ilvl w:val="2"/>
          <w:numId w:val="1"/>
        </w:numPr>
        <w:tabs>
          <w:tab w:pos="1600" w:val="left" w:leader="none"/>
        </w:tabs>
        <w:spacing w:line="249" w:lineRule="auto" w:before="72" w:after="0"/>
        <w:ind w:left="1600" w:right="493" w:hanging="360"/>
        <w:jc w:val="left"/>
        <w:rPr>
          <w:sz w:val="20"/>
        </w:rPr>
      </w:pPr>
      <w:r>
        <w:rPr>
          <w:sz w:val="20"/>
        </w:rPr>
        <w:t>Won </w:t>
      </w:r>
      <w:r>
        <w:rPr>
          <w:spacing w:val="3"/>
          <w:sz w:val="20"/>
        </w:rPr>
        <w:t>our </w:t>
      </w:r>
      <w:r>
        <w:rPr>
          <w:sz w:val="20"/>
        </w:rPr>
        <w:t>third annual </w:t>
      </w:r>
      <w:r>
        <w:rPr>
          <w:spacing w:val="2"/>
          <w:sz w:val="20"/>
        </w:rPr>
        <w:t>Triple </w:t>
      </w:r>
      <w:r>
        <w:rPr>
          <w:sz w:val="20"/>
        </w:rPr>
        <w:t>Crown for best baggage handling; best </w:t>
      </w:r>
      <w:r>
        <w:rPr>
          <w:spacing w:val="4"/>
          <w:sz w:val="20"/>
        </w:rPr>
        <w:t>ontime </w:t>
      </w:r>
      <w:r>
        <w:rPr>
          <w:sz w:val="20"/>
        </w:rPr>
        <w:t>performance; and fewest Customer complaints per Customer</w:t>
      </w:r>
      <w:r>
        <w:rPr>
          <w:spacing w:val="9"/>
          <w:sz w:val="20"/>
        </w:rPr>
        <w:t> </w:t>
      </w:r>
      <w:r>
        <w:rPr>
          <w:sz w:val="20"/>
        </w:rPr>
        <w:t>carried;</w:t>
      </w:r>
    </w:p>
    <w:p>
      <w:pPr>
        <w:pStyle w:val="ListParagraph"/>
        <w:numPr>
          <w:ilvl w:val="2"/>
          <w:numId w:val="1"/>
        </w:numPr>
        <w:tabs>
          <w:tab w:pos="1600" w:val="left" w:leader="none"/>
        </w:tabs>
        <w:spacing w:line="240" w:lineRule="auto" w:before="63" w:after="0"/>
        <w:ind w:left="1600" w:right="0" w:hanging="360"/>
        <w:jc w:val="left"/>
        <w:rPr>
          <w:sz w:val="20"/>
        </w:rPr>
      </w:pPr>
      <w:r>
        <w:rPr>
          <w:spacing w:val="2"/>
          <w:sz w:val="20"/>
        </w:rPr>
        <w:t>Placed</w:t>
      </w:r>
      <w:r>
        <w:rPr>
          <w:spacing w:val="-36"/>
          <w:sz w:val="20"/>
        </w:rPr>
        <w:t> </w:t>
      </w:r>
      <w:r>
        <w:rPr>
          <w:sz w:val="20"/>
        </w:rPr>
        <w:t>first in </w:t>
      </w:r>
      <w:r>
        <w:rPr>
          <w:spacing w:val="2"/>
          <w:sz w:val="20"/>
        </w:rPr>
        <w:t>the </w:t>
      </w:r>
      <w:r>
        <w:rPr>
          <w:sz w:val="20"/>
        </w:rPr>
        <w:t>Airline </w:t>
      </w:r>
      <w:r>
        <w:rPr>
          <w:spacing w:val="2"/>
          <w:sz w:val="20"/>
        </w:rPr>
        <w:t>Quality Rating statistics; and</w:t>
      </w:r>
    </w:p>
    <w:p>
      <w:pPr>
        <w:pStyle w:val="ListParagraph"/>
        <w:numPr>
          <w:ilvl w:val="2"/>
          <w:numId w:val="1"/>
        </w:numPr>
        <w:tabs>
          <w:tab w:pos="1600" w:val="left" w:leader="none"/>
        </w:tabs>
        <w:spacing w:line="240" w:lineRule="auto" w:before="72" w:after="0"/>
        <w:ind w:left="1600" w:right="0" w:hanging="360"/>
        <w:jc w:val="left"/>
        <w:rPr>
          <w:sz w:val="20"/>
        </w:rPr>
      </w:pPr>
      <w:r>
        <w:rPr>
          <w:sz w:val="20"/>
        </w:rPr>
        <w:t>Operated 624,476 flights, carrying 42,742,602 Customers in perfect</w:t>
      </w:r>
      <w:r>
        <w:rPr>
          <w:spacing w:val="13"/>
          <w:sz w:val="20"/>
        </w:rPr>
        <w:t> </w:t>
      </w:r>
      <w:r>
        <w:rPr>
          <w:sz w:val="20"/>
        </w:rPr>
        <w:t>safety.</w:t>
      </w:r>
    </w:p>
    <w:p>
      <w:pPr>
        <w:spacing w:after="0" w:line="240" w:lineRule="auto"/>
        <w:jc w:val="left"/>
        <w:rPr>
          <w:sz w:val="20"/>
        </w:rPr>
        <w:sectPr>
          <w:headerReference w:type="default" r:id="rId15"/>
          <w:pgSz w:w="12240" w:h="15840"/>
          <w:pgMar w:header="725" w:footer="746" w:top="940" w:bottom="940" w:left="1640" w:right="920"/>
        </w:sectPr>
      </w:pPr>
    </w:p>
    <w:p>
      <w:pPr>
        <w:pStyle w:val="BodyText"/>
      </w:pPr>
    </w:p>
    <w:p>
      <w:pPr>
        <w:pStyle w:val="BodyText"/>
        <w:spacing w:before="4"/>
        <w:rPr>
          <w:sz w:val="25"/>
        </w:rPr>
      </w:pPr>
    </w:p>
    <w:p>
      <w:pPr>
        <w:pStyle w:val="BodyText"/>
        <w:spacing w:line="249" w:lineRule="auto" w:before="94"/>
        <w:ind w:left="819" w:right="199"/>
      </w:pPr>
      <w:r>
        <w:rPr/>
        <w:t>Our 1994 </w:t>
      </w:r>
      <w:r>
        <w:rPr>
          <w:spacing w:val="2"/>
        </w:rPr>
        <w:t>fourth </w:t>
      </w:r>
      <w:r>
        <w:rPr/>
        <w:t>quarter earnings </w:t>
      </w:r>
      <w:r>
        <w:rPr>
          <w:spacing w:val="2"/>
        </w:rPr>
        <w:t>of </w:t>
      </w:r>
      <w:r>
        <w:rPr/>
        <w:t>$20.3 million represented a 47 percent decline from the record $38.4 million </w:t>
      </w:r>
      <w:r>
        <w:rPr>
          <w:spacing w:val="2"/>
        </w:rPr>
        <w:t>of fourth </w:t>
      </w:r>
      <w:r>
        <w:rPr/>
        <w:t>quarter 1993. The principal causes for this decline were </w:t>
      </w:r>
      <w:r>
        <w:rPr>
          <w:spacing w:val="3"/>
        </w:rPr>
        <w:t>our own </w:t>
      </w:r>
      <w:r>
        <w:rPr/>
        <w:t>aggressive 30 percent expansion in Southwest’s capacity, as roughly 20 percent of </w:t>
      </w:r>
      <w:r>
        <w:rPr>
          <w:spacing w:val="2"/>
        </w:rPr>
        <w:t>our </w:t>
      </w:r>
      <w:r>
        <w:rPr/>
        <w:t>available seat miles were devoted to newly developing </w:t>
      </w:r>
      <w:r>
        <w:rPr>
          <w:spacing w:val="2"/>
        </w:rPr>
        <w:t>markets; Continental Airlines’ </w:t>
      </w:r>
      <w:r>
        <w:rPr/>
        <w:t>repetitive “50 percent off” sales, which </w:t>
      </w:r>
      <w:r>
        <w:rPr>
          <w:spacing w:val="2"/>
        </w:rPr>
        <w:t>both </w:t>
      </w:r>
      <w:r>
        <w:rPr/>
        <w:t>deprived us </w:t>
      </w:r>
      <w:r>
        <w:rPr>
          <w:spacing w:val="2"/>
        </w:rPr>
        <w:t>of </w:t>
      </w:r>
      <w:r>
        <w:rPr/>
        <w:t>Customers and reduced yields per revenue passenger mile; and, </w:t>
      </w:r>
      <w:r>
        <w:rPr>
          <w:spacing w:val="2"/>
        </w:rPr>
        <w:t>to </w:t>
      </w:r>
      <w:r>
        <w:rPr/>
        <w:t>a lesser extent, the </w:t>
      </w:r>
      <w:r>
        <w:rPr>
          <w:spacing w:val="2"/>
        </w:rPr>
        <w:t>introduction </w:t>
      </w:r>
      <w:r>
        <w:rPr>
          <w:spacing w:val="3"/>
        </w:rPr>
        <w:t>of </w:t>
      </w:r>
      <w:r>
        <w:rPr/>
        <w:t>the United Shuttle in </w:t>
      </w:r>
      <w:r>
        <w:rPr>
          <w:spacing w:val="3"/>
        </w:rPr>
        <w:t>our </w:t>
      </w:r>
      <w:r>
        <w:rPr/>
        <w:t>Oakland markets. We also experienced a technological problem with </w:t>
      </w:r>
      <w:r>
        <w:rPr>
          <w:spacing w:val="3"/>
        </w:rPr>
        <w:t>our </w:t>
      </w:r>
      <w:r>
        <w:rPr/>
        <w:t>Reservations System, which has since been</w:t>
      </w:r>
      <w:r>
        <w:rPr>
          <w:spacing w:val="15"/>
        </w:rPr>
        <w:t> </w:t>
      </w:r>
      <w:r>
        <w:rPr/>
        <w:t>cured.</w:t>
      </w:r>
    </w:p>
    <w:p>
      <w:pPr>
        <w:pStyle w:val="BodyText"/>
        <w:spacing w:line="249" w:lineRule="auto" w:before="121"/>
        <w:ind w:left="819" w:right="184"/>
      </w:pPr>
      <w:r>
        <w:rPr/>
        <w:t>We presently expect the aftereffects of fourth quarter 1994 </w:t>
      </w:r>
      <w:r>
        <w:rPr>
          <w:spacing w:val="2"/>
        </w:rPr>
        <w:t>to </w:t>
      </w:r>
      <w:r>
        <w:rPr/>
        <w:t>persist through first quarter 1995, resulting  in reduced load factors; lower yields; and substantially reduced earnings, as compared </w:t>
      </w:r>
      <w:r>
        <w:rPr>
          <w:spacing w:val="2"/>
        </w:rPr>
        <w:t>to </w:t>
      </w:r>
      <w:r>
        <w:rPr/>
        <w:t>first quarter  1994. As </w:t>
      </w:r>
      <w:r>
        <w:rPr>
          <w:spacing w:val="2"/>
        </w:rPr>
        <w:t>our </w:t>
      </w:r>
      <w:r>
        <w:rPr/>
        <w:t>most recent fare increases begin to take effect and </w:t>
      </w:r>
      <w:r>
        <w:rPr>
          <w:spacing w:val="2"/>
        </w:rPr>
        <w:t>our </w:t>
      </w:r>
      <w:r>
        <w:rPr/>
        <w:t>penetration of </w:t>
      </w:r>
      <w:r>
        <w:rPr>
          <w:spacing w:val="2"/>
        </w:rPr>
        <w:t>our </w:t>
      </w:r>
      <w:r>
        <w:rPr/>
        <w:t>new markets continues, we currently anticipate that </w:t>
      </w:r>
      <w:r>
        <w:rPr>
          <w:spacing w:val="3"/>
        </w:rPr>
        <w:t>our </w:t>
      </w:r>
      <w:r>
        <w:rPr/>
        <w:t>yields and load </w:t>
      </w:r>
      <w:r>
        <w:rPr>
          <w:spacing w:val="2"/>
        </w:rPr>
        <w:t>factors </w:t>
      </w:r>
      <w:r>
        <w:rPr/>
        <w:t>will begin </w:t>
      </w:r>
      <w:r>
        <w:rPr>
          <w:spacing w:val="2"/>
        </w:rPr>
        <w:t>to </w:t>
      </w:r>
      <w:r>
        <w:rPr/>
        <w:t>improve in the second quarter </w:t>
      </w:r>
      <w:r>
        <w:rPr>
          <w:spacing w:val="2"/>
        </w:rPr>
        <w:t>of </w:t>
      </w:r>
      <w:r>
        <w:rPr/>
        <w:t>1995, with a hoped for full recovery </w:t>
      </w:r>
      <w:r>
        <w:rPr>
          <w:spacing w:val="4"/>
        </w:rPr>
        <w:t>occurring </w:t>
      </w:r>
      <w:r>
        <w:rPr/>
        <w:t>in third quarter 1995, barring any profound changes in the </w:t>
      </w:r>
      <w:r>
        <w:rPr>
          <w:spacing w:val="2"/>
        </w:rPr>
        <w:t>fortunes of </w:t>
      </w:r>
      <w:r>
        <w:rPr/>
        <w:t>the airline industry </w:t>
      </w:r>
      <w:r>
        <w:rPr>
          <w:spacing w:val="2"/>
        </w:rPr>
        <w:t>or of </w:t>
      </w:r>
      <w:r>
        <w:rPr/>
        <w:t>the economy. Our </w:t>
      </w:r>
      <w:r>
        <w:rPr>
          <w:spacing w:val="2"/>
        </w:rPr>
        <w:t>battle </w:t>
      </w:r>
      <w:r>
        <w:rPr/>
        <w:t>with the United Shuttle will continue in 1995, but we expect </w:t>
      </w:r>
      <w:r>
        <w:rPr>
          <w:spacing w:val="3"/>
        </w:rPr>
        <w:t>our </w:t>
      </w:r>
      <w:r>
        <w:rPr/>
        <w:t>California </w:t>
      </w:r>
      <w:r>
        <w:rPr>
          <w:spacing w:val="4"/>
        </w:rPr>
        <w:t>operations </w:t>
      </w:r>
      <w:r>
        <w:rPr>
          <w:spacing w:val="2"/>
        </w:rPr>
        <w:t>to </w:t>
      </w:r>
      <w:r>
        <w:rPr/>
        <w:t>be profitable for the year. Excluding fuel and profitsharing, we also are planning to reduce </w:t>
      </w:r>
      <w:r>
        <w:rPr>
          <w:spacing w:val="2"/>
        </w:rPr>
        <w:t>our </w:t>
      </w:r>
      <w:r>
        <w:rPr/>
        <w:t>1995 </w:t>
      </w:r>
      <w:r>
        <w:rPr>
          <w:spacing w:val="3"/>
        </w:rPr>
        <w:t>operating </w:t>
      </w:r>
      <w:r>
        <w:rPr/>
        <w:t>costs per ASM below those of</w:t>
      </w:r>
      <w:r>
        <w:rPr>
          <w:spacing w:val="6"/>
        </w:rPr>
        <w:t> </w:t>
      </w:r>
      <w:r>
        <w:rPr/>
        <w:t>1994.</w:t>
      </w:r>
    </w:p>
    <w:p>
      <w:pPr>
        <w:pStyle w:val="BodyText"/>
        <w:spacing w:line="249" w:lineRule="auto" w:before="121"/>
        <w:ind w:left="819" w:right="199"/>
      </w:pPr>
      <w:r>
        <w:rPr/>
        <w:t>In 1994, our People made an enormous investment in the future of Southwest Airlines. Only Southwest’s People could have effectively handled so much change so successfully. While a number of other airlines may attempt to imitate Southwest, none of them can duplicate the spirit, unity, “can do” attitudes, and marvelous </w:t>
      </w:r>
      <w:r>
        <w:rPr>
          <w:i/>
        </w:rPr>
        <w:t>esprit de corps </w:t>
      </w:r>
      <w:r>
        <w:rPr/>
        <w:t>of the Southwest Employees, who continually provide superb Customer Service to each other and to the traveling public. Just as the past has belonged to Southwest because of our People’s goodwill, dedication, and energy, so shall Southwest seize the future!</w:t>
      </w:r>
    </w:p>
    <w:p>
      <w:pPr>
        <w:pStyle w:val="BodyText"/>
        <w:spacing w:before="121"/>
        <w:ind w:left="819"/>
      </w:pPr>
      <w:r>
        <w:rPr/>
        <w:t>Most sincerely,</w:t>
      </w:r>
    </w:p>
    <w:p>
      <w:pPr>
        <w:pStyle w:val="BodyText"/>
        <w:spacing w:before="10"/>
        <w:rPr>
          <w:sz w:val="17"/>
        </w:rPr>
      </w:pPr>
      <w:r>
        <w:rPr/>
        <w:drawing>
          <wp:anchor distT="0" distB="0" distL="0" distR="0" allowOverlap="1" layoutInCell="1" locked="0" behindDoc="0" simplePos="0" relativeHeight="2176">
            <wp:simplePos x="0" y="0"/>
            <wp:positionH relativeFrom="page">
              <wp:posOffset>1600200</wp:posOffset>
            </wp:positionH>
            <wp:positionV relativeFrom="paragraph">
              <wp:posOffset>155245</wp:posOffset>
            </wp:positionV>
            <wp:extent cx="2001834" cy="355949"/>
            <wp:effectExtent l="0" t="0" r="0" b="0"/>
            <wp:wrapTopAndBottom/>
            <wp:docPr id="87" name="image6.jpeg" descr=""/>
            <wp:cNvGraphicFramePr>
              <a:graphicFrameLocks noChangeAspect="1"/>
            </wp:cNvGraphicFramePr>
            <a:graphic>
              <a:graphicData uri="http://schemas.openxmlformats.org/drawingml/2006/picture">
                <pic:pic>
                  <pic:nvPicPr>
                    <pic:cNvPr id="88" name="image6.jpeg"/>
                    <pic:cNvPicPr/>
                  </pic:nvPicPr>
                  <pic:blipFill>
                    <a:blip r:embed="rId16" cstate="print"/>
                    <a:stretch>
                      <a:fillRect/>
                    </a:stretch>
                  </pic:blipFill>
                  <pic:spPr>
                    <a:xfrm>
                      <a:off x="0" y="0"/>
                      <a:ext cx="2001834" cy="355949"/>
                    </a:xfrm>
                    <a:prstGeom prst="rect">
                      <a:avLst/>
                    </a:prstGeom>
                  </pic:spPr>
                </pic:pic>
              </a:graphicData>
            </a:graphic>
          </wp:anchor>
        </w:drawing>
      </w:r>
    </w:p>
    <w:p>
      <w:pPr>
        <w:pStyle w:val="BodyText"/>
        <w:spacing w:before="10"/>
        <w:rPr>
          <w:sz w:val="18"/>
        </w:rPr>
      </w:pPr>
    </w:p>
    <w:p>
      <w:pPr>
        <w:pStyle w:val="BodyText"/>
        <w:spacing w:line="249" w:lineRule="auto"/>
        <w:ind w:left="820" w:right="6347"/>
      </w:pPr>
      <w:r>
        <w:rPr/>
        <w:t>Herbert D. Kelleher Chairman, President, and Chief Executive Officer February 9, 1995</w:t>
      </w:r>
    </w:p>
    <w:p>
      <w:pPr>
        <w:spacing w:after="0" w:line="249" w:lineRule="auto"/>
        <w:sectPr>
          <w:pgSz w:w="12240" w:h="15840"/>
          <w:pgMar w:header="725" w:footer="746" w:top="940" w:bottom="940" w:left="1700" w:right="96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2200;mso-wrap-distance-left:0;mso-wrap-distance-right:0" from="88.559998pt,27.763792pt" to="559.439998pt,27.763792pt" stroked="true" strokeweight="1.44pt" strokecolor="#000000">
            <v:stroke dashstyle="solid"/>
            <w10:wrap type="topAndBottom"/>
          </v:line>
        </w:pict>
      </w:r>
      <w:bookmarkStart w:name="_TOC_250016" w:id="5"/>
      <w:bookmarkEnd w:id="5"/>
      <w:r>
        <w:rPr/>
        <w:t>Low Cost</w:t>
      </w:r>
    </w:p>
    <w:p>
      <w:pPr>
        <w:pStyle w:val="BodyText"/>
        <w:rPr>
          <w:rFonts w:ascii="Arial"/>
        </w:rPr>
      </w:pPr>
    </w:p>
    <w:p>
      <w:pPr>
        <w:pStyle w:val="BodyText"/>
        <w:spacing w:before="7"/>
        <w:rPr>
          <w:rFonts w:ascii="Arial"/>
          <w:sz w:val="19"/>
        </w:rPr>
      </w:pPr>
    </w:p>
    <w:p>
      <w:pPr>
        <w:pStyle w:val="BodyText"/>
        <w:spacing w:line="249" w:lineRule="auto"/>
        <w:ind w:left="880" w:right="167"/>
      </w:pPr>
      <w:r>
        <w:rPr/>
        <w:t>Southwest has the lowest cost structure among all major airlines. In the intensely competitive airline industry, this is the most important aspect of our business strategy, after safety, as it allows us to profitably offer Customers what they want most from safe air transportation— low fares. Southwest is </w:t>
      </w:r>
      <w:r>
        <w:rPr>
          <w:u w:val="single"/>
        </w:rPr>
        <w:t>THE </w:t>
      </w:r>
      <w:r>
        <w:rPr/>
        <w:t>Low Fare Airline every day, everywhere we fly.</w:t>
      </w:r>
    </w:p>
    <w:p>
      <w:pPr>
        <w:pStyle w:val="BodyText"/>
        <w:spacing w:line="249" w:lineRule="auto" w:before="120"/>
        <w:ind w:left="880" w:right="167"/>
      </w:pPr>
      <w:r>
        <w:rPr/>
        <w:t>Our operating costs per available seat mile were 2.3 percent lower in 1994 than 1993, a distinct accomplishment considering the heavy expansion cost we incurred in 1994 to develop new markets. The foundation of our cost structure includes a commitment to a principal market niche, which allows us to streamline our marketing and operations; high asset utilization and Employee productivity; and the Southwest Spirit of our Employees.</w:t>
      </w:r>
    </w:p>
    <w:p>
      <w:pPr>
        <w:pStyle w:val="BodyText"/>
        <w:spacing w:line="249" w:lineRule="auto" w:before="120"/>
        <w:ind w:left="880" w:right="237"/>
      </w:pPr>
      <w:r>
        <w:rPr/>
        <w:t>Our distribution costs are also lower than most of </w:t>
      </w:r>
      <w:r>
        <w:rPr>
          <w:spacing w:val="2"/>
        </w:rPr>
        <w:t>our </w:t>
      </w:r>
      <w:r>
        <w:rPr/>
        <w:t>competitors because of </w:t>
      </w:r>
      <w:r>
        <w:rPr>
          <w:spacing w:val="2"/>
        </w:rPr>
        <w:t>our </w:t>
      </w:r>
      <w:r>
        <w:rPr/>
        <w:t>dominant market presence; </w:t>
      </w:r>
      <w:r>
        <w:rPr>
          <w:spacing w:val="3"/>
        </w:rPr>
        <w:t>our </w:t>
      </w:r>
      <w:r>
        <w:rPr/>
        <w:t>simple and reliably low fare structure; and the ease </w:t>
      </w:r>
      <w:r>
        <w:rPr>
          <w:spacing w:val="2"/>
        </w:rPr>
        <w:t>of </w:t>
      </w:r>
      <w:r>
        <w:rPr/>
        <w:t>dealing with us directly. In 1994, we </w:t>
      </w:r>
      <w:r>
        <w:rPr>
          <w:spacing w:val="3"/>
        </w:rPr>
        <w:t>took </w:t>
      </w:r>
      <w:r>
        <w:rPr/>
        <w:t>steps to lower </w:t>
      </w:r>
      <w:r>
        <w:rPr>
          <w:spacing w:val="2"/>
        </w:rPr>
        <w:t>our </w:t>
      </w:r>
      <w:r>
        <w:rPr/>
        <w:t>distribution costs further, by enhancing </w:t>
      </w:r>
      <w:r>
        <w:rPr>
          <w:spacing w:val="2"/>
        </w:rPr>
        <w:t>our </w:t>
      </w:r>
      <w:r>
        <w:rPr/>
        <w:t>Ticket By Mail product and  introducing Ticketless travel. Each </w:t>
      </w:r>
      <w:r>
        <w:rPr>
          <w:spacing w:val="2"/>
        </w:rPr>
        <w:t>of </w:t>
      </w:r>
      <w:r>
        <w:rPr/>
        <w:t>these initiatives made it easier for </w:t>
      </w:r>
      <w:r>
        <w:rPr>
          <w:spacing w:val="3"/>
        </w:rPr>
        <w:t>our </w:t>
      </w:r>
      <w:r>
        <w:rPr/>
        <w:t>Customers </w:t>
      </w:r>
      <w:r>
        <w:rPr>
          <w:spacing w:val="2"/>
        </w:rPr>
        <w:t>to </w:t>
      </w:r>
      <w:r>
        <w:rPr/>
        <w:t>secure travel </w:t>
      </w:r>
      <w:r>
        <w:rPr>
          <w:spacing w:val="3"/>
        </w:rPr>
        <w:t>on </w:t>
      </w:r>
      <w:r>
        <w:rPr/>
        <w:t>Southwest. Also, in January 1995, we reached an agreement with AMR’s SABRE unit as </w:t>
      </w:r>
      <w:r>
        <w:rPr>
          <w:spacing w:val="2"/>
        </w:rPr>
        <w:t>the launch </w:t>
      </w:r>
      <w:r>
        <w:rPr/>
        <w:t>customer for its new “ Basic Booking Request” level, a </w:t>
      </w:r>
      <w:r>
        <w:rPr>
          <w:spacing w:val="2"/>
        </w:rPr>
        <w:t>“no-frills” </w:t>
      </w:r>
      <w:r>
        <w:rPr/>
        <w:t>product for travel agencies and direct Customers that allows them automated access to </w:t>
      </w:r>
      <w:r>
        <w:rPr>
          <w:spacing w:val="2"/>
        </w:rPr>
        <w:t>our </w:t>
      </w:r>
      <w:r>
        <w:rPr/>
        <w:t>reservations system for booking purposes. This new service will be available May 1, 1995, and will further reduce </w:t>
      </w:r>
      <w:r>
        <w:rPr>
          <w:spacing w:val="3"/>
        </w:rPr>
        <w:t>our </w:t>
      </w:r>
      <w:r>
        <w:rPr>
          <w:spacing w:val="4"/>
        </w:rPr>
        <w:t>operating </w:t>
      </w:r>
      <w:r>
        <w:rPr/>
        <w:t>cost per</w:t>
      </w:r>
      <w:r>
        <w:rPr>
          <w:spacing w:val="4"/>
        </w:rPr>
        <w:t> </w:t>
      </w:r>
      <w:r>
        <w:rPr/>
        <w:t>passenger.</w:t>
      </w:r>
    </w:p>
    <w:p>
      <w:pPr>
        <w:pStyle w:val="BodyText"/>
        <w:spacing w:line="249" w:lineRule="auto" w:before="120"/>
        <w:ind w:left="880" w:right="167"/>
      </w:pPr>
      <w:r>
        <w:rPr/>
        <w:t>Our focus on low </w:t>
      </w:r>
      <w:r>
        <w:rPr>
          <w:spacing w:val="3"/>
        </w:rPr>
        <w:t>operating </w:t>
      </w:r>
      <w:r>
        <w:rPr/>
        <w:t>costs will continue </w:t>
      </w:r>
      <w:r>
        <w:rPr>
          <w:spacing w:val="2"/>
        </w:rPr>
        <w:t>to </w:t>
      </w:r>
      <w:r>
        <w:rPr/>
        <w:t>be intense in 1995. Distribution costs will continue </w:t>
      </w:r>
      <w:r>
        <w:rPr>
          <w:spacing w:val="2"/>
        </w:rPr>
        <w:t>to </w:t>
      </w:r>
      <w:r>
        <w:rPr/>
        <w:t>be a primary focus as we roll </w:t>
      </w:r>
      <w:r>
        <w:rPr>
          <w:spacing w:val="3"/>
        </w:rPr>
        <w:t>out </w:t>
      </w:r>
      <w:r>
        <w:rPr/>
        <w:t>Ticketless systemwide </w:t>
      </w:r>
      <w:r>
        <w:rPr>
          <w:spacing w:val="2"/>
        </w:rPr>
        <w:t>on </w:t>
      </w:r>
      <w:r>
        <w:rPr/>
        <w:t>January 31, 1995; implement SABRE’s new  Basic Booking Request level on May 1, 1995; explore </w:t>
      </w:r>
      <w:r>
        <w:rPr>
          <w:spacing w:val="3"/>
        </w:rPr>
        <w:t>other </w:t>
      </w:r>
      <w:r>
        <w:rPr/>
        <w:t>automated booking </w:t>
      </w:r>
      <w:r>
        <w:rPr>
          <w:spacing w:val="3"/>
        </w:rPr>
        <w:t>opportunities; </w:t>
      </w:r>
      <w:r>
        <w:rPr/>
        <w:t>and embark </w:t>
      </w:r>
      <w:r>
        <w:rPr>
          <w:spacing w:val="2"/>
        </w:rPr>
        <w:t>on </w:t>
      </w:r>
      <w:r>
        <w:rPr/>
        <w:t>a new internal reservations system development effort scheduled for completion no later than 1997. We also </w:t>
      </w:r>
      <w:r>
        <w:rPr>
          <w:spacing w:val="2"/>
        </w:rPr>
        <w:t>reached </w:t>
      </w:r>
      <w:r>
        <w:rPr/>
        <w:t>a landmark ten-year agreement with </w:t>
      </w:r>
      <w:r>
        <w:rPr>
          <w:spacing w:val="3"/>
        </w:rPr>
        <w:t>our </w:t>
      </w:r>
      <w:r>
        <w:rPr/>
        <w:t>Pilots in January 1995, calling for </w:t>
      </w:r>
      <w:r>
        <w:rPr>
          <w:spacing w:val="2"/>
        </w:rPr>
        <w:t>stock </w:t>
      </w:r>
      <w:r>
        <w:rPr>
          <w:spacing w:val="4"/>
        </w:rPr>
        <w:t>options </w:t>
      </w:r>
      <w:r>
        <w:rPr/>
        <w:t>in exchange for, among </w:t>
      </w:r>
      <w:r>
        <w:rPr>
          <w:spacing w:val="4"/>
        </w:rPr>
        <w:t>other </w:t>
      </w:r>
      <w:r>
        <w:rPr/>
        <w:t>things, no </w:t>
      </w:r>
      <w:r>
        <w:rPr>
          <w:spacing w:val="2"/>
        </w:rPr>
        <w:t>trip rate </w:t>
      </w:r>
      <w:r>
        <w:rPr/>
        <w:t>increases for the next five years. Finally, </w:t>
      </w:r>
      <w:r>
        <w:rPr>
          <w:spacing w:val="3"/>
        </w:rPr>
        <w:t>our </w:t>
      </w:r>
      <w:r>
        <w:rPr/>
        <w:t>expansion plans for 1995 will be more conservative (possibly </w:t>
      </w:r>
      <w:r>
        <w:rPr>
          <w:spacing w:val="3"/>
        </w:rPr>
        <w:t>only one </w:t>
      </w:r>
      <w:r>
        <w:rPr/>
        <w:t>new city), resulting in lower advertising and </w:t>
      </w:r>
      <w:r>
        <w:rPr>
          <w:spacing w:val="2"/>
        </w:rPr>
        <w:t>marketing expenditures </w:t>
      </w:r>
      <w:r>
        <w:rPr/>
        <w:t>per available seat mile </w:t>
      </w:r>
      <w:r>
        <w:rPr>
          <w:spacing w:val="2"/>
        </w:rPr>
        <w:t>than </w:t>
      </w:r>
      <w:r>
        <w:rPr/>
        <w:t>in</w:t>
      </w:r>
      <w:r>
        <w:rPr>
          <w:spacing w:val="3"/>
        </w:rPr>
        <w:t> </w:t>
      </w:r>
      <w:r>
        <w:rPr/>
        <w:t>1994.</w:t>
      </w:r>
    </w:p>
    <w:p>
      <w:pPr>
        <w:pStyle w:val="BodyText"/>
        <w:spacing w:before="6"/>
        <w:rPr>
          <w:sz w:val="12"/>
        </w:rPr>
      </w:pPr>
    </w:p>
    <w:p>
      <w:pPr>
        <w:spacing w:after="0"/>
        <w:rPr>
          <w:sz w:val="12"/>
        </w:rPr>
        <w:sectPr>
          <w:headerReference w:type="default" r:id="rId17"/>
          <w:pgSz w:w="12240" w:h="15840"/>
          <w:pgMar w:header="725" w:footer="746" w:top="940" w:bottom="940" w:left="1640" w:right="920"/>
        </w:sectPr>
      </w:pPr>
    </w:p>
    <w:p>
      <w:pPr>
        <w:pStyle w:val="Heading2"/>
        <w:spacing w:before="96"/>
      </w:pPr>
      <w:r>
        <w:rPr/>
        <w:t>Passenger Revenue Per Revenue Passenger Mile</w:t>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tabs>
          <w:tab w:pos="1223" w:val="left" w:leader="none"/>
        </w:tabs>
        <w:ind w:left="880"/>
        <w:rPr>
          <w:rFonts w:ascii="Arial" w:hAnsi="Arial"/>
        </w:rPr>
      </w:pPr>
      <w:r>
        <w:rPr/>
        <w:pict>
          <v:group style="position:absolute;margin-left:125.875pt;margin-top:-9.820118pt;width:289.45pt;height:92.2pt;mso-position-horizontal-relative:page;mso-position-vertical-relative:paragraph;z-index:2344" coordorigin="2518,-196" coordsize="5789,1844">
            <v:rect style="position:absolute;left:2880;top:725;width:720;height:898" filled="true" fillcolor="#ff6600" stroked="false">
              <v:fill type="solid"/>
            </v:rect>
            <v:shape style="position:absolute;left:2520;top:1263;width:1349;height:2" coordorigin="2520,1263" coordsize="1349,0" path="m2520,1263l2525,1263m2544,1263l2549,1263m2573,1263l2578,1263m2597,1263l2602,1263m2626,1263l2630,1263m2650,1263l2654,1263m2674,1263l2678,1263m2702,1263l2707,1263m2726,1263l2731,1263m2755,1263l2760,1263m2779,1263l2784,1263m2803,1263l2808,1263m2832,1263l2837,1263m2856,1263l2861,1263m2885,1263l2890,1263m2909,1263l2914,1263m2933,1263l2938,1263m2962,1263l2966,1263m2986,1263l2990,1263m3014,1263l3019,1263m3038,1263l3043,1263m3062,1263l3067,1263m3091,1263l3096,1263m3115,1263l3120,1263m3144,1263l3149,1263m3168,1263l3173,1263m3192,1263l3197,1263m3221,1263l3226,1263m3245,1263l3250,1263m3274,1263l3278,1263m3298,1263l3302,1263m3322,1263l3326,1263m3350,1263l3355,1263m3374,1263l3379,1263m3403,1263l3408,1263m3427,1263l3432,1263m3451,1263l3456,1263m3480,1263l3485,1263m3504,1263l3509,1263m3533,1263l3538,1263m3557,1263l3562,1263m3581,1263l3586,1263m3610,1263l3610,1263m3634,1263l3638,1263m3658,1263l3662,1263m3686,1263l3691,1263m3710,1263l3715,1263m3739,1263l3739,1263m3763,1263l3768,1263m3787,1263l3792,1263m3816,1263l3821,1263m3840,1263l3845,1263m3869,1263l3869,1263e" filled="false" stroked="true" strokeweight=".24pt" strokecolor="#000000">
              <v:path arrowok="t"/>
              <v:stroke dashstyle="solid"/>
            </v:shape>
            <v:rect style="position:absolute;left:3960;top:816;width:720;height:806" filled="true" fillcolor="#ff00ff" stroked="false">
              <v:fill type="solid"/>
            </v:rect>
            <v:shape style="position:absolute;left:3893;top:1263;width:1066;height:2" coordorigin="3893,1263" coordsize="1066,0" path="m3893,1263l3898,1263m3917,1263l3922,1263m3946,1263l3950,1263m3970,1263l3974,1263m3998,1263l3998,1263m4022,1263l4027,1263m4046,1263l4051,1263m4075,1263l4080,1263m4099,1263l4104,1263m4128,1263l4128,1263m4152,1263l4157,1263m4176,1263l4181,1263m4205,1263l4210,1263m4229,1263l4234,1263m4258,1263l4258,1263m4282,1263l4286,1263m4306,1263l4310,1263m4334,1263l4339,1263m4358,1263l4363,1263m4387,1263l4387,1263m4411,1263l4416,1263m4435,1263l4440,1263m4464,1263l4469,1263m4488,1263l4493,1263m4517,1263l4517,1263m4541,1263l4546,1263m4565,1263l4570,1263m4594,1263l4598,1263m4618,1263l4622,1263m4646,1263l4646,1263m4670,1263l4675,1263m4694,1263l4699,1263m4723,1263l4728,1263m4747,1263l4752,1263m4776,1263l4776,1263m4800,1263l4805,1263m4824,1263l4829,1263m4853,1263l4858,1263m4877,1263l4882,1263m4906,1263l4906,1263m4930,1263l4934,1263m4954,1263l4958,1263e" filled="false" stroked="true" strokeweight=".24pt" strokecolor="#000000">
              <v:path arrowok="t"/>
              <v:stroke dashstyle="solid"/>
            </v:shape>
            <v:rect style="position:absolute;left:5040;top:634;width:720;height:989" filled="true" fillcolor="#ff0000" stroked="false">
              <v:fill type="solid"/>
            </v:rect>
            <v:shape style="position:absolute;left:4982;top:1263;width:1066;height:2" coordorigin="4982,1263" coordsize="1066,0" path="m4982,1263l4987,1263m5006,1263l5011,1263m5035,1263l5035,1263m5059,1263l5064,1263m5083,1263l5088,1263m5112,1263l5117,1263m5136,1263l5141,1263m5165,1263l5165,1263m5189,1263l5194,1263m5213,1263l5218,1263m5242,1263l5246,1263m5266,1263l5270,1263m5294,1263l5294,1263m5318,1263l5323,1263m5342,1263l5347,1263m5371,1263l5376,1263m5395,1263l5400,1263m5424,1263l5424,1263m5448,1263l5453,1263m5472,1263l5477,1263m5501,1263l5506,1263m5525,1263l5530,1263m5554,1263l5554,1263m5578,1263l5582,1263m5602,1263l5606,1263m5630,1263l5635,1263m5654,1263l5659,1263m5683,1263l5683,1263m5707,1263l5712,1263m5731,1263l5736,1263m5760,1263l5765,1263m5784,1263l5789,1263m5813,1263l5813,1263m5837,1263l5842,1263m5861,1263l5866,1263m5890,1263l5894,1263m5914,1263l5918,1263m5942,1263l5942,1263m5966,1263l5971,1263m5990,1263l5995,1263m6019,1263l6024,1263m6043,1263l6048,1263e" filled="false" stroked="true" strokeweight=".24pt" strokecolor="#000000">
              <v:path arrowok="t"/>
              <v:stroke dashstyle="solid"/>
            </v:shape>
            <v:rect style="position:absolute;left:6120;top:634;width:720;height:989" filled="true" fillcolor="#00ff00" stroked="false">
              <v:fill type="solid"/>
            </v:rect>
            <v:shape style="position:absolute;left:6072;top:1263;width:1037;height:2" coordorigin="6072,1263" coordsize="1037,0" path="m6072,1263l6072,1263m6096,1263l6101,1263m6120,1263l6125,1263m6149,1263l6154,1263m6173,1263l6178,1263m6202,1263l6202,1263m6226,1263l6230,1263m6250,1263l6254,1263m6278,1263l6283,1263m6302,1263l6307,1263m6331,1263l6331,1263m6355,1263l6360,1263m6379,1263l6384,1263m6408,1263l6413,1263m6432,1263l6437,1263m6461,1263l6461,1263m6485,1263l6490,1263m6509,1263l6514,1263m6538,1263l6542,1263m6562,1263l6566,1263m6590,1263l6590,1263m6614,1263l6619,1263m6638,1263l6643,1263m6667,1263l6672,1263m6691,1263l6696,1263m6720,1263l6720,1263m6744,1263l6749,1263m6768,1263l6773,1263m6797,1263l6802,1263m6821,1263l6826,1263m6850,1263l6850,1263m6874,1263l6878,1263m6898,1263l6902,1263m6926,1263l6931,1263m6950,1263l6955,1263m6979,1263l6979,1263m7003,1263l7008,1263m7027,1263l7032,1263m7056,1263l7061,1263m7080,1263l7085,1263m7109,1263l7109,1263e" filled="false" stroked="true" strokeweight=".24pt" strokecolor="#000000">
              <v:path arrowok="t"/>
              <v:stroke dashstyle="solid"/>
            </v:shape>
            <v:rect style="position:absolute;left:7200;top:725;width:720;height:898" filled="true" fillcolor="#0000ff" stroked="false">
              <v:fill type="solid"/>
            </v:rect>
            <v:shape style="position:absolute;left:2520;top:908;width:5784;height:356" coordorigin="2520,908" coordsize="5784,356" path="m7133,1263l7138,1263m7157,1263l7162,1263m7186,1263l7190,1263m7210,1263l7214,1263m7238,1263l7238,1263m7262,1263l7267,1263m7286,1263l7291,1263m7315,1263l7320,1263m7339,1263l7344,1263m7368,1263l7368,1263m7392,1263l7397,1263m7416,1263l7421,1263m7445,1263l7450,1263m7469,1263l7474,1263m7498,1263l7498,1263m7522,1263l7526,1263m7546,1263l7550,1263m7574,1263l7579,1263m7598,1263l7603,1263m7627,1263l7627,1263m7651,1263l7656,1263m7675,1263l7680,1263m7704,1263l7709,1263m7728,1263l7733,1263m7757,1263l7757,1263m7781,1263l7786,1263m7805,1263l7810,1263m7834,1263l7838,1263m7858,1263l7862,1263m7886,1263l7886,1263m7910,1263l7915,1263m7934,1263l7939,1263m7963,1263l7968,1263m7987,1263l7992,1263m8016,1263l8016,1263m8040,1263l8045,1263m8064,1263l8069,1263m8093,1263l8098,1263m8117,1263l8122,1263m8146,1263l8146,1263m8170,1263l8174,1263m8194,1263l8198,1263m8222,1263l8227,1263m8246,1263l8251,1263m8275,1263l8275,1263m8299,1263l8304,1263m2520,908l2525,908m2544,908l2549,908m2573,908l2578,908m2597,908l2602,908m2626,908l2630,908m2650,908l2654,908m2674,908l2678,908m2702,908l2707,908m2726,908l2731,908m2755,908l2760,908m2779,908l2784,908m2803,908l2808,908m2832,908l2837,908m2856,908l2861,908m2885,908l2890,908m2909,908l2914,908m2933,908l2938,908m2962,908l2966,908m2986,908l2990,908m3014,908l3019,908m3038,908l3043,908m3062,908l3067,908m3091,908l3096,908m3115,908l3120,908m3144,908l3149,908m3168,908l3173,908m3192,908l3197,908m3221,908l3226,908m3245,908l3250,908m3274,908l3278,908m3298,908l3302,908m3322,908l3326,908m3350,908l3355,908m3374,908l3379,908m3403,908l3408,908m3427,908l3432,908m3451,908l3456,908m3480,908l3485,908m3504,908l3509,908m3533,908l3538,908m3557,908l3562,908m3581,908l3586,908m3610,908l3610,908m3634,908l3638,908m3658,908l3662,908m3686,908l3691,908m3710,908l3715,908m3739,908l3739,908m3763,908l3768,908m3787,908l3792,908m3816,908l3821,908m3840,908l3845,908m3869,908l3869,908m3893,908l3898,908m3917,908l3922,908m3946,908l3950,908m3970,908l3974,908m3998,908l3998,908m4022,908l4027,908m4046,908l4051,908m4075,908l4080,908m4099,908l4104,908m4128,908l4128,908m4152,908l4157,908m4176,908l4181,908m4205,908l4210,908m4229,908l4234,908m4258,908l4258,908m4282,908l4286,908m4306,908l4310,908m4334,908l4339,908m4358,908l4363,908m4387,908l4387,908m4411,908l4416,908m4435,908l4440,908m4464,908l4469,908m4488,908l4493,908m4517,908l4517,908m4541,908l4546,908m4565,908l4570,908m4594,908l4598,908m4618,908l4622,908m4646,908l4646,908m4670,908l4675,908m4694,908l4699,908m4723,908l4728,908m4747,908l4752,908m4776,908l4776,908m4800,908l4805,908m4824,908l4829,908m4853,908l4858,908m4877,908l4882,908m4906,908l4906,908m4930,908l4934,908m4954,908l4958,908m4982,908l4987,908m5006,908l5011,908m5035,908l5035,908m5059,908l5064,908m5083,908l5088,908m5112,908l5117,908m5136,908l5141,908m5165,908l5165,908m5189,908l5194,908m5213,908l5218,908m5242,908l5246,908m5266,908l5270,908m5294,908l5294,908m5318,908l5323,908m5342,908l5347,908m5371,908l5376,908m5395,908l5400,908m5424,908l5424,908m5448,908l5453,908m5472,908l5477,908m5501,908l5506,908m5525,908l5530,908m5554,908l5554,908m5578,908l5582,908m5602,908l5606,908m5630,908l5635,908m5654,908l5659,908m5683,908l5683,908m5707,908l5712,908m5731,908l5736,908m5760,908l5765,908m5784,908l5789,908m5813,908l5813,908m5837,908l5842,908m5861,908l5866,908m5890,908l5894,908m5914,908l5918,908m5942,908l5942,908m5966,908l5971,908m5990,908l5995,908m6019,908l6024,908m6043,908l6048,908m6072,908l6072,908m6096,908l6101,908m6120,908l6125,908m6149,908l6154,908m6173,908l6178,908m6202,908l6202,908m6226,908l6230,908m6250,908l6254,908m6278,908l6283,908m6302,908l6307,908m6331,908l6331,908m6355,908l6360,908m6379,908l6384,908m6408,908l6413,908m6432,908l6437,908m6461,908l6461,908m6485,908l6490,908m6509,908l6514,908m6538,908l6542,908m6562,908l6566,908m6590,908l6590,908m6614,908l6619,908m6638,908l6643,908m6667,908l6672,908m6691,908l6696,908m6720,908l6720,908m6744,908l6749,908m6768,908l6773,908m6797,908l6802,908m6821,908l6826,908m6850,908l6850,908m6874,908l6878,908m6898,908l6902,908m6926,908l6931,908m6950,908l6955,908m6979,908l6979,908m7003,908l7008,908m7027,908l7032,908m7056,908l7061,908m7080,908l7085,908m7109,908l7109,908m7133,908l7138,908m7157,908l7162,908m7186,908l7190,908m7210,908l7214,908m7238,908l7238,908m7262,908l7267,908m7286,908l7291,908m7315,908l7320,908m7339,908l7344,908m7368,908l7368,908m7392,908l7397,908m7416,908l7421,908m7445,908l7450,908m7469,908l7474,908m7498,908l7498,908m7522,908l7526,908m7546,908l7550,908m7574,908l7579,908m7598,908l7603,908m7627,908l7627,908m7651,908l7656,908m7675,908l7680,908m7704,908l7709,908m7728,908l7733,908m7757,908l7757,908m7781,908l7786,908m7805,908l7810,908m7834,908l7838,908m7858,908l7862,908m7886,908l7886,908m7910,908l7915,908m7934,908l7939,908m7963,908l7968,908m7987,908l7992,908m8016,908l8016,908m8040,908l8045,908m8064,908l8069,908m8093,908l8098,908m8117,908l8122,908m8146,908l8146,908m8170,908l8174,908m8194,908l8198,908m8222,908l8227,908m8246,908l8251,908m8275,908l8275,908m8299,908l8304,908e" filled="false" stroked="true" strokeweight=".24pt" strokecolor="#000000">
              <v:path arrowok="t"/>
              <v:stroke dashstyle="solid"/>
            </v:shape>
            <v:shape style="position:absolute;left:2520;top:1604;width:5784;height:44" coordorigin="2520,1604" coordsize="5784,44" path="m8280,1604l2520,1604,2520,1647,8280,1647,8304,1623,8256,1623,8280,1604xm8304,1623l8280,1647,8304,1647,8304,1623xe" filled="true" fillcolor="#000000" stroked="false">
              <v:path arrowok="t"/>
              <v:fill type="solid"/>
            </v:shape>
            <v:shape style="position:absolute;left:2520;top:188;width:5784;height:360" coordorigin="2520,188" coordsize="5784,360" path="m2520,548l2525,548m2544,548l2549,548m2573,548l2578,548m2597,548l2602,548m2626,548l2630,548m2650,548l2654,548m2674,548l2678,548m2702,548l2707,548m2726,548l2731,548m2755,548l2760,548m2779,548l2784,548m2803,548l2808,548m2832,548l2837,548m2856,548l2861,548m2885,548l2890,548m2909,548l2914,548m2933,548l2938,548m2962,548l2966,548m2986,548l2990,548m3014,548l3019,548m3038,548l3043,548m3062,548l3067,548m3091,548l3096,548m3115,548l3120,548m3144,548l3149,548m3168,548l3173,548m3192,548l3197,548m3221,548l3226,548m3245,548l3250,548m3274,548l3278,548m3298,548l3302,548m3322,548l3326,548m3350,548l3355,548m3374,548l3379,548m3403,548l3408,548m3427,548l3432,548m3451,548l3456,548m3480,548l3485,548m3504,548l3509,548m3533,548l3538,548m3557,548l3562,548m3581,548l3586,548m3610,548l3610,548m3634,548l3638,548m3658,548l3662,548m3686,548l3691,548m3710,548l3715,548m3739,548l3739,548m3763,548l3768,548m3787,548l3792,548m3816,548l3821,548m3840,548l3845,548m3869,548l3869,548m3893,548l3898,548m3917,548l3922,548m3946,548l3950,548m3970,548l3974,548m3998,548l3998,548m4022,548l4027,548m4046,548l4051,548m4075,548l4080,548m4099,548l4104,548m4128,548l4128,548m4152,548l4157,548m4176,548l4181,548m4205,548l4210,548m4229,548l4234,548m4258,548l4258,548m4282,548l4286,548m4306,548l4310,548m4334,548l4339,548m4358,548l4363,548m4387,548l4387,548m4411,548l4416,548m4435,548l4440,548m4464,548l4469,548m4488,548l4493,548m4517,548l4517,548m4541,548l4546,548m4565,548l4570,548m4594,548l4598,548m4618,548l4622,548m4646,548l4646,548m4670,548l4675,548m4694,548l4699,548m4723,548l4728,548m4747,548l4752,548m4776,548l4776,548m4800,548l4805,548m4824,548l4829,548m4853,548l4858,548m4877,548l4882,548m4906,548l4906,548m4930,548l4934,548m4954,548l4958,548m4982,548l4987,548m5006,548l5011,548m5035,548l5035,548m5059,548l5064,548m5083,548l5088,548m5112,548l5117,548m5136,548l5141,548m5165,548l5165,548m5189,548l5194,548m5213,548l5218,548m5242,548l5246,548m5266,548l5270,548m5294,548l5294,548m5318,548l5323,548m5342,548l5347,548m5371,548l5376,548m5395,548l5400,548m5424,548l5424,548m5448,548l5453,548m5472,548l5477,548m5501,548l5506,548m5525,548l5530,548m5554,548l5554,548m5578,548l5582,548m5602,548l5606,548m5630,548l5635,548m5654,548l5659,548m5683,548l5683,548m5707,548l5712,548m5731,548l5736,548m5760,548l5765,548m5784,548l5789,548m5813,548l5813,548m5837,548l5842,548m5861,548l5866,548m5890,548l5894,548m5914,548l5918,548m5942,548l5942,548m5966,548l5971,548m5990,548l5995,548m6019,548l6024,548m6043,548l6048,548m6072,548l6072,548m6096,548l6101,548m6120,548l6125,548m6149,548l6154,548m6173,548l6178,548m6202,548l6202,548m6226,548l6230,548m6250,548l6254,548m6278,548l6283,548m6302,548l6307,548m6331,548l6331,548m6355,548l6360,548m6379,548l6384,548m6408,548l6413,548m6432,548l6437,548m6461,548l6461,548m6485,548l6490,548m6509,548l6514,548m6538,548l6542,548m6562,548l6566,548m6590,548l6590,548m6614,548l6619,548m6638,548l6643,548m6667,548l6672,548m6691,548l6696,548m6720,548l6720,548m6744,548l6749,548m6768,548l6773,548m6797,548l6802,548m6821,548l6826,548m6850,548l6850,548m6874,548l6878,548m6898,548l6902,548m6926,548l6931,548m6950,548l6955,548m6979,548l6979,548m7003,548l7008,548m7027,548l7032,548m7056,548l7061,548m7080,548l7085,548m7109,548l7109,548m7133,548l7138,548m7157,548l7162,548m7186,548l7190,548m7210,548l7214,548m7238,548l7238,548m7262,548l7267,548m7286,548l7291,548m7315,548l7320,548m7339,548l7344,548m7368,548l7368,548m7392,548l7397,548m7416,548l7421,548m7445,548l7450,548m7469,548l7474,548m7498,548l7498,548m7522,548l7526,548m7546,548l7550,548m7574,548l7579,548m7598,548l7603,548m7627,548l7627,548m7651,548l7656,548m7675,548l7680,548m7704,548l7709,548m7728,548l7733,548m7757,548l7757,548m7781,548l7786,548m7805,548l7810,548m7834,548l7838,548m7858,548l7862,548m7886,548l7886,548m7910,548l7915,548m7934,548l7939,548m7963,548l7968,548m7987,548l7992,548m8016,548l8016,548m8040,548l8045,548m8064,548l8069,548m8093,548l8098,548m8117,548l8122,548m8146,548l8146,548m8170,548l8174,548m8194,548l8198,548m8222,548l8227,548m8246,548l8251,548m8275,548l8275,548m8299,548l8304,548m2520,188l2525,188m2544,188l2549,188m2573,188l2578,188m2597,188l2602,188m2626,188l2630,188m2650,188l2654,188m2674,188l2678,188m2702,188l2707,188m2726,188l2731,188m2755,188l2760,188m2779,188l2784,188m2803,188l2808,188m2832,188l2837,188m2856,188l2861,188m2885,188l2890,188m2909,188l2914,188m2933,188l2938,188m2962,188l2966,188m2986,188l2990,188m3014,188l3019,188m3038,188l3043,188m3062,188l3067,188m3091,188l3096,188m3115,188l3120,188m3144,188l3149,188m3168,188l3173,188m3192,188l3197,188m3221,188l3226,188m3245,188l3250,188m3274,188l3278,188m3298,188l3302,188m3322,188l3326,188m3350,188l3355,188m3374,188l3379,188m3403,188l3408,188m3427,188l3432,188m3451,188l3456,188m3480,188l3485,188m3504,188l3509,188m3533,188l3538,188m3557,188l3562,188m3581,188l3586,188m3610,188l3610,188m3634,188l3638,188m3658,188l3662,188m3686,188l3691,188m3710,188l3715,188m3739,188l3739,188m3763,188l3768,188m3787,188l3792,188m3816,188l3821,188m3840,188l3845,188m3869,188l3869,188m3893,188l3898,188m3917,188l3922,188m3946,188l3950,188m3970,188l3974,188m3998,188l3998,188m4022,188l4027,188m4046,188l4051,188m4075,188l4080,188m4099,188l4104,188m4128,188l4128,188m4152,188l4157,188m4176,188l4181,188m4205,188l4210,188m4229,188l4234,188m4258,188l4258,188m4282,188l4286,188m4306,188l4310,188m4334,188l4339,188m4358,188l4363,188m4387,188l4387,188m4411,188l4416,188m4435,188l4440,188m4464,188l4469,188m4488,188l4493,188m4517,188l4517,188m4541,188l4546,188m4565,188l4570,188m4594,188l4598,188m4618,188l4622,188m4646,188l4646,188m4670,188l4675,188m4694,188l4699,188m4723,188l4728,188m4747,188l4752,188m4776,188l4776,188m4800,188l4805,188m4824,188l4829,188m4853,188l4858,188m4877,188l4882,188m4906,188l4906,188m4930,188l4934,188m4954,188l4958,188m4982,188l4987,188m5006,188l5011,188m5035,188l5035,188m5059,188l5064,188m5083,188l5088,188m5112,188l5117,188m5136,188l5141,188m5165,188l5165,188m5189,188l5194,188m5213,188l5218,188m5242,188l5246,188m5266,188l5270,188m5294,188l5294,188m5318,188l5323,188m5342,188l5347,188m5371,188l5376,188m5395,188l5400,188m5424,188l5424,188m5448,188l5453,188m5472,188l5477,188m5501,188l5506,188m5525,188l5530,188m5554,188l5554,188m5578,188l5582,188m5602,188l5606,188m5630,188l5635,188m5654,188l5659,188m5683,188l5683,188m5707,188l5712,188m5731,188l5736,188m5760,188l5765,188m5784,188l5789,188m5813,188l5813,188m5837,188l5842,188m5861,188l5866,188m5890,188l5894,188m5914,188l5918,188m5942,188l5942,188m5966,188l5971,188m5990,188l5995,188m6019,188l6024,188m6043,188l6048,188m6072,188l6072,188m6096,188l6101,188m6120,188l6125,188m6149,188l6154,188m6173,188l6178,188m6202,188l6202,188m6226,188l6230,188m6250,188l6254,188m6278,188l6283,188m6302,188l6307,188m6331,188l6331,188m6355,188l6360,188m6379,188l6384,188m6408,188l6413,188m6432,188l6437,188m6461,188l6461,188m6485,188l6490,188m6509,188l6514,188m6538,188l6542,188m6562,188l6566,188m6590,188l6590,188m6614,188l6619,188m6638,188l6643,188m6667,188l6672,188m6691,188l6696,188m6720,188l6720,188m6744,188l6749,188m6768,188l6773,188m6797,188l6802,188m6821,188l6826,188m6850,188l6850,188m6874,188l6878,188m6898,188l6902,188m6926,188l6931,188m6950,188l6955,188m6979,188l6979,188m7003,188l7008,188m7027,188l7032,188m7056,188l7061,188m7080,188l7085,188m7109,188l7109,188m7133,188l7138,188m7157,188l7162,188m7186,188l7190,188m7210,188l7214,188m7238,188l7238,188m7262,188l7267,188m7286,188l7291,188m7315,188l7320,188m7339,188l7344,188m7368,188l7368,188m7392,188l7397,188m7416,188l7421,188m7445,188l7450,188m7469,188l7474,188m7498,188l7498,188m7522,188l7526,188m7546,188l7550,188m7574,188l7579,188m7598,188l7603,188m7627,188l7627,188m7651,188l7656,188m7675,188l7680,188m7704,188l7709,188m7728,188l7733,188m7757,188l7757,188m7781,188l7786,188m7805,188l7810,188m7834,188l7838,188m7858,188l7862,188m7886,188l7886,188m7910,188l7915,188m7934,188l7939,188m7963,188l7968,188m7987,188l7992,188m8016,188l8016,188m8040,188l8045,188m8064,188l8069,188m8093,188l8098,188m8117,188l8122,188m8146,188l8146,188m8170,188l8174,188m8194,188l8198,188m8222,188l8227,188m8246,188l8251,188m8275,188l8275,188m8299,188l8304,188e" filled="false" stroked="true" strokeweight=".24pt" strokecolor="#000000">
              <v:path arrowok="t"/>
              <v:stroke dashstyle="solid"/>
            </v:shape>
            <v:line style="position:absolute" from="8280,-172" to="8280,1623" stroked="true" strokeweight="2.4pt" strokecolor="#000000">
              <v:stroke dashstyle="solid"/>
            </v:line>
            <v:shape style="position:absolute;left:2942;top:453;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11.49¢</w:t>
                    </w:r>
                  </w:p>
                </w:txbxContent>
              </v:textbox>
              <w10:wrap type="none"/>
            </v:shape>
            <v:shape style="position:absolute;left:4022;top:544;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11.22¢</w:t>
                    </w:r>
                  </w:p>
                </w:txbxContent>
              </v:textbox>
              <w10:wrap type="none"/>
            </v:shape>
            <v:shape style="position:absolute;left:5102;top:367;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11.78¢</w:t>
                    </w:r>
                  </w:p>
                </w:txbxContent>
              </v:textbox>
              <w10:wrap type="none"/>
            </v:shape>
            <v:shape style="position:absolute;left:6182;top:367;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11.77¢</w:t>
                    </w:r>
                  </w:p>
                </w:txbxContent>
              </v:textbox>
              <w10:wrap type="none"/>
            </v:shape>
            <v:shape style="position:absolute;left:7262;top:453;width:616;height:224"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11.56¢</w:t>
                    </w:r>
                  </w:p>
                </w:txbxContent>
              </v:textbox>
              <w10:wrap type="none"/>
            </v:shape>
            <w10:wrap type="none"/>
          </v:group>
        </w:pict>
      </w:r>
      <w:r>
        <w:rPr/>
        <w:pict>
          <v:line style="position:absolute;mso-position-horizontal-relative:page;mso-position-vertical-relative:paragraph;z-index:-121144" from="420.23999pt,9.379882pt" to="420.23999pt,9.379882pt" stroked="true" strokeweight=".24pt" strokecolor="#000000">
            <v:stroke dashstyle="solid"/>
            <w10:wrap type="none"/>
          </v:line>
        </w:pict>
      </w:r>
      <w:r>
        <w:rPr/>
        <w:pict>
          <v:line style="position:absolute;mso-position-horizontal-relative:page;mso-position-vertical-relative:paragraph;z-index:-121120" from="426.720001pt,9.379882pt" to="426.720001pt,9.379882pt" stroked="true" strokeweight=".24pt" strokecolor="#000000">
            <v:stroke dashstyle="solid"/>
            <w10:wrap type="none"/>
          </v:line>
        </w:pict>
      </w:r>
      <w:r>
        <w:rPr/>
        <w:pict>
          <v:line style="position:absolute;mso-position-horizontal-relative:page;mso-position-vertical-relative:paragraph;z-index:-121096" from="433.200012pt,9.379882pt" to="433.200012pt,9.379882pt" stroked="true" strokeweight=".24pt" strokecolor="#000000">
            <v:stroke dashstyle="solid"/>
            <w10:wrap type="none"/>
          </v:line>
        </w:pict>
      </w:r>
      <w:r>
        <w:rPr/>
        <w:pict>
          <v:line style="position:absolute;mso-position-horizontal-relative:page;mso-position-vertical-relative:paragraph;z-index:-121072" from="439.679993pt,9.379882pt" to="439.679993pt,9.379882pt" stroked="true" strokeweight=".24pt" strokecolor="#000000">
            <v:stroke dashstyle="solid"/>
            <w10:wrap type="none"/>
          </v:line>
        </w:pict>
      </w:r>
      <w:r>
        <w:rPr/>
        <w:pict>
          <v:line style="position:absolute;mso-position-horizontal-relative:page;mso-position-vertical-relative:paragraph;z-index:-121048" from="446.160004pt,9.379882pt" to="446.160004pt,9.379882pt" stroked="true" strokeweight=".24pt" strokecolor="#000000">
            <v:stroke dashstyle="solid"/>
            <w10:wrap type="none"/>
          </v:line>
        </w:pict>
      </w:r>
      <w:r>
        <w:rPr>
          <w:rFonts w:ascii="Arial" w:hAnsi="Arial"/>
          <w:w w:val="100"/>
          <w:u w:val="single"/>
        </w:rPr>
        <w:t> </w:t>
      </w:r>
      <w:r>
        <w:rPr>
          <w:rFonts w:ascii="Arial" w:hAnsi="Arial"/>
          <w:u w:val="single"/>
        </w:rPr>
        <w:tab/>
        <w:t>20¢</w:t>
      </w:r>
    </w:p>
    <w:p>
      <w:pPr>
        <w:pStyle w:val="BodyText"/>
        <w:tabs>
          <w:tab w:pos="1223" w:val="left" w:leader="none"/>
        </w:tabs>
        <w:spacing w:before="129"/>
        <w:ind w:left="880"/>
        <w:rPr>
          <w:rFonts w:ascii="Arial" w:hAnsi="Arial"/>
        </w:rPr>
      </w:pPr>
      <w:r>
        <w:rPr/>
        <w:pict>
          <v:line style="position:absolute;mso-position-horizontal-relative:page;mso-position-vertical-relative:paragraph;z-index:-121264" from="420.23999pt,15.829882pt" to="420.23999pt,15.829882pt" stroked="true" strokeweight=".24pt" strokecolor="#000000">
            <v:stroke dashstyle="solid"/>
            <w10:wrap type="none"/>
          </v:line>
        </w:pict>
      </w:r>
      <w:r>
        <w:rPr/>
        <w:pict>
          <v:line style="position:absolute;mso-position-horizontal-relative:page;mso-position-vertical-relative:paragraph;z-index:-121240" from="426.720001pt,15.829882pt" to="426.720001pt,15.829882pt" stroked="true" strokeweight=".24pt" strokecolor="#000000">
            <v:stroke dashstyle="solid"/>
            <w10:wrap type="none"/>
          </v:line>
        </w:pict>
      </w:r>
      <w:r>
        <w:rPr/>
        <w:pict>
          <v:line style="position:absolute;mso-position-horizontal-relative:page;mso-position-vertical-relative:paragraph;z-index:-121216" from="433.200012pt,15.829882pt" to="433.200012pt,15.829882pt" stroked="true" strokeweight=".24pt" strokecolor="#000000">
            <v:stroke dashstyle="solid"/>
            <w10:wrap type="none"/>
          </v:line>
        </w:pict>
      </w:r>
      <w:r>
        <w:rPr/>
        <w:pict>
          <v:line style="position:absolute;mso-position-horizontal-relative:page;mso-position-vertical-relative:paragraph;z-index:-121192" from="439.679993pt,15.829882pt" to="439.679993pt,15.829882pt" stroked="true" strokeweight=".24pt" strokecolor="#000000">
            <v:stroke dashstyle="solid"/>
            <w10:wrap type="none"/>
          </v:line>
        </w:pict>
      </w:r>
      <w:r>
        <w:rPr/>
        <w:pict>
          <v:line style="position:absolute;mso-position-horizontal-relative:page;mso-position-vertical-relative:paragraph;z-index:-121168" from="446.160004pt,15.829882pt" to="446.160004pt,15.829882pt" stroked="true" strokeweight=".24pt" strokecolor="#000000">
            <v:stroke dashstyle="solid"/>
            <w10:wrap type="none"/>
          </v:line>
        </w:pict>
      </w:r>
      <w:r>
        <w:rPr>
          <w:rFonts w:ascii="Arial" w:hAnsi="Arial"/>
          <w:w w:val="100"/>
          <w:u w:val="single"/>
        </w:rPr>
        <w:t> </w:t>
      </w:r>
      <w:r>
        <w:rPr>
          <w:rFonts w:ascii="Arial" w:hAnsi="Arial"/>
          <w:u w:val="single"/>
        </w:rPr>
        <w:tab/>
        <w:t>15¢</w:t>
      </w:r>
    </w:p>
    <w:p>
      <w:pPr>
        <w:pStyle w:val="BodyText"/>
        <w:tabs>
          <w:tab w:pos="1223" w:val="left" w:leader="none"/>
        </w:tabs>
        <w:spacing w:before="129"/>
        <w:ind w:left="880"/>
        <w:rPr>
          <w:rFonts w:ascii="Arial" w:hAnsi="Arial"/>
        </w:rPr>
      </w:pPr>
      <w:r>
        <w:rPr/>
        <w:pict>
          <v:line style="position:absolute;mso-position-horizontal-relative:page;mso-position-vertical-relative:paragraph;z-index:-121384" from="420.23999pt,15.829882pt" to="420.23999pt,15.829882pt" stroked="true" strokeweight=".24pt" strokecolor="#000000">
            <v:stroke dashstyle="solid"/>
            <w10:wrap type="none"/>
          </v:line>
        </w:pict>
      </w:r>
      <w:r>
        <w:rPr/>
        <w:pict>
          <v:line style="position:absolute;mso-position-horizontal-relative:page;mso-position-vertical-relative:paragraph;z-index:-121360" from="426.720001pt,15.829882pt" to="426.720001pt,15.829882pt" stroked="true" strokeweight=".24pt" strokecolor="#000000">
            <v:stroke dashstyle="solid"/>
            <w10:wrap type="none"/>
          </v:line>
        </w:pict>
      </w:r>
      <w:r>
        <w:rPr/>
        <w:pict>
          <v:line style="position:absolute;mso-position-horizontal-relative:page;mso-position-vertical-relative:paragraph;z-index:-121336" from="433.200012pt,15.829882pt" to="433.200012pt,15.829882pt" stroked="true" strokeweight=".24pt" strokecolor="#000000">
            <v:stroke dashstyle="solid"/>
            <w10:wrap type="none"/>
          </v:line>
        </w:pict>
      </w:r>
      <w:r>
        <w:rPr/>
        <w:pict>
          <v:line style="position:absolute;mso-position-horizontal-relative:page;mso-position-vertical-relative:paragraph;z-index:-121312" from="439.679993pt,15.829882pt" to="439.679993pt,15.829882pt" stroked="true" strokeweight=".24pt" strokecolor="#000000">
            <v:stroke dashstyle="solid"/>
            <w10:wrap type="none"/>
          </v:line>
        </w:pict>
      </w:r>
      <w:r>
        <w:rPr/>
        <w:pict>
          <v:line style="position:absolute;mso-position-horizontal-relative:page;mso-position-vertical-relative:paragraph;z-index:-121288" from="446.160004pt,15.829882pt" to="446.160004pt,15.829882pt" stroked="true" strokeweight=".24pt" strokecolor="#000000">
            <v:stroke dashstyle="solid"/>
            <w10:wrap type="none"/>
          </v:line>
        </w:pict>
      </w:r>
      <w:r>
        <w:rPr>
          <w:rFonts w:ascii="Arial" w:hAnsi="Arial"/>
          <w:w w:val="100"/>
          <w:u w:val="single"/>
        </w:rPr>
        <w:t> </w:t>
      </w:r>
      <w:r>
        <w:rPr>
          <w:rFonts w:ascii="Arial" w:hAnsi="Arial"/>
          <w:u w:val="single"/>
        </w:rPr>
        <w:tab/>
        <w:t>10¢</w:t>
      </w:r>
    </w:p>
    <w:p>
      <w:pPr>
        <w:pStyle w:val="BodyText"/>
        <w:tabs>
          <w:tab w:pos="1333" w:val="left" w:leader="none"/>
        </w:tabs>
        <w:spacing w:before="124"/>
        <w:ind w:left="880"/>
        <w:rPr>
          <w:rFonts w:ascii="Arial" w:hAnsi="Arial"/>
        </w:rPr>
      </w:pPr>
      <w:r>
        <w:rPr/>
        <w:pict>
          <v:line style="position:absolute;mso-position-horizontal-relative:page;mso-position-vertical-relative:paragraph;z-index:-121504" from="420.23999pt,15.579887pt" to="420.23999pt,15.579887pt" stroked="true" strokeweight=".24pt" strokecolor="#000000">
            <v:stroke dashstyle="solid"/>
            <w10:wrap type="none"/>
          </v:line>
        </w:pict>
      </w:r>
      <w:r>
        <w:rPr/>
        <w:pict>
          <v:line style="position:absolute;mso-position-horizontal-relative:page;mso-position-vertical-relative:paragraph;z-index:-121480" from="426.720001pt,15.579887pt" to="426.720001pt,15.579887pt" stroked="true" strokeweight=".24pt" strokecolor="#000000">
            <v:stroke dashstyle="solid"/>
            <w10:wrap type="none"/>
          </v:line>
        </w:pict>
      </w:r>
      <w:r>
        <w:rPr/>
        <w:pict>
          <v:line style="position:absolute;mso-position-horizontal-relative:page;mso-position-vertical-relative:paragraph;z-index:-121456" from="433.200012pt,15.579887pt" to="433.200012pt,15.579887pt" stroked="true" strokeweight=".24pt" strokecolor="#000000">
            <v:stroke dashstyle="solid"/>
            <w10:wrap type="none"/>
          </v:line>
        </w:pict>
      </w:r>
      <w:r>
        <w:rPr/>
        <w:pict>
          <v:line style="position:absolute;mso-position-horizontal-relative:page;mso-position-vertical-relative:paragraph;z-index:-121432" from="439.679993pt,15.579887pt" to="439.679993pt,15.579887pt" stroked="true" strokeweight=".24pt" strokecolor="#000000">
            <v:stroke dashstyle="solid"/>
            <w10:wrap type="none"/>
          </v:line>
        </w:pict>
      </w:r>
      <w:r>
        <w:rPr/>
        <w:pict>
          <v:line style="position:absolute;mso-position-horizontal-relative:page;mso-position-vertical-relative:paragraph;z-index:-121408" from="446.160004pt,15.579887pt" to="446.160004pt,15.579887pt" stroked="true" strokeweight=".24pt" strokecolor="#000000">
            <v:stroke dashstyle="solid"/>
            <w10:wrap type="none"/>
          </v:line>
        </w:pict>
      </w:r>
      <w:r>
        <w:rPr>
          <w:rFonts w:ascii="Arial" w:hAnsi="Arial"/>
          <w:w w:val="100"/>
          <w:u w:val="single"/>
        </w:rPr>
        <w:t> </w:t>
      </w:r>
      <w:r>
        <w:rPr>
          <w:rFonts w:ascii="Arial" w:hAnsi="Arial"/>
          <w:u w:val="single"/>
        </w:rPr>
        <w:tab/>
        <w:t>5¢</w:t>
      </w:r>
    </w:p>
    <w:p>
      <w:pPr>
        <w:spacing w:after="0"/>
        <w:rPr>
          <w:rFonts w:ascii="Arial" w:hAnsi="Arial"/>
        </w:rPr>
        <w:sectPr>
          <w:type w:val="continuous"/>
          <w:pgSz w:w="12240" w:h="15840"/>
          <w:pgMar w:top="1420" w:bottom="280" w:left="1640" w:right="920"/>
          <w:cols w:num="2" w:equalWidth="0">
            <w:col w:w="5577" w:space="226"/>
            <w:col w:w="3877"/>
          </w:cols>
        </w:sectPr>
      </w:pPr>
    </w:p>
    <w:p>
      <w:pPr>
        <w:pStyle w:val="BodyText"/>
        <w:spacing w:before="10"/>
        <w:rPr>
          <w:rFonts w:ascii="Arial"/>
          <w:sz w:val="26"/>
        </w:rPr>
      </w:pPr>
    </w:p>
    <w:p>
      <w:pPr>
        <w:spacing w:after="0"/>
        <w:rPr>
          <w:rFonts w:ascii="Arial"/>
          <w:sz w:val="26"/>
        </w:rPr>
        <w:sectPr>
          <w:type w:val="continuous"/>
          <w:pgSz w:w="12240" w:h="15840"/>
          <w:pgMar w:top="1420" w:bottom="280" w:left="1640" w:right="92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spacing w:before="83"/>
        <w:ind w:left="880"/>
      </w:pPr>
      <w:r>
        <w:rPr/>
        <w:t>Low Cost (continued)</w:t>
      </w:r>
    </w:p>
    <w:p>
      <w:pPr>
        <w:spacing w:after="0"/>
        <w:sectPr>
          <w:type w:val="continuous"/>
          <w:pgSz w:w="12240" w:h="15840"/>
          <w:pgMar w:top="1420" w:bottom="280" w:left="1640" w:right="920"/>
        </w:sectPr>
      </w:pPr>
    </w:p>
    <w:p>
      <w:pPr>
        <w:pStyle w:val="BodyText"/>
      </w:pPr>
    </w:p>
    <w:p>
      <w:pPr>
        <w:pStyle w:val="BodyText"/>
      </w:pPr>
    </w:p>
    <w:p>
      <w:pPr>
        <w:spacing w:after="0"/>
        <w:sectPr>
          <w:pgSz w:w="12240" w:h="15840"/>
          <w:pgMar w:header="725" w:footer="746" w:top="940" w:bottom="940" w:left="1700" w:right="960"/>
        </w:sectPr>
      </w:pPr>
    </w:p>
    <w:p>
      <w:pPr>
        <w:pStyle w:val="BodyText"/>
        <w:spacing w:before="10"/>
        <w:rPr>
          <w:sz w:val="23"/>
        </w:rPr>
      </w:pPr>
    </w:p>
    <w:p>
      <w:pPr>
        <w:pStyle w:val="Heading2"/>
        <w:ind w:left="819"/>
      </w:pPr>
      <w:r>
        <w:rPr/>
        <w:t>Operating Revenue Per Available Seat Mile</w:t>
      </w:r>
    </w:p>
    <w:p>
      <w:pPr>
        <w:pStyle w:val="BodyText"/>
        <w:rPr>
          <w:rFonts w:ascii="Arial"/>
          <w:b/>
          <w:sz w:val="22"/>
        </w:rPr>
      </w:pPr>
      <w:r>
        <w:rPr/>
        <w:br w:type="column"/>
      </w:r>
      <w:r>
        <w:rPr>
          <w:rFonts w:ascii="Arial"/>
          <w:b/>
          <w:sz w:val="22"/>
        </w:rPr>
      </w:r>
    </w:p>
    <w:p>
      <w:pPr>
        <w:pStyle w:val="BodyText"/>
        <w:rPr>
          <w:rFonts w:ascii="Arial"/>
          <w:b/>
          <w:sz w:val="22"/>
        </w:rPr>
      </w:pPr>
    </w:p>
    <w:p>
      <w:pPr>
        <w:pStyle w:val="BodyText"/>
        <w:tabs>
          <w:tab w:pos="1163" w:val="left" w:leader="none"/>
        </w:tabs>
        <w:spacing w:before="195"/>
        <w:ind w:left="819"/>
        <w:rPr>
          <w:rFonts w:ascii="Arial" w:hAnsi="Arial"/>
        </w:rPr>
      </w:pPr>
      <w:r>
        <w:rPr/>
        <w:pict>
          <v:line style="position:absolute;mso-position-horizontal-relative:page;mso-position-vertical-relative:paragraph;z-index:-120640" from="420.23999pt,19.12986pt" to="420.23999pt,19.12986pt" stroked="true" strokeweight=".24pt" strokecolor="#000000">
            <v:stroke dashstyle="solid"/>
            <w10:wrap type="none"/>
          </v:line>
        </w:pict>
      </w:r>
      <w:r>
        <w:rPr/>
        <w:pict>
          <v:line style="position:absolute;mso-position-horizontal-relative:page;mso-position-vertical-relative:paragraph;z-index:-120616" from="426.720001pt,19.12986pt" to="426.720001pt,19.12986pt" stroked="true" strokeweight=".24pt" strokecolor="#000000">
            <v:stroke dashstyle="solid"/>
            <w10:wrap type="none"/>
          </v:line>
        </w:pict>
      </w:r>
      <w:r>
        <w:rPr/>
        <w:pict>
          <v:line style="position:absolute;mso-position-horizontal-relative:page;mso-position-vertical-relative:paragraph;z-index:-120592" from="433.200012pt,19.12986pt" to="433.200012pt,19.12986pt" stroked="true" strokeweight=".24pt" strokecolor="#000000">
            <v:stroke dashstyle="solid"/>
            <w10:wrap type="none"/>
          </v:line>
        </w:pict>
      </w:r>
      <w:r>
        <w:rPr/>
        <w:pict>
          <v:line style="position:absolute;mso-position-horizontal-relative:page;mso-position-vertical-relative:paragraph;z-index:-120568" from="439.679993pt,19.12986pt" to="439.679993pt,19.12986pt" stroked="true" strokeweight=".24pt" strokecolor="#000000">
            <v:stroke dashstyle="solid"/>
            <w10:wrap type="none"/>
          </v:line>
        </w:pict>
      </w:r>
      <w:r>
        <w:rPr/>
        <w:pict>
          <v:line style="position:absolute;mso-position-horizontal-relative:page;mso-position-vertical-relative:paragraph;z-index:-120544" from="446.160004pt,19.12986pt" to="446.160004pt,19.12986pt" stroked="true" strokeweight=".24pt" strokecolor="#000000">
            <v:stroke dashstyle="solid"/>
            <w10:wrap type="none"/>
          </v:line>
        </w:pict>
      </w:r>
      <w:r>
        <w:rPr/>
        <w:pict>
          <v:shape style="position:absolute;margin-left:124.800003pt;margin-top:1.129861pt;width:291.6pt;height:91pt;mso-position-horizontal-relative:page;mso-position-vertical-relative:paragraph;z-index:385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080"/>
                    <w:gridCol w:w="1080"/>
                    <w:gridCol w:w="1080"/>
                    <w:gridCol w:w="1260"/>
                  </w:tblGrid>
                  <w:tr>
                    <w:trPr>
                      <w:trHeight w:val="360" w:hRule="exact"/>
                    </w:trPr>
                    <w:tc>
                      <w:tcPr>
                        <w:tcW w:w="5760" w:type="dxa"/>
                        <w:gridSpan w:val="5"/>
                        <w:tcBorders>
                          <w:top w:val="nil"/>
                          <w:left w:val="nil"/>
                          <w:right w:val="single" w:sz="19" w:space="0" w:color="000000"/>
                        </w:tcBorders>
                      </w:tcPr>
                      <w:p>
                        <w:pPr/>
                      </w:p>
                    </w:tc>
                  </w:tr>
                  <w:tr>
                    <w:trPr>
                      <w:trHeight w:val="360" w:hRule="exact"/>
                    </w:trPr>
                    <w:tc>
                      <w:tcPr>
                        <w:tcW w:w="5760" w:type="dxa"/>
                        <w:gridSpan w:val="5"/>
                        <w:tcBorders>
                          <w:left w:val="nil"/>
                          <w:right w:val="single" w:sz="19" w:space="0" w:color="000000"/>
                        </w:tcBorders>
                      </w:tcPr>
                      <w:p>
                        <w:pPr/>
                      </w:p>
                    </w:tc>
                  </w:tr>
                  <w:tr>
                    <w:trPr>
                      <w:trHeight w:val="360" w:hRule="exact"/>
                    </w:trPr>
                    <w:tc>
                      <w:tcPr>
                        <w:tcW w:w="5760" w:type="dxa"/>
                        <w:gridSpan w:val="5"/>
                        <w:tcBorders>
                          <w:left w:val="nil"/>
                          <w:right w:val="single" w:sz="19" w:space="0" w:color="000000"/>
                        </w:tcBorders>
                      </w:tcPr>
                      <w:p>
                        <w:pPr/>
                      </w:p>
                    </w:tc>
                  </w:tr>
                  <w:tr>
                    <w:trPr>
                      <w:trHeight w:val="355" w:hRule="exact"/>
                    </w:trPr>
                    <w:tc>
                      <w:tcPr>
                        <w:tcW w:w="1260" w:type="dxa"/>
                        <w:tcBorders>
                          <w:left w:val="nil"/>
                          <w:right w:val="nil"/>
                        </w:tcBorders>
                      </w:tcPr>
                      <w:p>
                        <w:pPr>
                          <w:pStyle w:val="TableParagraph"/>
                          <w:spacing w:line="174" w:lineRule="exact" w:before="0"/>
                          <w:ind w:left="470"/>
                          <w:rPr>
                            <w:rFonts w:ascii="Arial" w:hAnsi="Arial"/>
                            <w:sz w:val="20"/>
                          </w:rPr>
                        </w:pPr>
                        <w:r>
                          <w:rPr>
                            <w:rFonts w:ascii="Arial" w:hAnsi="Arial"/>
                            <w:sz w:val="20"/>
                          </w:rPr>
                          <w:t>7.23¢</w:t>
                        </w:r>
                      </w:p>
                    </w:tc>
                    <w:tc>
                      <w:tcPr>
                        <w:tcW w:w="1080" w:type="dxa"/>
                        <w:tcBorders>
                          <w:left w:val="nil"/>
                          <w:right w:val="nil"/>
                        </w:tcBorders>
                      </w:tcPr>
                      <w:p>
                        <w:pPr>
                          <w:pStyle w:val="TableParagraph"/>
                          <w:spacing w:line="218" w:lineRule="exact" w:before="0"/>
                          <w:ind w:left="290"/>
                          <w:rPr>
                            <w:rFonts w:ascii="Arial" w:hAnsi="Arial"/>
                            <w:sz w:val="20"/>
                          </w:rPr>
                        </w:pPr>
                        <w:r>
                          <w:rPr>
                            <w:rFonts w:ascii="Arial" w:hAnsi="Arial"/>
                            <w:sz w:val="20"/>
                          </w:rPr>
                          <w:t>7.10¢</w:t>
                        </w:r>
                      </w:p>
                    </w:tc>
                    <w:tc>
                      <w:tcPr>
                        <w:tcW w:w="1080" w:type="dxa"/>
                        <w:tcBorders>
                          <w:left w:val="nil"/>
                          <w:right w:val="nil"/>
                        </w:tcBorders>
                      </w:tcPr>
                      <w:p>
                        <w:pPr>
                          <w:pStyle w:val="TableParagraph"/>
                          <w:spacing w:line="174" w:lineRule="exact" w:before="0"/>
                          <w:ind w:left="290"/>
                          <w:rPr>
                            <w:rFonts w:ascii="Arial" w:hAnsi="Arial"/>
                            <w:sz w:val="20"/>
                          </w:rPr>
                        </w:pPr>
                        <w:r>
                          <w:rPr>
                            <w:rFonts w:ascii="Arial" w:hAnsi="Arial"/>
                            <w:sz w:val="20"/>
                          </w:rPr>
                          <w:t>7.89¢</w:t>
                        </w:r>
                      </w:p>
                    </w:tc>
                    <w:tc>
                      <w:tcPr>
                        <w:tcW w:w="1080" w:type="dxa"/>
                        <w:tcBorders>
                          <w:left w:val="nil"/>
                          <w:right w:val="nil"/>
                        </w:tcBorders>
                      </w:tcPr>
                      <w:p>
                        <w:pPr/>
                      </w:p>
                    </w:tc>
                    <w:tc>
                      <w:tcPr>
                        <w:tcW w:w="1260" w:type="dxa"/>
                        <w:tcBorders>
                          <w:left w:val="nil"/>
                          <w:right w:val="single" w:sz="19" w:space="0" w:color="000000"/>
                        </w:tcBorders>
                      </w:tcPr>
                      <w:p>
                        <w:pPr>
                          <w:pStyle w:val="TableParagraph"/>
                          <w:spacing w:line="126" w:lineRule="exact" w:before="0"/>
                          <w:ind w:left="290"/>
                          <w:rPr>
                            <w:rFonts w:ascii="Arial" w:hAnsi="Arial"/>
                            <w:sz w:val="20"/>
                          </w:rPr>
                        </w:pPr>
                        <w:r>
                          <w:rPr>
                            <w:rFonts w:ascii="Arial" w:hAnsi="Arial"/>
                            <w:sz w:val="20"/>
                          </w:rPr>
                          <w:t>8.07¢</w:t>
                        </w:r>
                      </w:p>
                    </w:tc>
                  </w:tr>
                  <w:tr>
                    <w:trPr>
                      <w:trHeight w:val="360" w:hRule="exact"/>
                    </w:trPr>
                    <w:tc>
                      <w:tcPr>
                        <w:tcW w:w="5760" w:type="dxa"/>
                        <w:gridSpan w:val="5"/>
                        <w:tcBorders>
                          <w:left w:val="nil"/>
                          <w:bottom w:val="nil"/>
                          <w:right w:val="single" w:sz="19" w:space="0" w:color="000000"/>
                        </w:tcBorders>
                      </w:tcPr>
                      <w:p>
                        <w:pPr/>
                      </w:p>
                    </w:tc>
                  </w:tr>
                </w:tbl>
                <w:p>
                  <w:pPr>
                    <w:pStyle w:val="BodyText"/>
                  </w:pPr>
                </w:p>
              </w:txbxContent>
            </v:textbox>
            <w10:wrap type="none"/>
          </v:shape>
        </w:pict>
      </w:r>
      <w:r>
        <w:rPr>
          <w:rFonts w:ascii="Arial" w:hAnsi="Arial"/>
          <w:w w:val="100"/>
          <w:u w:val="single"/>
        </w:rPr>
        <w:t> </w:t>
      </w:r>
      <w:r>
        <w:rPr>
          <w:rFonts w:ascii="Arial" w:hAnsi="Arial"/>
          <w:u w:val="single"/>
        </w:rPr>
        <w:tab/>
        <w:t>20¢</w:t>
      </w:r>
    </w:p>
    <w:p>
      <w:pPr>
        <w:pStyle w:val="BodyText"/>
        <w:tabs>
          <w:tab w:pos="1163" w:val="left" w:leader="none"/>
        </w:tabs>
        <w:spacing w:before="129"/>
        <w:ind w:left="819"/>
        <w:rPr>
          <w:rFonts w:ascii="Arial" w:hAnsi="Arial"/>
        </w:rPr>
      </w:pPr>
      <w:r>
        <w:rPr/>
        <w:pict>
          <v:line style="position:absolute;mso-position-horizontal-relative:page;mso-position-vertical-relative:paragraph;z-index:-120760" from="420.23999pt,15.829861pt" to="420.23999pt,15.829861pt" stroked="true" strokeweight=".24pt" strokecolor="#000000">
            <v:stroke dashstyle="solid"/>
            <w10:wrap type="none"/>
          </v:line>
        </w:pict>
      </w:r>
      <w:r>
        <w:rPr/>
        <w:pict>
          <v:line style="position:absolute;mso-position-horizontal-relative:page;mso-position-vertical-relative:paragraph;z-index:-120736" from="426.720001pt,15.829861pt" to="426.720001pt,15.829861pt" stroked="true" strokeweight=".24pt" strokecolor="#000000">
            <v:stroke dashstyle="solid"/>
            <w10:wrap type="none"/>
          </v:line>
        </w:pict>
      </w:r>
      <w:r>
        <w:rPr/>
        <w:pict>
          <v:line style="position:absolute;mso-position-horizontal-relative:page;mso-position-vertical-relative:paragraph;z-index:-120712" from="433.200012pt,15.829861pt" to="433.200012pt,15.829861pt" stroked="true" strokeweight=".24pt" strokecolor="#000000">
            <v:stroke dashstyle="solid"/>
            <w10:wrap type="none"/>
          </v:line>
        </w:pict>
      </w:r>
      <w:r>
        <w:rPr/>
        <w:pict>
          <v:line style="position:absolute;mso-position-horizontal-relative:page;mso-position-vertical-relative:paragraph;z-index:-120688" from="439.679993pt,15.829861pt" to="439.679993pt,15.829861pt" stroked="true" strokeweight=".24pt" strokecolor="#000000">
            <v:stroke dashstyle="solid"/>
            <w10:wrap type="none"/>
          </v:line>
        </w:pict>
      </w:r>
      <w:r>
        <w:rPr/>
        <w:pict>
          <v:line style="position:absolute;mso-position-horizontal-relative:page;mso-position-vertical-relative:paragraph;z-index:-120664" from="446.160004pt,15.829861pt" to="446.160004pt,15.829861pt" stroked="true" strokeweight=".24pt" strokecolor="#000000">
            <v:stroke dashstyle="solid"/>
            <w10:wrap type="none"/>
          </v:line>
        </w:pict>
      </w:r>
      <w:r>
        <w:rPr>
          <w:rFonts w:ascii="Arial" w:hAnsi="Arial"/>
          <w:w w:val="100"/>
          <w:u w:val="single"/>
        </w:rPr>
        <w:t> </w:t>
      </w:r>
      <w:r>
        <w:rPr>
          <w:rFonts w:ascii="Arial" w:hAnsi="Arial"/>
          <w:u w:val="single"/>
        </w:rPr>
        <w:tab/>
        <w:t>15¢</w:t>
      </w:r>
    </w:p>
    <w:p>
      <w:pPr>
        <w:pStyle w:val="BodyText"/>
        <w:tabs>
          <w:tab w:pos="1163" w:val="left" w:leader="none"/>
        </w:tabs>
        <w:spacing w:before="129"/>
        <w:ind w:left="819"/>
        <w:rPr>
          <w:rFonts w:ascii="Arial" w:hAnsi="Arial"/>
        </w:rPr>
      </w:pPr>
      <w:r>
        <w:rPr/>
        <w:pict>
          <v:line style="position:absolute;mso-position-horizontal-relative:page;mso-position-vertical-relative:paragraph;z-index:-120880" from="420.23999pt,15.829861pt" to="420.23999pt,15.829861pt" stroked="true" strokeweight=".24pt" strokecolor="#000000">
            <v:stroke dashstyle="solid"/>
            <w10:wrap type="none"/>
          </v:line>
        </w:pict>
      </w:r>
      <w:r>
        <w:rPr/>
        <w:pict>
          <v:line style="position:absolute;mso-position-horizontal-relative:page;mso-position-vertical-relative:paragraph;z-index:-120856" from="426.720001pt,15.829861pt" to="426.720001pt,15.829861pt" stroked="true" strokeweight=".24pt" strokecolor="#000000">
            <v:stroke dashstyle="solid"/>
            <w10:wrap type="none"/>
          </v:line>
        </w:pict>
      </w:r>
      <w:r>
        <w:rPr/>
        <w:pict>
          <v:line style="position:absolute;mso-position-horizontal-relative:page;mso-position-vertical-relative:paragraph;z-index:-120832" from="433.200012pt,15.829861pt" to="433.200012pt,15.829861pt" stroked="true" strokeweight=".24pt" strokecolor="#000000">
            <v:stroke dashstyle="solid"/>
            <w10:wrap type="none"/>
          </v:line>
        </w:pict>
      </w:r>
      <w:r>
        <w:rPr/>
        <w:pict>
          <v:line style="position:absolute;mso-position-horizontal-relative:page;mso-position-vertical-relative:paragraph;z-index:-120808" from="439.679993pt,15.829861pt" to="439.679993pt,15.829861pt" stroked="true" strokeweight=".24pt" strokecolor="#000000">
            <v:stroke dashstyle="solid"/>
            <w10:wrap type="none"/>
          </v:line>
        </w:pict>
      </w:r>
      <w:r>
        <w:rPr/>
        <w:pict>
          <v:line style="position:absolute;mso-position-horizontal-relative:page;mso-position-vertical-relative:paragraph;z-index:-120784" from="446.160004pt,15.829861pt" to="446.160004pt,15.829861pt" stroked="true" strokeweight=".24pt" strokecolor="#000000">
            <v:stroke dashstyle="solid"/>
            <w10:wrap type="none"/>
          </v:line>
        </w:pict>
      </w:r>
      <w:r>
        <w:rPr>
          <w:rFonts w:ascii="Arial" w:hAnsi="Arial"/>
          <w:w w:val="100"/>
          <w:u w:val="single"/>
        </w:rPr>
        <w:t> </w:t>
      </w:r>
      <w:r>
        <w:rPr>
          <w:rFonts w:ascii="Arial" w:hAnsi="Arial"/>
          <w:u w:val="single"/>
        </w:rPr>
        <w:tab/>
        <w:t>10¢</w:t>
      </w:r>
    </w:p>
    <w:p>
      <w:pPr>
        <w:pStyle w:val="BodyText"/>
        <w:tabs>
          <w:tab w:pos="1273" w:val="left" w:leader="none"/>
        </w:tabs>
        <w:spacing w:before="124"/>
        <w:ind w:left="819"/>
        <w:rPr>
          <w:rFonts w:ascii="Arial" w:hAnsi="Arial"/>
        </w:rPr>
      </w:pPr>
      <w:r>
        <w:rPr/>
        <w:pict>
          <v:group style="position:absolute;margin-left:126pt;margin-top:4.539912pt;width:289.2pt;height:30.25pt;mso-position-horizontal-relative:page;mso-position-vertical-relative:paragraph;z-index:2848" coordorigin="2520,91" coordsize="5784,605">
            <v:rect style="position:absolute;left:2880;top:177;width:720;height:494" filled="true" fillcolor="#ff6600" stroked="false">
              <v:fill type="solid"/>
            </v:rect>
            <v:rect style="position:absolute;left:3960;top:225;width:720;height:446" filled="true" fillcolor="#ff00ff" stroked="false">
              <v:fill type="solid"/>
            </v:rect>
            <v:rect style="position:absolute;left:5040;top:177;width:720;height:494" filled="true" fillcolor="#ff0000" stroked="false">
              <v:fill type="solid"/>
            </v:rect>
            <v:rect style="position:absolute;left:6120;top:91;width:720;height:581" filled="true" fillcolor="#00ff00" stroked="false">
              <v:fill type="solid"/>
            </v:rect>
            <v:rect style="position:absolute;left:7200;top:134;width:720;height:538" filled="true" fillcolor="#0000ff" stroked="false">
              <v:fill type="solid"/>
            </v:rect>
            <v:shape style="position:absolute;left:2520;top:652;width:5784;height:44" coordorigin="2520,652" coordsize="5784,44" path="m8280,652l2520,652,2520,696,8280,696,8304,672,8256,672,8280,652xm8304,672l8280,696,8304,696,8304,672xe" filled="true" fillcolor="#000000" stroked="false">
              <v:path arrowok="t"/>
              <v:fill type="solid"/>
            </v:shape>
            <w10:wrap type="none"/>
          </v:group>
        </w:pict>
      </w:r>
      <w:r>
        <w:rPr/>
        <w:pict>
          <v:line style="position:absolute;mso-position-horizontal-relative:page;mso-position-vertical-relative:paragraph;z-index:-121000" from="420.23999pt,15.579912pt" to="420.23999pt,15.579912pt" stroked="true" strokeweight=".24pt" strokecolor="#000000">
            <v:stroke dashstyle="solid"/>
            <w10:wrap type="none"/>
          </v:line>
        </w:pict>
      </w:r>
      <w:r>
        <w:rPr/>
        <w:pict>
          <v:line style="position:absolute;mso-position-horizontal-relative:page;mso-position-vertical-relative:paragraph;z-index:-120976" from="426.720001pt,15.579912pt" to="426.720001pt,15.579912pt" stroked="true" strokeweight=".24pt" strokecolor="#000000">
            <v:stroke dashstyle="solid"/>
            <w10:wrap type="none"/>
          </v:line>
        </w:pict>
      </w:r>
      <w:r>
        <w:rPr/>
        <w:pict>
          <v:line style="position:absolute;mso-position-horizontal-relative:page;mso-position-vertical-relative:paragraph;z-index:-120952" from="433.200012pt,15.579912pt" to="433.200012pt,15.579912pt" stroked="true" strokeweight=".24pt" strokecolor="#000000">
            <v:stroke dashstyle="solid"/>
            <w10:wrap type="none"/>
          </v:line>
        </w:pict>
      </w:r>
      <w:r>
        <w:rPr/>
        <w:pict>
          <v:line style="position:absolute;mso-position-horizontal-relative:page;mso-position-vertical-relative:paragraph;z-index:-120928" from="439.679993pt,15.579912pt" to="439.679993pt,15.579912pt" stroked="true" strokeweight=".24pt" strokecolor="#000000">
            <v:stroke dashstyle="solid"/>
            <w10:wrap type="none"/>
          </v:line>
        </w:pict>
      </w:r>
      <w:r>
        <w:rPr/>
        <w:pict>
          <v:line style="position:absolute;mso-position-horizontal-relative:page;mso-position-vertical-relative:paragraph;z-index:-120904" from="446.160004pt,15.579912pt" to="446.160004pt,15.579912pt" stroked="true" strokeweight=".24pt" strokecolor="#000000">
            <v:stroke dashstyle="solid"/>
            <w10:wrap type="none"/>
          </v:line>
        </w:pict>
      </w:r>
      <w:r>
        <w:rPr>
          <w:rFonts w:ascii="Arial" w:hAnsi="Arial"/>
          <w:w w:val="100"/>
          <w:u w:val="single"/>
        </w:rPr>
        <w:t> </w:t>
      </w:r>
      <w:r>
        <w:rPr>
          <w:rFonts w:ascii="Arial" w:hAnsi="Arial"/>
          <w:u w:val="single"/>
        </w:rPr>
        <w:tab/>
        <w:t>5¢</w:t>
      </w:r>
    </w:p>
    <w:p>
      <w:pPr>
        <w:spacing w:after="0"/>
        <w:rPr>
          <w:rFonts w:ascii="Arial" w:hAnsi="Arial"/>
        </w:rPr>
        <w:sectPr>
          <w:type w:val="continuous"/>
          <w:pgSz w:w="12240" w:h="15840"/>
          <w:pgMar w:top="1420" w:bottom="280" w:left="1700" w:right="960"/>
          <w:cols w:num="2" w:equalWidth="0">
            <w:col w:w="4912" w:space="891"/>
            <w:col w:w="3777"/>
          </w:cols>
        </w:sectPr>
      </w:pPr>
    </w:p>
    <w:p>
      <w:pPr>
        <w:pStyle w:val="BodyText"/>
        <w:spacing w:before="10"/>
        <w:rPr>
          <w:rFonts w:ascii="Arial"/>
          <w:sz w:val="26"/>
        </w:rPr>
      </w:pPr>
    </w:p>
    <w:p>
      <w:pPr>
        <w:spacing w:after="0"/>
        <w:rPr>
          <w:rFonts w:ascii="Arial"/>
          <w:sz w:val="26"/>
        </w:rPr>
        <w:sectPr>
          <w:type w:val="continuous"/>
          <w:pgSz w:w="12240" w:h="15840"/>
          <w:pgMar w:top="1420" w:bottom="280" w:left="1700" w:right="96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spacing w:before="3"/>
        <w:rPr>
          <w:rFonts w:ascii="Arial"/>
          <w:sz w:val="9"/>
        </w:rPr>
      </w:pPr>
    </w:p>
    <w:p>
      <w:pPr>
        <w:spacing w:after="0"/>
        <w:rPr>
          <w:rFonts w:ascii="Arial"/>
          <w:sz w:val="9"/>
        </w:rPr>
        <w:sectPr>
          <w:type w:val="continuous"/>
          <w:pgSz w:w="12240" w:h="15840"/>
          <w:pgMar w:top="1420" w:bottom="280" w:left="1700" w:right="960"/>
        </w:sectPr>
      </w:pPr>
    </w:p>
    <w:p>
      <w:pPr>
        <w:pStyle w:val="Heading2"/>
        <w:spacing w:before="95"/>
        <w:ind w:left="820"/>
      </w:pPr>
      <w:r>
        <w:rPr/>
        <w:t>Operating Expense Per Available Seat Mile</w:t>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tabs>
          <w:tab w:pos="1163" w:val="left" w:leader="none"/>
        </w:tabs>
        <w:ind w:left="820"/>
        <w:rPr>
          <w:rFonts w:ascii="Arial" w:hAnsi="Arial"/>
        </w:rPr>
      </w:pPr>
      <w:r>
        <w:rPr/>
        <w:pict>
          <v:line style="position:absolute;mso-position-horizontal-relative:page;mso-position-vertical-relative:paragraph;z-index:-120136" from="420.23999pt,9.379897pt" to="420.23999pt,9.379897pt" stroked="true" strokeweight=".24pt" strokecolor="#000000">
            <v:stroke dashstyle="solid"/>
            <w10:wrap type="none"/>
          </v:line>
        </w:pict>
      </w:r>
      <w:r>
        <w:rPr/>
        <w:pict>
          <v:line style="position:absolute;mso-position-horizontal-relative:page;mso-position-vertical-relative:paragraph;z-index:-120112" from="426.720001pt,9.379897pt" to="426.720001pt,9.379897pt" stroked="true" strokeweight=".24pt" strokecolor="#000000">
            <v:stroke dashstyle="solid"/>
            <w10:wrap type="none"/>
          </v:line>
        </w:pict>
      </w:r>
      <w:r>
        <w:rPr/>
        <w:pict>
          <v:line style="position:absolute;mso-position-horizontal-relative:page;mso-position-vertical-relative:paragraph;z-index:-120088" from="433.200012pt,9.379897pt" to="433.200012pt,9.379897pt" stroked="true" strokeweight=".24pt" strokecolor="#000000">
            <v:stroke dashstyle="solid"/>
            <w10:wrap type="none"/>
          </v:line>
        </w:pict>
      </w:r>
      <w:r>
        <w:rPr/>
        <w:pict>
          <v:line style="position:absolute;mso-position-horizontal-relative:page;mso-position-vertical-relative:paragraph;z-index:-120064" from="439.679993pt,9.379897pt" to="439.679993pt,9.379897pt" stroked="true" strokeweight=".24pt" strokecolor="#000000">
            <v:stroke dashstyle="solid"/>
            <w10:wrap type="none"/>
          </v:line>
        </w:pict>
      </w:r>
      <w:r>
        <w:rPr/>
        <w:pict>
          <v:line style="position:absolute;mso-position-horizontal-relative:page;mso-position-vertical-relative:paragraph;z-index:-120040" from="446.160004pt,9.379897pt" to="446.160004pt,9.379897pt" stroked="true" strokeweight=".24pt" strokecolor="#000000">
            <v:stroke dashstyle="solid"/>
            <w10:wrap type="none"/>
          </v:line>
        </w:pict>
      </w:r>
      <w:r>
        <w:rPr/>
        <w:pict>
          <v:shape style="position:absolute;margin-left:124.800003pt;margin-top:-8.620103pt;width:291.6pt;height:91pt;mso-position-horizontal-relative:page;mso-position-vertical-relative:paragraph;z-index:388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080"/>
                    <w:gridCol w:w="1080"/>
                    <w:gridCol w:w="1080"/>
                    <w:gridCol w:w="1260"/>
                  </w:tblGrid>
                  <w:tr>
                    <w:trPr>
                      <w:trHeight w:val="360" w:hRule="exact"/>
                    </w:trPr>
                    <w:tc>
                      <w:tcPr>
                        <w:tcW w:w="5760" w:type="dxa"/>
                        <w:gridSpan w:val="5"/>
                        <w:tcBorders>
                          <w:top w:val="nil"/>
                          <w:left w:val="nil"/>
                          <w:right w:val="single" w:sz="19" w:space="0" w:color="000000"/>
                        </w:tcBorders>
                      </w:tcPr>
                      <w:p>
                        <w:pPr/>
                      </w:p>
                    </w:tc>
                  </w:tr>
                  <w:tr>
                    <w:trPr>
                      <w:trHeight w:val="360" w:hRule="exact"/>
                    </w:trPr>
                    <w:tc>
                      <w:tcPr>
                        <w:tcW w:w="5760" w:type="dxa"/>
                        <w:gridSpan w:val="5"/>
                        <w:tcBorders>
                          <w:left w:val="nil"/>
                          <w:right w:val="single" w:sz="19" w:space="0" w:color="000000"/>
                        </w:tcBorders>
                      </w:tcPr>
                      <w:p>
                        <w:pPr/>
                      </w:p>
                    </w:tc>
                  </w:tr>
                  <w:tr>
                    <w:trPr>
                      <w:trHeight w:val="360" w:hRule="exact"/>
                    </w:trPr>
                    <w:tc>
                      <w:tcPr>
                        <w:tcW w:w="5760" w:type="dxa"/>
                        <w:gridSpan w:val="5"/>
                        <w:tcBorders>
                          <w:left w:val="nil"/>
                          <w:right w:val="single" w:sz="19" w:space="0" w:color="000000"/>
                        </w:tcBorders>
                      </w:tcPr>
                      <w:p>
                        <w:pPr/>
                      </w:p>
                    </w:tc>
                  </w:tr>
                  <w:tr>
                    <w:trPr>
                      <w:trHeight w:val="355" w:hRule="exact"/>
                    </w:trPr>
                    <w:tc>
                      <w:tcPr>
                        <w:tcW w:w="1260" w:type="dxa"/>
                        <w:tcBorders>
                          <w:left w:val="nil"/>
                          <w:right w:val="nil"/>
                        </w:tcBorders>
                      </w:tcPr>
                      <w:p>
                        <w:pPr>
                          <w:pStyle w:val="TableParagraph"/>
                          <w:spacing w:line="218" w:lineRule="exact" w:before="0"/>
                          <w:ind w:left="470"/>
                          <w:rPr>
                            <w:rFonts w:ascii="Arial" w:hAnsi="Arial"/>
                            <w:sz w:val="20"/>
                          </w:rPr>
                        </w:pPr>
                        <w:r>
                          <w:rPr>
                            <w:rFonts w:ascii="Arial" w:hAnsi="Arial"/>
                            <w:sz w:val="20"/>
                          </w:rPr>
                          <w:t>6.73¢</w:t>
                        </w:r>
                      </w:p>
                    </w:tc>
                    <w:tc>
                      <w:tcPr>
                        <w:tcW w:w="1080" w:type="dxa"/>
                        <w:tcBorders>
                          <w:left w:val="nil"/>
                          <w:right w:val="nil"/>
                        </w:tcBorders>
                      </w:tcPr>
                      <w:p>
                        <w:pPr>
                          <w:pStyle w:val="TableParagraph"/>
                          <w:spacing w:line="218" w:lineRule="exact" w:before="0"/>
                          <w:ind w:left="290"/>
                          <w:rPr>
                            <w:rFonts w:ascii="Arial" w:hAnsi="Arial"/>
                            <w:sz w:val="20"/>
                          </w:rPr>
                        </w:pPr>
                        <w:r>
                          <w:rPr>
                            <w:rFonts w:ascii="Arial" w:hAnsi="Arial"/>
                            <w:sz w:val="20"/>
                          </w:rPr>
                          <w:t>6.76¢</w:t>
                        </w:r>
                      </w:p>
                    </w:tc>
                    <w:tc>
                      <w:tcPr>
                        <w:tcW w:w="1080" w:type="dxa"/>
                        <w:tcBorders>
                          <w:left w:val="nil"/>
                          <w:right w:val="nil"/>
                        </w:tcBorders>
                      </w:tcPr>
                      <w:p>
                        <w:pPr>
                          <w:pStyle w:val="TableParagraph"/>
                          <w:spacing w:line="174" w:lineRule="exact" w:before="0"/>
                          <w:ind w:left="290"/>
                          <w:rPr>
                            <w:rFonts w:ascii="Arial" w:hAnsi="Arial"/>
                            <w:sz w:val="20"/>
                          </w:rPr>
                        </w:pPr>
                        <w:r>
                          <w:rPr>
                            <w:rFonts w:ascii="Arial" w:hAnsi="Arial"/>
                            <w:sz w:val="20"/>
                          </w:rPr>
                          <w:t>7.03¢</w:t>
                        </w:r>
                      </w:p>
                    </w:tc>
                    <w:tc>
                      <w:tcPr>
                        <w:tcW w:w="1080" w:type="dxa"/>
                        <w:tcBorders>
                          <w:left w:val="nil"/>
                          <w:right w:val="nil"/>
                        </w:tcBorders>
                      </w:tcPr>
                      <w:p>
                        <w:pPr>
                          <w:pStyle w:val="TableParagraph"/>
                          <w:spacing w:line="126" w:lineRule="exact" w:before="0"/>
                          <w:ind w:left="290"/>
                          <w:rPr>
                            <w:rFonts w:ascii="Arial" w:hAnsi="Arial"/>
                            <w:sz w:val="20"/>
                          </w:rPr>
                        </w:pPr>
                        <w:r>
                          <w:rPr>
                            <w:rFonts w:ascii="Arial" w:hAnsi="Arial"/>
                            <w:sz w:val="20"/>
                          </w:rPr>
                          <w:t>7.25¢</w:t>
                        </w:r>
                      </w:p>
                    </w:tc>
                    <w:tc>
                      <w:tcPr>
                        <w:tcW w:w="1260" w:type="dxa"/>
                        <w:tcBorders>
                          <w:left w:val="nil"/>
                          <w:right w:val="single" w:sz="19" w:space="0" w:color="000000"/>
                        </w:tcBorders>
                      </w:tcPr>
                      <w:p>
                        <w:pPr>
                          <w:pStyle w:val="TableParagraph"/>
                          <w:spacing w:line="174" w:lineRule="exact" w:before="0"/>
                          <w:ind w:left="290"/>
                          <w:rPr>
                            <w:rFonts w:ascii="Arial" w:hAnsi="Arial"/>
                            <w:sz w:val="20"/>
                          </w:rPr>
                        </w:pPr>
                        <w:r>
                          <w:rPr>
                            <w:rFonts w:ascii="Arial" w:hAnsi="Arial"/>
                            <w:sz w:val="20"/>
                          </w:rPr>
                          <w:t>7.08¢</w:t>
                        </w:r>
                      </w:p>
                    </w:tc>
                  </w:tr>
                  <w:tr>
                    <w:trPr>
                      <w:trHeight w:val="360" w:hRule="exact"/>
                    </w:trPr>
                    <w:tc>
                      <w:tcPr>
                        <w:tcW w:w="5760" w:type="dxa"/>
                        <w:gridSpan w:val="5"/>
                        <w:tcBorders>
                          <w:left w:val="nil"/>
                          <w:bottom w:val="nil"/>
                          <w:right w:val="single" w:sz="19" w:space="0" w:color="000000"/>
                        </w:tcBorders>
                      </w:tcPr>
                      <w:p>
                        <w:pPr/>
                      </w:p>
                    </w:tc>
                  </w:tr>
                </w:tbl>
                <w:p>
                  <w:pPr>
                    <w:pStyle w:val="BodyText"/>
                  </w:pPr>
                </w:p>
              </w:txbxContent>
            </v:textbox>
            <w10:wrap type="none"/>
          </v:shape>
        </w:pict>
      </w:r>
      <w:r>
        <w:rPr>
          <w:rFonts w:ascii="Arial" w:hAnsi="Arial"/>
          <w:w w:val="100"/>
          <w:u w:val="single"/>
        </w:rPr>
        <w:t> </w:t>
      </w:r>
      <w:r>
        <w:rPr>
          <w:rFonts w:ascii="Arial" w:hAnsi="Arial"/>
          <w:u w:val="single"/>
        </w:rPr>
        <w:tab/>
        <w:t>20¢</w:t>
      </w:r>
    </w:p>
    <w:p>
      <w:pPr>
        <w:pStyle w:val="BodyText"/>
        <w:tabs>
          <w:tab w:pos="1163" w:val="left" w:leader="none"/>
        </w:tabs>
        <w:spacing w:before="130"/>
        <w:ind w:left="820"/>
        <w:rPr>
          <w:rFonts w:ascii="Arial" w:hAnsi="Arial"/>
        </w:rPr>
      </w:pPr>
      <w:r>
        <w:rPr/>
        <w:pict>
          <v:line style="position:absolute;mso-position-horizontal-relative:page;mso-position-vertical-relative:paragraph;z-index:-120256" from="420.23999pt,15.879897pt" to="420.23999pt,15.879897pt" stroked="true" strokeweight=".24pt" strokecolor="#000000">
            <v:stroke dashstyle="solid"/>
            <w10:wrap type="none"/>
          </v:line>
        </w:pict>
      </w:r>
      <w:r>
        <w:rPr/>
        <w:pict>
          <v:line style="position:absolute;mso-position-horizontal-relative:page;mso-position-vertical-relative:paragraph;z-index:-120232" from="426.720001pt,15.879897pt" to="426.720001pt,15.879897pt" stroked="true" strokeweight=".24pt" strokecolor="#000000">
            <v:stroke dashstyle="solid"/>
            <w10:wrap type="none"/>
          </v:line>
        </w:pict>
      </w:r>
      <w:r>
        <w:rPr/>
        <w:pict>
          <v:line style="position:absolute;mso-position-horizontal-relative:page;mso-position-vertical-relative:paragraph;z-index:-120208" from="433.200012pt,15.879897pt" to="433.200012pt,15.879897pt" stroked="true" strokeweight=".24pt" strokecolor="#000000">
            <v:stroke dashstyle="solid"/>
            <w10:wrap type="none"/>
          </v:line>
        </w:pict>
      </w:r>
      <w:r>
        <w:rPr/>
        <w:pict>
          <v:line style="position:absolute;mso-position-horizontal-relative:page;mso-position-vertical-relative:paragraph;z-index:-120184" from="439.679993pt,15.879897pt" to="439.679993pt,15.879897pt" stroked="true" strokeweight=".24pt" strokecolor="#000000">
            <v:stroke dashstyle="solid"/>
            <w10:wrap type="none"/>
          </v:line>
        </w:pict>
      </w:r>
      <w:r>
        <w:rPr/>
        <w:pict>
          <v:line style="position:absolute;mso-position-horizontal-relative:page;mso-position-vertical-relative:paragraph;z-index:-120160" from="446.160004pt,15.879897pt" to="446.160004pt,15.879897pt" stroked="true" strokeweight=".24pt" strokecolor="#000000">
            <v:stroke dashstyle="solid"/>
            <w10:wrap type="none"/>
          </v:line>
        </w:pict>
      </w:r>
      <w:r>
        <w:rPr>
          <w:rFonts w:ascii="Arial" w:hAnsi="Arial"/>
          <w:w w:val="100"/>
          <w:u w:val="single"/>
        </w:rPr>
        <w:t> </w:t>
      </w:r>
      <w:r>
        <w:rPr>
          <w:rFonts w:ascii="Arial" w:hAnsi="Arial"/>
          <w:u w:val="single"/>
        </w:rPr>
        <w:tab/>
        <w:t>15¢</w:t>
      </w:r>
    </w:p>
    <w:p>
      <w:pPr>
        <w:pStyle w:val="BodyText"/>
        <w:tabs>
          <w:tab w:pos="1163" w:val="left" w:leader="none"/>
        </w:tabs>
        <w:spacing w:before="130"/>
        <w:ind w:left="820"/>
        <w:rPr>
          <w:rFonts w:ascii="Arial" w:hAnsi="Arial"/>
        </w:rPr>
      </w:pPr>
      <w:r>
        <w:rPr/>
        <w:pict>
          <v:line style="position:absolute;mso-position-horizontal-relative:page;mso-position-vertical-relative:paragraph;z-index:-120376" from="420.23999pt,15.879897pt" to="420.23999pt,15.879897pt" stroked="true" strokeweight=".24pt" strokecolor="#000000">
            <v:stroke dashstyle="solid"/>
            <w10:wrap type="none"/>
          </v:line>
        </w:pict>
      </w:r>
      <w:r>
        <w:rPr/>
        <w:pict>
          <v:line style="position:absolute;mso-position-horizontal-relative:page;mso-position-vertical-relative:paragraph;z-index:-120352" from="426.720001pt,15.879897pt" to="426.720001pt,15.879897pt" stroked="true" strokeweight=".24pt" strokecolor="#000000">
            <v:stroke dashstyle="solid"/>
            <w10:wrap type="none"/>
          </v:line>
        </w:pict>
      </w:r>
      <w:r>
        <w:rPr/>
        <w:pict>
          <v:line style="position:absolute;mso-position-horizontal-relative:page;mso-position-vertical-relative:paragraph;z-index:-120328" from="433.200012pt,15.879897pt" to="433.200012pt,15.879897pt" stroked="true" strokeweight=".24pt" strokecolor="#000000">
            <v:stroke dashstyle="solid"/>
            <w10:wrap type="none"/>
          </v:line>
        </w:pict>
      </w:r>
      <w:r>
        <w:rPr/>
        <w:pict>
          <v:line style="position:absolute;mso-position-horizontal-relative:page;mso-position-vertical-relative:paragraph;z-index:-120304" from="439.679993pt,15.879897pt" to="439.679993pt,15.879897pt" stroked="true" strokeweight=".24pt" strokecolor="#000000">
            <v:stroke dashstyle="solid"/>
            <w10:wrap type="none"/>
          </v:line>
        </w:pict>
      </w:r>
      <w:r>
        <w:rPr/>
        <w:pict>
          <v:line style="position:absolute;mso-position-horizontal-relative:page;mso-position-vertical-relative:paragraph;z-index:-120280" from="446.160004pt,15.879897pt" to="446.160004pt,15.879897pt" stroked="true" strokeweight=".24pt" strokecolor="#000000">
            <v:stroke dashstyle="solid"/>
            <w10:wrap type="none"/>
          </v:line>
        </w:pict>
      </w:r>
      <w:r>
        <w:rPr>
          <w:rFonts w:ascii="Arial" w:hAnsi="Arial"/>
          <w:w w:val="100"/>
          <w:u w:val="single"/>
        </w:rPr>
        <w:t> </w:t>
      </w:r>
      <w:r>
        <w:rPr>
          <w:rFonts w:ascii="Arial" w:hAnsi="Arial"/>
          <w:u w:val="single"/>
        </w:rPr>
        <w:tab/>
        <w:t>10¢</w:t>
      </w:r>
    </w:p>
    <w:p>
      <w:pPr>
        <w:pStyle w:val="BodyText"/>
        <w:tabs>
          <w:tab w:pos="1273" w:val="left" w:leader="none"/>
        </w:tabs>
        <w:spacing w:before="125"/>
        <w:ind w:left="820"/>
        <w:rPr>
          <w:rFonts w:ascii="Arial" w:hAnsi="Arial"/>
        </w:rPr>
      </w:pPr>
      <w:r>
        <w:rPr/>
        <w:pict>
          <v:group style="position:absolute;margin-left:126pt;margin-top:6.749887pt;width:289.2pt;height:28.1pt;mso-position-horizontal-relative:page;mso-position-vertical-relative:paragraph;z-index:3352" coordorigin="2520,135" coordsize="5784,562">
            <v:rect style="position:absolute;left:2880;top:226;width:720;height:446" filled="true" fillcolor="#ff6600" stroked="false">
              <v:fill type="solid"/>
            </v:rect>
            <v:rect style="position:absolute;left:3960;top:226;width:720;height:446" filled="true" fillcolor="#ff00ff" stroked="false">
              <v:fill type="solid"/>
            </v:rect>
            <v:rect style="position:absolute;left:5040;top:178;width:720;height:494" filled="true" fillcolor="#ff0000" stroked="false">
              <v:fill type="solid"/>
            </v:rect>
            <v:rect style="position:absolute;left:6120;top:135;width:720;height:538" filled="true" fillcolor="#00ff00" stroked="false">
              <v:fill type="solid"/>
            </v:rect>
            <v:rect style="position:absolute;left:7200;top:178;width:720;height:494" filled="true" fillcolor="#0000ff" stroked="false">
              <v:fill type="solid"/>
            </v:rect>
            <v:shape style="position:absolute;left:2520;top:653;width:5784;height:44" coordorigin="2520,653" coordsize="5784,44" path="m8280,653l2520,653,2520,697,8280,697,8304,673,8256,673,8280,653xm8304,673l8280,697,8304,697,8304,673xe" filled="true" fillcolor="#000000" stroked="false">
              <v:path arrowok="t"/>
              <v:fill type="solid"/>
            </v:shape>
            <w10:wrap type="none"/>
          </v:group>
        </w:pict>
      </w:r>
      <w:r>
        <w:rPr/>
        <w:pict>
          <v:line style="position:absolute;mso-position-horizontal-relative:page;mso-position-vertical-relative:paragraph;z-index:-120496" from="420.23999pt,15.629888pt" to="420.23999pt,15.629888pt" stroked="true" strokeweight=".24pt" strokecolor="#000000">
            <v:stroke dashstyle="solid"/>
            <w10:wrap type="none"/>
          </v:line>
        </w:pict>
      </w:r>
      <w:r>
        <w:rPr/>
        <w:pict>
          <v:line style="position:absolute;mso-position-horizontal-relative:page;mso-position-vertical-relative:paragraph;z-index:-120472" from="426.720001pt,15.629888pt" to="426.720001pt,15.629888pt" stroked="true" strokeweight=".24pt" strokecolor="#000000">
            <v:stroke dashstyle="solid"/>
            <w10:wrap type="none"/>
          </v:line>
        </w:pict>
      </w:r>
      <w:r>
        <w:rPr/>
        <w:pict>
          <v:line style="position:absolute;mso-position-horizontal-relative:page;mso-position-vertical-relative:paragraph;z-index:-120448" from="433.200012pt,15.629888pt" to="433.200012pt,15.629888pt" stroked="true" strokeweight=".24pt" strokecolor="#000000">
            <v:stroke dashstyle="solid"/>
            <w10:wrap type="none"/>
          </v:line>
        </w:pict>
      </w:r>
      <w:r>
        <w:rPr/>
        <w:pict>
          <v:line style="position:absolute;mso-position-horizontal-relative:page;mso-position-vertical-relative:paragraph;z-index:-120424" from="439.679993pt,15.629888pt" to="439.679993pt,15.629888pt" stroked="true" strokeweight=".24pt" strokecolor="#000000">
            <v:stroke dashstyle="solid"/>
            <w10:wrap type="none"/>
          </v:line>
        </w:pict>
      </w:r>
      <w:r>
        <w:rPr/>
        <w:pict>
          <v:line style="position:absolute;mso-position-horizontal-relative:page;mso-position-vertical-relative:paragraph;z-index:-120400" from="446.160004pt,15.629888pt" to="446.160004pt,15.629888pt" stroked="true" strokeweight=".24pt" strokecolor="#000000">
            <v:stroke dashstyle="solid"/>
            <w10:wrap type="none"/>
          </v:line>
        </w:pict>
      </w:r>
      <w:r>
        <w:rPr>
          <w:rFonts w:ascii="Arial" w:hAnsi="Arial"/>
          <w:w w:val="100"/>
          <w:u w:val="single"/>
        </w:rPr>
        <w:t> </w:t>
      </w:r>
      <w:r>
        <w:rPr>
          <w:rFonts w:ascii="Arial" w:hAnsi="Arial"/>
          <w:u w:val="single"/>
        </w:rPr>
        <w:tab/>
        <w:t>5¢</w:t>
      </w:r>
    </w:p>
    <w:p>
      <w:pPr>
        <w:spacing w:after="0"/>
        <w:rPr>
          <w:rFonts w:ascii="Arial" w:hAnsi="Arial"/>
        </w:rPr>
        <w:sectPr>
          <w:type w:val="continuous"/>
          <w:pgSz w:w="12240" w:h="15840"/>
          <w:pgMar w:top="1420" w:bottom="280" w:left="1700" w:right="960"/>
          <w:cols w:num="2" w:equalWidth="0">
            <w:col w:w="4902" w:space="901"/>
            <w:col w:w="3777"/>
          </w:cols>
        </w:sectPr>
      </w:pPr>
    </w:p>
    <w:p>
      <w:pPr>
        <w:pStyle w:val="BodyText"/>
        <w:spacing w:before="11"/>
        <w:rPr>
          <w:rFonts w:ascii="Arial"/>
          <w:sz w:val="26"/>
        </w:rPr>
      </w:pPr>
    </w:p>
    <w:p>
      <w:pPr>
        <w:spacing w:after="0"/>
        <w:rPr>
          <w:rFonts w:ascii="Arial"/>
          <w:sz w:val="26"/>
        </w:rPr>
        <w:sectPr>
          <w:type w:val="continuous"/>
          <w:pgSz w:w="12240" w:h="15840"/>
          <w:pgMar w:top="1420" w:bottom="280" w:left="1700" w:right="960"/>
        </w:sectPr>
      </w:pPr>
    </w:p>
    <w:p>
      <w:pPr>
        <w:pStyle w:val="BodyText"/>
        <w:spacing w:before="93"/>
        <w:jc w:val="right"/>
        <w:rPr>
          <w:rFonts w:ascii="Arial"/>
        </w:rPr>
      </w:pPr>
      <w:r>
        <w:rPr>
          <w:rFonts w:ascii="Arial"/>
        </w:rPr>
        <w:t>1990</w:t>
      </w:r>
    </w:p>
    <w:p>
      <w:pPr>
        <w:pStyle w:val="BodyText"/>
        <w:spacing w:before="93"/>
        <w:ind w:left="597"/>
        <w:rPr>
          <w:rFonts w:ascii="Arial"/>
        </w:rPr>
      </w:pPr>
      <w:r>
        <w:rPr/>
        <w:br w:type="column"/>
      </w:r>
      <w:r>
        <w:rPr>
          <w:rFonts w:ascii="Arial"/>
          <w:spacing w:val="-1"/>
        </w:rPr>
        <w:t>1991</w:t>
      </w:r>
    </w:p>
    <w:p>
      <w:pPr>
        <w:pStyle w:val="BodyText"/>
        <w:spacing w:before="93"/>
        <w:ind w:left="597"/>
        <w:rPr>
          <w:rFonts w:ascii="Arial"/>
        </w:rPr>
      </w:pPr>
      <w:r>
        <w:rPr/>
        <w:br w:type="column"/>
      </w:r>
      <w:r>
        <w:rPr>
          <w:rFonts w:ascii="Arial"/>
          <w:spacing w:val="-1"/>
        </w:rPr>
        <w:t>1992</w:t>
      </w:r>
    </w:p>
    <w:p>
      <w:pPr>
        <w:pStyle w:val="BodyText"/>
        <w:spacing w:before="93"/>
        <w:ind w:left="597"/>
        <w:rPr>
          <w:rFonts w:ascii="Arial"/>
        </w:rPr>
      </w:pPr>
      <w:r>
        <w:rPr/>
        <w:br w:type="column"/>
      </w:r>
      <w:r>
        <w:rPr>
          <w:rFonts w:ascii="Arial"/>
          <w:spacing w:val="-1"/>
        </w:rPr>
        <w:t>1993</w:t>
      </w:r>
    </w:p>
    <w:p>
      <w:pPr>
        <w:pStyle w:val="BodyText"/>
        <w:spacing w:before="93"/>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rPr>
          <w:rFonts w:ascii="Arial"/>
        </w:rPr>
      </w:pPr>
    </w:p>
    <w:p>
      <w:pPr>
        <w:pStyle w:val="BodyText"/>
        <w:spacing w:before="2"/>
        <w:rPr>
          <w:rFonts w:ascii="Arial"/>
          <w:sz w:val="22"/>
        </w:rPr>
      </w:pPr>
    </w:p>
    <w:p>
      <w:pPr>
        <w:pStyle w:val="BodyText"/>
        <w:spacing w:line="249" w:lineRule="auto"/>
        <w:ind w:left="880" w:right="237"/>
      </w:pPr>
      <w:r>
        <w:rPr/>
        <w:t>A cornerstone of our low operating cost structure is our high asset utilization and Employee productivity. We are continually able to achieve the highest productivity of any U.S. airline. One reason for our productivity advantage is our dedication to the shorthaul, high-frequency, low-fare, point-to-point market niche. As a consequence, we only provide service to communities that have sufficient local traffic to support our high-frequency operations profitably.</w:t>
      </w:r>
    </w:p>
    <w:p>
      <w:pPr>
        <w:pStyle w:val="BodyText"/>
        <w:spacing w:line="249" w:lineRule="auto" w:before="121"/>
        <w:ind w:left="880" w:right="167"/>
      </w:pPr>
      <w:r>
        <w:rPr/>
        <w:t>We schedule our aircraft on a point-to-point, not hub-and-spoke, basis and focus on local, not through or connecting, traffic. As a result, approximately 80 percent of our Customers fly nonstop. Our point-to-point route system, as compared to hub-and-spoke, provides for more direct nonstop routings for shorthaul Customers and, therefore, minimizes stops, connections, delays, and total trip time. In addition, we serve many conveniently located satellite or downtown airports such as Dallas Love Field, Houston Hobby, Chicago Midway, Oakland, Burbank, Ontario, San Jose, and Baltimore. We avoid many congested hub airports altogether and enhance our ability to sustain high productivity and reliable ontime performance.</w:t>
      </w:r>
    </w:p>
    <w:p>
      <w:pPr>
        <w:pStyle w:val="BodyText"/>
        <w:spacing w:line="249" w:lineRule="auto" w:before="121"/>
        <w:ind w:left="880" w:right="167"/>
      </w:pPr>
      <w:r>
        <w:rPr/>
        <w:t>Aircraft are scheduled to minimize the amount of time the aircraft is at the gate, generally less than 20 minutes, thereby reducing the number of aircraft and gate facilities that would otherwise be required. Because of our shorthaul market focus, we require and have only one aircraft type, the Boeing 737. This drastically simplifies scheduling, maintenance, flight operations, and training activities.</w:t>
      </w:r>
    </w:p>
    <w:p>
      <w:pPr>
        <w:pStyle w:val="BodyText"/>
        <w:spacing w:line="249" w:lineRule="auto" w:before="121"/>
        <w:ind w:left="880" w:right="412"/>
      </w:pPr>
      <w:r>
        <w:rPr/>
        <w:t>All combined, the point-to-point route system; high frequency and uncongested airport selection; single aircraft type; high asset utilization; and high Employee productivity produce a very safe, efficient, and cost-effective operation with exceptional ontime performance.</w:t>
      </w:r>
    </w:p>
    <w:p>
      <w:pPr>
        <w:pStyle w:val="BodyText"/>
        <w:spacing w:before="7"/>
        <w:rPr>
          <w:sz w:val="12"/>
        </w:rPr>
      </w:pPr>
    </w:p>
    <w:p>
      <w:pPr>
        <w:spacing w:after="0"/>
        <w:rPr>
          <w:sz w:val="12"/>
        </w:rPr>
        <w:sectPr>
          <w:headerReference w:type="default" r:id="rId18"/>
          <w:pgSz w:w="12240" w:h="15840"/>
          <w:pgMar w:header="725" w:footer="746" w:top="2020" w:bottom="940" w:left="1640" w:right="920"/>
        </w:sectPr>
      </w:pPr>
    </w:p>
    <w:p>
      <w:pPr>
        <w:pStyle w:val="Heading2"/>
        <w:spacing w:before="95"/>
      </w:pPr>
      <w:r>
        <w:rPr/>
        <w:t>Passengers Carried Per Employee</w:t>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ind w:left="880"/>
        <w:rPr>
          <w:rFonts w:ascii="Arial"/>
        </w:rPr>
      </w:pPr>
      <w:r>
        <w:rPr/>
        <w:pict>
          <v:group style="position:absolute;margin-left:126pt;margin-top:16.099882pt;width:289.2pt;height:66.25pt;mso-position-horizontal-relative:page;mso-position-vertical-relative:paragraph;z-index:4552" coordorigin="2520,322" coordsize="5784,1325">
            <v:rect style="position:absolute;left:2880;top:504;width:720;height:1118" filled="true" fillcolor="#ff6600" stroked="false">
              <v:fill type="solid"/>
            </v:rect>
            <v:rect style="position:absolute;left:3960;top:456;width:720;height:1166" filled="true" fillcolor="#ff00ff" stroked="false">
              <v:fill type="solid"/>
            </v:rect>
            <v:rect style="position:absolute;left:5040;top:408;width:720;height:1214" filled="true" fillcolor="#ff0000" stroked="false">
              <v:fill type="solid"/>
            </v:rect>
            <v:rect style="position:absolute;left:6120;top:365;width:720;height:1258" filled="true" fillcolor="#00ff00" stroked="false">
              <v:fill type="solid"/>
            </v:rect>
            <v:rect style="position:absolute;left:7200;top:322;width:720;height:1301" filled="true" fillcolor="#0000ff" stroked="false">
              <v:fill type="solid"/>
            </v:rect>
            <v:shape style="position:absolute;left:2520;top:1604;width:5784;height:44" coordorigin="2520,1604" coordsize="5784,44" path="m8280,1604l2520,1604,2520,1647,8280,1647,8304,1623,8256,1623,8280,1604xm8304,1623l8280,1647,8304,1647,8304,1623xe" filled="true" fillcolor="#000000" stroked="false">
              <v:path arrowok="t"/>
              <v:fill type="solid"/>
            </v:shape>
            <w10:wrap type="none"/>
          </v:group>
        </w:pict>
      </w:r>
      <w:r>
        <w:rPr/>
        <w:pict>
          <v:line style="position:absolute;mso-position-horizontal-relative:page;mso-position-vertical-relative:paragraph;z-index:-119056" from="420.23999pt,9.379882pt" to="420.23999pt,9.379882pt" stroked="true" strokeweight=".24pt" strokecolor="#000000">
            <v:stroke dashstyle="solid"/>
            <w10:wrap type="none"/>
          </v:line>
        </w:pict>
      </w:r>
      <w:r>
        <w:rPr/>
        <w:pict>
          <v:line style="position:absolute;mso-position-horizontal-relative:page;mso-position-vertical-relative:paragraph;z-index:-119032" from="426.720001pt,9.379882pt" to="426.720001pt,9.379882pt" stroked="true" strokeweight=".24pt" strokecolor="#000000">
            <v:stroke dashstyle="solid"/>
            <w10:wrap type="none"/>
          </v:line>
        </w:pict>
      </w:r>
      <w:r>
        <w:rPr/>
        <w:pict>
          <v:line style="position:absolute;mso-position-horizontal-relative:page;mso-position-vertical-relative:paragraph;z-index:-119008" from="433.200012pt,9.379882pt" to="433.200012pt,9.379882pt" stroked="true" strokeweight=".24pt" strokecolor="#000000">
            <v:stroke dashstyle="solid"/>
            <w10:wrap type="none"/>
          </v:line>
        </w:pict>
      </w:r>
      <w:r>
        <w:rPr/>
        <w:pict>
          <v:line style="position:absolute;mso-position-horizontal-relative:page;mso-position-vertical-relative:paragraph;z-index:-118984" from="439.679993pt,9.379882pt" to="439.679993pt,9.379882pt" stroked="true" strokeweight=".24pt" strokecolor="#000000">
            <v:stroke dashstyle="solid"/>
            <w10:wrap type="none"/>
          </v:line>
        </w:pict>
      </w:r>
      <w:r>
        <w:rPr/>
        <w:pict>
          <v:line style="position:absolute;mso-position-horizontal-relative:page;mso-position-vertical-relative:paragraph;z-index:-118960" from="446.160004pt,9.379882pt" to="446.160004pt,9.379882pt" stroked="true" strokeweight=".24pt" strokecolor="#000000">
            <v:stroke dashstyle="solid"/>
            <w10:wrap type="none"/>
          </v:line>
        </w:pict>
      </w:r>
      <w:r>
        <w:rPr/>
        <w:pict>
          <v:shape style="position:absolute;margin-left:124.800003pt;margin-top:-8.620118pt;width:291.6pt;height:91pt;mso-position-horizontal-relative:page;mso-position-vertical-relative:paragraph;z-index:577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080"/>
                    <w:gridCol w:w="1080"/>
                    <w:gridCol w:w="1080"/>
                    <w:gridCol w:w="1260"/>
                  </w:tblGrid>
                  <w:tr>
                    <w:trPr>
                      <w:trHeight w:val="360" w:hRule="exact"/>
                    </w:trPr>
                    <w:tc>
                      <w:tcPr>
                        <w:tcW w:w="5760" w:type="dxa"/>
                        <w:gridSpan w:val="5"/>
                        <w:tcBorders>
                          <w:top w:val="nil"/>
                          <w:left w:val="nil"/>
                          <w:right w:val="single" w:sz="19" w:space="0" w:color="000000"/>
                        </w:tcBorders>
                      </w:tcPr>
                      <w:p>
                        <w:pPr/>
                      </w:p>
                    </w:tc>
                  </w:tr>
                  <w:tr>
                    <w:trPr>
                      <w:trHeight w:val="446" w:hRule="exact"/>
                    </w:trPr>
                    <w:tc>
                      <w:tcPr>
                        <w:tcW w:w="1260" w:type="dxa"/>
                        <w:tcBorders>
                          <w:left w:val="nil"/>
                          <w:right w:val="nil"/>
                        </w:tcBorders>
                      </w:tcPr>
                      <w:p>
                        <w:pPr>
                          <w:pStyle w:val="TableParagraph"/>
                          <w:spacing w:before="31"/>
                          <w:ind w:left="470"/>
                          <w:rPr>
                            <w:rFonts w:ascii="Arial"/>
                            <w:sz w:val="20"/>
                          </w:rPr>
                        </w:pPr>
                        <w:r>
                          <w:rPr>
                            <w:rFonts w:ascii="Arial"/>
                            <w:sz w:val="20"/>
                          </w:rPr>
                          <w:t>2,393</w:t>
                        </w:r>
                      </w:p>
                    </w:tc>
                    <w:tc>
                      <w:tcPr>
                        <w:tcW w:w="1080" w:type="dxa"/>
                        <w:tcBorders>
                          <w:left w:val="nil"/>
                          <w:right w:val="nil"/>
                        </w:tcBorders>
                      </w:tcPr>
                      <w:p>
                        <w:pPr>
                          <w:pStyle w:val="TableParagraph"/>
                          <w:spacing w:line="218" w:lineRule="exact" w:before="0"/>
                          <w:ind w:left="290"/>
                          <w:rPr>
                            <w:rFonts w:ascii="Arial"/>
                            <w:sz w:val="20"/>
                          </w:rPr>
                        </w:pPr>
                        <w:r>
                          <w:rPr>
                            <w:rFonts w:ascii="Arial"/>
                            <w:sz w:val="20"/>
                          </w:rPr>
                          <w:t>2,450</w:t>
                        </w:r>
                      </w:p>
                    </w:tc>
                    <w:tc>
                      <w:tcPr>
                        <w:tcW w:w="1080" w:type="dxa"/>
                        <w:tcBorders>
                          <w:left w:val="nil"/>
                          <w:right w:val="nil"/>
                        </w:tcBorders>
                      </w:tcPr>
                      <w:p>
                        <w:pPr>
                          <w:pStyle w:val="TableParagraph"/>
                          <w:spacing w:line="174" w:lineRule="exact" w:before="0"/>
                          <w:ind w:left="290"/>
                          <w:rPr>
                            <w:rFonts w:ascii="Arial"/>
                            <w:sz w:val="20"/>
                          </w:rPr>
                        </w:pPr>
                        <w:r>
                          <w:rPr>
                            <w:rFonts w:ascii="Arial"/>
                            <w:sz w:val="20"/>
                          </w:rPr>
                          <w:t>2,597</w:t>
                        </w:r>
                      </w:p>
                    </w:tc>
                    <w:tc>
                      <w:tcPr>
                        <w:tcW w:w="1080" w:type="dxa"/>
                        <w:tcBorders>
                          <w:left w:val="nil"/>
                          <w:right w:val="nil"/>
                        </w:tcBorders>
                      </w:tcPr>
                      <w:p>
                        <w:pPr>
                          <w:pStyle w:val="TableParagraph"/>
                          <w:spacing w:line="126" w:lineRule="exact" w:before="0"/>
                          <w:ind w:left="290"/>
                          <w:rPr>
                            <w:rFonts w:ascii="Arial"/>
                            <w:sz w:val="20"/>
                          </w:rPr>
                        </w:pPr>
                        <w:r>
                          <w:rPr>
                            <w:rFonts w:ascii="Arial"/>
                            <w:sz w:val="20"/>
                          </w:rPr>
                          <w:t>2,633</w:t>
                        </w:r>
                      </w:p>
                    </w:tc>
                    <w:tc>
                      <w:tcPr>
                        <w:tcW w:w="1260" w:type="dxa"/>
                        <w:tcBorders>
                          <w:left w:val="nil"/>
                          <w:right w:val="single" w:sz="19" w:space="0" w:color="000000"/>
                        </w:tcBorders>
                      </w:tcPr>
                      <w:p>
                        <w:pPr/>
                      </w:p>
                    </w:tc>
                  </w:tr>
                  <w:tr>
                    <w:trPr>
                      <w:trHeight w:val="451" w:hRule="exact"/>
                    </w:trPr>
                    <w:tc>
                      <w:tcPr>
                        <w:tcW w:w="5760" w:type="dxa"/>
                        <w:gridSpan w:val="5"/>
                        <w:tcBorders>
                          <w:left w:val="nil"/>
                          <w:right w:val="single" w:sz="19" w:space="0" w:color="000000"/>
                        </w:tcBorders>
                      </w:tcPr>
                      <w:p>
                        <w:pPr/>
                      </w:p>
                    </w:tc>
                  </w:tr>
                  <w:tr>
                    <w:trPr>
                      <w:trHeight w:val="538" w:hRule="exact"/>
                    </w:trPr>
                    <w:tc>
                      <w:tcPr>
                        <w:tcW w:w="5760" w:type="dxa"/>
                        <w:gridSpan w:val="5"/>
                        <w:tcBorders>
                          <w:left w:val="nil"/>
                          <w:bottom w:val="nil"/>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  3,000</w:t>
      </w:r>
    </w:p>
    <w:p>
      <w:pPr>
        <w:pStyle w:val="BodyText"/>
        <w:spacing w:before="9"/>
        <w:rPr>
          <w:rFonts w:ascii="Arial"/>
          <w:sz w:val="18"/>
        </w:rPr>
      </w:pPr>
    </w:p>
    <w:p>
      <w:pPr>
        <w:pStyle w:val="BodyText"/>
        <w:ind w:left="880"/>
        <w:rPr>
          <w:rFonts w:ascii="Arial"/>
        </w:rPr>
      </w:pPr>
      <w:r>
        <w:rPr/>
        <w:pict>
          <v:line style="position:absolute;mso-position-horizontal-relative:page;mso-position-vertical-relative:paragraph;z-index:-119176" from="420.23999pt,9.379874pt" to="420.23999pt,9.379874pt" stroked="true" strokeweight=".24pt" strokecolor="#000000">
            <v:stroke dashstyle="solid"/>
            <w10:wrap type="none"/>
          </v:line>
        </w:pict>
      </w:r>
      <w:r>
        <w:rPr/>
        <w:pict>
          <v:line style="position:absolute;mso-position-horizontal-relative:page;mso-position-vertical-relative:paragraph;z-index:-119152" from="426.720001pt,9.379874pt" to="426.720001pt,9.379874pt" stroked="true" strokeweight=".24pt" strokecolor="#000000">
            <v:stroke dashstyle="solid"/>
            <w10:wrap type="none"/>
          </v:line>
        </w:pict>
      </w:r>
      <w:r>
        <w:rPr/>
        <w:pict>
          <v:line style="position:absolute;mso-position-horizontal-relative:page;mso-position-vertical-relative:paragraph;z-index:-119128" from="433.200012pt,9.379874pt" to="433.200012pt,9.379874pt" stroked="true" strokeweight=".24pt" strokecolor="#000000">
            <v:stroke dashstyle="solid"/>
            <w10:wrap type="none"/>
          </v:line>
        </w:pict>
      </w:r>
      <w:r>
        <w:rPr/>
        <w:pict>
          <v:line style="position:absolute;mso-position-horizontal-relative:page;mso-position-vertical-relative:paragraph;z-index:-119104" from="439.679993pt,9.379874pt" to="439.679993pt,9.379874pt" stroked="true" strokeweight=".24pt" strokecolor="#000000">
            <v:stroke dashstyle="solid"/>
            <w10:wrap type="none"/>
          </v:line>
        </w:pict>
      </w:r>
      <w:r>
        <w:rPr/>
        <w:pict>
          <v:line style="position:absolute;mso-position-horizontal-relative:page;mso-position-vertical-relative:paragraph;z-index:-119080" from="446.160004pt,9.379874pt" to="446.160004pt,9.379874pt" stroked="true" strokeweight=".24pt" strokecolor="#000000">
            <v:stroke dashstyle="solid"/>
            <w10:wrap type="none"/>
          </v:line>
        </w:pict>
      </w:r>
      <w:r>
        <w:rPr>
          <w:rFonts w:ascii="Arial"/>
          <w:w w:val="100"/>
          <w:u w:val="single"/>
        </w:rPr>
        <w:t> </w:t>
      </w:r>
      <w:r>
        <w:rPr>
          <w:rFonts w:ascii="Arial"/>
          <w:u w:val="single"/>
        </w:rPr>
        <w:t>  2,000</w:t>
      </w:r>
    </w:p>
    <w:p>
      <w:pPr>
        <w:pStyle w:val="BodyText"/>
        <w:spacing w:before="2"/>
        <w:rPr>
          <w:rFonts w:ascii="Arial"/>
          <w:sz w:val="19"/>
        </w:rPr>
      </w:pPr>
    </w:p>
    <w:p>
      <w:pPr>
        <w:pStyle w:val="BodyText"/>
        <w:ind w:left="880"/>
        <w:rPr>
          <w:rFonts w:ascii="Arial"/>
        </w:rPr>
      </w:pPr>
      <w:r>
        <w:rPr/>
        <w:pict>
          <v:line style="position:absolute;mso-position-horizontal-relative:page;mso-position-vertical-relative:paragraph;z-index:-119296" from="420.23999pt,9.379877pt" to="420.23999pt,9.379877pt" stroked="true" strokeweight=".24pt" strokecolor="#000000">
            <v:stroke dashstyle="solid"/>
            <w10:wrap type="none"/>
          </v:line>
        </w:pict>
      </w:r>
      <w:r>
        <w:rPr/>
        <w:pict>
          <v:line style="position:absolute;mso-position-horizontal-relative:page;mso-position-vertical-relative:paragraph;z-index:-119272" from="426.720001pt,9.379877pt" to="426.720001pt,9.379877pt" stroked="true" strokeweight=".24pt" strokecolor="#000000">
            <v:stroke dashstyle="solid"/>
            <w10:wrap type="none"/>
          </v:line>
        </w:pict>
      </w:r>
      <w:r>
        <w:rPr/>
        <w:pict>
          <v:line style="position:absolute;mso-position-horizontal-relative:page;mso-position-vertical-relative:paragraph;z-index:-119248" from="433.200012pt,9.379877pt" to="433.200012pt,9.379877pt" stroked="true" strokeweight=".24pt" strokecolor="#000000">
            <v:stroke dashstyle="solid"/>
            <w10:wrap type="none"/>
          </v:line>
        </w:pict>
      </w:r>
      <w:r>
        <w:rPr/>
        <w:pict>
          <v:line style="position:absolute;mso-position-horizontal-relative:page;mso-position-vertical-relative:paragraph;z-index:-119224" from="439.679993pt,9.379877pt" to="439.679993pt,9.379877pt" stroked="true" strokeweight=".24pt" strokecolor="#000000">
            <v:stroke dashstyle="solid"/>
            <w10:wrap type="none"/>
          </v:line>
        </w:pict>
      </w:r>
      <w:r>
        <w:rPr/>
        <w:pict>
          <v:line style="position:absolute;mso-position-horizontal-relative:page;mso-position-vertical-relative:paragraph;z-index:-119200" from="446.160004pt,9.379877pt" to="446.160004pt,9.379877pt" stroked="true" strokeweight=".24pt" strokecolor="#000000">
            <v:stroke dashstyle="solid"/>
            <w10:wrap type="none"/>
          </v:line>
        </w:pict>
      </w:r>
      <w:r>
        <w:rPr>
          <w:rFonts w:ascii="Arial"/>
          <w:w w:val="100"/>
          <w:u w:val="single"/>
        </w:rPr>
        <w:t> </w:t>
      </w:r>
      <w:r>
        <w:rPr>
          <w:rFonts w:ascii="Arial"/>
          <w:u w:val="single"/>
        </w:rPr>
        <w:t>  1,000</w:t>
      </w:r>
    </w:p>
    <w:p>
      <w:pPr>
        <w:spacing w:after="0"/>
        <w:rPr>
          <w:rFonts w:ascii="Arial"/>
        </w:rPr>
        <w:sectPr>
          <w:type w:val="continuous"/>
          <w:pgSz w:w="12240" w:h="15840"/>
          <w:pgMar w:top="1420" w:bottom="280" w:left="1640" w:right="920"/>
          <w:cols w:num="2" w:equalWidth="0">
            <w:col w:w="4145" w:space="1659"/>
            <w:col w:w="3876"/>
          </w:cols>
        </w:sectPr>
      </w:pPr>
    </w:p>
    <w:p>
      <w:pPr>
        <w:pStyle w:val="BodyText"/>
        <w:rPr>
          <w:rFonts w:ascii="Arial"/>
        </w:rPr>
      </w:pPr>
    </w:p>
    <w:p>
      <w:pPr>
        <w:pStyle w:val="BodyText"/>
        <w:spacing w:before="4"/>
        <w:rPr>
          <w:rFonts w:ascii="Arial"/>
          <w:sz w:val="22"/>
        </w:rPr>
      </w:pPr>
    </w:p>
    <w:p>
      <w:pPr>
        <w:spacing w:after="0"/>
        <w:rPr>
          <w:rFonts w:ascii="Arial"/>
          <w:sz w:val="22"/>
        </w:rPr>
        <w:sectPr>
          <w:type w:val="continuous"/>
          <w:pgSz w:w="12240" w:h="15840"/>
          <w:pgMar w:top="1420" w:bottom="280" w:left="1640" w:right="920"/>
        </w:sectPr>
      </w:pPr>
    </w:p>
    <w:p>
      <w:pPr>
        <w:pStyle w:val="BodyText"/>
        <w:spacing w:before="93"/>
        <w:jc w:val="right"/>
        <w:rPr>
          <w:rFonts w:ascii="Arial"/>
        </w:rPr>
      </w:pPr>
      <w:r>
        <w:rPr>
          <w:rFonts w:ascii="Arial"/>
        </w:rPr>
        <w:t>1990</w:t>
      </w:r>
    </w:p>
    <w:p>
      <w:pPr>
        <w:pStyle w:val="BodyText"/>
        <w:spacing w:before="93"/>
        <w:ind w:left="597"/>
        <w:rPr>
          <w:rFonts w:ascii="Arial"/>
        </w:rPr>
      </w:pPr>
      <w:r>
        <w:rPr/>
        <w:br w:type="column"/>
      </w:r>
      <w:r>
        <w:rPr>
          <w:rFonts w:ascii="Arial"/>
          <w:spacing w:val="-1"/>
        </w:rPr>
        <w:t>1991</w:t>
      </w:r>
    </w:p>
    <w:p>
      <w:pPr>
        <w:pStyle w:val="BodyText"/>
        <w:spacing w:before="93"/>
        <w:ind w:left="597"/>
        <w:rPr>
          <w:rFonts w:ascii="Arial"/>
        </w:rPr>
      </w:pPr>
      <w:r>
        <w:rPr/>
        <w:br w:type="column"/>
      </w:r>
      <w:r>
        <w:rPr>
          <w:rFonts w:ascii="Arial"/>
          <w:spacing w:val="-1"/>
        </w:rPr>
        <w:t>1992</w:t>
      </w:r>
    </w:p>
    <w:p>
      <w:pPr>
        <w:pStyle w:val="BodyText"/>
        <w:spacing w:before="93"/>
        <w:ind w:left="597"/>
        <w:rPr>
          <w:rFonts w:ascii="Arial"/>
        </w:rPr>
      </w:pPr>
      <w:r>
        <w:rPr/>
        <w:br w:type="column"/>
      </w:r>
      <w:r>
        <w:rPr>
          <w:rFonts w:ascii="Arial"/>
          <w:spacing w:val="-1"/>
        </w:rPr>
        <w:t>1993</w:t>
      </w:r>
    </w:p>
    <w:p>
      <w:pPr>
        <w:pStyle w:val="BodyText"/>
        <w:spacing w:before="93"/>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spacing w:before="2"/>
        <w:rPr>
          <w:rFonts w:ascii="Arial"/>
          <w:sz w:val="9"/>
        </w:rPr>
      </w:pPr>
    </w:p>
    <w:p>
      <w:pPr>
        <w:spacing w:after="0"/>
        <w:rPr>
          <w:rFonts w:ascii="Arial"/>
          <w:sz w:val="9"/>
        </w:rPr>
        <w:sectPr>
          <w:type w:val="continuous"/>
          <w:pgSz w:w="12240" w:h="15840"/>
          <w:pgMar w:top="1420" w:bottom="280" w:left="1640" w:right="920"/>
        </w:sectPr>
      </w:pPr>
    </w:p>
    <w:p>
      <w:pPr>
        <w:pStyle w:val="Heading2"/>
        <w:spacing w:before="95"/>
      </w:pPr>
      <w:r>
        <w:rPr/>
        <w:pict>
          <v:line style="position:absolute;mso-position-horizontal-relative:page;mso-position-vertical-relative:paragraph;z-index:5440" from="355.440002pt,35.489872pt" to="355.440002pt,35.489872pt" stroked="true" strokeweight=".24pt" strokecolor="#000000">
            <v:stroke dashstyle="solid"/>
            <w10:wrap type="none"/>
          </v:line>
        </w:pict>
      </w:r>
      <w:r>
        <w:rPr/>
        <w:pict>
          <v:line style="position:absolute;mso-position-horizontal-relative:page;mso-position-vertical-relative:paragraph;z-index:5464" from="361.920013pt,35.489872pt" to="361.920013pt,35.489872pt" stroked="true" strokeweight=".24pt" strokecolor="#000000">
            <v:stroke dashstyle="solid"/>
            <w10:wrap type="none"/>
          </v:line>
        </w:pict>
      </w:r>
      <w:r>
        <w:rPr/>
        <w:pict>
          <v:line style="position:absolute;mso-position-horizontal-relative:page;mso-position-vertical-relative:paragraph;z-index:5488" from="368.399994pt,35.489872pt" to="368.399994pt,35.489872pt" stroked="true" strokeweight=".24pt" strokecolor="#000000">
            <v:stroke dashstyle="solid"/>
            <w10:wrap type="none"/>
          </v:line>
        </w:pict>
      </w:r>
      <w:r>
        <w:rPr/>
        <w:t>Aircraft Utilization (hours and minutes per day)</w:t>
      </w:r>
    </w:p>
    <w:p>
      <w:pPr>
        <w:pStyle w:val="BodyText"/>
        <w:spacing w:before="9" w:after="39"/>
        <w:rPr>
          <w:rFonts w:ascii="Arial"/>
          <w:b/>
          <w:sz w:val="29"/>
        </w:rPr>
      </w:pPr>
    </w:p>
    <w:p>
      <w:pPr>
        <w:pStyle w:val="BodyText"/>
        <w:spacing w:line="20" w:lineRule="exact"/>
        <w:ind w:left="1967" w:right="-19"/>
        <w:rPr>
          <w:rFonts w:ascii="Arial"/>
          <w:sz w:val="2"/>
        </w:rPr>
      </w:pPr>
      <w:r>
        <w:rPr>
          <w:rFonts w:ascii="Arial"/>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r>
        <w:rPr>
          <w:spacing w:val="99"/>
          <w:sz w:val="2"/>
        </w:rPr>
        <w:t> </w:t>
      </w:r>
      <w:r>
        <w:rPr>
          <w:rFonts w:ascii="Arial"/>
          <w:spacing w:val="99"/>
          <w:sz w:val="2"/>
        </w:rPr>
        <w:pict>
          <v:group style="width:.25pt;height:.25pt;mso-position-horizontal-relative:char;mso-position-vertical-relative:line" coordorigin="0,0" coordsize="5,5">
            <v:line style="position:absolute" from="3,3" to="3,3" stroked="true" strokeweight=".24pt" strokecolor="#000000">
              <v:stroke dashstyle="solid"/>
            </v:line>
          </v:group>
        </w:pict>
      </w:r>
      <w:r>
        <w:rPr>
          <w:rFonts w:ascii="Arial"/>
          <w:spacing w:val="99"/>
          <w:sz w:val="2"/>
        </w:rPr>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ind w:left="880"/>
        <w:rPr>
          <w:rFonts w:ascii="Arial"/>
        </w:rPr>
      </w:pPr>
      <w:r>
        <w:rPr>
          <w:rFonts w:ascii="Arial"/>
          <w:w w:val="100"/>
          <w:u w:val="single"/>
        </w:rPr>
        <w:t> </w:t>
      </w:r>
      <w:r>
        <w:rPr>
          <w:rFonts w:ascii="Arial"/>
          <w:u w:val="single"/>
        </w:rPr>
        <w:t>  11:15</w:t>
      </w:r>
    </w:p>
    <w:p>
      <w:pPr>
        <w:pStyle w:val="BodyText"/>
        <w:spacing w:before="129"/>
        <w:ind w:left="880"/>
        <w:rPr>
          <w:rFonts w:ascii="Arial"/>
        </w:rPr>
      </w:pPr>
      <w:r>
        <w:rPr/>
        <w:pict>
          <v:group style="position:absolute;margin-left:125.875pt;margin-top:-21.370111pt;width:289.45pt;height:92.2pt;mso-position-horizontal-relative:page;mso-position-vertical-relative:paragraph;z-index:-118816" coordorigin="2518,-427" coordsize="5789,1844">
            <v:rect style="position:absolute;left:2880;top:225;width:720;height:1166" filled="true" fillcolor="#ff6600" stroked="false">
              <v:fill type="solid"/>
            </v:rect>
            <v:shape style="position:absolute;left:2520;top:1032;width:1349;height:2" coordorigin="2520,1032" coordsize="1349,0" path="m2520,1032l2525,1032m2544,1032l2549,1032m2573,1032l2578,1032m2597,1032l2602,1032m2626,1032l2630,1032m2650,1032l2654,1032m2674,1032l2678,1032m2702,1032l2707,1032m2726,1032l2731,1032m2755,1032l2760,1032m2779,1032l2784,1032m2803,1032l2808,1032m2832,1032l2837,1032m2856,1032l2861,1032m2885,1032l2890,1032m2909,1032l2914,1032m2933,1032l2938,1032m2962,1032l2966,1032m2986,1032l2990,1032m3014,1032l3019,1032m3038,1032l3043,1032m3062,1032l3067,1032m3091,1032l3096,1032m3115,1032l3120,1032m3144,1032l3149,1032m3168,1032l3173,1032m3192,1032l3197,1032m3221,1032l3226,1032m3245,1032l3250,1032m3274,1032l3278,1032m3298,1032l3302,1032m3322,1032l3326,1032m3350,1032l3355,1032m3374,1032l3379,1032m3403,1032l3408,1032m3427,1032l3432,1032m3451,1032l3456,1032m3480,1032l3485,1032m3504,1032l3509,1032m3533,1032l3538,1032m3557,1032l3562,1032m3581,1032l3586,1032m3610,1032l3610,1032m3634,1032l3638,1032m3658,1032l3662,1032m3686,1032l3691,1032m3710,1032l3715,1032m3739,1032l3739,1032m3763,1032l3768,1032m3787,1032l3792,1032m3816,1032l3821,1032m3840,1032l3845,1032m3869,1032l3869,1032e" filled="false" stroked="true" strokeweight=".24pt" strokecolor="#000000">
              <v:path arrowok="t"/>
              <v:stroke dashstyle="solid"/>
            </v:shape>
            <v:rect style="position:absolute;left:3960;top:585;width:720;height:806" filled="true" fillcolor="#ff00ff" stroked="false">
              <v:fill type="solid"/>
            </v:rect>
            <v:shape style="position:absolute;left:3893;top:1032;width:1066;height:2" coordorigin="3893,1032" coordsize="1066,0" path="m3893,1032l3898,1032m3917,1032l3922,1032m3946,1032l3950,1032m3970,1032l3974,1032m3998,1032l3998,1032m4022,1032l4027,1032m4046,1032l4051,1032m4075,1032l4080,1032m4099,1032l4104,1032m4128,1032l4128,1032m4152,1032l4157,1032m4176,1032l4181,1032m4205,1032l4210,1032m4229,1032l4234,1032m4258,1032l4258,1032m4282,1032l4286,1032m4306,1032l4310,1032m4334,1032l4339,1032m4358,1032l4363,1032m4387,1032l4387,1032m4411,1032l4416,1032m4435,1032l4440,1032m4464,1032l4469,1032m4488,1032l4493,1032m4517,1032l4517,1032m4541,1032l4546,1032m4565,1032l4570,1032m4594,1032l4598,1032m4618,1032l4622,1032m4646,1032l4646,1032m4670,1032l4675,1032m4694,1032l4699,1032m4723,1032l4728,1032m4747,1032l4752,1032m4776,1032l4776,1032m4800,1032l4805,1032m4824,1032l4829,1032m4853,1032l4858,1032m4877,1032l4882,1032m4906,1032l4906,1032m4930,1032l4934,1032m4954,1032l4958,1032e" filled="false" stroked="true" strokeweight=".24pt" strokecolor="#000000">
              <v:path arrowok="t"/>
              <v:stroke dashstyle="solid"/>
            </v:shape>
            <v:rect style="position:absolute;left:5040;top:854;width:720;height:538" filled="true" fillcolor="#ff0000" stroked="false">
              <v:fill type="solid"/>
            </v:rect>
            <v:shape style="position:absolute;left:4982;top:1032;width:1066;height:2" coordorigin="4982,1032" coordsize="1066,0" path="m4982,1032l4987,1032m5006,1032l5011,1032m5035,1032l5035,1032m5059,1032l5064,1032m5083,1032l5088,1032m5112,1032l5117,1032m5136,1032l5141,1032m5165,1032l5165,1032m5189,1032l5194,1032m5213,1032l5218,1032m5242,1032l5246,1032m5266,1032l5270,1032m5294,1032l5294,1032m5318,1032l5323,1032m5342,1032l5347,1032m5371,1032l5376,1032m5395,1032l5400,1032m5424,1032l5424,1032m5448,1032l5453,1032m5472,1032l5477,1032m5501,1032l5506,1032m5525,1032l5530,1032m5554,1032l5554,1032m5578,1032l5582,1032m5602,1032l5606,1032m5630,1032l5635,1032m5654,1032l5659,1032m5683,1032l5683,1032m5707,1032l5712,1032m5731,1032l5736,1032m5760,1032l5765,1032m5784,1032l5789,1032m5813,1032l5813,1032m5837,1032l5842,1032m5861,1032l5866,1032m5890,1032l5894,1032m5914,1032l5918,1032m5942,1032l5942,1032m5966,1032l5971,1032m5990,1032l5995,1032m6019,1032l6024,1032m6043,1032l6048,1032e" filled="false" stroked="true" strokeweight=".24pt" strokecolor="#000000">
              <v:path arrowok="t"/>
              <v:stroke dashstyle="solid"/>
            </v:shape>
            <v:rect style="position:absolute;left:6120;top:451;width:720;height:941" filled="true" fillcolor="#00ff00" stroked="false">
              <v:fill type="solid"/>
            </v:rect>
            <v:shape style="position:absolute;left:6072;top:1032;width:1037;height:2" coordorigin="6072,1032" coordsize="1037,0" path="m6072,1032l6072,1032m6096,1032l6101,1032m6120,1032l6125,1032m6149,1032l6154,1032m6173,1032l6178,1032m6202,1032l6202,1032m6226,1032l6230,1032m6250,1032l6254,1032m6278,1032l6283,1032m6302,1032l6307,1032m6331,1032l6331,1032m6355,1032l6360,1032m6379,1032l6384,1032m6408,1032l6413,1032m6432,1032l6437,1032m6461,1032l6461,1032m6485,1032l6490,1032m6509,1032l6514,1032m6538,1032l6542,1032m6562,1032l6566,1032m6590,1032l6590,1032m6614,1032l6619,1032m6638,1032l6643,1032m6667,1032l6672,1032m6691,1032l6696,1032m6720,1032l6720,1032m6744,1032l6749,1032m6768,1032l6773,1032m6797,1032l6802,1032m6821,1032l6826,1032m6850,1032l6850,1032m6874,1032l6878,1032m6898,1032l6902,1032m6926,1032l6931,1032m6950,1032l6955,1032m6979,1032l6979,1032m7003,1032l7008,1032m7027,1032l7032,1032m7056,1032l7061,1032m7080,1032l7085,1032m7109,1032l7109,1032e" filled="false" stroked="true" strokeweight=".24pt" strokecolor="#000000">
              <v:path arrowok="t"/>
              <v:stroke dashstyle="solid"/>
            </v:shape>
            <v:rect style="position:absolute;left:7200;top:91;width:720;height:1301" filled="true" fillcolor="#0000ff" stroked="false">
              <v:fill type="solid"/>
            </v:rect>
            <v:shape style="position:absolute;left:2520;top:317;width:5784;height:716" coordorigin="2520,317" coordsize="5784,716" path="m7133,1032l7138,1032m7157,1032l7162,1032m7186,1032l7190,1032m7210,1032l7214,1032m7238,1032l7238,1032m7262,1032l7267,1032m7286,1032l7291,1032m7315,1032l7320,1032m7339,1032l7344,1032m7368,1032l7368,1032m7392,1032l7397,1032m7416,1032l7421,1032m7445,1032l7450,1032m7469,1032l7474,1032m7498,1032l7498,1032m7522,1032l7526,1032m7546,1032l7550,1032m7574,1032l7579,1032m7598,1032l7603,1032m7627,1032l7627,1032m7651,1032l7656,1032m7675,1032l7680,1032m7704,1032l7709,1032m7728,1032l7733,1032m7757,1032l7757,1032m7781,1032l7786,1032m7805,1032l7810,1032m7834,1032l7838,1032m7858,1032l7862,1032m7886,1032l7886,1032m7910,1032l7915,1032m7934,1032l7939,1032m7963,1032l7968,1032m7987,1032l7992,1032m8016,1032l8016,1032m8040,1032l8045,1032m8064,1032l8069,1032m8093,1032l8098,1032m8117,1032l8122,1032m8146,1032l8146,1032m8170,1032l8174,1032m8194,1032l8198,1032m8222,1032l8227,1032m8246,1032l8251,1032m8275,1032l8275,1032m8299,1032l8304,1032m2520,677l2525,677m2544,677l2549,677m2573,677l2578,677m2597,677l2602,677m2626,677l2630,677m2650,677l2654,677m2674,677l2678,677m2702,677l2707,677m2726,677l2731,677m2755,677l2760,677m2779,677l2784,677m2803,677l2808,677m2832,677l2837,677m2856,677l2861,677m2885,677l2890,677m2909,677l2914,677m2933,677l2938,677m2962,677l2966,677m2986,677l2990,677m3014,677l3019,677m3038,677l3043,677m3062,677l3067,677m3091,677l3096,677m3115,677l3120,677m3144,677l3149,677m3168,677l3173,677m3192,677l3197,677m3221,677l3226,677m3245,677l3250,677m3274,677l3278,677m3298,677l3302,677m3322,677l3326,677m3350,677l3355,677m3374,677l3379,677m3403,677l3408,677m3427,677l3432,677m3451,677l3456,677m3480,677l3485,677m3504,677l3509,677m3533,677l3538,677m3557,677l3562,677m3581,677l3586,677m3610,677l3610,677m3634,677l3638,677m3658,677l3662,677m3686,677l3691,677m3710,677l3715,677m3739,677l3739,677m3763,677l3768,677m3787,677l3792,677m3816,677l3821,677m3840,677l3845,677m3869,677l3869,677m3893,677l3898,677m3917,677l3922,677m3946,677l3950,677m3970,677l3974,677m3998,677l3998,677m4022,677l4027,677m4046,677l4051,677m4075,677l4080,677m4099,677l4104,677m4128,677l4128,677m4152,677l4157,677m4176,677l4181,677m4205,677l4210,677m4229,677l4234,677m4258,677l4258,677m4282,677l4286,677m4306,677l4310,677m4334,677l4339,677m4358,677l4363,677m4387,677l4387,677m4411,677l4416,677m4435,677l4440,677m4464,677l4469,677m4488,677l4493,677m4517,677l4517,677m4541,677l4546,677m4565,677l4570,677m4594,677l4598,677m4618,677l4622,677m4646,677l4646,677m4670,677l4675,677m4694,677l4699,677m4723,677l4728,677m4747,677l4752,677m4776,677l4776,677m4800,677l4805,677m4824,677l4829,677m4853,677l4858,677m4877,677l4882,677m4906,677l4906,677m4930,677l4934,677m4954,677l4958,677m4982,677l4987,677m5006,677l5011,677m5035,677l5035,677m5059,677l5064,677m5083,677l5088,677m5112,677l5117,677m5136,677l5141,677m5165,677l5165,677m5189,677l5194,677m5213,677l5218,677m5242,677l5246,677m5266,677l5270,677m5294,677l5294,677m5318,677l5323,677m5342,677l5347,677m5371,677l5376,677m5395,677l5400,677m5424,677l5424,677m5448,677l5453,677m5472,677l5477,677m5501,677l5506,677m5525,677l5530,677m5554,677l5554,677m5578,677l5582,677m5602,677l5606,677m5630,677l5635,677m5654,677l5659,677m5683,677l5683,677m5707,677l5712,677m5731,677l5736,677m5760,677l5765,677m5784,677l5789,677m5813,677l5813,677m5837,677l5842,677m5861,677l5866,677m5890,677l5894,677m5914,677l5918,677m5942,677l5942,677m5966,677l5971,677m5990,677l5995,677m6019,677l6024,677m6043,677l6048,677m6072,677l6072,677m6096,677l6101,677m6120,677l6125,677m6149,677l6154,677m6173,677l6178,677m6202,677l6202,677m6226,677l6230,677m6250,677l6254,677m6278,677l6283,677m6302,677l6307,677m6331,677l6331,677m6355,677l6360,677m6379,677l6384,677m6408,677l6413,677m6432,677l6437,677m6461,677l6461,677m6485,677l6490,677m6509,677l6514,677m6538,677l6542,677m6562,677l6566,677m6590,677l6590,677m6614,677l6619,677m6638,677l6643,677m6667,677l6672,677m6691,677l6696,677m6720,677l6720,677m6744,677l6749,677m6768,677l6773,677m6797,677l6802,677m6821,677l6826,677m6850,677l6850,677m6874,677l6878,677m6898,677l6902,677m6926,677l6931,677m6950,677l6955,677m6979,677l6979,677m7003,677l7008,677m7027,677l7032,677m7056,677l7061,677m7080,677l7085,677m7109,677l7109,677m7133,677l7138,677m7157,677l7162,677m7186,677l7190,677m7210,677l7214,677m7238,677l7238,677m7262,677l7267,677m7286,677l7291,677m7315,677l7320,677m7339,677l7344,677m7368,677l7368,677m7392,677l7397,677m7416,677l7421,677m7445,677l7450,677m7469,677l7474,677m7498,677l7498,677m7522,677l7526,677m7546,677l7550,677m7574,677l7579,677m7598,677l7603,677m7627,677l7627,677m7651,677l7656,677m7675,677l7680,677m7704,677l7709,677m7728,677l7733,677m7757,677l7757,677m7781,677l7786,677m7805,677l7810,677m7834,677l7838,677m7858,677l7862,677m7886,677l7886,677m7910,677l7915,677m7934,677l7939,677m7963,677l7968,677m7987,677l7992,677m8016,677l8016,677m8040,677l8045,677m8064,677l8069,677m8093,677l8098,677m8117,677l8122,677m8146,677l8146,677m8170,677l8174,677m8194,677l8198,677m8222,677l8227,677m8246,677l8251,677m8275,677l8275,677m8299,677l8304,677m2520,317l2525,317m2544,317l2549,317m2573,317l2578,317m2597,317l2602,317m2626,317l2630,317m2650,317l2654,317m2674,317l2678,317m2702,317l2707,317m2726,317l2731,317m2755,317l2760,317m2779,317l2784,317m2803,317l2808,317m2832,317l2837,317m2856,317l2861,317m2885,317l2890,317m2909,317l2914,317m2933,317l2938,317m2962,317l2966,317m2986,317l2990,317m3014,317l3019,317m3038,317l3043,317m3062,317l3067,317m3091,317l3096,317m3115,317l3120,317m3144,317l3149,317m3168,317l3173,317m3192,317l3197,317m3221,317l3226,317m3245,317l3250,317m3274,317l3278,317m3298,317l3302,317m3322,317l3326,317m3350,317l3355,317m3374,317l3379,317m3403,317l3408,317m3427,317l3432,317m3451,317l3456,317m3480,317l3485,317m3504,317l3509,317m3533,317l3538,317m3557,317l3562,317m3581,317l3586,317m3610,317l3610,317m3634,317l3638,317m3658,317l3662,317m3686,317l3691,317m3710,317l3715,317m3739,317l3739,317m3763,317l3768,317m3787,317l3792,317m3816,317l3821,317m3840,317l3845,317m3869,317l3869,317m3893,317l3898,317m3917,317l3922,317m3946,317l3950,317m3970,317l3974,317m3998,317l3998,317m4022,317l4027,317m4046,317l4051,317m4075,317l4080,317m4099,317l4104,317m4128,317l4128,317m4152,317l4157,317m4176,317l4181,317m4205,317l4210,317m4229,317l4234,317m4258,317l4258,317m4282,317l4286,317m4306,317l4310,317m4334,317l4339,317m4358,317l4363,317m4387,317l4387,317m4411,317l4416,317m4435,317l4440,317m4464,317l4469,317m4488,317l4493,317m4517,317l4517,317m4541,317l4546,317m4565,317l4570,317m4594,317l4598,317m4618,317l4622,317m4646,317l4646,317m4670,317l4675,317m4694,317l4699,317m4723,317l4728,317m4747,317l4752,317m4776,317l4776,317m4800,317l4805,317m4824,317l4829,317m4853,317l4858,317m4877,317l4882,317m4906,317l4906,317m4930,317l4934,317m4954,317l4958,317m4982,317l4987,317m5006,317l5011,317m5035,317l5035,317m5059,317l5064,317m5083,317l5088,317m5112,317l5117,317m5136,317l5141,317m5165,317l5165,317m5189,317l5194,317m5213,317l5218,317m5242,317l5246,317m5266,317l5270,317m5294,317l5294,317m5318,317l5323,317m5342,317l5347,317m5371,317l5376,317m5395,317l5400,317m5424,317l5424,317m5448,317l5453,317m5472,317l5477,317m5501,317l5506,317m5525,317l5530,317m5554,317l5554,317m5578,317l5582,317m5602,317l5606,317m5630,317l5635,317m5654,317l5659,317m5683,317l5683,317m5707,317l5712,317m5731,317l5736,317m5760,317l5765,317m5784,317l5789,317m5813,317l5813,317m5837,317l5842,317m5861,317l5866,317m5890,317l5894,317m5914,317l5918,317m5942,317l5942,317m5966,317l5971,317m5990,317l5995,317m6019,317l6024,317m6043,317l6048,317m6072,317l6072,317m6096,317l6101,317m6120,317l6125,317m6149,317l6154,317m6173,317l6178,317m6202,317l6202,317m6226,317l6230,317m6250,317l6254,317m6278,317l6283,317m6302,317l6307,317m6331,317l6331,317m6355,317l6360,317m6379,317l6384,317m6408,317l6413,317m6432,317l6437,317m6461,317l6461,317m6485,317l6490,317m6509,317l6514,317m6538,317l6542,317m6562,317l6566,317m6590,317l6590,317m6614,317l6619,317m6638,317l6643,317m6667,317l6672,317m6691,317l6696,317m6720,317l6720,317m6744,317l6749,317m6768,317l6773,317m6797,317l6802,317m6821,317l6826,317m6850,317l6850,317m6874,317l6878,317m6898,317l6902,317m6926,317l6931,317m6950,317l6955,317m6979,317l6979,317m7003,317l7008,317m7027,317l7032,317m7056,317l7061,317m7080,317l7085,317m7109,317l7109,317m7133,317l7138,317m7157,317l7162,317m7186,317l7190,317m7210,317l7214,317m7238,317l7238,317m7262,317l7267,317m7286,317l7291,317m7315,317l7320,317m7339,317l7344,317m7368,317l7368,317m7392,317l7397,317m7416,317l7421,317m7445,317l7450,317m7469,317l7474,317m7498,317l7498,317m7522,317l7526,317m7546,317l7550,317m7574,317l7579,317m7598,317l7603,317m7627,317l7627,317m7651,317l7656,317m7675,317l7680,317m7704,317l7709,317m7728,317l7733,317m7757,317l7757,317m7781,317l7786,317m7805,317l7810,317m7834,317l7838,317m7858,317l7862,317m7886,317l7886,317m7910,317l7915,317m7934,317l7939,317m7963,317l7968,317m7987,317l7992,317m8016,317l8016,317m8040,317l8045,317m8064,317l8069,317m8093,317l8098,317m8117,317l8122,317m8146,317l8146,317m8170,317l8174,317m8194,317l8198,317m8222,317l8227,317m8246,317l8251,317m8275,317l8275,317m8299,317l8304,317e" filled="false" stroked="true" strokeweight=".24pt" strokecolor="#000000">
              <v:path arrowok="t"/>
              <v:stroke dashstyle="solid"/>
            </v:shape>
            <v:shape style="position:absolute;left:2520;top:1373;width:5784;height:44" coordorigin="2520,1373" coordsize="5784,44" path="m8280,1373l2520,1373,2520,1416,8280,1416,8304,1392,8256,1392,8280,1373xm8304,1392l8280,1416,8304,1416,8304,1392xe" filled="true" fillcolor="#000000" stroked="false">
              <v:path arrowok="t"/>
              <v:fill type="solid"/>
            </v:shape>
            <v:shape style="position:absolute;left:8275;top:-43;width:29;height:2" coordorigin="8275,-43" coordsize="29,0" path="m8275,-43l8275,-43m8299,-43l8304,-43e" filled="false" stroked="true" strokeweight=".24pt" strokecolor="#000000">
              <v:path arrowok="t"/>
              <v:stroke dashstyle="solid"/>
            </v:shape>
            <v:line style="position:absolute" from="8280,-403" to="8280,1392" stroked="true" strokeweight="2.4pt" strokecolor="#000000">
              <v:stroke dashstyle="solid"/>
            </v:line>
            <v:shape style="position:absolute;left:2520;top:-138;width:5752;height:224" type="#_x0000_t202" filled="false" stroked="false">
              <v:textbox inset="0,0,0,0">
                <w:txbxContent>
                  <w:p>
                    <w:pPr>
                      <w:tabs>
                        <w:tab w:pos="4797" w:val="left" w:leader="none"/>
                        <w:tab w:pos="5731" w:val="left" w:leader="none"/>
                      </w:tabs>
                      <w:spacing w:line="223" w:lineRule="exact" w:before="0"/>
                      <w:ind w:left="0" w:right="0" w:firstLine="0"/>
                      <w:jc w:val="left"/>
                      <w:rPr>
                        <w:rFonts w:ascii="Arial"/>
                        <w:sz w:val="20"/>
                      </w:rPr>
                    </w:pPr>
                    <w:r>
                      <w:rPr>
                        <w:rFonts w:ascii="Arial"/>
                        <w:strike/>
                        <w:w w:val="100"/>
                        <w:sz w:val="20"/>
                      </w:rPr>
                      <w:t> </w:t>
                    </w:r>
                    <w:r>
                      <w:rPr>
                        <w:rFonts w:ascii="Arial"/>
                        <w:strike/>
                        <w:sz w:val="20"/>
                      </w:rPr>
                      <w:tab/>
                    </w:r>
                    <w:r>
                      <w:rPr>
                        <w:rFonts w:ascii="Arial"/>
                        <w:strike/>
                        <w:spacing w:val="-4"/>
                        <w:sz w:val="20"/>
                      </w:rPr>
                      <w:t>11:10</w:t>
                      <w:tab/>
                    </w:r>
                  </w:p>
                </w:txbxContent>
              </v:textbox>
              <w10:wrap type="none"/>
            </v:shape>
            <v:shape style="position:absolute;left:3000;top:-4;width:506;height:224" type="#_x0000_t202" filled="false" stroked="false">
              <v:textbox inset="0,0,0,0">
                <w:txbxContent>
                  <w:p>
                    <w:pPr>
                      <w:spacing w:line="223" w:lineRule="exact" w:before="0"/>
                      <w:ind w:left="0" w:right="0" w:firstLine="0"/>
                      <w:jc w:val="left"/>
                      <w:rPr>
                        <w:rFonts w:ascii="Arial"/>
                        <w:sz w:val="20"/>
                      </w:rPr>
                    </w:pPr>
                    <w:r>
                      <w:rPr>
                        <w:rFonts w:ascii="Arial"/>
                        <w:sz w:val="20"/>
                      </w:rPr>
                      <w:t>11:03</w:t>
                    </w:r>
                  </w:p>
                </w:txbxContent>
              </v:textbox>
              <w10:wrap type="none"/>
            </v:shape>
            <v:shape style="position:absolute;left:4070;top:356;width:520;height:224" type="#_x0000_t202" filled="false" stroked="false">
              <v:textbox inset="0,0,0,0">
                <w:txbxContent>
                  <w:p>
                    <w:pPr>
                      <w:spacing w:line="223" w:lineRule="exact" w:before="0"/>
                      <w:ind w:left="0" w:right="0" w:firstLine="0"/>
                      <w:jc w:val="left"/>
                      <w:rPr>
                        <w:rFonts w:ascii="Arial"/>
                        <w:sz w:val="20"/>
                      </w:rPr>
                    </w:pPr>
                    <w:r>
                      <w:rPr>
                        <w:rFonts w:ascii="Arial"/>
                        <w:sz w:val="20"/>
                      </w:rPr>
                      <w:t>10:48</w:t>
                    </w:r>
                  </w:p>
                </w:txbxContent>
              </v:textbox>
              <w10:wrap type="none"/>
            </v:shape>
            <v:shape style="position:absolute;left:6230;top:222;width:520;height:224" type="#_x0000_t202" filled="false" stroked="false">
              <v:textbox inset="0,0,0,0">
                <w:txbxContent>
                  <w:p>
                    <w:pPr>
                      <w:spacing w:line="223" w:lineRule="exact" w:before="0"/>
                      <w:ind w:left="0" w:right="0" w:firstLine="0"/>
                      <w:jc w:val="left"/>
                      <w:rPr>
                        <w:rFonts w:ascii="Arial"/>
                        <w:sz w:val="20"/>
                      </w:rPr>
                    </w:pPr>
                    <w:r>
                      <w:rPr>
                        <w:rFonts w:ascii="Arial"/>
                        <w:sz w:val="20"/>
                      </w:rPr>
                      <w:t>10:56</w:t>
                    </w:r>
                  </w:p>
                </w:txbxContent>
              </v:textbox>
              <w10:wrap type="none"/>
            </v:shape>
            <v:shape style="position:absolute;left:5150;top:630;width:520;height:224" type="#_x0000_t202" filled="false" stroked="false">
              <v:textbox inset="0,0,0,0">
                <w:txbxContent>
                  <w:p>
                    <w:pPr>
                      <w:spacing w:line="223" w:lineRule="exact" w:before="0"/>
                      <w:ind w:left="0" w:right="0" w:firstLine="0"/>
                      <w:jc w:val="left"/>
                      <w:rPr>
                        <w:rFonts w:ascii="Arial"/>
                        <w:sz w:val="20"/>
                      </w:rPr>
                    </w:pPr>
                    <w:r>
                      <w:rPr>
                        <w:rFonts w:ascii="Arial"/>
                        <w:sz w:val="20"/>
                      </w:rPr>
                      <w:t>10:39</w:t>
                    </w:r>
                  </w:p>
                </w:txbxContent>
              </v:textbox>
              <w10:wrap type="none"/>
            </v:shape>
            <w10:wrap type="none"/>
          </v:group>
        </w:pict>
      </w:r>
      <w:r>
        <w:rPr/>
        <w:pict>
          <v:line style="position:absolute;mso-position-horizontal-relative:page;mso-position-vertical-relative:paragraph;z-index:-118552" from="420.23999pt,15.829887pt" to="420.23999pt,15.829887pt" stroked="true" strokeweight=".24pt" strokecolor="#000000">
            <v:stroke dashstyle="solid"/>
            <w10:wrap type="none"/>
          </v:line>
        </w:pict>
      </w:r>
      <w:r>
        <w:rPr/>
        <w:pict>
          <v:line style="position:absolute;mso-position-horizontal-relative:page;mso-position-vertical-relative:paragraph;z-index:-118528" from="426.720001pt,15.829887pt" to="426.720001pt,15.829887pt" stroked="true" strokeweight=".24pt" strokecolor="#000000">
            <v:stroke dashstyle="solid"/>
            <w10:wrap type="none"/>
          </v:line>
        </w:pict>
      </w:r>
      <w:r>
        <w:rPr/>
        <w:pict>
          <v:line style="position:absolute;mso-position-horizontal-relative:page;mso-position-vertical-relative:paragraph;z-index:-118504" from="433.200012pt,15.829887pt" to="433.200012pt,15.829887pt" stroked="true" strokeweight=".24pt" strokecolor="#000000">
            <v:stroke dashstyle="solid"/>
            <w10:wrap type="none"/>
          </v:line>
        </w:pict>
      </w:r>
      <w:r>
        <w:rPr/>
        <w:pict>
          <v:line style="position:absolute;mso-position-horizontal-relative:page;mso-position-vertical-relative:paragraph;z-index:-118480" from="439.679993pt,15.829887pt" to="439.679993pt,15.829887pt" stroked="true" strokeweight=".24pt" strokecolor="#000000">
            <v:stroke dashstyle="solid"/>
            <w10:wrap type="none"/>
          </v:line>
        </w:pict>
      </w:r>
      <w:r>
        <w:rPr/>
        <w:pict>
          <v:line style="position:absolute;mso-position-horizontal-relative:page;mso-position-vertical-relative:paragraph;z-index:-118456" from="446.160004pt,15.829887pt" to="446.160004pt,15.829887pt" stroked="true" strokeweight=".24pt" strokecolor="#000000">
            <v:stroke dashstyle="solid"/>
            <w10:wrap type="none"/>
          </v:line>
        </w:pict>
      </w:r>
      <w:r>
        <w:rPr/>
        <w:pict>
          <v:line style="position:absolute;mso-position-horizontal-relative:page;mso-position-vertical-relative:paragraph;z-index:5512" from="374.880005pt,-2.170112pt" to="374.880005pt,-2.170112pt" stroked="true" strokeweight=".24pt" strokecolor="#000000">
            <v:stroke dashstyle="solid"/>
            <w10:wrap type="none"/>
          </v:line>
        </w:pict>
      </w:r>
      <w:r>
        <w:rPr/>
        <w:pict>
          <v:line style="position:absolute;mso-position-horizontal-relative:page;mso-position-vertical-relative:paragraph;z-index:5536" from="381.359985pt,-2.170112pt" to="381.359985pt,-2.170112pt" stroked="true" strokeweight=".24pt" strokecolor="#000000">
            <v:stroke dashstyle="solid"/>
            <w10:wrap type="none"/>
          </v:line>
        </w:pict>
      </w:r>
      <w:r>
        <w:rPr/>
        <w:pict>
          <v:line style="position:absolute;mso-position-horizontal-relative:page;mso-position-vertical-relative:paragraph;z-index:5560" from="387.839996pt,-2.170112pt" to="387.839996pt,-2.170112pt" stroked="true" strokeweight=".24pt" strokecolor="#000000">
            <v:stroke dashstyle="solid"/>
            <w10:wrap type="none"/>
          </v:line>
        </w:pict>
      </w:r>
      <w:r>
        <w:rPr/>
        <w:pict>
          <v:line style="position:absolute;mso-position-horizontal-relative:page;mso-position-vertical-relative:paragraph;z-index:5584" from="394.320007pt,-2.170112pt" to="394.320007pt,-2.170112pt" stroked="true" strokeweight=".24pt" strokecolor="#000000">
            <v:stroke dashstyle="solid"/>
            <w10:wrap type="none"/>
          </v:line>
        </w:pict>
      </w:r>
      <w:r>
        <w:rPr/>
        <w:pict>
          <v:line style="position:absolute;mso-position-horizontal-relative:page;mso-position-vertical-relative:paragraph;z-index:5608" from="400.799988pt,-2.170112pt" to="400.799988pt,-2.170112pt" stroked="true" strokeweight=".24pt" strokecolor="#000000">
            <v:stroke dashstyle="solid"/>
            <w10:wrap type="none"/>
          </v:line>
        </w:pict>
      </w:r>
      <w:r>
        <w:rPr/>
        <w:pict>
          <v:line style="position:absolute;mso-position-horizontal-relative:page;mso-position-vertical-relative:paragraph;z-index:5632" from="407.279999pt,-2.170112pt" to="407.279999pt,-2.170112pt" stroked="true" strokeweight=".24pt" strokecolor="#000000">
            <v:stroke dashstyle="solid"/>
            <w10:wrap type="none"/>
          </v:line>
        </w:pict>
      </w:r>
      <w:r>
        <w:rPr/>
        <w:pict>
          <v:line style="position:absolute;mso-position-horizontal-relative:page;mso-position-vertical-relative:paragraph;z-index:-118216" from="420.23999pt,-2.170112pt" to="420.23999pt,-2.170112pt" stroked="true" strokeweight=".24pt" strokecolor="#000000">
            <v:stroke dashstyle="solid"/>
            <w10:wrap type="none"/>
          </v:line>
        </w:pict>
      </w:r>
      <w:r>
        <w:rPr/>
        <w:pict>
          <v:line style="position:absolute;mso-position-horizontal-relative:page;mso-position-vertical-relative:paragraph;z-index:-118192" from="426.720001pt,-2.170112pt" to="426.720001pt,-2.170112pt" stroked="true" strokeweight=".24pt" strokecolor="#000000">
            <v:stroke dashstyle="solid"/>
            <w10:wrap type="none"/>
          </v:line>
        </w:pict>
      </w:r>
      <w:r>
        <w:rPr/>
        <w:pict>
          <v:line style="position:absolute;mso-position-horizontal-relative:page;mso-position-vertical-relative:paragraph;z-index:-118168" from="433.200012pt,-2.170112pt" to="433.200012pt,-2.170112pt" stroked="true" strokeweight=".24pt" strokecolor="#000000">
            <v:stroke dashstyle="solid"/>
            <w10:wrap type="none"/>
          </v:line>
        </w:pict>
      </w:r>
      <w:r>
        <w:rPr/>
        <w:pict>
          <v:line style="position:absolute;mso-position-horizontal-relative:page;mso-position-vertical-relative:paragraph;z-index:-118144" from="439.679993pt,-2.170112pt" to="439.679993pt,-2.170112pt" stroked="true" strokeweight=".24pt" strokecolor="#000000">
            <v:stroke dashstyle="solid"/>
            <w10:wrap type="none"/>
          </v:line>
        </w:pict>
      </w:r>
      <w:r>
        <w:rPr/>
        <w:pict>
          <v:line style="position:absolute;mso-position-horizontal-relative:page;mso-position-vertical-relative:paragraph;z-index:-118120" from="446.160004pt,-2.170112pt" to="446.160004pt,-2.170112pt" stroked="true" strokeweight=".24pt" strokecolor="#000000">
            <v:stroke dashstyle="solid"/>
            <w10:wrap type="none"/>
          </v:line>
        </w:pict>
      </w:r>
      <w:r>
        <w:rPr>
          <w:rFonts w:ascii="Arial"/>
          <w:w w:val="100"/>
          <w:u w:val="single"/>
        </w:rPr>
        <w:t> </w:t>
      </w:r>
      <w:r>
        <w:rPr>
          <w:rFonts w:ascii="Arial"/>
          <w:u w:val="single"/>
        </w:rPr>
        <w:t>  11:00</w:t>
      </w:r>
    </w:p>
    <w:p>
      <w:pPr>
        <w:pStyle w:val="BodyText"/>
        <w:spacing w:before="129"/>
        <w:ind w:left="880"/>
        <w:rPr>
          <w:rFonts w:ascii="Arial"/>
        </w:rPr>
      </w:pPr>
      <w:r>
        <w:rPr/>
        <w:pict>
          <v:line style="position:absolute;mso-position-horizontal-relative:page;mso-position-vertical-relative:paragraph;z-index:-118672" from="420.23999pt,15.829887pt" to="420.23999pt,15.829887pt" stroked="true" strokeweight=".24pt" strokecolor="#000000">
            <v:stroke dashstyle="solid"/>
            <w10:wrap type="none"/>
          </v:line>
        </w:pict>
      </w:r>
      <w:r>
        <w:rPr/>
        <w:pict>
          <v:line style="position:absolute;mso-position-horizontal-relative:page;mso-position-vertical-relative:paragraph;z-index:-118648" from="426.720001pt,15.829887pt" to="426.720001pt,15.829887pt" stroked="true" strokeweight=".24pt" strokecolor="#000000">
            <v:stroke dashstyle="solid"/>
            <w10:wrap type="none"/>
          </v:line>
        </w:pict>
      </w:r>
      <w:r>
        <w:rPr/>
        <w:pict>
          <v:line style="position:absolute;mso-position-horizontal-relative:page;mso-position-vertical-relative:paragraph;z-index:-118624" from="433.200012pt,15.829887pt" to="433.200012pt,15.829887pt" stroked="true" strokeweight=".24pt" strokecolor="#000000">
            <v:stroke dashstyle="solid"/>
            <w10:wrap type="none"/>
          </v:line>
        </w:pict>
      </w:r>
      <w:r>
        <w:rPr/>
        <w:pict>
          <v:line style="position:absolute;mso-position-horizontal-relative:page;mso-position-vertical-relative:paragraph;z-index:-118600" from="439.679993pt,15.829887pt" to="439.679993pt,15.829887pt" stroked="true" strokeweight=".24pt" strokecolor="#000000">
            <v:stroke dashstyle="solid"/>
            <w10:wrap type="none"/>
          </v:line>
        </w:pict>
      </w:r>
      <w:r>
        <w:rPr/>
        <w:pict>
          <v:line style="position:absolute;mso-position-horizontal-relative:page;mso-position-vertical-relative:paragraph;z-index:-118576" from="446.160004pt,15.829887pt" to="446.160004pt,15.829887pt" stroked="true" strokeweight=".24pt" strokecolor="#000000">
            <v:stroke dashstyle="solid"/>
            <w10:wrap type="none"/>
          </v:line>
        </w:pict>
      </w:r>
      <w:r>
        <w:rPr>
          <w:rFonts w:ascii="Arial"/>
          <w:w w:val="100"/>
          <w:u w:val="single"/>
        </w:rPr>
        <w:t> </w:t>
      </w:r>
      <w:r>
        <w:rPr>
          <w:rFonts w:ascii="Arial"/>
          <w:u w:val="single"/>
        </w:rPr>
        <w:t>  10:45</w:t>
      </w:r>
    </w:p>
    <w:p>
      <w:pPr>
        <w:pStyle w:val="BodyText"/>
        <w:spacing w:before="124"/>
        <w:ind w:left="880"/>
        <w:rPr>
          <w:rFonts w:ascii="Arial"/>
        </w:rPr>
      </w:pPr>
      <w:r>
        <w:rPr/>
        <w:pict>
          <v:line style="position:absolute;mso-position-horizontal-relative:page;mso-position-vertical-relative:paragraph;z-index:-118792" from="420.23999pt,15.579878pt" to="420.23999pt,15.579878pt" stroked="true" strokeweight=".24pt" strokecolor="#000000">
            <v:stroke dashstyle="solid"/>
            <w10:wrap type="none"/>
          </v:line>
        </w:pict>
      </w:r>
      <w:r>
        <w:rPr/>
        <w:pict>
          <v:line style="position:absolute;mso-position-horizontal-relative:page;mso-position-vertical-relative:paragraph;z-index:-118768" from="426.720001pt,15.579878pt" to="426.720001pt,15.579878pt" stroked="true" strokeweight=".24pt" strokecolor="#000000">
            <v:stroke dashstyle="solid"/>
            <w10:wrap type="none"/>
          </v:line>
        </w:pict>
      </w:r>
      <w:r>
        <w:rPr/>
        <w:pict>
          <v:line style="position:absolute;mso-position-horizontal-relative:page;mso-position-vertical-relative:paragraph;z-index:-118744" from="433.200012pt,15.579878pt" to="433.200012pt,15.579878pt" stroked="true" strokeweight=".24pt" strokecolor="#000000">
            <v:stroke dashstyle="solid"/>
            <w10:wrap type="none"/>
          </v:line>
        </w:pict>
      </w:r>
      <w:r>
        <w:rPr/>
        <w:pict>
          <v:line style="position:absolute;mso-position-horizontal-relative:page;mso-position-vertical-relative:paragraph;z-index:-118720" from="439.679993pt,15.579878pt" to="439.679993pt,15.579878pt" stroked="true" strokeweight=".24pt" strokecolor="#000000">
            <v:stroke dashstyle="solid"/>
            <w10:wrap type="none"/>
          </v:line>
        </w:pict>
      </w:r>
      <w:r>
        <w:rPr/>
        <w:pict>
          <v:line style="position:absolute;mso-position-horizontal-relative:page;mso-position-vertical-relative:paragraph;z-index:-118696" from="446.160004pt,15.579878pt" to="446.160004pt,15.579878pt" stroked="true" strokeweight=".24pt" strokecolor="#000000">
            <v:stroke dashstyle="solid"/>
            <w10:wrap type="none"/>
          </v:line>
        </w:pict>
      </w:r>
      <w:r>
        <w:rPr>
          <w:rFonts w:ascii="Arial"/>
          <w:w w:val="100"/>
          <w:u w:val="single"/>
        </w:rPr>
        <w:t> </w:t>
      </w:r>
      <w:r>
        <w:rPr>
          <w:rFonts w:ascii="Arial"/>
          <w:u w:val="single"/>
        </w:rPr>
        <w:t>  10:30</w:t>
      </w:r>
    </w:p>
    <w:p>
      <w:pPr>
        <w:spacing w:after="0"/>
        <w:rPr>
          <w:rFonts w:ascii="Arial"/>
        </w:rPr>
        <w:sectPr>
          <w:type w:val="continuous"/>
          <w:pgSz w:w="12240" w:h="15840"/>
          <w:pgMar w:top="1420" w:bottom="280" w:left="1640" w:right="920"/>
          <w:cols w:num="2" w:equalWidth="0">
            <w:col w:w="5389" w:space="414"/>
            <w:col w:w="3877"/>
          </w:cols>
        </w:sectPr>
      </w:pPr>
    </w:p>
    <w:p>
      <w:pPr>
        <w:pStyle w:val="BodyText"/>
        <w:spacing w:before="10"/>
        <w:rPr>
          <w:rFonts w:ascii="Arial"/>
          <w:sz w:val="26"/>
        </w:rPr>
      </w:pPr>
    </w:p>
    <w:p>
      <w:pPr>
        <w:spacing w:after="0"/>
        <w:rPr>
          <w:rFonts w:ascii="Arial"/>
          <w:sz w:val="26"/>
        </w:rPr>
        <w:sectPr>
          <w:type w:val="continuous"/>
          <w:pgSz w:w="12240" w:h="15840"/>
          <w:pgMar w:top="1420" w:bottom="280" w:left="1640" w:right="920"/>
        </w:sectPr>
      </w:pPr>
    </w:p>
    <w:p>
      <w:pPr>
        <w:pStyle w:val="BodyText"/>
        <w:spacing w:before="94"/>
        <w:jc w:val="right"/>
        <w:rPr>
          <w:rFonts w:ascii="Arial"/>
        </w:rPr>
      </w:pP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rPr>
          <w:rFonts w:ascii="Arial"/>
        </w:rPr>
      </w:pPr>
    </w:p>
    <w:p>
      <w:pPr>
        <w:pStyle w:val="BodyText"/>
        <w:spacing w:before="2"/>
        <w:rPr>
          <w:rFonts w:ascii="Arial"/>
          <w:sz w:val="22"/>
        </w:rPr>
      </w:pPr>
    </w:p>
    <w:p>
      <w:pPr>
        <w:pStyle w:val="BodyText"/>
        <w:spacing w:line="249" w:lineRule="auto"/>
        <w:ind w:left="880" w:right="215"/>
      </w:pPr>
      <w:r>
        <w:rPr/>
        <w:t>We operate only one aircraft type, the jet Boeing 737 series. At yearend 1994, we had 199 aircraft in the fleet, consisting of 124 -300s; 50 -200s; and 25 -500s. We operate our Boeing 737 jets in an all-coach configuration and believe they are attractive, safe, and comfortable for our Customers and cost-effective to operate in high-frequency short- to medium-range markets. Operating a single aircraft type has proven to be efficient and safe.</w:t>
      </w:r>
    </w:p>
    <w:p>
      <w:pPr>
        <w:pStyle w:val="BodyText"/>
        <w:spacing w:line="249" w:lineRule="auto" w:before="121"/>
        <w:ind w:left="880" w:right="215"/>
      </w:pPr>
      <w:r>
        <w:rPr/>
        <w:t>Our fleet age is among the youngest </w:t>
      </w:r>
      <w:r>
        <w:rPr>
          <w:spacing w:val="2"/>
        </w:rPr>
        <w:t>of </w:t>
      </w:r>
      <w:r>
        <w:rPr/>
        <w:t>the major airlines at 7.6 years. Almost 75 percent </w:t>
      </w:r>
      <w:r>
        <w:rPr>
          <w:spacing w:val="2"/>
        </w:rPr>
        <w:t>of </w:t>
      </w:r>
      <w:r>
        <w:rPr>
          <w:spacing w:val="3"/>
        </w:rPr>
        <w:t>our </w:t>
      </w:r>
      <w:r>
        <w:rPr/>
        <w:t>fleet have the newer Stage 3 engines, which are quieter and more fuel-efficient. Despite the increased cost </w:t>
      </w:r>
      <w:r>
        <w:rPr>
          <w:spacing w:val="2"/>
        </w:rPr>
        <w:t>of </w:t>
      </w:r>
      <w:r>
        <w:rPr>
          <w:spacing w:val="3"/>
        </w:rPr>
        <w:t>owning </w:t>
      </w:r>
      <w:r>
        <w:rPr/>
        <w:t>newer aircraft, we still have the lowest </w:t>
      </w:r>
      <w:r>
        <w:rPr>
          <w:spacing w:val="3"/>
        </w:rPr>
        <w:t>overall operating </w:t>
      </w:r>
      <w:r>
        <w:rPr/>
        <w:t>costs because of </w:t>
      </w:r>
      <w:r>
        <w:rPr>
          <w:spacing w:val="2"/>
        </w:rPr>
        <w:t>our </w:t>
      </w:r>
      <w:r>
        <w:rPr/>
        <w:t>high productivity. Not only is </w:t>
      </w:r>
      <w:r>
        <w:rPr>
          <w:spacing w:val="3"/>
        </w:rPr>
        <w:t>our </w:t>
      </w:r>
      <w:r>
        <w:rPr/>
        <w:t>young fleet quiet and fuel-efficient, it’s also very reliable. In 1994, </w:t>
      </w:r>
      <w:r>
        <w:rPr>
          <w:spacing w:val="3"/>
        </w:rPr>
        <w:t>only </w:t>
      </w:r>
      <w:r>
        <w:rPr/>
        <w:t>0.86 percent </w:t>
      </w:r>
      <w:r>
        <w:rPr>
          <w:spacing w:val="2"/>
        </w:rPr>
        <w:t>of </w:t>
      </w:r>
      <w:r>
        <w:rPr>
          <w:spacing w:val="3"/>
        </w:rPr>
        <w:t>our </w:t>
      </w:r>
      <w:r>
        <w:rPr/>
        <w:t>flights were canceled or delayed due </w:t>
      </w:r>
      <w:r>
        <w:rPr>
          <w:spacing w:val="2"/>
        </w:rPr>
        <w:t>to </w:t>
      </w:r>
      <w:r>
        <w:rPr/>
        <w:t>mechanical incidents, which also contributes </w:t>
      </w:r>
      <w:r>
        <w:rPr>
          <w:spacing w:val="2"/>
        </w:rPr>
        <w:t>to </w:t>
      </w:r>
      <w:r>
        <w:rPr/>
        <w:t>lower </w:t>
      </w:r>
      <w:r>
        <w:rPr>
          <w:spacing w:val="3"/>
        </w:rPr>
        <w:t>operating</w:t>
      </w:r>
      <w:r>
        <w:rPr>
          <w:spacing w:val="-28"/>
        </w:rPr>
        <w:t> </w:t>
      </w:r>
      <w:r>
        <w:rPr/>
        <w:t>costs.</w:t>
      </w:r>
    </w:p>
    <w:p>
      <w:pPr>
        <w:pStyle w:val="BodyText"/>
        <w:spacing w:line="249" w:lineRule="auto" w:before="121"/>
        <w:ind w:left="880" w:right="237"/>
      </w:pPr>
      <w:r>
        <w:rPr/>
        <w:t>In 1994, we agreed to be the launch customer with Boeing for the third time. The new Boeing 737-700 model will debut in fourth quarter 1997. Our agreement allows for a comparatively lower capital cost and the -700 is also expected to be quieter, more fuel-efficient, and more efficient to maintain than its -300 counterpart. The new aircraft model is planned to fly faster, longer, and higher, as well. From an operational perspective, it is expected to carry the same type rating as the rest of the 737 family, thereby allowing for virtually the same scheduling, training, and maintenance operations as today.</w:t>
      </w:r>
    </w:p>
    <w:p>
      <w:pPr>
        <w:pStyle w:val="BodyText"/>
        <w:spacing w:line="249" w:lineRule="auto" w:before="121"/>
        <w:ind w:left="880" w:right="167"/>
      </w:pPr>
      <w:r>
        <w:rPr/>
        <w:t>At yearend 1994, we owned 97 of the 199 aircraft in the fleet. Of the remaining 102 aircraft, 72 were operated pursuant to long-term leases with various renewal and purchase options at the end of the lease periods and 30 of the older -200s were under short-term leases expiring over the next several years.</w:t>
      </w:r>
    </w:p>
    <w:p>
      <w:pPr>
        <w:pStyle w:val="BodyText"/>
        <w:spacing w:line="249" w:lineRule="auto" w:before="121"/>
        <w:ind w:left="880" w:right="167"/>
      </w:pPr>
      <w:r>
        <w:rPr/>
        <w:t>We currently intend to expand our fleet by 27 aircraft in 1995, an available seat mile increase of approximately 14 percent. In total, including an agreement in principle for two used aircraft in second quarter 1995, at December 31, 1994, we had 118 firm orders and 74 purchase options for Boeing 737 aircraft as follows:</w:t>
      </w:r>
    </w:p>
    <w:p>
      <w:pPr>
        <w:pStyle w:val="BodyText"/>
        <w:rPr>
          <w:sz w:val="10"/>
        </w:rPr>
      </w:pPr>
    </w:p>
    <w:tbl>
      <w:tblPr>
        <w:tblW w:w="0" w:type="auto"/>
        <w:jc w:val="left"/>
        <w:tblInd w:w="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18"/>
        <w:gridCol w:w="787"/>
        <w:gridCol w:w="595"/>
        <w:gridCol w:w="590"/>
        <w:gridCol w:w="595"/>
        <w:gridCol w:w="595"/>
        <w:gridCol w:w="590"/>
        <w:gridCol w:w="595"/>
        <w:gridCol w:w="590"/>
        <w:gridCol w:w="595"/>
        <w:gridCol w:w="590"/>
        <w:gridCol w:w="595"/>
        <w:gridCol w:w="593"/>
      </w:tblGrid>
      <w:tr>
        <w:trPr>
          <w:trHeight w:val="329" w:hRule="exact"/>
        </w:trPr>
        <w:tc>
          <w:tcPr>
            <w:tcW w:w="1318" w:type="dxa"/>
            <w:tcBorders>
              <w:bottom w:val="single" w:sz="6" w:space="0" w:color="FFFF00"/>
              <w:right w:val="single" w:sz="6" w:space="0" w:color="FFFF00"/>
            </w:tcBorders>
          </w:tcPr>
          <w:p>
            <w:pPr>
              <w:pStyle w:val="TableParagraph"/>
              <w:spacing w:before="85"/>
              <w:ind w:right="473"/>
              <w:jc w:val="right"/>
              <w:rPr>
                <w:rFonts w:ascii="Arial"/>
                <w:sz w:val="16"/>
              </w:rPr>
            </w:pPr>
            <w:r>
              <w:rPr>
                <w:rFonts w:ascii="Arial"/>
                <w:w w:val="95"/>
                <w:sz w:val="16"/>
              </w:rPr>
              <w:t>Type</w:t>
            </w:r>
          </w:p>
        </w:tc>
        <w:tc>
          <w:tcPr>
            <w:tcW w:w="787" w:type="dxa"/>
            <w:tcBorders>
              <w:left w:val="single" w:sz="6" w:space="0" w:color="FFFF00"/>
              <w:bottom w:val="single" w:sz="6" w:space="0" w:color="FFFF00"/>
              <w:right w:val="single" w:sz="6" w:space="0" w:color="FFFF00"/>
            </w:tcBorders>
          </w:tcPr>
          <w:p>
            <w:pPr>
              <w:pStyle w:val="TableParagraph"/>
              <w:spacing w:before="85"/>
              <w:ind w:right="188"/>
              <w:jc w:val="right"/>
              <w:rPr>
                <w:rFonts w:ascii="Arial"/>
                <w:sz w:val="16"/>
              </w:rPr>
            </w:pPr>
            <w:r>
              <w:rPr>
                <w:rFonts w:ascii="Arial"/>
                <w:w w:val="95"/>
                <w:sz w:val="16"/>
              </w:rPr>
              <w:t>Seats</w:t>
            </w:r>
          </w:p>
        </w:tc>
        <w:tc>
          <w:tcPr>
            <w:tcW w:w="595" w:type="dxa"/>
            <w:tcBorders>
              <w:left w:val="single" w:sz="6" w:space="0" w:color="FFFF00"/>
              <w:bottom w:val="single" w:sz="6" w:space="0" w:color="FFFF00"/>
              <w:right w:val="single" w:sz="6" w:space="0" w:color="FFFF00"/>
            </w:tcBorders>
          </w:tcPr>
          <w:p>
            <w:pPr>
              <w:pStyle w:val="TableParagraph"/>
              <w:spacing w:before="85"/>
              <w:ind w:left="71" w:right="67"/>
              <w:jc w:val="center"/>
              <w:rPr>
                <w:rFonts w:ascii="Arial"/>
                <w:sz w:val="16"/>
              </w:rPr>
            </w:pPr>
            <w:r>
              <w:rPr>
                <w:rFonts w:ascii="Arial"/>
                <w:sz w:val="16"/>
              </w:rPr>
              <w:t>1994</w:t>
            </w:r>
          </w:p>
        </w:tc>
        <w:tc>
          <w:tcPr>
            <w:tcW w:w="590" w:type="dxa"/>
            <w:tcBorders>
              <w:left w:val="single" w:sz="6" w:space="0" w:color="FFFF00"/>
              <w:bottom w:val="single" w:sz="6" w:space="0" w:color="FFFF00"/>
              <w:right w:val="single" w:sz="6" w:space="0" w:color="FFFF00"/>
            </w:tcBorders>
          </w:tcPr>
          <w:p>
            <w:pPr>
              <w:pStyle w:val="TableParagraph"/>
              <w:spacing w:before="85"/>
              <w:ind w:left="90" w:right="81"/>
              <w:jc w:val="center"/>
              <w:rPr>
                <w:rFonts w:ascii="Arial"/>
                <w:sz w:val="16"/>
              </w:rPr>
            </w:pPr>
            <w:r>
              <w:rPr>
                <w:rFonts w:ascii="Arial"/>
                <w:sz w:val="16"/>
              </w:rPr>
              <w:t>1995</w:t>
            </w:r>
          </w:p>
        </w:tc>
        <w:tc>
          <w:tcPr>
            <w:tcW w:w="595"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1996</w:t>
            </w:r>
          </w:p>
        </w:tc>
        <w:tc>
          <w:tcPr>
            <w:tcW w:w="595"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1997</w:t>
            </w:r>
          </w:p>
        </w:tc>
        <w:tc>
          <w:tcPr>
            <w:tcW w:w="590"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1998</w:t>
            </w:r>
          </w:p>
        </w:tc>
        <w:tc>
          <w:tcPr>
            <w:tcW w:w="595" w:type="dxa"/>
            <w:tcBorders>
              <w:left w:val="single" w:sz="6" w:space="0" w:color="FFFF00"/>
              <w:bottom w:val="single" w:sz="6" w:space="0" w:color="FFFF00"/>
              <w:right w:val="single" w:sz="6" w:space="0" w:color="FFFF00"/>
            </w:tcBorders>
          </w:tcPr>
          <w:p>
            <w:pPr>
              <w:pStyle w:val="TableParagraph"/>
              <w:spacing w:before="85"/>
              <w:ind w:left="71" w:right="67"/>
              <w:jc w:val="center"/>
              <w:rPr>
                <w:rFonts w:ascii="Arial"/>
                <w:sz w:val="16"/>
              </w:rPr>
            </w:pPr>
            <w:r>
              <w:rPr>
                <w:rFonts w:ascii="Arial"/>
                <w:sz w:val="16"/>
              </w:rPr>
              <w:t>1999</w:t>
            </w:r>
          </w:p>
        </w:tc>
        <w:tc>
          <w:tcPr>
            <w:tcW w:w="590" w:type="dxa"/>
            <w:tcBorders>
              <w:left w:val="single" w:sz="6" w:space="0" w:color="FFFF00"/>
              <w:bottom w:val="single" w:sz="6" w:space="0" w:color="FFFF00"/>
              <w:right w:val="single" w:sz="6" w:space="0" w:color="FFFF00"/>
            </w:tcBorders>
          </w:tcPr>
          <w:p>
            <w:pPr>
              <w:pStyle w:val="TableParagraph"/>
              <w:spacing w:before="85"/>
              <w:ind w:left="85" w:right="85"/>
              <w:jc w:val="center"/>
              <w:rPr>
                <w:rFonts w:ascii="Arial"/>
                <w:sz w:val="16"/>
              </w:rPr>
            </w:pPr>
            <w:r>
              <w:rPr>
                <w:rFonts w:ascii="Arial"/>
                <w:sz w:val="16"/>
              </w:rPr>
              <w:t>2000</w:t>
            </w:r>
          </w:p>
        </w:tc>
        <w:tc>
          <w:tcPr>
            <w:tcW w:w="595"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2001</w:t>
            </w:r>
          </w:p>
        </w:tc>
        <w:tc>
          <w:tcPr>
            <w:tcW w:w="590" w:type="dxa"/>
            <w:tcBorders>
              <w:left w:val="single" w:sz="6" w:space="0" w:color="FFFF00"/>
              <w:bottom w:val="single" w:sz="6" w:space="0" w:color="FFFF00"/>
              <w:right w:val="single" w:sz="6" w:space="0" w:color="FFFF00"/>
            </w:tcBorders>
          </w:tcPr>
          <w:p>
            <w:pPr>
              <w:pStyle w:val="TableParagraph"/>
              <w:spacing w:before="85"/>
              <w:ind w:left="85" w:right="85"/>
              <w:jc w:val="center"/>
              <w:rPr>
                <w:rFonts w:ascii="Arial"/>
                <w:sz w:val="16"/>
              </w:rPr>
            </w:pPr>
            <w:r>
              <w:rPr>
                <w:rFonts w:ascii="Arial"/>
                <w:sz w:val="16"/>
              </w:rPr>
              <w:t>2002</w:t>
            </w:r>
          </w:p>
        </w:tc>
        <w:tc>
          <w:tcPr>
            <w:tcW w:w="595" w:type="dxa"/>
            <w:tcBorders>
              <w:left w:val="single" w:sz="6" w:space="0" w:color="FFFF00"/>
              <w:bottom w:val="single" w:sz="6" w:space="0" w:color="FFFF00"/>
              <w:right w:val="single" w:sz="6" w:space="0" w:color="FFFF00"/>
            </w:tcBorders>
          </w:tcPr>
          <w:p>
            <w:pPr>
              <w:pStyle w:val="TableParagraph"/>
              <w:spacing w:before="85"/>
              <w:ind w:right="113"/>
              <w:jc w:val="right"/>
              <w:rPr>
                <w:rFonts w:ascii="Arial"/>
                <w:sz w:val="16"/>
              </w:rPr>
            </w:pPr>
            <w:r>
              <w:rPr>
                <w:rFonts w:ascii="Arial"/>
                <w:w w:val="95"/>
                <w:sz w:val="16"/>
              </w:rPr>
              <w:t>2003</w:t>
            </w:r>
          </w:p>
        </w:tc>
        <w:tc>
          <w:tcPr>
            <w:tcW w:w="593" w:type="dxa"/>
            <w:tcBorders>
              <w:left w:val="single" w:sz="6" w:space="0" w:color="FFFF00"/>
              <w:bottom w:val="single" w:sz="6" w:space="0" w:color="FFFF00"/>
            </w:tcBorders>
          </w:tcPr>
          <w:p>
            <w:pPr>
              <w:pStyle w:val="TableParagraph"/>
              <w:spacing w:before="85"/>
              <w:ind w:left="89" w:right="85"/>
              <w:jc w:val="center"/>
              <w:rPr>
                <w:rFonts w:ascii="Arial"/>
                <w:sz w:val="16"/>
              </w:rPr>
            </w:pPr>
            <w:r>
              <w:rPr>
                <w:rFonts w:ascii="Arial"/>
                <w:sz w:val="16"/>
              </w:rPr>
              <w:t>2004</w:t>
            </w:r>
          </w:p>
        </w:tc>
      </w:tr>
      <w:tr>
        <w:trPr>
          <w:trHeight w:val="331" w:hRule="exact"/>
        </w:trPr>
        <w:tc>
          <w:tcPr>
            <w:tcW w:w="1318" w:type="dxa"/>
            <w:tcBorders>
              <w:top w:val="single" w:sz="6" w:space="0" w:color="FFFF00"/>
              <w:bottom w:val="single" w:sz="6" w:space="0" w:color="FFFF00"/>
              <w:right w:val="single" w:sz="6" w:space="0" w:color="FFFF00"/>
            </w:tcBorders>
          </w:tcPr>
          <w:p>
            <w:pPr>
              <w:pStyle w:val="TableParagraph"/>
              <w:spacing w:before="43"/>
              <w:ind w:right="541"/>
              <w:jc w:val="right"/>
              <w:rPr>
                <w:sz w:val="20"/>
              </w:rPr>
            </w:pPr>
            <w:r>
              <w:rPr>
                <w:sz w:val="20"/>
              </w:rPr>
              <w:t>737-200</w:t>
            </w:r>
          </w:p>
        </w:tc>
        <w:tc>
          <w:tcPr>
            <w:tcW w:w="787"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sz w:val="20"/>
              </w:rPr>
              <w:t>122</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67" w:right="67"/>
              <w:jc w:val="center"/>
              <w:rPr>
                <w:sz w:val="20"/>
              </w:rPr>
            </w:pPr>
            <w:r>
              <w:rPr>
                <w:sz w:val="20"/>
              </w:rPr>
              <w:t>50</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11"/>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288"/>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06"/>
              <w:jc w:val="center"/>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3" w:type="dxa"/>
            <w:tcBorders>
              <w:top w:val="single" w:sz="6" w:space="0" w:color="FFFF00"/>
              <w:left w:val="single" w:sz="6" w:space="0" w:color="FFFF00"/>
              <w:bottom w:val="single" w:sz="6" w:space="0" w:color="FFFF00"/>
            </w:tcBorders>
          </w:tcPr>
          <w:p>
            <w:pPr>
              <w:pStyle w:val="TableParagraph"/>
              <w:spacing w:before="43"/>
              <w:ind w:left="106"/>
              <w:jc w:val="center"/>
              <w:rPr>
                <w:sz w:val="20"/>
              </w:rPr>
            </w:pPr>
            <w:r>
              <w:rPr>
                <w:w w:val="100"/>
                <w:sz w:val="20"/>
              </w:rPr>
              <w:t>–</w:t>
            </w:r>
          </w:p>
        </w:tc>
      </w:tr>
      <w:tr>
        <w:trPr>
          <w:trHeight w:val="331" w:hRule="exact"/>
        </w:trPr>
        <w:tc>
          <w:tcPr>
            <w:tcW w:w="1318" w:type="dxa"/>
            <w:tcBorders>
              <w:top w:val="single" w:sz="6" w:space="0" w:color="FFFF00"/>
              <w:bottom w:val="single" w:sz="6" w:space="0" w:color="FFFF00"/>
              <w:right w:val="single" w:sz="6" w:space="0" w:color="FFFF00"/>
            </w:tcBorders>
          </w:tcPr>
          <w:p>
            <w:pPr>
              <w:pStyle w:val="TableParagraph"/>
              <w:spacing w:before="43"/>
              <w:ind w:right="541"/>
              <w:jc w:val="right"/>
              <w:rPr>
                <w:sz w:val="20"/>
              </w:rPr>
            </w:pPr>
            <w:r>
              <w:rPr>
                <w:sz w:val="20"/>
              </w:rPr>
              <w:t>737-300</w:t>
            </w:r>
          </w:p>
        </w:tc>
        <w:tc>
          <w:tcPr>
            <w:tcW w:w="787"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sz w:val="20"/>
              </w:rPr>
              <w:t>137</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72" w:right="67"/>
              <w:jc w:val="center"/>
              <w:rPr>
                <w:sz w:val="20"/>
              </w:rPr>
            </w:pPr>
            <w:r>
              <w:rPr>
                <w:sz w:val="20"/>
              </w:rPr>
              <w:t>124</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90" w:right="85"/>
              <w:jc w:val="center"/>
              <w:rPr>
                <w:sz w:val="20"/>
              </w:rPr>
            </w:pPr>
            <w:r>
              <w:rPr>
                <w:sz w:val="20"/>
              </w:rPr>
              <w:t>27</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18</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21</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288"/>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06"/>
              <w:jc w:val="center"/>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3" w:type="dxa"/>
            <w:tcBorders>
              <w:top w:val="single" w:sz="6" w:space="0" w:color="FFFF00"/>
              <w:left w:val="single" w:sz="6" w:space="0" w:color="FFFF00"/>
              <w:bottom w:val="single" w:sz="6" w:space="0" w:color="FFFF00"/>
            </w:tcBorders>
          </w:tcPr>
          <w:p>
            <w:pPr>
              <w:pStyle w:val="TableParagraph"/>
              <w:spacing w:before="43"/>
              <w:ind w:left="106"/>
              <w:jc w:val="center"/>
              <w:rPr>
                <w:sz w:val="20"/>
              </w:rPr>
            </w:pPr>
            <w:r>
              <w:rPr>
                <w:w w:val="100"/>
                <w:sz w:val="20"/>
              </w:rPr>
              <w:t>–</w:t>
            </w:r>
          </w:p>
        </w:tc>
      </w:tr>
      <w:tr>
        <w:trPr>
          <w:trHeight w:val="331" w:hRule="exact"/>
        </w:trPr>
        <w:tc>
          <w:tcPr>
            <w:tcW w:w="1318" w:type="dxa"/>
            <w:tcBorders>
              <w:top w:val="single" w:sz="6" w:space="0" w:color="FFFF00"/>
              <w:bottom w:val="single" w:sz="6" w:space="0" w:color="FFFF00"/>
              <w:right w:val="single" w:sz="6" w:space="0" w:color="FFFF00"/>
            </w:tcBorders>
          </w:tcPr>
          <w:p>
            <w:pPr>
              <w:pStyle w:val="TableParagraph"/>
              <w:spacing w:before="43"/>
              <w:ind w:right="541"/>
              <w:jc w:val="right"/>
              <w:rPr>
                <w:sz w:val="20"/>
              </w:rPr>
            </w:pPr>
            <w:r>
              <w:rPr>
                <w:sz w:val="20"/>
              </w:rPr>
              <w:t>737-500</w:t>
            </w:r>
          </w:p>
        </w:tc>
        <w:tc>
          <w:tcPr>
            <w:tcW w:w="787"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sz w:val="20"/>
              </w:rPr>
              <w:t>122</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67" w:right="67"/>
              <w:jc w:val="center"/>
              <w:rPr>
                <w:sz w:val="20"/>
              </w:rPr>
            </w:pPr>
            <w:r>
              <w:rPr>
                <w:sz w:val="20"/>
              </w:rPr>
              <w:t>25</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11"/>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288"/>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06"/>
              <w:jc w:val="center"/>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02"/>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3" w:type="dxa"/>
            <w:tcBorders>
              <w:top w:val="single" w:sz="6" w:space="0" w:color="FFFF00"/>
              <w:left w:val="single" w:sz="6" w:space="0" w:color="FFFF00"/>
              <w:bottom w:val="single" w:sz="6" w:space="0" w:color="FFFF00"/>
            </w:tcBorders>
          </w:tcPr>
          <w:p>
            <w:pPr>
              <w:pStyle w:val="TableParagraph"/>
              <w:spacing w:before="43"/>
              <w:ind w:left="106"/>
              <w:jc w:val="center"/>
              <w:rPr>
                <w:sz w:val="20"/>
              </w:rPr>
            </w:pPr>
            <w:r>
              <w:rPr>
                <w:w w:val="100"/>
                <w:sz w:val="20"/>
              </w:rPr>
              <w:t>–</w:t>
            </w:r>
          </w:p>
        </w:tc>
      </w:tr>
      <w:tr>
        <w:trPr>
          <w:trHeight w:val="331" w:hRule="exact"/>
        </w:trPr>
        <w:tc>
          <w:tcPr>
            <w:tcW w:w="1318" w:type="dxa"/>
            <w:tcBorders>
              <w:top w:val="single" w:sz="6" w:space="0" w:color="FFFF00"/>
              <w:bottom w:val="single" w:sz="6" w:space="0" w:color="FFFF00"/>
              <w:right w:val="single" w:sz="6" w:space="0" w:color="FFFF00"/>
            </w:tcBorders>
          </w:tcPr>
          <w:p>
            <w:pPr>
              <w:pStyle w:val="TableParagraph"/>
              <w:spacing w:before="43"/>
              <w:ind w:right="541"/>
              <w:jc w:val="right"/>
              <w:rPr>
                <w:sz w:val="20"/>
              </w:rPr>
            </w:pPr>
            <w:r>
              <w:rPr>
                <w:sz w:val="20"/>
              </w:rPr>
              <w:t>737-700</w:t>
            </w:r>
          </w:p>
        </w:tc>
        <w:tc>
          <w:tcPr>
            <w:tcW w:w="787"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sz w:val="20"/>
              </w:rPr>
              <w:t>137</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06"/>
              <w:jc w:val="center"/>
              <w:rPr>
                <w:sz w:val="20"/>
              </w:rPr>
            </w:pPr>
            <w:r>
              <w:rPr>
                <w:w w:val="100"/>
                <w:sz w:val="20"/>
              </w:rPr>
              <w:t>–</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11"/>
              <w:jc w:val="center"/>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4"/>
              <w:jc w:val="right"/>
              <w:rPr>
                <w:sz w:val="20"/>
              </w:rPr>
            </w:pPr>
            <w:r>
              <w:rPr>
                <w:w w:val="100"/>
                <w:sz w:val="20"/>
              </w:rPr>
              <w:t>–</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85"/>
              <w:jc w:val="right"/>
              <w:rPr>
                <w:sz w:val="20"/>
              </w:rPr>
            </w:pPr>
            <w:r>
              <w:rPr>
                <w:w w:val="100"/>
                <w:sz w:val="20"/>
              </w:rPr>
              <w:t>4</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21</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left="167" w:right="67"/>
              <w:jc w:val="center"/>
              <w:rPr>
                <w:sz w:val="20"/>
              </w:rPr>
            </w:pPr>
            <w:r>
              <w:rPr>
                <w:sz w:val="20"/>
              </w:rPr>
              <w:t>21</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81" w:right="85"/>
              <w:jc w:val="center"/>
              <w:rPr>
                <w:sz w:val="20"/>
              </w:rPr>
            </w:pPr>
            <w:r>
              <w:rPr>
                <w:sz w:val="20"/>
              </w:rPr>
              <w:t>21</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18</w:t>
            </w:r>
          </w:p>
        </w:tc>
        <w:tc>
          <w:tcPr>
            <w:tcW w:w="590" w:type="dxa"/>
            <w:tcBorders>
              <w:top w:val="single" w:sz="6" w:space="0" w:color="FFFF00"/>
              <w:left w:val="single" w:sz="6" w:space="0" w:color="FFFF00"/>
              <w:bottom w:val="single" w:sz="6" w:space="0" w:color="FFFF00"/>
              <w:right w:val="single" w:sz="6" w:space="0" w:color="FFFF00"/>
            </w:tcBorders>
          </w:tcPr>
          <w:p>
            <w:pPr>
              <w:pStyle w:val="TableParagraph"/>
              <w:spacing w:before="43"/>
              <w:ind w:left="181" w:right="85"/>
              <w:jc w:val="center"/>
              <w:rPr>
                <w:sz w:val="20"/>
              </w:rPr>
            </w:pPr>
            <w:r>
              <w:rPr>
                <w:sz w:val="20"/>
              </w:rPr>
              <w:t>18</w:t>
            </w:r>
          </w:p>
        </w:tc>
        <w:tc>
          <w:tcPr>
            <w:tcW w:w="595" w:type="dxa"/>
            <w:tcBorders>
              <w:top w:val="single" w:sz="6" w:space="0" w:color="FFFF00"/>
              <w:left w:val="single" w:sz="6" w:space="0" w:color="FFFF00"/>
              <w:bottom w:val="single" w:sz="6" w:space="0" w:color="FFFF00"/>
              <w:right w:val="single" w:sz="6" w:space="0" w:color="FFFF00"/>
            </w:tcBorders>
          </w:tcPr>
          <w:p>
            <w:pPr>
              <w:pStyle w:val="TableParagraph"/>
              <w:spacing w:before="43"/>
              <w:ind w:right="137"/>
              <w:jc w:val="right"/>
              <w:rPr>
                <w:sz w:val="20"/>
              </w:rPr>
            </w:pPr>
            <w:r>
              <w:rPr>
                <w:sz w:val="20"/>
              </w:rPr>
              <w:t>18</w:t>
            </w:r>
          </w:p>
        </w:tc>
        <w:tc>
          <w:tcPr>
            <w:tcW w:w="593" w:type="dxa"/>
            <w:tcBorders>
              <w:top w:val="single" w:sz="6" w:space="0" w:color="FFFF00"/>
              <w:left w:val="single" w:sz="6" w:space="0" w:color="FFFF00"/>
              <w:bottom w:val="single" w:sz="6" w:space="0" w:color="FFFF00"/>
            </w:tcBorders>
          </w:tcPr>
          <w:p>
            <w:pPr>
              <w:pStyle w:val="TableParagraph"/>
              <w:spacing w:before="43"/>
              <w:ind w:left="105"/>
              <w:jc w:val="center"/>
              <w:rPr>
                <w:sz w:val="20"/>
              </w:rPr>
            </w:pPr>
            <w:r>
              <w:rPr>
                <w:w w:val="100"/>
                <w:sz w:val="20"/>
              </w:rPr>
              <w:t>5</w:t>
            </w:r>
          </w:p>
        </w:tc>
      </w:tr>
      <w:tr>
        <w:trPr>
          <w:trHeight w:val="338" w:hRule="exact"/>
        </w:trPr>
        <w:tc>
          <w:tcPr>
            <w:tcW w:w="1318" w:type="dxa"/>
            <w:tcBorders>
              <w:top w:val="single" w:sz="6" w:space="0" w:color="FFFF00"/>
              <w:right w:val="single" w:sz="6" w:space="0" w:color="FFFF00"/>
            </w:tcBorders>
          </w:tcPr>
          <w:p>
            <w:pPr>
              <w:pStyle w:val="TableParagraph"/>
              <w:spacing w:before="43"/>
              <w:ind w:right="553"/>
              <w:jc w:val="right"/>
              <w:rPr>
                <w:sz w:val="20"/>
              </w:rPr>
            </w:pPr>
            <w:r>
              <w:rPr>
                <w:sz w:val="20"/>
              </w:rPr>
              <w:t>TOTAL</w:t>
            </w:r>
          </w:p>
        </w:tc>
        <w:tc>
          <w:tcPr>
            <w:tcW w:w="787" w:type="dxa"/>
            <w:tcBorders>
              <w:top w:val="single" w:sz="6" w:space="0" w:color="FFFF00"/>
              <w:left w:val="single" w:sz="6" w:space="0" w:color="FFFF00"/>
              <w:right w:val="single" w:sz="6" w:space="0" w:color="FFFF00"/>
            </w:tcBorders>
          </w:tcPr>
          <w:p>
            <w:pPr/>
          </w:p>
        </w:tc>
        <w:tc>
          <w:tcPr>
            <w:tcW w:w="595" w:type="dxa"/>
            <w:tcBorders>
              <w:top w:val="single" w:sz="6" w:space="0" w:color="FFFF00"/>
              <w:left w:val="single" w:sz="6" w:space="0" w:color="FFFF00"/>
              <w:right w:val="single" w:sz="6" w:space="0" w:color="FFFF00"/>
            </w:tcBorders>
          </w:tcPr>
          <w:p>
            <w:pPr>
              <w:pStyle w:val="TableParagraph"/>
              <w:spacing w:before="43"/>
              <w:ind w:left="172" w:right="67"/>
              <w:jc w:val="center"/>
              <w:rPr>
                <w:sz w:val="20"/>
              </w:rPr>
            </w:pPr>
            <w:r>
              <w:rPr>
                <w:sz w:val="20"/>
              </w:rPr>
              <w:t>199</w:t>
            </w:r>
          </w:p>
        </w:tc>
        <w:tc>
          <w:tcPr>
            <w:tcW w:w="590" w:type="dxa"/>
            <w:tcBorders>
              <w:top w:val="single" w:sz="6" w:space="0" w:color="FFFF00"/>
              <w:left w:val="single" w:sz="6" w:space="0" w:color="FFFF00"/>
              <w:right w:val="single" w:sz="6" w:space="0" w:color="FFFF00"/>
            </w:tcBorders>
          </w:tcPr>
          <w:p>
            <w:pPr>
              <w:pStyle w:val="TableParagraph"/>
              <w:spacing w:before="43"/>
              <w:ind w:left="190" w:right="85"/>
              <w:jc w:val="center"/>
              <w:rPr>
                <w:sz w:val="20"/>
              </w:rPr>
            </w:pPr>
            <w:r>
              <w:rPr>
                <w:sz w:val="20"/>
              </w:rPr>
              <w:t>27</w:t>
            </w:r>
          </w:p>
        </w:tc>
        <w:tc>
          <w:tcPr>
            <w:tcW w:w="595"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18</w:t>
            </w:r>
          </w:p>
        </w:tc>
        <w:tc>
          <w:tcPr>
            <w:tcW w:w="595"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25</w:t>
            </w:r>
          </w:p>
        </w:tc>
        <w:tc>
          <w:tcPr>
            <w:tcW w:w="590"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21</w:t>
            </w:r>
          </w:p>
        </w:tc>
        <w:tc>
          <w:tcPr>
            <w:tcW w:w="595" w:type="dxa"/>
            <w:tcBorders>
              <w:top w:val="single" w:sz="6" w:space="0" w:color="FFFF00"/>
              <w:left w:val="single" w:sz="6" w:space="0" w:color="FFFF00"/>
              <w:right w:val="single" w:sz="6" w:space="0" w:color="FFFF00"/>
            </w:tcBorders>
          </w:tcPr>
          <w:p>
            <w:pPr>
              <w:pStyle w:val="TableParagraph"/>
              <w:spacing w:before="43"/>
              <w:ind w:left="167" w:right="67"/>
              <w:jc w:val="center"/>
              <w:rPr>
                <w:sz w:val="20"/>
              </w:rPr>
            </w:pPr>
            <w:r>
              <w:rPr>
                <w:sz w:val="20"/>
              </w:rPr>
              <w:t>21</w:t>
            </w:r>
          </w:p>
        </w:tc>
        <w:tc>
          <w:tcPr>
            <w:tcW w:w="590" w:type="dxa"/>
            <w:tcBorders>
              <w:top w:val="single" w:sz="6" w:space="0" w:color="FFFF00"/>
              <w:left w:val="single" w:sz="6" w:space="0" w:color="FFFF00"/>
              <w:right w:val="single" w:sz="6" w:space="0" w:color="FFFF00"/>
            </w:tcBorders>
          </w:tcPr>
          <w:p>
            <w:pPr>
              <w:pStyle w:val="TableParagraph"/>
              <w:spacing w:before="43"/>
              <w:ind w:left="181" w:right="85"/>
              <w:jc w:val="center"/>
              <w:rPr>
                <w:sz w:val="20"/>
              </w:rPr>
            </w:pPr>
            <w:r>
              <w:rPr>
                <w:sz w:val="20"/>
              </w:rPr>
              <w:t>21</w:t>
            </w:r>
          </w:p>
        </w:tc>
        <w:tc>
          <w:tcPr>
            <w:tcW w:w="595"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18</w:t>
            </w:r>
          </w:p>
        </w:tc>
        <w:tc>
          <w:tcPr>
            <w:tcW w:w="590" w:type="dxa"/>
            <w:tcBorders>
              <w:top w:val="single" w:sz="6" w:space="0" w:color="FFFF00"/>
              <w:left w:val="single" w:sz="6" w:space="0" w:color="FFFF00"/>
              <w:right w:val="single" w:sz="6" w:space="0" w:color="FFFF00"/>
            </w:tcBorders>
          </w:tcPr>
          <w:p>
            <w:pPr>
              <w:pStyle w:val="TableParagraph"/>
              <w:spacing w:before="43"/>
              <w:ind w:left="181" w:right="85"/>
              <w:jc w:val="center"/>
              <w:rPr>
                <w:sz w:val="20"/>
              </w:rPr>
            </w:pPr>
            <w:r>
              <w:rPr>
                <w:sz w:val="20"/>
              </w:rPr>
              <w:t>18</w:t>
            </w:r>
          </w:p>
        </w:tc>
        <w:tc>
          <w:tcPr>
            <w:tcW w:w="595" w:type="dxa"/>
            <w:tcBorders>
              <w:top w:val="single" w:sz="6" w:space="0" w:color="FFFF00"/>
              <w:left w:val="single" w:sz="6" w:space="0" w:color="FFFF00"/>
              <w:right w:val="single" w:sz="6" w:space="0" w:color="FFFF00"/>
            </w:tcBorders>
          </w:tcPr>
          <w:p>
            <w:pPr>
              <w:pStyle w:val="TableParagraph"/>
              <w:spacing w:before="43"/>
              <w:ind w:right="137"/>
              <w:jc w:val="right"/>
              <w:rPr>
                <w:sz w:val="20"/>
              </w:rPr>
            </w:pPr>
            <w:r>
              <w:rPr>
                <w:sz w:val="20"/>
              </w:rPr>
              <w:t>18</w:t>
            </w:r>
          </w:p>
        </w:tc>
        <w:tc>
          <w:tcPr>
            <w:tcW w:w="593" w:type="dxa"/>
            <w:tcBorders>
              <w:top w:val="single" w:sz="6" w:space="0" w:color="FFFF00"/>
              <w:left w:val="single" w:sz="6" w:space="0" w:color="FFFF00"/>
            </w:tcBorders>
          </w:tcPr>
          <w:p>
            <w:pPr>
              <w:pStyle w:val="TableParagraph"/>
              <w:spacing w:before="43"/>
              <w:ind w:left="105"/>
              <w:jc w:val="center"/>
              <w:rPr>
                <w:sz w:val="20"/>
              </w:rPr>
            </w:pPr>
            <w:r>
              <w:rPr>
                <w:w w:val="100"/>
                <w:sz w:val="20"/>
              </w:rPr>
              <w:t>5</w:t>
            </w:r>
          </w:p>
        </w:tc>
      </w:tr>
    </w:tbl>
    <w:p>
      <w:pPr>
        <w:pStyle w:val="BodyText"/>
      </w:pPr>
    </w:p>
    <w:p>
      <w:pPr>
        <w:spacing w:after="0"/>
        <w:sectPr>
          <w:headerReference w:type="default" r:id="rId19"/>
          <w:pgSz w:w="12240" w:h="15840"/>
          <w:pgMar w:header="725" w:footer="746" w:top="2020" w:bottom="940" w:left="1640" w:right="920"/>
        </w:sectPr>
      </w:pPr>
    </w:p>
    <w:p>
      <w:pPr>
        <w:pStyle w:val="BodyText"/>
        <w:spacing w:before="1"/>
        <w:rPr>
          <w:sz w:val="22"/>
        </w:rPr>
      </w:pPr>
    </w:p>
    <w:p>
      <w:pPr>
        <w:pStyle w:val="Heading2"/>
      </w:pPr>
      <w:r>
        <w:rPr/>
        <w:t>Fleet Size</w:t>
      </w:r>
    </w:p>
    <w:p>
      <w:pPr>
        <w:pStyle w:val="BodyText"/>
        <w:rPr>
          <w:rFonts w:ascii="Arial"/>
          <w:b/>
          <w:sz w:val="22"/>
        </w:rPr>
      </w:pPr>
      <w:r>
        <w:rPr/>
        <w:br w:type="column"/>
      </w:r>
      <w:r>
        <w:rPr>
          <w:rFonts w:ascii="Arial"/>
          <w:b/>
          <w:sz w:val="22"/>
        </w:rPr>
      </w:r>
    </w:p>
    <w:p>
      <w:pPr>
        <w:pStyle w:val="BodyText"/>
        <w:rPr>
          <w:rFonts w:ascii="Arial"/>
          <w:b/>
          <w:sz w:val="22"/>
        </w:rPr>
      </w:pPr>
    </w:p>
    <w:p>
      <w:pPr>
        <w:pStyle w:val="BodyText"/>
        <w:tabs>
          <w:tab w:pos="1223" w:val="left" w:leader="none"/>
        </w:tabs>
        <w:spacing w:before="175"/>
        <w:ind w:left="880"/>
        <w:rPr>
          <w:rFonts w:ascii="Arial"/>
        </w:rPr>
      </w:pPr>
      <w:r>
        <w:rPr/>
        <w:pict>
          <v:rect style="position:absolute;margin-left:360pt;margin-top:18.129889pt;width:36pt;height:71.760pt;mso-position-horizontal-relative:page;mso-position-vertical-relative:paragraph;z-index:5896" filled="true" fillcolor="#0000ff" stroked="false">
            <v:fill type="solid"/>
            <w10:wrap type="none"/>
          </v:rect>
        </w:pict>
      </w:r>
      <w:r>
        <w:rPr/>
        <w:pict>
          <v:line style="position:absolute;mso-position-horizontal-relative:page;mso-position-vertical-relative:paragraph;z-index:-117592" from="420.23999pt,18.129889pt" to="420.23999pt,18.129889pt" stroked="true" strokeweight=".24pt" strokecolor="#000000">
            <v:stroke dashstyle="solid"/>
            <w10:wrap type="none"/>
          </v:line>
        </w:pict>
      </w:r>
      <w:r>
        <w:rPr/>
        <w:pict>
          <v:line style="position:absolute;mso-position-horizontal-relative:page;mso-position-vertical-relative:paragraph;z-index:-117568" from="426.720001pt,18.129889pt" to="426.720001pt,18.129889pt" stroked="true" strokeweight=".24pt" strokecolor="#000000">
            <v:stroke dashstyle="solid"/>
            <w10:wrap type="none"/>
          </v:line>
        </w:pict>
      </w:r>
      <w:r>
        <w:rPr/>
        <w:pict>
          <v:line style="position:absolute;mso-position-horizontal-relative:page;mso-position-vertical-relative:paragraph;z-index:-117544" from="433.200012pt,18.129889pt" to="433.200012pt,18.129889pt" stroked="true" strokeweight=".24pt" strokecolor="#000000">
            <v:stroke dashstyle="solid"/>
            <w10:wrap type="none"/>
          </v:line>
        </w:pict>
      </w:r>
      <w:r>
        <w:rPr/>
        <w:pict>
          <v:line style="position:absolute;mso-position-horizontal-relative:page;mso-position-vertical-relative:paragraph;z-index:-117520" from="439.679993pt,18.129889pt" to="439.679993pt,18.129889pt" stroked="true" strokeweight=".24pt" strokecolor="#000000">
            <v:stroke dashstyle="solid"/>
            <w10:wrap type="none"/>
          </v:line>
        </w:pict>
      </w:r>
      <w:r>
        <w:rPr/>
        <w:pict>
          <v:line style="position:absolute;mso-position-horizontal-relative:page;mso-position-vertical-relative:paragraph;z-index:-117496" from="446.160004pt,18.129889pt" to="446.160004pt,18.129889pt" stroked="true" strokeweight=".24pt" strokecolor="#000000">
            <v:stroke dashstyle="solid"/>
            <w10:wrap type="none"/>
          </v:line>
        </w:pict>
      </w:r>
      <w:r>
        <w:rPr/>
        <w:pict>
          <v:shape style="position:absolute;margin-left:124.800003pt;margin-top:.129888pt;width:291.6pt;height:91pt;mso-position-horizontal-relative:page;mso-position-vertical-relative:paragraph;z-index:640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63"/>
                    <w:gridCol w:w="1080"/>
                    <w:gridCol w:w="1080"/>
                    <w:gridCol w:w="1080"/>
                    <w:gridCol w:w="1257"/>
                  </w:tblGrid>
                  <w:tr>
                    <w:trPr>
                      <w:trHeight w:val="360" w:hRule="exact"/>
                    </w:trPr>
                    <w:tc>
                      <w:tcPr>
                        <w:tcW w:w="1263" w:type="dxa"/>
                        <w:tcBorders>
                          <w:bottom w:val="single" w:sz="2" w:space="0" w:color="000000"/>
                        </w:tcBorders>
                      </w:tcPr>
                      <w:p>
                        <w:pPr/>
                      </w:p>
                    </w:tc>
                    <w:tc>
                      <w:tcPr>
                        <w:tcW w:w="1080" w:type="dxa"/>
                        <w:tcBorders>
                          <w:bottom w:val="single" w:sz="2" w:space="0" w:color="000000"/>
                        </w:tcBorders>
                      </w:tcPr>
                      <w:p>
                        <w:pPr/>
                      </w:p>
                    </w:tc>
                    <w:tc>
                      <w:tcPr>
                        <w:tcW w:w="1080" w:type="dxa"/>
                        <w:tcBorders>
                          <w:bottom w:val="single" w:sz="2" w:space="0" w:color="000000"/>
                        </w:tcBorders>
                      </w:tcPr>
                      <w:p>
                        <w:pPr/>
                      </w:p>
                    </w:tc>
                    <w:tc>
                      <w:tcPr>
                        <w:tcW w:w="1080" w:type="dxa"/>
                        <w:tcBorders>
                          <w:bottom w:val="single" w:sz="2" w:space="0" w:color="000000"/>
                        </w:tcBorders>
                      </w:tcPr>
                      <w:p>
                        <w:pPr/>
                      </w:p>
                    </w:tc>
                    <w:tc>
                      <w:tcPr>
                        <w:tcW w:w="1257" w:type="dxa"/>
                        <w:tcBorders>
                          <w:bottom w:val="single" w:sz="2" w:space="0" w:color="000000"/>
                          <w:right w:val="single" w:sz="19" w:space="0" w:color="000000"/>
                        </w:tcBorders>
                      </w:tcPr>
                      <w:p>
                        <w:pPr>
                          <w:pStyle w:val="TableParagraph"/>
                          <w:spacing w:before="124"/>
                          <w:ind w:left="374"/>
                          <w:rPr>
                            <w:rFonts w:ascii="Arial"/>
                            <w:sz w:val="20"/>
                          </w:rPr>
                        </w:pPr>
                        <w:r>
                          <w:rPr>
                            <w:rFonts w:ascii="Arial"/>
                            <w:sz w:val="20"/>
                          </w:rPr>
                          <w:t>199</w:t>
                        </w:r>
                      </w:p>
                    </w:tc>
                  </w:tr>
                  <w:tr>
                    <w:trPr>
                      <w:trHeight w:val="360" w:hRule="exact"/>
                    </w:trPr>
                    <w:tc>
                      <w:tcPr>
                        <w:tcW w:w="5760" w:type="dxa"/>
                        <w:gridSpan w:val="5"/>
                        <w:tcBorders>
                          <w:top w:val="single" w:sz="2" w:space="0" w:color="000000"/>
                          <w:bottom w:val="single" w:sz="2" w:space="0" w:color="000000"/>
                          <w:right w:val="single" w:sz="19" w:space="0" w:color="000000"/>
                        </w:tcBorders>
                      </w:tcPr>
                      <w:p>
                        <w:pPr/>
                      </w:p>
                    </w:tc>
                  </w:tr>
                  <w:tr>
                    <w:trPr>
                      <w:trHeight w:val="360" w:hRule="exact"/>
                    </w:trPr>
                    <w:tc>
                      <w:tcPr>
                        <w:tcW w:w="1263" w:type="dxa"/>
                        <w:tcBorders>
                          <w:top w:val="single" w:sz="2" w:space="0" w:color="000000"/>
                          <w:bottom w:val="single" w:sz="2" w:space="0" w:color="000000"/>
                        </w:tcBorders>
                      </w:tcPr>
                      <w:p>
                        <w:pPr>
                          <w:pStyle w:val="TableParagraph"/>
                          <w:spacing w:before="79"/>
                          <w:ind w:left="556"/>
                          <w:rPr>
                            <w:rFonts w:ascii="Arial"/>
                            <w:sz w:val="20"/>
                          </w:rPr>
                        </w:pPr>
                        <w:r>
                          <w:rPr>
                            <w:rFonts w:ascii="Arial"/>
                            <w:sz w:val="20"/>
                          </w:rPr>
                          <w:t>106</w:t>
                        </w:r>
                      </w:p>
                    </w:tc>
                    <w:tc>
                      <w:tcPr>
                        <w:tcW w:w="1080" w:type="dxa"/>
                        <w:tcBorders>
                          <w:top w:val="single" w:sz="2" w:space="0" w:color="000000"/>
                          <w:bottom w:val="single" w:sz="2" w:space="0" w:color="000000"/>
                        </w:tcBorders>
                      </w:tcPr>
                      <w:p>
                        <w:pPr>
                          <w:pStyle w:val="TableParagraph"/>
                          <w:spacing w:line="218" w:lineRule="exact" w:before="0"/>
                          <w:ind w:left="353" w:right="353"/>
                          <w:jc w:val="center"/>
                          <w:rPr>
                            <w:rFonts w:ascii="Arial"/>
                            <w:sz w:val="20"/>
                          </w:rPr>
                        </w:pPr>
                        <w:r>
                          <w:rPr>
                            <w:rFonts w:ascii="Arial"/>
                            <w:sz w:val="20"/>
                          </w:rPr>
                          <w:t>124</w:t>
                        </w:r>
                      </w:p>
                    </w:tc>
                    <w:tc>
                      <w:tcPr>
                        <w:tcW w:w="1080" w:type="dxa"/>
                        <w:tcBorders>
                          <w:top w:val="single" w:sz="2" w:space="0" w:color="000000"/>
                          <w:bottom w:val="single" w:sz="2" w:space="0" w:color="000000"/>
                        </w:tcBorders>
                      </w:tcPr>
                      <w:p>
                        <w:pPr/>
                      </w:p>
                    </w:tc>
                    <w:tc>
                      <w:tcPr>
                        <w:tcW w:w="1080" w:type="dxa"/>
                        <w:tcBorders>
                          <w:top w:val="single" w:sz="2" w:space="0" w:color="000000"/>
                          <w:bottom w:val="single" w:sz="2" w:space="0" w:color="000000"/>
                        </w:tcBorders>
                      </w:tcPr>
                      <w:p>
                        <w:pPr/>
                      </w:p>
                    </w:tc>
                    <w:tc>
                      <w:tcPr>
                        <w:tcW w:w="1257" w:type="dxa"/>
                        <w:tcBorders>
                          <w:top w:val="single" w:sz="2" w:space="0" w:color="000000"/>
                          <w:bottom w:val="single" w:sz="2" w:space="0" w:color="000000"/>
                          <w:right w:val="single" w:sz="19" w:space="0" w:color="000000"/>
                        </w:tcBorders>
                      </w:tcPr>
                      <w:p>
                        <w:pPr/>
                      </w:p>
                    </w:tc>
                  </w:tr>
                  <w:tr>
                    <w:trPr>
                      <w:trHeight w:val="355" w:hRule="exact"/>
                    </w:trPr>
                    <w:tc>
                      <w:tcPr>
                        <w:tcW w:w="5760" w:type="dxa"/>
                        <w:gridSpan w:val="5"/>
                        <w:tcBorders>
                          <w:top w:val="single" w:sz="2" w:space="0" w:color="000000"/>
                          <w:bottom w:val="single" w:sz="2" w:space="0" w:color="000000"/>
                          <w:right w:val="single" w:sz="19" w:space="0" w:color="000000"/>
                        </w:tcBorders>
                      </w:tcPr>
                      <w:p>
                        <w:pPr/>
                      </w:p>
                    </w:tc>
                  </w:tr>
                  <w:tr>
                    <w:trPr>
                      <w:trHeight w:val="360" w:hRule="exact"/>
                    </w:trPr>
                    <w:tc>
                      <w:tcPr>
                        <w:tcW w:w="5760" w:type="dxa"/>
                        <w:gridSpan w:val="5"/>
                        <w:tcBorders>
                          <w:top w:val="single" w:sz="2" w:space="0" w:color="000000"/>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ab/>
        <w:t>200</w:t>
      </w:r>
    </w:p>
    <w:p>
      <w:pPr>
        <w:pStyle w:val="BodyText"/>
        <w:tabs>
          <w:tab w:pos="1223" w:val="left" w:leader="none"/>
        </w:tabs>
        <w:spacing w:before="129"/>
        <w:ind w:left="880"/>
        <w:rPr>
          <w:rFonts w:ascii="Arial"/>
        </w:rPr>
      </w:pPr>
      <w:r>
        <w:rPr/>
        <w:pict>
          <v:line style="position:absolute;mso-position-horizontal-relative:page;mso-position-vertical-relative:paragraph;z-index:-117712" from="420.23999pt,15.829888pt" to="420.23999pt,15.829888pt" stroked="true" strokeweight=".24pt" strokecolor="#000000">
            <v:stroke dashstyle="solid"/>
            <w10:wrap type="none"/>
          </v:line>
        </w:pict>
      </w:r>
      <w:r>
        <w:rPr/>
        <w:pict>
          <v:line style="position:absolute;mso-position-horizontal-relative:page;mso-position-vertical-relative:paragraph;z-index:-117688" from="426.720001pt,15.829888pt" to="426.720001pt,15.829888pt" stroked="true" strokeweight=".24pt" strokecolor="#000000">
            <v:stroke dashstyle="solid"/>
            <w10:wrap type="none"/>
          </v:line>
        </w:pict>
      </w:r>
      <w:r>
        <w:rPr/>
        <w:pict>
          <v:line style="position:absolute;mso-position-horizontal-relative:page;mso-position-vertical-relative:paragraph;z-index:-117664" from="433.200012pt,15.829888pt" to="433.200012pt,15.829888pt" stroked="true" strokeweight=".24pt" strokecolor="#000000">
            <v:stroke dashstyle="solid"/>
            <w10:wrap type="none"/>
          </v:line>
        </w:pict>
      </w:r>
      <w:r>
        <w:rPr/>
        <w:pict>
          <v:line style="position:absolute;mso-position-horizontal-relative:page;mso-position-vertical-relative:paragraph;z-index:-117640" from="439.679993pt,15.829888pt" to="439.679993pt,15.829888pt" stroked="true" strokeweight=".24pt" strokecolor="#000000">
            <v:stroke dashstyle="solid"/>
            <w10:wrap type="none"/>
          </v:line>
        </w:pict>
      </w:r>
      <w:r>
        <w:rPr/>
        <w:pict>
          <v:line style="position:absolute;mso-position-horizontal-relative:page;mso-position-vertical-relative:paragraph;z-index:-117616" from="446.160004pt,15.829888pt" to="446.160004pt,15.829888pt" stroked="true" strokeweight=".24pt" strokecolor="#000000">
            <v:stroke dashstyle="solid"/>
            <w10:wrap type="none"/>
          </v:line>
        </w:pict>
      </w:r>
      <w:r>
        <w:rPr>
          <w:rFonts w:ascii="Arial"/>
          <w:w w:val="100"/>
          <w:u w:val="single"/>
        </w:rPr>
        <w:t> </w:t>
      </w:r>
      <w:r>
        <w:rPr>
          <w:rFonts w:ascii="Arial"/>
          <w:u w:val="single"/>
        </w:rPr>
        <w:tab/>
        <w:t>150</w:t>
      </w:r>
    </w:p>
    <w:p>
      <w:pPr>
        <w:pStyle w:val="BodyText"/>
        <w:tabs>
          <w:tab w:pos="1223" w:val="left" w:leader="none"/>
        </w:tabs>
        <w:spacing w:before="129"/>
        <w:ind w:left="880"/>
        <w:rPr>
          <w:rFonts w:ascii="Arial"/>
        </w:rPr>
      </w:pPr>
      <w:r>
        <w:rPr/>
        <w:pict>
          <v:line style="position:absolute;mso-position-horizontal-relative:page;mso-position-vertical-relative:paragraph;z-index:-117832" from="420.23999pt,15.829888pt" to="420.23999pt,15.829888pt" stroked="true" strokeweight=".24pt" strokecolor="#000000">
            <v:stroke dashstyle="solid"/>
            <w10:wrap type="none"/>
          </v:line>
        </w:pict>
      </w:r>
      <w:r>
        <w:rPr/>
        <w:pict>
          <v:line style="position:absolute;mso-position-horizontal-relative:page;mso-position-vertical-relative:paragraph;z-index:-117808" from="426.720001pt,15.829888pt" to="426.720001pt,15.829888pt" stroked="true" strokeweight=".24pt" strokecolor="#000000">
            <v:stroke dashstyle="solid"/>
            <w10:wrap type="none"/>
          </v:line>
        </w:pict>
      </w:r>
      <w:r>
        <w:rPr/>
        <w:pict>
          <v:line style="position:absolute;mso-position-horizontal-relative:page;mso-position-vertical-relative:paragraph;z-index:-117784" from="433.200012pt,15.829888pt" to="433.200012pt,15.829888pt" stroked="true" strokeweight=".24pt" strokecolor="#000000">
            <v:stroke dashstyle="solid"/>
            <w10:wrap type="none"/>
          </v:line>
        </w:pict>
      </w:r>
      <w:r>
        <w:rPr/>
        <w:pict>
          <v:line style="position:absolute;mso-position-horizontal-relative:page;mso-position-vertical-relative:paragraph;z-index:-117760" from="439.679993pt,15.829888pt" to="439.679993pt,15.829888pt" stroked="true" strokeweight=".24pt" strokecolor="#000000">
            <v:stroke dashstyle="solid"/>
            <w10:wrap type="none"/>
          </v:line>
        </w:pict>
      </w:r>
      <w:r>
        <w:rPr/>
        <w:pict>
          <v:line style="position:absolute;mso-position-horizontal-relative:page;mso-position-vertical-relative:paragraph;z-index:-117736" from="446.160004pt,15.829888pt" to="446.160004pt,15.829888pt" stroked="true" strokeweight=".24pt" strokecolor="#000000">
            <v:stroke dashstyle="solid"/>
            <w10:wrap type="none"/>
          </v:line>
        </w:pict>
      </w:r>
      <w:r>
        <w:rPr>
          <w:rFonts w:ascii="Arial"/>
          <w:w w:val="100"/>
          <w:u w:val="single"/>
        </w:rPr>
        <w:t> </w:t>
      </w:r>
      <w:r>
        <w:rPr>
          <w:rFonts w:ascii="Arial"/>
          <w:u w:val="single"/>
        </w:rPr>
        <w:tab/>
        <w:t>100</w:t>
      </w:r>
    </w:p>
    <w:p>
      <w:pPr>
        <w:pStyle w:val="BodyText"/>
        <w:tabs>
          <w:tab w:pos="1333" w:val="left" w:leader="none"/>
        </w:tabs>
        <w:spacing w:before="124"/>
        <w:ind w:left="880"/>
        <w:rPr>
          <w:rFonts w:ascii="Arial"/>
        </w:rPr>
      </w:pPr>
      <w:r>
        <w:rPr/>
        <w:pict>
          <v:line style="position:absolute;mso-position-horizontal-relative:page;mso-position-vertical-relative:paragraph;z-index:-117952" from="420.23999pt,15.579879pt" to="420.23999pt,15.579879pt" stroked="true" strokeweight=".24pt" strokecolor="#000000">
            <v:stroke dashstyle="solid"/>
            <w10:wrap type="none"/>
          </v:line>
        </w:pict>
      </w:r>
      <w:r>
        <w:rPr/>
        <w:pict>
          <v:line style="position:absolute;mso-position-horizontal-relative:page;mso-position-vertical-relative:paragraph;z-index:-117928" from="426.720001pt,15.579879pt" to="426.720001pt,15.579879pt" stroked="true" strokeweight=".24pt" strokecolor="#000000">
            <v:stroke dashstyle="solid"/>
            <w10:wrap type="none"/>
          </v:line>
        </w:pict>
      </w:r>
      <w:r>
        <w:rPr/>
        <w:pict>
          <v:line style="position:absolute;mso-position-horizontal-relative:page;mso-position-vertical-relative:paragraph;z-index:-117904" from="433.200012pt,15.579879pt" to="433.200012pt,15.579879pt" stroked="true" strokeweight=".24pt" strokecolor="#000000">
            <v:stroke dashstyle="solid"/>
            <w10:wrap type="none"/>
          </v:line>
        </w:pict>
      </w:r>
      <w:r>
        <w:rPr/>
        <w:pict>
          <v:line style="position:absolute;mso-position-horizontal-relative:page;mso-position-vertical-relative:paragraph;z-index:-117880" from="439.679993pt,15.579879pt" to="439.679993pt,15.579879pt" stroked="true" strokeweight=".24pt" strokecolor="#000000">
            <v:stroke dashstyle="solid"/>
            <w10:wrap type="none"/>
          </v:line>
        </w:pict>
      </w:r>
      <w:r>
        <w:rPr/>
        <w:pict>
          <v:line style="position:absolute;mso-position-horizontal-relative:page;mso-position-vertical-relative:paragraph;z-index:-117856" from="446.160004pt,15.579879pt" to="446.160004pt,15.579879pt" stroked="true" strokeweight=".24pt" strokecolor="#000000">
            <v:stroke dashstyle="solid"/>
            <w10:wrap type="none"/>
          </v:line>
        </w:pict>
      </w:r>
      <w:r>
        <w:rPr>
          <w:rFonts w:ascii="Arial"/>
          <w:w w:val="100"/>
          <w:u w:val="single"/>
        </w:rPr>
        <w:t> </w:t>
      </w:r>
      <w:r>
        <w:rPr>
          <w:rFonts w:ascii="Arial"/>
          <w:u w:val="single"/>
        </w:rPr>
        <w:tab/>
        <w:t>50</w:t>
      </w:r>
    </w:p>
    <w:p>
      <w:pPr>
        <w:spacing w:after="0"/>
        <w:rPr>
          <w:rFonts w:ascii="Arial"/>
        </w:rPr>
        <w:sectPr>
          <w:type w:val="continuous"/>
          <w:pgSz w:w="12240" w:h="15840"/>
          <w:pgMar w:top="1420" w:bottom="280" w:left="1640" w:right="920"/>
          <w:cols w:num="2" w:equalWidth="0">
            <w:col w:w="1810" w:space="3993"/>
            <w:col w:w="3877"/>
          </w:cols>
        </w:sectPr>
      </w:pPr>
    </w:p>
    <w:p>
      <w:pPr>
        <w:pStyle w:val="BodyText"/>
        <w:spacing w:before="10"/>
        <w:rPr>
          <w:rFonts w:ascii="Arial"/>
          <w:sz w:val="26"/>
        </w:rPr>
      </w:pPr>
    </w:p>
    <w:p>
      <w:pPr>
        <w:spacing w:after="0"/>
        <w:rPr>
          <w:rFonts w:ascii="Arial"/>
          <w:sz w:val="26"/>
        </w:rPr>
        <w:sectPr>
          <w:type w:val="continuous"/>
          <w:pgSz w:w="12240" w:h="15840"/>
          <w:pgMar w:top="1420" w:bottom="280" w:left="1640" w:right="920"/>
        </w:sectPr>
      </w:pPr>
    </w:p>
    <w:p>
      <w:pPr>
        <w:pStyle w:val="BodyText"/>
        <w:spacing w:before="94"/>
        <w:jc w:val="right"/>
        <w:rPr>
          <w:rFonts w:ascii="Arial"/>
        </w:rPr>
      </w:pPr>
      <w:r>
        <w:rPr/>
        <w:pict>
          <v:rect style="position:absolute;margin-left:144pt;margin-top:-37.760113pt;width:36pt;height:38.160pt;mso-position-horizontal-relative:page;mso-position-vertical-relative:paragraph;z-index:5800" filled="true" fillcolor="#ff6600" stroked="false">
            <v:fill type="solid"/>
            <w10:wrap type="none"/>
          </v:rect>
        </w:pict>
      </w:r>
      <w:r>
        <w:rPr/>
        <w:pict>
          <v:rect style="position:absolute;margin-left:198pt;margin-top:-42.320114pt;width:36pt;height:42.72pt;mso-position-horizontal-relative:page;mso-position-vertical-relative:paragraph;z-index:5824" filled="true" fillcolor="#ff00ff" stroked="false">
            <v:fill type="solid"/>
            <w10:wrap type="none"/>
          </v:rect>
        </w:pict>
      </w:r>
      <w:r>
        <w:rPr/>
        <w:pict>
          <v:rect style="position:absolute;margin-left:252pt;margin-top:-49.040115pt;width:36pt;height:49.44pt;mso-position-horizontal-relative:page;mso-position-vertical-relative:paragraph;z-index:5848" filled="true" fillcolor="#ff0000" stroked="false">
            <v:fill type="solid"/>
            <w10:wrap type="none"/>
          </v:rect>
        </w:pict>
      </w:r>
      <w:r>
        <w:rPr/>
        <w:pict>
          <v:rect style="position:absolute;margin-left:306pt;margin-top:-64.640114pt;width:36pt;height:65.040000pt;mso-position-horizontal-relative:page;mso-position-vertical-relative:paragraph;z-index:5872" filled="true" fillcolor="#00ff00" stroked="false">
            <v:fill type="solid"/>
            <w10:wrap type="none"/>
          </v:rect>
        </w:pict>
      </w: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rPr>
          <w:rFonts w:ascii="Arial"/>
        </w:rPr>
      </w:pPr>
    </w:p>
    <w:p>
      <w:pPr>
        <w:pStyle w:val="BodyText"/>
        <w:spacing w:before="2"/>
        <w:rPr>
          <w:rFonts w:ascii="Arial"/>
          <w:sz w:val="22"/>
        </w:rPr>
      </w:pPr>
    </w:p>
    <w:p>
      <w:pPr>
        <w:pStyle w:val="BodyText"/>
        <w:spacing w:line="249" w:lineRule="auto"/>
        <w:ind w:left="880" w:right="188"/>
      </w:pPr>
      <w:r>
        <w:rPr/>
        <w:t>Southwest was specifically built to meet the needs of our shorthaul Customers, and it works. In 1994, we won the Triple Crown for Customer Service for the third consecutive year— best ontime performance; best baggage handling; and highest Customer Satisfaction of any major U.S. airline. No other airline has won the Triple Crown for even a single month.</w:t>
      </w:r>
    </w:p>
    <w:p>
      <w:pPr>
        <w:pStyle w:val="BodyText"/>
        <w:spacing w:line="249" w:lineRule="auto" w:before="121"/>
        <w:ind w:left="880" w:right="167"/>
      </w:pPr>
      <w:r>
        <w:rPr/>
        <w:t>Our superb, consistent ontime performance record results from a combination of efficient aircraft scheduling; careful selection of airports served; and quick and efficient ticketing and boarding procedures.</w:t>
      </w:r>
    </w:p>
    <w:p>
      <w:pPr>
        <w:pStyle w:val="BodyText"/>
        <w:spacing w:line="249" w:lineRule="auto" w:before="121"/>
        <w:ind w:left="880" w:right="237"/>
      </w:pPr>
      <w:r>
        <w:rPr/>
        <w:t>Our superior baggage handling is achieved despite our quick aircraft turns at the gate. In addition, this record has been compiled at a time when Southwest is carrying record and ever-increasing amounts of cargo and U.S. mail. Our streamlined approach to shorthaul flights, coupled with the caring and dedicated attitudes of our Ground Operations Employees, enables us to control and handle our Customers’ baggage efficiently with minimal loss.</w:t>
      </w:r>
    </w:p>
    <w:p>
      <w:pPr>
        <w:pStyle w:val="BodyText"/>
        <w:spacing w:line="249" w:lineRule="auto" w:before="121"/>
        <w:ind w:left="880" w:right="269"/>
      </w:pPr>
      <w:r>
        <w:rPr/>
        <w:t>Our </w:t>
      </w:r>
      <w:r>
        <w:rPr>
          <w:spacing w:val="4"/>
        </w:rPr>
        <w:t>outstanding </w:t>
      </w:r>
      <w:r>
        <w:rPr/>
        <w:t>Customer Satisfaction rating is earned from a variety </w:t>
      </w:r>
      <w:r>
        <w:rPr>
          <w:spacing w:val="2"/>
        </w:rPr>
        <w:t>of </w:t>
      </w:r>
      <w:r>
        <w:rPr/>
        <w:t>factors, including frequent, convenient flights; dependably low fares; a generous Company Club program that rewards frequent flyers with free trips; confirmed but </w:t>
      </w:r>
      <w:r>
        <w:rPr>
          <w:spacing w:val="3"/>
        </w:rPr>
        <w:t>open </w:t>
      </w:r>
      <w:r>
        <w:rPr/>
        <w:t>seating; superior beverage service without the need for a meal as </w:t>
      </w:r>
      <w:r>
        <w:rPr>
          <w:spacing w:val="2"/>
        </w:rPr>
        <w:t>the </w:t>
      </w:r>
      <w:r>
        <w:rPr/>
        <w:t>flights are </w:t>
      </w:r>
      <w:r>
        <w:rPr>
          <w:spacing w:val="2"/>
        </w:rPr>
        <w:t>short; but, </w:t>
      </w:r>
      <w:r>
        <w:rPr/>
        <w:t>most </w:t>
      </w:r>
      <w:r>
        <w:rPr>
          <w:spacing w:val="2"/>
        </w:rPr>
        <w:t>of </w:t>
      </w:r>
      <w:r>
        <w:rPr/>
        <w:t>all, </w:t>
      </w:r>
      <w:r>
        <w:rPr>
          <w:spacing w:val="2"/>
        </w:rPr>
        <w:t>the </w:t>
      </w:r>
      <w:r>
        <w:rPr/>
        <w:t>friendly, caring, and enthusiastic service delivered by </w:t>
      </w:r>
      <w:r>
        <w:rPr>
          <w:spacing w:val="3"/>
        </w:rPr>
        <w:t>our </w:t>
      </w:r>
      <w:r>
        <w:rPr/>
        <w:t>Employees.</w:t>
      </w:r>
    </w:p>
    <w:p>
      <w:pPr>
        <w:pStyle w:val="BodyText"/>
        <w:spacing w:line="249" w:lineRule="auto" w:before="121"/>
        <w:ind w:left="880" w:right="167"/>
      </w:pPr>
      <w:r>
        <w:rPr/>
        <w:t>We also received in 1994 the top ranking in the annual Airline Quality Rating report for 1993, a joint product of the University of Nebraska at Omaha’s Aviation Institute, the National Institute for Aviation Research, and the W. Frank Barton School of Business at Wichita State University.</w:t>
      </w:r>
    </w:p>
    <w:p>
      <w:pPr>
        <w:pStyle w:val="BodyText"/>
        <w:spacing w:line="249" w:lineRule="auto" w:before="121"/>
        <w:ind w:left="880" w:right="412" w:hanging="1"/>
      </w:pPr>
      <w:r>
        <w:rPr/>
        <w:t>While the amenities may be “low frills,” our Triple Crown Customer Service rankings attest to the fact that we deliver what the Customer wants in shorthaul  markets.</w:t>
      </w:r>
    </w:p>
    <w:p>
      <w:pPr>
        <w:pStyle w:val="BodyText"/>
        <w:spacing w:before="10"/>
      </w:pPr>
    </w:p>
    <w:p>
      <w:pPr>
        <w:pStyle w:val="Heading2"/>
      </w:pPr>
      <w:r>
        <w:rPr/>
        <w:t>Department of Transportation Rankings for 1994</w:t>
      </w:r>
    </w:p>
    <w:p>
      <w:pPr>
        <w:pStyle w:val="BodyText"/>
        <w:spacing w:before="10"/>
        <w:rPr>
          <w:rFonts w:ascii="Arial"/>
          <w:b/>
          <w:sz w:val="10"/>
        </w:rPr>
      </w:pPr>
    </w:p>
    <w:tbl>
      <w:tblPr>
        <w:tblW w:w="0" w:type="auto"/>
        <w:jc w:val="left"/>
        <w:tblInd w:w="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49"/>
        <w:gridCol w:w="1440"/>
        <w:gridCol w:w="1440"/>
        <w:gridCol w:w="1534"/>
      </w:tblGrid>
      <w:tr>
        <w:trPr>
          <w:trHeight w:val="516" w:hRule="exact"/>
        </w:trPr>
        <w:tc>
          <w:tcPr>
            <w:tcW w:w="2249" w:type="dxa"/>
            <w:tcBorders>
              <w:bottom w:val="single" w:sz="6" w:space="0" w:color="FFFF00"/>
              <w:right w:val="single" w:sz="6" w:space="0" w:color="FFFF00"/>
            </w:tcBorders>
          </w:tcPr>
          <w:p>
            <w:pPr>
              <w:pStyle w:val="TableParagraph"/>
              <w:spacing w:before="7"/>
              <w:rPr>
                <w:rFonts w:ascii="Arial"/>
                <w:b/>
                <w:sz w:val="23"/>
              </w:rPr>
            </w:pPr>
          </w:p>
          <w:p>
            <w:pPr>
              <w:pStyle w:val="TableParagraph"/>
              <w:spacing w:before="1"/>
              <w:ind w:left="871" w:right="870"/>
              <w:jc w:val="center"/>
              <w:rPr>
                <w:rFonts w:ascii="Arial"/>
                <w:sz w:val="16"/>
              </w:rPr>
            </w:pPr>
            <w:r>
              <w:rPr>
                <w:rFonts w:ascii="Arial"/>
                <w:sz w:val="16"/>
              </w:rPr>
              <w:t>Airline</w:t>
            </w:r>
          </w:p>
        </w:tc>
        <w:tc>
          <w:tcPr>
            <w:tcW w:w="1440" w:type="dxa"/>
            <w:tcBorders>
              <w:left w:val="single" w:sz="6" w:space="0" w:color="FFFF00"/>
              <w:bottom w:val="single" w:sz="6" w:space="0" w:color="FFFF00"/>
              <w:right w:val="single" w:sz="6" w:space="0" w:color="FFFF00"/>
            </w:tcBorders>
          </w:tcPr>
          <w:p>
            <w:pPr>
              <w:pStyle w:val="TableParagraph"/>
              <w:spacing w:line="244" w:lineRule="auto" w:before="85"/>
              <w:ind w:left="268" w:firstLine="192"/>
              <w:rPr>
                <w:rFonts w:ascii="Arial"/>
                <w:sz w:val="16"/>
              </w:rPr>
            </w:pPr>
            <w:r>
              <w:rPr>
                <w:rFonts w:ascii="Arial"/>
                <w:sz w:val="16"/>
              </w:rPr>
              <w:t>Ontime </w:t>
            </w:r>
            <w:r>
              <w:rPr>
                <w:rFonts w:ascii="Arial"/>
                <w:w w:val="95"/>
                <w:sz w:val="16"/>
              </w:rPr>
              <w:t>Performance</w:t>
            </w:r>
          </w:p>
        </w:tc>
        <w:tc>
          <w:tcPr>
            <w:tcW w:w="1440" w:type="dxa"/>
            <w:tcBorders>
              <w:left w:val="single" w:sz="6" w:space="0" w:color="FFFF00"/>
              <w:bottom w:val="single" w:sz="6" w:space="0" w:color="FFFF00"/>
              <w:right w:val="single" w:sz="6" w:space="0" w:color="FFFF00"/>
            </w:tcBorders>
          </w:tcPr>
          <w:p>
            <w:pPr>
              <w:pStyle w:val="TableParagraph"/>
              <w:spacing w:line="244" w:lineRule="auto" w:before="85"/>
              <w:ind w:left="407"/>
              <w:rPr>
                <w:rFonts w:ascii="Arial"/>
                <w:sz w:val="16"/>
              </w:rPr>
            </w:pPr>
            <w:r>
              <w:rPr>
                <w:rFonts w:ascii="Arial"/>
                <w:w w:val="95"/>
                <w:sz w:val="16"/>
              </w:rPr>
              <w:t>Baggage </w:t>
            </w:r>
            <w:r>
              <w:rPr>
                <w:rFonts w:ascii="Arial"/>
                <w:sz w:val="16"/>
              </w:rPr>
              <w:t>Handling</w:t>
            </w:r>
          </w:p>
        </w:tc>
        <w:tc>
          <w:tcPr>
            <w:tcW w:w="1534" w:type="dxa"/>
            <w:tcBorders>
              <w:left w:val="single" w:sz="6" w:space="0" w:color="FFFF00"/>
              <w:bottom w:val="single" w:sz="6" w:space="0" w:color="FFFF00"/>
            </w:tcBorders>
          </w:tcPr>
          <w:p>
            <w:pPr>
              <w:pStyle w:val="TableParagraph"/>
              <w:spacing w:line="244" w:lineRule="auto" w:before="85"/>
              <w:ind w:left="355" w:right="351" w:firstLine="67"/>
              <w:rPr>
                <w:rFonts w:ascii="Arial"/>
                <w:sz w:val="16"/>
              </w:rPr>
            </w:pPr>
            <w:r>
              <w:rPr>
                <w:rFonts w:ascii="Arial"/>
                <w:sz w:val="16"/>
              </w:rPr>
              <w:t>Customer </w:t>
            </w:r>
            <w:r>
              <w:rPr>
                <w:rFonts w:ascii="Arial"/>
                <w:w w:val="95"/>
                <w:sz w:val="16"/>
              </w:rPr>
              <w:t>Satisfaction</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Southwest</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1</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1</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1</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Northwest</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2</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9</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4</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Alaska</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5</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3</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United</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6</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6</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American</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5</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3</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5</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America West</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6</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2</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8</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Delta</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7</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4</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2</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TWA</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8</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7</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9</w:t>
            </w:r>
          </w:p>
        </w:tc>
      </w:tr>
      <w:tr>
        <w:trPr>
          <w:trHeight w:val="331" w:hRule="exact"/>
        </w:trPr>
        <w:tc>
          <w:tcPr>
            <w:tcW w:w="2249" w:type="dxa"/>
            <w:tcBorders>
              <w:top w:val="single" w:sz="6" w:space="0" w:color="FFFF00"/>
              <w:bottom w:val="single" w:sz="6" w:space="0" w:color="FFFF00"/>
              <w:right w:val="single" w:sz="6" w:space="0" w:color="FFFF00"/>
            </w:tcBorders>
          </w:tcPr>
          <w:p>
            <w:pPr>
              <w:pStyle w:val="TableParagraph"/>
              <w:spacing w:before="43"/>
              <w:ind w:left="110"/>
              <w:rPr>
                <w:sz w:val="20"/>
              </w:rPr>
            </w:pPr>
            <w:r>
              <w:rPr>
                <w:sz w:val="20"/>
              </w:rPr>
              <w:t>USAir</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9</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spacing w:before="43"/>
              <w:ind w:left="96"/>
              <w:jc w:val="center"/>
              <w:rPr>
                <w:sz w:val="20"/>
              </w:rPr>
            </w:pPr>
            <w:r>
              <w:rPr>
                <w:w w:val="100"/>
                <w:sz w:val="20"/>
              </w:rPr>
              <w:t>8</w:t>
            </w:r>
          </w:p>
        </w:tc>
        <w:tc>
          <w:tcPr>
            <w:tcW w:w="1534" w:type="dxa"/>
            <w:tcBorders>
              <w:top w:val="single" w:sz="6" w:space="0" w:color="FFFF00"/>
              <w:left w:val="single" w:sz="6" w:space="0" w:color="FFFF00"/>
              <w:bottom w:val="single" w:sz="6" w:space="0" w:color="FFFF00"/>
            </w:tcBorders>
          </w:tcPr>
          <w:p>
            <w:pPr>
              <w:pStyle w:val="TableParagraph"/>
              <w:spacing w:before="43"/>
              <w:ind w:left="758"/>
              <w:rPr>
                <w:sz w:val="20"/>
              </w:rPr>
            </w:pPr>
            <w:r>
              <w:rPr>
                <w:w w:val="100"/>
                <w:sz w:val="20"/>
              </w:rPr>
              <w:t>7</w:t>
            </w:r>
          </w:p>
        </w:tc>
      </w:tr>
      <w:tr>
        <w:trPr>
          <w:trHeight w:val="338" w:hRule="exact"/>
        </w:trPr>
        <w:tc>
          <w:tcPr>
            <w:tcW w:w="2249" w:type="dxa"/>
            <w:tcBorders>
              <w:top w:val="single" w:sz="6" w:space="0" w:color="FFFF00"/>
              <w:right w:val="single" w:sz="6" w:space="0" w:color="FFFF00"/>
            </w:tcBorders>
          </w:tcPr>
          <w:p>
            <w:pPr>
              <w:pStyle w:val="TableParagraph"/>
              <w:spacing w:before="43"/>
              <w:ind w:left="110"/>
              <w:rPr>
                <w:sz w:val="20"/>
              </w:rPr>
            </w:pPr>
            <w:r>
              <w:rPr>
                <w:sz w:val="20"/>
              </w:rPr>
              <w:t>Continental</w:t>
            </w:r>
          </w:p>
        </w:tc>
        <w:tc>
          <w:tcPr>
            <w:tcW w:w="1440" w:type="dxa"/>
            <w:tcBorders>
              <w:top w:val="single" w:sz="6" w:space="0" w:color="FFFF00"/>
              <w:left w:val="single" w:sz="6" w:space="0" w:color="FFFF00"/>
              <w:right w:val="single" w:sz="6" w:space="0" w:color="FFFF00"/>
            </w:tcBorders>
          </w:tcPr>
          <w:p>
            <w:pPr>
              <w:pStyle w:val="TableParagraph"/>
              <w:spacing w:before="43"/>
              <w:ind w:left="189" w:right="89"/>
              <w:jc w:val="center"/>
              <w:rPr>
                <w:sz w:val="20"/>
              </w:rPr>
            </w:pPr>
            <w:r>
              <w:rPr>
                <w:sz w:val="20"/>
              </w:rPr>
              <w:t>10</w:t>
            </w:r>
          </w:p>
        </w:tc>
        <w:tc>
          <w:tcPr>
            <w:tcW w:w="1440" w:type="dxa"/>
            <w:tcBorders>
              <w:top w:val="single" w:sz="6" w:space="0" w:color="FFFF00"/>
              <w:left w:val="single" w:sz="6" w:space="0" w:color="FFFF00"/>
              <w:right w:val="single" w:sz="6" w:space="0" w:color="FFFF00"/>
            </w:tcBorders>
          </w:tcPr>
          <w:p>
            <w:pPr>
              <w:pStyle w:val="TableParagraph"/>
              <w:spacing w:before="43"/>
              <w:ind w:left="189" w:right="89"/>
              <w:jc w:val="center"/>
              <w:rPr>
                <w:sz w:val="20"/>
              </w:rPr>
            </w:pPr>
            <w:r>
              <w:rPr>
                <w:sz w:val="20"/>
              </w:rPr>
              <w:t>10</w:t>
            </w:r>
          </w:p>
        </w:tc>
        <w:tc>
          <w:tcPr>
            <w:tcW w:w="1534" w:type="dxa"/>
            <w:tcBorders>
              <w:top w:val="single" w:sz="6" w:space="0" w:color="FFFF00"/>
              <w:left w:val="single" w:sz="6" w:space="0" w:color="FFFF00"/>
            </w:tcBorders>
          </w:tcPr>
          <w:p>
            <w:pPr>
              <w:pStyle w:val="TableParagraph"/>
              <w:spacing w:before="43"/>
              <w:ind w:left="705"/>
              <w:rPr>
                <w:sz w:val="20"/>
              </w:rPr>
            </w:pPr>
            <w:r>
              <w:rPr>
                <w:sz w:val="20"/>
              </w:rPr>
              <w:t>10</w:t>
            </w:r>
          </w:p>
        </w:tc>
      </w:tr>
    </w:tbl>
    <w:p>
      <w:pPr>
        <w:spacing w:after="0"/>
        <w:rPr>
          <w:sz w:val="20"/>
        </w:rPr>
        <w:sectPr>
          <w:headerReference w:type="default" r:id="rId20"/>
          <w:pgSz w:w="12240" w:h="15840"/>
          <w:pgMar w:header="725" w:footer="746" w:top="2020" w:bottom="940" w:left="1640" w:right="920"/>
        </w:sectPr>
      </w:pPr>
    </w:p>
    <w:p>
      <w:pPr>
        <w:pStyle w:val="BodyText"/>
        <w:rPr>
          <w:rFonts w:ascii="Arial"/>
          <w:b/>
        </w:rPr>
      </w:pPr>
    </w:p>
    <w:p>
      <w:pPr>
        <w:pStyle w:val="BodyText"/>
        <w:spacing w:before="9"/>
        <w:rPr>
          <w:rFonts w:ascii="Arial"/>
          <w:b/>
          <w:sz w:val="24"/>
        </w:rPr>
      </w:pPr>
    </w:p>
    <w:p>
      <w:pPr>
        <w:pStyle w:val="Heading1"/>
      </w:pPr>
      <w:r>
        <w:rPr/>
        <w:pict>
          <v:line style="position:absolute;mso-position-horizontal-relative:page;mso-position-vertical-relative:paragraph;z-index:6424;mso-wrap-distance-left:0;mso-wrap-distance-right:0" from="88.559998pt,27.763792pt" to="559.439998pt,27.763792pt" stroked="true" strokeweight="1.44pt" strokecolor="#000000">
            <v:stroke dashstyle="solid"/>
            <w10:wrap type="topAndBottom"/>
          </v:line>
        </w:pict>
      </w:r>
      <w:bookmarkStart w:name="_TOC_250012" w:id="9"/>
      <w:bookmarkEnd w:id="9"/>
      <w:r>
        <w:rPr/>
        <w:t>Spirit</w:t>
      </w:r>
    </w:p>
    <w:p>
      <w:pPr>
        <w:pStyle w:val="BodyText"/>
        <w:rPr>
          <w:rFonts w:ascii="Arial"/>
        </w:rPr>
      </w:pPr>
    </w:p>
    <w:p>
      <w:pPr>
        <w:pStyle w:val="BodyText"/>
        <w:spacing w:before="7"/>
        <w:rPr>
          <w:rFonts w:ascii="Arial"/>
          <w:sz w:val="19"/>
        </w:rPr>
      </w:pPr>
    </w:p>
    <w:p>
      <w:pPr>
        <w:pStyle w:val="BodyText"/>
        <w:spacing w:line="249" w:lineRule="auto"/>
        <w:ind w:left="880" w:right="167"/>
      </w:pPr>
      <w:r>
        <w:rPr/>
        <w:t>A multitude of challenges faced the People of Southwest Airlines in 1994. The mark of a true champion is the ability to “rise to the occasion” and meet challenges. We believe our Employees showed their true Southwest Spirit in 1994, accomplishing three- or four-fold what a normal year would  bring.</w:t>
      </w:r>
    </w:p>
    <w:p>
      <w:pPr>
        <w:pStyle w:val="BodyText"/>
        <w:spacing w:line="249" w:lineRule="auto" w:before="120"/>
        <w:ind w:left="880" w:right="269"/>
      </w:pPr>
      <w:r>
        <w:rPr/>
        <w:t>First, Morris Air was acquired in December 1993. By October, an unprecedented seven new cities had been converted from Morris to the Southwest route system. Morris’ Utah Reservation Center was converted to Southwest in October. All 21 Morris aircraft have either been acquired by Southwest or secured pursuant to long-term lease. By first quarter 1995, all Morris aircraft will have been reconfigured to match the Southwest livery, and all operations will have been transferred to Southwest. Morris was profitable as a separate entity each month it operated, well ahead of our expectations. By all accounts, it was one of the smoothest and most successful mergers ever.</w:t>
      </w:r>
    </w:p>
    <w:p>
      <w:pPr>
        <w:pStyle w:val="BodyText"/>
        <w:spacing w:line="249" w:lineRule="auto" w:before="120"/>
        <w:ind w:left="880" w:right="215"/>
      </w:pPr>
      <w:r>
        <w:rPr/>
        <w:t>In May 1994, the computer reservations systems (CRSs) used by some travel agencies and </w:t>
      </w:r>
      <w:r>
        <w:rPr>
          <w:spacing w:val="3"/>
        </w:rPr>
        <w:t>owned </w:t>
      </w:r>
      <w:r>
        <w:rPr/>
        <w:t>by </w:t>
      </w:r>
      <w:r>
        <w:rPr>
          <w:spacing w:val="2"/>
        </w:rPr>
        <w:t>United </w:t>
      </w:r>
      <w:r>
        <w:rPr/>
        <w:t>Airlines </w:t>
      </w:r>
      <w:r>
        <w:rPr>
          <w:spacing w:val="2"/>
        </w:rPr>
        <w:t>(Apollo) </w:t>
      </w:r>
      <w:r>
        <w:rPr/>
        <w:t>and </w:t>
      </w:r>
      <w:r>
        <w:rPr>
          <w:spacing w:val="2"/>
        </w:rPr>
        <w:t>Continental </w:t>
      </w:r>
      <w:r>
        <w:rPr/>
        <w:t>Airlines </w:t>
      </w:r>
      <w:r>
        <w:rPr>
          <w:spacing w:val="2"/>
        </w:rPr>
        <w:t>(System </w:t>
      </w:r>
      <w:r>
        <w:rPr/>
        <w:t>One) disabled </w:t>
      </w:r>
      <w:r>
        <w:rPr>
          <w:spacing w:val="2"/>
        </w:rPr>
        <w:t>their </w:t>
      </w:r>
      <w:r>
        <w:rPr>
          <w:spacing w:val="3"/>
        </w:rPr>
        <w:t>automated </w:t>
      </w:r>
      <w:r>
        <w:rPr>
          <w:spacing w:val="2"/>
        </w:rPr>
        <w:t>ticketing </w:t>
      </w:r>
      <w:r>
        <w:rPr/>
        <w:t>function for Southwest travel. Rather than pay the fees demanded by these CRSs, we responded quickly with </w:t>
      </w:r>
      <w:r>
        <w:rPr>
          <w:spacing w:val="2"/>
        </w:rPr>
        <w:t>our own </w:t>
      </w:r>
      <w:r>
        <w:rPr/>
        <w:t>travel agency solutions: direct access and ticketing for the 50 largest agencies (SWAT); </w:t>
      </w:r>
      <w:r>
        <w:rPr>
          <w:spacing w:val="3"/>
        </w:rPr>
        <w:t>overnight </w:t>
      </w:r>
      <w:r>
        <w:rPr/>
        <w:t>delivery of Southwest-produced tickets for approximately 300 large travel agencies; improved access </w:t>
      </w:r>
      <w:r>
        <w:rPr>
          <w:spacing w:val="2"/>
        </w:rPr>
        <w:t>to </w:t>
      </w:r>
      <w:r>
        <w:rPr/>
        <w:t>Ticket By Mail for direct Customers by reducing the time limit from seven days </w:t>
      </w:r>
      <w:r>
        <w:rPr>
          <w:spacing w:val="2"/>
        </w:rPr>
        <w:t>out </w:t>
      </w:r>
      <w:r>
        <w:rPr/>
        <w:t>from the date </w:t>
      </w:r>
      <w:r>
        <w:rPr>
          <w:spacing w:val="2"/>
        </w:rPr>
        <w:t>of </w:t>
      </w:r>
      <w:r>
        <w:rPr/>
        <w:t>travel </w:t>
      </w:r>
      <w:r>
        <w:rPr>
          <w:spacing w:val="2"/>
        </w:rPr>
        <w:t>to </w:t>
      </w:r>
      <w:r>
        <w:rPr/>
        <w:t>three days; and </w:t>
      </w:r>
      <w:r>
        <w:rPr>
          <w:spacing w:val="2"/>
        </w:rPr>
        <w:t>Ticketless </w:t>
      </w:r>
      <w:r>
        <w:rPr/>
        <w:t>travel, which eliminates the need </w:t>
      </w:r>
      <w:r>
        <w:rPr>
          <w:spacing w:val="2"/>
        </w:rPr>
        <w:t>to </w:t>
      </w:r>
      <w:r>
        <w:rPr/>
        <w:t>print a paper ticket altogether. We also committed </w:t>
      </w:r>
      <w:r>
        <w:rPr>
          <w:spacing w:val="2"/>
        </w:rPr>
        <w:t>to </w:t>
      </w:r>
      <w:r>
        <w:rPr/>
        <w:t>provide agencies with automated booking capabilities into </w:t>
      </w:r>
      <w:r>
        <w:rPr>
          <w:spacing w:val="2"/>
        </w:rPr>
        <w:t>our </w:t>
      </w:r>
      <w:r>
        <w:rPr/>
        <w:t>reservations system in 1995. We recently defined and </w:t>
      </w:r>
      <w:r>
        <w:rPr>
          <w:spacing w:val="2"/>
        </w:rPr>
        <w:t>negotiated </w:t>
      </w:r>
      <w:r>
        <w:rPr/>
        <w:t>an agreement with SABRE </w:t>
      </w:r>
      <w:r>
        <w:rPr>
          <w:spacing w:val="2"/>
        </w:rPr>
        <w:t>to </w:t>
      </w:r>
      <w:r>
        <w:rPr/>
        <w:t>allow for full CRS </w:t>
      </w:r>
      <w:r>
        <w:rPr>
          <w:spacing w:val="2"/>
        </w:rPr>
        <w:t>participation </w:t>
      </w:r>
      <w:r>
        <w:rPr/>
        <w:t>in a very </w:t>
      </w:r>
      <w:r>
        <w:rPr>
          <w:spacing w:val="2"/>
        </w:rPr>
        <w:t>cost-effective </w:t>
      </w:r>
      <w:r>
        <w:rPr/>
        <w:t>manner, which </w:t>
      </w:r>
      <w:r>
        <w:rPr>
          <w:spacing w:val="2"/>
        </w:rPr>
        <w:t>satisfies this commitment </w:t>
      </w:r>
      <w:r>
        <w:rPr/>
        <w:t>for agencies</w:t>
      </w:r>
      <w:r>
        <w:rPr>
          <w:spacing w:val="-33"/>
        </w:rPr>
        <w:t> </w:t>
      </w:r>
      <w:r>
        <w:rPr/>
        <w:t>using SABRE.</w:t>
      </w:r>
    </w:p>
    <w:p>
      <w:pPr>
        <w:pStyle w:val="BodyText"/>
        <w:spacing w:line="249" w:lineRule="auto" w:before="120"/>
        <w:ind w:left="880" w:right="167"/>
      </w:pPr>
      <w:r>
        <w:rPr/>
        <w:t>We successfully concluded a labor agreement with our Customer Service Employees, represented by the IAM, and an unprecedented ten-year agreement with our Pilots, represented by SWAPA.</w:t>
      </w:r>
    </w:p>
    <w:p>
      <w:pPr>
        <w:pStyle w:val="BodyText"/>
        <w:spacing w:line="249" w:lineRule="auto" w:before="120"/>
        <w:ind w:left="880"/>
      </w:pPr>
      <w:r>
        <w:rPr/>
        <w:t>Intense marketing campaigns were mounted to counter industry fare sales and increased competition in shorthaul markets. Despite heavy advertising costs to support seven new cities and these campaigns, our overall cost per available seat mile actually declined in 1994 as our People posted record earnings.</w:t>
      </w:r>
    </w:p>
    <w:p>
      <w:pPr>
        <w:pStyle w:val="BodyText"/>
        <w:ind w:left="880"/>
      </w:pPr>
      <w:r>
        <w:rPr/>
        <w:t>Another Triple Crown was earned for Customer Service Excellence.</w:t>
      </w:r>
    </w:p>
    <w:p>
      <w:pPr>
        <w:pStyle w:val="BodyText"/>
        <w:spacing w:line="249" w:lineRule="auto" w:before="129"/>
        <w:ind w:left="880" w:right="167"/>
      </w:pPr>
      <w:r>
        <w:rPr/>
        <w:t>While this doesn’t cover all that our People accomplished in 1994, it gives you an idea of their strength, unity, alacrity, and dedication. Thanks to our People and their tremendous Southwest Spirit, Southwest is positioned strategically stronger than ever, while, at the same time, posting superior  results.</w:t>
      </w:r>
    </w:p>
    <w:p>
      <w:pPr>
        <w:pStyle w:val="BodyText"/>
        <w:spacing w:before="6"/>
        <w:rPr>
          <w:sz w:val="12"/>
        </w:rPr>
      </w:pPr>
    </w:p>
    <w:p>
      <w:pPr>
        <w:spacing w:after="0"/>
        <w:rPr>
          <w:sz w:val="12"/>
        </w:rPr>
        <w:sectPr>
          <w:headerReference w:type="default" r:id="rId21"/>
          <w:pgSz w:w="12240" w:h="15840"/>
          <w:pgMar w:header="725" w:footer="746" w:top="940" w:bottom="940" w:left="1640" w:right="920"/>
        </w:sectPr>
      </w:pPr>
    </w:p>
    <w:p>
      <w:pPr>
        <w:pStyle w:val="Heading2"/>
        <w:spacing w:before="95"/>
      </w:pPr>
      <w:r>
        <w:rPr/>
        <w:t>Revenue Passengers Carried</w:t>
      </w:r>
    </w:p>
    <w:p>
      <w:pPr>
        <w:pStyle w:val="BodyText"/>
        <w:rPr>
          <w:rFonts w:ascii="Arial"/>
          <w:b/>
          <w:sz w:val="22"/>
        </w:rPr>
      </w:pPr>
      <w:r>
        <w:rPr/>
        <w:br w:type="column"/>
      </w:r>
      <w:r>
        <w:rPr>
          <w:rFonts w:ascii="Arial"/>
          <w:b/>
          <w:sz w:val="22"/>
        </w:rPr>
      </w:r>
    </w:p>
    <w:p>
      <w:pPr>
        <w:pStyle w:val="BodyText"/>
        <w:spacing w:before="6"/>
        <w:rPr>
          <w:rFonts w:ascii="Arial"/>
          <w:b/>
          <w:sz w:val="25"/>
        </w:rPr>
      </w:pPr>
    </w:p>
    <w:p>
      <w:pPr>
        <w:pStyle w:val="BodyText"/>
        <w:ind w:left="880"/>
        <w:rPr>
          <w:rFonts w:ascii="Arial"/>
        </w:rPr>
      </w:pPr>
      <w:r>
        <w:rPr/>
        <w:pict>
          <v:rect style="position:absolute;margin-left:360pt;margin-top:7.219885pt;width:36pt;height:74.16pt;mso-position-horizontal-relative:page;mso-position-vertical-relative:paragraph;z-index:6544" filled="true" fillcolor="#0000ff" stroked="false">
            <v:fill type="solid"/>
            <w10:wrap type="none"/>
          </v:rect>
        </w:pict>
      </w:r>
      <w:r>
        <w:rPr/>
        <w:pict>
          <v:line style="position:absolute;mso-position-horizontal-relative:page;mso-position-vertical-relative:paragraph;z-index:-116944" from="420.23999pt,9.379885pt" to="420.23999pt,9.379885pt" stroked="true" strokeweight=".24pt" strokecolor="#000000">
            <v:stroke dashstyle="solid"/>
            <w10:wrap type="none"/>
          </v:line>
        </w:pict>
      </w:r>
      <w:r>
        <w:rPr/>
        <w:pict>
          <v:line style="position:absolute;mso-position-horizontal-relative:page;mso-position-vertical-relative:paragraph;z-index:-116920" from="426.720001pt,9.379885pt" to="426.720001pt,9.379885pt" stroked="true" strokeweight=".24pt" strokecolor="#000000">
            <v:stroke dashstyle="solid"/>
            <w10:wrap type="none"/>
          </v:line>
        </w:pict>
      </w:r>
      <w:r>
        <w:rPr/>
        <w:pict>
          <v:line style="position:absolute;mso-position-horizontal-relative:page;mso-position-vertical-relative:paragraph;z-index:-116896" from="433.200012pt,9.379885pt" to="433.200012pt,9.379885pt" stroked="true" strokeweight=".24pt" strokecolor="#000000">
            <v:stroke dashstyle="solid"/>
            <w10:wrap type="none"/>
          </v:line>
        </w:pict>
      </w:r>
      <w:r>
        <w:rPr/>
        <w:pict>
          <v:line style="position:absolute;mso-position-horizontal-relative:page;mso-position-vertical-relative:paragraph;z-index:-116872" from="439.679993pt,9.379885pt" to="439.679993pt,9.379885pt" stroked="true" strokeweight=".24pt" strokecolor="#000000">
            <v:stroke dashstyle="solid"/>
            <w10:wrap type="none"/>
          </v:line>
        </w:pict>
      </w:r>
      <w:r>
        <w:rPr/>
        <w:pict>
          <v:line style="position:absolute;mso-position-horizontal-relative:page;mso-position-vertical-relative:paragraph;z-index:-116848" from="446.160004pt,9.379885pt" to="446.160004pt,9.379885pt" stroked="true" strokeweight=".24pt" strokecolor="#000000">
            <v:stroke dashstyle="solid"/>
            <w10:wrap type="none"/>
          </v:line>
        </w:pict>
      </w:r>
      <w:r>
        <w:rPr/>
        <w:pict>
          <v:shape style="position:absolute;margin-left:124.800003pt;margin-top:-8.380116pt;width:291.6pt;height:91pt;mso-position-horizontal-relative:page;mso-position-vertical-relative:paragraph;z-index:70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60"/>
                    <w:gridCol w:w="1620"/>
                    <w:gridCol w:w="1620"/>
                    <w:gridCol w:w="1260"/>
                  </w:tblGrid>
                  <w:tr>
                    <w:trPr>
                      <w:trHeight w:val="355" w:hRule="exact"/>
                    </w:trPr>
                    <w:tc>
                      <w:tcPr>
                        <w:tcW w:w="1260" w:type="dxa"/>
                        <w:tcBorders>
                          <w:bottom w:val="single" w:sz="2" w:space="0" w:color="000000"/>
                        </w:tcBorders>
                      </w:tcPr>
                      <w:p>
                        <w:pPr>
                          <w:pStyle w:val="TableParagraph"/>
                          <w:spacing w:line="120" w:lineRule="exact" w:before="0"/>
                          <w:ind w:right="240"/>
                          <w:jc w:val="right"/>
                          <w:rPr>
                            <w:rFonts w:ascii="Arial"/>
                            <w:i/>
                            <w:sz w:val="16"/>
                          </w:rPr>
                        </w:pPr>
                        <w:r>
                          <w:rPr>
                            <w:rFonts w:ascii="Arial"/>
                            <w:i/>
                            <w:sz w:val="16"/>
                          </w:rPr>
                          <w:t>(in thousands)</w:t>
                        </w:r>
                      </w:p>
                    </w:tc>
                    <w:tc>
                      <w:tcPr>
                        <w:tcW w:w="1620" w:type="dxa"/>
                        <w:tcBorders>
                          <w:bottom w:val="single" w:sz="2" w:space="0" w:color="000000"/>
                        </w:tcBorders>
                      </w:tcPr>
                      <w:p>
                        <w:pPr/>
                      </w:p>
                    </w:tc>
                    <w:tc>
                      <w:tcPr>
                        <w:tcW w:w="1620" w:type="dxa"/>
                        <w:tcBorders>
                          <w:bottom w:val="single" w:sz="2" w:space="0" w:color="000000"/>
                        </w:tcBorders>
                      </w:tcPr>
                      <w:p>
                        <w:pPr>
                          <w:pStyle w:val="TableParagraph"/>
                          <w:spacing w:before="8"/>
                          <w:rPr>
                            <w:rFonts w:ascii="Arial"/>
                            <w:sz w:val="18"/>
                          </w:rPr>
                        </w:pPr>
                      </w:p>
                      <w:p>
                        <w:pPr>
                          <w:pStyle w:val="TableParagraph"/>
                          <w:spacing w:line="177" w:lineRule="exact" w:before="0"/>
                          <w:ind w:left="772"/>
                          <w:rPr>
                            <w:rFonts w:ascii="Arial"/>
                            <w:sz w:val="20"/>
                          </w:rPr>
                        </w:pPr>
                        <w:r>
                          <w:rPr>
                            <w:rFonts w:ascii="Arial"/>
                            <w:sz w:val="20"/>
                          </w:rPr>
                          <w:t>36,995</w:t>
                        </w:r>
                      </w:p>
                    </w:tc>
                    <w:tc>
                      <w:tcPr>
                        <w:tcW w:w="1260" w:type="dxa"/>
                        <w:tcBorders>
                          <w:bottom w:val="single" w:sz="2" w:space="0" w:color="000000"/>
                          <w:right w:val="single" w:sz="19" w:space="0" w:color="000000"/>
                        </w:tcBorders>
                      </w:tcPr>
                      <w:p>
                        <w:pPr>
                          <w:pStyle w:val="TableParagraph"/>
                          <w:spacing w:before="33"/>
                          <w:ind w:left="232"/>
                          <w:rPr>
                            <w:rFonts w:ascii="Arial"/>
                            <w:sz w:val="20"/>
                          </w:rPr>
                        </w:pPr>
                        <w:r>
                          <w:rPr>
                            <w:rFonts w:ascii="Arial"/>
                            <w:sz w:val="20"/>
                          </w:rPr>
                          <w:t>42,743</w:t>
                        </w:r>
                      </w:p>
                    </w:tc>
                  </w:tr>
                  <w:tr>
                    <w:trPr>
                      <w:trHeight w:val="360" w:hRule="exact"/>
                    </w:trPr>
                    <w:tc>
                      <w:tcPr>
                        <w:tcW w:w="5760" w:type="dxa"/>
                        <w:gridSpan w:val="4"/>
                        <w:tcBorders>
                          <w:top w:val="single" w:sz="2" w:space="0" w:color="000000"/>
                          <w:bottom w:val="single" w:sz="2" w:space="0" w:color="000000"/>
                          <w:right w:val="single" w:sz="19" w:space="0" w:color="000000"/>
                        </w:tcBorders>
                      </w:tcPr>
                      <w:p>
                        <w:pPr>
                          <w:pStyle w:val="TableParagraph"/>
                          <w:spacing w:before="11"/>
                          <w:rPr>
                            <w:rFonts w:ascii="Arial"/>
                            <w:sz w:val="18"/>
                          </w:rPr>
                        </w:pPr>
                      </w:p>
                      <w:p>
                        <w:pPr>
                          <w:pStyle w:val="TableParagraph"/>
                          <w:spacing w:line="177" w:lineRule="exact" w:before="0"/>
                          <w:ind w:left="2554" w:right="2530"/>
                          <w:jc w:val="center"/>
                          <w:rPr>
                            <w:rFonts w:ascii="Arial"/>
                            <w:sz w:val="20"/>
                          </w:rPr>
                        </w:pPr>
                        <w:r>
                          <w:rPr>
                            <w:rFonts w:ascii="Arial"/>
                            <w:sz w:val="20"/>
                          </w:rPr>
                          <w:t>27,839</w:t>
                        </w:r>
                      </w:p>
                    </w:tc>
                  </w:tr>
                  <w:tr>
                    <w:trPr>
                      <w:trHeight w:val="360" w:hRule="exact"/>
                    </w:trPr>
                    <w:tc>
                      <w:tcPr>
                        <w:tcW w:w="1260" w:type="dxa"/>
                        <w:tcBorders>
                          <w:top w:val="single" w:sz="2" w:space="0" w:color="000000"/>
                          <w:bottom w:val="single" w:sz="2" w:space="0" w:color="000000"/>
                        </w:tcBorders>
                      </w:tcPr>
                      <w:p>
                        <w:pPr>
                          <w:pStyle w:val="TableParagraph"/>
                          <w:spacing w:before="127"/>
                          <w:ind w:right="230"/>
                          <w:jc w:val="right"/>
                          <w:rPr>
                            <w:rFonts w:ascii="Arial"/>
                            <w:sz w:val="20"/>
                          </w:rPr>
                        </w:pPr>
                        <w:r>
                          <w:rPr>
                            <w:rFonts w:ascii="Arial"/>
                            <w:sz w:val="20"/>
                          </w:rPr>
                          <w:t>19,831</w:t>
                        </w:r>
                      </w:p>
                    </w:tc>
                    <w:tc>
                      <w:tcPr>
                        <w:tcW w:w="1620" w:type="dxa"/>
                        <w:tcBorders>
                          <w:top w:val="single" w:sz="2" w:space="0" w:color="000000"/>
                          <w:bottom w:val="single" w:sz="2" w:space="0" w:color="000000"/>
                        </w:tcBorders>
                      </w:tcPr>
                      <w:p>
                        <w:pPr>
                          <w:pStyle w:val="TableParagraph"/>
                          <w:spacing w:line="222" w:lineRule="exact" w:before="0"/>
                          <w:ind w:left="232"/>
                          <w:rPr>
                            <w:rFonts w:ascii="Arial"/>
                            <w:sz w:val="20"/>
                          </w:rPr>
                        </w:pPr>
                        <w:r>
                          <w:rPr>
                            <w:rFonts w:ascii="Arial"/>
                            <w:sz w:val="20"/>
                          </w:rPr>
                          <w:t>22,670</w:t>
                        </w:r>
                      </w:p>
                    </w:tc>
                    <w:tc>
                      <w:tcPr>
                        <w:tcW w:w="1620" w:type="dxa"/>
                        <w:tcBorders>
                          <w:top w:val="single" w:sz="2" w:space="0" w:color="000000"/>
                          <w:bottom w:val="single" w:sz="2" w:space="0" w:color="000000"/>
                        </w:tcBorders>
                      </w:tcPr>
                      <w:p>
                        <w:pPr/>
                      </w:p>
                    </w:tc>
                    <w:tc>
                      <w:tcPr>
                        <w:tcW w:w="1260" w:type="dxa"/>
                        <w:tcBorders>
                          <w:top w:val="single" w:sz="2" w:space="0" w:color="000000"/>
                          <w:bottom w:val="single" w:sz="2" w:space="0" w:color="000000"/>
                          <w:right w:val="single" w:sz="19" w:space="0" w:color="000000"/>
                        </w:tcBorders>
                      </w:tcPr>
                      <w:p>
                        <w:pPr/>
                      </w:p>
                    </w:tc>
                  </w:tr>
                  <w:tr>
                    <w:trPr>
                      <w:trHeight w:val="360" w:hRule="exact"/>
                    </w:trPr>
                    <w:tc>
                      <w:tcPr>
                        <w:tcW w:w="5760" w:type="dxa"/>
                        <w:gridSpan w:val="4"/>
                        <w:tcBorders>
                          <w:top w:val="single" w:sz="2" w:space="0" w:color="000000"/>
                          <w:bottom w:val="single" w:sz="2" w:space="0" w:color="000000"/>
                          <w:right w:val="single" w:sz="19" w:space="0" w:color="000000"/>
                        </w:tcBorders>
                      </w:tcPr>
                      <w:p>
                        <w:pPr/>
                      </w:p>
                    </w:tc>
                  </w:tr>
                  <w:tr>
                    <w:trPr>
                      <w:trHeight w:val="360" w:hRule="exact"/>
                    </w:trPr>
                    <w:tc>
                      <w:tcPr>
                        <w:tcW w:w="5760" w:type="dxa"/>
                        <w:gridSpan w:val="4"/>
                        <w:tcBorders>
                          <w:top w:val="single" w:sz="2" w:space="0" w:color="000000"/>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40,000</w:t>
      </w:r>
    </w:p>
    <w:p>
      <w:pPr>
        <w:pStyle w:val="BodyText"/>
        <w:spacing w:before="129"/>
        <w:ind w:left="880"/>
        <w:rPr>
          <w:rFonts w:ascii="Arial"/>
        </w:rPr>
      </w:pPr>
      <w:r>
        <w:rPr/>
        <w:pict>
          <v:line style="position:absolute;mso-position-horizontal-relative:page;mso-position-vertical-relative:paragraph;z-index:-117064" from="420.23999pt,15.829885pt" to="420.23999pt,15.829885pt" stroked="true" strokeweight=".24pt" strokecolor="#000000">
            <v:stroke dashstyle="solid"/>
            <w10:wrap type="none"/>
          </v:line>
        </w:pict>
      </w:r>
      <w:r>
        <w:rPr/>
        <w:pict>
          <v:line style="position:absolute;mso-position-horizontal-relative:page;mso-position-vertical-relative:paragraph;z-index:-117040" from="426.720001pt,15.829885pt" to="426.720001pt,15.829885pt" stroked="true" strokeweight=".24pt" strokecolor="#000000">
            <v:stroke dashstyle="solid"/>
            <w10:wrap type="none"/>
          </v:line>
        </w:pict>
      </w:r>
      <w:r>
        <w:rPr/>
        <w:pict>
          <v:line style="position:absolute;mso-position-horizontal-relative:page;mso-position-vertical-relative:paragraph;z-index:-117016" from="433.200012pt,15.829885pt" to="433.200012pt,15.829885pt" stroked="true" strokeweight=".24pt" strokecolor="#000000">
            <v:stroke dashstyle="solid"/>
            <w10:wrap type="none"/>
          </v:line>
        </w:pict>
      </w:r>
      <w:r>
        <w:rPr/>
        <w:pict>
          <v:line style="position:absolute;mso-position-horizontal-relative:page;mso-position-vertical-relative:paragraph;z-index:-116992" from="439.679993pt,15.829885pt" to="439.679993pt,15.829885pt" stroked="true" strokeweight=".24pt" strokecolor="#000000">
            <v:stroke dashstyle="solid"/>
            <w10:wrap type="none"/>
          </v:line>
        </w:pict>
      </w:r>
      <w:r>
        <w:rPr/>
        <w:pict>
          <v:line style="position:absolute;mso-position-horizontal-relative:page;mso-position-vertical-relative:paragraph;z-index:-116968" from="446.160004pt,15.829885pt" to="446.160004pt,15.829885pt" stroked="true" strokeweight=".24pt" strokecolor="#000000">
            <v:stroke dashstyle="solid"/>
            <w10:wrap type="none"/>
          </v:line>
        </w:pict>
      </w:r>
      <w:r>
        <w:rPr>
          <w:rFonts w:ascii="Arial"/>
          <w:w w:val="100"/>
          <w:u w:val="single"/>
        </w:rPr>
        <w:t> </w:t>
      </w:r>
      <w:r>
        <w:rPr>
          <w:rFonts w:ascii="Arial"/>
          <w:u w:val="single"/>
        </w:rPr>
        <w:t>30,000</w:t>
      </w:r>
    </w:p>
    <w:p>
      <w:pPr>
        <w:pStyle w:val="BodyText"/>
        <w:spacing w:before="129"/>
        <w:ind w:left="880"/>
        <w:rPr>
          <w:rFonts w:ascii="Arial"/>
        </w:rPr>
      </w:pPr>
      <w:r>
        <w:rPr/>
        <w:pict>
          <v:line style="position:absolute;mso-position-horizontal-relative:page;mso-position-vertical-relative:paragraph;z-index:-117184" from="420.23999pt,15.829885pt" to="420.23999pt,15.829885pt" stroked="true" strokeweight=".24pt" strokecolor="#000000">
            <v:stroke dashstyle="solid"/>
            <w10:wrap type="none"/>
          </v:line>
        </w:pict>
      </w:r>
      <w:r>
        <w:rPr/>
        <w:pict>
          <v:line style="position:absolute;mso-position-horizontal-relative:page;mso-position-vertical-relative:paragraph;z-index:-117160" from="426.720001pt,15.829885pt" to="426.720001pt,15.829885pt" stroked="true" strokeweight=".24pt" strokecolor="#000000">
            <v:stroke dashstyle="solid"/>
            <w10:wrap type="none"/>
          </v:line>
        </w:pict>
      </w:r>
      <w:r>
        <w:rPr/>
        <w:pict>
          <v:line style="position:absolute;mso-position-horizontal-relative:page;mso-position-vertical-relative:paragraph;z-index:-117136" from="433.200012pt,15.829885pt" to="433.200012pt,15.829885pt" stroked="true" strokeweight=".24pt" strokecolor="#000000">
            <v:stroke dashstyle="solid"/>
            <w10:wrap type="none"/>
          </v:line>
        </w:pict>
      </w:r>
      <w:r>
        <w:rPr/>
        <w:pict>
          <v:line style="position:absolute;mso-position-horizontal-relative:page;mso-position-vertical-relative:paragraph;z-index:-117112" from="439.679993pt,15.829885pt" to="439.679993pt,15.829885pt" stroked="true" strokeweight=".24pt" strokecolor="#000000">
            <v:stroke dashstyle="solid"/>
            <w10:wrap type="none"/>
          </v:line>
        </w:pict>
      </w:r>
      <w:r>
        <w:rPr/>
        <w:pict>
          <v:line style="position:absolute;mso-position-horizontal-relative:page;mso-position-vertical-relative:paragraph;z-index:-117088" from="446.160004pt,15.829885pt" to="446.160004pt,15.829885pt" stroked="true" strokeweight=".24pt" strokecolor="#000000">
            <v:stroke dashstyle="solid"/>
            <w10:wrap type="none"/>
          </v:line>
        </w:pict>
      </w:r>
      <w:r>
        <w:rPr>
          <w:rFonts w:ascii="Arial"/>
          <w:w w:val="100"/>
          <w:u w:val="single"/>
        </w:rPr>
        <w:t> </w:t>
      </w:r>
      <w:r>
        <w:rPr>
          <w:rFonts w:ascii="Arial"/>
          <w:u w:val="single"/>
        </w:rPr>
        <w:t>20,000</w:t>
      </w:r>
    </w:p>
    <w:p>
      <w:pPr>
        <w:pStyle w:val="BodyText"/>
        <w:spacing w:before="129"/>
        <w:ind w:left="880"/>
        <w:rPr>
          <w:rFonts w:ascii="Arial"/>
        </w:rPr>
      </w:pPr>
      <w:r>
        <w:rPr/>
        <w:pict>
          <v:line style="position:absolute;mso-position-horizontal-relative:page;mso-position-vertical-relative:paragraph;z-index:-117304" from="420.23999pt,15.829885pt" to="420.23999pt,15.829885pt" stroked="true" strokeweight=".24pt" strokecolor="#000000">
            <v:stroke dashstyle="solid"/>
            <w10:wrap type="none"/>
          </v:line>
        </w:pict>
      </w:r>
      <w:r>
        <w:rPr/>
        <w:pict>
          <v:line style="position:absolute;mso-position-horizontal-relative:page;mso-position-vertical-relative:paragraph;z-index:-117280" from="426.720001pt,15.829885pt" to="426.720001pt,15.829885pt" stroked="true" strokeweight=".24pt" strokecolor="#000000">
            <v:stroke dashstyle="solid"/>
            <w10:wrap type="none"/>
          </v:line>
        </w:pict>
      </w:r>
      <w:r>
        <w:rPr/>
        <w:pict>
          <v:line style="position:absolute;mso-position-horizontal-relative:page;mso-position-vertical-relative:paragraph;z-index:-117256" from="433.200012pt,15.829885pt" to="433.200012pt,15.829885pt" stroked="true" strokeweight=".24pt" strokecolor="#000000">
            <v:stroke dashstyle="solid"/>
            <w10:wrap type="none"/>
          </v:line>
        </w:pict>
      </w:r>
      <w:r>
        <w:rPr/>
        <w:pict>
          <v:line style="position:absolute;mso-position-horizontal-relative:page;mso-position-vertical-relative:paragraph;z-index:-117232" from="439.679993pt,15.829885pt" to="439.679993pt,15.829885pt" stroked="true" strokeweight=".24pt" strokecolor="#000000">
            <v:stroke dashstyle="solid"/>
            <w10:wrap type="none"/>
          </v:line>
        </w:pict>
      </w:r>
      <w:r>
        <w:rPr/>
        <w:pict>
          <v:line style="position:absolute;mso-position-horizontal-relative:page;mso-position-vertical-relative:paragraph;z-index:-117208" from="446.160004pt,15.829885pt" to="446.160004pt,15.829885pt" stroked="true" strokeweight=".24pt" strokecolor="#000000">
            <v:stroke dashstyle="solid"/>
            <w10:wrap type="none"/>
          </v:line>
        </w:pict>
      </w:r>
      <w:r>
        <w:rPr>
          <w:rFonts w:ascii="Arial"/>
          <w:w w:val="100"/>
          <w:u w:val="single"/>
        </w:rPr>
        <w:t> </w:t>
      </w:r>
      <w:r>
        <w:rPr>
          <w:rFonts w:ascii="Arial"/>
          <w:u w:val="single"/>
        </w:rPr>
        <w:t>10,000</w:t>
      </w:r>
    </w:p>
    <w:p>
      <w:pPr>
        <w:spacing w:after="0"/>
        <w:rPr>
          <w:rFonts w:ascii="Arial"/>
        </w:rPr>
        <w:sectPr>
          <w:type w:val="continuous"/>
          <w:pgSz w:w="12240" w:h="15840"/>
          <w:pgMar w:top="1420" w:bottom="280" w:left="1640" w:right="920"/>
          <w:cols w:num="2" w:equalWidth="0">
            <w:col w:w="3652" w:space="2151"/>
            <w:col w:w="3877"/>
          </w:cols>
        </w:sectPr>
      </w:pPr>
    </w:p>
    <w:p>
      <w:pPr>
        <w:pStyle w:val="BodyText"/>
        <w:spacing w:before="10"/>
        <w:rPr>
          <w:rFonts w:ascii="Arial"/>
          <w:sz w:val="26"/>
        </w:rPr>
      </w:pPr>
    </w:p>
    <w:p>
      <w:pPr>
        <w:spacing w:after="0"/>
        <w:rPr>
          <w:rFonts w:ascii="Arial"/>
          <w:sz w:val="26"/>
        </w:rPr>
        <w:sectPr>
          <w:type w:val="continuous"/>
          <w:pgSz w:w="12240" w:h="15840"/>
          <w:pgMar w:top="1420" w:bottom="280" w:left="1640" w:right="920"/>
        </w:sectPr>
      </w:pPr>
    </w:p>
    <w:p>
      <w:pPr>
        <w:pStyle w:val="BodyText"/>
        <w:spacing w:before="94"/>
        <w:jc w:val="right"/>
        <w:rPr>
          <w:rFonts w:ascii="Arial"/>
        </w:rPr>
      </w:pPr>
      <w:r>
        <w:rPr/>
        <w:pict>
          <v:rect style="position:absolute;margin-left:144pt;margin-top:-33.200123pt;width:36pt;height:33.6pt;mso-position-horizontal-relative:page;mso-position-vertical-relative:paragraph;z-index:6448" filled="true" fillcolor="#ff6600" stroked="false">
            <v:fill type="solid"/>
            <w10:wrap type="none"/>
          </v:rect>
        </w:pict>
      </w:r>
      <w:r>
        <w:rPr/>
        <w:pict>
          <v:rect style="position:absolute;margin-left:198pt;margin-top:-40.160122pt;width:36pt;height:40.56pt;mso-position-horizontal-relative:page;mso-position-vertical-relative:paragraph;z-index:6472" filled="true" fillcolor="#ff00ff" stroked="false">
            <v:fill type="solid"/>
            <w10:wrap type="none"/>
          </v:rect>
        </w:pict>
      </w:r>
      <w:r>
        <w:rPr/>
        <w:pict>
          <v:rect style="position:absolute;margin-left:252pt;margin-top:-49.040123pt;width:36pt;height:49.44pt;mso-position-horizontal-relative:page;mso-position-vertical-relative:paragraph;z-index:6496" filled="true" fillcolor="#ff0000" stroked="false">
            <v:fill type="solid"/>
            <w10:wrap type="none"/>
          </v:rect>
        </w:pict>
      </w:r>
      <w:r>
        <w:rPr/>
        <w:pict>
          <v:rect style="position:absolute;margin-left:306pt;margin-top:-64.640121pt;width:36pt;height:65.040000pt;mso-position-horizontal-relative:page;mso-position-vertical-relative:paragraph;z-index:6520" filled="true" fillcolor="#00ff00" stroked="false">
            <v:fill type="solid"/>
            <w10:wrap type="none"/>
          </v:rect>
        </w:pict>
      </w:r>
      <w:r>
        <w:rPr>
          <w:rFonts w:ascii="Arial"/>
        </w:rPr>
        <w:t>1990</w:t>
      </w:r>
    </w:p>
    <w:p>
      <w:pPr>
        <w:pStyle w:val="BodyText"/>
        <w:spacing w:before="94"/>
        <w:ind w:left="597"/>
        <w:rPr>
          <w:rFonts w:ascii="Arial"/>
        </w:rPr>
      </w:pPr>
      <w:r>
        <w:rPr/>
        <w:br w:type="column"/>
      </w:r>
      <w:r>
        <w:rPr>
          <w:rFonts w:ascii="Arial"/>
          <w:spacing w:val="-1"/>
        </w:rPr>
        <w:t>1991</w:t>
      </w:r>
    </w:p>
    <w:p>
      <w:pPr>
        <w:pStyle w:val="BodyText"/>
        <w:spacing w:before="94"/>
        <w:ind w:left="597"/>
        <w:rPr>
          <w:rFonts w:ascii="Arial"/>
        </w:rPr>
      </w:pPr>
      <w:r>
        <w:rPr/>
        <w:br w:type="column"/>
      </w:r>
      <w:r>
        <w:rPr>
          <w:rFonts w:ascii="Arial"/>
          <w:spacing w:val="-1"/>
        </w:rPr>
        <w:t>1992</w:t>
      </w:r>
    </w:p>
    <w:p>
      <w:pPr>
        <w:pStyle w:val="BodyText"/>
        <w:spacing w:before="94"/>
        <w:ind w:left="597"/>
        <w:rPr>
          <w:rFonts w:ascii="Arial"/>
        </w:rPr>
      </w:pPr>
      <w:r>
        <w:rPr/>
        <w:br w:type="column"/>
      </w:r>
      <w:r>
        <w:rPr>
          <w:rFonts w:ascii="Arial"/>
          <w:spacing w:val="-1"/>
        </w:rPr>
        <w:t>1993</w:t>
      </w:r>
    </w:p>
    <w:p>
      <w:pPr>
        <w:pStyle w:val="BodyText"/>
        <w:spacing w:before="94"/>
        <w:ind w:left="597"/>
        <w:rPr>
          <w:rFonts w:ascii="Arial"/>
        </w:rPr>
      </w:pPr>
      <w:r>
        <w:rPr/>
        <w:br w:type="column"/>
      </w:r>
      <w:r>
        <w:rPr>
          <w:rFonts w:ascii="Arial"/>
        </w:rPr>
        <w:t>1994</w:t>
      </w:r>
    </w:p>
    <w:p>
      <w:pPr>
        <w:spacing w:after="0"/>
        <w:rPr>
          <w:rFonts w:ascii="Arial"/>
        </w:rPr>
        <w:sectPr>
          <w:type w:val="continuous"/>
          <w:pgSz w:w="12240" w:h="15840"/>
          <w:pgMar w:top="1420" w:bottom="280" w:left="1640" w:right="920"/>
          <w:cols w:num="5" w:equalWidth="0">
            <w:col w:w="1822" w:space="40"/>
            <w:col w:w="1040" w:space="40"/>
            <w:col w:w="1040" w:space="40"/>
            <w:col w:w="1040" w:space="40"/>
            <w:col w:w="4578"/>
          </w:cols>
        </w:sectPr>
      </w:pPr>
    </w:p>
    <w:p>
      <w:pPr>
        <w:pStyle w:val="BodyText"/>
        <w:rPr>
          <w:rFonts w:ascii="Arial"/>
        </w:rPr>
      </w:pPr>
    </w:p>
    <w:p>
      <w:pPr>
        <w:pStyle w:val="BodyText"/>
        <w:spacing w:before="9"/>
        <w:rPr>
          <w:rFonts w:ascii="Arial"/>
          <w:sz w:val="24"/>
        </w:rPr>
      </w:pPr>
    </w:p>
    <w:p>
      <w:pPr>
        <w:pStyle w:val="Heading1"/>
      </w:pPr>
      <w:r>
        <w:rPr/>
        <w:pict>
          <v:line style="position:absolute;mso-position-horizontal-relative:page;mso-position-vertical-relative:paragraph;z-index:7072;mso-wrap-distance-left:0;mso-wrap-distance-right:0" from="88.559998pt,27.763792pt" to="559.439998pt,27.763792pt" stroked="true" strokeweight="1.44pt" strokecolor="#000000">
            <v:stroke dashstyle="solid"/>
            <w10:wrap type="topAndBottom"/>
          </v:line>
        </w:pict>
      </w:r>
      <w:bookmarkStart w:name="_TOC_250011" w:id="10"/>
      <w:bookmarkEnd w:id="10"/>
      <w:r>
        <w:rPr/>
        <w:t>Expansion</w:t>
      </w:r>
    </w:p>
    <w:p>
      <w:pPr>
        <w:pStyle w:val="BodyText"/>
        <w:rPr>
          <w:rFonts w:ascii="Arial"/>
        </w:rPr>
      </w:pPr>
    </w:p>
    <w:p>
      <w:pPr>
        <w:pStyle w:val="BodyText"/>
        <w:spacing w:before="7"/>
        <w:rPr>
          <w:rFonts w:ascii="Arial"/>
          <w:sz w:val="19"/>
        </w:rPr>
      </w:pPr>
    </w:p>
    <w:p>
      <w:pPr>
        <w:pStyle w:val="BodyText"/>
        <w:spacing w:line="249" w:lineRule="auto"/>
        <w:ind w:left="880" w:right="167"/>
      </w:pPr>
      <w:r>
        <w:rPr/>
        <w:t>1994 was the most aggressive year ever for Southwest Airlines. Strategically, this strengthened and diversified further our route system in the face of increasing shorthaul competition. Seven new cities were converted from Morris into Southwest, along with Morris’ 21 aircraft plus another 21 aircraft acquired by Southwest directly during the year.</w:t>
      </w:r>
    </w:p>
    <w:p>
      <w:pPr>
        <w:pStyle w:val="BodyText"/>
        <w:spacing w:line="249" w:lineRule="auto" w:before="120"/>
        <w:ind w:left="880" w:right="167"/>
      </w:pPr>
      <w:r>
        <w:rPr/>
        <w:t>Four cities were converted from Morris to Southwest in second quarter 1994: Seattle, Portland, Spokane, and Orange County. Three cities were converted in October 1994: Salt Lake City, Boise, and Tucson.</w:t>
      </w:r>
    </w:p>
    <w:p>
      <w:pPr>
        <w:pStyle w:val="BodyText"/>
        <w:spacing w:line="249" w:lineRule="auto"/>
        <w:ind w:left="880" w:right="167"/>
      </w:pPr>
      <w:r>
        <w:rPr/>
        <w:t>Seven cities previously served by Morris were discontinued in 1994 including Eugene, Fresno, Palm Springs, Laughlin, Colorado Springs, Denver, and Anchorage.</w:t>
      </w:r>
    </w:p>
    <w:p>
      <w:pPr>
        <w:pStyle w:val="BodyText"/>
        <w:spacing w:line="249" w:lineRule="auto" w:before="120"/>
        <w:ind w:left="880" w:right="237"/>
      </w:pPr>
      <w:r>
        <w:rPr/>
        <w:t>At the end </w:t>
      </w:r>
      <w:r>
        <w:rPr>
          <w:spacing w:val="2"/>
        </w:rPr>
        <w:t>of </w:t>
      </w:r>
      <w:r>
        <w:rPr/>
        <w:t>the year, 16 percent </w:t>
      </w:r>
      <w:r>
        <w:rPr>
          <w:spacing w:val="2"/>
        </w:rPr>
        <w:t>of </w:t>
      </w:r>
      <w:r>
        <w:rPr>
          <w:spacing w:val="3"/>
        </w:rPr>
        <w:t>our </w:t>
      </w:r>
      <w:r>
        <w:rPr/>
        <w:t>ASM capacity was deployed intra-California; 43 percent in </w:t>
      </w:r>
      <w:r>
        <w:rPr>
          <w:spacing w:val="2"/>
        </w:rPr>
        <w:t>the </w:t>
      </w:r>
      <w:r>
        <w:rPr/>
        <w:t>remaining part </w:t>
      </w:r>
      <w:r>
        <w:rPr>
          <w:spacing w:val="2"/>
        </w:rPr>
        <w:t>of </w:t>
      </w:r>
      <w:r>
        <w:rPr/>
        <w:t>the western region (west </w:t>
      </w:r>
      <w:r>
        <w:rPr>
          <w:spacing w:val="2"/>
        </w:rPr>
        <w:t>of Texas); </w:t>
      </w:r>
      <w:r>
        <w:rPr/>
        <w:t>22 percent in the heartland region (Texas,  Oklahoma, Arkansas, and Louisiana); and 19 percent in </w:t>
      </w:r>
      <w:r>
        <w:rPr>
          <w:spacing w:val="2"/>
        </w:rPr>
        <w:t>the remainder, referred </w:t>
      </w:r>
      <w:r>
        <w:rPr>
          <w:spacing w:val="3"/>
        </w:rPr>
        <w:t>to </w:t>
      </w:r>
      <w:r>
        <w:rPr/>
        <w:t>as </w:t>
      </w:r>
      <w:r>
        <w:rPr>
          <w:spacing w:val="2"/>
        </w:rPr>
        <w:t>the </w:t>
      </w:r>
      <w:r>
        <w:rPr/>
        <w:t>midwest</w:t>
      </w:r>
      <w:r>
        <w:rPr>
          <w:spacing w:val="37"/>
        </w:rPr>
        <w:t> </w:t>
      </w:r>
      <w:r>
        <w:rPr/>
        <w:t>region.</w:t>
      </w:r>
    </w:p>
    <w:p>
      <w:pPr>
        <w:pStyle w:val="BodyText"/>
        <w:spacing w:line="249" w:lineRule="auto" w:before="120"/>
        <w:ind w:left="880" w:right="237"/>
      </w:pPr>
      <w:r>
        <w:rPr/>
        <w:t>Growth in California was robust again in 1994, as our share of the intra-California market grew to 56.4 percent as of second quarter 1994 on traffic growth of 33.0 percent. The Shuttle by United began operations in October 1994, with some service directly overlapping Southwest city-pair markets. As of the end of 1994, the Shuttle overlappedroughly 13 percent of Southwest’s available seat mile capacity.</w:t>
      </w:r>
    </w:p>
    <w:p>
      <w:pPr>
        <w:pStyle w:val="BodyText"/>
        <w:spacing w:line="249" w:lineRule="auto" w:before="120"/>
        <w:ind w:left="880" w:right="167"/>
      </w:pPr>
      <w:r>
        <w:rPr/>
        <w:t>Our mature Texas markets grew a steady 3.5 percent in 1994. Southwest still ranks first in passenger boardings at ten of the 11 Texas airports served and has an intra-Texas market share as of second quarter 1994 of 70.8 percent.</w:t>
      </w:r>
    </w:p>
    <w:p>
      <w:pPr>
        <w:pStyle w:val="BodyText"/>
        <w:spacing w:line="249" w:lineRule="auto" w:before="120"/>
        <w:ind w:left="880" w:right="167"/>
      </w:pPr>
      <w:r>
        <w:rPr/>
        <w:t>Our Chicago Midway expansion began in earnest in 1992 and is now up to 86 daily departures. Baltimore and Louisville were added in 1993. Omaha has been announced as a March 1995 addition. We are the largest carrier at Chicago Midway and second largest in St.  Louis.</w:t>
      </w:r>
    </w:p>
    <w:p>
      <w:pPr>
        <w:pStyle w:val="BodyText"/>
        <w:spacing w:before="9"/>
      </w:pPr>
    </w:p>
    <w:p>
      <w:pPr>
        <w:pStyle w:val="Heading2"/>
        <w:spacing w:after="56"/>
      </w:pPr>
      <w:r>
        <w:rPr/>
        <w:t>Southwest Airlines Destinations</w:t>
      </w:r>
    </w:p>
    <w:tbl>
      <w:tblPr>
        <w:tblW w:w="0" w:type="auto"/>
        <w:jc w:val="left"/>
        <w:tblInd w:w="92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3"/>
        <w:gridCol w:w="3162"/>
        <w:gridCol w:w="1925"/>
      </w:tblGrid>
      <w:tr>
        <w:trPr>
          <w:trHeight w:val="270" w:hRule="exact"/>
        </w:trPr>
        <w:tc>
          <w:tcPr>
            <w:tcW w:w="2573" w:type="dxa"/>
          </w:tcPr>
          <w:p>
            <w:pPr>
              <w:pStyle w:val="TableParagraph"/>
              <w:spacing w:line="223" w:lineRule="exact" w:before="0"/>
              <w:ind w:left="50"/>
              <w:rPr>
                <w:sz w:val="20"/>
              </w:rPr>
            </w:pPr>
            <w:r>
              <w:rPr>
                <w:sz w:val="20"/>
              </w:rPr>
              <w:t>Albuquerque (ABQ)</w:t>
            </w:r>
          </w:p>
        </w:tc>
        <w:tc>
          <w:tcPr>
            <w:tcW w:w="3162" w:type="dxa"/>
          </w:tcPr>
          <w:p>
            <w:pPr>
              <w:pStyle w:val="TableParagraph"/>
              <w:spacing w:line="223" w:lineRule="exact" w:before="0"/>
              <w:ind w:left="443"/>
              <w:rPr>
                <w:sz w:val="20"/>
              </w:rPr>
            </w:pPr>
            <w:r>
              <w:rPr>
                <w:sz w:val="20"/>
              </w:rPr>
              <w:t>Houston Intercontinental (IAH)</w:t>
            </w:r>
          </w:p>
        </w:tc>
        <w:tc>
          <w:tcPr>
            <w:tcW w:w="1925" w:type="dxa"/>
          </w:tcPr>
          <w:p>
            <w:pPr>
              <w:pStyle w:val="TableParagraph"/>
              <w:spacing w:line="223" w:lineRule="exact" w:before="0"/>
              <w:ind w:left="161"/>
              <w:rPr>
                <w:sz w:val="20"/>
              </w:rPr>
            </w:pPr>
            <w:r>
              <w:rPr>
                <w:sz w:val="20"/>
              </w:rPr>
              <w:t>Phoenix (PHX)</w:t>
            </w:r>
          </w:p>
        </w:tc>
      </w:tr>
      <w:tr>
        <w:trPr>
          <w:trHeight w:val="317" w:hRule="exact"/>
        </w:trPr>
        <w:tc>
          <w:tcPr>
            <w:tcW w:w="2573" w:type="dxa"/>
          </w:tcPr>
          <w:p>
            <w:pPr>
              <w:pStyle w:val="TableParagraph"/>
              <w:spacing w:before="39"/>
              <w:ind w:left="50"/>
              <w:rPr>
                <w:sz w:val="20"/>
              </w:rPr>
            </w:pPr>
            <w:r>
              <w:rPr>
                <w:sz w:val="20"/>
              </w:rPr>
              <w:t>Amarillo (AMA)</w:t>
            </w:r>
          </w:p>
        </w:tc>
        <w:tc>
          <w:tcPr>
            <w:tcW w:w="3162" w:type="dxa"/>
          </w:tcPr>
          <w:p>
            <w:pPr>
              <w:pStyle w:val="TableParagraph"/>
              <w:spacing w:before="39"/>
              <w:ind w:left="443"/>
              <w:rPr>
                <w:sz w:val="20"/>
              </w:rPr>
            </w:pPr>
            <w:r>
              <w:rPr>
                <w:sz w:val="20"/>
              </w:rPr>
              <w:t>Indianapolis (IND)</w:t>
            </w:r>
          </w:p>
        </w:tc>
        <w:tc>
          <w:tcPr>
            <w:tcW w:w="1925" w:type="dxa"/>
          </w:tcPr>
          <w:p>
            <w:pPr>
              <w:pStyle w:val="TableParagraph"/>
              <w:spacing w:before="39"/>
              <w:ind w:left="161"/>
              <w:rPr>
                <w:sz w:val="20"/>
              </w:rPr>
            </w:pPr>
            <w:r>
              <w:rPr>
                <w:sz w:val="20"/>
              </w:rPr>
              <w:t>Portland (PDX)</w:t>
            </w:r>
          </w:p>
        </w:tc>
      </w:tr>
      <w:tr>
        <w:trPr>
          <w:trHeight w:val="317" w:hRule="exact"/>
        </w:trPr>
        <w:tc>
          <w:tcPr>
            <w:tcW w:w="2573" w:type="dxa"/>
          </w:tcPr>
          <w:p>
            <w:pPr>
              <w:pStyle w:val="TableParagraph"/>
              <w:spacing w:before="39"/>
              <w:ind w:left="50"/>
              <w:rPr>
                <w:sz w:val="20"/>
              </w:rPr>
            </w:pPr>
            <w:r>
              <w:rPr>
                <w:sz w:val="20"/>
              </w:rPr>
              <w:t>Austin (AUS)</w:t>
            </w:r>
          </w:p>
        </w:tc>
        <w:tc>
          <w:tcPr>
            <w:tcW w:w="3162" w:type="dxa"/>
          </w:tcPr>
          <w:p>
            <w:pPr>
              <w:pStyle w:val="TableParagraph"/>
              <w:spacing w:before="39"/>
              <w:ind w:left="443"/>
              <w:rPr>
                <w:sz w:val="20"/>
              </w:rPr>
            </w:pPr>
            <w:r>
              <w:rPr>
                <w:sz w:val="20"/>
              </w:rPr>
              <w:t>Kansas City (MCI)</w:t>
            </w:r>
          </w:p>
        </w:tc>
        <w:tc>
          <w:tcPr>
            <w:tcW w:w="1925" w:type="dxa"/>
          </w:tcPr>
          <w:p>
            <w:pPr>
              <w:pStyle w:val="TableParagraph"/>
              <w:spacing w:before="39"/>
              <w:ind w:left="161"/>
              <w:rPr>
                <w:sz w:val="20"/>
              </w:rPr>
            </w:pPr>
            <w:r>
              <w:rPr>
                <w:sz w:val="20"/>
              </w:rPr>
              <w:t>Reno/Tahoe (RNO)</w:t>
            </w:r>
          </w:p>
        </w:tc>
      </w:tr>
      <w:tr>
        <w:trPr>
          <w:trHeight w:val="317" w:hRule="exact"/>
        </w:trPr>
        <w:tc>
          <w:tcPr>
            <w:tcW w:w="2573" w:type="dxa"/>
          </w:tcPr>
          <w:p>
            <w:pPr>
              <w:pStyle w:val="TableParagraph"/>
              <w:spacing w:before="39"/>
              <w:ind w:left="50"/>
              <w:rPr>
                <w:sz w:val="20"/>
              </w:rPr>
            </w:pPr>
            <w:r>
              <w:rPr>
                <w:sz w:val="20"/>
              </w:rPr>
              <w:t>Baltimore (BWI)</w:t>
            </w:r>
          </w:p>
        </w:tc>
        <w:tc>
          <w:tcPr>
            <w:tcW w:w="3162" w:type="dxa"/>
          </w:tcPr>
          <w:p>
            <w:pPr>
              <w:pStyle w:val="TableParagraph"/>
              <w:spacing w:before="39"/>
              <w:ind w:left="443"/>
              <w:rPr>
                <w:sz w:val="20"/>
              </w:rPr>
            </w:pPr>
            <w:r>
              <w:rPr>
                <w:sz w:val="20"/>
              </w:rPr>
              <w:t>Las Vegas (LAS)</w:t>
            </w:r>
          </w:p>
        </w:tc>
        <w:tc>
          <w:tcPr>
            <w:tcW w:w="1925" w:type="dxa"/>
          </w:tcPr>
          <w:p>
            <w:pPr>
              <w:pStyle w:val="TableParagraph"/>
              <w:spacing w:before="39"/>
              <w:ind w:left="161"/>
              <w:rPr>
                <w:sz w:val="20"/>
              </w:rPr>
            </w:pPr>
            <w:r>
              <w:rPr>
                <w:sz w:val="20"/>
              </w:rPr>
              <w:t>Sacramento (SMF)</w:t>
            </w:r>
          </w:p>
        </w:tc>
      </w:tr>
      <w:tr>
        <w:trPr>
          <w:trHeight w:val="317" w:hRule="exact"/>
        </w:trPr>
        <w:tc>
          <w:tcPr>
            <w:tcW w:w="2573" w:type="dxa"/>
          </w:tcPr>
          <w:p>
            <w:pPr>
              <w:pStyle w:val="TableParagraph"/>
              <w:spacing w:before="39"/>
              <w:ind w:left="50"/>
              <w:rPr>
                <w:sz w:val="20"/>
              </w:rPr>
            </w:pPr>
            <w:r>
              <w:rPr>
                <w:sz w:val="20"/>
              </w:rPr>
              <w:t>Birmingham (BHM)</w:t>
            </w:r>
          </w:p>
        </w:tc>
        <w:tc>
          <w:tcPr>
            <w:tcW w:w="3162" w:type="dxa"/>
          </w:tcPr>
          <w:p>
            <w:pPr>
              <w:pStyle w:val="TableParagraph"/>
              <w:spacing w:before="39"/>
              <w:ind w:left="443"/>
              <w:rPr>
                <w:sz w:val="20"/>
              </w:rPr>
            </w:pPr>
            <w:r>
              <w:rPr>
                <w:sz w:val="20"/>
              </w:rPr>
              <w:t>Little Rock (LIT)</w:t>
            </w:r>
          </w:p>
        </w:tc>
        <w:tc>
          <w:tcPr>
            <w:tcW w:w="1925" w:type="dxa"/>
          </w:tcPr>
          <w:p>
            <w:pPr>
              <w:pStyle w:val="TableParagraph"/>
              <w:spacing w:before="39"/>
              <w:ind w:left="161"/>
              <w:rPr>
                <w:sz w:val="20"/>
              </w:rPr>
            </w:pPr>
            <w:r>
              <w:rPr>
                <w:sz w:val="20"/>
              </w:rPr>
              <w:t>St. Louis (STL)</w:t>
            </w:r>
          </w:p>
        </w:tc>
      </w:tr>
      <w:tr>
        <w:trPr>
          <w:trHeight w:val="317" w:hRule="exact"/>
        </w:trPr>
        <w:tc>
          <w:tcPr>
            <w:tcW w:w="2573" w:type="dxa"/>
          </w:tcPr>
          <w:p>
            <w:pPr>
              <w:pStyle w:val="TableParagraph"/>
              <w:spacing w:before="39"/>
              <w:ind w:left="50"/>
              <w:rPr>
                <w:sz w:val="20"/>
              </w:rPr>
            </w:pPr>
            <w:r>
              <w:rPr>
                <w:sz w:val="20"/>
              </w:rPr>
              <w:t>Boise (BOI)</w:t>
            </w:r>
          </w:p>
        </w:tc>
        <w:tc>
          <w:tcPr>
            <w:tcW w:w="3162" w:type="dxa"/>
          </w:tcPr>
          <w:p>
            <w:pPr>
              <w:pStyle w:val="TableParagraph"/>
              <w:spacing w:before="39"/>
              <w:ind w:left="443"/>
              <w:rPr>
                <w:sz w:val="20"/>
              </w:rPr>
            </w:pPr>
            <w:r>
              <w:rPr>
                <w:sz w:val="20"/>
              </w:rPr>
              <w:t>Los Angeles (LAX)</w:t>
            </w:r>
          </w:p>
        </w:tc>
        <w:tc>
          <w:tcPr>
            <w:tcW w:w="1925" w:type="dxa"/>
          </w:tcPr>
          <w:p>
            <w:pPr>
              <w:pStyle w:val="TableParagraph"/>
              <w:spacing w:before="39"/>
              <w:ind w:left="161"/>
              <w:rPr>
                <w:sz w:val="20"/>
              </w:rPr>
            </w:pPr>
            <w:r>
              <w:rPr>
                <w:sz w:val="20"/>
              </w:rPr>
              <w:t>Salt Lake City (SLC)</w:t>
            </w:r>
          </w:p>
        </w:tc>
      </w:tr>
      <w:tr>
        <w:trPr>
          <w:trHeight w:val="317" w:hRule="exact"/>
        </w:trPr>
        <w:tc>
          <w:tcPr>
            <w:tcW w:w="2573" w:type="dxa"/>
          </w:tcPr>
          <w:p>
            <w:pPr>
              <w:pStyle w:val="TableParagraph"/>
              <w:spacing w:before="39"/>
              <w:ind w:left="50"/>
              <w:rPr>
                <w:sz w:val="20"/>
              </w:rPr>
            </w:pPr>
            <w:r>
              <w:rPr>
                <w:sz w:val="20"/>
              </w:rPr>
              <w:t>Burbank (BUR)</w:t>
            </w:r>
          </w:p>
        </w:tc>
        <w:tc>
          <w:tcPr>
            <w:tcW w:w="3162" w:type="dxa"/>
          </w:tcPr>
          <w:p>
            <w:pPr>
              <w:pStyle w:val="TableParagraph"/>
              <w:spacing w:before="39"/>
              <w:ind w:left="443"/>
              <w:rPr>
                <w:sz w:val="20"/>
              </w:rPr>
            </w:pPr>
            <w:r>
              <w:rPr>
                <w:sz w:val="20"/>
              </w:rPr>
              <w:t>Louisville (SDF)</w:t>
            </w:r>
          </w:p>
        </w:tc>
        <w:tc>
          <w:tcPr>
            <w:tcW w:w="1925" w:type="dxa"/>
          </w:tcPr>
          <w:p>
            <w:pPr>
              <w:pStyle w:val="TableParagraph"/>
              <w:spacing w:before="39"/>
              <w:ind w:left="161"/>
              <w:rPr>
                <w:sz w:val="20"/>
              </w:rPr>
            </w:pPr>
            <w:r>
              <w:rPr>
                <w:sz w:val="20"/>
              </w:rPr>
              <w:t>San Antonio (SAT)</w:t>
            </w:r>
          </w:p>
        </w:tc>
      </w:tr>
      <w:tr>
        <w:trPr>
          <w:trHeight w:val="317" w:hRule="exact"/>
        </w:trPr>
        <w:tc>
          <w:tcPr>
            <w:tcW w:w="2573" w:type="dxa"/>
          </w:tcPr>
          <w:p>
            <w:pPr>
              <w:pStyle w:val="TableParagraph"/>
              <w:spacing w:before="39"/>
              <w:ind w:left="50"/>
              <w:rPr>
                <w:sz w:val="20"/>
              </w:rPr>
            </w:pPr>
            <w:r>
              <w:rPr>
                <w:sz w:val="20"/>
              </w:rPr>
              <w:t>Chicago Midway (MDW)</w:t>
            </w:r>
          </w:p>
        </w:tc>
        <w:tc>
          <w:tcPr>
            <w:tcW w:w="3162" w:type="dxa"/>
          </w:tcPr>
          <w:p>
            <w:pPr>
              <w:pStyle w:val="TableParagraph"/>
              <w:spacing w:before="39"/>
              <w:ind w:left="443"/>
              <w:rPr>
                <w:sz w:val="20"/>
              </w:rPr>
            </w:pPr>
            <w:r>
              <w:rPr>
                <w:sz w:val="20"/>
              </w:rPr>
              <w:t>Lubbock (LBB)</w:t>
            </w:r>
          </w:p>
        </w:tc>
        <w:tc>
          <w:tcPr>
            <w:tcW w:w="1925" w:type="dxa"/>
          </w:tcPr>
          <w:p>
            <w:pPr>
              <w:pStyle w:val="TableParagraph"/>
              <w:spacing w:before="39"/>
              <w:ind w:left="161"/>
              <w:rPr>
                <w:sz w:val="20"/>
              </w:rPr>
            </w:pPr>
            <w:r>
              <w:rPr>
                <w:sz w:val="20"/>
              </w:rPr>
              <w:t>San Diego (SAN)</w:t>
            </w:r>
          </w:p>
        </w:tc>
      </w:tr>
      <w:tr>
        <w:trPr>
          <w:trHeight w:val="317" w:hRule="exact"/>
        </w:trPr>
        <w:tc>
          <w:tcPr>
            <w:tcW w:w="2573" w:type="dxa"/>
          </w:tcPr>
          <w:p>
            <w:pPr>
              <w:pStyle w:val="TableParagraph"/>
              <w:spacing w:before="39"/>
              <w:ind w:left="50"/>
              <w:rPr>
                <w:sz w:val="20"/>
              </w:rPr>
            </w:pPr>
            <w:r>
              <w:rPr>
                <w:sz w:val="20"/>
              </w:rPr>
              <w:t>Cleveland (CLE)</w:t>
            </w:r>
          </w:p>
        </w:tc>
        <w:tc>
          <w:tcPr>
            <w:tcW w:w="3162" w:type="dxa"/>
          </w:tcPr>
          <w:p>
            <w:pPr>
              <w:pStyle w:val="TableParagraph"/>
              <w:spacing w:before="39"/>
              <w:ind w:left="443"/>
              <w:rPr>
                <w:sz w:val="20"/>
              </w:rPr>
            </w:pPr>
            <w:r>
              <w:rPr>
                <w:sz w:val="20"/>
              </w:rPr>
              <w:t>Midland/Odessa (MAF)</w:t>
            </w:r>
          </w:p>
        </w:tc>
        <w:tc>
          <w:tcPr>
            <w:tcW w:w="1925" w:type="dxa"/>
          </w:tcPr>
          <w:p>
            <w:pPr>
              <w:pStyle w:val="TableParagraph"/>
              <w:spacing w:before="39"/>
              <w:ind w:left="161"/>
              <w:rPr>
                <w:sz w:val="20"/>
              </w:rPr>
            </w:pPr>
            <w:r>
              <w:rPr>
                <w:sz w:val="20"/>
              </w:rPr>
              <w:t>San Francisco (SFO)</w:t>
            </w:r>
          </w:p>
        </w:tc>
      </w:tr>
      <w:tr>
        <w:trPr>
          <w:trHeight w:val="317" w:hRule="exact"/>
        </w:trPr>
        <w:tc>
          <w:tcPr>
            <w:tcW w:w="2573" w:type="dxa"/>
          </w:tcPr>
          <w:p>
            <w:pPr>
              <w:pStyle w:val="TableParagraph"/>
              <w:spacing w:before="39"/>
              <w:ind w:left="50"/>
              <w:rPr>
                <w:sz w:val="20"/>
              </w:rPr>
            </w:pPr>
            <w:r>
              <w:rPr>
                <w:sz w:val="20"/>
              </w:rPr>
              <w:t>Columbus (CMH)</w:t>
            </w:r>
          </w:p>
        </w:tc>
        <w:tc>
          <w:tcPr>
            <w:tcW w:w="3162" w:type="dxa"/>
          </w:tcPr>
          <w:p>
            <w:pPr>
              <w:pStyle w:val="TableParagraph"/>
              <w:spacing w:before="39"/>
              <w:ind w:left="443"/>
              <w:rPr>
                <w:sz w:val="20"/>
              </w:rPr>
            </w:pPr>
            <w:r>
              <w:rPr>
                <w:sz w:val="20"/>
              </w:rPr>
              <w:t>Nashville (BNA)</w:t>
            </w:r>
          </w:p>
        </w:tc>
        <w:tc>
          <w:tcPr>
            <w:tcW w:w="1925" w:type="dxa"/>
          </w:tcPr>
          <w:p>
            <w:pPr>
              <w:pStyle w:val="TableParagraph"/>
              <w:spacing w:before="39"/>
              <w:ind w:left="161"/>
              <w:rPr>
                <w:sz w:val="20"/>
              </w:rPr>
            </w:pPr>
            <w:r>
              <w:rPr>
                <w:sz w:val="20"/>
              </w:rPr>
              <w:t>San Jose (SJC)</w:t>
            </w:r>
          </w:p>
        </w:tc>
      </w:tr>
      <w:tr>
        <w:trPr>
          <w:trHeight w:val="317" w:hRule="exact"/>
        </w:trPr>
        <w:tc>
          <w:tcPr>
            <w:tcW w:w="2573" w:type="dxa"/>
          </w:tcPr>
          <w:p>
            <w:pPr>
              <w:pStyle w:val="TableParagraph"/>
              <w:spacing w:before="39"/>
              <w:ind w:left="50"/>
              <w:rPr>
                <w:sz w:val="20"/>
              </w:rPr>
            </w:pPr>
            <w:r>
              <w:rPr>
                <w:sz w:val="20"/>
              </w:rPr>
              <w:t>Corpus Christi (CRP)</w:t>
            </w:r>
          </w:p>
        </w:tc>
        <w:tc>
          <w:tcPr>
            <w:tcW w:w="3162" w:type="dxa"/>
          </w:tcPr>
          <w:p>
            <w:pPr>
              <w:pStyle w:val="TableParagraph"/>
              <w:spacing w:before="39"/>
              <w:ind w:left="443"/>
              <w:rPr>
                <w:sz w:val="20"/>
              </w:rPr>
            </w:pPr>
            <w:r>
              <w:rPr>
                <w:sz w:val="20"/>
              </w:rPr>
              <w:t>New Orleans (MSY)</w:t>
            </w:r>
          </w:p>
        </w:tc>
        <w:tc>
          <w:tcPr>
            <w:tcW w:w="1925" w:type="dxa"/>
          </w:tcPr>
          <w:p>
            <w:pPr>
              <w:pStyle w:val="TableParagraph"/>
              <w:spacing w:before="39"/>
              <w:ind w:left="161"/>
              <w:rPr>
                <w:sz w:val="20"/>
              </w:rPr>
            </w:pPr>
            <w:r>
              <w:rPr>
                <w:sz w:val="20"/>
              </w:rPr>
              <w:t>Seattle (SEA)</w:t>
            </w:r>
          </w:p>
        </w:tc>
      </w:tr>
      <w:tr>
        <w:trPr>
          <w:trHeight w:val="317" w:hRule="exact"/>
        </w:trPr>
        <w:tc>
          <w:tcPr>
            <w:tcW w:w="2573" w:type="dxa"/>
          </w:tcPr>
          <w:p>
            <w:pPr>
              <w:pStyle w:val="TableParagraph"/>
              <w:spacing w:before="39"/>
              <w:ind w:left="50"/>
              <w:rPr>
                <w:sz w:val="20"/>
              </w:rPr>
            </w:pPr>
            <w:r>
              <w:rPr>
                <w:sz w:val="20"/>
              </w:rPr>
              <w:t>Dallas Love Field (DAL)</w:t>
            </w:r>
          </w:p>
        </w:tc>
        <w:tc>
          <w:tcPr>
            <w:tcW w:w="3162" w:type="dxa"/>
          </w:tcPr>
          <w:p>
            <w:pPr>
              <w:pStyle w:val="TableParagraph"/>
              <w:spacing w:before="39"/>
              <w:ind w:left="443"/>
              <w:rPr>
                <w:sz w:val="20"/>
              </w:rPr>
            </w:pPr>
            <w:r>
              <w:rPr>
                <w:sz w:val="20"/>
              </w:rPr>
              <w:t>Oakland (OAK)</w:t>
            </w:r>
          </w:p>
        </w:tc>
        <w:tc>
          <w:tcPr>
            <w:tcW w:w="1925" w:type="dxa"/>
          </w:tcPr>
          <w:p>
            <w:pPr>
              <w:pStyle w:val="TableParagraph"/>
              <w:spacing w:before="39"/>
              <w:ind w:left="161"/>
              <w:rPr>
                <w:sz w:val="20"/>
              </w:rPr>
            </w:pPr>
            <w:r>
              <w:rPr>
                <w:sz w:val="20"/>
              </w:rPr>
              <w:t>Spokane (GEG)</w:t>
            </w:r>
          </w:p>
        </w:tc>
      </w:tr>
      <w:tr>
        <w:trPr>
          <w:trHeight w:val="317" w:hRule="exact"/>
        </w:trPr>
        <w:tc>
          <w:tcPr>
            <w:tcW w:w="2573" w:type="dxa"/>
          </w:tcPr>
          <w:p>
            <w:pPr>
              <w:pStyle w:val="TableParagraph"/>
              <w:spacing w:before="39"/>
              <w:ind w:left="50"/>
              <w:rPr>
                <w:sz w:val="20"/>
              </w:rPr>
            </w:pPr>
            <w:r>
              <w:rPr>
                <w:sz w:val="20"/>
              </w:rPr>
              <w:t>Detroit Metro (DTW)</w:t>
            </w:r>
          </w:p>
        </w:tc>
        <w:tc>
          <w:tcPr>
            <w:tcW w:w="3162" w:type="dxa"/>
          </w:tcPr>
          <w:p>
            <w:pPr>
              <w:pStyle w:val="TableParagraph"/>
              <w:spacing w:before="39"/>
              <w:ind w:left="443"/>
              <w:rPr>
                <w:sz w:val="20"/>
              </w:rPr>
            </w:pPr>
            <w:r>
              <w:rPr>
                <w:sz w:val="20"/>
              </w:rPr>
              <w:t>Oklahoma City (OKC)</w:t>
            </w:r>
          </w:p>
        </w:tc>
        <w:tc>
          <w:tcPr>
            <w:tcW w:w="1925" w:type="dxa"/>
          </w:tcPr>
          <w:p>
            <w:pPr>
              <w:pStyle w:val="TableParagraph"/>
              <w:spacing w:before="39"/>
              <w:ind w:left="161"/>
              <w:rPr>
                <w:sz w:val="20"/>
              </w:rPr>
            </w:pPr>
            <w:r>
              <w:rPr>
                <w:sz w:val="20"/>
              </w:rPr>
              <w:t>Tucson (TUS)</w:t>
            </w:r>
          </w:p>
        </w:tc>
      </w:tr>
      <w:tr>
        <w:trPr>
          <w:trHeight w:val="317" w:hRule="exact"/>
        </w:trPr>
        <w:tc>
          <w:tcPr>
            <w:tcW w:w="2573" w:type="dxa"/>
          </w:tcPr>
          <w:p>
            <w:pPr>
              <w:pStyle w:val="TableParagraph"/>
              <w:spacing w:before="39"/>
              <w:ind w:left="50"/>
              <w:rPr>
                <w:sz w:val="20"/>
              </w:rPr>
            </w:pPr>
            <w:r>
              <w:rPr>
                <w:sz w:val="20"/>
              </w:rPr>
              <w:t>El Paso (ELP)</w:t>
            </w:r>
          </w:p>
        </w:tc>
        <w:tc>
          <w:tcPr>
            <w:tcW w:w="3162" w:type="dxa"/>
          </w:tcPr>
          <w:p>
            <w:pPr>
              <w:pStyle w:val="TableParagraph"/>
              <w:spacing w:before="39"/>
              <w:ind w:left="443"/>
              <w:rPr>
                <w:sz w:val="20"/>
              </w:rPr>
            </w:pPr>
            <w:r>
              <w:rPr>
                <w:sz w:val="20"/>
              </w:rPr>
              <w:t>Omaha (OMA)</w:t>
            </w:r>
          </w:p>
        </w:tc>
        <w:tc>
          <w:tcPr>
            <w:tcW w:w="1925" w:type="dxa"/>
          </w:tcPr>
          <w:p>
            <w:pPr>
              <w:pStyle w:val="TableParagraph"/>
              <w:spacing w:before="39"/>
              <w:ind w:left="161"/>
              <w:rPr>
                <w:sz w:val="20"/>
              </w:rPr>
            </w:pPr>
            <w:r>
              <w:rPr>
                <w:sz w:val="20"/>
              </w:rPr>
              <w:t>Tulsa (TUL)</w:t>
            </w:r>
          </w:p>
        </w:tc>
      </w:tr>
      <w:tr>
        <w:trPr>
          <w:trHeight w:val="317" w:hRule="exact"/>
        </w:trPr>
        <w:tc>
          <w:tcPr>
            <w:tcW w:w="2573" w:type="dxa"/>
          </w:tcPr>
          <w:p>
            <w:pPr>
              <w:pStyle w:val="TableParagraph"/>
              <w:spacing w:before="39"/>
              <w:ind w:left="50"/>
              <w:rPr>
                <w:sz w:val="20"/>
              </w:rPr>
            </w:pPr>
            <w:r>
              <w:rPr>
                <w:sz w:val="20"/>
              </w:rPr>
              <w:t>Harlingen (HRL)</w:t>
            </w:r>
          </w:p>
        </w:tc>
        <w:tc>
          <w:tcPr>
            <w:tcW w:w="3162" w:type="dxa"/>
          </w:tcPr>
          <w:p>
            <w:pPr>
              <w:pStyle w:val="TableParagraph"/>
              <w:spacing w:before="39"/>
              <w:ind w:left="443"/>
              <w:rPr>
                <w:sz w:val="20"/>
              </w:rPr>
            </w:pPr>
            <w:r>
              <w:rPr>
                <w:sz w:val="20"/>
              </w:rPr>
              <w:t>Ontario (ONT)</w:t>
            </w:r>
          </w:p>
        </w:tc>
        <w:tc>
          <w:tcPr>
            <w:tcW w:w="1925" w:type="dxa"/>
          </w:tcPr>
          <w:p>
            <w:pPr/>
          </w:p>
        </w:tc>
      </w:tr>
      <w:tr>
        <w:trPr>
          <w:trHeight w:val="270" w:hRule="exact"/>
        </w:trPr>
        <w:tc>
          <w:tcPr>
            <w:tcW w:w="2573" w:type="dxa"/>
          </w:tcPr>
          <w:p>
            <w:pPr>
              <w:pStyle w:val="TableParagraph"/>
              <w:spacing w:before="39"/>
              <w:ind w:left="50"/>
              <w:rPr>
                <w:sz w:val="20"/>
              </w:rPr>
            </w:pPr>
            <w:r>
              <w:rPr>
                <w:sz w:val="20"/>
              </w:rPr>
              <w:t>Houston Hobby (HOU)</w:t>
            </w:r>
          </w:p>
        </w:tc>
        <w:tc>
          <w:tcPr>
            <w:tcW w:w="3162" w:type="dxa"/>
          </w:tcPr>
          <w:p>
            <w:pPr>
              <w:pStyle w:val="TableParagraph"/>
              <w:spacing w:before="39"/>
              <w:ind w:left="443"/>
              <w:rPr>
                <w:sz w:val="20"/>
              </w:rPr>
            </w:pPr>
            <w:r>
              <w:rPr>
                <w:sz w:val="20"/>
              </w:rPr>
              <w:t>Orange County (SNA)</w:t>
            </w:r>
          </w:p>
        </w:tc>
        <w:tc>
          <w:tcPr>
            <w:tcW w:w="1925" w:type="dxa"/>
          </w:tcPr>
          <w:p>
            <w:pPr/>
          </w:p>
        </w:tc>
      </w:tr>
    </w:tbl>
    <w:p>
      <w:pPr>
        <w:pStyle w:val="BodyText"/>
        <w:spacing w:before="168"/>
        <w:ind w:left="880"/>
      </w:pPr>
      <w:r>
        <w:rPr/>
        <w:t>Expansion (continued)</w:t>
      </w:r>
    </w:p>
    <w:p>
      <w:pPr>
        <w:spacing w:after="0"/>
        <w:sectPr>
          <w:headerReference w:type="default" r:id="rId22"/>
          <w:pgSz w:w="12240" w:h="15840"/>
          <w:pgMar w:header="725" w:footer="746" w:top="940" w:bottom="940" w:left="1640" w:right="920"/>
        </w:sectPr>
      </w:pPr>
    </w:p>
    <w:p>
      <w:pPr>
        <w:pStyle w:val="BodyText"/>
      </w:pPr>
    </w:p>
    <w:p>
      <w:pPr>
        <w:pStyle w:val="BodyText"/>
      </w:pPr>
    </w:p>
    <w:p>
      <w:pPr>
        <w:spacing w:after="0"/>
        <w:sectPr>
          <w:pgSz w:w="12240" w:h="15840"/>
          <w:pgMar w:header="725" w:footer="746" w:top="940" w:bottom="940" w:left="1700" w:right="960"/>
        </w:sectPr>
      </w:pPr>
    </w:p>
    <w:p>
      <w:pPr>
        <w:pStyle w:val="BodyText"/>
        <w:spacing w:before="10"/>
        <w:rPr>
          <w:sz w:val="23"/>
        </w:rPr>
      </w:pPr>
    </w:p>
    <w:p>
      <w:pPr>
        <w:pStyle w:val="Heading2"/>
        <w:ind w:left="819"/>
      </w:pPr>
      <w:r>
        <w:rPr/>
        <w:t>Available Seat Miles</w:t>
      </w:r>
    </w:p>
    <w:p>
      <w:pPr>
        <w:pStyle w:val="BodyText"/>
        <w:rPr>
          <w:rFonts w:ascii="Arial"/>
          <w:b/>
          <w:sz w:val="22"/>
        </w:rPr>
      </w:pPr>
      <w:r>
        <w:rPr/>
        <w:br w:type="column"/>
      </w:r>
      <w:r>
        <w:rPr>
          <w:rFonts w:ascii="Arial"/>
          <w:b/>
          <w:sz w:val="22"/>
        </w:rPr>
      </w:r>
    </w:p>
    <w:p>
      <w:pPr>
        <w:pStyle w:val="BodyText"/>
        <w:rPr>
          <w:rFonts w:ascii="Arial"/>
          <w:b/>
          <w:sz w:val="22"/>
        </w:rPr>
      </w:pPr>
    </w:p>
    <w:p>
      <w:pPr>
        <w:pStyle w:val="BodyText"/>
        <w:spacing w:before="1"/>
        <w:rPr>
          <w:rFonts w:ascii="Arial"/>
          <w:b/>
          <w:sz w:val="19"/>
        </w:rPr>
      </w:pPr>
    </w:p>
    <w:p>
      <w:pPr>
        <w:pStyle w:val="BodyText"/>
        <w:ind w:left="819"/>
        <w:rPr>
          <w:rFonts w:ascii="Arial"/>
        </w:rPr>
      </w:pPr>
      <w:r>
        <w:rPr/>
        <w:pict>
          <v:rect style="position:absolute;margin-left:360pt;margin-top:5.059910pt;width:36pt;height:76.320pt;mso-position-horizontal-relative:page;mso-position-vertical-relative:paragraph;z-index:7192" filled="true" fillcolor="#0000ff" stroked="false">
            <v:fill type="solid"/>
            <w10:wrap type="none"/>
          </v:rect>
        </w:pict>
      </w:r>
      <w:r>
        <w:rPr/>
        <w:pict>
          <v:line style="position:absolute;mso-position-horizontal-relative:page;mso-position-vertical-relative:paragraph;z-index:-116416" from="420.23999pt,9.379910pt" to="420.23999pt,9.379910pt" stroked="true" strokeweight=".24pt" strokecolor="#000000">
            <v:stroke dashstyle="solid"/>
            <w10:wrap type="none"/>
          </v:line>
        </w:pict>
      </w:r>
      <w:r>
        <w:rPr/>
        <w:pict>
          <v:line style="position:absolute;mso-position-horizontal-relative:page;mso-position-vertical-relative:paragraph;z-index:-116392" from="426.720001pt,9.379910pt" to="426.720001pt,9.379910pt" stroked="true" strokeweight=".24pt" strokecolor="#000000">
            <v:stroke dashstyle="solid"/>
            <w10:wrap type="none"/>
          </v:line>
        </w:pict>
      </w:r>
      <w:r>
        <w:rPr/>
        <w:pict>
          <v:line style="position:absolute;mso-position-horizontal-relative:page;mso-position-vertical-relative:paragraph;z-index:-116368" from="433.200012pt,9.379910pt" to="433.200012pt,9.379910pt" stroked="true" strokeweight=".24pt" strokecolor="#000000">
            <v:stroke dashstyle="solid"/>
            <w10:wrap type="none"/>
          </v:line>
        </w:pict>
      </w:r>
      <w:r>
        <w:rPr/>
        <w:pict>
          <v:line style="position:absolute;mso-position-horizontal-relative:page;mso-position-vertical-relative:paragraph;z-index:-116344" from="439.679993pt,9.379910pt" to="439.679993pt,9.379910pt" stroked="true" strokeweight=".24pt" strokecolor="#000000">
            <v:stroke dashstyle="solid"/>
            <w10:wrap type="none"/>
          </v:line>
        </w:pict>
      </w:r>
      <w:r>
        <w:rPr/>
        <w:pict>
          <v:line style="position:absolute;mso-position-horizontal-relative:page;mso-position-vertical-relative:paragraph;z-index:-116320" from="446.160004pt,9.379910pt" to="446.160004pt,9.379910pt" stroked="true" strokeweight=".24pt" strokecolor="#000000">
            <v:stroke dashstyle="solid"/>
            <w10:wrap type="none"/>
          </v:line>
        </w:pict>
      </w:r>
      <w:r>
        <w:rPr/>
        <w:pict>
          <v:shape style="position:absolute;margin-left:124.800003pt;margin-top:-8.380091pt;width:291.6pt;height:91pt;mso-position-horizontal-relative:page;mso-position-vertical-relative:paragraph;z-index:94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56"/>
                    <w:gridCol w:w="1085"/>
                    <w:gridCol w:w="1085"/>
                    <w:gridCol w:w="2335"/>
                  </w:tblGrid>
                  <w:tr>
                    <w:trPr>
                      <w:trHeight w:val="355" w:hRule="exact"/>
                    </w:trPr>
                    <w:tc>
                      <w:tcPr>
                        <w:tcW w:w="1256" w:type="dxa"/>
                        <w:tcBorders>
                          <w:bottom w:val="single" w:sz="2" w:space="0" w:color="000000"/>
                        </w:tcBorders>
                      </w:tcPr>
                      <w:p>
                        <w:pPr>
                          <w:pStyle w:val="TableParagraph"/>
                          <w:spacing w:line="120" w:lineRule="exact" w:before="0"/>
                          <w:rPr>
                            <w:rFonts w:ascii="Arial"/>
                            <w:i/>
                            <w:sz w:val="16"/>
                          </w:rPr>
                        </w:pPr>
                        <w:r>
                          <w:rPr>
                            <w:rFonts w:ascii="Arial"/>
                            <w:i/>
                            <w:w w:val="95"/>
                            <w:sz w:val="16"/>
                          </w:rPr>
                          <w:t>(in millions</w:t>
                        </w:r>
                      </w:p>
                    </w:tc>
                    <w:tc>
                      <w:tcPr>
                        <w:tcW w:w="1085" w:type="dxa"/>
                        <w:tcBorders>
                          <w:bottom w:val="single" w:sz="2" w:space="0" w:color="000000"/>
                        </w:tcBorders>
                      </w:tcPr>
                      <w:p>
                        <w:pPr/>
                      </w:p>
                    </w:tc>
                    <w:tc>
                      <w:tcPr>
                        <w:tcW w:w="1085" w:type="dxa"/>
                        <w:tcBorders>
                          <w:bottom w:val="single" w:sz="2" w:space="0" w:color="000000"/>
                        </w:tcBorders>
                      </w:tcPr>
                      <w:p>
                        <w:pPr/>
                      </w:p>
                    </w:tc>
                    <w:tc>
                      <w:tcPr>
                        <w:tcW w:w="2335" w:type="dxa"/>
                        <w:tcBorders>
                          <w:bottom w:val="single" w:sz="2" w:space="0" w:color="000000"/>
                          <w:right w:val="single" w:sz="19" w:space="0" w:color="000000"/>
                        </w:tcBorders>
                      </w:tcPr>
                      <w:p>
                        <w:pPr>
                          <w:pStyle w:val="TableParagraph"/>
                          <w:spacing w:line="220" w:lineRule="exact" w:before="0"/>
                          <w:ind w:left="1307"/>
                          <w:rPr>
                            <w:rFonts w:ascii="Arial"/>
                            <w:sz w:val="20"/>
                          </w:rPr>
                        </w:pPr>
                        <w:r>
                          <w:rPr>
                            <w:rFonts w:ascii="Arial"/>
                            <w:sz w:val="20"/>
                          </w:rPr>
                          <w:t>32,124</w:t>
                        </w:r>
                      </w:p>
                    </w:tc>
                  </w:tr>
                  <w:tr>
                    <w:trPr>
                      <w:trHeight w:val="499" w:hRule="exact"/>
                    </w:trPr>
                    <w:tc>
                      <w:tcPr>
                        <w:tcW w:w="1256" w:type="dxa"/>
                        <w:tcBorders>
                          <w:top w:val="single" w:sz="2" w:space="0" w:color="000000"/>
                          <w:bottom w:val="single" w:sz="2" w:space="0" w:color="000000"/>
                        </w:tcBorders>
                      </w:tcPr>
                      <w:p>
                        <w:pPr/>
                      </w:p>
                    </w:tc>
                    <w:tc>
                      <w:tcPr>
                        <w:tcW w:w="1085" w:type="dxa"/>
                        <w:tcBorders>
                          <w:top w:val="single" w:sz="2" w:space="0" w:color="000000"/>
                          <w:bottom w:val="single" w:sz="2" w:space="0" w:color="000000"/>
                        </w:tcBorders>
                      </w:tcPr>
                      <w:p>
                        <w:pPr>
                          <w:pStyle w:val="TableParagraph"/>
                          <w:spacing w:before="7"/>
                          <w:rPr>
                            <w:rFonts w:ascii="Arial"/>
                            <w:sz w:val="30"/>
                          </w:rPr>
                        </w:pPr>
                      </w:p>
                      <w:p>
                        <w:pPr>
                          <w:pStyle w:val="TableParagraph"/>
                          <w:spacing w:line="182" w:lineRule="exact" w:before="0"/>
                          <w:ind w:left="237"/>
                          <w:rPr>
                            <w:rFonts w:ascii="Arial"/>
                            <w:sz w:val="20"/>
                          </w:rPr>
                        </w:pPr>
                        <w:r>
                          <w:rPr>
                            <w:rFonts w:ascii="Arial"/>
                            <w:sz w:val="20"/>
                          </w:rPr>
                          <w:t>18,491</w:t>
                        </w:r>
                      </w:p>
                    </w:tc>
                    <w:tc>
                      <w:tcPr>
                        <w:tcW w:w="1085" w:type="dxa"/>
                        <w:tcBorders>
                          <w:top w:val="single" w:sz="2" w:space="0" w:color="000000"/>
                          <w:bottom w:val="single" w:sz="2" w:space="0" w:color="000000"/>
                        </w:tcBorders>
                      </w:tcPr>
                      <w:p>
                        <w:pPr>
                          <w:pStyle w:val="TableParagraph"/>
                          <w:spacing w:before="127"/>
                          <w:ind w:left="232"/>
                          <w:rPr>
                            <w:rFonts w:ascii="Arial"/>
                            <w:sz w:val="20"/>
                          </w:rPr>
                        </w:pPr>
                        <w:r>
                          <w:rPr>
                            <w:rFonts w:ascii="Arial"/>
                            <w:sz w:val="20"/>
                          </w:rPr>
                          <w:t>21,367</w:t>
                        </w:r>
                      </w:p>
                    </w:tc>
                    <w:tc>
                      <w:tcPr>
                        <w:tcW w:w="2335" w:type="dxa"/>
                        <w:tcBorders>
                          <w:top w:val="single" w:sz="2" w:space="0" w:color="000000"/>
                          <w:bottom w:val="single" w:sz="2" w:space="0" w:color="000000"/>
                          <w:right w:val="single" w:sz="19" w:space="0" w:color="000000"/>
                        </w:tcBorders>
                      </w:tcPr>
                      <w:p>
                        <w:pPr>
                          <w:pStyle w:val="TableParagraph"/>
                          <w:spacing w:line="131" w:lineRule="exact" w:before="0"/>
                          <w:ind w:left="237"/>
                          <w:rPr>
                            <w:rFonts w:ascii="Arial"/>
                            <w:sz w:val="20"/>
                          </w:rPr>
                        </w:pPr>
                        <w:r>
                          <w:rPr>
                            <w:rFonts w:ascii="Arial"/>
                            <w:sz w:val="20"/>
                          </w:rPr>
                          <w:t>27,511</w:t>
                        </w:r>
                      </w:p>
                    </w:tc>
                  </w:tr>
                  <w:tr>
                    <w:trPr>
                      <w:trHeight w:val="490" w:hRule="exact"/>
                    </w:trPr>
                    <w:tc>
                      <w:tcPr>
                        <w:tcW w:w="5760" w:type="dxa"/>
                        <w:gridSpan w:val="4"/>
                        <w:tcBorders>
                          <w:top w:val="single" w:sz="2" w:space="0" w:color="000000"/>
                          <w:bottom w:val="single" w:sz="2" w:space="0" w:color="000000"/>
                          <w:right w:val="single" w:sz="19" w:space="0" w:color="000000"/>
                        </w:tcBorders>
                      </w:tcPr>
                      <w:p>
                        <w:pPr/>
                      </w:p>
                    </w:tc>
                  </w:tr>
                  <w:tr>
                    <w:trPr>
                      <w:trHeight w:val="451" w:hRule="exact"/>
                    </w:trPr>
                    <w:tc>
                      <w:tcPr>
                        <w:tcW w:w="5760" w:type="dxa"/>
                        <w:gridSpan w:val="4"/>
                        <w:tcBorders>
                          <w:top w:val="single" w:sz="2" w:space="0" w:color="000000"/>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30,000</w:t>
      </w:r>
    </w:p>
    <w:p>
      <w:pPr>
        <w:pStyle w:val="BodyText"/>
        <w:spacing w:before="4"/>
        <w:rPr>
          <w:rFonts w:ascii="Arial"/>
          <w:sz w:val="23"/>
        </w:rPr>
      </w:pPr>
    </w:p>
    <w:p>
      <w:pPr>
        <w:pStyle w:val="BodyText"/>
        <w:ind w:left="819"/>
        <w:rPr>
          <w:rFonts w:ascii="Arial"/>
        </w:rPr>
      </w:pPr>
      <w:r>
        <w:rPr/>
        <w:pict>
          <v:line style="position:absolute;mso-position-horizontal-relative:page;mso-position-vertical-relative:paragraph;z-index:-116656" from="420.23999pt,9.379888pt" to="420.23999pt,9.379888pt" stroked="true" strokeweight=".24pt" strokecolor="#000000">
            <v:stroke dashstyle="solid"/>
            <w10:wrap type="none"/>
          </v:line>
        </w:pict>
      </w:r>
      <w:r>
        <w:rPr/>
        <w:pict>
          <v:line style="position:absolute;mso-position-horizontal-relative:page;mso-position-vertical-relative:paragraph;z-index:-116632" from="426.720001pt,9.379888pt" to="426.720001pt,9.379888pt" stroked="true" strokeweight=".24pt" strokecolor="#000000">
            <v:stroke dashstyle="solid"/>
            <w10:wrap type="none"/>
          </v:line>
        </w:pict>
      </w:r>
      <w:r>
        <w:rPr/>
        <w:pict>
          <v:line style="position:absolute;mso-position-horizontal-relative:page;mso-position-vertical-relative:paragraph;z-index:-116608" from="433.200012pt,9.379888pt" to="433.200012pt,9.379888pt" stroked="true" strokeweight=".24pt" strokecolor="#000000">
            <v:stroke dashstyle="solid"/>
            <w10:wrap type="none"/>
          </v:line>
        </w:pict>
      </w:r>
      <w:r>
        <w:rPr/>
        <w:pict>
          <v:line style="position:absolute;mso-position-horizontal-relative:page;mso-position-vertical-relative:paragraph;z-index:-116584" from="439.679993pt,9.379888pt" to="439.679993pt,9.379888pt" stroked="true" strokeweight=".24pt" strokecolor="#000000">
            <v:stroke dashstyle="solid"/>
            <w10:wrap type="none"/>
          </v:line>
        </w:pict>
      </w:r>
      <w:r>
        <w:rPr/>
        <w:pict>
          <v:line style="position:absolute;mso-position-horizontal-relative:page;mso-position-vertical-relative:paragraph;z-index:-116560" from="446.160004pt,9.379888pt" to="446.160004pt,9.379888pt" stroked="true" strokeweight=".24pt" strokecolor="#000000">
            <v:stroke dashstyle="solid"/>
            <w10:wrap type="none"/>
          </v:line>
        </w:pict>
      </w:r>
      <w:r>
        <w:rPr>
          <w:rFonts w:ascii="Arial"/>
          <w:w w:val="100"/>
          <w:u w:val="single"/>
        </w:rPr>
        <w:t> </w:t>
      </w:r>
      <w:r>
        <w:rPr>
          <w:rFonts w:ascii="Arial"/>
          <w:u w:val="single"/>
        </w:rPr>
        <w:t>20,000</w:t>
      </w:r>
    </w:p>
    <w:p>
      <w:pPr>
        <w:pStyle w:val="BodyText"/>
        <w:spacing w:before="6"/>
        <w:rPr>
          <w:rFonts w:ascii="Arial"/>
          <w:sz w:val="22"/>
        </w:rPr>
      </w:pPr>
    </w:p>
    <w:p>
      <w:pPr>
        <w:pStyle w:val="BodyText"/>
        <w:ind w:left="819"/>
        <w:rPr>
          <w:rFonts w:ascii="Arial"/>
        </w:rPr>
      </w:pPr>
      <w:r>
        <w:rPr/>
        <w:pict>
          <v:line style="position:absolute;mso-position-horizontal-relative:page;mso-position-vertical-relative:paragraph;z-index:-116536" from="420.23999pt,9.379908pt" to="420.23999pt,9.379908pt" stroked="true" strokeweight=".24pt" strokecolor="#000000">
            <v:stroke dashstyle="solid"/>
            <w10:wrap type="none"/>
          </v:line>
        </w:pict>
      </w:r>
      <w:r>
        <w:rPr/>
        <w:pict>
          <v:line style="position:absolute;mso-position-horizontal-relative:page;mso-position-vertical-relative:paragraph;z-index:-116512" from="426.720001pt,9.379908pt" to="426.720001pt,9.379908pt" stroked="true" strokeweight=".24pt" strokecolor="#000000">
            <v:stroke dashstyle="solid"/>
            <w10:wrap type="none"/>
          </v:line>
        </w:pict>
      </w:r>
      <w:r>
        <w:rPr/>
        <w:pict>
          <v:line style="position:absolute;mso-position-horizontal-relative:page;mso-position-vertical-relative:paragraph;z-index:-116488" from="433.200012pt,9.379908pt" to="433.200012pt,9.379908pt" stroked="true" strokeweight=".24pt" strokecolor="#000000">
            <v:stroke dashstyle="solid"/>
            <w10:wrap type="none"/>
          </v:line>
        </w:pict>
      </w:r>
      <w:r>
        <w:rPr/>
        <w:pict>
          <v:line style="position:absolute;mso-position-horizontal-relative:page;mso-position-vertical-relative:paragraph;z-index:-116464" from="439.679993pt,9.379908pt" to="439.679993pt,9.379908pt" stroked="true" strokeweight=".24pt" strokecolor="#000000">
            <v:stroke dashstyle="solid"/>
            <w10:wrap type="none"/>
          </v:line>
        </w:pict>
      </w:r>
      <w:r>
        <w:rPr/>
        <w:pict>
          <v:line style="position:absolute;mso-position-horizontal-relative:page;mso-position-vertical-relative:paragraph;z-index:-116440" from="446.160004pt,9.379908pt" to="446.160004pt,9.379908pt" stroked="true" strokeweight=".24pt" strokecolor="#000000">
            <v:stroke dashstyle="solid"/>
            <w10:wrap type="none"/>
          </v:line>
        </w:pict>
      </w:r>
      <w:r>
        <w:rPr>
          <w:rFonts w:ascii="Arial"/>
          <w:w w:val="100"/>
          <w:u w:val="single"/>
        </w:rPr>
        <w:t> </w:t>
      </w:r>
      <w:r>
        <w:rPr>
          <w:rFonts w:ascii="Arial"/>
          <w:u w:val="single"/>
        </w:rPr>
        <w:t>10,000</w:t>
      </w:r>
    </w:p>
    <w:p>
      <w:pPr>
        <w:spacing w:after="0"/>
        <w:rPr>
          <w:rFonts w:ascii="Arial"/>
        </w:rPr>
        <w:sectPr>
          <w:type w:val="continuous"/>
          <w:pgSz w:w="12240" w:h="15840"/>
          <w:pgMar w:top="1420" w:bottom="280" w:left="1700" w:right="960"/>
          <w:cols w:num="2" w:equalWidth="0">
            <w:col w:w="2738" w:space="3066"/>
            <w:col w:w="3776"/>
          </w:cols>
        </w:sectPr>
      </w:pPr>
    </w:p>
    <w:p>
      <w:pPr>
        <w:pStyle w:val="BodyText"/>
        <w:rPr>
          <w:rFonts w:ascii="Arial"/>
        </w:rPr>
      </w:pPr>
    </w:p>
    <w:p>
      <w:pPr>
        <w:spacing w:after="0"/>
        <w:rPr>
          <w:rFonts w:ascii="Arial"/>
        </w:rPr>
        <w:sectPr>
          <w:type w:val="continuous"/>
          <w:pgSz w:w="12240" w:h="15840"/>
          <w:pgMar w:top="1420" w:bottom="280" w:left="1700" w:right="960"/>
        </w:sectPr>
      </w:pPr>
    </w:p>
    <w:p>
      <w:pPr>
        <w:pStyle w:val="BodyText"/>
        <w:rPr>
          <w:rFonts w:ascii="Arial"/>
          <w:sz w:val="23"/>
        </w:rPr>
      </w:pPr>
    </w:p>
    <w:p>
      <w:pPr>
        <w:pStyle w:val="BodyText"/>
        <w:jc w:val="right"/>
        <w:rPr>
          <w:rFonts w:ascii="Arial"/>
        </w:rPr>
      </w:pPr>
      <w:r>
        <w:rPr/>
        <w:pict>
          <v:rect style="position:absolute;margin-left:144pt;margin-top:-40.060143pt;width:36pt;height:35.76pt;mso-position-horizontal-relative:page;mso-position-vertical-relative:paragraph;z-index:7096" filled="true" fillcolor="#ff6600" stroked="false">
            <v:fill type="solid"/>
            <w10:wrap type="none"/>
          </v:rect>
        </w:pict>
      </w:r>
      <w:r>
        <w:rPr>
          <w:rFonts w:ascii="Arial"/>
        </w:rPr>
        <w:t>1990</w:t>
      </w:r>
    </w:p>
    <w:p>
      <w:pPr>
        <w:pStyle w:val="BodyText"/>
        <w:rPr>
          <w:rFonts w:ascii="Arial"/>
          <w:sz w:val="23"/>
        </w:rPr>
      </w:pPr>
      <w:r>
        <w:rPr/>
        <w:br w:type="column"/>
      </w:r>
      <w:r>
        <w:rPr>
          <w:rFonts w:ascii="Arial"/>
          <w:sz w:val="23"/>
        </w:rPr>
      </w:r>
    </w:p>
    <w:p>
      <w:pPr>
        <w:pStyle w:val="BodyText"/>
        <w:ind w:left="597"/>
        <w:rPr>
          <w:rFonts w:ascii="Arial"/>
        </w:rPr>
      </w:pPr>
      <w:r>
        <w:rPr/>
        <w:pict>
          <v:rect style="position:absolute;margin-left:198pt;margin-top:-44.860146pt;width:36pt;height:40.56pt;mso-position-horizontal-relative:page;mso-position-vertical-relative:paragraph;z-index:7120" filled="true" fillcolor="#ff00ff" stroked="false">
            <v:fill type="solid"/>
            <w10:wrap type="none"/>
          </v:rect>
        </w:pict>
      </w:r>
      <w:r>
        <w:rPr>
          <w:rFonts w:ascii="Arial"/>
          <w:spacing w:val="-1"/>
        </w:rPr>
        <w:t>1991</w:t>
      </w:r>
    </w:p>
    <w:p>
      <w:pPr>
        <w:pStyle w:val="BodyText"/>
        <w:rPr>
          <w:rFonts w:ascii="Arial"/>
          <w:sz w:val="23"/>
        </w:rPr>
      </w:pPr>
      <w:r>
        <w:rPr/>
        <w:br w:type="column"/>
      </w:r>
      <w:r>
        <w:rPr>
          <w:rFonts w:ascii="Arial"/>
          <w:sz w:val="23"/>
        </w:rPr>
      </w:r>
    </w:p>
    <w:p>
      <w:pPr>
        <w:pStyle w:val="BodyText"/>
        <w:ind w:left="597"/>
        <w:rPr>
          <w:rFonts w:ascii="Arial"/>
        </w:rPr>
      </w:pPr>
      <w:r>
        <w:rPr/>
        <w:pict>
          <v:rect style="position:absolute;margin-left:252pt;margin-top:-55.900143pt;width:36pt;height:51.6pt;mso-position-horizontal-relative:page;mso-position-vertical-relative:paragraph;z-index:7144" filled="true" fillcolor="#ff0000" stroked="false">
            <v:fill type="solid"/>
            <w10:wrap type="none"/>
          </v:rect>
        </w:pict>
      </w:r>
      <w:r>
        <w:rPr>
          <w:rFonts w:ascii="Arial"/>
          <w:spacing w:val="-1"/>
        </w:rPr>
        <w:t>1992</w:t>
      </w:r>
    </w:p>
    <w:p>
      <w:pPr>
        <w:pStyle w:val="BodyText"/>
        <w:rPr>
          <w:rFonts w:ascii="Arial"/>
          <w:sz w:val="23"/>
        </w:rPr>
      </w:pPr>
      <w:r>
        <w:rPr/>
        <w:br w:type="column"/>
      </w:r>
      <w:r>
        <w:rPr>
          <w:rFonts w:ascii="Arial"/>
          <w:sz w:val="23"/>
        </w:rPr>
      </w:r>
    </w:p>
    <w:p>
      <w:pPr>
        <w:pStyle w:val="BodyText"/>
        <w:ind w:left="597"/>
        <w:rPr>
          <w:rFonts w:ascii="Arial"/>
        </w:rPr>
      </w:pPr>
      <w:r>
        <w:rPr/>
        <w:pict>
          <v:rect style="position:absolute;margin-left:306pt;margin-top:-67.180145pt;width:36pt;height:62.88pt;mso-position-horizontal-relative:page;mso-position-vertical-relative:paragraph;z-index:7168" filled="true" fillcolor="#00ff00" stroked="false">
            <v:fill type="solid"/>
            <w10:wrap type="none"/>
          </v:rect>
        </w:pict>
      </w:r>
      <w:r>
        <w:rPr>
          <w:rFonts w:ascii="Arial"/>
          <w:spacing w:val="-1"/>
        </w:rPr>
        <w:t>1993</w:t>
      </w:r>
    </w:p>
    <w:p>
      <w:pPr>
        <w:pStyle w:val="BodyText"/>
        <w:rPr>
          <w:rFonts w:ascii="Arial"/>
          <w:sz w:val="23"/>
        </w:rPr>
      </w:pPr>
      <w:r>
        <w:rPr/>
        <w:br w:type="column"/>
      </w:r>
      <w:r>
        <w:rPr>
          <w:rFonts w:ascii="Arial"/>
          <w:sz w:val="23"/>
        </w:rPr>
      </w:r>
    </w:p>
    <w:p>
      <w:pPr>
        <w:pStyle w:val="BodyText"/>
        <w:ind w:left="597"/>
        <w:rPr>
          <w:rFonts w:ascii="Arial"/>
        </w:rPr>
      </w:pP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spacing w:before="3"/>
        <w:rPr>
          <w:rFonts w:ascii="Arial"/>
          <w:sz w:val="9"/>
        </w:rPr>
      </w:pPr>
    </w:p>
    <w:p>
      <w:pPr>
        <w:pStyle w:val="Heading2"/>
        <w:spacing w:line="225" w:lineRule="exact" w:before="95"/>
        <w:ind w:left="820"/>
      </w:pPr>
      <w:r>
        <w:rPr/>
        <w:t>Revenue passenger Miles</w:t>
      </w:r>
    </w:p>
    <w:p>
      <w:pPr>
        <w:spacing w:line="179" w:lineRule="exact" w:before="0"/>
        <w:ind w:left="820" w:right="0" w:firstLine="0"/>
        <w:jc w:val="left"/>
        <w:rPr>
          <w:rFonts w:ascii="Arial"/>
          <w:i/>
          <w:sz w:val="16"/>
        </w:rPr>
      </w:pPr>
      <w:r>
        <w:rPr/>
        <w:pict>
          <v:group style="position:absolute;margin-left:125.875pt;margin-top:1.732383pt;width:289.45pt;height:92.2pt;mso-position-horizontal-relative:page;mso-position-vertical-relative:paragraph;z-index:-116296" coordorigin="2518,35" coordsize="5789,1844">
            <v:rect style="position:absolute;left:2880;top:1403;width:720;height:451" filled="true" fillcolor="#ff6600" stroked="false">
              <v:fill type="solid"/>
            </v:rect>
            <v:rect style="position:absolute;left:7200;top:822;width:720;height:1032" filled="true" fillcolor="#0000ff" stroked="false">
              <v:fill type="solid"/>
            </v:rect>
            <v:shape style="position:absolute;left:2520;top:913;width:5784;height:490" coordorigin="2520,913" coordsize="5784,490" path="m2520,913l2525,913m2544,913l2549,913m2573,913l2578,913m2597,913l2602,913m2626,913l2630,913m2650,913l2654,913m2674,913l2678,913m2702,913l2707,913m2726,913l2731,913m2755,913l2760,913m2779,913l2784,913m2803,913l2808,913m2832,913l2837,913m2856,913l2861,913m2885,913l2890,913m2909,913l2914,913m2933,913l2938,913m2962,913l2966,913m2986,913l2990,913m3014,913l3019,913m3038,913l3043,913m3062,913l3067,913m3091,913l3096,913m3115,913l3120,913m3144,913l3149,913m3168,913l3173,913m3192,913l3197,913m3221,913l3226,913m3245,913l3250,913m3274,913l3278,913m3298,913l3302,913m3322,913l3326,913m3350,913l3355,913m3374,913l3379,913m3403,913l3408,913m3427,913l3432,913m3451,913l3456,913m3480,913l3485,913m3504,913l3509,913m3533,913l3538,913m3557,913l3562,913m3581,913l3586,913m3610,913l3610,913m3634,913l3638,913m3658,913l3662,913m3686,913l3691,913m3710,913l3715,913m3739,913l3739,913m3763,913l3768,913m3787,913l3792,913m3816,913l3821,913m3840,913l3845,913m3869,913l3869,913m3893,913l3898,913m3917,913l3922,913m3946,913l3950,913m3970,913l3974,913m3998,913l3998,913m4022,913l4027,913m4046,913l4051,913m4075,913l4080,913m4099,913l4104,913m4128,913l4128,913m4152,913l4157,913m4176,913l4181,913m4205,913l4210,913m4229,913l4234,913m4258,913l4258,913m4282,913l4286,913m4306,913l4310,913m4334,913l4339,913m4358,913l4363,913m4387,913l4387,913m4411,913l4416,913m4435,913l4440,913m4464,913l4469,913m4488,913l4493,913m4517,913l4517,913m4541,913l4546,913m4565,913l4570,913m4594,913l4598,913m4618,913l4622,913m4646,913l4646,913m4670,913l4675,913m4694,913l4699,913m4723,913l4728,913m4747,913l4752,913m4776,913l4776,913m4800,913l4805,913m4824,913l4829,913m4853,913l4858,913m4877,913l4882,913m4906,913l4906,913m4930,913l4934,913m4954,913l4958,913m4982,913l4987,913m5006,913l5011,913m5035,913l5035,913m5059,913l5064,913m5083,913l5088,913m5112,913l5117,913m5136,913l5141,913m5165,913l5165,913m5189,913l5194,913m5213,913l5218,913m5242,913l5246,913m5266,913l5270,913m5294,913l5294,913m5318,913l5323,913m5342,913l5347,913m5371,913l5376,913m5395,913l5400,913m5424,913l5424,913m5448,913l5453,913m5472,913l5477,913m5501,913l5506,913m5525,913l5530,913m5554,913l5554,913m5578,913l5582,913m5602,913l5606,913m5630,913l5635,913m5654,913l5659,913m5683,913l5683,913m5707,913l5712,913m5731,913l5736,913m5760,913l5765,913m5784,913l5789,913m5813,913l5813,913m5837,913l5842,913m5861,913l5866,913m5890,913l5894,913m5914,913l5918,913m5942,913l5942,913m5966,913l5971,913m5990,913l5995,913m6019,913l6024,913m6043,913l6048,913m6072,913l6072,913m6096,913l6101,913m6120,913l6125,913m6149,913l6154,913m6173,913l6178,913m6202,913l6202,913m6226,913l6230,913m6250,913l6254,913m6278,913l6283,913m6302,913l6307,913m6331,913l6331,913m6355,913l6360,913m6379,913l6384,913m6408,913l6413,913m6432,913l6437,913m6461,913l6461,913m6485,913l6490,913m6509,913l6514,913m6538,913l6542,913m6562,913l6566,913m6590,913l6590,913m6614,913l6619,913m6638,913l6643,913m6667,913l6672,913m6691,913l6696,913m6720,913l6720,913m6744,913l6749,913m6768,913l6773,913m6797,913l6802,913m6821,913l6826,913m6850,913l6850,913m6874,913l6878,913m6898,913l6902,913m6926,913l6931,913m6950,913l6955,913m6979,913l6979,913m7003,913l7008,913m7027,913l7032,913m7056,913l7061,913m7080,913l7085,913m7109,913l7109,913m7133,913l7138,913m7157,913l7162,913m7186,913l7190,913m7210,913l7214,913m7238,913l7238,913m7262,913l7267,913m7286,913l7291,913m7315,913l7320,913m7339,913l7344,913m7368,913l7368,913m7392,913l7397,913m7416,913l7421,913m7445,913l7450,913m7469,913l7474,913m7498,913l7498,913m7522,913l7526,913m7546,913l7550,913m7574,913l7579,913m7598,913l7603,913m7627,913l7627,913m7651,913l7656,913m7675,913l7680,913m7704,913l7709,913m7728,913l7733,913m7757,913l7757,913m7781,913l7786,913m7805,913l7810,913m7834,913l7838,913m7858,913l7862,913m7886,913l7886,913m7910,913l7915,913m7934,913l7939,913m7963,913l7968,913m7987,913l7992,913m8016,913l8016,913m8040,913l8045,913m8064,913l8069,913m8093,913l8098,913m8117,913l8122,913m8146,913l8146,913m8170,913l8174,913m8194,913l8198,913m8222,913l8227,913m8246,913l8251,913m8275,913l8275,913m8299,913l8304,913m2520,1403l2525,1403m2544,1403l2549,1403m2573,1403l2578,1403m2597,1403l2602,1403m2626,1403l2630,1403m2650,1403l2654,1403m2674,1403l2678,1403m2702,1403l2707,1403m2726,1403l2731,1403m2755,1403l2760,1403m2779,1403l2784,1403m2803,1403l2808,1403m2832,1403l2837,1403m2856,1403l2861,1403m2885,1403l2890,1403m2909,1403l2914,1403m2933,1403l2938,1403m2962,1403l2966,1403m2986,1403l2990,1403m3014,1403l3019,1403m3038,1403l3043,1403m3062,1403l3067,1403m3091,1403l3096,1403m3115,1403l3120,1403m3144,1403l3149,1403m3168,1403l3173,1403m3192,1403l3197,1403m3221,1403l3226,1403m3245,1403l3250,1403m3274,1403l3278,1403m3298,1403l3302,1403m3322,1403l3326,1403m3350,1403l3355,1403m3374,1403l3379,1403m3403,1403l3408,1403m3427,1403l3432,1403m3451,1403l3456,1403m3480,1403l3485,1403m3504,1403l3509,1403m3533,1403l3538,1403m3557,1403l3562,1403m3581,1403l3586,1403m3610,1403l3610,1403m3634,1403l3638,1403m3658,1403l3662,1403m3686,1403l3691,1403m3710,1403l3715,1403m3739,1403l3739,1403m3763,1403l3768,1403m3787,1403l3792,1403m3816,1403l3821,1403m3840,1403l3845,1403m3869,1403l3869,1403e" filled="false" stroked="true" strokeweight=".24pt" strokecolor="#000000">
              <v:path arrowok="t"/>
              <v:stroke dashstyle="solid"/>
            </v:shape>
            <v:rect style="position:absolute;left:3960;top:1273;width:720;height:581" filled="true" fillcolor="#ff00ff" stroked="false">
              <v:fill type="solid"/>
            </v:rect>
            <v:shape style="position:absolute;left:3893;top:1403;width:1066;height:2" coordorigin="3893,1403" coordsize="1066,0" path="m3893,1403l3898,1403m3917,1403l3922,1403m3946,1403l3950,1403m3970,1403l3974,1403m3998,1403l3998,1403m4022,1403l4027,1403m4046,1403l4051,1403m4075,1403l4080,1403m4099,1403l4104,1403m4128,1403l4128,1403m4152,1403l4157,1403m4176,1403l4181,1403m4205,1403l4210,1403m4229,1403l4234,1403m4258,1403l4258,1403m4282,1403l4286,1403m4306,1403l4310,1403m4334,1403l4339,1403m4358,1403l4363,1403m4387,1403l4387,1403m4411,1403l4416,1403m4435,1403l4440,1403m4464,1403l4469,1403m4488,1403l4493,1403m4517,1403l4517,1403m4541,1403l4546,1403m4565,1403l4570,1403m4594,1403l4598,1403m4618,1403l4622,1403m4646,1403l4646,1403m4670,1403l4675,1403m4694,1403l4699,1403m4723,1403l4728,1403m4747,1403l4752,1403m4776,1403l4776,1403m4800,1403l4805,1403m4824,1403l4829,1403m4853,1403l4858,1403m4877,1403l4882,1403m4906,1403l4906,1403m4930,1403l4934,1403m4954,1403l4958,1403e" filled="false" stroked="true" strokeweight=".24pt" strokecolor="#000000">
              <v:path arrowok="t"/>
              <v:stroke dashstyle="solid"/>
            </v:shape>
            <v:rect style="position:absolute;left:5040;top:1182;width:720;height:672" filled="true" fillcolor="#ff0000" stroked="false">
              <v:fill type="solid"/>
            </v:rect>
            <v:shape style="position:absolute;left:4982;top:1403;width:1066;height:2" coordorigin="4982,1403" coordsize="1066,0" path="m4982,1403l4987,1403m5006,1403l5011,1403m5035,1403l5035,1403m5059,1403l5064,1403m5083,1403l5088,1403m5112,1403l5117,1403m5136,1403l5141,1403m5165,1403l5165,1403m5189,1403l5194,1403m5213,1403l5218,1403m5242,1403l5246,1403m5266,1403l5270,1403m5294,1403l5294,1403m5318,1403l5323,1403m5342,1403l5347,1403m5371,1403l5376,1403m5395,1403l5400,1403m5424,1403l5424,1403m5448,1403l5453,1403m5472,1403l5477,1403m5501,1403l5506,1403m5525,1403l5530,1403m5554,1403l5554,1403m5578,1403l5582,1403m5602,1403l5606,1403m5630,1403l5635,1403m5654,1403l5659,1403m5683,1403l5683,1403m5707,1403l5712,1403m5731,1403l5736,1403m5760,1403l5765,1403m5784,1403l5789,1403m5813,1403l5813,1403m5837,1403l5842,1403m5861,1403l5866,1403m5890,1403l5894,1403m5914,1403l5918,1403m5942,1403l5942,1403m5966,1403l5971,1403m5990,1403l5995,1403m6019,1403l6024,1403m6043,1403l6048,1403e" filled="false" stroked="true" strokeweight=".24pt" strokecolor="#000000">
              <v:path arrowok="t"/>
              <v:stroke dashstyle="solid"/>
            </v:shape>
            <v:rect style="position:absolute;left:6120;top:999;width:720;height:854" filled="true" fillcolor="#00ff00" stroked="false">
              <v:fill type="solid"/>
            </v:rect>
            <v:shape style="position:absolute;left:6072;top:1403;width:2232;height:2" coordorigin="6072,1403" coordsize="2232,0" path="m6072,1403l6072,1403m6096,1403l6101,1403m6120,1403l6125,1403m6149,1403l6154,1403m6173,1403l6178,1403m6202,1403l6202,1403m6226,1403l6230,1403m6250,1403l6254,1403m6278,1403l6283,1403m6302,1403l6307,1403m6331,1403l6331,1403m6355,1403l6360,1403m6379,1403l6384,1403m6408,1403l6413,1403m6432,1403l6437,1403m6461,1403l6461,1403m6485,1403l6490,1403m6509,1403l6514,1403m6538,1403l6542,1403m6562,1403l6566,1403m6590,1403l6590,1403m6614,1403l6619,1403m6638,1403l6643,1403m6667,1403l6672,1403m6691,1403l6696,1403m6720,1403l6720,1403m6744,1403l6749,1403m6768,1403l6773,1403m6797,1403l6802,1403m6821,1403l6826,1403m6850,1403l6850,1403m6874,1403l6878,1403m6898,1403l6902,1403m6926,1403l6931,1403m6950,1403l6955,1403m6979,1403l6979,1403m7003,1403l7008,1403m7027,1403l7032,1403m7056,1403l7061,1403m7080,1403l7085,1403m7109,1403l7109,1403m7133,1403l7138,1403m7157,1403l7162,1403m7186,1403l7190,1403m7210,1403l7214,1403m7238,1403l7238,1403m7262,1403l7267,1403m7286,1403l7291,1403m7315,1403l7320,1403m7339,1403l7344,1403m7368,1403l7368,1403m7392,1403l7397,1403m7416,1403l7421,1403m7445,1403l7450,1403m7469,1403l7474,1403m7498,1403l7498,1403m7522,1403l7526,1403m7546,1403l7550,1403m7574,1403l7579,1403m7598,1403l7603,1403m7627,1403l7627,1403m7651,1403l7656,1403m7675,1403l7680,1403m7704,1403l7709,1403m7728,1403l7733,1403m7757,1403l7757,1403m7781,1403l7786,1403m7805,1403l7810,1403m7834,1403l7838,1403m7858,1403l7862,1403m7886,1403l7886,1403m7910,1403l7915,1403m7934,1403l7939,1403m7963,1403l7968,1403m7987,1403l7992,1403m8016,1403l8016,1403m8040,1403l8045,1403m8064,1403l8069,1403m8093,1403l8098,1403m8117,1403l8122,1403m8146,1403l8146,1403m8170,1403l8174,1403m8194,1403l8198,1403m8222,1403l8227,1403m8246,1403l8251,1403m8275,1403l8275,1403m8299,1403l8304,1403e" filled="false" stroked="true" strokeweight=".24pt" strokecolor="#000000">
              <v:path arrowok="t"/>
              <v:stroke dashstyle="solid"/>
            </v:shape>
            <v:shape style="position:absolute;left:2520;top:1835;width:5784;height:44" coordorigin="2520,1835" coordsize="5784,44" path="m8280,1835l2520,1835,2520,1878,8280,1878,8304,1854,8256,1854,8280,1835xm8304,1854l8280,1878,8304,1878,8304,1854xe" filled="true" fillcolor="#000000" stroked="false">
              <v:path arrowok="t"/>
              <v:fill type="solid"/>
            </v:shape>
            <v:shape style="position:absolute;left:8275;top:414;width:29;height:2" coordorigin="8275,414" coordsize="29,0" path="m8275,414l8275,414m8299,414l8304,414e" filled="false" stroked="true" strokeweight=".24pt" strokecolor="#000000">
              <v:path arrowok="t"/>
              <v:stroke dashstyle="solid"/>
            </v:shape>
            <v:line style="position:absolute" from="8280,59" to="8280,1854" stroked="true" strokeweight="2.4pt" strokecolor="#000000">
              <v:stroke dashstyle="solid"/>
            </v:line>
            <w10:wrap type="none"/>
          </v:group>
        </w:pict>
      </w:r>
      <w:r>
        <w:rPr>
          <w:rFonts w:ascii="Arial"/>
          <w:i/>
          <w:w w:val="95"/>
          <w:sz w:val="16"/>
        </w:rPr>
        <w:t>(in millions)</w:t>
      </w:r>
    </w:p>
    <w:p>
      <w:pPr>
        <w:pStyle w:val="BodyText"/>
        <w:tabs>
          <w:tab w:pos="6601" w:val="left" w:leader="none"/>
        </w:tabs>
        <w:spacing w:before="47"/>
        <w:ind w:left="820"/>
        <w:rPr>
          <w:rFonts w:ascii="Arial"/>
        </w:rPr>
      </w:pPr>
      <w:r>
        <w:rPr/>
        <w:pict>
          <v:line style="position:absolute;mso-position-horizontal-relative:page;mso-position-vertical-relative:paragraph;z-index:-116032" from="180.479996pt,11.729883pt" to="180.479996pt,11.729883pt" stroked="true" strokeweight=".24pt" strokecolor="#000000">
            <v:stroke dashstyle="solid"/>
            <w10:wrap type="none"/>
          </v:line>
        </w:pict>
      </w:r>
      <w:r>
        <w:rPr/>
        <w:pict>
          <v:line style="position:absolute;mso-position-horizontal-relative:page;mso-position-vertical-relative:paragraph;z-index:-116008" from="186.960007pt,11.729883pt" to="186.960007pt,11.729883pt" stroked="true" strokeweight=".24pt" strokecolor="#000000">
            <v:stroke dashstyle="solid"/>
            <w10:wrap type="none"/>
          </v:line>
        </w:pict>
      </w:r>
      <w:r>
        <w:rPr/>
        <w:pict>
          <v:line style="position:absolute;mso-position-horizontal-relative:page;mso-position-vertical-relative:paragraph;z-index:-115984" from="193.440002pt,11.729883pt" to="193.440002pt,11.729883pt" stroked="true" strokeweight=".24pt" strokecolor="#000000">
            <v:stroke dashstyle="solid"/>
            <w10:wrap type="none"/>
          </v:line>
        </w:pict>
      </w:r>
      <w:r>
        <w:rPr/>
        <w:pict>
          <v:line style="position:absolute;mso-position-horizontal-relative:page;mso-position-vertical-relative:paragraph;z-index:-115960" from="199.919998pt,11.729883pt" to="199.919998pt,11.729883pt" stroked="true" strokeweight=".24pt" strokecolor="#000000">
            <v:stroke dashstyle="solid"/>
            <w10:wrap type="none"/>
          </v:line>
        </w:pict>
      </w:r>
      <w:r>
        <w:rPr/>
        <w:pict>
          <v:line style="position:absolute;mso-position-horizontal-relative:page;mso-position-vertical-relative:paragraph;z-index:-115936" from="206.399994pt,11.729883pt" to="206.399994pt,11.729883pt" stroked="true" strokeweight=".24pt" strokecolor="#000000">
            <v:stroke dashstyle="solid"/>
            <w10:wrap type="none"/>
          </v:line>
        </w:pict>
      </w:r>
      <w:r>
        <w:rPr/>
        <w:pict>
          <v:line style="position:absolute;mso-position-horizontal-relative:page;mso-position-vertical-relative:paragraph;z-index:-115912" from="212.880005pt,11.729883pt" to="212.880005pt,11.729883pt" stroked="true" strokeweight=".24pt" strokecolor="#000000">
            <v:stroke dashstyle="solid"/>
            <w10:wrap type="none"/>
          </v:line>
        </w:pict>
      </w:r>
      <w:r>
        <w:rPr/>
        <w:pict>
          <v:line style="position:absolute;mso-position-horizontal-relative:page;mso-position-vertical-relative:paragraph;z-index:-115888" from="219.360001pt,11.729883pt" to="219.360001pt,11.729883pt" stroked="true" strokeweight=".24pt" strokecolor="#000000">
            <v:stroke dashstyle="solid"/>
            <w10:wrap type="none"/>
          </v:line>
        </w:pict>
      </w:r>
      <w:r>
        <w:rPr/>
        <w:pict>
          <v:line style="position:absolute;mso-position-horizontal-relative:page;mso-position-vertical-relative:paragraph;z-index:-115864" from="225.839996pt,11.729883pt" to="225.839996pt,11.729883pt" stroked="true" strokeweight=".24pt" strokecolor="#000000">
            <v:stroke dashstyle="solid"/>
            <w10:wrap type="none"/>
          </v:line>
        </w:pict>
      </w:r>
      <w:r>
        <w:rPr/>
        <w:pict>
          <v:line style="position:absolute;mso-position-horizontal-relative:page;mso-position-vertical-relative:paragraph;z-index:-115840" from="232.320007pt,11.729883pt" to="232.320007pt,11.729883pt" stroked="true" strokeweight=".24pt" strokecolor="#000000">
            <v:stroke dashstyle="solid"/>
            <w10:wrap type="none"/>
          </v:line>
        </w:pict>
      </w:r>
      <w:r>
        <w:rPr/>
        <w:pict>
          <v:line style="position:absolute;mso-position-horizontal-relative:page;mso-position-vertical-relative:paragraph;z-index:-115816" from="238.800003pt,11.729883pt" to="238.800003pt,11.729883pt" stroked="true" strokeweight=".24pt" strokecolor="#000000">
            <v:stroke dashstyle="solid"/>
            <w10:wrap type="none"/>
          </v:line>
        </w:pict>
      </w:r>
      <w:r>
        <w:rPr/>
        <w:pict>
          <v:line style="position:absolute;mso-position-horizontal-relative:page;mso-position-vertical-relative:paragraph;z-index:-115792" from="245.279999pt,11.729883pt" to="245.279999pt,11.729883pt" stroked="true" strokeweight=".24pt" strokecolor="#000000">
            <v:stroke dashstyle="solid"/>
            <w10:wrap type="none"/>
          </v:line>
        </w:pict>
      </w:r>
      <w:r>
        <w:rPr/>
        <w:pict>
          <v:line style="position:absolute;mso-position-horizontal-relative:page;mso-position-vertical-relative:paragraph;z-index:-115768" from="251.759995pt,11.729883pt" to="251.759995pt,11.729883pt" stroked="true" strokeweight=".24pt" strokecolor="#000000">
            <v:stroke dashstyle="solid"/>
            <w10:wrap type="none"/>
          </v:line>
        </w:pict>
      </w:r>
      <w:r>
        <w:rPr/>
        <w:pict>
          <v:line style="position:absolute;mso-position-horizontal-relative:page;mso-position-vertical-relative:paragraph;z-index:-115744" from="258.239990pt,11.729883pt" to="258.239990pt,11.729883pt" stroked="true" strokeweight=".24pt" strokecolor="#000000">
            <v:stroke dashstyle="solid"/>
            <w10:wrap type="none"/>
          </v:line>
        </w:pict>
      </w:r>
      <w:r>
        <w:rPr/>
        <w:pict>
          <v:line style="position:absolute;mso-position-horizontal-relative:page;mso-position-vertical-relative:paragraph;z-index:-115720" from="264.720001pt,11.729883pt" to="264.720001pt,11.729883pt" stroked="true" strokeweight=".24pt" strokecolor="#000000">
            <v:stroke dashstyle="solid"/>
            <w10:wrap type="none"/>
          </v:line>
        </w:pict>
      </w:r>
      <w:r>
        <w:rPr/>
        <w:pict>
          <v:line style="position:absolute;mso-position-horizontal-relative:page;mso-position-vertical-relative:paragraph;z-index:-115696" from="271.200012pt,11.729883pt" to="271.200012pt,11.729883pt" stroked="true" strokeweight=".24pt" strokecolor="#000000">
            <v:stroke dashstyle="solid"/>
            <w10:wrap type="none"/>
          </v:line>
        </w:pict>
      </w:r>
      <w:r>
        <w:rPr/>
        <w:pict>
          <v:line style="position:absolute;mso-position-horizontal-relative:page;mso-position-vertical-relative:paragraph;z-index:-115672" from="277.679993pt,11.729883pt" to="277.679993pt,11.729883pt" stroked="true" strokeweight=".24pt" strokecolor="#000000">
            <v:stroke dashstyle="solid"/>
            <w10:wrap type="none"/>
          </v:line>
        </w:pict>
      </w:r>
      <w:r>
        <w:rPr/>
        <w:pict>
          <v:line style="position:absolute;mso-position-horizontal-relative:page;mso-position-vertical-relative:paragraph;z-index:-115648" from="284.160004pt,11.729883pt" to="284.160004pt,11.729883pt" stroked="true" strokeweight=".24pt" strokecolor="#000000">
            <v:stroke dashstyle="solid"/>
            <w10:wrap type="none"/>
          </v:line>
        </w:pict>
      </w:r>
      <w:r>
        <w:rPr/>
        <w:pict>
          <v:line style="position:absolute;mso-position-horizontal-relative:page;mso-position-vertical-relative:paragraph;z-index:-115624" from="290.640015pt,11.729883pt" to="290.640015pt,11.729883pt" stroked="true" strokeweight=".24pt" strokecolor="#000000">
            <v:stroke dashstyle="solid"/>
            <w10:wrap type="none"/>
          </v:line>
        </w:pict>
      </w:r>
      <w:r>
        <w:rPr/>
        <w:pict>
          <v:line style="position:absolute;mso-position-horizontal-relative:page;mso-position-vertical-relative:paragraph;z-index:-115600" from="297.119995pt,11.729883pt" to="297.119995pt,11.729883pt" stroked="true" strokeweight=".24pt" strokecolor="#000000">
            <v:stroke dashstyle="solid"/>
            <w10:wrap type="none"/>
          </v:line>
        </w:pict>
      </w:r>
      <w:r>
        <w:rPr/>
        <w:pict>
          <v:line style="position:absolute;mso-position-horizontal-relative:page;mso-position-vertical-relative:paragraph;z-index:-115576" from="303.600006pt,11.729883pt" to="303.600006pt,11.729883pt" stroked="true" strokeweight=".24pt" strokecolor="#000000">
            <v:stroke dashstyle="solid"/>
            <w10:wrap type="none"/>
          </v:line>
        </w:pict>
      </w:r>
      <w:r>
        <w:rPr/>
        <w:pict>
          <v:line style="position:absolute;mso-position-horizontal-relative:page;mso-position-vertical-relative:paragraph;z-index:-115552" from="310.079987pt,11.729883pt" to="310.079987pt,11.729883pt" stroked="true" strokeweight=".24pt" strokecolor="#000000">
            <v:stroke dashstyle="solid"/>
            <w10:wrap type="none"/>
          </v:line>
        </w:pict>
      </w:r>
      <w:r>
        <w:rPr/>
        <w:pict>
          <v:line style="position:absolute;mso-position-horizontal-relative:page;mso-position-vertical-relative:paragraph;z-index:-115528" from="316.559998pt,11.729883pt" to="316.559998pt,11.729883pt" stroked="true" strokeweight=".24pt" strokecolor="#000000">
            <v:stroke dashstyle="solid"/>
            <w10:wrap type="none"/>
          </v:line>
        </w:pict>
      </w:r>
      <w:r>
        <w:rPr/>
        <w:pict>
          <v:line style="position:absolute;mso-position-horizontal-relative:page;mso-position-vertical-relative:paragraph;z-index:-115504" from="323.040009pt,11.729883pt" to="323.040009pt,11.729883pt" stroked="true" strokeweight=".24pt" strokecolor="#000000">
            <v:stroke dashstyle="solid"/>
            <w10:wrap type="none"/>
          </v:line>
        </w:pict>
      </w:r>
      <w:r>
        <w:rPr/>
        <w:pict>
          <v:line style="position:absolute;mso-position-horizontal-relative:page;mso-position-vertical-relative:paragraph;z-index:-115480" from="329.519989pt,11.729883pt" to="329.519989pt,11.729883pt" stroked="true" strokeweight=".24pt" strokecolor="#000000">
            <v:stroke dashstyle="solid"/>
            <w10:wrap type="none"/>
          </v:line>
        </w:pict>
      </w:r>
      <w:r>
        <w:rPr/>
        <w:pict>
          <v:line style="position:absolute;mso-position-horizontal-relative:page;mso-position-vertical-relative:paragraph;z-index:-115456" from="336pt,11.729883pt" to="336pt,11.729883pt" stroked="true" strokeweight=".24pt" strokecolor="#000000">
            <v:stroke dashstyle="solid"/>
            <w10:wrap type="none"/>
          </v:line>
        </w:pict>
      </w:r>
      <w:r>
        <w:rPr/>
        <w:pict>
          <v:line style="position:absolute;mso-position-horizontal-relative:page;mso-position-vertical-relative:paragraph;z-index:-115432" from="342.480011pt,11.729883pt" to="342.480011pt,11.729883pt" stroked="true" strokeweight=".24pt" strokecolor="#000000">
            <v:stroke dashstyle="solid"/>
            <w10:wrap type="none"/>
          </v:line>
        </w:pict>
      </w:r>
      <w:r>
        <w:rPr/>
        <w:pict>
          <v:line style="position:absolute;mso-position-horizontal-relative:page;mso-position-vertical-relative:paragraph;z-index:-115408" from="348.959991pt,11.729883pt" to="348.959991pt,11.729883pt" stroked="true" strokeweight=".24pt" strokecolor="#000000">
            <v:stroke dashstyle="solid"/>
            <w10:wrap type="none"/>
          </v:line>
        </w:pict>
      </w:r>
      <w:r>
        <w:rPr/>
        <w:pict>
          <v:line style="position:absolute;mso-position-horizontal-relative:page;mso-position-vertical-relative:paragraph;z-index:-115384" from="355.440002pt,11.729883pt" to="355.440002pt,11.729883pt" stroked="true" strokeweight=".24pt" strokecolor="#000000">
            <v:stroke dashstyle="solid"/>
            <w10:wrap type="none"/>
          </v:line>
        </w:pict>
      </w:r>
      <w:r>
        <w:rPr/>
        <w:pict>
          <v:line style="position:absolute;mso-position-horizontal-relative:page;mso-position-vertical-relative:paragraph;z-index:-115360" from="361.920013pt,11.729883pt" to="361.920013pt,11.729883pt" stroked="true" strokeweight=".24pt" strokecolor="#000000">
            <v:stroke dashstyle="solid"/>
            <w10:wrap type="none"/>
          </v:line>
        </w:pict>
      </w:r>
      <w:r>
        <w:rPr/>
        <w:pict>
          <v:line style="position:absolute;mso-position-horizontal-relative:page;mso-position-vertical-relative:paragraph;z-index:-115336" from="368.399994pt,11.729883pt" to="368.399994pt,11.729883pt" stroked="true" strokeweight=".24pt" strokecolor="#000000">
            <v:stroke dashstyle="solid"/>
            <w10:wrap type="none"/>
          </v:line>
        </w:pict>
      </w:r>
      <w:r>
        <w:rPr/>
        <w:pict>
          <v:line style="position:absolute;mso-position-horizontal-relative:page;mso-position-vertical-relative:paragraph;z-index:-115312" from="374.880005pt,11.729883pt" to="374.880005pt,11.729883pt" stroked="true" strokeweight=".24pt" strokecolor="#000000">
            <v:stroke dashstyle="solid"/>
            <w10:wrap type="none"/>
          </v:line>
        </w:pict>
      </w:r>
      <w:r>
        <w:rPr/>
        <w:pict>
          <v:line style="position:absolute;mso-position-horizontal-relative:page;mso-position-vertical-relative:paragraph;z-index:-115288" from="381.359985pt,11.729883pt" to="381.359985pt,11.729883pt" stroked="true" strokeweight=".24pt" strokecolor="#000000">
            <v:stroke dashstyle="solid"/>
            <w10:wrap type="none"/>
          </v:line>
        </w:pict>
      </w:r>
      <w:r>
        <w:rPr/>
        <w:pict>
          <v:line style="position:absolute;mso-position-horizontal-relative:page;mso-position-vertical-relative:paragraph;z-index:-115264" from="387.839996pt,11.729883pt" to="387.839996pt,11.729883pt" stroked="true" strokeweight=".24pt" strokecolor="#000000">
            <v:stroke dashstyle="solid"/>
            <w10:wrap type="none"/>
          </v:line>
        </w:pict>
      </w:r>
      <w:r>
        <w:rPr/>
        <w:pict>
          <v:line style="position:absolute;mso-position-horizontal-relative:page;mso-position-vertical-relative:paragraph;z-index:-115240" from="394.320007pt,11.729883pt" to="394.320007pt,11.729883pt" stroked="true" strokeweight=".24pt" strokecolor="#000000">
            <v:stroke dashstyle="solid"/>
            <w10:wrap type="none"/>
          </v:line>
        </w:pict>
      </w:r>
      <w:r>
        <w:rPr/>
        <w:pict>
          <v:line style="position:absolute;mso-position-horizontal-relative:page;mso-position-vertical-relative:paragraph;z-index:-115216" from="400.799988pt,11.729883pt" to="400.799988pt,11.729883pt" stroked="true" strokeweight=".24pt" strokecolor="#000000">
            <v:stroke dashstyle="solid"/>
            <w10:wrap type="none"/>
          </v:line>
        </w:pict>
      </w:r>
      <w:r>
        <w:rPr/>
        <w:pict>
          <v:line style="position:absolute;mso-position-horizontal-relative:page;mso-position-vertical-relative:paragraph;z-index:-115192" from="407.279999pt,11.729883pt" to="407.279999pt,11.729883pt" stroked="true" strokeweight=".24pt" strokecolor="#000000">
            <v:stroke dashstyle="solid"/>
            <w10:wrap type="none"/>
          </v:line>
        </w:pict>
      </w:r>
      <w:r>
        <w:rPr/>
        <w:pict>
          <v:line style="position:absolute;mso-position-horizontal-relative:page;mso-position-vertical-relative:paragraph;z-index:-115168" from="420.23999pt,11.729883pt" to="420.23999pt,11.729883pt" stroked="true" strokeweight=".24pt" strokecolor="#000000">
            <v:stroke dashstyle="solid"/>
            <w10:wrap type="none"/>
          </v:line>
        </w:pict>
      </w:r>
      <w:r>
        <w:rPr/>
        <w:pict>
          <v:line style="position:absolute;mso-position-horizontal-relative:page;mso-position-vertical-relative:paragraph;z-index:-115144" from="426.720001pt,11.729883pt" to="426.720001pt,11.729883pt" stroked="true" strokeweight=".24pt" strokecolor="#000000">
            <v:stroke dashstyle="solid"/>
            <w10:wrap type="none"/>
          </v:line>
        </w:pict>
      </w:r>
      <w:r>
        <w:rPr/>
        <w:pict>
          <v:line style="position:absolute;mso-position-horizontal-relative:page;mso-position-vertical-relative:paragraph;z-index:-115120" from="433.200012pt,11.729883pt" to="433.200012pt,11.729883pt" stroked="true" strokeweight=".24pt" strokecolor="#000000">
            <v:stroke dashstyle="solid"/>
            <w10:wrap type="none"/>
          </v:line>
        </w:pict>
      </w:r>
      <w:r>
        <w:rPr/>
        <w:pict>
          <v:line style="position:absolute;mso-position-horizontal-relative:page;mso-position-vertical-relative:paragraph;z-index:-115096" from="439.679993pt,11.729883pt" to="439.679993pt,11.729883pt" stroked="true" strokeweight=".24pt" strokecolor="#000000">
            <v:stroke dashstyle="solid"/>
            <w10:wrap type="none"/>
          </v:line>
        </w:pict>
      </w:r>
      <w:r>
        <w:rPr/>
        <w:pict>
          <v:line style="position:absolute;mso-position-horizontal-relative:page;mso-position-vertical-relative:paragraph;z-index:-115072" from="446.160004pt,11.729883pt" to="446.160004pt,11.729883pt" stroked="true" strokeweight=".24pt" strokecolor="#000000">
            <v:stroke dashstyle="solid"/>
            <w10:wrap type="none"/>
          </v:line>
        </w:pict>
      </w:r>
      <w:r>
        <w:rPr>
          <w:rFonts w:ascii="Arial"/>
          <w:w w:val="100"/>
          <w:u w:val="single"/>
        </w:rPr>
        <w:t> </w:t>
      </w:r>
      <w:r>
        <w:rPr>
          <w:rFonts w:ascii="Arial"/>
          <w:u w:val="single"/>
        </w:rPr>
        <w:tab/>
      </w:r>
      <w:r>
        <w:rPr>
          <w:rFonts w:ascii="Arial"/>
          <w:spacing w:val="-34"/>
        </w:rPr>
        <w:t> </w:t>
      </w:r>
      <w:r>
        <w:rPr>
          <w:rFonts w:ascii="Arial"/>
          <w:spacing w:val="11"/>
          <w:w w:val="100"/>
          <w:u w:val="single"/>
        </w:rPr>
        <w:t> </w:t>
      </w:r>
      <w:r>
        <w:rPr>
          <w:rFonts w:ascii="Arial"/>
          <w:u w:val="single"/>
        </w:rPr>
        <w:t>30,000</w:t>
      </w:r>
    </w:p>
    <w:p>
      <w:pPr>
        <w:pStyle w:val="BodyText"/>
        <w:spacing w:line="189" w:lineRule="exact" w:before="86"/>
        <w:ind w:left="5534" w:right="3394"/>
        <w:jc w:val="center"/>
        <w:rPr>
          <w:rFonts w:ascii="Arial"/>
        </w:rPr>
      </w:pPr>
      <w:r>
        <w:rPr/>
        <w:pict>
          <v:line style="position:absolute;mso-position-horizontal-relative:page;mso-position-vertical-relative:paragraph;z-index:-116272" from="420.23999pt,22.799856pt" to="420.23999pt,22.799856pt" stroked="true" strokeweight=".24pt" strokecolor="#000000">
            <v:stroke dashstyle="solid"/>
            <w10:wrap type="none"/>
          </v:line>
        </w:pict>
      </w:r>
      <w:r>
        <w:rPr/>
        <w:pict>
          <v:line style="position:absolute;mso-position-horizontal-relative:page;mso-position-vertical-relative:paragraph;z-index:-116248" from="426.720001pt,22.799856pt" to="426.720001pt,22.799856pt" stroked="true" strokeweight=".24pt" strokecolor="#000000">
            <v:stroke dashstyle="solid"/>
            <w10:wrap type="none"/>
          </v:line>
        </w:pict>
      </w:r>
      <w:r>
        <w:rPr/>
        <w:pict>
          <v:line style="position:absolute;mso-position-horizontal-relative:page;mso-position-vertical-relative:paragraph;z-index:-116224" from="433.200012pt,22.799856pt" to="433.200012pt,22.799856pt" stroked="true" strokeweight=".24pt" strokecolor="#000000">
            <v:stroke dashstyle="solid"/>
            <w10:wrap type="none"/>
          </v:line>
        </w:pict>
      </w:r>
      <w:r>
        <w:rPr/>
        <w:pict>
          <v:line style="position:absolute;mso-position-horizontal-relative:page;mso-position-vertical-relative:paragraph;z-index:-116200" from="439.679993pt,22.799856pt" to="439.679993pt,22.799856pt" stroked="true" strokeweight=".24pt" strokecolor="#000000">
            <v:stroke dashstyle="solid"/>
            <w10:wrap type="none"/>
          </v:line>
        </w:pict>
      </w:r>
      <w:r>
        <w:rPr/>
        <w:pict>
          <v:line style="position:absolute;mso-position-horizontal-relative:page;mso-position-vertical-relative:paragraph;z-index:-116176" from="446.160004pt,22.799856pt" to="446.160004pt,22.799856pt" stroked="true" strokeweight=".24pt" strokecolor="#000000">
            <v:stroke dashstyle="solid"/>
            <w10:wrap type="none"/>
          </v:line>
        </w:pict>
      </w:r>
      <w:r>
        <w:rPr>
          <w:rFonts w:ascii="Arial"/>
        </w:rPr>
        <w:t>21,611</w:t>
      </w:r>
    </w:p>
    <w:p>
      <w:pPr>
        <w:spacing w:after="0" w:line="189" w:lineRule="exact"/>
        <w:jc w:val="center"/>
        <w:rPr>
          <w:rFonts w:ascii="Arial"/>
        </w:rPr>
        <w:sectPr>
          <w:type w:val="continuous"/>
          <w:pgSz w:w="12240" w:h="15840"/>
          <w:pgMar w:top="1420" w:bottom="280" w:left="1700" w:right="960"/>
        </w:sectPr>
      </w:pPr>
    </w:p>
    <w:p>
      <w:pPr>
        <w:pStyle w:val="BodyText"/>
        <w:rPr>
          <w:rFonts w:ascii="Arial"/>
          <w:sz w:val="22"/>
        </w:rPr>
      </w:pPr>
    </w:p>
    <w:p>
      <w:pPr>
        <w:pStyle w:val="BodyText"/>
        <w:spacing w:before="143"/>
        <w:jc w:val="right"/>
        <w:rPr>
          <w:rFonts w:ascii="Arial"/>
        </w:rPr>
      </w:pPr>
      <w:r>
        <w:rPr>
          <w:rFonts w:ascii="Arial"/>
        </w:rPr>
        <w:t>9,959</w:t>
      </w:r>
    </w:p>
    <w:p>
      <w:pPr>
        <w:pStyle w:val="BodyText"/>
        <w:spacing w:before="6"/>
        <w:rPr>
          <w:rFonts w:ascii="Arial"/>
          <w:sz w:val="26"/>
        </w:rPr>
      </w:pPr>
      <w:r>
        <w:rPr/>
        <w:br w:type="column"/>
      </w:r>
      <w:r>
        <w:rPr>
          <w:rFonts w:ascii="Arial"/>
          <w:sz w:val="26"/>
        </w:rPr>
      </w:r>
    </w:p>
    <w:p>
      <w:pPr>
        <w:pStyle w:val="BodyText"/>
        <w:ind w:left="491"/>
        <w:rPr>
          <w:rFonts w:ascii="Arial"/>
        </w:rPr>
      </w:pPr>
      <w:r>
        <w:rPr>
          <w:rFonts w:ascii="Arial"/>
          <w:spacing w:val="-3"/>
        </w:rPr>
        <w:t>11,296</w:t>
      </w:r>
    </w:p>
    <w:p>
      <w:pPr>
        <w:pStyle w:val="BodyText"/>
        <w:spacing w:before="171"/>
        <w:ind w:left="434"/>
        <w:rPr>
          <w:rFonts w:ascii="Arial"/>
        </w:rPr>
      </w:pPr>
      <w:r>
        <w:rPr/>
        <w:br w:type="column"/>
      </w:r>
      <w:r>
        <w:rPr>
          <w:rFonts w:ascii="Arial"/>
        </w:rPr>
        <w:t>13,787</w:t>
      </w:r>
    </w:p>
    <w:p>
      <w:pPr>
        <w:pStyle w:val="BodyText"/>
        <w:spacing w:line="223" w:lineRule="exact"/>
        <w:ind w:left="424"/>
        <w:rPr>
          <w:rFonts w:ascii="Arial"/>
        </w:rPr>
      </w:pPr>
      <w:r>
        <w:rPr/>
        <w:br w:type="column"/>
      </w:r>
      <w:r>
        <w:rPr>
          <w:rFonts w:ascii="Arial"/>
        </w:rPr>
        <w:t>18,827</w:t>
      </w:r>
    </w:p>
    <w:p>
      <w:pPr>
        <w:pStyle w:val="BodyText"/>
        <w:spacing w:line="223" w:lineRule="exact"/>
        <w:ind w:left="1290"/>
        <w:rPr>
          <w:rFonts w:ascii="Arial"/>
        </w:rPr>
      </w:pPr>
      <w:r>
        <w:rPr/>
        <w:br w:type="column"/>
      </w:r>
      <w:r>
        <w:rPr>
          <w:rFonts w:ascii="Arial"/>
          <w:w w:val="100"/>
          <w:u w:val="single"/>
        </w:rPr>
        <w:t> </w:t>
      </w:r>
      <w:r>
        <w:rPr>
          <w:rFonts w:ascii="Arial"/>
          <w:u w:val="single"/>
        </w:rPr>
        <w:t>20,000</w:t>
      </w:r>
    </w:p>
    <w:p>
      <w:pPr>
        <w:pStyle w:val="BodyText"/>
        <w:spacing w:before="6"/>
        <w:rPr>
          <w:rFonts w:ascii="Arial"/>
          <w:sz w:val="22"/>
        </w:rPr>
      </w:pPr>
    </w:p>
    <w:p>
      <w:pPr>
        <w:pStyle w:val="BodyText"/>
        <w:ind w:left="1290"/>
        <w:rPr>
          <w:rFonts w:ascii="Arial"/>
        </w:rPr>
      </w:pPr>
      <w:r>
        <w:rPr/>
        <w:pict>
          <v:line style="position:absolute;mso-position-horizontal-relative:page;mso-position-vertical-relative:paragraph;z-index:-116152" from="420.23999pt,9.37988pt" to="420.23999pt,9.37988pt" stroked="true" strokeweight=".24pt" strokecolor="#000000">
            <v:stroke dashstyle="solid"/>
            <w10:wrap type="none"/>
          </v:line>
        </w:pict>
      </w:r>
      <w:r>
        <w:rPr/>
        <w:pict>
          <v:line style="position:absolute;mso-position-horizontal-relative:page;mso-position-vertical-relative:paragraph;z-index:-116128" from="426.720001pt,9.37988pt" to="426.720001pt,9.37988pt" stroked="true" strokeweight=".24pt" strokecolor="#000000">
            <v:stroke dashstyle="solid"/>
            <w10:wrap type="none"/>
          </v:line>
        </w:pict>
      </w:r>
      <w:r>
        <w:rPr/>
        <w:pict>
          <v:line style="position:absolute;mso-position-horizontal-relative:page;mso-position-vertical-relative:paragraph;z-index:-116104" from="433.200012pt,9.37988pt" to="433.200012pt,9.37988pt" stroked="true" strokeweight=".24pt" strokecolor="#000000">
            <v:stroke dashstyle="solid"/>
            <w10:wrap type="none"/>
          </v:line>
        </w:pict>
      </w:r>
      <w:r>
        <w:rPr/>
        <w:pict>
          <v:line style="position:absolute;mso-position-horizontal-relative:page;mso-position-vertical-relative:paragraph;z-index:-116080" from="439.679993pt,9.37988pt" to="439.679993pt,9.37988pt" stroked="true" strokeweight=".24pt" strokecolor="#000000">
            <v:stroke dashstyle="solid"/>
            <w10:wrap type="none"/>
          </v:line>
        </w:pict>
      </w:r>
      <w:r>
        <w:rPr/>
        <w:pict>
          <v:line style="position:absolute;mso-position-horizontal-relative:page;mso-position-vertical-relative:paragraph;z-index:-116056" from="446.160004pt,9.37988pt" to="446.160004pt,9.37988pt" stroked="true" strokeweight=".24pt" strokecolor="#000000">
            <v:stroke dashstyle="solid"/>
            <w10:wrap type="none"/>
          </v:line>
        </w:pict>
      </w:r>
      <w:r>
        <w:rPr>
          <w:rFonts w:ascii="Arial"/>
          <w:w w:val="100"/>
          <w:u w:val="single"/>
        </w:rPr>
        <w:t> </w:t>
      </w:r>
      <w:r>
        <w:rPr>
          <w:rFonts w:ascii="Arial"/>
          <w:u w:val="single"/>
        </w:rPr>
        <w:t>10,000</w:t>
      </w:r>
    </w:p>
    <w:p>
      <w:pPr>
        <w:spacing w:after="0"/>
        <w:rPr>
          <w:rFonts w:ascii="Arial"/>
        </w:rPr>
        <w:sectPr>
          <w:type w:val="continuous"/>
          <w:pgSz w:w="12240" w:h="15840"/>
          <w:pgMar w:top="1420" w:bottom="280" w:left="1700" w:right="960"/>
          <w:cols w:num="5" w:equalWidth="0">
            <w:col w:w="1791" w:space="40"/>
            <w:col w:w="1088" w:space="40"/>
            <w:col w:w="1050" w:space="40"/>
            <w:col w:w="1040" w:space="244"/>
            <w:col w:w="4247"/>
          </w:cols>
        </w:sectPr>
      </w:pPr>
    </w:p>
    <w:p>
      <w:pPr>
        <w:pStyle w:val="BodyText"/>
        <w:rPr>
          <w:rFonts w:ascii="Arial"/>
        </w:rPr>
      </w:pPr>
    </w:p>
    <w:p>
      <w:pPr>
        <w:spacing w:after="0"/>
        <w:rPr>
          <w:rFonts w:ascii="Arial"/>
        </w:rPr>
        <w:sectPr>
          <w:type w:val="continuous"/>
          <w:pgSz w:w="12240" w:h="15840"/>
          <w:pgMar w:top="1420" w:bottom="280" w:left="1700" w:right="960"/>
        </w:sectPr>
      </w:pPr>
    </w:p>
    <w:p>
      <w:pPr>
        <w:pStyle w:val="BodyText"/>
        <w:spacing w:before="11"/>
        <w:rPr>
          <w:rFonts w:ascii="Arial"/>
          <w:sz w:val="22"/>
        </w:rPr>
      </w:pPr>
    </w:p>
    <w:p>
      <w:pPr>
        <w:pStyle w:val="BodyText"/>
        <w:jc w:val="right"/>
        <w:rPr>
          <w:rFonts w:ascii="Arial"/>
        </w:rPr>
      </w:pPr>
      <w:r>
        <w:rPr>
          <w:rFonts w:ascii="Arial"/>
        </w:rPr>
        <w:t>1990</w:t>
      </w:r>
    </w:p>
    <w:p>
      <w:pPr>
        <w:pStyle w:val="BodyText"/>
        <w:spacing w:before="11"/>
        <w:rPr>
          <w:rFonts w:ascii="Arial"/>
          <w:sz w:val="22"/>
        </w:rPr>
      </w:pPr>
      <w:r>
        <w:rPr/>
        <w:br w:type="column"/>
      </w:r>
      <w:r>
        <w:rPr>
          <w:rFonts w:ascii="Arial"/>
          <w:sz w:val="22"/>
        </w:rPr>
      </w:r>
    </w:p>
    <w:p>
      <w:pPr>
        <w:pStyle w:val="BodyText"/>
        <w:ind w:left="597"/>
        <w:rPr>
          <w:rFonts w:ascii="Arial"/>
        </w:rPr>
      </w:pPr>
      <w:r>
        <w:rPr>
          <w:rFonts w:ascii="Arial"/>
          <w:spacing w:val="-1"/>
        </w:rPr>
        <w:t>1991</w:t>
      </w:r>
    </w:p>
    <w:p>
      <w:pPr>
        <w:pStyle w:val="BodyText"/>
        <w:spacing w:before="11"/>
        <w:rPr>
          <w:rFonts w:ascii="Arial"/>
          <w:sz w:val="22"/>
        </w:rPr>
      </w:pPr>
      <w:r>
        <w:rPr/>
        <w:br w:type="column"/>
      </w:r>
      <w:r>
        <w:rPr>
          <w:rFonts w:ascii="Arial"/>
          <w:sz w:val="22"/>
        </w:rPr>
      </w:r>
    </w:p>
    <w:p>
      <w:pPr>
        <w:pStyle w:val="BodyText"/>
        <w:ind w:left="597"/>
        <w:rPr>
          <w:rFonts w:ascii="Arial"/>
        </w:rPr>
      </w:pPr>
      <w:r>
        <w:rPr>
          <w:rFonts w:ascii="Arial"/>
          <w:spacing w:val="-1"/>
        </w:rPr>
        <w:t>1992</w:t>
      </w:r>
    </w:p>
    <w:p>
      <w:pPr>
        <w:pStyle w:val="BodyText"/>
        <w:spacing w:before="11"/>
        <w:rPr>
          <w:rFonts w:ascii="Arial"/>
          <w:sz w:val="22"/>
        </w:rPr>
      </w:pPr>
      <w:r>
        <w:rPr/>
        <w:br w:type="column"/>
      </w:r>
      <w:r>
        <w:rPr>
          <w:rFonts w:ascii="Arial"/>
          <w:sz w:val="22"/>
        </w:rPr>
      </w:r>
    </w:p>
    <w:p>
      <w:pPr>
        <w:pStyle w:val="BodyText"/>
        <w:ind w:left="597"/>
        <w:rPr>
          <w:rFonts w:ascii="Arial"/>
        </w:rPr>
      </w:pPr>
      <w:r>
        <w:rPr>
          <w:rFonts w:ascii="Arial"/>
          <w:spacing w:val="-1"/>
        </w:rPr>
        <w:t>1993</w:t>
      </w:r>
    </w:p>
    <w:p>
      <w:pPr>
        <w:pStyle w:val="BodyText"/>
        <w:spacing w:before="11"/>
        <w:rPr>
          <w:rFonts w:ascii="Arial"/>
          <w:sz w:val="22"/>
        </w:rPr>
      </w:pPr>
      <w:r>
        <w:rPr/>
        <w:br w:type="column"/>
      </w:r>
      <w:r>
        <w:rPr>
          <w:rFonts w:ascii="Arial"/>
          <w:sz w:val="22"/>
        </w:rPr>
      </w:r>
    </w:p>
    <w:p>
      <w:pPr>
        <w:pStyle w:val="BodyText"/>
        <w:ind w:left="597"/>
        <w:rPr>
          <w:rFonts w:ascii="Arial"/>
        </w:rPr>
      </w:pP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spacing w:before="3"/>
        <w:rPr>
          <w:rFonts w:ascii="Arial"/>
          <w:sz w:val="9"/>
        </w:rPr>
      </w:pPr>
    </w:p>
    <w:p>
      <w:pPr>
        <w:spacing w:after="0"/>
        <w:rPr>
          <w:rFonts w:ascii="Arial"/>
          <w:sz w:val="9"/>
        </w:rPr>
        <w:sectPr>
          <w:type w:val="continuous"/>
          <w:pgSz w:w="12240" w:h="15840"/>
          <w:pgMar w:top="1420" w:bottom="280" w:left="1700" w:right="960"/>
        </w:sectPr>
      </w:pPr>
    </w:p>
    <w:p>
      <w:pPr>
        <w:pStyle w:val="Heading2"/>
        <w:spacing w:before="95"/>
        <w:ind w:left="820"/>
      </w:pPr>
      <w:r>
        <w:rPr/>
        <w:t>Passenger Load Factor</w:t>
      </w:r>
    </w:p>
    <w:p>
      <w:pPr>
        <w:pStyle w:val="BodyText"/>
        <w:rPr>
          <w:rFonts w:ascii="Arial"/>
          <w:b/>
          <w:sz w:val="22"/>
        </w:rPr>
      </w:pPr>
      <w:r>
        <w:rPr/>
        <w:br w:type="column"/>
      </w:r>
      <w:r>
        <w:rPr>
          <w:rFonts w:ascii="Arial"/>
          <w:b/>
          <w:sz w:val="22"/>
        </w:rPr>
      </w:r>
    </w:p>
    <w:p>
      <w:pPr>
        <w:pStyle w:val="BodyText"/>
        <w:spacing w:before="5"/>
        <w:rPr>
          <w:rFonts w:ascii="Arial"/>
          <w:b/>
          <w:sz w:val="23"/>
        </w:rPr>
      </w:pPr>
    </w:p>
    <w:p>
      <w:pPr>
        <w:pStyle w:val="BodyText"/>
        <w:tabs>
          <w:tab w:pos="1096" w:val="left" w:leader="none"/>
        </w:tabs>
        <w:ind w:left="820"/>
        <w:rPr>
          <w:rFonts w:ascii="Arial"/>
        </w:rPr>
      </w:pPr>
      <w:r>
        <w:rPr/>
        <w:pict>
          <v:line style="position:absolute;mso-position-horizontal-relative:page;mso-position-vertical-relative:paragraph;z-index:-114568" from="420.23999pt,9.379869pt" to="420.23999pt,9.379869pt" stroked="true" strokeweight=".24pt" strokecolor="#000000">
            <v:stroke dashstyle="solid"/>
            <w10:wrap type="none"/>
          </v:line>
        </w:pict>
      </w:r>
      <w:r>
        <w:rPr/>
        <w:pict>
          <v:line style="position:absolute;mso-position-horizontal-relative:page;mso-position-vertical-relative:paragraph;z-index:-114544" from="426.720001pt,9.379869pt" to="426.720001pt,9.379869pt" stroked="true" strokeweight=".24pt" strokecolor="#000000">
            <v:stroke dashstyle="solid"/>
            <w10:wrap type="none"/>
          </v:line>
        </w:pict>
      </w:r>
      <w:r>
        <w:rPr/>
        <w:pict>
          <v:line style="position:absolute;mso-position-horizontal-relative:page;mso-position-vertical-relative:paragraph;z-index:-114520" from="433.200012pt,9.379869pt" to="433.200012pt,9.379869pt" stroked="true" strokeweight=".24pt" strokecolor="#000000">
            <v:stroke dashstyle="solid"/>
            <w10:wrap type="none"/>
          </v:line>
        </w:pict>
      </w:r>
      <w:r>
        <w:rPr/>
        <w:pict>
          <v:line style="position:absolute;mso-position-horizontal-relative:page;mso-position-vertical-relative:paragraph;z-index:-114496" from="439.679993pt,9.379869pt" to="439.679993pt,9.379869pt" stroked="true" strokeweight=".24pt" strokecolor="#000000">
            <v:stroke dashstyle="solid"/>
            <w10:wrap type="none"/>
          </v:line>
        </w:pict>
      </w:r>
      <w:r>
        <w:rPr/>
        <w:pict>
          <v:line style="position:absolute;mso-position-horizontal-relative:page;mso-position-vertical-relative:paragraph;z-index:-114472" from="446.160004pt,9.379869pt" to="446.160004pt,9.379869pt" stroked="true" strokeweight=".24pt" strokecolor="#000000">
            <v:stroke dashstyle="solid"/>
            <w10:wrap type="none"/>
          </v:line>
        </w:pict>
      </w:r>
      <w:r>
        <w:rPr/>
        <w:pict>
          <v:shape style="position:absolute;margin-left:124.800003pt;margin-top:-8.620131pt;width:291.6pt;height:91pt;mso-position-horizontal-relative:page;mso-position-vertical-relative:paragraph;z-index:944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080"/>
                    <w:gridCol w:w="1080"/>
                    <w:gridCol w:w="1080"/>
                    <w:gridCol w:w="1260"/>
                  </w:tblGrid>
                  <w:tr>
                    <w:trPr>
                      <w:trHeight w:val="360" w:hRule="exact"/>
                    </w:trPr>
                    <w:tc>
                      <w:tcPr>
                        <w:tcW w:w="5760" w:type="dxa"/>
                        <w:gridSpan w:val="5"/>
                        <w:tcBorders>
                          <w:top w:val="nil"/>
                          <w:left w:val="nil"/>
                          <w:right w:val="single" w:sz="19" w:space="0" w:color="000000"/>
                        </w:tcBorders>
                      </w:tcPr>
                      <w:p>
                        <w:pPr/>
                      </w:p>
                    </w:tc>
                  </w:tr>
                  <w:tr>
                    <w:trPr>
                      <w:trHeight w:val="360" w:hRule="exact"/>
                    </w:trPr>
                    <w:tc>
                      <w:tcPr>
                        <w:tcW w:w="1260" w:type="dxa"/>
                        <w:tcBorders>
                          <w:left w:val="nil"/>
                          <w:right w:val="nil"/>
                        </w:tcBorders>
                      </w:tcPr>
                      <w:p>
                        <w:pPr>
                          <w:pStyle w:val="TableParagraph"/>
                          <w:spacing w:before="122"/>
                          <w:ind w:left="528"/>
                          <w:rPr>
                            <w:rFonts w:ascii="Arial"/>
                            <w:sz w:val="20"/>
                          </w:rPr>
                        </w:pPr>
                        <w:r>
                          <w:rPr>
                            <w:rFonts w:ascii="Arial"/>
                            <w:sz w:val="20"/>
                          </w:rPr>
                          <w:t>60.7</w:t>
                        </w:r>
                      </w:p>
                    </w:tc>
                    <w:tc>
                      <w:tcPr>
                        <w:tcW w:w="1080" w:type="dxa"/>
                        <w:tcBorders>
                          <w:left w:val="nil"/>
                          <w:right w:val="nil"/>
                        </w:tcBorders>
                      </w:tcPr>
                      <w:p>
                        <w:pPr>
                          <w:pStyle w:val="TableParagraph"/>
                          <w:spacing w:before="79"/>
                          <w:ind w:left="347"/>
                          <w:rPr>
                            <w:rFonts w:ascii="Arial"/>
                            <w:sz w:val="20"/>
                          </w:rPr>
                        </w:pPr>
                        <w:r>
                          <w:rPr>
                            <w:rFonts w:ascii="Arial"/>
                            <w:sz w:val="20"/>
                          </w:rPr>
                          <w:t>61.1</w:t>
                        </w:r>
                      </w:p>
                    </w:tc>
                    <w:tc>
                      <w:tcPr>
                        <w:tcW w:w="1080" w:type="dxa"/>
                        <w:tcBorders>
                          <w:left w:val="nil"/>
                          <w:right w:val="nil"/>
                        </w:tcBorders>
                      </w:tcPr>
                      <w:p>
                        <w:pPr>
                          <w:pStyle w:val="TableParagraph"/>
                          <w:spacing w:line="218" w:lineRule="exact" w:before="0"/>
                          <w:ind w:left="347"/>
                          <w:rPr>
                            <w:rFonts w:ascii="Arial"/>
                            <w:sz w:val="20"/>
                          </w:rPr>
                        </w:pPr>
                        <w:r>
                          <w:rPr>
                            <w:rFonts w:ascii="Arial"/>
                            <w:sz w:val="20"/>
                          </w:rPr>
                          <w:t>64.5</w:t>
                        </w:r>
                      </w:p>
                    </w:tc>
                    <w:tc>
                      <w:tcPr>
                        <w:tcW w:w="1080" w:type="dxa"/>
                        <w:tcBorders>
                          <w:left w:val="nil"/>
                          <w:right w:val="nil"/>
                        </w:tcBorders>
                      </w:tcPr>
                      <w:p>
                        <w:pPr>
                          <w:pStyle w:val="TableParagraph"/>
                          <w:spacing w:line="174" w:lineRule="exact" w:before="0"/>
                          <w:ind w:left="347"/>
                          <w:rPr>
                            <w:rFonts w:ascii="Arial"/>
                            <w:sz w:val="20"/>
                          </w:rPr>
                        </w:pPr>
                        <w:r>
                          <w:rPr>
                            <w:rFonts w:ascii="Arial"/>
                            <w:sz w:val="20"/>
                          </w:rPr>
                          <w:t>68.4</w:t>
                        </w:r>
                      </w:p>
                    </w:tc>
                    <w:tc>
                      <w:tcPr>
                        <w:tcW w:w="1260" w:type="dxa"/>
                        <w:tcBorders>
                          <w:left w:val="nil"/>
                          <w:right w:val="single" w:sz="19" w:space="0" w:color="000000"/>
                        </w:tcBorders>
                      </w:tcPr>
                      <w:p>
                        <w:pPr>
                          <w:pStyle w:val="TableParagraph"/>
                          <w:spacing w:line="174" w:lineRule="exact" w:before="0"/>
                          <w:ind w:left="347"/>
                          <w:rPr>
                            <w:rFonts w:ascii="Arial"/>
                            <w:sz w:val="20"/>
                          </w:rPr>
                        </w:pPr>
                        <w:r>
                          <w:rPr>
                            <w:rFonts w:ascii="Arial"/>
                            <w:sz w:val="20"/>
                          </w:rPr>
                          <w:t>67.3</w:t>
                        </w:r>
                      </w:p>
                    </w:tc>
                  </w:tr>
                  <w:tr>
                    <w:trPr>
                      <w:trHeight w:val="360" w:hRule="exact"/>
                    </w:trPr>
                    <w:tc>
                      <w:tcPr>
                        <w:tcW w:w="5760" w:type="dxa"/>
                        <w:gridSpan w:val="5"/>
                        <w:tcBorders>
                          <w:left w:val="nil"/>
                          <w:right w:val="single" w:sz="19" w:space="0" w:color="000000"/>
                        </w:tcBorders>
                      </w:tcPr>
                      <w:p>
                        <w:pPr/>
                      </w:p>
                    </w:tc>
                  </w:tr>
                  <w:tr>
                    <w:trPr>
                      <w:trHeight w:val="355" w:hRule="exact"/>
                    </w:trPr>
                    <w:tc>
                      <w:tcPr>
                        <w:tcW w:w="5760" w:type="dxa"/>
                        <w:gridSpan w:val="5"/>
                        <w:tcBorders>
                          <w:left w:val="nil"/>
                          <w:right w:val="single" w:sz="19" w:space="0" w:color="000000"/>
                        </w:tcBorders>
                      </w:tcPr>
                      <w:p>
                        <w:pPr/>
                      </w:p>
                    </w:tc>
                  </w:tr>
                  <w:tr>
                    <w:trPr>
                      <w:trHeight w:val="360" w:hRule="exact"/>
                    </w:trPr>
                    <w:tc>
                      <w:tcPr>
                        <w:tcW w:w="5760" w:type="dxa"/>
                        <w:gridSpan w:val="5"/>
                        <w:tcBorders>
                          <w:left w:val="nil"/>
                          <w:bottom w:val="nil"/>
                          <w:right w:val="single" w:sz="19" w:space="0" w:color="000000"/>
                        </w:tcBorders>
                      </w:tcPr>
                      <w:p>
                        <w:pPr/>
                      </w:p>
                    </w:tc>
                  </w:tr>
                </w:tbl>
                <w:p>
                  <w:pPr>
                    <w:pStyle w:val="BodyText"/>
                  </w:pPr>
                </w:p>
              </w:txbxContent>
            </v:textbox>
            <w10:wrap type="none"/>
          </v:shape>
        </w:pict>
      </w:r>
      <w:r>
        <w:rPr>
          <w:rFonts w:ascii="Arial"/>
          <w:w w:val="100"/>
          <w:u w:val="single"/>
        </w:rPr>
        <w:t> </w:t>
      </w:r>
      <w:r>
        <w:rPr>
          <w:rFonts w:ascii="Arial"/>
          <w:u w:val="single"/>
        </w:rPr>
        <w:tab/>
        <w:t>80%</w:t>
      </w:r>
    </w:p>
    <w:p>
      <w:pPr>
        <w:pStyle w:val="BodyText"/>
        <w:tabs>
          <w:tab w:pos="1096" w:val="left" w:leader="none"/>
        </w:tabs>
        <w:spacing w:before="130"/>
        <w:ind w:left="820"/>
        <w:rPr>
          <w:rFonts w:ascii="Arial"/>
        </w:rPr>
      </w:pPr>
      <w:r>
        <w:rPr/>
        <w:pict>
          <v:rect style="position:absolute;margin-left:360pt;margin-top:6.759868pt;width:36pt;height:62.88pt;mso-position-horizontal-relative:page;mso-position-vertical-relative:paragraph;z-index:8920" filled="true" fillcolor="#0000ff" stroked="false">
            <v:fill type="solid"/>
            <w10:wrap type="none"/>
          </v:rect>
        </w:pict>
      </w:r>
      <w:r>
        <w:rPr/>
        <w:pict>
          <v:line style="position:absolute;mso-position-horizontal-relative:page;mso-position-vertical-relative:paragraph;z-index:-114688" from="420.23999pt,15.879869pt" to="420.23999pt,15.879869pt" stroked="true" strokeweight=".24pt" strokecolor="#000000">
            <v:stroke dashstyle="solid"/>
            <w10:wrap type="none"/>
          </v:line>
        </w:pict>
      </w:r>
      <w:r>
        <w:rPr/>
        <w:pict>
          <v:line style="position:absolute;mso-position-horizontal-relative:page;mso-position-vertical-relative:paragraph;z-index:-114664" from="426.720001pt,15.879869pt" to="426.720001pt,15.879869pt" stroked="true" strokeweight=".24pt" strokecolor="#000000">
            <v:stroke dashstyle="solid"/>
            <w10:wrap type="none"/>
          </v:line>
        </w:pict>
      </w:r>
      <w:r>
        <w:rPr/>
        <w:pict>
          <v:line style="position:absolute;mso-position-horizontal-relative:page;mso-position-vertical-relative:paragraph;z-index:-114640" from="433.200012pt,15.879869pt" to="433.200012pt,15.879869pt" stroked="true" strokeweight=".24pt" strokecolor="#000000">
            <v:stroke dashstyle="solid"/>
            <w10:wrap type="none"/>
          </v:line>
        </w:pict>
      </w:r>
      <w:r>
        <w:rPr/>
        <w:pict>
          <v:line style="position:absolute;mso-position-horizontal-relative:page;mso-position-vertical-relative:paragraph;z-index:-114616" from="439.679993pt,15.879869pt" to="439.679993pt,15.879869pt" stroked="true" strokeweight=".24pt" strokecolor="#000000">
            <v:stroke dashstyle="solid"/>
            <w10:wrap type="none"/>
          </v:line>
        </w:pict>
      </w:r>
      <w:r>
        <w:rPr/>
        <w:pict>
          <v:line style="position:absolute;mso-position-horizontal-relative:page;mso-position-vertical-relative:paragraph;z-index:-114592" from="446.160004pt,15.879869pt" to="446.160004pt,15.879869pt" stroked="true" strokeweight=".24pt" strokecolor="#000000">
            <v:stroke dashstyle="solid"/>
            <w10:wrap type="none"/>
          </v:line>
        </w:pict>
      </w:r>
      <w:r>
        <w:rPr>
          <w:rFonts w:ascii="Arial"/>
          <w:w w:val="100"/>
          <w:u w:val="single"/>
        </w:rPr>
        <w:t> </w:t>
      </w:r>
      <w:r>
        <w:rPr>
          <w:rFonts w:ascii="Arial"/>
          <w:u w:val="single"/>
        </w:rPr>
        <w:tab/>
        <w:t>60%</w:t>
      </w:r>
    </w:p>
    <w:p>
      <w:pPr>
        <w:pStyle w:val="BodyText"/>
        <w:tabs>
          <w:tab w:pos="1096" w:val="left" w:leader="none"/>
        </w:tabs>
        <w:spacing w:before="130"/>
        <w:ind w:left="820"/>
        <w:rPr>
          <w:rFonts w:ascii="Arial"/>
        </w:rPr>
      </w:pPr>
      <w:r>
        <w:rPr/>
        <w:pict>
          <v:line style="position:absolute;mso-position-horizontal-relative:page;mso-position-vertical-relative:paragraph;z-index:-114808" from="420.23999pt,15.879869pt" to="420.23999pt,15.879869pt" stroked="true" strokeweight=".24pt" strokecolor="#000000">
            <v:stroke dashstyle="solid"/>
            <w10:wrap type="none"/>
          </v:line>
        </w:pict>
      </w:r>
      <w:r>
        <w:rPr/>
        <w:pict>
          <v:line style="position:absolute;mso-position-horizontal-relative:page;mso-position-vertical-relative:paragraph;z-index:-114784" from="426.720001pt,15.879869pt" to="426.720001pt,15.879869pt" stroked="true" strokeweight=".24pt" strokecolor="#000000">
            <v:stroke dashstyle="solid"/>
            <w10:wrap type="none"/>
          </v:line>
        </w:pict>
      </w:r>
      <w:r>
        <w:rPr/>
        <w:pict>
          <v:line style="position:absolute;mso-position-horizontal-relative:page;mso-position-vertical-relative:paragraph;z-index:-114760" from="433.200012pt,15.879869pt" to="433.200012pt,15.879869pt" stroked="true" strokeweight=".24pt" strokecolor="#000000">
            <v:stroke dashstyle="solid"/>
            <w10:wrap type="none"/>
          </v:line>
        </w:pict>
      </w:r>
      <w:r>
        <w:rPr/>
        <w:pict>
          <v:line style="position:absolute;mso-position-horizontal-relative:page;mso-position-vertical-relative:paragraph;z-index:-114736" from="439.679993pt,15.879869pt" to="439.679993pt,15.879869pt" stroked="true" strokeweight=".24pt" strokecolor="#000000">
            <v:stroke dashstyle="solid"/>
            <w10:wrap type="none"/>
          </v:line>
        </w:pict>
      </w:r>
      <w:r>
        <w:rPr/>
        <w:pict>
          <v:line style="position:absolute;mso-position-horizontal-relative:page;mso-position-vertical-relative:paragraph;z-index:-114712" from="446.160004pt,15.879869pt" to="446.160004pt,15.879869pt" stroked="true" strokeweight=".24pt" strokecolor="#000000">
            <v:stroke dashstyle="solid"/>
            <w10:wrap type="none"/>
          </v:line>
        </w:pict>
      </w:r>
      <w:r>
        <w:rPr>
          <w:rFonts w:ascii="Arial"/>
          <w:w w:val="100"/>
          <w:u w:val="single"/>
        </w:rPr>
        <w:t> </w:t>
      </w:r>
      <w:r>
        <w:rPr>
          <w:rFonts w:ascii="Arial"/>
          <w:u w:val="single"/>
        </w:rPr>
        <w:tab/>
        <w:t>40%</w:t>
      </w:r>
    </w:p>
    <w:p>
      <w:pPr>
        <w:pStyle w:val="BodyText"/>
        <w:tabs>
          <w:tab w:pos="1096" w:val="left" w:leader="none"/>
        </w:tabs>
        <w:spacing w:before="125"/>
        <w:ind w:left="820"/>
        <w:rPr>
          <w:rFonts w:ascii="Arial"/>
        </w:rPr>
      </w:pPr>
      <w:r>
        <w:rPr/>
        <w:pict>
          <v:line style="position:absolute;mso-position-horizontal-relative:page;mso-position-vertical-relative:paragraph;z-index:-114928" from="420.23999pt,15.629889pt" to="420.23999pt,15.629889pt" stroked="true" strokeweight=".24pt" strokecolor="#000000">
            <v:stroke dashstyle="solid"/>
            <w10:wrap type="none"/>
          </v:line>
        </w:pict>
      </w:r>
      <w:r>
        <w:rPr/>
        <w:pict>
          <v:line style="position:absolute;mso-position-horizontal-relative:page;mso-position-vertical-relative:paragraph;z-index:-114904" from="426.720001pt,15.629889pt" to="426.720001pt,15.629889pt" stroked="true" strokeweight=".24pt" strokecolor="#000000">
            <v:stroke dashstyle="solid"/>
            <w10:wrap type="none"/>
          </v:line>
        </w:pict>
      </w:r>
      <w:r>
        <w:rPr/>
        <w:pict>
          <v:line style="position:absolute;mso-position-horizontal-relative:page;mso-position-vertical-relative:paragraph;z-index:-114880" from="433.200012pt,15.629889pt" to="433.200012pt,15.629889pt" stroked="true" strokeweight=".24pt" strokecolor="#000000">
            <v:stroke dashstyle="solid"/>
            <w10:wrap type="none"/>
          </v:line>
        </w:pict>
      </w:r>
      <w:r>
        <w:rPr/>
        <w:pict>
          <v:line style="position:absolute;mso-position-horizontal-relative:page;mso-position-vertical-relative:paragraph;z-index:-114856" from="439.679993pt,15.629889pt" to="439.679993pt,15.629889pt" stroked="true" strokeweight=".24pt" strokecolor="#000000">
            <v:stroke dashstyle="solid"/>
            <w10:wrap type="none"/>
          </v:line>
        </w:pict>
      </w:r>
      <w:r>
        <w:rPr/>
        <w:pict>
          <v:line style="position:absolute;mso-position-horizontal-relative:page;mso-position-vertical-relative:paragraph;z-index:-114832" from="446.160004pt,15.629889pt" to="446.160004pt,15.629889pt" stroked="true" strokeweight=".24pt" strokecolor="#000000">
            <v:stroke dashstyle="solid"/>
            <w10:wrap type="none"/>
          </v:line>
        </w:pict>
      </w:r>
      <w:r>
        <w:rPr>
          <w:rFonts w:ascii="Arial"/>
          <w:w w:val="100"/>
          <w:u w:val="single"/>
        </w:rPr>
        <w:t> </w:t>
      </w:r>
      <w:r>
        <w:rPr>
          <w:rFonts w:ascii="Arial"/>
          <w:u w:val="single"/>
        </w:rPr>
        <w:tab/>
        <w:t>20%</w:t>
      </w:r>
    </w:p>
    <w:p>
      <w:pPr>
        <w:spacing w:after="0"/>
        <w:rPr>
          <w:rFonts w:ascii="Arial"/>
        </w:rPr>
        <w:sectPr>
          <w:type w:val="continuous"/>
          <w:pgSz w:w="12240" w:h="15840"/>
          <w:pgMar w:top="1420" w:bottom="280" w:left="1700" w:right="960"/>
          <w:cols w:num="2" w:equalWidth="0">
            <w:col w:w="3049" w:space="2754"/>
            <w:col w:w="3777"/>
          </w:cols>
        </w:sectPr>
      </w:pPr>
    </w:p>
    <w:p>
      <w:pPr>
        <w:pStyle w:val="BodyText"/>
        <w:spacing w:before="11"/>
        <w:rPr>
          <w:rFonts w:ascii="Arial"/>
          <w:sz w:val="26"/>
        </w:rPr>
      </w:pPr>
    </w:p>
    <w:p>
      <w:pPr>
        <w:spacing w:after="0"/>
        <w:rPr>
          <w:rFonts w:ascii="Arial"/>
          <w:sz w:val="26"/>
        </w:rPr>
        <w:sectPr>
          <w:type w:val="continuous"/>
          <w:pgSz w:w="12240" w:h="15840"/>
          <w:pgMar w:top="1420" w:bottom="280" w:left="1700" w:right="960"/>
        </w:sectPr>
      </w:pPr>
    </w:p>
    <w:p>
      <w:pPr>
        <w:pStyle w:val="BodyText"/>
        <w:spacing w:before="93"/>
        <w:jc w:val="right"/>
        <w:rPr>
          <w:rFonts w:ascii="Arial"/>
        </w:rPr>
      </w:pPr>
      <w:r>
        <w:rPr/>
        <w:pict>
          <v:rect style="position:absolute;margin-left:144pt;margin-top:-53.410103pt;width:36pt;height:53.76pt;mso-position-horizontal-relative:page;mso-position-vertical-relative:paragraph;z-index:8824" filled="true" fillcolor="#ff6600" stroked="false">
            <v:fill type="solid"/>
            <w10:wrap type="none"/>
          </v:rect>
        </w:pict>
      </w:r>
      <w:r>
        <w:rPr/>
        <w:pict>
          <v:rect style="position:absolute;margin-left:198pt;margin-top:-55.810104pt;width:36pt;height:56.16pt;mso-position-horizontal-relative:page;mso-position-vertical-relative:paragraph;z-index:8848" filled="true" fillcolor="#ff00ff" stroked="false">
            <v:fill type="solid"/>
            <w10:wrap type="none"/>
          </v:rect>
        </w:pict>
      </w:r>
      <w:r>
        <w:rPr/>
        <w:pict>
          <v:rect style="position:absolute;margin-left:252pt;margin-top:-60.370102pt;width:36pt;height:60.72pt;mso-position-horizontal-relative:page;mso-position-vertical-relative:paragraph;z-index:8872" filled="true" fillcolor="#ff0000" stroked="false">
            <v:fill type="solid"/>
            <w10:wrap type="none"/>
          </v:rect>
        </w:pict>
      </w:r>
      <w:r>
        <w:rPr/>
        <w:pict>
          <v:rect style="position:absolute;margin-left:306pt;margin-top:-62.530106pt;width:36pt;height:62.88pt;mso-position-horizontal-relative:page;mso-position-vertical-relative:paragraph;z-index:8896" filled="true" fillcolor="#00ff00" stroked="false">
            <v:fill type="solid"/>
            <w10:wrap type="none"/>
          </v:rect>
        </w:pict>
      </w:r>
      <w:r>
        <w:rPr>
          <w:rFonts w:ascii="Arial"/>
        </w:rPr>
        <w:t>1990</w:t>
      </w:r>
    </w:p>
    <w:p>
      <w:pPr>
        <w:pStyle w:val="BodyText"/>
        <w:spacing w:before="93"/>
        <w:ind w:left="597"/>
        <w:rPr>
          <w:rFonts w:ascii="Arial"/>
        </w:rPr>
      </w:pPr>
      <w:r>
        <w:rPr/>
        <w:br w:type="column"/>
      </w:r>
      <w:r>
        <w:rPr>
          <w:rFonts w:ascii="Arial"/>
          <w:spacing w:val="-1"/>
        </w:rPr>
        <w:t>1991</w:t>
      </w:r>
    </w:p>
    <w:p>
      <w:pPr>
        <w:pStyle w:val="BodyText"/>
        <w:spacing w:before="93"/>
        <w:ind w:left="597"/>
        <w:rPr>
          <w:rFonts w:ascii="Arial"/>
        </w:rPr>
      </w:pPr>
      <w:r>
        <w:rPr/>
        <w:br w:type="column"/>
      </w:r>
      <w:r>
        <w:rPr>
          <w:rFonts w:ascii="Arial"/>
          <w:spacing w:val="-1"/>
        </w:rPr>
        <w:t>1992</w:t>
      </w:r>
    </w:p>
    <w:p>
      <w:pPr>
        <w:pStyle w:val="BodyText"/>
        <w:spacing w:before="93"/>
        <w:ind w:left="597"/>
        <w:rPr>
          <w:rFonts w:ascii="Arial"/>
        </w:rPr>
      </w:pPr>
      <w:r>
        <w:rPr/>
        <w:br w:type="column"/>
      </w:r>
      <w:r>
        <w:rPr>
          <w:rFonts w:ascii="Arial"/>
          <w:spacing w:val="-1"/>
        </w:rPr>
        <w:t>1993</w:t>
      </w:r>
    </w:p>
    <w:p>
      <w:pPr>
        <w:pStyle w:val="BodyText"/>
        <w:spacing w:before="93"/>
        <w:ind w:left="597"/>
        <w:rPr>
          <w:rFonts w:ascii="Arial"/>
        </w:rPr>
      </w:pPr>
      <w:r>
        <w:rPr/>
        <w:br w:type="column"/>
      </w:r>
      <w:r>
        <w:rPr>
          <w:rFonts w:ascii="Arial"/>
        </w:rPr>
        <w:t>1994</w:t>
      </w:r>
    </w:p>
    <w:p>
      <w:pPr>
        <w:spacing w:after="0"/>
        <w:rPr>
          <w:rFonts w:ascii="Arial"/>
        </w:rPr>
        <w:sectPr>
          <w:type w:val="continuous"/>
          <w:pgSz w:w="12240" w:h="15840"/>
          <w:pgMar w:top="1420" w:bottom="280" w:left="1700" w:right="960"/>
          <w:cols w:num="5" w:equalWidth="0">
            <w:col w:w="1762" w:space="40"/>
            <w:col w:w="1040" w:space="40"/>
            <w:col w:w="1040" w:space="40"/>
            <w:col w:w="1040" w:space="40"/>
            <w:col w:w="4538"/>
          </w:cols>
        </w:sectPr>
      </w:pPr>
    </w:p>
    <w:p>
      <w:pPr>
        <w:pStyle w:val="BodyText"/>
        <w:rPr>
          <w:rFonts w:ascii="Arial"/>
        </w:rPr>
      </w:pPr>
    </w:p>
    <w:p>
      <w:pPr>
        <w:pStyle w:val="BodyText"/>
        <w:spacing w:before="9"/>
        <w:rPr>
          <w:rFonts w:ascii="Arial"/>
          <w:sz w:val="24"/>
        </w:rPr>
      </w:pPr>
    </w:p>
    <w:p>
      <w:pPr>
        <w:pStyle w:val="Heading1"/>
        <w:ind w:left="160"/>
      </w:pPr>
      <w:r>
        <w:rPr/>
        <w:pict>
          <v:line style="position:absolute;mso-position-horizontal-relative:page;mso-position-vertical-relative:paragraph;z-index:9472;mso-wrap-distance-left:0;mso-wrap-distance-right:0" from="88.559998pt,27.763792pt" to="559.439998pt,27.763792pt" stroked="true" strokeweight="1.44pt" strokecolor="#000000">
            <v:stroke dashstyle="solid"/>
            <w10:wrap type="topAndBottom"/>
          </v:line>
        </w:pict>
      </w:r>
      <w:bookmarkStart w:name="_TOC_250010" w:id="11"/>
      <w:bookmarkEnd w:id="11"/>
      <w:r>
        <w:rPr/>
        <w:t>Outlook</w:t>
      </w:r>
    </w:p>
    <w:p>
      <w:pPr>
        <w:pStyle w:val="BodyText"/>
        <w:rPr>
          <w:rFonts w:ascii="Arial"/>
        </w:rPr>
      </w:pPr>
    </w:p>
    <w:p>
      <w:pPr>
        <w:pStyle w:val="BodyText"/>
        <w:spacing w:before="7"/>
        <w:rPr>
          <w:rFonts w:ascii="Arial"/>
          <w:sz w:val="19"/>
        </w:rPr>
      </w:pPr>
    </w:p>
    <w:p>
      <w:pPr>
        <w:pStyle w:val="BodyText"/>
        <w:spacing w:line="249" w:lineRule="auto"/>
        <w:ind w:left="880" w:right="167"/>
      </w:pPr>
      <w:r>
        <w:rPr/>
        <w:t>Southwest Airlines believes we are well positioned for future financial success in the rough and tumble airline industry:</w:t>
      </w:r>
    </w:p>
    <w:p>
      <w:pPr>
        <w:pStyle w:val="ListParagraph"/>
        <w:numPr>
          <w:ilvl w:val="0"/>
          <w:numId w:val="2"/>
        </w:numPr>
        <w:tabs>
          <w:tab w:pos="1599" w:val="left" w:leader="none"/>
          <w:tab w:pos="1600" w:val="left" w:leader="none"/>
        </w:tabs>
        <w:spacing w:line="249" w:lineRule="auto" w:before="58" w:after="0"/>
        <w:ind w:left="1600" w:right="290" w:hanging="360"/>
        <w:jc w:val="left"/>
        <w:rPr>
          <w:sz w:val="20"/>
        </w:rPr>
      </w:pPr>
      <w:r>
        <w:rPr>
          <w:sz w:val="20"/>
        </w:rPr>
        <w:t>We have </w:t>
      </w:r>
      <w:r>
        <w:rPr>
          <w:spacing w:val="2"/>
          <w:sz w:val="20"/>
        </w:rPr>
        <w:t>one </w:t>
      </w:r>
      <w:r>
        <w:rPr>
          <w:sz w:val="20"/>
        </w:rPr>
        <w:t>of the world’s best safety records according </w:t>
      </w:r>
      <w:r>
        <w:rPr>
          <w:spacing w:val="2"/>
          <w:sz w:val="20"/>
        </w:rPr>
        <w:t>to </w:t>
      </w:r>
      <w:r>
        <w:rPr>
          <w:sz w:val="20"/>
        </w:rPr>
        <w:t>the International Airline Passengers Association.</w:t>
      </w:r>
    </w:p>
    <w:p>
      <w:pPr>
        <w:pStyle w:val="ListParagraph"/>
        <w:numPr>
          <w:ilvl w:val="0"/>
          <w:numId w:val="2"/>
        </w:numPr>
        <w:tabs>
          <w:tab w:pos="1599" w:val="left" w:leader="none"/>
          <w:tab w:pos="1600" w:val="left" w:leader="none"/>
        </w:tabs>
        <w:spacing w:line="240" w:lineRule="auto" w:before="58" w:after="0"/>
        <w:ind w:left="1600" w:right="0" w:hanging="360"/>
        <w:jc w:val="left"/>
        <w:rPr>
          <w:sz w:val="20"/>
        </w:rPr>
      </w:pPr>
      <w:r>
        <w:rPr>
          <w:sz w:val="20"/>
        </w:rPr>
        <w:t>We have the lowest cost structure of any U.S. major</w:t>
      </w:r>
      <w:r>
        <w:rPr>
          <w:spacing w:val="7"/>
          <w:sz w:val="20"/>
        </w:rPr>
        <w:t> </w:t>
      </w:r>
      <w:r>
        <w:rPr>
          <w:sz w:val="20"/>
        </w:rPr>
        <w:t>airline.</w:t>
      </w:r>
    </w:p>
    <w:p>
      <w:pPr>
        <w:pStyle w:val="ListParagraph"/>
        <w:numPr>
          <w:ilvl w:val="0"/>
          <w:numId w:val="2"/>
        </w:numPr>
        <w:tabs>
          <w:tab w:pos="1599" w:val="left" w:leader="none"/>
          <w:tab w:pos="1600" w:val="left" w:leader="none"/>
        </w:tabs>
        <w:spacing w:line="249" w:lineRule="auto" w:before="66" w:after="0"/>
        <w:ind w:left="1600" w:right="624" w:hanging="360"/>
        <w:jc w:val="left"/>
        <w:rPr>
          <w:sz w:val="20"/>
        </w:rPr>
      </w:pPr>
      <w:r>
        <w:rPr>
          <w:sz w:val="20"/>
        </w:rPr>
        <w:t>We have been consistently profitable in each </w:t>
      </w:r>
      <w:r>
        <w:rPr>
          <w:spacing w:val="2"/>
          <w:sz w:val="20"/>
        </w:rPr>
        <w:t>of </w:t>
      </w:r>
      <w:r>
        <w:rPr>
          <w:sz w:val="20"/>
        </w:rPr>
        <w:t>the last 22 years in an industry </w:t>
      </w:r>
      <w:r>
        <w:rPr>
          <w:spacing w:val="2"/>
          <w:sz w:val="20"/>
        </w:rPr>
        <w:t>notorious </w:t>
      </w:r>
      <w:r>
        <w:rPr>
          <w:sz w:val="20"/>
        </w:rPr>
        <w:t>for generating</w:t>
      </w:r>
      <w:r>
        <w:rPr>
          <w:spacing w:val="4"/>
          <w:sz w:val="20"/>
        </w:rPr>
        <w:t> </w:t>
      </w:r>
      <w:r>
        <w:rPr>
          <w:sz w:val="20"/>
        </w:rPr>
        <w:t>losses.</w:t>
      </w:r>
    </w:p>
    <w:p>
      <w:pPr>
        <w:pStyle w:val="ListParagraph"/>
        <w:numPr>
          <w:ilvl w:val="0"/>
          <w:numId w:val="2"/>
        </w:numPr>
        <w:tabs>
          <w:tab w:pos="1599" w:val="left" w:leader="none"/>
          <w:tab w:pos="1600" w:val="left" w:leader="none"/>
        </w:tabs>
        <w:spacing w:line="249" w:lineRule="auto" w:before="58" w:after="0"/>
        <w:ind w:left="1600" w:right="225" w:hanging="360"/>
        <w:jc w:val="left"/>
        <w:rPr>
          <w:sz w:val="20"/>
        </w:rPr>
      </w:pPr>
      <w:r>
        <w:rPr>
          <w:sz w:val="20"/>
        </w:rPr>
        <w:t>We have an “A” credit rating on </w:t>
      </w:r>
      <w:r>
        <w:rPr>
          <w:spacing w:val="2"/>
          <w:sz w:val="20"/>
        </w:rPr>
        <w:t>our </w:t>
      </w:r>
      <w:r>
        <w:rPr>
          <w:sz w:val="20"/>
        </w:rPr>
        <w:t>secured debt, assuring us adequate access </w:t>
      </w:r>
      <w:r>
        <w:rPr>
          <w:spacing w:val="2"/>
          <w:sz w:val="20"/>
        </w:rPr>
        <w:t>to </w:t>
      </w:r>
      <w:r>
        <w:rPr>
          <w:sz w:val="20"/>
        </w:rPr>
        <w:t>capital markets to meet </w:t>
      </w:r>
      <w:r>
        <w:rPr>
          <w:spacing w:val="2"/>
          <w:sz w:val="20"/>
        </w:rPr>
        <w:t>our </w:t>
      </w:r>
      <w:r>
        <w:rPr>
          <w:sz w:val="20"/>
        </w:rPr>
        <w:t>expansion needs</w:t>
      </w:r>
      <w:r>
        <w:rPr>
          <w:spacing w:val="-22"/>
          <w:sz w:val="20"/>
        </w:rPr>
        <w:t> </w:t>
      </w:r>
      <w:r>
        <w:rPr>
          <w:sz w:val="20"/>
        </w:rPr>
        <w:t>cost-effectively.</w:t>
      </w:r>
    </w:p>
    <w:p>
      <w:pPr>
        <w:pStyle w:val="ListParagraph"/>
        <w:numPr>
          <w:ilvl w:val="0"/>
          <w:numId w:val="2"/>
        </w:numPr>
        <w:tabs>
          <w:tab w:pos="1599" w:val="left" w:leader="none"/>
          <w:tab w:pos="1600" w:val="left" w:leader="none"/>
        </w:tabs>
        <w:spacing w:line="240" w:lineRule="auto" w:before="58" w:after="0"/>
        <w:ind w:left="1600" w:right="0" w:hanging="360"/>
        <w:jc w:val="left"/>
        <w:rPr>
          <w:sz w:val="20"/>
        </w:rPr>
      </w:pPr>
      <w:r>
        <w:rPr>
          <w:sz w:val="20"/>
        </w:rPr>
        <w:t>We have a robust and diverse route structure that spans 45 cities in 22 </w:t>
      </w:r>
      <w:r>
        <w:rPr>
          <w:spacing w:val="4"/>
          <w:sz w:val="20"/>
        </w:rPr>
        <w:t> </w:t>
      </w:r>
      <w:r>
        <w:rPr>
          <w:sz w:val="20"/>
        </w:rPr>
        <w:t>states.</w:t>
      </w:r>
    </w:p>
    <w:p>
      <w:pPr>
        <w:pStyle w:val="ListParagraph"/>
        <w:numPr>
          <w:ilvl w:val="0"/>
          <w:numId w:val="2"/>
        </w:numPr>
        <w:tabs>
          <w:tab w:pos="1599" w:val="left" w:leader="none"/>
          <w:tab w:pos="1600" w:val="left" w:leader="none"/>
        </w:tabs>
        <w:spacing w:line="249" w:lineRule="auto" w:before="66" w:after="0"/>
        <w:ind w:left="1600" w:right="379" w:hanging="360"/>
        <w:jc w:val="left"/>
        <w:rPr>
          <w:sz w:val="20"/>
        </w:rPr>
      </w:pPr>
      <w:r>
        <w:rPr>
          <w:sz w:val="20"/>
        </w:rPr>
        <w:t>We have </w:t>
      </w:r>
      <w:r>
        <w:rPr>
          <w:spacing w:val="2"/>
          <w:sz w:val="20"/>
        </w:rPr>
        <w:t>the </w:t>
      </w:r>
      <w:r>
        <w:rPr>
          <w:sz w:val="20"/>
        </w:rPr>
        <w:t>dominant market share in </w:t>
      </w:r>
      <w:r>
        <w:rPr>
          <w:spacing w:val="3"/>
          <w:sz w:val="20"/>
        </w:rPr>
        <w:t>our </w:t>
      </w:r>
      <w:r>
        <w:rPr>
          <w:sz w:val="20"/>
        </w:rPr>
        <w:t>niche, </w:t>
      </w:r>
      <w:r>
        <w:rPr>
          <w:spacing w:val="2"/>
          <w:sz w:val="20"/>
        </w:rPr>
        <w:t>the </w:t>
      </w:r>
      <w:r>
        <w:rPr>
          <w:sz w:val="20"/>
        </w:rPr>
        <w:t>shorthaul, high-frequency, </w:t>
      </w:r>
      <w:r>
        <w:rPr>
          <w:spacing w:val="3"/>
          <w:sz w:val="20"/>
        </w:rPr>
        <w:t>point-to-point </w:t>
      </w:r>
      <w:r>
        <w:rPr>
          <w:sz w:val="20"/>
        </w:rPr>
        <w:t>market, with </w:t>
      </w:r>
      <w:r>
        <w:rPr>
          <w:spacing w:val="3"/>
          <w:sz w:val="20"/>
        </w:rPr>
        <w:t>over </w:t>
      </w:r>
      <w:r>
        <w:rPr>
          <w:sz w:val="20"/>
        </w:rPr>
        <w:t>65 percent in </w:t>
      </w:r>
      <w:r>
        <w:rPr>
          <w:spacing w:val="2"/>
          <w:sz w:val="20"/>
        </w:rPr>
        <w:t>our top </w:t>
      </w:r>
      <w:r>
        <w:rPr>
          <w:sz w:val="20"/>
        </w:rPr>
        <w:t>100 markets as of second quarter</w:t>
      </w:r>
      <w:r>
        <w:rPr>
          <w:spacing w:val="35"/>
          <w:sz w:val="20"/>
        </w:rPr>
        <w:t> </w:t>
      </w:r>
      <w:r>
        <w:rPr>
          <w:sz w:val="20"/>
        </w:rPr>
        <w:t>1994.</w:t>
      </w:r>
    </w:p>
    <w:p>
      <w:pPr>
        <w:pStyle w:val="ListParagraph"/>
        <w:numPr>
          <w:ilvl w:val="0"/>
          <w:numId w:val="2"/>
        </w:numPr>
        <w:tabs>
          <w:tab w:pos="1599" w:val="left" w:leader="none"/>
          <w:tab w:pos="1600" w:val="left" w:leader="none"/>
        </w:tabs>
        <w:spacing w:line="240" w:lineRule="auto" w:before="58" w:after="0"/>
        <w:ind w:left="1600" w:right="0" w:hanging="360"/>
        <w:jc w:val="left"/>
        <w:rPr>
          <w:sz w:val="20"/>
        </w:rPr>
      </w:pPr>
      <w:r>
        <w:rPr>
          <w:sz w:val="20"/>
        </w:rPr>
        <w:t>We </w:t>
      </w:r>
      <w:r>
        <w:rPr>
          <w:spacing w:val="3"/>
          <w:sz w:val="20"/>
        </w:rPr>
        <w:t>offer </w:t>
      </w:r>
      <w:r>
        <w:rPr>
          <w:sz w:val="20"/>
        </w:rPr>
        <w:t>the best Customer Service according to U.S. Department of Transportation</w:t>
      </w:r>
      <w:r>
        <w:rPr>
          <w:spacing w:val="29"/>
          <w:sz w:val="20"/>
        </w:rPr>
        <w:t> </w:t>
      </w:r>
      <w:r>
        <w:rPr>
          <w:sz w:val="20"/>
        </w:rPr>
        <w:t>statistics.</w:t>
      </w:r>
    </w:p>
    <w:p>
      <w:pPr>
        <w:pStyle w:val="BodyText"/>
        <w:spacing w:line="249" w:lineRule="auto" w:before="129"/>
        <w:ind w:left="880" w:right="316"/>
        <w:rPr>
          <w:i/>
        </w:rPr>
      </w:pPr>
      <w:r>
        <w:rPr/>
        <w:t>All because we have the hardest working and most spirited Employees in our industry who earned us not only the best profit margins and financial returns among the major airlines but also billing as one of America’s top ten companies to work for according to Robert Levering and Milton Moskowitz’s 1993 best-seller, </w:t>
      </w:r>
      <w:r>
        <w:rPr>
          <w:i/>
        </w:rPr>
        <w:t>The 100 Best Companies to Work For in America.</w:t>
      </w:r>
    </w:p>
    <w:p>
      <w:pPr>
        <w:pStyle w:val="BodyText"/>
        <w:spacing w:line="249" w:lineRule="auto" w:before="121"/>
        <w:ind w:left="880" w:right="412"/>
      </w:pPr>
      <w:r>
        <w:rPr/>
        <w:t>In 1995, we believe we will further strengthen our Company’s distribution systems including increased reservation capacity; the systemwide rollout of Ticketless travel; and the introduction of SABRE’s new Basic Booking Request. Further, we are hopeful that these and other initiatives will lead to lower unit costs per ASM in 1995 versus 1994.</w:t>
      </w:r>
    </w:p>
    <w:p>
      <w:pPr>
        <w:spacing w:after="0" w:line="249" w:lineRule="auto"/>
        <w:sectPr>
          <w:headerReference w:type="default" r:id="rId23"/>
          <w:pgSz w:w="12240" w:h="15840"/>
          <w:pgMar w:header="725" w:footer="746" w:top="940" w:bottom="940" w:left="1640" w:right="920"/>
        </w:sectPr>
      </w:pPr>
    </w:p>
    <w:p>
      <w:pPr>
        <w:pStyle w:val="BodyText"/>
      </w:pPr>
    </w:p>
    <w:p>
      <w:pPr>
        <w:pStyle w:val="BodyText"/>
        <w:spacing w:before="9"/>
        <w:rPr>
          <w:sz w:val="24"/>
        </w:rPr>
      </w:pPr>
    </w:p>
    <w:p>
      <w:pPr>
        <w:pStyle w:val="Heading1"/>
        <w:spacing w:line="408" w:lineRule="exact" w:before="100"/>
      </w:pPr>
      <w:r>
        <w:rPr/>
        <w:pict>
          <v:line style="position:absolute;mso-position-horizontal-relative:page;mso-position-vertical-relative:paragraph;z-index:9496;mso-wrap-distance-left:0;mso-wrap-distance-right:0" from="88.559998pt,48.200001pt" to="559.439998pt,48.200001pt" stroked="true" strokeweight="1.44pt" strokecolor="#000000">
            <v:stroke dashstyle="solid"/>
            <w10:wrap type="topAndBottom"/>
          </v:line>
        </w:pict>
      </w:r>
      <w:r>
        <w:rPr/>
        <w:t>Management's Discussion and Analysis of Financial Condition and Results of Operations</w:t>
      </w:r>
    </w:p>
    <w:p>
      <w:pPr>
        <w:pStyle w:val="BodyText"/>
        <w:rPr>
          <w:rFonts w:ascii="Arial"/>
        </w:rPr>
      </w:pPr>
    </w:p>
    <w:p>
      <w:pPr>
        <w:pStyle w:val="BodyText"/>
        <w:spacing w:before="8"/>
        <w:rPr>
          <w:rFonts w:ascii="Arial"/>
          <w:sz w:val="21"/>
        </w:rPr>
      </w:pPr>
    </w:p>
    <w:p>
      <w:pPr>
        <w:pStyle w:val="Heading2"/>
        <w:spacing w:before="96"/>
      </w:pPr>
      <w:r>
        <w:rPr/>
        <w:t>Industry Conditions</w:t>
      </w:r>
    </w:p>
    <w:p>
      <w:pPr>
        <w:pStyle w:val="BodyText"/>
        <w:spacing w:line="249" w:lineRule="auto" w:before="131"/>
        <w:ind w:left="880" w:right="260"/>
      </w:pPr>
      <w:r>
        <w:rPr/>
        <w:t>The 1990s have been devastating financially for the domestic passenger airline industry, with Southwest   as </w:t>
      </w:r>
      <w:r>
        <w:rPr>
          <w:spacing w:val="2"/>
        </w:rPr>
        <w:t>the </w:t>
      </w:r>
      <w:r>
        <w:rPr/>
        <w:t>sole exception among larger carriers. Since 1990, </w:t>
      </w:r>
      <w:r>
        <w:rPr>
          <w:spacing w:val="2"/>
        </w:rPr>
        <w:t>the </w:t>
      </w:r>
      <w:r>
        <w:rPr/>
        <w:t>industry has been shrinking and we have been expanding. We are now carrying more </w:t>
      </w:r>
      <w:r>
        <w:rPr>
          <w:spacing w:val="2"/>
        </w:rPr>
        <w:t>than twice the </w:t>
      </w:r>
      <w:r>
        <w:rPr/>
        <w:t>number </w:t>
      </w:r>
      <w:r>
        <w:rPr>
          <w:spacing w:val="3"/>
        </w:rPr>
        <w:t>of </w:t>
      </w:r>
      <w:r>
        <w:rPr/>
        <w:t>passengers annually </w:t>
      </w:r>
      <w:r>
        <w:rPr>
          <w:spacing w:val="2"/>
        </w:rPr>
        <w:t>than </w:t>
      </w:r>
      <w:r>
        <w:rPr/>
        <w:t>in 1990, an annualized </w:t>
      </w:r>
      <w:r>
        <w:rPr>
          <w:spacing w:val="2"/>
        </w:rPr>
        <w:t>growth rate of </w:t>
      </w:r>
      <w:r>
        <w:rPr/>
        <w:t>21 percent. In 1993, with the advent </w:t>
      </w:r>
      <w:r>
        <w:rPr>
          <w:spacing w:val="2"/>
        </w:rPr>
        <w:t>of </w:t>
      </w:r>
      <w:r>
        <w:rPr/>
        <w:t>Continental Lite and plans laid for </w:t>
      </w:r>
      <w:r>
        <w:rPr>
          <w:spacing w:val="2"/>
        </w:rPr>
        <w:t>the </w:t>
      </w:r>
      <w:r>
        <w:rPr/>
        <w:t>United Shuttle, the competitive trend away from Southwest began to reverse. In 1994, in the face of </w:t>
      </w:r>
      <w:r>
        <w:rPr>
          <w:spacing w:val="2"/>
        </w:rPr>
        <w:t>our </w:t>
      </w:r>
      <w:r>
        <w:rPr>
          <w:spacing w:val="3"/>
        </w:rPr>
        <w:t>own </w:t>
      </w:r>
      <w:r>
        <w:rPr/>
        <w:t>aggressive expansion, we experienced a massive increase </w:t>
      </w:r>
      <w:r>
        <w:rPr>
          <w:spacing w:val="2"/>
        </w:rPr>
        <w:t>of </w:t>
      </w:r>
      <w:r>
        <w:rPr/>
        <w:t>new competitive service from United, Continental, Reno, and </w:t>
      </w:r>
      <w:r>
        <w:rPr>
          <w:spacing w:val="2"/>
        </w:rPr>
        <w:t>TWA. </w:t>
      </w:r>
      <w:r>
        <w:rPr/>
        <w:t>We also were negatively impacted by the industry's use </w:t>
      </w:r>
      <w:r>
        <w:rPr>
          <w:spacing w:val="2"/>
        </w:rPr>
        <w:t>of </w:t>
      </w:r>
      <w:r>
        <w:rPr/>
        <w:t>persistent fare sales during the </w:t>
      </w:r>
      <w:r>
        <w:rPr>
          <w:spacing w:val="2"/>
        </w:rPr>
        <w:t>fourth </w:t>
      </w:r>
      <w:r>
        <w:rPr/>
        <w:t>quarter, which </w:t>
      </w:r>
      <w:r>
        <w:rPr>
          <w:spacing w:val="4"/>
        </w:rPr>
        <w:t>occurred </w:t>
      </w:r>
      <w:r>
        <w:rPr/>
        <w:t>at a time when we were aggressively converting Morris  Air Corporation (Morris) </w:t>
      </w:r>
      <w:r>
        <w:rPr>
          <w:spacing w:val="2"/>
        </w:rPr>
        <w:t>to </w:t>
      </w:r>
      <w:r>
        <w:rPr/>
        <w:t>Southwest's </w:t>
      </w:r>
      <w:r>
        <w:rPr>
          <w:spacing w:val="3"/>
        </w:rPr>
        <w:t>operations </w:t>
      </w:r>
      <w:r>
        <w:rPr/>
        <w:t>and were experiencing </w:t>
      </w:r>
      <w:r>
        <w:rPr>
          <w:spacing w:val="3"/>
        </w:rPr>
        <w:t>operating </w:t>
      </w:r>
      <w:r>
        <w:rPr/>
        <w:t>difficulties of </w:t>
      </w:r>
      <w:r>
        <w:rPr>
          <w:spacing w:val="2"/>
        </w:rPr>
        <w:t>our </w:t>
      </w:r>
      <w:r>
        <w:rPr>
          <w:spacing w:val="4"/>
        </w:rPr>
        <w:t>own </w:t>
      </w:r>
      <w:r>
        <w:rPr/>
        <w:t>in </w:t>
      </w:r>
      <w:r>
        <w:rPr>
          <w:spacing w:val="2"/>
        </w:rPr>
        <w:t>reservations </w:t>
      </w:r>
      <w:r>
        <w:rPr/>
        <w:t>and </w:t>
      </w:r>
      <w:r>
        <w:rPr>
          <w:spacing w:val="2"/>
        </w:rPr>
        <w:t>revenue management. </w:t>
      </w:r>
      <w:r>
        <w:rPr/>
        <w:t>The </w:t>
      </w:r>
      <w:r>
        <w:rPr>
          <w:spacing w:val="2"/>
        </w:rPr>
        <w:t>result </w:t>
      </w:r>
      <w:r>
        <w:rPr/>
        <w:t>was a 47 percent decline in earnings in </w:t>
      </w:r>
      <w:r>
        <w:rPr>
          <w:spacing w:val="3"/>
        </w:rPr>
        <w:t>fourth </w:t>
      </w:r>
      <w:r>
        <w:rPr/>
        <w:t>quarter 1994 as compared </w:t>
      </w:r>
      <w:r>
        <w:rPr>
          <w:spacing w:val="2"/>
        </w:rPr>
        <w:t>to </w:t>
      </w:r>
      <w:r>
        <w:rPr/>
        <w:t>fourth quarter 1993. Many of the </w:t>
      </w:r>
      <w:r>
        <w:rPr>
          <w:spacing w:val="3"/>
        </w:rPr>
        <w:t>operational </w:t>
      </w:r>
      <w:r>
        <w:rPr/>
        <w:t>issues that surfaced during fourth quarter 1994 have been, or will soon be, addressed, most notably reservations capacity. However, some of their effects will carry </w:t>
      </w:r>
      <w:r>
        <w:rPr>
          <w:spacing w:val="3"/>
        </w:rPr>
        <w:t>over </w:t>
      </w:r>
      <w:r>
        <w:rPr/>
        <w:t>into the first two quarters of 1995, and, further, we cannot predict the actions of our</w:t>
      </w:r>
      <w:r>
        <w:rPr>
          <w:spacing w:val="-6"/>
        </w:rPr>
        <w:t> </w:t>
      </w:r>
      <w:r>
        <w:rPr/>
        <w:t>competitors.</w:t>
      </w:r>
    </w:p>
    <w:p>
      <w:pPr>
        <w:pStyle w:val="BodyText"/>
        <w:spacing w:line="249" w:lineRule="auto" w:before="121"/>
        <w:ind w:left="880" w:right="412"/>
      </w:pPr>
      <w:r>
        <w:rPr/>
        <w:t>In response to these increasing competitive pressures, we implemented several measures. However, we face significantly more competition than we did a year ago, which may also continue to adversely affect comparisons to 1994 quarterly performances, particularly in first half 1995.</w:t>
      </w:r>
    </w:p>
    <w:p>
      <w:pPr>
        <w:pStyle w:val="BodyText"/>
        <w:spacing w:line="249" w:lineRule="auto" w:before="121"/>
        <w:ind w:left="880" w:right="269"/>
      </w:pPr>
      <w:r>
        <w:rPr/>
        <w:t>As compared </w:t>
      </w:r>
      <w:r>
        <w:rPr>
          <w:spacing w:val="2"/>
        </w:rPr>
        <w:t>to </w:t>
      </w:r>
      <w:r>
        <w:rPr/>
        <w:t>year ago levels, load factors and passenger revenue yields are currently down (the consolidated load factor for January 1995 was 57.8 percent, compared with 63.1 percent for the same </w:t>
      </w:r>
      <w:r>
        <w:rPr>
          <w:spacing w:val="2"/>
        </w:rPr>
        <w:t>month </w:t>
      </w:r>
      <w:r>
        <w:rPr/>
        <w:t>a year ago). Our expectation is </w:t>
      </w:r>
      <w:r>
        <w:rPr>
          <w:spacing w:val="2"/>
        </w:rPr>
        <w:t>that </w:t>
      </w:r>
      <w:r>
        <w:rPr/>
        <w:t>this </w:t>
      </w:r>
      <w:r>
        <w:rPr>
          <w:spacing w:val="2"/>
        </w:rPr>
        <w:t>trend </w:t>
      </w:r>
      <w:r>
        <w:rPr/>
        <w:t>will </w:t>
      </w:r>
      <w:r>
        <w:rPr>
          <w:spacing w:val="2"/>
        </w:rPr>
        <w:t>continue </w:t>
      </w:r>
      <w:r>
        <w:rPr/>
        <w:t>at least during first half 1995. As expected, the integration </w:t>
      </w:r>
      <w:r>
        <w:rPr>
          <w:spacing w:val="2"/>
        </w:rPr>
        <w:t>of </w:t>
      </w:r>
      <w:r>
        <w:rPr/>
        <w:t>Morris into Southwest during 1994, which included 21 aircraft and seven new cities, resulted in </w:t>
      </w:r>
      <w:r>
        <w:rPr>
          <w:spacing w:val="3"/>
        </w:rPr>
        <w:t>our </w:t>
      </w:r>
      <w:r>
        <w:rPr/>
        <w:t>immediate competitive presence in the </w:t>
      </w:r>
      <w:r>
        <w:rPr>
          <w:spacing w:val="2"/>
        </w:rPr>
        <w:t>northwestern </w:t>
      </w:r>
      <w:r>
        <w:rPr/>
        <w:t>region </w:t>
      </w:r>
      <w:r>
        <w:rPr>
          <w:spacing w:val="2"/>
        </w:rPr>
        <w:t>of </w:t>
      </w:r>
      <w:r>
        <w:rPr/>
        <w:t>the U.S. and Salt  Lake City. However, these new markets, which are in the development stage and, therefore,  understandably low-yielding, will need </w:t>
      </w:r>
      <w:r>
        <w:rPr>
          <w:spacing w:val="2"/>
        </w:rPr>
        <w:t>to </w:t>
      </w:r>
      <w:r>
        <w:rPr/>
        <w:t>improve for </w:t>
      </w:r>
      <w:r>
        <w:rPr>
          <w:spacing w:val="4"/>
        </w:rPr>
        <w:t>overall </w:t>
      </w:r>
      <w:r>
        <w:rPr/>
        <w:t>yields </w:t>
      </w:r>
      <w:r>
        <w:rPr>
          <w:spacing w:val="2"/>
        </w:rPr>
        <w:t>to </w:t>
      </w:r>
      <w:r>
        <w:rPr/>
        <w:t>compare favorably </w:t>
      </w:r>
      <w:r>
        <w:rPr>
          <w:spacing w:val="2"/>
        </w:rPr>
        <w:t>to </w:t>
      </w:r>
      <w:r>
        <w:rPr/>
        <w:t>year ago levels. While there is no way </w:t>
      </w:r>
      <w:r>
        <w:rPr>
          <w:spacing w:val="2"/>
        </w:rPr>
        <w:t>to </w:t>
      </w:r>
      <w:r>
        <w:rPr/>
        <w:t>predict precisely how fast these markets will develop, we are encouraged by the pace thus far. We have also been encouraged with Customer acceptance of recent price increases, which may improve yield</w:t>
      </w:r>
      <w:r>
        <w:rPr>
          <w:spacing w:val="-25"/>
        </w:rPr>
        <w:t> </w:t>
      </w:r>
      <w:r>
        <w:rPr>
          <w:spacing w:val="2"/>
        </w:rPr>
        <w:t>comparisons.</w:t>
      </w:r>
    </w:p>
    <w:p>
      <w:pPr>
        <w:pStyle w:val="BodyText"/>
        <w:spacing w:line="249" w:lineRule="auto" w:before="121"/>
        <w:ind w:left="880" w:right="176"/>
      </w:pPr>
      <w:r>
        <w:rPr/>
        <w:t>From an operating cost perspective, we have been pleased with recent favorable trends versus year ago levels, including fuel prices. Our goal is to continue this trend in 1995, despite our basic lack of control over fuel prices. Significant cost reduction opportunitieslie in distribution costs. Ticketless travel, the new SABRE Basic Booking Request, our enhanced Ticket By Mail product, and expanded reservations operations should all combine to help reduce distribution costs. During 1995, we currently plan to add twenty-seven 737-300 aircraft to our fleet and one new city, Omaha, Nebraska, to our route system, which will allow us to focus on strengthening our existing route system.</w:t>
      </w:r>
    </w:p>
    <w:p>
      <w:pPr>
        <w:spacing w:after="0" w:line="249" w:lineRule="auto"/>
        <w:sectPr>
          <w:headerReference w:type="default" r:id="rId24"/>
          <w:pgSz w:w="12240" w:h="15840"/>
          <w:pgMar w:header="725" w:footer="746" w:top="940" w:bottom="940" w:left="1640" w:right="920"/>
        </w:sectPr>
      </w:pPr>
    </w:p>
    <w:p>
      <w:pPr>
        <w:pStyle w:val="BodyText"/>
      </w:pPr>
    </w:p>
    <w:p>
      <w:pPr>
        <w:pStyle w:val="BodyText"/>
      </w:pPr>
    </w:p>
    <w:p>
      <w:pPr>
        <w:pStyle w:val="BodyText"/>
        <w:spacing w:before="10"/>
        <w:rPr>
          <w:sz w:val="23"/>
        </w:rPr>
      </w:pPr>
    </w:p>
    <w:p>
      <w:pPr>
        <w:pStyle w:val="Heading2"/>
        <w:ind w:left="839"/>
      </w:pPr>
      <w:r>
        <w:rPr/>
        <w:t>Results Of Operations</w:t>
      </w:r>
    </w:p>
    <w:p>
      <w:pPr>
        <w:pStyle w:val="BodyText"/>
        <w:spacing w:line="249" w:lineRule="auto" w:before="130"/>
        <w:ind w:left="839" w:right="310"/>
      </w:pPr>
      <w:r>
        <w:rPr>
          <w:rFonts w:ascii="Arial"/>
        </w:rPr>
        <w:t>1994 </w:t>
      </w:r>
      <w:r>
        <w:rPr>
          <w:rFonts w:ascii="Arial"/>
          <w:sz w:val="16"/>
        </w:rPr>
        <w:t>COMPARED WITH </w:t>
      </w:r>
      <w:r>
        <w:rPr>
          <w:rFonts w:ascii="Arial"/>
        </w:rPr>
        <w:t>1993 </w:t>
      </w:r>
      <w:r>
        <w:rPr/>
        <w:t>The Company's consolidated net income for 1994 was $179.3 million ($1.22 per share), as compared to the corresponding 1993 amount (before the cumulative effect of accounting changes) of $154.3 million ($1.05 per share), an increase of 16.2 percent. The increase in earnings was primarily attributable to an increase in operating income of 8.5 percent and a decrease in other expenses (nonoperating) of 46.9 percent.</w:t>
      </w:r>
    </w:p>
    <w:p>
      <w:pPr>
        <w:pStyle w:val="BodyText"/>
        <w:spacing w:line="249" w:lineRule="auto" w:before="120"/>
        <w:ind w:left="839" w:right="207"/>
      </w:pPr>
      <w:r>
        <w:rPr>
          <w:rFonts w:ascii="Arial"/>
          <w:i/>
        </w:rPr>
        <w:t>O</w:t>
      </w:r>
      <w:r>
        <w:rPr>
          <w:rFonts w:ascii="Arial"/>
          <w:i/>
          <w:sz w:val="16"/>
        </w:rPr>
        <w:t>PERATING </w:t>
      </w:r>
      <w:r>
        <w:rPr>
          <w:rFonts w:ascii="Arial"/>
          <w:i/>
        </w:rPr>
        <w:t>R</w:t>
      </w:r>
      <w:r>
        <w:rPr>
          <w:rFonts w:ascii="Arial"/>
          <w:i/>
          <w:sz w:val="16"/>
        </w:rPr>
        <w:t>EVENUES </w:t>
      </w:r>
      <w:r>
        <w:rPr/>
        <w:t>Consolidated operating revenues increased by 12.9 percent in 1994 to $2,591.9 million, compared to $2,296.7 million for 1993. This increase in 1994 operating revenues was derived from a 12.7 percent increase in passenger revenues. Revenue passenger miles (RPMs) increased 14.8 percent in 1994, compared to a 16.8 percent increase in available seat miles (ASMs), resulting in a decrease in load factor from 68.4 percent in 1993 to 67.3 percent in 1994. The 1994 ASM growth resulted from the addition of 21 aircraft during 1994.</w:t>
      </w:r>
    </w:p>
    <w:p>
      <w:pPr>
        <w:pStyle w:val="BodyText"/>
        <w:spacing w:line="249" w:lineRule="auto" w:before="121"/>
        <w:ind w:left="839" w:right="310"/>
      </w:pPr>
      <w:r>
        <w:rPr/>
        <w:t>Freight revenues in 1994 were $54.4 million, compared to $42.9 million in 1993. The 26.9 percent increase in freight revenues exceeded the 16.8 percent increase in ASMs for the same period primarily due to increased air freight volumes and United States mail services.</w:t>
      </w:r>
    </w:p>
    <w:p>
      <w:pPr>
        <w:spacing w:before="120"/>
        <w:ind w:left="839" w:right="0" w:firstLine="0"/>
        <w:jc w:val="left"/>
        <w:rPr>
          <w:sz w:val="20"/>
        </w:rPr>
      </w:pPr>
      <w:r>
        <w:rPr>
          <w:rFonts w:ascii="Arial"/>
          <w:i/>
          <w:sz w:val="20"/>
        </w:rPr>
        <w:t>O</w:t>
      </w:r>
      <w:r>
        <w:rPr>
          <w:rFonts w:ascii="Arial"/>
          <w:i/>
          <w:sz w:val="16"/>
        </w:rPr>
        <w:t>PERATING </w:t>
      </w:r>
      <w:r>
        <w:rPr>
          <w:rFonts w:ascii="Arial"/>
          <w:i/>
          <w:sz w:val="20"/>
        </w:rPr>
        <w:t>E</w:t>
      </w:r>
      <w:r>
        <w:rPr>
          <w:rFonts w:ascii="Arial"/>
          <w:i/>
          <w:sz w:val="16"/>
        </w:rPr>
        <w:t>XPENSES </w:t>
      </w:r>
      <w:r>
        <w:rPr>
          <w:sz w:val="20"/>
        </w:rPr>
        <w:t>Consolidated operating expenses for 1994 were $2,275.2 million, compared to</w:t>
      </w:r>
    </w:p>
    <w:p>
      <w:pPr>
        <w:pStyle w:val="BodyText"/>
        <w:spacing w:line="249" w:lineRule="auto" w:before="9"/>
        <w:ind w:left="839" w:right="207"/>
      </w:pPr>
      <w:r>
        <w:rPr/>
        <w:t>$2,004.7 million in 1993, an increase </w:t>
      </w:r>
      <w:r>
        <w:rPr>
          <w:spacing w:val="2"/>
        </w:rPr>
        <w:t>of </w:t>
      </w:r>
      <w:r>
        <w:rPr/>
        <w:t>13.5 percent, compared </w:t>
      </w:r>
      <w:r>
        <w:rPr>
          <w:spacing w:val="2"/>
        </w:rPr>
        <w:t>to </w:t>
      </w:r>
      <w:r>
        <w:rPr/>
        <w:t>the 16.8 percent increase in ASMs. On  a per-ASM basis, </w:t>
      </w:r>
      <w:r>
        <w:rPr>
          <w:spacing w:val="4"/>
        </w:rPr>
        <w:t>operating </w:t>
      </w:r>
      <w:r>
        <w:rPr/>
        <w:t>expenses (excluding 1993 merger expenses) decreased 2.3 percent in</w:t>
      </w:r>
      <w:r>
        <w:rPr>
          <w:spacing w:val="38"/>
        </w:rPr>
        <w:t> </w:t>
      </w:r>
      <w:r>
        <w:rPr/>
        <w:t>1994.</w:t>
      </w:r>
    </w:p>
    <w:p>
      <w:pPr>
        <w:pStyle w:val="BodyText"/>
        <w:spacing w:line="249" w:lineRule="auto"/>
        <w:ind w:left="839"/>
      </w:pPr>
      <w:r>
        <w:rPr/>
        <w:t>The primary factors contributing to this decrease were an 8.8 percent decrease in average jet fuel cost per gallon and lower agency commission costs, offset by increased aircraft rentals.</w:t>
      </w:r>
    </w:p>
    <w:p>
      <w:pPr>
        <w:pStyle w:val="BodyText"/>
        <w:spacing w:before="120"/>
        <w:ind w:left="839"/>
      </w:pPr>
      <w:r>
        <w:rPr/>
        <w:t>Operating expenses per ASM for 1994 and 1993 (excluding 1993 merger expenses) were as follows:</w:t>
      </w:r>
    </w:p>
    <w:p>
      <w:pPr>
        <w:pStyle w:val="BodyText"/>
        <w:spacing w:before="9"/>
        <w:rPr>
          <w:sz w:val="10"/>
        </w:rPr>
      </w:pPr>
    </w:p>
    <w:tbl>
      <w:tblPr>
        <w:tblW w:w="0" w:type="auto"/>
        <w:jc w:val="left"/>
        <w:tblInd w:w="8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38"/>
        <w:gridCol w:w="864"/>
        <w:gridCol w:w="864"/>
        <w:gridCol w:w="864"/>
        <w:gridCol w:w="866"/>
      </w:tblGrid>
      <w:tr>
        <w:trPr>
          <w:trHeight w:val="516" w:hRule="exact"/>
        </w:trPr>
        <w:tc>
          <w:tcPr>
            <w:tcW w:w="5038" w:type="dxa"/>
            <w:tcBorders>
              <w:bottom w:val="single" w:sz="6" w:space="0" w:color="FFFF00"/>
              <w:right w:val="single" w:sz="6" w:space="0" w:color="FFFF00"/>
            </w:tcBorders>
          </w:tcPr>
          <w:p>
            <w:pPr>
              <w:pStyle w:val="TableParagraph"/>
              <w:spacing w:before="187"/>
              <w:ind w:left="182"/>
              <w:rPr>
                <w:rFonts w:ascii="Arial"/>
                <w:b/>
                <w:sz w:val="20"/>
              </w:rPr>
            </w:pPr>
            <w:r>
              <w:rPr>
                <w:rFonts w:ascii="Arial"/>
                <w:b/>
                <w:sz w:val="20"/>
              </w:rPr>
              <w:t>Operating expenses per ASM</w:t>
            </w:r>
          </w:p>
        </w:tc>
        <w:tc>
          <w:tcPr>
            <w:tcW w:w="864" w:type="dxa"/>
            <w:tcBorders>
              <w:left w:val="single" w:sz="6" w:space="0" w:color="FFFF00"/>
              <w:bottom w:val="single" w:sz="6" w:space="0" w:color="FFFF00"/>
              <w:right w:val="single" w:sz="6" w:space="0" w:color="FFFF00"/>
            </w:tcBorders>
          </w:tcPr>
          <w:p>
            <w:pPr>
              <w:pStyle w:val="TableParagraph"/>
              <w:spacing w:before="7"/>
              <w:rPr>
                <w:sz w:val="23"/>
              </w:rPr>
            </w:pPr>
          </w:p>
          <w:p>
            <w:pPr>
              <w:pStyle w:val="TableParagraph"/>
              <w:spacing w:before="1"/>
              <w:ind w:left="249"/>
              <w:rPr>
                <w:rFonts w:ascii="Arial"/>
                <w:sz w:val="16"/>
              </w:rPr>
            </w:pPr>
            <w:r>
              <w:rPr>
                <w:rFonts w:ascii="Arial"/>
                <w:sz w:val="16"/>
              </w:rPr>
              <w:t>1994</w:t>
            </w:r>
          </w:p>
        </w:tc>
        <w:tc>
          <w:tcPr>
            <w:tcW w:w="864" w:type="dxa"/>
            <w:tcBorders>
              <w:left w:val="single" w:sz="6" w:space="0" w:color="FFFF00"/>
              <w:bottom w:val="single" w:sz="6" w:space="0" w:color="FFFF00"/>
              <w:right w:val="single" w:sz="6" w:space="0" w:color="FFFF00"/>
            </w:tcBorders>
          </w:tcPr>
          <w:p>
            <w:pPr>
              <w:pStyle w:val="TableParagraph"/>
              <w:spacing w:before="7"/>
              <w:rPr>
                <w:sz w:val="23"/>
              </w:rPr>
            </w:pPr>
          </w:p>
          <w:p>
            <w:pPr>
              <w:pStyle w:val="TableParagraph"/>
              <w:spacing w:before="1"/>
              <w:ind w:left="249"/>
              <w:rPr>
                <w:rFonts w:ascii="Arial"/>
                <w:sz w:val="16"/>
              </w:rPr>
            </w:pPr>
            <w:r>
              <w:rPr>
                <w:rFonts w:ascii="Arial"/>
                <w:sz w:val="16"/>
              </w:rPr>
              <w:t>1993</w:t>
            </w:r>
          </w:p>
        </w:tc>
        <w:tc>
          <w:tcPr>
            <w:tcW w:w="864" w:type="dxa"/>
            <w:tcBorders>
              <w:left w:val="single" w:sz="6" w:space="0" w:color="FFFF00"/>
              <w:bottom w:val="single" w:sz="6" w:space="0" w:color="FFFF00"/>
              <w:right w:val="single" w:sz="6" w:space="0" w:color="FFFF00"/>
            </w:tcBorders>
          </w:tcPr>
          <w:p>
            <w:pPr>
              <w:pStyle w:val="TableParagraph"/>
              <w:spacing w:line="244" w:lineRule="auto" w:before="85"/>
              <w:ind w:left="57" w:right="7" w:firstLine="72"/>
              <w:rPr>
                <w:rFonts w:ascii="Arial"/>
                <w:sz w:val="16"/>
              </w:rPr>
            </w:pPr>
            <w:r>
              <w:rPr>
                <w:rFonts w:ascii="Arial"/>
                <w:sz w:val="16"/>
              </w:rPr>
              <w:t>Increase (decrease)</w:t>
            </w:r>
          </w:p>
        </w:tc>
        <w:tc>
          <w:tcPr>
            <w:tcW w:w="866" w:type="dxa"/>
            <w:tcBorders>
              <w:left w:val="single" w:sz="6" w:space="0" w:color="FFFF00"/>
              <w:bottom w:val="single" w:sz="6" w:space="0" w:color="FFFF00"/>
            </w:tcBorders>
          </w:tcPr>
          <w:p>
            <w:pPr>
              <w:pStyle w:val="TableParagraph"/>
              <w:spacing w:line="244" w:lineRule="auto" w:before="85"/>
              <w:ind w:left="167" w:hanging="15"/>
              <w:rPr>
                <w:rFonts w:ascii="Arial"/>
                <w:sz w:val="16"/>
              </w:rPr>
            </w:pPr>
            <w:r>
              <w:rPr>
                <w:rFonts w:ascii="Arial"/>
                <w:sz w:val="16"/>
              </w:rPr>
              <w:t>Percent change</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Salaries, wages, and benefits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43"/>
              <w:jc w:val="right"/>
              <w:rPr>
                <w:sz w:val="20"/>
              </w:rPr>
            </w:pPr>
            <w:r>
              <w:rPr>
                <w:sz w:val="20"/>
              </w:rPr>
              <w:t>2.13¢</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43"/>
              <w:jc w:val="right"/>
              <w:rPr>
                <w:sz w:val="20"/>
              </w:rPr>
            </w:pPr>
            <w:r>
              <w:rPr>
                <w:sz w:val="20"/>
              </w:rPr>
              <w:t>2.12¢</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39"/>
              <w:jc w:val="right"/>
              <w:rPr>
                <w:sz w:val="20"/>
              </w:rPr>
            </w:pPr>
            <w:r>
              <w:rPr>
                <w:sz w:val="20"/>
              </w:rPr>
              <w:t>.01¢</w:t>
            </w:r>
          </w:p>
        </w:tc>
        <w:tc>
          <w:tcPr>
            <w:tcW w:w="866" w:type="dxa"/>
            <w:tcBorders>
              <w:top w:val="single" w:sz="6" w:space="0" w:color="FFFF00"/>
              <w:left w:val="single" w:sz="6" w:space="0" w:color="FFFF00"/>
              <w:bottom w:val="single" w:sz="6" w:space="0" w:color="FFFF00"/>
            </w:tcBorders>
          </w:tcPr>
          <w:p>
            <w:pPr>
              <w:pStyle w:val="TableParagraph"/>
              <w:ind w:right="73"/>
              <w:jc w:val="right"/>
              <w:rPr>
                <w:sz w:val="20"/>
              </w:rPr>
            </w:pPr>
            <w:r>
              <w:rPr>
                <w:sz w:val="20"/>
              </w:rPr>
              <w:t>0.5%</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Profitsharing and Employee savings plans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.22</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.21</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.01</w:t>
            </w:r>
          </w:p>
        </w:tc>
        <w:tc>
          <w:tcPr>
            <w:tcW w:w="866" w:type="dxa"/>
            <w:tcBorders>
              <w:top w:val="single" w:sz="6" w:space="0" w:color="FFFF00"/>
              <w:left w:val="single" w:sz="6" w:space="0" w:color="FFFF00"/>
              <w:bottom w:val="single" w:sz="6" w:space="0" w:color="FFFF00"/>
            </w:tcBorders>
          </w:tcPr>
          <w:p>
            <w:pPr>
              <w:pStyle w:val="TableParagraph"/>
              <w:ind w:left="350"/>
              <w:rPr>
                <w:sz w:val="20"/>
              </w:rPr>
            </w:pPr>
            <w:r>
              <w:rPr>
                <w:sz w:val="20"/>
              </w:rPr>
              <w:t>4.8</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Fuel and oil</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350"/>
              <w:rPr>
                <w:sz w:val="20"/>
              </w:rPr>
            </w:pPr>
            <w:r>
              <w:rPr>
                <w:sz w:val="20"/>
              </w:rPr>
              <w:t>1.00</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350"/>
              <w:rPr>
                <w:sz w:val="20"/>
              </w:rPr>
            </w:pPr>
            <w:r>
              <w:rPr>
                <w:sz w:val="20"/>
              </w:rPr>
              <w:t>1.11</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(.11)</w:t>
            </w:r>
          </w:p>
        </w:tc>
        <w:tc>
          <w:tcPr>
            <w:tcW w:w="866" w:type="dxa"/>
            <w:tcBorders>
              <w:top w:val="single" w:sz="6" w:space="0" w:color="FFFF00"/>
              <w:left w:val="single" w:sz="6" w:space="0" w:color="FFFF00"/>
              <w:bottom w:val="single" w:sz="6" w:space="0" w:color="FFFF00"/>
            </w:tcBorders>
          </w:tcPr>
          <w:p>
            <w:pPr>
              <w:pStyle w:val="TableParagraph"/>
              <w:ind w:left="283"/>
              <w:rPr>
                <w:sz w:val="20"/>
              </w:rPr>
            </w:pPr>
            <w:r>
              <w:rPr>
                <w:sz w:val="20"/>
              </w:rPr>
              <w:t>(9.9)</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Maintenance materials and repairs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.59</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.59</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2"/>
              <w:jc w:val="center"/>
              <w:rPr>
                <w:sz w:val="20"/>
              </w:rPr>
            </w:pPr>
            <w:r>
              <w:rPr>
                <w:w w:val="100"/>
                <w:sz w:val="20"/>
              </w:rPr>
              <w:t>-</w:t>
            </w:r>
          </w:p>
        </w:tc>
        <w:tc>
          <w:tcPr>
            <w:tcW w:w="866" w:type="dxa"/>
            <w:tcBorders>
              <w:top w:val="single" w:sz="6" w:space="0" w:color="FFFF00"/>
              <w:left w:val="single" w:sz="6" w:space="0" w:color="FFFF00"/>
              <w:bottom w:val="single" w:sz="6" w:space="0" w:color="FFFF00"/>
            </w:tcBorders>
          </w:tcPr>
          <w:p>
            <w:pPr>
              <w:pStyle w:val="TableParagraph"/>
              <w:ind w:right="7"/>
              <w:jc w:val="center"/>
              <w:rPr>
                <w:sz w:val="20"/>
              </w:rPr>
            </w:pPr>
            <w:r>
              <w:rPr>
                <w:w w:val="100"/>
                <w:sz w:val="20"/>
              </w:rPr>
              <w:t>-</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Agency commissions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.47</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.53</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(.06)</w:t>
            </w:r>
          </w:p>
        </w:tc>
        <w:tc>
          <w:tcPr>
            <w:tcW w:w="866" w:type="dxa"/>
            <w:tcBorders>
              <w:top w:val="single" w:sz="6" w:space="0" w:color="FFFF00"/>
              <w:left w:val="single" w:sz="6" w:space="0" w:color="FFFF00"/>
              <w:bottom w:val="single" w:sz="6" w:space="0" w:color="FFFF00"/>
            </w:tcBorders>
          </w:tcPr>
          <w:p>
            <w:pPr>
              <w:pStyle w:val="TableParagraph"/>
              <w:ind w:left="182"/>
              <w:rPr>
                <w:sz w:val="20"/>
              </w:rPr>
            </w:pPr>
            <w:r>
              <w:rPr>
                <w:sz w:val="20"/>
              </w:rPr>
              <w:t>(11.3)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Aircraft rentals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.42</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.39</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.03</w:t>
            </w:r>
          </w:p>
        </w:tc>
        <w:tc>
          <w:tcPr>
            <w:tcW w:w="866" w:type="dxa"/>
            <w:tcBorders>
              <w:top w:val="single" w:sz="6" w:space="0" w:color="FFFF00"/>
              <w:left w:val="single" w:sz="6" w:space="0" w:color="FFFF00"/>
              <w:bottom w:val="single" w:sz="6" w:space="0" w:color="FFFF00"/>
            </w:tcBorders>
          </w:tcPr>
          <w:p>
            <w:pPr>
              <w:pStyle w:val="TableParagraph"/>
              <w:ind w:left="350"/>
              <w:rPr>
                <w:sz w:val="20"/>
              </w:rPr>
            </w:pPr>
            <w:r>
              <w:rPr>
                <w:sz w:val="20"/>
              </w:rPr>
              <w:t>7.7</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Landing fees and other rentals</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.46</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.47</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(.01)</w:t>
            </w:r>
          </w:p>
        </w:tc>
        <w:tc>
          <w:tcPr>
            <w:tcW w:w="866" w:type="dxa"/>
            <w:tcBorders>
              <w:top w:val="single" w:sz="6" w:space="0" w:color="FFFF00"/>
              <w:left w:val="single" w:sz="6" w:space="0" w:color="FFFF00"/>
              <w:bottom w:val="single" w:sz="6" w:space="0" w:color="FFFF00"/>
            </w:tcBorders>
          </w:tcPr>
          <w:p>
            <w:pPr>
              <w:pStyle w:val="TableParagraph"/>
              <w:ind w:left="283"/>
              <w:rPr>
                <w:sz w:val="20"/>
              </w:rPr>
            </w:pPr>
            <w:r>
              <w:rPr>
                <w:sz w:val="20"/>
              </w:rPr>
              <w:t>(2.1)</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Depreciation</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451"/>
              <w:rPr>
                <w:sz w:val="20"/>
              </w:rPr>
            </w:pPr>
            <w:r>
              <w:rPr>
                <w:sz w:val="20"/>
              </w:rPr>
              <w:t>.43</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142"/>
              <w:jc w:val="right"/>
              <w:rPr>
                <w:sz w:val="20"/>
              </w:rPr>
            </w:pPr>
            <w:r>
              <w:rPr>
                <w:sz w:val="20"/>
              </w:rPr>
              <w:t>.44</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(.01)</w:t>
            </w:r>
          </w:p>
        </w:tc>
        <w:tc>
          <w:tcPr>
            <w:tcW w:w="866" w:type="dxa"/>
            <w:tcBorders>
              <w:top w:val="single" w:sz="6" w:space="0" w:color="FFFF00"/>
              <w:left w:val="single" w:sz="6" w:space="0" w:color="FFFF00"/>
              <w:bottom w:val="single" w:sz="6" w:space="0" w:color="FFFF00"/>
            </w:tcBorders>
          </w:tcPr>
          <w:p>
            <w:pPr>
              <w:pStyle w:val="TableParagraph"/>
              <w:ind w:left="283"/>
              <w:rPr>
                <w:sz w:val="20"/>
              </w:rPr>
            </w:pPr>
            <w:r>
              <w:rPr>
                <w:sz w:val="20"/>
              </w:rPr>
              <w:t>(2.3)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350"/>
              <w:rPr>
                <w:sz w:val="20"/>
              </w:rPr>
            </w:pPr>
            <w:r>
              <w:rPr>
                <w:sz w:val="20"/>
              </w:rPr>
              <w:t>1.36</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left="350"/>
              <w:rPr>
                <w:sz w:val="20"/>
              </w:rPr>
            </w:pPr>
            <w:r>
              <w:rPr>
                <w:sz w:val="20"/>
              </w:rPr>
              <w:t>1.39</w:t>
            </w:r>
          </w:p>
        </w:tc>
        <w:tc>
          <w:tcPr>
            <w:tcW w:w="864" w:type="dxa"/>
            <w:tcBorders>
              <w:top w:val="single" w:sz="6" w:space="0" w:color="FFFF00"/>
              <w:left w:val="single" w:sz="6" w:space="0" w:color="FFFF00"/>
              <w:bottom w:val="single" w:sz="6" w:space="0" w:color="FFFF00"/>
              <w:right w:val="single" w:sz="6" w:space="0" w:color="FFFF00"/>
            </w:tcBorders>
          </w:tcPr>
          <w:p>
            <w:pPr>
              <w:pStyle w:val="TableParagraph"/>
              <w:ind w:right="76"/>
              <w:jc w:val="right"/>
              <w:rPr>
                <w:sz w:val="20"/>
              </w:rPr>
            </w:pPr>
            <w:r>
              <w:rPr>
                <w:sz w:val="20"/>
              </w:rPr>
              <w:t>(.03)</w:t>
            </w:r>
          </w:p>
        </w:tc>
        <w:tc>
          <w:tcPr>
            <w:tcW w:w="866" w:type="dxa"/>
            <w:tcBorders>
              <w:top w:val="single" w:sz="6" w:space="0" w:color="FFFF00"/>
              <w:left w:val="single" w:sz="6" w:space="0" w:color="FFFF00"/>
              <w:bottom w:val="single" w:sz="6" w:space="0" w:color="FFFF00"/>
            </w:tcBorders>
          </w:tcPr>
          <w:p>
            <w:pPr>
              <w:pStyle w:val="TableParagraph"/>
              <w:ind w:left="283"/>
              <w:rPr>
                <w:sz w:val="20"/>
              </w:rPr>
            </w:pPr>
            <w:r>
              <w:rPr>
                <w:sz w:val="20"/>
              </w:rPr>
              <w:t>(2.2)</w:t>
            </w:r>
          </w:p>
        </w:tc>
      </w:tr>
      <w:tr>
        <w:trPr>
          <w:trHeight w:val="362" w:hRule="exact"/>
        </w:trPr>
        <w:tc>
          <w:tcPr>
            <w:tcW w:w="5038" w:type="dxa"/>
            <w:tcBorders>
              <w:top w:val="single" w:sz="6" w:space="0" w:color="FFFF00"/>
              <w:right w:val="single" w:sz="6" w:space="0" w:color="FFFF00"/>
            </w:tcBorders>
          </w:tcPr>
          <w:p>
            <w:pPr>
              <w:pStyle w:val="TableParagraph"/>
              <w:spacing w:line="226" w:lineRule="exact" w:before="0"/>
              <w:ind w:left="187"/>
              <w:rPr>
                <w:sz w:val="20"/>
              </w:rPr>
            </w:pPr>
            <w:r>
              <w:rPr>
                <w:sz w:val="20"/>
              </w:rPr>
              <w:t>Total</w:t>
            </w:r>
          </w:p>
        </w:tc>
        <w:tc>
          <w:tcPr>
            <w:tcW w:w="864" w:type="dxa"/>
            <w:tcBorders>
              <w:top w:val="single" w:sz="6" w:space="0" w:color="FFFF00"/>
              <w:left w:val="single" w:sz="6" w:space="0" w:color="FFFF00"/>
              <w:right w:val="single" w:sz="6" w:space="0" w:color="FFFF00"/>
            </w:tcBorders>
          </w:tcPr>
          <w:p>
            <w:pPr>
              <w:pStyle w:val="TableParagraph"/>
              <w:ind w:right="43"/>
              <w:jc w:val="right"/>
              <w:rPr>
                <w:sz w:val="20"/>
              </w:rPr>
            </w:pPr>
            <w:r>
              <w:rPr>
                <w:sz w:val="20"/>
              </w:rPr>
              <w:t>7.08¢</w:t>
            </w:r>
          </w:p>
        </w:tc>
        <w:tc>
          <w:tcPr>
            <w:tcW w:w="864" w:type="dxa"/>
            <w:tcBorders>
              <w:top w:val="single" w:sz="6" w:space="0" w:color="FFFF00"/>
              <w:left w:val="single" w:sz="6" w:space="0" w:color="FFFF00"/>
              <w:right w:val="single" w:sz="6" w:space="0" w:color="FFFF00"/>
            </w:tcBorders>
          </w:tcPr>
          <w:p>
            <w:pPr>
              <w:pStyle w:val="TableParagraph"/>
              <w:ind w:right="43"/>
              <w:jc w:val="right"/>
              <w:rPr>
                <w:sz w:val="20"/>
              </w:rPr>
            </w:pPr>
            <w:r>
              <w:rPr>
                <w:sz w:val="20"/>
              </w:rPr>
              <w:t>7.25¢</w:t>
            </w:r>
          </w:p>
        </w:tc>
        <w:tc>
          <w:tcPr>
            <w:tcW w:w="864" w:type="dxa"/>
            <w:tcBorders>
              <w:top w:val="single" w:sz="6" w:space="0" w:color="FFFF00"/>
              <w:left w:val="single" w:sz="6" w:space="0" w:color="FFFF00"/>
              <w:right w:val="single" w:sz="6" w:space="0" w:color="FFFF00"/>
            </w:tcBorders>
          </w:tcPr>
          <w:p>
            <w:pPr>
              <w:pStyle w:val="TableParagraph"/>
              <w:ind w:right="-24"/>
              <w:jc w:val="right"/>
              <w:rPr>
                <w:sz w:val="20"/>
              </w:rPr>
            </w:pPr>
            <w:r>
              <w:rPr>
                <w:sz w:val="20"/>
              </w:rPr>
              <w:t>(.17)¢</w:t>
            </w:r>
          </w:p>
        </w:tc>
        <w:tc>
          <w:tcPr>
            <w:tcW w:w="866" w:type="dxa"/>
            <w:tcBorders>
              <w:top w:val="single" w:sz="6" w:space="0" w:color="FFFF00"/>
              <w:left w:val="single" w:sz="6" w:space="0" w:color="FFFF00"/>
            </w:tcBorders>
          </w:tcPr>
          <w:p>
            <w:pPr>
              <w:pStyle w:val="TableParagraph"/>
              <w:ind w:right="4"/>
              <w:jc w:val="right"/>
              <w:rPr>
                <w:sz w:val="20"/>
              </w:rPr>
            </w:pPr>
            <w:r>
              <w:rPr>
                <w:sz w:val="20"/>
              </w:rPr>
              <w:t>(2.3)%</w:t>
            </w:r>
          </w:p>
        </w:tc>
      </w:tr>
    </w:tbl>
    <w:p>
      <w:pPr>
        <w:spacing w:after="0"/>
        <w:jc w:val="right"/>
        <w:rPr>
          <w:sz w:val="20"/>
        </w:rPr>
        <w:sectPr>
          <w:pgSz w:w="12240" w:h="15840"/>
          <w:pgMar w:header="725" w:footer="746" w:top="940" w:bottom="940" w:left="1680" w:right="960"/>
        </w:sectPr>
      </w:pPr>
    </w:p>
    <w:p>
      <w:pPr>
        <w:pStyle w:val="BodyText"/>
      </w:pPr>
    </w:p>
    <w:p>
      <w:pPr>
        <w:pStyle w:val="BodyText"/>
        <w:spacing w:before="4"/>
        <w:rPr>
          <w:sz w:val="25"/>
        </w:rPr>
      </w:pPr>
    </w:p>
    <w:p>
      <w:pPr>
        <w:pStyle w:val="BodyText"/>
        <w:spacing w:line="249" w:lineRule="auto" w:before="94"/>
        <w:ind w:left="839"/>
      </w:pPr>
      <w:r>
        <w:rPr/>
        <w:t>Salaries, wages, and benefits per ASM increased only .5 percent in 1994. This increase resulted from a 3.0 percent increase inaverage salary and benefits cost per Employee, partially offset by slower average headcount growth, which increased only 13.8 percent in 1994 versus the 1994 capacity (ASM) increase of</w:t>
      </w:r>
    </w:p>
    <w:p>
      <w:pPr>
        <w:pStyle w:val="BodyText"/>
        <w:spacing w:line="249" w:lineRule="auto" w:before="1"/>
        <w:ind w:left="839" w:right="310"/>
      </w:pPr>
      <w:r>
        <w:rPr/>
        <w:t>16.8 percent. The majority of the increase in average salary and benefits cost related to increased health benefits and workers' compensation costs. Employee productivity improved from 2,633 passengers handled per Employee in 1993 to 2,676 in 1994.</w:t>
      </w:r>
    </w:p>
    <w:p>
      <w:pPr>
        <w:pStyle w:val="BodyText"/>
        <w:spacing w:line="249" w:lineRule="auto" w:before="121"/>
        <w:ind w:left="839" w:right="310"/>
      </w:pPr>
      <w:r>
        <w:rPr/>
        <w:t>Profitsharing and Employee savings plan expenses per ASM increased 4.8 percent in 1994. The increase is primarily the result of increased matching contributions to Employee savings plans resulting from increased Employee participation and higher matching rates in 1994 for Flight Attendants and Customer Service Employees under their respective collective bargaining agreements.</w:t>
      </w:r>
    </w:p>
    <w:p>
      <w:pPr>
        <w:pStyle w:val="BodyText"/>
        <w:spacing w:line="249" w:lineRule="auto" w:before="121"/>
        <w:ind w:left="839" w:right="310"/>
      </w:pPr>
      <w:r>
        <w:rPr/>
        <w:t>Fuel and oil expenses per ASM decreased 9.9 percent in 1994, primarily due to an 8.8 percent reduction in the average jet fuel cost per gallon from 1993. Jet fuel prices remained relatively stable throughout 1994, with quarterly averages ranging from $0.51 to $0.56 per gallon. Since year-end, fuel prices have averaged approximately $0.54 per gallon.</w:t>
      </w:r>
    </w:p>
    <w:p>
      <w:pPr>
        <w:pStyle w:val="BodyText"/>
        <w:spacing w:line="249" w:lineRule="auto" w:before="121"/>
        <w:ind w:left="839" w:right="207"/>
      </w:pPr>
      <w:r>
        <w:rPr/>
        <w:t>In August 1993, the Revenue Reconciliation Act of 1993 was enacted, which, among other things, included an increase of 4.3 cents per gallon in transportation fuel tax, which becomes effective September 30, 1995, for jet fuel used in commercial aviation. This additional fuel tax will increase fuel expenses approximately $7.5 million in fourth quarter 1995.</w:t>
      </w:r>
    </w:p>
    <w:p>
      <w:pPr>
        <w:pStyle w:val="BodyText"/>
        <w:spacing w:before="121"/>
        <w:ind w:left="839"/>
      </w:pPr>
      <w:r>
        <w:rPr/>
        <w:t>Maintenance materials and </w:t>
      </w:r>
      <w:r>
        <w:rPr>
          <w:spacing w:val="2"/>
        </w:rPr>
        <w:t>repairs </w:t>
      </w:r>
      <w:r>
        <w:rPr/>
        <w:t>per ASM was unchanged in 1994 compared </w:t>
      </w:r>
      <w:r>
        <w:rPr>
          <w:spacing w:val="3"/>
        </w:rPr>
        <w:t>to</w:t>
      </w:r>
      <w:r>
        <w:rPr>
          <w:spacing w:val="53"/>
        </w:rPr>
        <w:t> </w:t>
      </w:r>
      <w:r>
        <w:rPr/>
        <w:t>1993.</w:t>
      </w:r>
    </w:p>
    <w:p>
      <w:pPr>
        <w:pStyle w:val="BodyText"/>
        <w:spacing w:line="249" w:lineRule="auto" w:before="129"/>
        <w:ind w:left="839" w:right="156"/>
        <w:jc w:val="both"/>
      </w:pPr>
      <w:r>
        <w:rPr/>
        <w:t>Agency commissions per ASM decreased 11.3 percent due to a lower mix of travel agency sales and lower 1994 passenger revenue per ASM. The lower travel agency sales mix resulted from 1994 enhancements to Southwest's ticket delivery systems for direct Customers, as described below.</w:t>
      </w:r>
    </w:p>
    <w:p>
      <w:pPr>
        <w:pStyle w:val="BodyText"/>
        <w:spacing w:line="249" w:lineRule="auto" w:before="120"/>
        <w:ind w:left="839" w:right="129"/>
      </w:pPr>
      <w:r>
        <w:rPr/>
        <w:t>In response to actions taken by our competitor-owned reservations systems, we reduced our </w:t>
      </w:r>
      <w:r>
        <w:rPr>
          <w:spacing w:val="2"/>
        </w:rPr>
        <w:t>operating </w:t>
      </w:r>
      <w:r>
        <w:rPr/>
        <w:t>costs and enhanced </w:t>
      </w:r>
      <w:r>
        <w:rPr>
          <w:spacing w:val="3"/>
        </w:rPr>
        <w:t>our </w:t>
      </w:r>
      <w:r>
        <w:rPr/>
        <w:t>ticket delivery systems by developing </w:t>
      </w:r>
      <w:r>
        <w:rPr>
          <w:spacing w:val="3"/>
        </w:rPr>
        <w:t>our own </w:t>
      </w:r>
      <w:r>
        <w:rPr/>
        <w:t>Southwest Airlines Air </w:t>
      </w:r>
      <w:r>
        <w:rPr>
          <w:spacing w:val="2"/>
        </w:rPr>
        <w:t>Travel  </w:t>
      </w:r>
      <w:r>
        <w:rPr/>
        <w:t>(“SWAT”) system allowing high-volume travel agents direct access </w:t>
      </w:r>
      <w:r>
        <w:rPr>
          <w:spacing w:val="2"/>
        </w:rPr>
        <w:t>to </w:t>
      </w:r>
      <w:r>
        <w:rPr/>
        <w:t>reservations; introduced </w:t>
      </w:r>
      <w:r>
        <w:rPr>
          <w:spacing w:val="3"/>
        </w:rPr>
        <w:t>overnight </w:t>
      </w:r>
      <w:r>
        <w:rPr/>
        <w:t>ticket delivery for travel agents; reduced </w:t>
      </w:r>
      <w:r>
        <w:rPr>
          <w:spacing w:val="2"/>
        </w:rPr>
        <w:t>to </w:t>
      </w:r>
      <w:r>
        <w:rPr/>
        <w:t>three the number of advance days reservations required for </w:t>
      </w:r>
      <w:r>
        <w:rPr>
          <w:spacing w:val="3"/>
        </w:rPr>
        <w:t>overnight </w:t>
      </w:r>
      <w:r>
        <w:rPr/>
        <w:t>delivery of tickets to customers (Ticket By Mail); developed </w:t>
      </w:r>
      <w:r>
        <w:rPr>
          <w:spacing w:val="2"/>
        </w:rPr>
        <w:t>our own </w:t>
      </w:r>
      <w:r>
        <w:rPr/>
        <w:t>Ticketless system, which was rolled </w:t>
      </w:r>
      <w:r>
        <w:rPr>
          <w:spacing w:val="2"/>
        </w:rPr>
        <w:t>out </w:t>
      </w:r>
      <w:r>
        <w:rPr/>
        <w:t>system-wide on January 31, 1995; and subscribed </w:t>
      </w:r>
      <w:r>
        <w:rPr>
          <w:spacing w:val="2"/>
        </w:rPr>
        <w:t>to </w:t>
      </w:r>
      <w:r>
        <w:rPr/>
        <w:t>a new level of service with SABRE  that will automate the booking process for SABRE travel agencies effective May 1, 1995. We also  continue to actively pursue </w:t>
      </w:r>
      <w:r>
        <w:rPr>
          <w:spacing w:val="3"/>
        </w:rPr>
        <w:t>other </w:t>
      </w:r>
      <w:r>
        <w:rPr/>
        <w:t>cost-effective solutions for automating non-SABRE travel agency bookings.</w:t>
      </w:r>
    </w:p>
    <w:p>
      <w:pPr>
        <w:pStyle w:val="BodyText"/>
        <w:spacing w:line="249" w:lineRule="auto" w:before="120"/>
        <w:ind w:left="839" w:right="207"/>
      </w:pPr>
      <w:r>
        <w:rPr>
          <w:spacing w:val="2"/>
        </w:rPr>
        <w:t>Aircraft rentals </w:t>
      </w:r>
      <w:r>
        <w:rPr/>
        <w:t>per ASM increased 7.7 percent in 1994. The increase primarily </w:t>
      </w:r>
      <w:r>
        <w:rPr>
          <w:spacing w:val="2"/>
        </w:rPr>
        <w:t>resulted </w:t>
      </w:r>
      <w:r>
        <w:rPr/>
        <w:t>from a </w:t>
      </w:r>
      <w:r>
        <w:rPr>
          <w:spacing w:val="2"/>
        </w:rPr>
        <w:t>third </w:t>
      </w:r>
      <w:r>
        <w:rPr/>
        <w:t>quarter 1994 sale/leaseback transaction involving ten new 737-300 aircraft and a lease </w:t>
      </w:r>
      <w:r>
        <w:rPr>
          <w:spacing w:val="2"/>
        </w:rPr>
        <w:t>of </w:t>
      </w:r>
      <w:r>
        <w:rPr/>
        <w:t>three used  aircraft under long-term </w:t>
      </w:r>
      <w:r>
        <w:rPr>
          <w:spacing w:val="3"/>
        </w:rPr>
        <w:t>operating </w:t>
      </w:r>
      <w:r>
        <w:rPr/>
        <w:t>leases. At December 31, 1994, 44.7 percent of the Company's fleet was subject to </w:t>
      </w:r>
      <w:r>
        <w:rPr>
          <w:spacing w:val="3"/>
        </w:rPr>
        <w:t>operating </w:t>
      </w:r>
      <w:r>
        <w:rPr/>
        <w:t>leases, compared to 43.3 percent at December 31,</w:t>
      </w:r>
      <w:r>
        <w:rPr>
          <w:spacing w:val="-22"/>
        </w:rPr>
        <w:t> </w:t>
      </w:r>
      <w:r>
        <w:rPr/>
        <w:t>1993.</w:t>
      </w:r>
    </w:p>
    <w:p>
      <w:pPr>
        <w:pStyle w:val="BodyText"/>
        <w:spacing w:line="249" w:lineRule="auto" w:before="120"/>
        <w:ind w:left="839" w:right="207"/>
      </w:pPr>
      <w:r>
        <w:rPr/>
        <w:t>Other operating expenses per ASM decreased 2.2 percent in 1994 compared to 1993. The overall decrease is primarily attributable to operating efficiencies resulting from the transition of Morris operational functions to Southwest, primarily contract services which decreased $8.8 million (24.4 percent per ASM), offset by an increase in advertising costs of $24.1 million (22.9 percent per ASM) primarily associated with the start-up of seven new cities and new competitive pressures in 1994.</w:t>
      </w:r>
    </w:p>
    <w:p>
      <w:pPr>
        <w:spacing w:after="0" w:line="249" w:lineRule="auto"/>
        <w:sectPr>
          <w:pgSz w:w="12240" w:h="15840"/>
          <w:pgMar w:header="725" w:footer="746" w:top="940" w:bottom="940" w:left="1680" w:right="960"/>
        </w:sectPr>
      </w:pPr>
    </w:p>
    <w:p>
      <w:pPr>
        <w:pStyle w:val="BodyText"/>
      </w:pPr>
    </w:p>
    <w:p>
      <w:pPr>
        <w:pStyle w:val="BodyText"/>
        <w:spacing w:before="2"/>
        <w:rPr>
          <w:sz w:val="25"/>
        </w:rPr>
      </w:pPr>
    </w:p>
    <w:p>
      <w:pPr>
        <w:pStyle w:val="BodyText"/>
        <w:spacing w:line="249" w:lineRule="auto" w:before="95"/>
        <w:ind w:left="839" w:right="200"/>
      </w:pPr>
      <w:r>
        <w:rPr>
          <w:rFonts w:ascii="Arial" w:hAnsi="Arial"/>
          <w:i/>
        </w:rPr>
        <w:t>O</w:t>
      </w:r>
      <w:r>
        <w:rPr>
          <w:rFonts w:ascii="Arial" w:hAnsi="Arial"/>
          <w:i/>
          <w:sz w:val="16"/>
        </w:rPr>
        <w:t>THER </w:t>
      </w:r>
      <w:r>
        <w:rPr/>
        <w:t>“ Other expenses (income)” included interest expense, interest income, and nonoperating gains and losses. Interest expense decreased $5.1 million in 1994 due to the March 1, 1993 redemption of $100 million senior unsecured notes due 1996 and the repayment of approximately $54.0 million of Morris long-term debt during first quarter 1994. Capitalized interest increased $8.6 million in 1994 as a result of higher levels of advance payments on aircraft compared to 1993. Interest income for 1994 decreased $1.9 million primarily due to lower cash balances available for short-term investment.</w:t>
      </w:r>
    </w:p>
    <w:p>
      <w:pPr>
        <w:pStyle w:val="BodyText"/>
        <w:spacing w:line="249" w:lineRule="auto" w:before="120"/>
        <w:ind w:left="839" w:right="207"/>
      </w:pPr>
      <w:r>
        <w:rPr>
          <w:rFonts w:ascii="Arial"/>
          <w:i/>
        </w:rPr>
        <w:t>I</w:t>
      </w:r>
      <w:r>
        <w:rPr>
          <w:rFonts w:ascii="Arial"/>
          <w:i/>
          <w:sz w:val="16"/>
        </w:rPr>
        <w:t>NCOME </w:t>
      </w:r>
      <w:r>
        <w:rPr>
          <w:rFonts w:ascii="Arial"/>
          <w:i/>
        </w:rPr>
        <w:t>T</w:t>
      </w:r>
      <w:r>
        <w:rPr>
          <w:rFonts w:ascii="Arial"/>
          <w:i/>
          <w:sz w:val="16"/>
        </w:rPr>
        <w:t>AXES </w:t>
      </w:r>
      <w:r>
        <w:rPr/>
        <w:t>The provision for income taxes decreased in 1994 as a percentage of income before taxes, including cumulative effect </w:t>
      </w:r>
      <w:r>
        <w:rPr>
          <w:spacing w:val="2"/>
        </w:rPr>
        <w:t>of </w:t>
      </w:r>
      <w:r>
        <w:rPr/>
        <w:t>accounting changes, </w:t>
      </w:r>
      <w:r>
        <w:rPr>
          <w:spacing w:val="2"/>
        </w:rPr>
        <w:t>to </w:t>
      </w:r>
      <w:r>
        <w:rPr/>
        <w:t>40.1 percent from 40.6 percent in 1993. The 1993 rate was higher due </w:t>
      </w:r>
      <w:r>
        <w:rPr>
          <w:spacing w:val="2"/>
        </w:rPr>
        <w:t>to </w:t>
      </w:r>
      <w:r>
        <w:rPr/>
        <w:t>deferred tax adjustments in 1993 related </w:t>
      </w:r>
      <w:r>
        <w:rPr>
          <w:spacing w:val="2"/>
        </w:rPr>
        <w:t>to </w:t>
      </w:r>
      <w:r>
        <w:rPr/>
        <w:t>the 1993 increase in the federal  corporate income tax rate from 34 percent to 35 percent(see Note 11 to the Consolidated Financial Statements). This was </w:t>
      </w:r>
      <w:r>
        <w:rPr>
          <w:spacing w:val="3"/>
        </w:rPr>
        <w:t>offset </w:t>
      </w:r>
      <w:r>
        <w:rPr/>
        <w:t>by increased 1994 effective state income tax</w:t>
      </w:r>
      <w:r>
        <w:rPr>
          <w:spacing w:val="-23"/>
        </w:rPr>
        <w:t> </w:t>
      </w:r>
      <w:r>
        <w:rPr/>
        <w:t>rates.</w:t>
      </w:r>
    </w:p>
    <w:p>
      <w:pPr>
        <w:pStyle w:val="BodyText"/>
        <w:spacing w:line="249" w:lineRule="auto" w:before="120"/>
        <w:ind w:left="840" w:right="207"/>
      </w:pPr>
      <w:r>
        <w:rPr>
          <w:rFonts w:ascii="Arial"/>
        </w:rPr>
        <w:t>1993 C</w:t>
      </w:r>
      <w:r>
        <w:rPr>
          <w:rFonts w:ascii="Arial"/>
          <w:sz w:val="16"/>
        </w:rPr>
        <w:t>OMPARED </w:t>
      </w:r>
      <w:r>
        <w:rPr>
          <w:rFonts w:ascii="Arial"/>
        </w:rPr>
        <w:t>W</w:t>
      </w:r>
      <w:r>
        <w:rPr>
          <w:rFonts w:ascii="Arial"/>
          <w:sz w:val="16"/>
        </w:rPr>
        <w:t>ITH </w:t>
      </w:r>
      <w:r>
        <w:rPr>
          <w:rFonts w:ascii="Arial"/>
        </w:rPr>
        <w:t>1992 </w:t>
      </w:r>
      <w:r>
        <w:rPr/>
        <w:t>Prior to 1993, Morris operated as a charter carrier. In 1993, Morris began operating as a FAR 121 Certificated Air Carrier, or scheduled service carrier, consistent with Southwest. For comparability from 1993 to 1992, the statistical and operating data for 1992 are based on scheduled passenger service only (i.e., Southwest). Accordingly, RPMs and ASMs for 1992 relate only to scheduled carrier operations.</w:t>
      </w:r>
    </w:p>
    <w:p>
      <w:pPr>
        <w:pStyle w:val="BodyText"/>
        <w:spacing w:line="249" w:lineRule="auto" w:before="121"/>
        <w:ind w:left="840" w:right="310"/>
      </w:pPr>
      <w:r>
        <w:rPr/>
        <w:t>The Company's consolidated income for the year 1993 was $154.3 million ($1.05 per share), before the cumulative effect of accounting changes, compared to pro forma consolidated income of $97.4 million ($.68 per share) for 1992, an increase of 58.4 percent. The increase in earnings was primarily attributable to an increase in operating income of 50.7 percent and was achieved despite an increase in the federal income tax rate, which increased the provision for income taxes $6.5 million, or $.04 per share.</w:t>
      </w:r>
    </w:p>
    <w:p>
      <w:pPr>
        <w:pStyle w:val="BodyText"/>
        <w:spacing w:line="249" w:lineRule="auto" w:before="120"/>
        <w:ind w:left="839" w:right="207"/>
      </w:pPr>
      <w:r>
        <w:rPr>
          <w:rFonts w:ascii="Arial"/>
          <w:i/>
        </w:rPr>
        <w:t>O</w:t>
      </w:r>
      <w:r>
        <w:rPr>
          <w:rFonts w:ascii="Arial"/>
          <w:i/>
          <w:sz w:val="16"/>
        </w:rPr>
        <w:t>PERATING </w:t>
      </w:r>
      <w:r>
        <w:rPr>
          <w:rFonts w:ascii="Arial"/>
          <w:i/>
        </w:rPr>
        <w:t>R</w:t>
      </w:r>
      <w:r>
        <w:rPr>
          <w:rFonts w:ascii="Arial"/>
          <w:i/>
          <w:sz w:val="16"/>
        </w:rPr>
        <w:t>EVENUES </w:t>
      </w:r>
      <w:r>
        <w:rPr/>
        <w:t>Consolidated operating revenues increased by 27.4 percent in 1993 to $2,296.7 million. Operating revenue per ASM for scheduled service carrier operations increased in 1993 to $.0835 from $.0789 in 1992. The increase in consolidated operating revenues was primarily related to a 36.5 percent increase in passenger revenues, which accounted for 96.5 percent of total operating revenues in 1993 versus 90.1 percent in 1992.</w:t>
      </w:r>
    </w:p>
    <w:p>
      <w:pPr>
        <w:pStyle w:val="BodyText"/>
        <w:spacing w:line="249" w:lineRule="auto" w:before="121"/>
        <w:ind w:left="839" w:right="202"/>
      </w:pPr>
      <w:r>
        <w:rPr/>
        <w:t>Consolidated RPMs increased 36.6 percent in 1993, which exceeded the 28.8 percent increase in ASMs, resulting in an increase in the load </w:t>
      </w:r>
      <w:r>
        <w:rPr>
          <w:spacing w:val="2"/>
        </w:rPr>
        <w:t>factor </w:t>
      </w:r>
      <w:r>
        <w:rPr/>
        <w:t>from 64.5 percent </w:t>
      </w:r>
      <w:r>
        <w:rPr>
          <w:spacing w:val="2"/>
        </w:rPr>
        <w:t>to </w:t>
      </w:r>
      <w:r>
        <w:rPr/>
        <w:t>68.4 percent. The 1993 ASM increase resulted from the conversion of the Morris system from charter </w:t>
      </w:r>
      <w:r>
        <w:rPr>
          <w:spacing w:val="2"/>
        </w:rPr>
        <w:t>to </w:t>
      </w:r>
      <w:r>
        <w:rPr/>
        <w:t>scheduled service and the addition of 16 aircraft </w:t>
      </w:r>
      <w:r>
        <w:rPr>
          <w:spacing w:val="2"/>
        </w:rPr>
        <w:t>to </w:t>
      </w:r>
      <w:r>
        <w:rPr/>
        <w:t>the Southwest fleet. The additional 16 Southwest aircraft were primarily used </w:t>
      </w:r>
      <w:r>
        <w:rPr>
          <w:spacing w:val="2"/>
        </w:rPr>
        <w:t>to </w:t>
      </w:r>
      <w:r>
        <w:rPr/>
        <w:t>expand California, St. Louis, and Chicago markets and </w:t>
      </w:r>
      <w:r>
        <w:rPr>
          <w:spacing w:val="3"/>
        </w:rPr>
        <w:t>to </w:t>
      </w:r>
      <w:r>
        <w:rPr>
          <w:spacing w:val="2"/>
        </w:rPr>
        <w:t>initiate </w:t>
      </w:r>
      <w:r>
        <w:rPr/>
        <w:t>service from Louisville, Baltimore, and </w:t>
      </w:r>
      <w:r>
        <w:rPr>
          <w:spacing w:val="2"/>
        </w:rPr>
        <w:t>San  </w:t>
      </w:r>
      <w:r>
        <w:rPr>
          <w:spacing w:val="-3"/>
        </w:rPr>
        <w:t>Jose.</w:t>
      </w:r>
    </w:p>
    <w:p>
      <w:pPr>
        <w:pStyle w:val="BodyText"/>
        <w:spacing w:line="249" w:lineRule="auto" w:before="121"/>
        <w:ind w:left="839" w:right="122"/>
      </w:pPr>
      <w:r>
        <w:rPr/>
        <w:t>Freight </w:t>
      </w:r>
      <w:r>
        <w:rPr>
          <w:spacing w:val="2"/>
        </w:rPr>
        <w:t>revenues </w:t>
      </w:r>
      <w:r>
        <w:rPr/>
        <w:t>increased in 1993 </w:t>
      </w:r>
      <w:r>
        <w:rPr>
          <w:spacing w:val="3"/>
        </w:rPr>
        <w:t>to </w:t>
      </w:r>
      <w:r>
        <w:rPr/>
        <w:t>$42.9 million from $33.1 million in 1992. The 29.6 percent    increase in freight revenues exceeded the 28.8 percent ASM increase primarily due </w:t>
      </w:r>
      <w:r>
        <w:rPr>
          <w:spacing w:val="2"/>
        </w:rPr>
        <w:t>to </w:t>
      </w:r>
      <w:r>
        <w:rPr/>
        <w:t>further expansion </w:t>
      </w:r>
      <w:r>
        <w:rPr>
          <w:spacing w:val="3"/>
        </w:rPr>
        <w:t>of </w:t>
      </w:r>
      <w:r>
        <w:rPr/>
        <w:t>United States mail services and increased freight marketing</w:t>
      </w:r>
      <w:r>
        <w:rPr>
          <w:spacing w:val="32"/>
        </w:rPr>
        <w:t> </w:t>
      </w:r>
      <w:r>
        <w:rPr/>
        <w:t>programs.</w:t>
      </w:r>
    </w:p>
    <w:p>
      <w:pPr>
        <w:pStyle w:val="BodyText"/>
        <w:spacing w:line="249" w:lineRule="auto" w:before="121"/>
        <w:ind w:left="839"/>
      </w:pPr>
      <w:r>
        <w:rPr/>
        <w:t>Charter and other revenues decreased in 1993 from 1992 on a consolidated basis as Morris converted its operations in 1993 to scheduled service from charter operations. In 1993, consistent with the beginning of scheduled carrier service, Morris revenues were primarily derived from scheduled operations and, accordingly, classified as “passenger” revenues. Morris charter revenues totaled $117.8 million in 1992.</w:t>
      </w:r>
    </w:p>
    <w:p>
      <w:pPr>
        <w:spacing w:after="0" w:line="249" w:lineRule="auto"/>
        <w:sectPr>
          <w:pgSz w:w="12240" w:h="15840"/>
          <w:pgMar w:header="725" w:footer="746" w:top="940" w:bottom="940" w:left="1680" w:right="960"/>
        </w:sectPr>
      </w:pPr>
    </w:p>
    <w:p>
      <w:pPr>
        <w:pStyle w:val="BodyText"/>
      </w:pPr>
    </w:p>
    <w:p>
      <w:pPr>
        <w:pStyle w:val="BodyText"/>
        <w:spacing w:before="2"/>
        <w:rPr>
          <w:sz w:val="25"/>
        </w:rPr>
      </w:pPr>
    </w:p>
    <w:p>
      <w:pPr>
        <w:spacing w:before="95"/>
        <w:ind w:left="839" w:right="0" w:firstLine="0"/>
        <w:jc w:val="left"/>
        <w:rPr>
          <w:sz w:val="20"/>
        </w:rPr>
      </w:pPr>
      <w:r>
        <w:rPr>
          <w:rFonts w:ascii="Arial"/>
          <w:i/>
          <w:sz w:val="20"/>
        </w:rPr>
        <w:t>O</w:t>
      </w:r>
      <w:r>
        <w:rPr>
          <w:rFonts w:ascii="Arial"/>
          <w:i/>
          <w:sz w:val="16"/>
        </w:rPr>
        <w:t>PERATING </w:t>
      </w:r>
      <w:r>
        <w:rPr>
          <w:rFonts w:ascii="Arial"/>
          <w:i/>
          <w:sz w:val="20"/>
        </w:rPr>
        <w:t>E</w:t>
      </w:r>
      <w:r>
        <w:rPr>
          <w:rFonts w:ascii="Arial"/>
          <w:i/>
          <w:sz w:val="16"/>
        </w:rPr>
        <w:t>XPENSES  </w:t>
      </w:r>
      <w:r>
        <w:rPr>
          <w:sz w:val="20"/>
        </w:rPr>
        <w:t>Consolidated operating expenses increased 24.6 percent to $2,004.7 million from</w:t>
      </w:r>
    </w:p>
    <w:p>
      <w:pPr>
        <w:pStyle w:val="BodyText"/>
        <w:spacing w:line="249" w:lineRule="auto" w:before="10"/>
        <w:ind w:left="839" w:right="310"/>
      </w:pPr>
      <w:r>
        <w:rPr/>
        <w:t>$1,609.2 million in 1992. The primary factors contributing to the increase were the 28.8 percent increase in ASMs; increased contributions to profitsharing and Employee savings plans; higher agency commissions; higher aircraft rentals; and increased maintenance costs.</w:t>
      </w:r>
    </w:p>
    <w:p>
      <w:pPr>
        <w:pStyle w:val="BodyText"/>
        <w:spacing w:line="249" w:lineRule="auto" w:before="121"/>
        <w:ind w:left="839" w:right="122"/>
      </w:pPr>
      <w:r>
        <w:rPr/>
        <w:t>On a consolidated basis, the Company incurred $10.8 million of one-time merger expenses in connection with the December 1993 Morris acquisition. These expenses included $1.9 million of various professional fees; $4.7 million for disposal of duplicate or incompatible property and equipment; and $4.2 million for Employee relocation and severance costs related to elimination of duplicate or incompatible operations. As required for financial reporting purposes, these expenses have been reported as operating expenses.</w:t>
      </w:r>
    </w:p>
    <w:p>
      <w:pPr>
        <w:pStyle w:val="BodyText"/>
        <w:spacing w:line="249" w:lineRule="auto" w:before="121"/>
        <w:ind w:left="839" w:right="165"/>
      </w:pPr>
      <w:r>
        <w:rPr/>
        <w:t>Salaries, wages, and benefits per ASM decreased 2.3 percent in 1993. Excluding the effects of Morris, Southwest's cost per ASM for salaries, wages, and benefits increased .9 percent from 1992 to 1993. This increase resulted from a 2.2 percent increase in salaries and wages, offset by a 5.0 percent decrease in health benefit and workers' compensation costs per ASM. Headcount for Southwest increased 17.0 percent in 1993, slightly more than the 15.9 percent increase in ASMs. However, Employee productivity improved to 2,633 passengers handled per Employee in 1993 from 2,597 in 1992.</w:t>
      </w:r>
    </w:p>
    <w:p>
      <w:pPr>
        <w:pStyle w:val="BodyText"/>
        <w:spacing w:line="249" w:lineRule="auto" w:before="121"/>
        <w:ind w:left="839"/>
      </w:pPr>
      <w:r>
        <w:rPr/>
        <w:t>Morris contracted out all ground handling services, which are included in “other operating expenses.” Consequently, salaries, wages, and benefits on a per-ASM basis are considerably lower for Morris than for Southwest contributing to the decrease in consolidated salaries, wages, and benefits per ASM.</w:t>
      </w:r>
    </w:p>
    <w:p>
      <w:pPr>
        <w:pStyle w:val="BodyText"/>
        <w:spacing w:line="249" w:lineRule="auto" w:before="121"/>
        <w:ind w:left="839" w:right="207"/>
      </w:pPr>
      <w:r>
        <w:rPr/>
        <w:t>Profitsharing and Employee savings plan expenses per ASM increased 16.7 percent in 1993. The increase was primarily the result of higher earnings in 1993. For additional information, see Note 10 to the Consolidated Financial Statements.</w:t>
      </w:r>
    </w:p>
    <w:p>
      <w:pPr>
        <w:pStyle w:val="BodyText"/>
        <w:spacing w:line="249" w:lineRule="auto" w:before="121"/>
        <w:ind w:left="839" w:right="310"/>
      </w:pPr>
      <w:r>
        <w:rPr/>
        <w:t>Fuel and oil expenses per ASM decreased 2.6 percent in 1993 due to a 2.7 percent reduction in the average cost per gallon of jet fuel from 1992. Jet fuel prices remained relatively stable throughout 1993, continuing the trend which began in 1992, with quarterly averages ranging from $0.57 to $0.63 per gallon.</w:t>
      </w:r>
    </w:p>
    <w:p>
      <w:pPr>
        <w:pStyle w:val="BodyText"/>
        <w:spacing w:line="249" w:lineRule="auto" w:before="121"/>
        <w:ind w:left="839" w:right="163"/>
      </w:pPr>
      <w:r>
        <w:rPr>
          <w:spacing w:val="2"/>
        </w:rPr>
        <w:t>Maintenance materials </w:t>
      </w:r>
      <w:r>
        <w:rPr/>
        <w:t>and </w:t>
      </w:r>
      <w:r>
        <w:rPr>
          <w:spacing w:val="2"/>
        </w:rPr>
        <w:t>repairs </w:t>
      </w:r>
      <w:r>
        <w:rPr/>
        <w:t>per ASM increased 5.4 percent in 1993. </w:t>
      </w:r>
      <w:r>
        <w:rPr>
          <w:spacing w:val="3"/>
        </w:rPr>
        <w:t>This </w:t>
      </w:r>
      <w:r>
        <w:rPr/>
        <w:t>increase was primarily </w:t>
      </w:r>
      <w:r>
        <w:rPr>
          <w:spacing w:val="2"/>
        </w:rPr>
        <w:t>the result </w:t>
      </w:r>
      <w:r>
        <w:rPr>
          <w:spacing w:val="3"/>
        </w:rPr>
        <w:t>of </w:t>
      </w:r>
      <w:r>
        <w:rPr/>
        <w:t>higher airframe </w:t>
      </w:r>
      <w:r>
        <w:rPr>
          <w:spacing w:val="2"/>
        </w:rPr>
        <w:t>component repairs </w:t>
      </w:r>
      <w:r>
        <w:rPr/>
        <w:t>and higher </w:t>
      </w:r>
      <w:r>
        <w:rPr>
          <w:spacing w:val="2"/>
        </w:rPr>
        <w:t>amortization </w:t>
      </w:r>
      <w:r>
        <w:rPr>
          <w:spacing w:val="3"/>
        </w:rPr>
        <w:t>of </w:t>
      </w:r>
      <w:r>
        <w:rPr>
          <w:spacing w:val="2"/>
        </w:rPr>
        <w:t>capitalized </w:t>
      </w:r>
      <w:r>
        <w:rPr/>
        <w:t>scheduled airframe </w:t>
      </w:r>
      <w:r>
        <w:rPr>
          <w:spacing w:val="3"/>
        </w:rPr>
        <w:t>overhauls.</w:t>
      </w:r>
    </w:p>
    <w:p>
      <w:pPr>
        <w:pStyle w:val="BodyText"/>
        <w:spacing w:line="249" w:lineRule="auto" w:before="121"/>
        <w:ind w:left="839" w:right="310"/>
      </w:pPr>
      <w:r>
        <w:rPr/>
        <w:t>Agency commissions per ASM increased 6.0 percent in 1993 primarily due to increased passenger revenues per ASM.</w:t>
      </w:r>
    </w:p>
    <w:p>
      <w:pPr>
        <w:pStyle w:val="BodyText"/>
        <w:spacing w:line="249" w:lineRule="auto" w:before="121"/>
        <w:ind w:left="839" w:right="207"/>
      </w:pPr>
      <w:r>
        <w:rPr/>
        <w:t>Aircraft rentals per ASM increased 30.0 percent in 1993. The increase was primarily attributable to the expansion of Morris scheduled operations, which leased 18 of its 21 aircraft, 11 of which were leased in 1993. Additionally, the increase partially resulted from the sale/leaseback financing by Southwest, since late 1992, of seven 737-300 aircraft with long-term operating leases. Also in 1993, Southwest leased one used 737-300 aircraft under a long-term operating lease and one used 737-200 aircraft under a short-term operating lease.</w:t>
      </w:r>
    </w:p>
    <w:p>
      <w:pPr>
        <w:pStyle w:val="BodyText"/>
        <w:spacing w:line="249" w:lineRule="auto" w:before="121"/>
        <w:ind w:left="839" w:right="310"/>
      </w:pPr>
      <w:r>
        <w:rPr/>
        <w:t>Depreciation expense per ASM decreased 8.5 percent in 1993 due to the expansion of Morris, which, as stated above, consisted primarily of a leased aircraft fleet.</w:t>
      </w:r>
    </w:p>
    <w:p>
      <w:pPr>
        <w:pStyle w:val="BodyText"/>
        <w:spacing w:line="249" w:lineRule="auto" w:before="121"/>
        <w:ind w:left="839" w:right="207"/>
      </w:pPr>
      <w:r>
        <w:rPr/>
        <w:t>Other operating expenses per ASM increased 13.8 percent from 1992 to 1993. This increase is primarily the result of higher usage of contract services at Morris. As previously discussed, Morris contracted for all ground handling service, along with various other services that are handled internally at Southwest.</w:t>
      </w:r>
    </w:p>
    <w:p>
      <w:pPr>
        <w:spacing w:after="0" w:line="249" w:lineRule="auto"/>
        <w:sectPr>
          <w:pgSz w:w="12240" w:h="15840"/>
          <w:pgMar w:header="725" w:footer="746" w:top="940" w:bottom="940" w:left="1680" w:right="960"/>
        </w:sectPr>
      </w:pPr>
    </w:p>
    <w:p>
      <w:pPr>
        <w:pStyle w:val="BodyText"/>
      </w:pPr>
    </w:p>
    <w:p>
      <w:pPr>
        <w:pStyle w:val="BodyText"/>
        <w:spacing w:before="2"/>
        <w:rPr>
          <w:sz w:val="25"/>
        </w:rPr>
      </w:pPr>
    </w:p>
    <w:p>
      <w:pPr>
        <w:pStyle w:val="BodyText"/>
        <w:spacing w:line="249" w:lineRule="auto" w:before="95"/>
        <w:ind w:left="839" w:right="207"/>
      </w:pPr>
      <w:r>
        <w:rPr>
          <w:rFonts w:ascii="Arial" w:hAnsi="Arial"/>
          <w:i/>
        </w:rPr>
        <w:t>O</w:t>
      </w:r>
      <w:r>
        <w:rPr>
          <w:rFonts w:ascii="Arial" w:hAnsi="Arial"/>
          <w:i/>
          <w:sz w:val="16"/>
        </w:rPr>
        <w:t>THER   </w:t>
      </w:r>
      <w:r>
        <w:rPr/>
        <w:t>“ Other expenses(income)” included </w:t>
      </w:r>
      <w:r>
        <w:rPr>
          <w:spacing w:val="2"/>
        </w:rPr>
        <w:t>interest </w:t>
      </w:r>
      <w:r>
        <w:rPr/>
        <w:t>expense, </w:t>
      </w:r>
      <w:r>
        <w:rPr>
          <w:spacing w:val="2"/>
        </w:rPr>
        <w:t>interest </w:t>
      </w:r>
      <w:r>
        <w:rPr/>
        <w:t>income, and </w:t>
      </w:r>
      <w:r>
        <w:rPr>
          <w:spacing w:val="2"/>
        </w:rPr>
        <w:t>nonoperating </w:t>
      </w:r>
      <w:r>
        <w:rPr/>
        <w:t>gains and losses. Interest expense, net of capitalized interest, decreased 7.0 percent in 1993 due </w:t>
      </w:r>
      <w:r>
        <w:rPr>
          <w:spacing w:val="2"/>
        </w:rPr>
        <w:t>to </w:t>
      </w:r>
      <w:r>
        <w:rPr/>
        <w:t>the March 1, 1993 early redemption of $100 million in senior unsecured 9% Notes due 1996. See Note 6 </w:t>
      </w:r>
      <w:r>
        <w:rPr>
          <w:spacing w:val="2"/>
        </w:rPr>
        <w:t>to </w:t>
      </w:r>
      <w:r>
        <w:rPr/>
        <w:t>the Consolidated Financial Statements for further information. Net </w:t>
      </w:r>
      <w:r>
        <w:rPr>
          <w:spacing w:val="2"/>
        </w:rPr>
        <w:t>nonoperating </w:t>
      </w:r>
      <w:r>
        <w:rPr/>
        <w:t>losses in 1993 </w:t>
      </w:r>
      <w:r>
        <w:rPr>
          <w:spacing w:val="2"/>
        </w:rPr>
        <w:t>resulted </w:t>
      </w:r>
      <w:r>
        <w:rPr/>
        <w:t>from the write-down </w:t>
      </w:r>
      <w:r>
        <w:rPr>
          <w:spacing w:val="2"/>
        </w:rPr>
        <w:t>of </w:t>
      </w:r>
      <w:r>
        <w:rPr/>
        <w:t>certain internal system development </w:t>
      </w:r>
      <w:r>
        <w:rPr>
          <w:spacing w:val="2"/>
        </w:rPr>
        <w:t>costs </w:t>
      </w:r>
      <w:r>
        <w:rPr/>
        <w:t>and the settlement </w:t>
      </w:r>
      <w:r>
        <w:rPr>
          <w:spacing w:val="2"/>
        </w:rPr>
        <w:t>of </w:t>
      </w:r>
      <w:r>
        <w:rPr/>
        <w:t>certain employment- </w:t>
      </w:r>
      <w:r>
        <w:rPr>
          <w:spacing w:val="3"/>
        </w:rPr>
        <w:t>related </w:t>
      </w:r>
      <w:r>
        <w:rPr>
          <w:spacing w:val="2"/>
        </w:rPr>
        <w:t>litigation </w:t>
      </w:r>
      <w:r>
        <w:rPr/>
        <w:t>for $1.7</w:t>
      </w:r>
      <w:r>
        <w:rPr>
          <w:spacing w:val="-17"/>
        </w:rPr>
        <w:t> </w:t>
      </w:r>
      <w:r>
        <w:rPr/>
        <w:t>million.</w:t>
      </w:r>
    </w:p>
    <w:p>
      <w:pPr>
        <w:pStyle w:val="BodyText"/>
        <w:spacing w:line="249" w:lineRule="auto" w:before="120"/>
        <w:ind w:left="839" w:right="207"/>
      </w:pPr>
      <w:r>
        <w:rPr>
          <w:rFonts w:ascii="Arial"/>
          <w:i/>
        </w:rPr>
        <w:t>I</w:t>
      </w:r>
      <w:r>
        <w:rPr>
          <w:rFonts w:ascii="Arial"/>
          <w:i/>
          <w:sz w:val="16"/>
        </w:rPr>
        <w:t>NCOME </w:t>
      </w:r>
      <w:r>
        <w:rPr>
          <w:rFonts w:ascii="Arial"/>
          <w:i/>
        </w:rPr>
        <w:t>T</w:t>
      </w:r>
      <w:r>
        <w:rPr>
          <w:rFonts w:ascii="Arial"/>
          <w:i/>
          <w:sz w:val="16"/>
        </w:rPr>
        <w:t>AXES </w:t>
      </w:r>
      <w:r>
        <w:rPr/>
        <w:t>The provision for income taxes increased in 1993, as a percentage </w:t>
      </w:r>
      <w:r>
        <w:rPr>
          <w:spacing w:val="2"/>
        </w:rPr>
        <w:t>of </w:t>
      </w:r>
      <w:r>
        <w:rPr/>
        <w:t>income before income taxes and cumulative effect </w:t>
      </w:r>
      <w:r>
        <w:rPr>
          <w:spacing w:val="2"/>
        </w:rPr>
        <w:t>of </w:t>
      </w:r>
      <w:r>
        <w:rPr/>
        <w:t>accounting changes, </w:t>
      </w:r>
      <w:r>
        <w:rPr>
          <w:spacing w:val="2"/>
        </w:rPr>
        <w:t>to </w:t>
      </w:r>
      <w:r>
        <w:rPr/>
        <w:t>40.6 percent from pro forma 38.1 percent in 1992. The increase was primarily the result </w:t>
      </w:r>
      <w:r>
        <w:rPr>
          <w:spacing w:val="2"/>
        </w:rPr>
        <w:t>of </w:t>
      </w:r>
      <w:r>
        <w:rPr/>
        <w:t>the increase in the federal income tax rate. See </w:t>
      </w:r>
      <w:r>
        <w:rPr>
          <w:spacing w:val="2"/>
        </w:rPr>
        <w:t>Note </w:t>
      </w:r>
      <w:r>
        <w:rPr/>
        <w:t>11 </w:t>
      </w:r>
      <w:r>
        <w:rPr>
          <w:spacing w:val="3"/>
        </w:rPr>
        <w:t>to </w:t>
      </w:r>
      <w:r>
        <w:rPr>
          <w:spacing w:val="2"/>
        </w:rPr>
        <w:t>the Consolidated </w:t>
      </w:r>
      <w:r>
        <w:rPr/>
        <w:t>Financial Statements for further information.</w:t>
      </w:r>
    </w:p>
    <w:p>
      <w:pPr>
        <w:pStyle w:val="BodyText"/>
        <w:spacing w:before="10"/>
      </w:pPr>
    </w:p>
    <w:p>
      <w:pPr>
        <w:pStyle w:val="Heading2"/>
        <w:ind w:left="839"/>
      </w:pPr>
      <w:r>
        <w:rPr/>
        <w:t>Liquidity And Capital Resources</w:t>
      </w:r>
    </w:p>
    <w:p>
      <w:pPr>
        <w:pStyle w:val="BodyText"/>
        <w:spacing w:line="249" w:lineRule="auto" w:before="131"/>
        <w:ind w:left="839"/>
      </w:pPr>
      <w:r>
        <w:rPr/>
        <w:t>Cash provided from operations was $412.7 million in 1994, compared to $392.7 million in 1993. During 1994, additional funds of $315.0 million were generated from the sale and leaseback of ten new 737-300 aircraft subject to long-term operating leases (increasing total commitments for operating leases by $619.0 million).</w:t>
      </w:r>
    </w:p>
    <w:p>
      <w:pPr>
        <w:pStyle w:val="BodyText"/>
        <w:spacing w:line="249" w:lineRule="auto" w:before="121"/>
        <w:ind w:left="839"/>
      </w:pPr>
      <w:r>
        <w:rPr/>
        <w:t>During 1994, capital expenditures of $788.6 million were primarily for the purchase of 18 new 737-300 aircraft, one used 737-300 aircraft previously leased by Morris, and progress payments for future aircraft deliveries. At December 31, 1994, capital commitments of the Company consisted primarily of scheduled aircraft acquisitions.</w:t>
      </w:r>
    </w:p>
    <w:p>
      <w:pPr>
        <w:pStyle w:val="BodyText"/>
        <w:spacing w:line="249" w:lineRule="auto" w:before="121"/>
        <w:ind w:left="839" w:right="310"/>
      </w:pPr>
      <w:r>
        <w:rPr/>
        <w:t>As of January 1995, Southwest had one-hundred-sixteen737s on firm order, including twenty-five to be delivered in 1995, with options to purchase another seventy-four. Aggregate funding required for firm commitments approximated $3,042.7 million through the year 2001 of which $602.6 million related to 1995. See Note 4 to the Consolidated Financial Statements for further  information.</w:t>
      </w:r>
    </w:p>
    <w:p>
      <w:pPr>
        <w:pStyle w:val="BodyText"/>
        <w:spacing w:line="249" w:lineRule="auto" w:before="121"/>
        <w:ind w:left="839" w:right="165"/>
      </w:pPr>
      <w:r>
        <w:rPr/>
        <w:t>The Company recently completed the </w:t>
      </w:r>
      <w:r>
        <w:rPr>
          <w:spacing w:val="2"/>
        </w:rPr>
        <w:t>construction of </w:t>
      </w:r>
      <w:r>
        <w:rPr/>
        <w:t>a $10.0 million reservation center in </w:t>
      </w:r>
      <w:r>
        <w:rPr>
          <w:spacing w:val="2"/>
        </w:rPr>
        <w:t>Little </w:t>
      </w:r>
      <w:r>
        <w:rPr/>
        <w:t>Rock, Arkansas, which began </w:t>
      </w:r>
      <w:r>
        <w:rPr>
          <w:spacing w:val="2"/>
        </w:rPr>
        <w:t>accepting </w:t>
      </w:r>
      <w:r>
        <w:rPr/>
        <w:t>calls </w:t>
      </w:r>
      <w:r>
        <w:rPr>
          <w:spacing w:val="3"/>
        </w:rPr>
        <w:t>on </w:t>
      </w:r>
      <w:r>
        <w:rPr/>
        <w:t>January 24, 1995, and announced </w:t>
      </w:r>
      <w:r>
        <w:rPr>
          <w:spacing w:val="2"/>
        </w:rPr>
        <w:t>that </w:t>
      </w:r>
      <w:r>
        <w:rPr/>
        <w:t>it will build an   additional reservation center in Oklahoma City scheduled </w:t>
      </w:r>
      <w:r>
        <w:rPr>
          <w:spacing w:val="2"/>
        </w:rPr>
        <w:t>to </w:t>
      </w:r>
      <w:r>
        <w:rPr>
          <w:spacing w:val="3"/>
        </w:rPr>
        <w:t>open </w:t>
      </w:r>
      <w:r>
        <w:rPr/>
        <w:t>in second quarter 1995. </w:t>
      </w:r>
      <w:r>
        <w:rPr>
          <w:spacing w:val="2"/>
        </w:rPr>
        <w:t>Total </w:t>
      </w:r>
      <w:r>
        <w:rPr/>
        <w:t>estimated cost </w:t>
      </w:r>
      <w:r>
        <w:rPr>
          <w:spacing w:val="2"/>
        </w:rPr>
        <w:t>of </w:t>
      </w:r>
      <w:r>
        <w:rPr/>
        <w:t>the new Oklahoma City reservation center is approximately $10.0</w:t>
      </w:r>
      <w:r>
        <w:rPr>
          <w:spacing w:val="18"/>
        </w:rPr>
        <w:t> </w:t>
      </w:r>
      <w:r>
        <w:rPr/>
        <w:t>million.</w:t>
      </w:r>
    </w:p>
    <w:p>
      <w:pPr>
        <w:pStyle w:val="BodyText"/>
        <w:spacing w:line="249" w:lineRule="auto" w:before="121"/>
        <w:ind w:left="839" w:right="310"/>
      </w:pPr>
      <w:r>
        <w:rPr/>
        <w:t>As of December 31, 1994 and since 1990, the Company had authority from its Board of Directors to purchase 3,750,000 shares of its common stock from time-to-time on the open market. No shares have been purchased since 1990.</w:t>
      </w:r>
    </w:p>
    <w:p>
      <w:pPr>
        <w:pStyle w:val="BodyText"/>
        <w:spacing w:line="249" w:lineRule="auto" w:before="121"/>
        <w:ind w:left="839" w:right="200"/>
      </w:pPr>
      <w:r>
        <w:rPr/>
        <w:t>The Company has various options available to meet its capital and operating commitments, including cash on hand at December 31, 1994 of $174.5 million, internally generated funds, and a revolving credit line with a group of banks of up to $300 million (none of which had been drawn at December 31, 1994). In addition, the Company will also consider various borrowing or leasing options to maximize earnings and supplement cash requirements.</w:t>
      </w:r>
    </w:p>
    <w:p>
      <w:pPr>
        <w:pStyle w:val="BodyText"/>
        <w:spacing w:line="249" w:lineRule="auto" w:before="121"/>
        <w:ind w:left="839"/>
      </w:pPr>
      <w:r>
        <w:rPr/>
        <w:t>At yearend, the Company had outstanding shelf registrations for the issuance of $100 million senior unsecured notes and $98 million pass-through certificates relating to sale/leaseback transactions. The Company presently intends to utilize these sources of financing during 1995.</w:t>
      </w:r>
    </w:p>
    <w:p>
      <w:pPr>
        <w:pStyle w:val="BodyText"/>
        <w:spacing w:line="249" w:lineRule="auto" w:before="121"/>
        <w:ind w:left="839" w:right="266"/>
      </w:pPr>
      <w:r>
        <w:rPr/>
        <w:t>Cash provided from operations was $392.7 million in 1993 as compared to $282.1 million in 1992. During 1993, additional funds of $90.0 million were generated from the sale and leaseback of three new 737-300 aircraft subject to long-term operating leases (increasing total commitments for operating leases by $145.0 million). Morris also generated $17.8 million from certain bank borrowings. These proceeds were primarily used to finance aircraft-related capital expenditures and to provide working capital.</w:t>
      </w:r>
    </w:p>
    <w:p>
      <w:pPr>
        <w:spacing w:after="0" w:line="249" w:lineRule="auto"/>
        <w:sectPr>
          <w:pgSz w:w="12240" w:h="15840"/>
          <w:pgMar w:header="725" w:footer="746" w:top="940" w:bottom="940" w:left="1680" w:right="960"/>
        </w:sectPr>
      </w:pPr>
    </w:p>
    <w:p>
      <w:pPr>
        <w:pStyle w:val="BodyText"/>
      </w:pPr>
    </w:p>
    <w:p>
      <w:pPr>
        <w:pStyle w:val="BodyText"/>
        <w:rPr>
          <w:sz w:val="22"/>
        </w:rPr>
      </w:pPr>
    </w:p>
    <w:p>
      <w:pPr>
        <w:tabs>
          <w:tab w:pos="6009" w:val="left" w:leader="none"/>
          <w:tab w:pos="7583" w:val="left" w:leader="none"/>
        </w:tabs>
        <w:spacing w:before="0" w:after="9"/>
        <w:ind w:left="0" w:right="839" w:firstLine="0"/>
        <w:jc w:val="center"/>
        <w:rPr>
          <w:rFonts w:ascii="Arial"/>
          <w:sz w:val="16"/>
        </w:rPr>
      </w:pPr>
      <w:r>
        <w:rPr>
          <w:rFonts w:ascii="Arial"/>
          <w:b/>
          <w:position w:val="-9"/>
          <w:sz w:val="20"/>
        </w:rPr>
        <w:t>Assets</w:t>
        <w:tab/>
      </w:r>
      <w:r>
        <w:rPr>
          <w:rFonts w:ascii="Arial"/>
          <w:spacing w:val="-3"/>
          <w:sz w:val="16"/>
        </w:rPr>
        <w:t>Dec</w:t>
      </w:r>
      <w:r>
        <w:rPr>
          <w:rFonts w:ascii="Arial"/>
          <w:spacing w:val="-6"/>
          <w:sz w:val="16"/>
        </w:rPr>
        <w:t> </w:t>
      </w:r>
      <w:r>
        <w:rPr>
          <w:rFonts w:ascii="Arial"/>
          <w:sz w:val="16"/>
        </w:rPr>
        <w:t>31,</w:t>
      </w:r>
      <w:r>
        <w:rPr>
          <w:rFonts w:ascii="Arial"/>
          <w:spacing w:val="-5"/>
          <w:sz w:val="16"/>
        </w:rPr>
        <w:t> </w:t>
      </w:r>
      <w:r>
        <w:rPr>
          <w:rFonts w:ascii="Arial"/>
          <w:sz w:val="16"/>
        </w:rPr>
        <w:t>1994</w:t>
        <w:tab/>
      </w:r>
      <w:r>
        <w:rPr>
          <w:rFonts w:ascii="Arial"/>
          <w:spacing w:val="-3"/>
          <w:sz w:val="16"/>
        </w:rPr>
        <w:t>Dec </w:t>
      </w:r>
      <w:r>
        <w:rPr>
          <w:rFonts w:ascii="Arial"/>
          <w:sz w:val="16"/>
        </w:rPr>
        <w:t>31,</w:t>
      </w:r>
      <w:r>
        <w:rPr>
          <w:rFonts w:ascii="Arial"/>
          <w:spacing w:val="-21"/>
          <w:sz w:val="16"/>
        </w:rPr>
        <w:t> </w:t>
      </w:r>
      <w:r>
        <w:rPr>
          <w:rFonts w:ascii="Arial"/>
          <w:sz w:val="16"/>
        </w:rPr>
        <w:t>1993</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69"/>
        <w:gridCol w:w="2272"/>
        <w:gridCol w:w="1491"/>
      </w:tblGrid>
      <w:tr>
        <w:trPr>
          <w:trHeight w:val="259" w:hRule="exact"/>
        </w:trPr>
        <w:tc>
          <w:tcPr>
            <w:tcW w:w="4869" w:type="dxa"/>
          </w:tcPr>
          <w:p>
            <w:pPr>
              <w:pStyle w:val="TableParagraph"/>
              <w:spacing w:line="223" w:lineRule="exact" w:before="0"/>
              <w:ind w:left="50"/>
              <w:rPr>
                <w:sz w:val="20"/>
              </w:rPr>
            </w:pPr>
            <w:r>
              <w:rPr>
                <w:sz w:val="20"/>
              </w:rPr>
              <w:t>Current assets:</w:t>
            </w:r>
          </w:p>
        </w:tc>
        <w:tc>
          <w:tcPr>
            <w:tcW w:w="3763" w:type="dxa"/>
            <w:gridSpan w:val="2"/>
          </w:tcPr>
          <w:p>
            <w:pPr/>
          </w:p>
        </w:tc>
      </w:tr>
      <w:tr>
        <w:trPr>
          <w:trHeight w:val="256" w:hRule="exact"/>
        </w:trPr>
        <w:tc>
          <w:tcPr>
            <w:tcW w:w="4869" w:type="dxa"/>
          </w:tcPr>
          <w:p>
            <w:pPr>
              <w:pStyle w:val="TableParagraph"/>
              <w:spacing w:line="223" w:lineRule="exact" w:before="0"/>
              <w:ind w:left="222"/>
              <w:rPr>
                <w:sz w:val="20"/>
              </w:rPr>
            </w:pPr>
            <w:r>
              <w:rPr>
                <w:sz w:val="20"/>
              </w:rPr>
              <w:t>Cash and cash equivalents</w:t>
            </w:r>
          </w:p>
        </w:tc>
        <w:tc>
          <w:tcPr>
            <w:tcW w:w="2272" w:type="dxa"/>
          </w:tcPr>
          <w:p>
            <w:pPr>
              <w:pStyle w:val="TableParagraph"/>
              <w:spacing w:before="21"/>
              <w:ind w:left="931"/>
              <w:rPr>
                <w:sz w:val="20"/>
              </w:rPr>
            </w:pPr>
            <w:r>
              <w:rPr>
                <w:sz w:val="20"/>
              </w:rPr>
              <w:t>$ 174,538</w:t>
            </w:r>
          </w:p>
        </w:tc>
        <w:tc>
          <w:tcPr>
            <w:tcW w:w="1491" w:type="dxa"/>
          </w:tcPr>
          <w:p>
            <w:pPr>
              <w:pStyle w:val="TableParagraph"/>
              <w:spacing w:before="21"/>
              <w:ind w:left="282"/>
              <w:rPr>
                <w:sz w:val="20"/>
              </w:rPr>
            </w:pPr>
            <w:r>
              <w:rPr>
                <w:sz w:val="20"/>
              </w:rPr>
              <w:t>$ 295,571</w:t>
            </w:r>
          </w:p>
        </w:tc>
      </w:tr>
      <w:tr>
        <w:trPr>
          <w:trHeight w:val="259" w:hRule="exact"/>
        </w:trPr>
        <w:tc>
          <w:tcPr>
            <w:tcW w:w="4869" w:type="dxa"/>
          </w:tcPr>
          <w:p>
            <w:pPr>
              <w:pStyle w:val="TableParagraph"/>
              <w:spacing w:line="226" w:lineRule="exact" w:before="0"/>
              <w:ind w:left="222"/>
              <w:rPr>
                <w:sz w:val="20"/>
              </w:rPr>
            </w:pPr>
            <w:r>
              <w:rPr>
                <w:sz w:val="20"/>
              </w:rPr>
              <w:t>Accounts receivable</w:t>
            </w:r>
          </w:p>
        </w:tc>
        <w:tc>
          <w:tcPr>
            <w:tcW w:w="2272" w:type="dxa"/>
          </w:tcPr>
          <w:p>
            <w:pPr>
              <w:pStyle w:val="TableParagraph"/>
              <w:spacing w:before="25"/>
              <w:ind w:left="1185"/>
              <w:rPr>
                <w:sz w:val="20"/>
              </w:rPr>
            </w:pPr>
            <w:r>
              <w:rPr>
                <w:sz w:val="20"/>
              </w:rPr>
              <w:t>75,692</w:t>
            </w:r>
          </w:p>
        </w:tc>
        <w:tc>
          <w:tcPr>
            <w:tcW w:w="1491" w:type="dxa"/>
          </w:tcPr>
          <w:p>
            <w:pPr>
              <w:pStyle w:val="TableParagraph"/>
              <w:spacing w:before="25"/>
              <w:ind w:left="536"/>
              <w:rPr>
                <w:sz w:val="20"/>
              </w:rPr>
            </w:pPr>
            <w:r>
              <w:rPr>
                <w:sz w:val="20"/>
              </w:rPr>
              <w:t>70,484</w:t>
            </w:r>
          </w:p>
        </w:tc>
      </w:tr>
      <w:tr>
        <w:trPr>
          <w:trHeight w:val="259" w:hRule="exact"/>
        </w:trPr>
        <w:tc>
          <w:tcPr>
            <w:tcW w:w="4869" w:type="dxa"/>
          </w:tcPr>
          <w:p>
            <w:pPr>
              <w:pStyle w:val="TableParagraph"/>
              <w:spacing w:line="226" w:lineRule="exact" w:before="0"/>
              <w:ind w:left="222"/>
              <w:rPr>
                <w:sz w:val="20"/>
              </w:rPr>
            </w:pPr>
            <w:r>
              <w:rPr>
                <w:sz w:val="20"/>
              </w:rPr>
              <w:t>Inventories of parts and supplies, at cost</w:t>
            </w:r>
          </w:p>
        </w:tc>
        <w:tc>
          <w:tcPr>
            <w:tcW w:w="2272" w:type="dxa"/>
          </w:tcPr>
          <w:p>
            <w:pPr>
              <w:pStyle w:val="TableParagraph"/>
              <w:spacing w:before="25"/>
              <w:ind w:left="1185"/>
              <w:rPr>
                <w:sz w:val="20"/>
              </w:rPr>
            </w:pPr>
            <w:r>
              <w:rPr>
                <w:sz w:val="20"/>
              </w:rPr>
              <w:t>37,565</w:t>
            </w:r>
          </w:p>
        </w:tc>
        <w:tc>
          <w:tcPr>
            <w:tcW w:w="1491" w:type="dxa"/>
          </w:tcPr>
          <w:p>
            <w:pPr>
              <w:pStyle w:val="TableParagraph"/>
              <w:spacing w:before="25"/>
              <w:ind w:left="536"/>
              <w:rPr>
                <w:sz w:val="20"/>
              </w:rPr>
            </w:pPr>
            <w:r>
              <w:rPr>
                <w:sz w:val="20"/>
              </w:rPr>
              <w:t>31,707</w:t>
            </w:r>
          </w:p>
        </w:tc>
      </w:tr>
      <w:tr>
        <w:trPr>
          <w:trHeight w:val="259" w:hRule="exact"/>
        </w:trPr>
        <w:tc>
          <w:tcPr>
            <w:tcW w:w="4869" w:type="dxa"/>
          </w:tcPr>
          <w:p>
            <w:pPr>
              <w:pStyle w:val="TableParagraph"/>
              <w:spacing w:line="226" w:lineRule="exact" w:before="0"/>
              <w:ind w:left="222"/>
              <w:rPr>
                <w:sz w:val="20"/>
              </w:rPr>
            </w:pPr>
            <w:r>
              <w:rPr>
                <w:sz w:val="20"/>
              </w:rPr>
              <w:t>Deferred income taxes (Note 11)</w:t>
            </w:r>
          </w:p>
        </w:tc>
        <w:tc>
          <w:tcPr>
            <w:tcW w:w="2272" w:type="dxa"/>
          </w:tcPr>
          <w:p>
            <w:pPr>
              <w:pStyle w:val="TableParagraph"/>
              <w:spacing w:before="25"/>
              <w:ind w:left="1286"/>
              <w:rPr>
                <w:sz w:val="20"/>
              </w:rPr>
            </w:pPr>
            <w:r>
              <w:rPr>
                <w:sz w:val="20"/>
              </w:rPr>
              <w:t>9,822</w:t>
            </w:r>
          </w:p>
        </w:tc>
        <w:tc>
          <w:tcPr>
            <w:tcW w:w="1491" w:type="dxa"/>
          </w:tcPr>
          <w:p>
            <w:pPr>
              <w:pStyle w:val="TableParagraph"/>
              <w:spacing w:before="25"/>
              <w:ind w:left="536"/>
              <w:rPr>
                <w:sz w:val="20"/>
              </w:rPr>
            </w:pPr>
            <w:r>
              <w:rPr>
                <w:sz w:val="20"/>
              </w:rPr>
              <w:t>10,475</w:t>
            </w:r>
          </w:p>
        </w:tc>
      </w:tr>
      <w:tr>
        <w:trPr>
          <w:trHeight w:val="266" w:hRule="exact"/>
        </w:trPr>
        <w:tc>
          <w:tcPr>
            <w:tcW w:w="4869" w:type="dxa"/>
          </w:tcPr>
          <w:p>
            <w:pPr>
              <w:pStyle w:val="TableParagraph"/>
              <w:spacing w:line="226" w:lineRule="exact" w:before="0"/>
              <w:ind w:left="222"/>
              <w:rPr>
                <w:sz w:val="20"/>
              </w:rPr>
            </w:pPr>
            <w:r>
              <w:rPr>
                <w:sz w:val="20"/>
              </w:rPr>
              <w:t>Prepaid expenses and other current assets</w:t>
            </w:r>
          </w:p>
        </w:tc>
        <w:tc>
          <w:tcPr>
            <w:tcW w:w="2272" w:type="dxa"/>
          </w:tcPr>
          <w:p>
            <w:pPr>
              <w:pStyle w:val="TableParagraph"/>
              <w:tabs>
                <w:tab w:pos="444" w:val="left" w:leader="none"/>
                <w:tab w:pos="1441" w:val="left" w:leader="none"/>
              </w:tabs>
              <w:spacing w:before="25"/>
              <w:ind w:right="88"/>
              <w:jc w:val="right"/>
              <w:rPr>
                <w:sz w:val="20"/>
              </w:rPr>
            </w:pPr>
            <w:r>
              <w:rPr>
                <w:w w:val="100"/>
                <w:sz w:val="20"/>
                <w:u w:val="single"/>
              </w:rPr>
              <w:t> </w:t>
            </w:r>
            <w:r>
              <w:rPr>
                <w:sz w:val="20"/>
                <w:u w:val="single"/>
              </w:rPr>
              <w:tab/>
              <w:t>17,281</w:t>
              <w:tab/>
            </w:r>
          </w:p>
        </w:tc>
        <w:tc>
          <w:tcPr>
            <w:tcW w:w="1491" w:type="dxa"/>
          </w:tcPr>
          <w:p>
            <w:pPr>
              <w:pStyle w:val="TableParagraph"/>
              <w:tabs>
                <w:tab w:pos="444" w:val="left" w:leader="none"/>
                <w:tab w:pos="1350" w:val="left" w:leader="none"/>
              </w:tabs>
              <w:spacing w:before="25"/>
              <w:ind w:right="48"/>
              <w:jc w:val="right"/>
              <w:rPr>
                <w:sz w:val="20"/>
              </w:rPr>
            </w:pPr>
            <w:r>
              <w:rPr>
                <w:w w:val="100"/>
                <w:sz w:val="20"/>
                <w:u w:val="single"/>
              </w:rPr>
              <w:t> </w:t>
            </w:r>
            <w:r>
              <w:rPr>
                <w:sz w:val="20"/>
                <w:u w:val="single"/>
              </w:rPr>
              <w:tab/>
              <w:t>23,787</w:t>
              <w:tab/>
            </w:r>
          </w:p>
        </w:tc>
      </w:tr>
      <w:tr>
        <w:trPr>
          <w:trHeight w:val="263" w:hRule="exact"/>
        </w:trPr>
        <w:tc>
          <w:tcPr>
            <w:tcW w:w="4869" w:type="dxa"/>
          </w:tcPr>
          <w:p>
            <w:pPr>
              <w:pStyle w:val="TableParagraph"/>
              <w:spacing w:before="3"/>
              <w:ind w:left="222"/>
              <w:rPr>
                <w:sz w:val="20"/>
              </w:rPr>
            </w:pPr>
            <w:r>
              <w:rPr>
                <w:sz w:val="20"/>
              </w:rPr>
              <w:t>Total current assets</w:t>
            </w:r>
          </w:p>
        </w:tc>
        <w:tc>
          <w:tcPr>
            <w:tcW w:w="2272" w:type="dxa"/>
          </w:tcPr>
          <w:p>
            <w:pPr>
              <w:pStyle w:val="TableParagraph"/>
              <w:spacing w:before="32"/>
              <w:ind w:left="1085"/>
              <w:rPr>
                <w:sz w:val="20"/>
              </w:rPr>
            </w:pPr>
            <w:r>
              <w:rPr>
                <w:sz w:val="20"/>
              </w:rPr>
              <w:t>314,898</w:t>
            </w:r>
          </w:p>
        </w:tc>
        <w:tc>
          <w:tcPr>
            <w:tcW w:w="1491" w:type="dxa"/>
          </w:tcPr>
          <w:p>
            <w:pPr>
              <w:pStyle w:val="TableParagraph"/>
              <w:spacing w:before="32"/>
              <w:ind w:left="435"/>
              <w:rPr>
                <w:sz w:val="20"/>
              </w:rPr>
            </w:pPr>
            <w:r>
              <w:rPr>
                <w:sz w:val="20"/>
              </w:rPr>
              <w:t>432,024</w:t>
            </w:r>
          </w:p>
        </w:tc>
      </w:tr>
      <w:tr>
        <w:trPr>
          <w:trHeight w:val="248" w:hRule="exact"/>
        </w:trPr>
        <w:tc>
          <w:tcPr>
            <w:tcW w:w="4869" w:type="dxa"/>
          </w:tcPr>
          <w:p>
            <w:pPr>
              <w:pStyle w:val="TableParagraph"/>
              <w:spacing w:before="0"/>
              <w:ind w:left="50"/>
              <w:rPr>
                <w:sz w:val="20"/>
              </w:rPr>
            </w:pPr>
            <w:r>
              <w:rPr>
                <w:sz w:val="20"/>
              </w:rPr>
              <w:t>Property and equipment, at cost (Notes 3, 4, and 7):</w:t>
            </w:r>
          </w:p>
        </w:tc>
        <w:tc>
          <w:tcPr>
            <w:tcW w:w="2272" w:type="dxa"/>
          </w:tcPr>
          <w:p>
            <w:pPr/>
          </w:p>
        </w:tc>
        <w:tc>
          <w:tcPr>
            <w:tcW w:w="1491" w:type="dxa"/>
          </w:tcPr>
          <w:p>
            <w:pPr/>
          </w:p>
        </w:tc>
      </w:tr>
      <w:tr>
        <w:trPr>
          <w:trHeight w:val="274" w:hRule="exact"/>
        </w:trPr>
        <w:tc>
          <w:tcPr>
            <w:tcW w:w="4869" w:type="dxa"/>
          </w:tcPr>
          <w:p>
            <w:pPr>
              <w:pStyle w:val="TableParagraph"/>
              <w:spacing w:line="223" w:lineRule="exact" w:before="0"/>
              <w:ind w:left="222"/>
              <w:rPr>
                <w:sz w:val="20"/>
              </w:rPr>
            </w:pPr>
            <w:r>
              <w:rPr>
                <w:sz w:val="20"/>
              </w:rPr>
              <w:t>Flight equipment</w:t>
            </w:r>
          </w:p>
        </w:tc>
        <w:tc>
          <w:tcPr>
            <w:tcW w:w="2272" w:type="dxa"/>
          </w:tcPr>
          <w:p>
            <w:pPr>
              <w:pStyle w:val="TableParagraph"/>
              <w:spacing w:before="21"/>
              <w:ind w:left="931"/>
              <w:rPr>
                <w:sz w:val="20"/>
              </w:rPr>
            </w:pPr>
            <w:r>
              <w:rPr>
                <w:sz w:val="20"/>
              </w:rPr>
              <w:t>2,564,551</w:t>
            </w:r>
          </w:p>
        </w:tc>
        <w:tc>
          <w:tcPr>
            <w:tcW w:w="1491" w:type="dxa"/>
          </w:tcPr>
          <w:p>
            <w:pPr>
              <w:pStyle w:val="TableParagraph"/>
              <w:spacing w:before="21"/>
              <w:ind w:left="282"/>
              <w:rPr>
                <w:sz w:val="20"/>
              </w:rPr>
            </w:pPr>
            <w:r>
              <w:rPr>
                <w:sz w:val="20"/>
              </w:rPr>
              <w:t>2,257,809</w:t>
            </w:r>
          </w:p>
        </w:tc>
      </w:tr>
      <w:tr>
        <w:trPr>
          <w:trHeight w:val="259" w:hRule="exact"/>
        </w:trPr>
        <w:tc>
          <w:tcPr>
            <w:tcW w:w="4869" w:type="dxa"/>
          </w:tcPr>
          <w:p>
            <w:pPr>
              <w:pStyle w:val="TableParagraph"/>
              <w:spacing w:line="226" w:lineRule="exact" w:before="0"/>
              <w:ind w:left="222"/>
              <w:rPr>
                <w:sz w:val="20"/>
              </w:rPr>
            </w:pPr>
            <w:r>
              <w:rPr>
                <w:sz w:val="20"/>
              </w:rPr>
              <w:t>Ground property and equipment</w:t>
            </w:r>
          </w:p>
        </w:tc>
        <w:tc>
          <w:tcPr>
            <w:tcW w:w="2272" w:type="dxa"/>
          </w:tcPr>
          <w:p>
            <w:pPr>
              <w:pStyle w:val="TableParagraph"/>
              <w:spacing w:before="25"/>
              <w:ind w:left="1085"/>
              <w:rPr>
                <w:sz w:val="20"/>
              </w:rPr>
            </w:pPr>
            <w:r>
              <w:rPr>
                <w:sz w:val="20"/>
              </w:rPr>
              <w:t>384,501</w:t>
            </w:r>
          </w:p>
        </w:tc>
        <w:tc>
          <w:tcPr>
            <w:tcW w:w="1491" w:type="dxa"/>
          </w:tcPr>
          <w:p>
            <w:pPr>
              <w:pStyle w:val="TableParagraph"/>
              <w:spacing w:before="25"/>
              <w:ind w:left="435"/>
              <w:rPr>
                <w:sz w:val="20"/>
              </w:rPr>
            </w:pPr>
            <w:r>
              <w:rPr>
                <w:sz w:val="20"/>
              </w:rPr>
              <w:t>329,605</w:t>
            </w:r>
          </w:p>
        </w:tc>
      </w:tr>
      <w:tr>
        <w:trPr>
          <w:trHeight w:val="281" w:hRule="exact"/>
        </w:trPr>
        <w:tc>
          <w:tcPr>
            <w:tcW w:w="4869" w:type="dxa"/>
          </w:tcPr>
          <w:p>
            <w:pPr>
              <w:pStyle w:val="TableParagraph"/>
              <w:spacing w:line="226" w:lineRule="exact" w:before="0"/>
              <w:ind w:left="222"/>
              <w:rPr>
                <w:sz w:val="20"/>
              </w:rPr>
            </w:pPr>
            <w:r>
              <w:rPr>
                <w:sz w:val="20"/>
              </w:rPr>
              <w:t>Deposits on flight equipment purchase contracts</w:t>
            </w:r>
          </w:p>
        </w:tc>
        <w:tc>
          <w:tcPr>
            <w:tcW w:w="2272" w:type="dxa"/>
          </w:tcPr>
          <w:p>
            <w:pPr>
              <w:pStyle w:val="TableParagraph"/>
              <w:tabs>
                <w:tab w:pos="343" w:val="left" w:leader="none"/>
                <w:tab w:pos="1441" w:val="left" w:leader="none"/>
              </w:tabs>
              <w:spacing w:before="25"/>
              <w:ind w:right="88"/>
              <w:jc w:val="right"/>
              <w:rPr>
                <w:sz w:val="20"/>
              </w:rPr>
            </w:pPr>
            <w:r>
              <w:rPr>
                <w:w w:val="100"/>
                <w:sz w:val="20"/>
                <w:u w:val="single"/>
              </w:rPr>
              <w:t> </w:t>
            </w:r>
            <w:r>
              <w:rPr>
                <w:sz w:val="20"/>
                <w:u w:val="single"/>
              </w:rPr>
              <w:tab/>
              <w:t>393,749</w:t>
              <w:tab/>
            </w:r>
          </w:p>
        </w:tc>
        <w:tc>
          <w:tcPr>
            <w:tcW w:w="1491" w:type="dxa"/>
          </w:tcPr>
          <w:p>
            <w:pPr>
              <w:pStyle w:val="TableParagraph"/>
              <w:tabs>
                <w:tab w:pos="343" w:val="left" w:leader="none"/>
                <w:tab w:pos="1350" w:val="left" w:leader="none"/>
              </w:tabs>
              <w:spacing w:before="25"/>
              <w:ind w:right="48"/>
              <w:jc w:val="right"/>
              <w:rPr>
                <w:sz w:val="20"/>
              </w:rPr>
            </w:pPr>
            <w:r>
              <w:rPr>
                <w:w w:val="100"/>
                <w:sz w:val="20"/>
                <w:u w:val="single"/>
              </w:rPr>
              <w:t> </w:t>
            </w:r>
            <w:r>
              <w:rPr>
                <w:sz w:val="20"/>
                <w:u w:val="single"/>
              </w:rPr>
              <w:tab/>
              <w:t>242,230</w:t>
              <w:tab/>
            </w:r>
          </w:p>
        </w:tc>
      </w:tr>
      <w:tr>
        <w:trPr>
          <w:trHeight w:val="252" w:hRule="exact"/>
        </w:trPr>
        <w:tc>
          <w:tcPr>
            <w:tcW w:w="4869" w:type="dxa"/>
          </w:tcPr>
          <w:p>
            <w:pPr/>
          </w:p>
        </w:tc>
        <w:tc>
          <w:tcPr>
            <w:tcW w:w="2272" w:type="dxa"/>
          </w:tcPr>
          <w:p>
            <w:pPr>
              <w:pStyle w:val="TableParagraph"/>
              <w:spacing w:before="18"/>
              <w:ind w:left="931"/>
              <w:rPr>
                <w:sz w:val="20"/>
              </w:rPr>
            </w:pPr>
            <w:r>
              <w:rPr>
                <w:sz w:val="20"/>
              </w:rPr>
              <w:t>3,342,801</w:t>
            </w:r>
          </w:p>
        </w:tc>
        <w:tc>
          <w:tcPr>
            <w:tcW w:w="1491" w:type="dxa"/>
          </w:tcPr>
          <w:p>
            <w:pPr>
              <w:pStyle w:val="TableParagraph"/>
              <w:spacing w:before="18"/>
              <w:ind w:left="282"/>
              <w:rPr>
                <w:sz w:val="20"/>
              </w:rPr>
            </w:pPr>
            <w:r>
              <w:rPr>
                <w:sz w:val="20"/>
              </w:rPr>
              <w:t>2,829,644</w:t>
            </w:r>
          </w:p>
        </w:tc>
      </w:tr>
      <w:tr>
        <w:trPr>
          <w:trHeight w:val="281" w:hRule="exact"/>
        </w:trPr>
        <w:tc>
          <w:tcPr>
            <w:tcW w:w="4869" w:type="dxa"/>
          </w:tcPr>
          <w:p>
            <w:pPr>
              <w:pStyle w:val="TableParagraph"/>
              <w:spacing w:line="226" w:lineRule="exact" w:before="0"/>
              <w:ind w:left="222"/>
              <w:rPr>
                <w:sz w:val="20"/>
              </w:rPr>
            </w:pPr>
            <w:r>
              <w:rPr>
                <w:sz w:val="20"/>
              </w:rPr>
              <w:t>Less allowance for depreciation</w:t>
            </w:r>
          </w:p>
        </w:tc>
        <w:tc>
          <w:tcPr>
            <w:tcW w:w="2272" w:type="dxa"/>
          </w:tcPr>
          <w:p>
            <w:pPr>
              <w:pStyle w:val="TableParagraph"/>
              <w:tabs>
                <w:tab w:pos="343" w:val="left" w:leader="none"/>
                <w:tab w:pos="1441" w:val="left" w:leader="none"/>
              </w:tabs>
              <w:spacing w:before="25"/>
              <w:ind w:right="88"/>
              <w:jc w:val="right"/>
              <w:rPr>
                <w:sz w:val="20"/>
              </w:rPr>
            </w:pPr>
            <w:r>
              <w:rPr>
                <w:w w:val="100"/>
                <w:sz w:val="20"/>
                <w:u w:val="single"/>
              </w:rPr>
              <w:t> </w:t>
            </w:r>
            <w:r>
              <w:rPr>
                <w:sz w:val="20"/>
                <w:u w:val="single"/>
              </w:rPr>
              <w:tab/>
              <w:t>837,838</w:t>
              <w:tab/>
            </w:r>
          </w:p>
        </w:tc>
        <w:tc>
          <w:tcPr>
            <w:tcW w:w="1491" w:type="dxa"/>
          </w:tcPr>
          <w:p>
            <w:pPr>
              <w:pStyle w:val="TableParagraph"/>
              <w:tabs>
                <w:tab w:pos="343" w:val="left" w:leader="none"/>
                <w:tab w:pos="1350" w:val="left" w:leader="none"/>
              </w:tabs>
              <w:spacing w:before="25"/>
              <w:ind w:right="48"/>
              <w:jc w:val="right"/>
              <w:rPr>
                <w:sz w:val="20"/>
              </w:rPr>
            </w:pPr>
            <w:r>
              <w:rPr>
                <w:w w:val="100"/>
                <w:sz w:val="20"/>
                <w:u w:val="single"/>
              </w:rPr>
              <w:t> </w:t>
            </w:r>
            <w:r>
              <w:rPr>
                <w:sz w:val="20"/>
                <w:u w:val="single"/>
              </w:rPr>
              <w:tab/>
              <w:t>688,280</w:t>
              <w:tab/>
            </w:r>
          </w:p>
        </w:tc>
      </w:tr>
      <w:tr>
        <w:trPr>
          <w:trHeight w:val="252" w:hRule="exact"/>
        </w:trPr>
        <w:tc>
          <w:tcPr>
            <w:tcW w:w="4869" w:type="dxa"/>
          </w:tcPr>
          <w:p>
            <w:pPr/>
          </w:p>
        </w:tc>
        <w:tc>
          <w:tcPr>
            <w:tcW w:w="2272" w:type="dxa"/>
          </w:tcPr>
          <w:p>
            <w:pPr>
              <w:pStyle w:val="TableParagraph"/>
              <w:spacing w:before="18"/>
              <w:ind w:left="931"/>
              <w:rPr>
                <w:sz w:val="20"/>
              </w:rPr>
            </w:pPr>
            <w:r>
              <w:rPr>
                <w:sz w:val="20"/>
              </w:rPr>
              <w:t>2,504,963</w:t>
            </w:r>
          </w:p>
        </w:tc>
        <w:tc>
          <w:tcPr>
            <w:tcW w:w="1491" w:type="dxa"/>
          </w:tcPr>
          <w:p>
            <w:pPr>
              <w:pStyle w:val="TableParagraph"/>
              <w:spacing w:before="18"/>
              <w:ind w:left="282"/>
              <w:rPr>
                <w:sz w:val="20"/>
              </w:rPr>
            </w:pPr>
            <w:r>
              <w:rPr>
                <w:sz w:val="20"/>
              </w:rPr>
              <w:t>2,141,364</w:t>
            </w:r>
          </w:p>
        </w:tc>
      </w:tr>
      <w:tr>
        <w:trPr>
          <w:trHeight w:val="281" w:hRule="exact"/>
        </w:trPr>
        <w:tc>
          <w:tcPr>
            <w:tcW w:w="4869" w:type="dxa"/>
          </w:tcPr>
          <w:p>
            <w:pPr>
              <w:pStyle w:val="TableParagraph"/>
              <w:spacing w:line="226" w:lineRule="exact" w:before="0"/>
              <w:ind w:left="50"/>
              <w:rPr>
                <w:sz w:val="20"/>
              </w:rPr>
            </w:pPr>
            <w:r>
              <w:rPr>
                <w:sz w:val="20"/>
              </w:rPr>
              <w:t>Other assets</w:t>
            </w:r>
          </w:p>
        </w:tc>
        <w:tc>
          <w:tcPr>
            <w:tcW w:w="2272" w:type="dxa"/>
          </w:tcPr>
          <w:p>
            <w:pPr>
              <w:pStyle w:val="TableParagraph"/>
              <w:tabs>
                <w:tab w:pos="545" w:val="left" w:leader="none"/>
                <w:tab w:pos="1441" w:val="left" w:leader="none"/>
              </w:tabs>
              <w:spacing w:before="25"/>
              <w:ind w:right="88"/>
              <w:jc w:val="right"/>
              <w:rPr>
                <w:sz w:val="20"/>
              </w:rPr>
            </w:pPr>
            <w:r>
              <w:rPr>
                <w:w w:val="100"/>
                <w:sz w:val="20"/>
                <w:u w:val="single"/>
              </w:rPr>
              <w:t> </w:t>
            </w:r>
            <w:r>
              <w:rPr>
                <w:sz w:val="20"/>
                <w:u w:val="single"/>
              </w:rPr>
              <w:tab/>
              <w:t>3,210</w:t>
              <w:tab/>
            </w:r>
          </w:p>
        </w:tc>
        <w:tc>
          <w:tcPr>
            <w:tcW w:w="1491" w:type="dxa"/>
          </w:tcPr>
          <w:p>
            <w:pPr>
              <w:pStyle w:val="TableParagraph"/>
              <w:tabs>
                <w:tab w:pos="545" w:val="left" w:leader="none"/>
                <w:tab w:pos="1350" w:val="left" w:leader="none"/>
              </w:tabs>
              <w:spacing w:before="25"/>
              <w:ind w:right="48"/>
              <w:jc w:val="right"/>
              <w:rPr>
                <w:sz w:val="20"/>
              </w:rPr>
            </w:pPr>
            <w:r>
              <w:rPr>
                <w:w w:val="100"/>
                <w:sz w:val="20"/>
                <w:u w:val="single"/>
              </w:rPr>
              <w:t> </w:t>
            </w:r>
            <w:r>
              <w:rPr>
                <w:sz w:val="20"/>
                <w:u w:val="single"/>
              </w:rPr>
              <w:tab/>
              <w:t>2,649</w:t>
              <w:tab/>
            </w:r>
          </w:p>
        </w:tc>
      </w:tr>
      <w:tr>
        <w:trPr>
          <w:trHeight w:val="248" w:hRule="exact"/>
        </w:trPr>
        <w:tc>
          <w:tcPr>
            <w:tcW w:w="4869" w:type="dxa"/>
          </w:tcPr>
          <w:p>
            <w:pPr/>
          </w:p>
        </w:tc>
        <w:tc>
          <w:tcPr>
            <w:tcW w:w="2272" w:type="dxa"/>
          </w:tcPr>
          <w:p>
            <w:pPr>
              <w:pStyle w:val="TableParagraph"/>
              <w:spacing w:before="18"/>
              <w:ind w:left="830"/>
              <w:rPr>
                <w:sz w:val="20"/>
              </w:rPr>
            </w:pPr>
            <w:r>
              <w:rPr>
                <w:sz w:val="20"/>
              </w:rPr>
              <w:t>$2,823,071</w:t>
            </w:r>
          </w:p>
        </w:tc>
        <w:tc>
          <w:tcPr>
            <w:tcW w:w="1491" w:type="dxa"/>
          </w:tcPr>
          <w:p>
            <w:pPr>
              <w:pStyle w:val="TableParagraph"/>
              <w:spacing w:before="18"/>
              <w:ind w:left="181"/>
              <w:rPr>
                <w:sz w:val="20"/>
              </w:rPr>
            </w:pPr>
            <w:r>
              <w:rPr>
                <w:sz w:val="20"/>
              </w:rPr>
              <w:t>$2,576,037</w:t>
            </w:r>
          </w:p>
        </w:tc>
      </w:tr>
    </w:tbl>
    <w:p>
      <w:pPr>
        <w:pStyle w:val="Heading2"/>
        <w:spacing w:before="191"/>
        <w:ind w:left="164"/>
      </w:pPr>
      <w:r>
        <w:rPr/>
        <w:t>Liabilities and Stockholders' Equity</w:t>
      </w:r>
    </w:p>
    <w:p>
      <w:pPr>
        <w:pStyle w:val="BodyText"/>
        <w:spacing w:before="1"/>
        <w:ind w:left="351"/>
      </w:pPr>
      <w:r>
        <w:rPr>
          <w:w w:val="95"/>
        </w:rPr>
        <w:t>Current liabilities:</w:t>
      </w:r>
    </w:p>
    <w:p>
      <w:pPr>
        <w:pStyle w:val="BodyText"/>
        <w:tabs>
          <w:tab w:pos="5630" w:val="left" w:leader="none"/>
          <w:tab w:pos="7353" w:val="left" w:leader="none"/>
        </w:tabs>
        <w:spacing w:line="260" w:lineRule="exact" w:before="29"/>
        <w:ind w:right="619"/>
        <w:jc w:val="center"/>
      </w:pPr>
      <w:r>
        <w:rPr/>
        <w:t>Accounts</w:t>
      </w:r>
      <w:r>
        <w:rPr>
          <w:spacing w:val="-2"/>
        </w:rPr>
        <w:t> </w:t>
      </w:r>
      <w:r>
        <w:rPr/>
        <w:t>payable</w:t>
        <w:tab/>
      </w:r>
      <w:r>
        <w:rPr>
          <w:position w:val="-2"/>
        </w:rPr>
        <w:t>$117,599</w:t>
        <w:tab/>
        <w:t>$94,040</w:t>
      </w:r>
    </w:p>
    <w:p>
      <w:pPr>
        <w:pStyle w:val="BodyText"/>
        <w:tabs>
          <w:tab w:pos="5731" w:val="left" w:leader="none"/>
          <w:tab w:pos="7353" w:val="left" w:leader="none"/>
        </w:tabs>
        <w:spacing w:line="259" w:lineRule="exact"/>
        <w:ind w:right="619"/>
        <w:jc w:val="center"/>
      </w:pPr>
      <w:r>
        <w:rPr/>
        <w:t>Accrued liabilities</w:t>
      </w:r>
      <w:r>
        <w:rPr>
          <w:spacing w:val="3"/>
        </w:rPr>
        <w:t> </w:t>
      </w:r>
      <w:r>
        <w:rPr/>
        <w:t>(Note</w:t>
      </w:r>
      <w:r>
        <w:rPr>
          <w:spacing w:val="4"/>
        </w:rPr>
        <w:t> </w:t>
      </w:r>
      <w:r>
        <w:rPr/>
        <w:t>5)</w:t>
        <w:tab/>
      </w:r>
      <w:r>
        <w:rPr>
          <w:position w:val="-2"/>
        </w:rPr>
        <w:t>288,979</w:t>
        <w:tab/>
        <w:t>265,333</w:t>
      </w:r>
    </w:p>
    <w:p>
      <w:pPr>
        <w:pStyle w:val="BodyText"/>
        <w:tabs>
          <w:tab w:pos="5731" w:val="left" w:leader="none"/>
          <w:tab w:pos="7454" w:val="left" w:leader="none"/>
        </w:tabs>
        <w:spacing w:line="259" w:lineRule="exact"/>
        <w:ind w:right="619"/>
        <w:jc w:val="center"/>
      </w:pPr>
      <w:r>
        <w:rPr/>
        <w:t>Air</w:t>
      </w:r>
      <w:r>
        <w:rPr>
          <w:spacing w:val="-7"/>
        </w:rPr>
        <w:t> </w:t>
      </w:r>
      <w:r>
        <w:rPr>
          <w:spacing w:val="3"/>
        </w:rPr>
        <w:t>traffic</w:t>
      </w:r>
      <w:r>
        <w:rPr>
          <w:spacing w:val="-9"/>
        </w:rPr>
        <w:t> </w:t>
      </w:r>
      <w:r>
        <w:rPr>
          <w:spacing w:val="3"/>
        </w:rPr>
        <w:t>liability</w:t>
        <w:tab/>
      </w:r>
      <w:r>
        <w:rPr>
          <w:position w:val="-2"/>
        </w:rPr>
        <w:t>106,139</w:t>
        <w:tab/>
        <w:t>96,146</w:t>
      </w:r>
    </w:p>
    <w:p>
      <w:pPr>
        <w:pStyle w:val="BodyText"/>
        <w:tabs>
          <w:tab w:pos="7555" w:val="left" w:leader="none"/>
        </w:tabs>
        <w:spacing w:line="259" w:lineRule="exact"/>
        <w:ind w:right="619"/>
        <w:jc w:val="center"/>
      </w:pPr>
      <w:r>
        <w:rPr/>
        <w:t>Income</w:t>
      </w:r>
      <w:r>
        <w:rPr>
          <w:spacing w:val="-2"/>
        </w:rPr>
        <w:t> </w:t>
      </w:r>
      <w:r>
        <w:rPr/>
        <w:t>taxes</w:t>
      </w:r>
      <w:r>
        <w:rPr>
          <w:spacing w:val="-1"/>
        </w:rPr>
        <w:t> </w:t>
      </w:r>
      <w:r>
        <w:rPr/>
        <w:t>payable</w:t>
        <w:tab/>
      </w:r>
      <w:r>
        <w:rPr>
          <w:position w:val="-2"/>
        </w:rPr>
        <w:t>7,025</w:t>
      </w:r>
    </w:p>
    <w:p>
      <w:pPr>
        <w:pStyle w:val="BodyText"/>
        <w:tabs>
          <w:tab w:pos="5910" w:val="left" w:leader="none"/>
          <w:tab w:pos="6255" w:val="left" w:leader="none"/>
          <w:tab w:pos="6455" w:val="left" w:leader="none"/>
          <w:tab w:pos="7352" w:val="left" w:leader="none"/>
          <w:tab w:pos="7878" w:val="left" w:leader="none"/>
          <w:tab w:pos="7977" w:val="left" w:leader="none"/>
          <w:tab w:pos="8883" w:val="left" w:leader="none"/>
        </w:tabs>
        <w:spacing w:line="283" w:lineRule="auto"/>
        <w:ind w:left="711" w:right="794" w:hanging="188"/>
      </w:pPr>
      <w:r>
        <w:rPr/>
        <w:t>Current maturities </w:t>
      </w:r>
      <w:r>
        <w:rPr>
          <w:spacing w:val="2"/>
        </w:rPr>
        <w:t>of</w:t>
      </w:r>
      <w:r>
        <w:rPr>
          <w:spacing w:val="18"/>
        </w:rPr>
        <w:t> </w:t>
      </w:r>
      <w:r>
        <w:rPr/>
        <w:t>long-term</w:t>
      </w:r>
      <w:r>
        <w:rPr>
          <w:spacing w:val="5"/>
        </w:rPr>
        <w:t> </w:t>
      </w:r>
      <w:r>
        <w:rPr/>
        <w:t>debt</w:t>
        <w:tab/>
      </w:r>
      <w:r>
        <w:rPr>
          <w:position w:val="-2"/>
          <w:u w:val="single"/>
        </w:rPr>
        <w:t> </w:t>
        <w:tab/>
        <w:tab/>
        <w:t>9,553</w:t>
        <w:tab/>
        <w:t> </w:t>
        <w:tab/>
        <w:tab/>
        <w:t>16,068</w:t>
        <w:tab/>
      </w:r>
      <w:r>
        <w:rPr>
          <w:position w:val="-2"/>
        </w:rPr>
        <w:t> </w:t>
      </w:r>
      <w:r>
        <w:rPr>
          <w:spacing w:val="3"/>
        </w:rPr>
        <w:t>Total</w:t>
      </w:r>
      <w:r>
        <w:rPr>
          <w:spacing w:val="-4"/>
        </w:rPr>
        <w:t> </w:t>
      </w:r>
      <w:r>
        <w:rPr>
          <w:spacing w:val="2"/>
        </w:rPr>
        <w:t>current</w:t>
      </w:r>
      <w:r>
        <w:rPr>
          <w:spacing w:val="-3"/>
        </w:rPr>
        <w:t> </w:t>
      </w:r>
      <w:r>
        <w:rPr>
          <w:spacing w:val="2"/>
        </w:rPr>
        <w:t>liabilities</w:t>
        <w:tab/>
        <w:tab/>
      </w:r>
      <w:r>
        <w:rPr/>
        <w:t>522,270</w:t>
        <w:tab/>
        <w:tab/>
        <w:t>478,612</w:t>
      </w:r>
    </w:p>
    <w:p>
      <w:pPr>
        <w:pStyle w:val="BodyText"/>
        <w:tabs>
          <w:tab w:pos="5903" w:val="left" w:leader="none"/>
          <w:tab w:pos="7526" w:val="left" w:leader="none"/>
        </w:tabs>
        <w:spacing w:line="220" w:lineRule="exact"/>
        <w:ind w:right="792"/>
        <w:jc w:val="center"/>
      </w:pPr>
      <w:r>
        <w:rPr/>
        <w:t>Long-term debt less current maturities</w:t>
      </w:r>
      <w:r>
        <w:rPr>
          <w:spacing w:val="18"/>
        </w:rPr>
        <w:t> </w:t>
      </w:r>
      <w:r>
        <w:rPr/>
        <w:t>(Note</w:t>
      </w:r>
      <w:r>
        <w:rPr>
          <w:spacing w:val="5"/>
        </w:rPr>
        <w:t> </w:t>
      </w:r>
      <w:r>
        <w:rPr/>
        <w:t>6)</w:t>
        <w:tab/>
      </w:r>
      <w:r>
        <w:rPr>
          <w:position w:val="-2"/>
        </w:rPr>
        <w:t>583,071</w:t>
        <w:tab/>
        <w:t>639,136</w:t>
      </w:r>
    </w:p>
    <w:p>
      <w:pPr>
        <w:pStyle w:val="BodyText"/>
        <w:tabs>
          <w:tab w:pos="5903" w:val="left" w:leader="none"/>
          <w:tab w:pos="7526" w:val="left" w:leader="none"/>
        </w:tabs>
        <w:spacing w:line="259" w:lineRule="exact"/>
        <w:ind w:right="792"/>
        <w:jc w:val="center"/>
      </w:pPr>
      <w:r>
        <w:rPr/>
        <w:t>Deferred income taxes (Note</w:t>
      </w:r>
      <w:r>
        <w:rPr>
          <w:spacing w:val="2"/>
        </w:rPr>
        <w:t> </w:t>
      </w:r>
      <w:r>
        <w:rPr/>
        <w:t>11)</w:t>
        <w:tab/>
      </w:r>
      <w:r>
        <w:rPr>
          <w:position w:val="-2"/>
        </w:rPr>
        <w:t>232,850</w:t>
        <w:tab/>
        <w:t>183,616</w:t>
      </w:r>
    </w:p>
    <w:p>
      <w:pPr>
        <w:pStyle w:val="BodyText"/>
        <w:tabs>
          <w:tab w:pos="5903" w:val="left" w:leader="none"/>
          <w:tab w:pos="7526" w:val="left" w:leader="none"/>
        </w:tabs>
        <w:spacing w:line="259" w:lineRule="exact"/>
        <w:ind w:right="792"/>
        <w:jc w:val="center"/>
      </w:pPr>
      <w:r>
        <w:rPr/>
        <w:t>Deferred gains from sale and leaseback</w:t>
      </w:r>
      <w:r>
        <w:rPr>
          <w:spacing w:val="14"/>
        </w:rPr>
        <w:t> </w:t>
      </w:r>
      <w:r>
        <w:rPr>
          <w:spacing w:val="2"/>
        </w:rPr>
        <w:t>of</w:t>
      </w:r>
      <w:r>
        <w:rPr>
          <w:spacing w:val="1"/>
        </w:rPr>
        <w:t> </w:t>
      </w:r>
      <w:r>
        <w:rPr/>
        <w:t>aircraft</w:t>
        <w:tab/>
      </w:r>
      <w:r>
        <w:rPr>
          <w:position w:val="-2"/>
        </w:rPr>
        <w:t>217,677</w:t>
        <w:tab/>
        <w:t>199,362</w:t>
      </w:r>
    </w:p>
    <w:p>
      <w:pPr>
        <w:pStyle w:val="BodyText"/>
        <w:tabs>
          <w:tab w:pos="6004" w:val="left" w:leader="none"/>
          <w:tab w:pos="7627" w:val="left" w:leader="none"/>
        </w:tabs>
        <w:spacing w:line="259" w:lineRule="exact"/>
        <w:ind w:right="792"/>
        <w:jc w:val="center"/>
      </w:pPr>
      <w:r>
        <w:rPr>
          <w:spacing w:val="2"/>
        </w:rPr>
        <w:t>Other</w:t>
      </w:r>
      <w:r>
        <w:rPr>
          <w:spacing w:val="-2"/>
        </w:rPr>
        <w:t> </w:t>
      </w:r>
      <w:r>
        <w:rPr/>
        <w:t>deferred</w:t>
      </w:r>
      <w:r>
        <w:rPr>
          <w:spacing w:val="-1"/>
        </w:rPr>
        <w:t> </w:t>
      </w:r>
      <w:r>
        <w:rPr>
          <w:spacing w:val="2"/>
        </w:rPr>
        <w:t>liabilities</w:t>
        <w:tab/>
      </w:r>
      <w:r>
        <w:rPr>
          <w:position w:val="-2"/>
        </w:rPr>
        <w:t>28,497</w:t>
        <w:tab/>
        <w:t>21,292</w:t>
      </w:r>
    </w:p>
    <w:p>
      <w:pPr>
        <w:pStyle w:val="BodyText"/>
        <w:spacing w:line="230" w:lineRule="exact"/>
        <w:ind w:left="351"/>
      </w:pPr>
      <w:r>
        <w:rPr/>
        <w:t>Commitments and contingencies (Notes 4, 7, and 11)</w:t>
      </w:r>
    </w:p>
    <w:p>
      <w:pPr>
        <w:pStyle w:val="BodyText"/>
        <w:spacing w:before="29"/>
        <w:ind w:left="351"/>
      </w:pPr>
      <w:r>
        <w:rPr/>
        <w:t>Stockholders' equity (Notes 8 and 9):</w:t>
      </w:r>
    </w:p>
    <w:p>
      <w:pPr>
        <w:spacing w:after="0"/>
        <w:sectPr>
          <w:headerReference w:type="default" r:id="rId25"/>
          <w:pgSz w:w="12240" w:h="15840"/>
          <w:pgMar w:header="725" w:footer="746" w:top="2020" w:bottom="940" w:left="1640" w:right="920"/>
        </w:sectPr>
      </w:pPr>
    </w:p>
    <w:p>
      <w:pPr>
        <w:pStyle w:val="BodyText"/>
        <w:spacing w:line="202" w:lineRule="exact" w:before="54"/>
        <w:ind w:left="524"/>
      </w:pPr>
      <w:r>
        <w:rPr/>
        <w:t>Common stock, $1.00 par value: 500,000,000 shares authorized; 143,255,795 shares issued and outstanding in 1994 and 142,756,308 shares in 1993</w:t>
      </w:r>
    </w:p>
    <w:p>
      <w:pPr>
        <w:pStyle w:val="BodyText"/>
        <w:tabs>
          <w:tab w:pos="2147" w:val="left" w:leader="none"/>
        </w:tabs>
        <w:spacing w:before="58"/>
        <w:ind w:left="524"/>
      </w:pPr>
      <w:r>
        <w:rPr/>
        <w:br w:type="column"/>
      </w:r>
      <w:r>
        <w:rPr/>
        <w:t>143,256</w:t>
        <w:tab/>
        <w:t>142,756</w:t>
      </w:r>
    </w:p>
    <w:p>
      <w:pPr>
        <w:spacing w:after="0"/>
        <w:sectPr>
          <w:type w:val="continuous"/>
          <w:pgSz w:w="12240" w:h="15840"/>
          <w:pgMar w:top="1420" w:bottom="280" w:left="1640" w:right="920"/>
          <w:cols w:num="2" w:equalWidth="0">
            <w:col w:w="5191" w:space="540"/>
            <w:col w:w="3949"/>
          </w:cols>
        </w:sectPr>
      </w:pPr>
    </w:p>
    <w:p>
      <w:pPr>
        <w:pStyle w:val="BodyText"/>
        <w:tabs>
          <w:tab w:pos="5910" w:val="left" w:leader="none"/>
          <w:tab w:pos="6253" w:val="left" w:leader="none"/>
          <w:tab w:pos="7352" w:val="left" w:leader="none"/>
          <w:tab w:pos="7876" w:val="left" w:leader="none"/>
          <w:tab w:pos="8883" w:val="left" w:leader="none"/>
        </w:tabs>
        <w:spacing w:before="31"/>
        <w:ind w:left="524" w:right="794"/>
      </w:pPr>
      <w:r>
        <w:rPr/>
        <w:t>Capital in excess </w:t>
      </w:r>
      <w:r>
        <w:rPr>
          <w:spacing w:val="2"/>
        </w:rPr>
        <w:t>of</w:t>
      </w:r>
      <w:r>
        <w:rPr>
          <w:spacing w:val="5"/>
        </w:rPr>
        <w:t> </w:t>
      </w:r>
      <w:r>
        <w:rPr/>
        <w:t>par</w:t>
      </w:r>
      <w:r>
        <w:rPr>
          <w:spacing w:val="3"/>
        </w:rPr>
        <w:t> </w:t>
      </w:r>
      <w:r>
        <w:rPr/>
        <w:t>value</w:t>
        <w:tab/>
        <w:tab/>
      </w:r>
      <w:r>
        <w:rPr>
          <w:position w:val="-2"/>
        </w:rPr>
        <w:t>151,746</w:t>
        <w:tab/>
        <w:tab/>
        <w:t>141,168 </w:t>
      </w:r>
      <w:r>
        <w:rPr>
          <w:spacing w:val="2"/>
        </w:rPr>
        <w:t>Retained </w:t>
      </w:r>
      <w:r>
        <w:rPr/>
        <w:t>earnings</w:t>
        <w:tab/>
      </w:r>
      <w:r>
        <w:rPr>
          <w:position w:val="-2"/>
          <w:u w:val="single"/>
        </w:rPr>
        <w:t> </w:t>
        <w:tab/>
        <w:t>943,704</w:t>
        <w:tab/>
        <w:t> </w:t>
        <w:tab/>
        <w:t>770,095</w:t>
        <w:tab/>
      </w:r>
    </w:p>
    <w:p>
      <w:pPr>
        <w:pStyle w:val="BodyText"/>
        <w:tabs>
          <w:tab w:pos="5910" w:val="left" w:leader="none"/>
          <w:tab w:pos="7354" w:val="left" w:leader="none"/>
          <w:tab w:pos="8885" w:val="left" w:leader="none"/>
        </w:tabs>
        <w:spacing w:before="41"/>
        <w:ind w:left="711"/>
      </w:pPr>
      <w:r>
        <w:rPr/>
        <w:t>Total</w:t>
      </w:r>
      <w:r>
        <w:rPr>
          <w:spacing w:val="5"/>
        </w:rPr>
        <w:t> </w:t>
      </w:r>
      <w:r>
        <w:rPr/>
        <w:t>stockholders'</w:t>
      </w:r>
      <w:r>
        <w:rPr>
          <w:spacing w:val="8"/>
        </w:rPr>
        <w:t> </w:t>
      </w:r>
      <w:r>
        <w:rPr/>
        <w:t>equity</w:t>
        <w:tab/>
      </w:r>
      <w:r>
        <w:rPr>
          <w:u w:val="single"/>
        </w:rPr>
        <w:t>1,238,706</w:t>
        <w:tab/>
        <w:t>1,054,019</w:t>
        <w:tab/>
      </w:r>
    </w:p>
    <w:p>
      <w:pPr>
        <w:pStyle w:val="BodyText"/>
        <w:tabs>
          <w:tab w:pos="7623" w:val="left" w:leader="none"/>
        </w:tabs>
        <w:spacing w:before="43"/>
        <w:ind w:left="6001"/>
      </w:pPr>
      <w:r>
        <w:rPr/>
        <w:t>$2,823,071</w:t>
        <w:tab/>
        <w:t>$2,576,037</w:t>
      </w:r>
    </w:p>
    <w:p>
      <w:pPr>
        <w:pStyle w:val="BodyText"/>
        <w:spacing w:before="9"/>
        <w:rPr>
          <w:sz w:val="11"/>
        </w:rPr>
      </w:pPr>
    </w:p>
    <w:p>
      <w:pPr>
        <w:spacing w:before="93"/>
        <w:ind w:left="1240" w:right="0" w:firstLine="0"/>
        <w:jc w:val="left"/>
        <w:rPr>
          <w:rFonts w:ascii="Arial"/>
          <w:sz w:val="16"/>
        </w:rPr>
      </w:pPr>
      <w:r>
        <w:rPr>
          <w:rFonts w:ascii="Arial"/>
          <w:sz w:val="16"/>
        </w:rPr>
        <w:t>In thousands except share and per share amounts.</w:t>
      </w:r>
    </w:p>
    <w:p>
      <w:pPr>
        <w:spacing w:after="0"/>
        <w:jc w:val="left"/>
        <w:rPr>
          <w:rFonts w:ascii="Arial"/>
          <w:sz w:val="16"/>
        </w:rPr>
        <w:sectPr>
          <w:type w:val="continuous"/>
          <w:pgSz w:w="12240" w:h="15840"/>
          <w:pgMar w:top="1420" w:bottom="280" w:left="1640" w:right="920"/>
        </w:sectPr>
      </w:pPr>
    </w:p>
    <w:p>
      <w:pPr>
        <w:pStyle w:val="BodyText"/>
        <w:rPr>
          <w:rFonts w:ascii="Arial"/>
        </w:rPr>
      </w:pPr>
    </w:p>
    <w:p>
      <w:pPr>
        <w:pStyle w:val="BodyText"/>
        <w:rPr>
          <w:rFonts w:ascii="Arial"/>
          <w:sz w:val="22"/>
        </w:rPr>
      </w:pPr>
    </w:p>
    <w:p>
      <w:pPr>
        <w:tabs>
          <w:tab w:pos="5545" w:val="left" w:leader="none"/>
          <w:tab w:pos="6980" w:val="left" w:leader="none"/>
          <w:tab w:pos="8430" w:val="left" w:leader="none"/>
        </w:tabs>
        <w:spacing w:before="0" w:after="9"/>
        <w:ind w:left="164" w:right="0" w:firstLine="0"/>
        <w:jc w:val="left"/>
        <w:rPr>
          <w:rFonts w:ascii="Arial"/>
          <w:sz w:val="16"/>
        </w:rPr>
      </w:pPr>
      <w:r>
        <w:rPr>
          <w:rFonts w:ascii="Arial"/>
          <w:b/>
          <w:position w:val="-9"/>
          <w:sz w:val="20"/>
        </w:rPr>
        <w:t>Operating</w:t>
      </w:r>
      <w:r>
        <w:rPr>
          <w:rFonts w:ascii="Arial"/>
          <w:b/>
          <w:spacing w:val="-1"/>
          <w:position w:val="-9"/>
          <w:sz w:val="20"/>
        </w:rPr>
        <w:t> </w:t>
      </w:r>
      <w:r>
        <w:rPr>
          <w:rFonts w:ascii="Arial"/>
          <w:b/>
          <w:position w:val="-9"/>
          <w:sz w:val="20"/>
        </w:rPr>
        <w:t>revenues:</w:t>
        <w:tab/>
      </w:r>
      <w:r>
        <w:rPr>
          <w:rFonts w:ascii="Arial"/>
          <w:spacing w:val="-3"/>
          <w:sz w:val="16"/>
        </w:rPr>
        <w:t>Dec</w:t>
      </w:r>
      <w:r>
        <w:rPr>
          <w:rFonts w:ascii="Arial"/>
          <w:spacing w:val="-6"/>
          <w:sz w:val="16"/>
        </w:rPr>
        <w:t> </w:t>
      </w:r>
      <w:r>
        <w:rPr>
          <w:rFonts w:ascii="Arial"/>
          <w:sz w:val="16"/>
        </w:rPr>
        <w:t>31,</w:t>
      </w:r>
      <w:r>
        <w:rPr>
          <w:rFonts w:ascii="Arial"/>
          <w:spacing w:val="-5"/>
          <w:sz w:val="16"/>
        </w:rPr>
        <w:t> </w:t>
      </w:r>
      <w:r>
        <w:rPr>
          <w:rFonts w:ascii="Arial"/>
          <w:sz w:val="16"/>
        </w:rPr>
        <w:t>1994</w:t>
        <w:tab/>
      </w:r>
      <w:r>
        <w:rPr>
          <w:rFonts w:ascii="Arial"/>
          <w:spacing w:val="-3"/>
          <w:sz w:val="16"/>
        </w:rPr>
        <w:t>Dec</w:t>
      </w:r>
      <w:r>
        <w:rPr>
          <w:rFonts w:ascii="Arial"/>
          <w:spacing w:val="-6"/>
          <w:sz w:val="16"/>
        </w:rPr>
        <w:t> </w:t>
      </w:r>
      <w:r>
        <w:rPr>
          <w:rFonts w:ascii="Arial"/>
          <w:sz w:val="16"/>
        </w:rPr>
        <w:t>31,</w:t>
      </w:r>
      <w:r>
        <w:rPr>
          <w:rFonts w:ascii="Arial"/>
          <w:spacing w:val="-5"/>
          <w:sz w:val="16"/>
        </w:rPr>
        <w:t> </w:t>
      </w:r>
      <w:r>
        <w:rPr>
          <w:rFonts w:ascii="Arial"/>
          <w:sz w:val="16"/>
        </w:rPr>
        <w:t>1993</w:t>
        <w:tab/>
      </w:r>
      <w:r>
        <w:rPr>
          <w:rFonts w:ascii="Arial"/>
          <w:spacing w:val="-3"/>
          <w:sz w:val="16"/>
        </w:rPr>
        <w:t>Dec </w:t>
      </w:r>
      <w:r>
        <w:rPr>
          <w:rFonts w:ascii="Arial"/>
          <w:sz w:val="16"/>
        </w:rPr>
        <w:t>31,</w:t>
      </w:r>
      <w:r>
        <w:rPr>
          <w:rFonts w:ascii="Arial"/>
          <w:spacing w:val="-21"/>
          <w:sz w:val="16"/>
        </w:rPr>
        <w:t> </w:t>
      </w:r>
      <w:r>
        <w:rPr>
          <w:rFonts w:ascii="Arial"/>
          <w:sz w:val="16"/>
        </w:rPr>
        <w:t>1992</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55"/>
        <w:gridCol w:w="2766"/>
        <w:gridCol w:w="1450"/>
        <w:gridCol w:w="1390"/>
      </w:tblGrid>
      <w:tr>
        <w:trPr>
          <w:trHeight w:val="256" w:hRule="exact"/>
        </w:trPr>
        <w:tc>
          <w:tcPr>
            <w:tcW w:w="3655" w:type="dxa"/>
          </w:tcPr>
          <w:p>
            <w:pPr>
              <w:pStyle w:val="TableParagraph"/>
              <w:spacing w:line="223" w:lineRule="exact" w:before="0"/>
              <w:ind w:left="50"/>
              <w:rPr>
                <w:sz w:val="20"/>
              </w:rPr>
            </w:pPr>
            <w:r>
              <w:rPr>
                <w:sz w:val="20"/>
              </w:rPr>
              <w:t>Passenger</w:t>
            </w:r>
          </w:p>
        </w:tc>
        <w:tc>
          <w:tcPr>
            <w:tcW w:w="2766" w:type="dxa"/>
          </w:tcPr>
          <w:p>
            <w:pPr>
              <w:pStyle w:val="TableParagraph"/>
              <w:spacing w:before="21"/>
              <w:ind w:left="1507"/>
              <w:rPr>
                <w:sz w:val="20"/>
              </w:rPr>
            </w:pPr>
            <w:r>
              <w:rPr>
                <w:sz w:val="20"/>
              </w:rPr>
              <w:t>$2,497,765</w:t>
            </w:r>
          </w:p>
        </w:tc>
        <w:tc>
          <w:tcPr>
            <w:tcW w:w="1450" w:type="dxa"/>
          </w:tcPr>
          <w:p>
            <w:pPr>
              <w:pStyle w:val="TableParagraph"/>
              <w:spacing w:before="21"/>
              <w:ind w:left="181"/>
              <w:rPr>
                <w:sz w:val="20"/>
              </w:rPr>
            </w:pPr>
            <w:r>
              <w:rPr>
                <w:sz w:val="20"/>
              </w:rPr>
              <w:t>$2,216,342</w:t>
            </w:r>
          </w:p>
        </w:tc>
        <w:tc>
          <w:tcPr>
            <w:tcW w:w="1390" w:type="dxa"/>
          </w:tcPr>
          <w:p>
            <w:pPr>
              <w:pStyle w:val="TableParagraph"/>
              <w:spacing w:before="21"/>
              <w:ind w:left="190"/>
              <w:rPr>
                <w:sz w:val="20"/>
              </w:rPr>
            </w:pPr>
            <w:r>
              <w:rPr>
                <w:sz w:val="20"/>
              </w:rPr>
              <w:t>$1,623,828</w:t>
            </w:r>
          </w:p>
        </w:tc>
      </w:tr>
      <w:tr>
        <w:trPr>
          <w:trHeight w:val="259" w:hRule="exact"/>
        </w:trPr>
        <w:tc>
          <w:tcPr>
            <w:tcW w:w="3655" w:type="dxa"/>
          </w:tcPr>
          <w:p>
            <w:pPr>
              <w:pStyle w:val="TableParagraph"/>
              <w:spacing w:line="226" w:lineRule="exact" w:before="0"/>
              <w:ind w:left="50"/>
              <w:rPr>
                <w:sz w:val="20"/>
              </w:rPr>
            </w:pPr>
            <w:r>
              <w:rPr>
                <w:sz w:val="20"/>
              </w:rPr>
              <w:t>Freight</w:t>
            </w:r>
          </w:p>
        </w:tc>
        <w:tc>
          <w:tcPr>
            <w:tcW w:w="2766" w:type="dxa"/>
          </w:tcPr>
          <w:p>
            <w:pPr>
              <w:pStyle w:val="TableParagraph"/>
              <w:spacing w:before="25"/>
              <w:ind w:right="346"/>
              <w:jc w:val="right"/>
              <w:rPr>
                <w:sz w:val="20"/>
              </w:rPr>
            </w:pPr>
            <w:r>
              <w:rPr>
                <w:sz w:val="20"/>
              </w:rPr>
              <w:t>54,419</w:t>
            </w:r>
          </w:p>
        </w:tc>
        <w:tc>
          <w:tcPr>
            <w:tcW w:w="1450" w:type="dxa"/>
          </w:tcPr>
          <w:p>
            <w:pPr>
              <w:pStyle w:val="TableParagraph"/>
              <w:spacing w:before="25"/>
              <w:ind w:left="536"/>
              <w:rPr>
                <w:sz w:val="20"/>
              </w:rPr>
            </w:pPr>
            <w:r>
              <w:rPr>
                <w:sz w:val="20"/>
              </w:rPr>
              <w:t>42,897</w:t>
            </w:r>
          </w:p>
        </w:tc>
        <w:tc>
          <w:tcPr>
            <w:tcW w:w="1390" w:type="dxa"/>
          </w:tcPr>
          <w:p>
            <w:pPr>
              <w:pStyle w:val="TableParagraph"/>
              <w:spacing w:before="25"/>
              <w:ind w:left="546"/>
              <w:rPr>
                <w:sz w:val="20"/>
              </w:rPr>
            </w:pPr>
            <w:r>
              <w:rPr>
                <w:sz w:val="20"/>
              </w:rPr>
              <w:t>33,088</w:t>
            </w:r>
          </w:p>
        </w:tc>
      </w:tr>
      <w:tr>
        <w:trPr>
          <w:trHeight w:val="266" w:hRule="exact"/>
        </w:trPr>
        <w:tc>
          <w:tcPr>
            <w:tcW w:w="3655" w:type="dxa"/>
          </w:tcPr>
          <w:p>
            <w:pPr>
              <w:pStyle w:val="TableParagraph"/>
              <w:spacing w:line="226" w:lineRule="exact" w:before="0"/>
              <w:ind w:left="50"/>
              <w:rPr>
                <w:sz w:val="20"/>
              </w:rPr>
            </w:pPr>
            <w:r>
              <w:rPr>
                <w:sz w:val="20"/>
              </w:rPr>
              <w:t>Charter and other</w:t>
            </w:r>
          </w:p>
        </w:tc>
        <w:tc>
          <w:tcPr>
            <w:tcW w:w="2766" w:type="dxa"/>
          </w:tcPr>
          <w:p>
            <w:pPr>
              <w:pStyle w:val="TableParagraph"/>
              <w:tabs>
                <w:tab w:pos="1860" w:val="left" w:leader="none"/>
                <w:tab w:pos="2675" w:val="left" w:leader="none"/>
              </w:tabs>
              <w:spacing w:before="25"/>
              <w:ind w:left="1416"/>
              <w:rPr>
                <w:sz w:val="20"/>
              </w:rPr>
            </w:pPr>
            <w:r>
              <w:rPr>
                <w:w w:val="100"/>
                <w:sz w:val="20"/>
                <w:u w:val="single"/>
              </w:rPr>
              <w:t> </w:t>
            </w:r>
            <w:r>
              <w:rPr>
                <w:sz w:val="20"/>
                <w:u w:val="single"/>
              </w:rPr>
              <w:tab/>
              <w:t>39,749</w:t>
              <w:tab/>
            </w:r>
          </w:p>
        </w:tc>
        <w:tc>
          <w:tcPr>
            <w:tcW w:w="1450" w:type="dxa"/>
          </w:tcPr>
          <w:p>
            <w:pPr>
              <w:pStyle w:val="TableParagraph"/>
              <w:tabs>
                <w:tab w:pos="534" w:val="left" w:leader="none"/>
                <w:tab w:pos="1349" w:val="left" w:leader="none"/>
              </w:tabs>
              <w:spacing w:before="25"/>
              <w:ind w:left="90"/>
              <w:rPr>
                <w:sz w:val="20"/>
              </w:rPr>
            </w:pPr>
            <w:r>
              <w:rPr>
                <w:w w:val="100"/>
                <w:sz w:val="20"/>
                <w:u w:val="single"/>
              </w:rPr>
              <w:t> </w:t>
            </w:r>
            <w:r>
              <w:rPr>
                <w:sz w:val="20"/>
                <w:u w:val="single"/>
              </w:rPr>
              <w:tab/>
              <w:t>37,434</w:t>
              <w:tab/>
            </w:r>
          </w:p>
        </w:tc>
        <w:tc>
          <w:tcPr>
            <w:tcW w:w="1390" w:type="dxa"/>
          </w:tcPr>
          <w:p>
            <w:pPr>
              <w:pStyle w:val="TableParagraph"/>
              <w:tabs>
                <w:tab w:pos="443" w:val="left" w:leader="none"/>
                <w:tab w:pos="1340" w:val="left" w:leader="none"/>
              </w:tabs>
              <w:spacing w:before="25"/>
              <w:ind w:left="99"/>
              <w:rPr>
                <w:sz w:val="20"/>
              </w:rPr>
            </w:pPr>
            <w:r>
              <w:rPr>
                <w:w w:val="100"/>
                <w:sz w:val="20"/>
                <w:u w:val="single"/>
              </w:rPr>
              <w:t> </w:t>
            </w:r>
            <w:r>
              <w:rPr>
                <w:sz w:val="20"/>
                <w:u w:val="single"/>
              </w:rPr>
              <w:tab/>
              <w:t>146,063</w:t>
              <w:tab/>
            </w:r>
          </w:p>
        </w:tc>
      </w:tr>
      <w:tr>
        <w:trPr>
          <w:trHeight w:val="263" w:hRule="exact"/>
        </w:trPr>
        <w:tc>
          <w:tcPr>
            <w:tcW w:w="3655" w:type="dxa"/>
          </w:tcPr>
          <w:p>
            <w:pPr>
              <w:pStyle w:val="TableParagraph"/>
              <w:spacing w:before="3"/>
              <w:ind w:left="222"/>
              <w:rPr>
                <w:sz w:val="20"/>
              </w:rPr>
            </w:pPr>
            <w:r>
              <w:rPr>
                <w:sz w:val="20"/>
              </w:rPr>
              <w:t>Total operating revenues</w:t>
            </w:r>
          </w:p>
        </w:tc>
        <w:tc>
          <w:tcPr>
            <w:tcW w:w="2766" w:type="dxa"/>
          </w:tcPr>
          <w:p>
            <w:pPr>
              <w:pStyle w:val="TableParagraph"/>
              <w:spacing w:before="32"/>
              <w:ind w:left="1608"/>
              <w:rPr>
                <w:sz w:val="20"/>
              </w:rPr>
            </w:pPr>
            <w:r>
              <w:rPr>
                <w:sz w:val="20"/>
              </w:rPr>
              <w:t>2,591,933</w:t>
            </w:r>
          </w:p>
        </w:tc>
        <w:tc>
          <w:tcPr>
            <w:tcW w:w="1450" w:type="dxa"/>
          </w:tcPr>
          <w:p>
            <w:pPr>
              <w:pStyle w:val="TableParagraph"/>
              <w:spacing w:before="32"/>
              <w:ind w:left="282"/>
              <w:rPr>
                <w:sz w:val="20"/>
              </w:rPr>
            </w:pPr>
            <w:r>
              <w:rPr>
                <w:sz w:val="20"/>
              </w:rPr>
              <w:t>2,296,673</w:t>
            </w:r>
          </w:p>
        </w:tc>
        <w:tc>
          <w:tcPr>
            <w:tcW w:w="1390" w:type="dxa"/>
          </w:tcPr>
          <w:p>
            <w:pPr>
              <w:pStyle w:val="TableParagraph"/>
              <w:spacing w:before="32"/>
              <w:ind w:left="291"/>
              <w:rPr>
                <w:sz w:val="20"/>
              </w:rPr>
            </w:pPr>
            <w:r>
              <w:rPr>
                <w:sz w:val="20"/>
              </w:rPr>
              <w:t>1,802,979</w:t>
            </w:r>
          </w:p>
        </w:tc>
      </w:tr>
    </w:tbl>
    <w:p>
      <w:pPr>
        <w:pStyle w:val="Heading2"/>
        <w:spacing w:before="191" w:after="8"/>
        <w:ind w:left="164"/>
      </w:pPr>
      <w:r>
        <w:rPr/>
        <w:t>Operating expenses:</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6"/>
        <w:gridCol w:w="2285"/>
        <w:gridCol w:w="1450"/>
        <w:gridCol w:w="1391"/>
      </w:tblGrid>
      <w:tr>
        <w:trPr>
          <w:trHeight w:val="256" w:hRule="exact"/>
        </w:trPr>
        <w:tc>
          <w:tcPr>
            <w:tcW w:w="4136" w:type="dxa"/>
          </w:tcPr>
          <w:p>
            <w:pPr>
              <w:pStyle w:val="TableParagraph"/>
              <w:spacing w:line="223" w:lineRule="exact" w:before="0"/>
              <w:ind w:left="50"/>
              <w:rPr>
                <w:sz w:val="20"/>
              </w:rPr>
            </w:pPr>
            <w:r>
              <w:rPr>
                <w:sz w:val="20"/>
              </w:rPr>
              <w:t>Salaries, wages, and benefits (Note 10)</w:t>
            </w:r>
          </w:p>
        </w:tc>
        <w:tc>
          <w:tcPr>
            <w:tcW w:w="2285" w:type="dxa"/>
          </w:tcPr>
          <w:p>
            <w:pPr>
              <w:pStyle w:val="TableParagraph"/>
              <w:spacing w:before="21"/>
              <w:ind w:left="1279"/>
              <w:rPr>
                <w:sz w:val="20"/>
              </w:rPr>
            </w:pPr>
            <w:r>
              <w:rPr>
                <w:sz w:val="20"/>
              </w:rPr>
              <w:t>756,023</w:t>
            </w:r>
          </w:p>
        </w:tc>
        <w:tc>
          <w:tcPr>
            <w:tcW w:w="1450" w:type="dxa"/>
          </w:tcPr>
          <w:p>
            <w:pPr>
              <w:pStyle w:val="TableParagraph"/>
              <w:spacing w:before="21"/>
              <w:ind w:left="82" w:right="7"/>
              <w:jc w:val="center"/>
              <w:rPr>
                <w:sz w:val="20"/>
              </w:rPr>
            </w:pPr>
            <w:r>
              <w:rPr>
                <w:sz w:val="20"/>
              </w:rPr>
              <w:t>641,747</w:t>
            </w:r>
          </w:p>
        </w:tc>
        <w:tc>
          <w:tcPr>
            <w:tcW w:w="1391" w:type="dxa"/>
          </w:tcPr>
          <w:p>
            <w:pPr>
              <w:pStyle w:val="TableParagraph"/>
              <w:spacing w:before="21"/>
              <w:ind w:left="444"/>
              <w:rPr>
                <w:sz w:val="20"/>
              </w:rPr>
            </w:pPr>
            <w:r>
              <w:rPr>
                <w:sz w:val="20"/>
              </w:rPr>
              <w:t>512,983</w:t>
            </w:r>
          </w:p>
        </w:tc>
      </w:tr>
      <w:tr>
        <w:trPr>
          <w:trHeight w:val="259" w:hRule="exact"/>
        </w:trPr>
        <w:tc>
          <w:tcPr>
            <w:tcW w:w="4136" w:type="dxa"/>
          </w:tcPr>
          <w:p>
            <w:pPr>
              <w:pStyle w:val="TableParagraph"/>
              <w:spacing w:line="226" w:lineRule="exact" w:before="0"/>
              <w:ind w:left="50"/>
              <w:rPr>
                <w:sz w:val="20"/>
              </w:rPr>
            </w:pPr>
            <w:r>
              <w:rPr>
                <w:sz w:val="20"/>
              </w:rPr>
              <w:t>Fuel and oil</w:t>
            </w:r>
          </w:p>
        </w:tc>
        <w:tc>
          <w:tcPr>
            <w:tcW w:w="2285" w:type="dxa"/>
          </w:tcPr>
          <w:p>
            <w:pPr>
              <w:pStyle w:val="TableParagraph"/>
              <w:spacing w:before="25"/>
              <w:ind w:left="1279"/>
              <w:rPr>
                <w:sz w:val="20"/>
              </w:rPr>
            </w:pPr>
            <w:r>
              <w:rPr>
                <w:sz w:val="20"/>
              </w:rPr>
              <w:t>319,552</w:t>
            </w:r>
          </w:p>
        </w:tc>
        <w:tc>
          <w:tcPr>
            <w:tcW w:w="1450" w:type="dxa"/>
          </w:tcPr>
          <w:p>
            <w:pPr>
              <w:pStyle w:val="TableParagraph"/>
              <w:spacing w:before="25"/>
              <w:ind w:left="82" w:right="7"/>
              <w:jc w:val="center"/>
              <w:rPr>
                <w:sz w:val="20"/>
              </w:rPr>
            </w:pPr>
            <w:r>
              <w:rPr>
                <w:sz w:val="20"/>
              </w:rPr>
              <w:t>304,424</w:t>
            </w:r>
          </w:p>
        </w:tc>
        <w:tc>
          <w:tcPr>
            <w:tcW w:w="1391" w:type="dxa"/>
          </w:tcPr>
          <w:p>
            <w:pPr>
              <w:pStyle w:val="TableParagraph"/>
              <w:spacing w:before="25"/>
              <w:ind w:left="444"/>
              <w:rPr>
                <w:sz w:val="20"/>
              </w:rPr>
            </w:pPr>
            <w:r>
              <w:rPr>
                <w:sz w:val="20"/>
              </w:rPr>
              <w:t>257,481</w:t>
            </w:r>
          </w:p>
        </w:tc>
      </w:tr>
      <w:tr>
        <w:trPr>
          <w:trHeight w:val="259" w:hRule="exact"/>
        </w:trPr>
        <w:tc>
          <w:tcPr>
            <w:tcW w:w="4136" w:type="dxa"/>
          </w:tcPr>
          <w:p>
            <w:pPr>
              <w:pStyle w:val="TableParagraph"/>
              <w:spacing w:line="226" w:lineRule="exact" w:before="0"/>
              <w:ind w:left="50"/>
              <w:rPr>
                <w:sz w:val="20"/>
              </w:rPr>
            </w:pPr>
            <w:r>
              <w:rPr>
                <w:sz w:val="20"/>
              </w:rPr>
              <w:t>Maintenance materials and repairs</w:t>
            </w:r>
          </w:p>
        </w:tc>
        <w:tc>
          <w:tcPr>
            <w:tcW w:w="2285" w:type="dxa"/>
          </w:tcPr>
          <w:p>
            <w:pPr>
              <w:pStyle w:val="TableParagraph"/>
              <w:spacing w:before="25"/>
              <w:ind w:left="1279"/>
              <w:rPr>
                <w:sz w:val="20"/>
              </w:rPr>
            </w:pPr>
            <w:r>
              <w:rPr>
                <w:sz w:val="20"/>
              </w:rPr>
              <w:t>190,308</w:t>
            </w:r>
          </w:p>
        </w:tc>
        <w:tc>
          <w:tcPr>
            <w:tcW w:w="1450" w:type="dxa"/>
          </w:tcPr>
          <w:p>
            <w:pPr>
              <w:pStyle w:val="TableParagraph"/>
              <w:spacing w:before="25"/>
              <w:ind w:left="82" w:right="7"/>
              <w:jc w:val="center"/>
              <w:rPr>
                <w:sz w:val="20"/>
              </w:rPr>
            </w:pPr>
            <w:r>
              <w:rPr>
                <w:sz w:val="20"/>
              </w:rPr>
              <w:t>163,395</w:t>
            </w:r>
          </w:p>
        </w:tc>
        <w:tc>
          <w:tcPr>
            <w:tcW w:w="1391" w:type="dxa"/>
          </w:tcPr>
          <w:p>
            <w:pPr>
              <w:pStyle w:val="TableParagraph"/>
              <w:spacing w:before="25"/>
              <w:ind w:left="444"/>
              <w:rPr>
                <w:sz w:val="20"/>
              </w:rPr>
            </w:pPr>
            <w:r>
              <w:rPr>
                <w:sz w:val="20"/>
              </w:rPr>
              <w:t>122,561</w:t>
            </w:r>
          </w:p>
        </w:tc>
      </w:tr>
      <w:tr>
        <w:trPr>
          <w:trHeight w:val="259" w:hRule="exact"/>
        </w:trPr>
        <w:tc>
          <w:tcPr>
            <w:tcW w:w="4136" w:type="dxa"/>
          </w:tcPr>
          <w:p>
            <w:pPr>
              <w:pStyle w:val="TableParagraph"/>
              <w:spacing w:line="226" w:lineRule="exact" w:before="0"/>
              <w:ind w:left="50"/>
              <w:rPr>
                <w:sz w:val="20"/>
              </w:rPr>
            </w:pPr>
            <w:r>
              <w:rPr>
                <w:sz w:val="20"/>
              </w:rPr>
              <w:t>Agency commissions</w:t>
            </w:r>
          </w:p>
        </w:tc>
        <w:tc>
          <w:tcPr>
            <w:tcW w:w="2285" w:type="dxa"/>
          </w:tcPr>
          <w:p>
            <w:pPr>
              <w:pStyle w:val="TableParagraph"/>
              <w:spacing w:before="25"/>
              <w:ind w:left="1279"/>
              <w:rPr>
                <w:sz w:val="20"/>
              </w:rPr>
            </w:pPr>
            <w:r>
              <w:rPr>
                <w:sz w:val="20"/>
              </w:rPr>
              <w:t>151,247</w:t>
            </w:r>
          </w:p>
        </w:tc>
        <w:tc>
          <w:tcPr>
            <w:tcW w:w="1450" w:type="dxa"/>
          </w:tcPr>
          <w:p>
            <w:pPr>
              <w:pStyle w:val="TableParagraph"/>
              <w:spacing w:before="25"/>
              <w:ind w:left="82" w:right="7"/>
              <w:jc w:val="center"/>
              <w:rPr>
                <w:sz w:val="20"/>
              </w:rPr>
            </w:pPr>
            <w:r>
              <w:rPr>
                <w:sz w:val="20"/>
              </w:rPr>
              <w:t>144,941</w:t>
            </w:r>
          </w:p>
        </w:tc>
        <w:tc>
          <w:tcPr>
            <w:tcW w:w="1391" w:type="dxa"/>
          </w:tcPr>
          <w:p>
            <w:pPr>
              <w:pStyle w:val="TableParagraph"/>
              <w:spacing w:before="25"/>
              <w:ind w:left="444"/>
              <w:rPr>
                <w:sz w:val="20"/>
              </w:rPr>
            </w:pPr>
            <w:r>
              <w:rPr>
                <w:sz w:val="20"/>
              </w:rPr>
              <w:t>113,504</w:t>
            </w:r>
          </w:p>
        </w:tc>
      </w:tr>
      <w:tr>
        <w:trPr>
          <w:trHeight w:val="259" w:hRule="exact"/>
        </w:trPr>
        <w:tc>
          <w:tcPr>
            <w:tcW w:w="4136" w:type="dxa"/>
          </w:tcPr>
          <w:p>
            <w:pPr>
              <w:pStyle w:val="TableParagraph"/>
              <w:spacing w:line="226" w:lineRule="exact" w:before="0"/>
              <w:ind w:left="50"/>
              <w:rPr>
                <w:sz w:val="20"/>
              </w:rPr>
            </w:pPr>
            <w:r>
              <w:rPr>
                <w:sz w:val="20"/>
              </w:rPr>
              <w:t>Aircraft rentals</w:t>
            </w:r>
          </w:p>
        </w:tc>
        <w:tc>
          <w:tcPr>
            <w:tcW w:w="2285" w:type="dxa"/>
          </w:tcPr>
          <w:p>
            <w:pPr>
              <w:pStyle w:val="TableParagraph"/>
              <w:spacing w:before="25"/>
              <w:ind w:left="1279"/>
              <w:rPr>
                <w:sz w:val="20"/>
              </w:rPr>
            </w:pPr>
            <w:r>
              <w:rPr>
                <w:sz w:val="20"/>
              </w:rPr>
              <w:t>132,992</w:t>
            </w:r>
          </w:p>
        </w:tc>
        <w:tc>
          <w:tcPr>
            <w:tcW w:w="1450" w:type="dxa"/>
          </w:tcPr>
          <w:p>
            <w:pPr>
              <w:pStyle w:val="TableParagraph"/>
              <w:spacing w:before="25"/>
              <w:ind w:left="82" w:right="7"/>
              <w:jc w:val="center"/>
              <w:rPr>
                <w:sz w:val="20"/>
              </w:rPr>
            </w:pPr>
            <w:r>
              <w:rPr>
                <w:sz w:val="20"/>
              </w:rPr>
              <w:t>107,885</w:t>
            </w:r>
          </w:p>
        </w:tc>
        <w:tc>
          <w:tcPr>
            <w:tcW w:w="1391" w:type="dxa"/>
          </w:tcPr>
          <w:p>
            <w:pPr>
              <w:pStyle w:val="TableParagraph"/>
              <w:spacing w:before="25"/>
              <w:ind w:left="545"/>
              <w:rPr>
                <w:sz w:val="20"/>
              </w:rPr>
            </w:pPr>
            <w:r>
              <w:rPr>
                <w:sz w:val="20"/>
              </w:rPr>
              <w:t>77,472</w:t>
            </w:r>
          </w:p>
        </w:tc>
      </w:tr>
      <w:tr>
        <w:trPr>
          <w:trHeight w:val="259" w:hRule="exact"/>
        </w:trPr>
        <w:tc>
          <w:tcPr>
            <w:tcW w:w="4136" w:type="dxa"/>
          </w:tcPr>
          <w:p>
            <w:pPr>
              <w:pStyle w:val="TableParagraph"/>
              <w:spacing w:line="226" w:lineRule="exact" w:before="0"/>
              <w:ind w:left="50"/>
              <w:rPr>
                <w:sz w:val="20"/>
              </w:rPr>
            </w:pPr>
            <w:r>
              <w:rPr>
                <w:sz w:val="20"/>
              </w:rPr>
              <w:t>Landing fees and other rentals</w:t>
            </w:r>
          </w:p>
        </w:tc>
        <w:tc>
          <w:tcPr>
            <w:tcW w:w="2285" w:type="dxa"/>
          </w:tcPr>
          <w:p>
            <w:pPr>
              <w:pStyle w:val="TableParagraph"/>
              <w:spacing w:before="25"/>
              <w:ind w:left="1279"/>
              <w:rPr>
                <w:sz w:val="20"/>
              </w:rPr>
            </w:pPr>
            <w:r>
              <w:rPr>
                <w:sz w:val="20"/>
              </w:rPr>
              <w:t>148,107</w:t>
            </w:r>
          </w:p>
        </w:tc>
        <w:tc>
          <w:tcPr>
            <w:tcW w:w="1450" w:type="dxa"/>
          </w:tcPr>
          <w:p>
            <w:pPr>
              <w:pStyle w:val="TableParagraph"/>
              <w:spacing w:before="25"/>
              <w:ind w:left="82" w:right="7"/>
              <w:jc w:val="center"/>
              <w:rPr>
                <w:sz w:val="20"/>
              </w:rPr>
            </w:pPr>
            <w:r>
              <w:rPr>
                <w:sz w:val="20"/>
              </w:rPr>
              <w:t>129,222</w:t>
            </w:r>
          </w:p>
        </w:tc>
        <w:tc>
          <w:tcPr>
            <w:tcW w:w="1391" w:type="dxa"/>
          </w:tcPr>
          <w:p>
            <w:pPr>
              <w:pStyle w:val="TableParagraph"/>
              <w:spacing w:before="25"/>
              <w:ind w:left="444"/>
              <w:rPr>
                <w:sz w:val="20"/>
              </w:rPr>
            </w:pPr>
            <w:r>
              <w:rPr>
                <w:sz w:val="20"/>
              </w:rPr>
              <w:t>105,929</w:t>
            </w:r>
          </w:p>
        </w:tc>
      </w:tr>
      <w:tr>
        <w:trPr>
          <w:trHeight w:val="259" w:hRule="exact"/>
        </w:trPr>
        <w:tc>
          <w:tcPr>
            <w:tcW w:w="4136" w:type="dxa"/>
          </w:tcPr>
          <w:p>
            <w:pPr>
              <w:pStyle w:val="TableParagraph"/>
              <w:spacing w:line="226" w:lineRule="exact" w:before="0"/>
              <w:ind w:left="50"/>
              <w:rPr>
                <w:sz w:val="20"/>
              </w:rPr>
            </w:pPr>
            <w:r>
              <w:rPr>
                <w:sz w:val="20"/>
              </w:rPr>
              <w:t>Depreciation</w:t>
            </w:r>
          </w:p>
        </w:tc>
        <w:tc>
          <w:tcPr>
            <w:tcW w:w="2285" w:type="dxa"/>
          </w:tcPr>
          <w:p>
            <w:pPr>
              <w:pStyle w:val="TableParagraph"/>
              <w:spacing w:before="25"/>
              <w:ind w:left="1279"/>
              <w:rPr>
                <w:sz w:val="20"/>
              </w:rPr>
            </w:pPr>
            <w:r>
              <w:rPr>
                <w:sz w:val="20"/>
              </w:rPr>
              <w:t>139,045</w:t>
            </w:r>
          </w:p>
        </w:tc>
        <w:tc>
          <w:tcPr>
            <w:tcW w:w="1450" w:type="dxa"/>
          </w:tcPr>
          <w:p>
            <w:pPr>
              <w:pStyle w:val="TableParagraph"/>
              <w:spacing w:before="25"/>
              <w:ind w:left="82" w:right="7"/>
              <w:jc w:val="center"/>
              <w:rPr>
                <w:sz w:val="20"/>
              </w:rPr>
            </w:pPr>
            <w:r>
              <w:rPr>
                <w:sz w:val="20"/>
              </w:rPr>
              <w:t>119,338</w:t>
            </w:r>
          </w:p>
        </w:tc>
        <w:tc>
          <w:tcPr>
            <w:tcW w:w="1391" w:type="dxa"/>
          </w:tcPr>
          <w:p>
            <w:pPr>
              <w:pStyle w:val="TableParagraph"/>
              <w:spacing w:before="25"/>
              <w:ind w:left="444"/>
              <w:rPr>
                <w:sz w:val="20"/>
              </w:rPr>
            </w:pPr>
            <w:r>
              <w:rPr>
                <w:sz w:val="20"/>
              </w:rPr>
              <w:t>101,976</w:t>
            </w:r>
          </w:p>
        </w:tc>
      </w:tr>
      <w:tr>
        <w:trPr>
          <w:trHeight w:val="264" w:hRule="exact"/>
        </w:trPr>
        <w:tc>
          <w:tcPr>
            <w:tcW w:w="4136" w:type="dxa"/>
          </w:tcPr>
          <w:p>
            <w:pPr>
              <w:pStyle w:val="TableParagraph"/>
              <w:spacing w:line="226" w:lineRule="exact" w:before="0"/>
              <w:ind w:left="50"/>
              <w:rPr>
                <w:sz w:val="20"/>
              </w:rPr>
            </w:pPr>
            <w:r>
              <w:rPr>
                <w:sz w:val="20"/>
              </w:rPr>
              <w:t>Other operating expenses</w:t>
            </w:r>
          </w:p>
        </w:tc>
        <w:tc>
          <w:tcPr>
            <w:tcW w:w="2285" w:type="dxa"/>
          </w:tcPr>
          <w:p>
            <w:pPr>
              <w:pStyle w:val="TableParagraph"/>
              <w:spacing w:before="25"/>
              <w:ind w:left="1279"/>
              <w:rPr>
                <w:sz w:val="20"/>
              </w:rPr>
            </w:pPr>
            <w:r>
              <w:rPr>
                <w:sz w:val="20"/>
              </w:rPr>
              <w:t>437,950</w:t>
            </w:r>
          </w:p>
        </w:tc>
        <w:tc>
          <w:tcPr>
            <w:tcW w:w="1450" w:type="dxa"/>
          </w:tcPr>
          <w:p>
            <w:pPr>
              <w:pStyle w:val="TableParagraph"/>
              <w:spacing w:before="25"/>
              <w:ind w:left="82" w:right="7"/>
              <w:jc w:val="center"/>
              <w:rPr>
                <w:sz w:val="20"/>
              </w:rPr>
            </w:pPr>
            <w:r>
              <w:rPr>
                <w:sz w:val="20"/>
              </w:rPr>
              <w:t>382,945</w:t>
            </w:r>
          </w:p>
        </w:tc>
        <w:tc>
          <w:tcPr>
            <w:tcW w:w="1391" w:type="dxa"/>
          </w:tcPr>
          <w:p>
            <w:pPr>
              <w:pStyle w:val="TableParagraph"/>
              <w:spacing w:before="25"/>
              <w:ind w:left="444"/>
              <w:rPr>
                <w:sz w:val="20"/>
              </w:rPr>
            </w:pPr>
            <w:r>
              <w:rPr>
                <w:sz w:val="20"/>
              </w:rPr>
              <w:t>317,269</w:t>
            </w:r>
          </w:p>
        </w:tc>
      </w:tr>
      <w:tr>
        <w:trPr>
          <w:trHeight w:val="254" w:hRule="exact"/>
        </w:trPr>
        <w:tc>
          <w:tcPr>
            <w:tcW w:w="4136" w:type="dxa"/>
          </w:tcPr>
          <w:p>
            <w:pPr>
              <w:pStyle w:val="TableParagraph"/>
              <w:spacing w:before="1"/>
              <w:ind w:left="50"/>
              <w:rPr>
                <w:sz w:val="20"/>
              </w:rPr>
            </w:pPr>
            <w:r>
              <w:rPr>
                <w:sz w:val="20"/>
              </w:rPr>
              <w:t>Merger expenses (Note 2)</w:t>
            </w:r>
          </w:p>
        </w:tc>
        <w:tc>
          <w:tcPr>
            <w:tcW w:w="2285" w:type="dxa"/>
          </w:tcPr>
          <w:p>
            <w:pPr>
              <w:pStyle w:val="TableParagraph"/>
              <w:spacing w:before="20"/>
              <w:ind w:right="345"/>
              <w:jc w:val="right"/>
              <w:rPr>
                <w:sz w:val="20"/>
              </w:rPr>
            </w:pPr>
            <w:r>
              <w:rPr>
                <w:w w:val="100"/>
                <w:sz w:val="20"/>
              </w:rPr>
              <w:t>-</w:t>
            </w:r>
          </w:p>
        </w:tc>
        <w:tc>
          <w:tcPr>
            <w:tcW w:w="1450" w:type="dxa"/>
          </w:tcPr>
          <w:p>
            <w:pPr>
              <w:pStyle w:val="TableParagraph"/>
              <w:spacing w:before="20"/>
              <w:ind w:left="183" w:right="7"/>
              <w:jc w:val="center"/>
              <w:rPr>
                <w:sz w:val="20"/>
              </w:rPr>
            </w:pPr>
            <w:r>
              <w:rPr>
                <w:sz w:val="20"/>
              </w:rPr>
              <w:t>10,803</w:t>
            </w:r>
          </w:p>
        </w:tc>
        <w:tc>
          <w:tcPr>
            <w:tcW w:w="1391" w:type="dxa"/>
          </w:tcPr>
          <w:p>
            <w:pPr>
              <w:pStyle w:val="TableParagraph"/>
              <w:spacing w:before="20"/>
              <w:ind w:right="287"/>
              <w:jc w:val="right"/>
              <w:rPr>
                <w:sz w:val="20"/>
              </w:rPr>
            </w:pPr>
            <w:r>
              <w:rPr>
                <w:w w:val="100"/>
                <w:sz w:val="20"/>
              </w:rPr>
              <w:t>-</w:t>
            </w:r>
          </w:p>
        </w:tc>
      </w:tr>
      <w:tr>
        <w:trPr>
          <w:trHeight w:val="266" w:hRule="exact"/>
        </w:trPr>
        <w:tc>
          <w:tcPr>
            <w:tcW w:w="4136" w:type="dxa"/>
          </w:tcPr>
          <w:p>
            <w:pPr>
              <w:pStyle w:val="TableParagraph"/>
              <w:spacing w:line="226" w:lineRule="exact" w:before="0"/>
              <w:ind w:left="50"/>
              <w:rPr>
                <w:sz w:val="20"/>
              </w:rPr>
            </w:pPr>
            <w:r>
              <w:rPr>
                <w:sz w:val="20"/>
              </w:rPr>
              <w:t>Total operating expenses</w:t>
            </w:r>
          </w:p>
        </w:tc>
        <w:tc>
          <w:tcPr>
            <w:tcW w:w="2285" w:type="dxa"/>
          </w:tcPr>
          <w:p>
            <w:pPr>
              <w:pStyle w:val="TableParagraph"/>
              <w:tabs>
                <w:tab w:pos="2195" w:val="left" w:leader="none"/>
              </w:tabs>
              <w:spacing w:before="25"/>
              <w:ind w:left="934"/>
              <w:rPr>
                <w:sz w:val="20"/>
              </w:rPr>
            </w:pPr>
            <w:r>
              <w:rPr>
                <w:w w:val="100"/>
                <w:sz w:val="20"/>
                <w:u w:val="single"/>
              </w:rPr>
              <w:t> </w:t>
            </w:r>
            <w:r>
              <w:rPr>
                <w:sz w:val="20"/>
                <w:u w:val="single"/>
              </w:rPr>
              <w:t>  </w:t>
            </w:r>
            <w:r>
              <w:rPr>
                <w:spacing w:val="-11"/>
                <w:sz w:val="20"/>
                <w:u w:val="single"/>
              </w:rPr>
              <w:t> </w:t>
            </w:r>
            <w:r>
              <w:rPr>
                <w:sz w:val="20"/>
                <w:u w:val="single"/>
              </w:rPr>
              <w:t>2,275,224</w:t>
              <w:tab/>
            </w:r>
          </w:p>
        </w:tc>
        <w:tc>
          <w:tcPr>
            <w:tcW w:w="1450" w:type="dxa"/>
          </w:tcPr>
          <w:p>
            <w:pPr>
              <w:pStyle w:val="TableParagraph"/>
              <w:tabs>
                <w:tab w:pos="1261" w:val="left" w:leader="none"/>
              </w:tabs>
              <w:spacing w:before="25"/>
              <w:ind w:right="7"/>
              <w:jc w:val="center"/>
              <w:rPr>
                <w:sz w:val="20"/>
              </w:rPr>
            </w:pPr>
            <w:r>
              <w:rPr>
                <w:w w:val="100"/>
                <w:sz w:val="20"/>
                <w:u w:val="single"/>
              </w:rPr>
              <w:t> </w:t>
            </w:r>
            <w:r>
              <w:rPr>
                <w:sz w:val="20"/>
                <w:u w:val="single"/>
              </w:rPr>
              <w:t>  </w:t>
            </w:r>
            <w:r>
              <w:rPr>
                <w:spacing w:val="-11"/>
                <w:sz w:val="20"/>
                <w:u w:val="single"/>
              </w:rPr>
              <w:t> </w:t>
            </w:r>
            <w:r>
              <w:rPr>
                <w:sz w:val="20"/>
                <w:u w:val="single"/>
              </w:rPr>
              <w:t>2,004,700</w:t>
              <w:tab/>
            </w:r>
          </w:p>
        </w:tc>
        <w:tc>
          <w:tcPr>
            <w:tcW w:w="1391" w:type="dxa"/>
          </w:tcPr>
          <w:p>
            <w:pPr>
              <w:pStyle w:val="TableParagraph"/>
              <w:tabs>
                <w:tab w:pos="1341" w:val="left" w:leader="none"/>
              </w:tabs>
              <w:spacing w:before="25"/>
              <w:ind w:left="98"/>
              <w:rPr>
                <w:sz w:val="20"/>
              </w:rPr>
            </w:pPr>
            <w:r>
              <w:rPr>
                <w:w w:val="100"/>
                <w:sz w:val="20"/>
                <w:u w:val="single"/>
              </w:rPr>
              <w:t> </w:t>
            </w:r>
            <w:r>
              <w:rPr>
                <w:sz w:val="20"/>
                <w:u w:val="single"/>
              </w:rPr>
              <w:t>  </w:t>
            </w:r>
            <w:r>
              <w:rPr>
                <w:spacing w:val="-11"/>
                <w:sz w:val="20"/>
                <w:u w:val="single"/>
              </w:rPr>
              <w:t> </w:t>
            </w:r>
            <w:r>
              <w:rPr>
                <w:sz w:val="20"/>
                <w:u w:val="single"/>
              </w:rPr>
              <w:t>1,609,175</w:t>
              <w:tab/>
            </w:r>
          </w:p>
        </w:tc>
      </w:tr>
      <w:tr>
        <w:trPr>
          <w:trHeight w:val="263" w:hRule="exact"/>
        </w:trPr>
        <w:tc>
          <w:tcPr>
            <w:tcW w:w="4136" w:type="dxa"/>
          </w:tcPr>
          <w:p>
            <w:pPr>
              <w:pStyle w:val="TableParagraph"/>
              <w:spacing w:before="3"/>
              <w:ind w:left="222"/>
              <w:rPr>
                <w:sz w:val="20"/>
              </w:rPr>
            </w:pPr>
            <w:r>
              <w:rPr>
                <w:sz w:val="20"/>
              </w:rPr>
              <w:t>Operating income</w:t>
            </w:r>
          </w:p>
        </w:tc>
        <w:tc>
          <w:tcPr>
            <w:tcW w:w="2285" w:type="dxa"/>
          </w:tcPr>
          <w:p>
            <w:pPr>
              <w:pStyle w:val="TableParagraph"/>
              <w:spacing w:before="32"/>
              <w:ind w:left="1279"/>
              <w:rPr>
                <w:sz w:val="20"/>
              </w:rPr>
            </w:pPr>
            <w:r>
              <w:rPr>
                <w:sz w:val="20"/>
              </w:rPr>
              <w:t>316,709</w:t>
            </w:r>
          </w:p>
        </w:tc>
        <w:tc>
          <w:tcPr>
            <w:tcW w:w="1450" w:type="dxa"/>
          </w:tcPr>
          <w:p>
            <w:pPr>
              <w:pStyle w:val="TableParagraph"/>
              <w:spacing w:before="32"/>
              <w:ind w:left="82" w:right="7"/>
              <w:jc w:val="center"/>
              <w:rPr>
                <w:sz w:val="20"/>
              </w:rPr>
            </w:pPr>
            <w:r>
              <w:rPr>
                <w:sz w:val="20"/>
              </w:rPr>
              <w:t>291,973</w:t>
            </w:r>
          </w:p>
        </w:tc>
        <w:tc>
          <w:tcPr>
            <w:tcW w:w="1391" w:type="dxa"/>
          </w:tcPr>
          <w:p>
            <w:pPr>
              <w:pStyle w:val="TableParagraph"/>
              <w:spacing w:before="32"/>
              <w:ind w:left="444"/>
              <w:rPr>
                <w:sz w:val="20"/>
              </w:rPr>
            </w:pPr>
            <w:r>
              <w:rPr>
                <w:sz w:val="20"/>
              </w:rPr>
              <w:t>193,804</w:t>
            </w:r>
          </w:p>
        </w:tc>
      </w:tr>
    </w:tbl>
    <w:p>
      <w:pPr>
        <w:spacing w:before="191" w:after="8"/>
        <w:ind w:left="164" w:right="0" w:firstLine="0"/>
        <w:jc w:val="left"/>
        <w:rPr>
          <w:rFonts w:ascii="Arial"/>
          <w:b/>
          <w:sz w:val="20"/>
        </w:rPr>
      </w:pPr>
      <w:r>
        <w:rPr>
          <w:rFonts w:ascii="Arial"/>
          <w:b/>
          <w:sz w:val="20"/>
        </w:rPr>
        <w:t>Other expenses (income):</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85"/>
        <w:gridCol w:w="1635"/>
        <w:gridCol w:w="1450"/>
        <w:gridCol w:w="1390"/>
      </w:tblGrid>
      <w:tr>
        <w:trPr>
          <w:trHeight w:val="256" w:hRule="exact"/>
        </w:trPr>
        <w:tc>
          <w:tcPr>
            <w:tcW w:w="4785" w:type="dxa"/>
          </w:tcPr>
          <w:p>
            <w:pPr>
              <w:pStyle w:val="TableParagraph"/>
              <w:spacing w:line="223" w:lineRule="exact" w:before="0"/>
              <w:ind w:left="50"/>
              <w:rPr>
                <w:sz w:val="20"/>
              </w:rPr>
            </w:pPr>
            <w:r>
              <w:rPr>
                <w:sz w:val="20"/>
              </w:rPr>
              <w:t>Interest expense</w:t>
            </w:r>
          </w:p>
        </w:tc>
        <w:tc>
          <w:tcPr>
            <w:tcW w:w="1635" w:type="dxa"/>
          </w:tcPr>
          <w:p>
            <w:pPr>
              <w:pStyle w:val="TableParagraph"/>
              <w:spacing w:before="21"/>
              <w:ind w:left="731"/>
              <w:rPr>
                <w:sz w:val="20"/>
              </w:rPr>
            </w:pPr>
            <w:r>
              <w:rPr>
                <w:sz w:val="20"/>
              </w:rPr>
              <w:t>53,368</w:t>
            </w:r>
          </w:p>
        </w:tc>
        <w:tc>
          <w:tcPr>
            <w:tcW w:w="1450" w:type="dxa"/>
          </w:tcPr>
          <w:p>
            <w:pPr>
              <w:pStyle w:val="TableParagraph"/>
              <w:spacing w:before="21"/>
              <w:ind w:left="536"/>
              <w:rPr>
                <w:sz w:val="20"/>
              </w:rPr>
            </w:pPr>
            <w:r>
              <w:rPr>
                <w:sz w:val="20"/>
              </w:rPr>
              <w:t>58,460</w:t>
            </w:r>
          </w:p>
        </w:tc>
        <w:tc>
          <w:tcPr>
            <w:tcW w:w="1390" w:type="dxa"/>
          </w:tcPr>
          <w:p>
            <w:pPr>
              <w:pStyle w:val="TableParagraph"/>
              <w:spacing w:before="21"/>
              <w:ind w:left="546"/>
              <w:rPr>
                <w:sz w:val="20"/>
              </w:rPr>
            </w:pPr>
            <w:r>
              <w:rPr>
                <w:sz w:val="20"/>
              </w:rPr>
              <w:t>59,084</w:t>
            </w:r>
          </w:p>
        </w:tc>
      </w:tr>
      <w:tr>
        <w:trPr>
          <w:trHeight w:val="259" w:hRule="exact"/>
        </w:trPr>
        <w:tc>
          <w:tcPr>
            <w:tcW w:w="4785" w:type="dxa"/>
          </w:tcPr>
          <w:p>
            <w:pPr>
              <w:pStyle w:val="TableParagraph"/>
              <w:spacing w:line="226" w:lineRule="exact" w:before="0"/>
              <w:ind w:left="50"/>
              <w:rPr>
                <w:sz w:val="20"/>
              </w:rPr>
            </w:pPr>
            <w:r>
              <w:rPr>
                <w:sz w:val="20"/>
              </w:rPr>
              <w:t>Capitalized interest</w:t>
            </w:r>
          </w:p>
        </w:tc>
        <w:tc>
          <w:tcPr>
            <w:tcW w:w="1635" w:type="dxa"/>
          </w:tcPr>
          <w:p>
            <w:pPr>
              <w:pStyle w:val="TableParagraph"/>
              <w:spacing w:before="25"/>
              <w:ind w:left="664"/>
              <w:rPr>
                <w:sz w:val="20"/>
              </w:rPr>
            </w:pPr>
            <w:r>
              <w:rPr>
                <w:sz w:val="20"/>
              </w:rPr>
              <w:t>(26,323)</w:t>
            </w:r>
          </w:p>
        </w:tc>
        <w:tc>
          <w:tcPr>
            <w:tcW w:w="1450" w:type="dxa"/>
          </w:tcPr>
          <w:p>
            <w:pPr>
              <w:pStyle w:val="TableParagraph"/>
              <w:spacing w:before="25"/>
              <w:ind w:left="469"/>
              <w:rPr>
                <w:sz w:val="20"/>
              </w:rPr>
            </w:pPr>
            <w:r>
              <w:rPr>
                <w:sz w:val="20"/>
              </w:rPr>
              <w:t>(17,770)</w:t>
            </w:r>
          </w:p>
        </w:tc>
        <w:tc>
          <w:tcPr>
            <w:tcW w:w="1390" w:type="dxa"/>
          </w:tcPr>
          <w:p>
            <w:pPr>
              <w:pStyle w:val="TableParagraph"/>
              <w:spacing w:before="25"/>
              <w:ind w:left="478"/>
              <w:rPr>
                <w:sz w:val="20"/>
              </w:rPr>
            </w:pPr>
            <w:r>
              <w:rPr>
                <w:sz w:val="20"/>
              </w:rPr>
              <w:t>(15,350)</w:t>
            </w:r>
          </w:p>
        </w:tc>
      </w:tr>
      <w:tr>
        <w:trPr>
          <w:trHeight w:val="259" w:hRule="exact"/>
        </w:trPr>
        <w:tc>
          <w:tcPr>
            <w:tcW w:w="4785" w:type="dxa"/>
          </w:tcPr>
          <w:p>
            <w:pPr>
              <w:pStyle w:val="TableParagraph"/>
              <w:spacing w:line="226" w:lineRule="exact" w:before="0"/>
              <w:ind w:left="50"/>
              <w:rPr>
                <w:sz w:val="20"/>
              </w:rPr>
            </w:pPr>
            <w:r>
              <w:rPr>
                <w:sz w:val="20"/>
              </w:rPr>
              <w:t>Interest income</w:t>
            </w:r>
          </w:p>
        </w:tc>
        <w:tc>
          <w:tcPr>
            <w:tcW w:w="1635" w:type="dxa"/>
          </w:tcPr>
          <w:p>
            <w:pPr>
              <w:pStyle w:val="TableParagraph"/>
              <w:spacing w:before="25"/>
              <w:ind w:left="765"/>
              <w:rPr>
                <w:sz w:val="20"/>
              </w:rPr>
            </w:pPr>
            <w:r>
              <w:rPr>
                <w:sz w:val="20"/>
              </w:rPr>
              <w:t>(9,166)</w:t>
            </w:r>
          </w:p>
        </w:tc>
        <w:tc>
          <w:tcPr>
            <w:tcW w:w="1450" w:type="dxa"/>
          </w:tcPr>
          <w:p>
            <w:pPr>
              <w:pStyle w:val="TableParagraph"/>
              <w:spacing w:before="25"/>
              <w:ind w:left="469"/>
              <w:rPr>
                <w:sz w:val="20"/>
              </w:rPr>
            </w:pPr>
            <w:r>
              <w:rPr>
                <w:sz w:val="20"/>
              </w:rPr>
              <w:t>(11,093)</w:t>
            </w:r>
          </w:p>
        </w:tc>
        <w:tc>
          <w:tcPr>
            <w:tcW w:w="1390" w:type="dxa"/>
          </w:tcPr>
          <w:p>
            <w:pPr>
              <w:pStyle w:val="TableParagraph"/>
              <w:spacing w:before="25"/>
              <w:ind w:left="478"/>
              <w:rPr>
                <w:sz w:val="20"/>
              </w:rPr>
            </w:pPr>
            <w:r>
              <w:rPr>
                <w:sz w:val="20"/>
              </w:rPr>
              <w:t>(10,672)</w:t>
            </w:r>
          </w:p>
        </w:tc>
      </w:tr>
      <w:tr>
        <w:trPr>
          <w:trHeight w:val="259" w:hRule="exact"/>
        </w:trPr>
        <w:tc>
          <w:tcPr>
            <w:tcW w:w="4785" w:type="dxa"/>
          </w:tcPr>
          <w:p>
            <w:pPr>
              <w:pStyle w:val="TableParagraph"/>
              <w:spacing w:line="226" w:lineRule="exact" w:before="0"/>
              <w:ind w:left="50"/>
              <w:rPr>
                <w:sz w:val="20"/>
              </w:rPr>
            </w:pPr>
            <w:r>
              <w:rPr>
                <w:sz w:val="20"/>
              </w:rPr>
              <w:t>Nonoperating (gains) losses, net</w:t>
            </w:r>
          </w:p>
        </w:tc>
        <w:tc>
          <w:tcPr>
            <w:tcW w:w="1635" w:type="dxa"/>
          </w:tcPr>
          <w:p>
            <w:pPr>
              <w:pStyle w:val="TableParagraph"/>
              <w:spacing w:before="25"/>
              <w:ind w:left="919"/>
              <w:rPr>
                <w:sz w:val="20"/>
              </w:rPr>
            </w:pPr>
            <w:r>
              <w:rPr>
                <w:sz w:val="20"/>
              </w:rPr>
              <w:t>(693)</w:t>
            </w:r>
          </w:p>
        </w:tc>
        <w:tc>
          <w:tcPr>
            <w:tcW w:w="1450" w:type="dxa"/>
          </w:tcPr>
          <w:p>
            <w:pPr>
              <w:pStyle w:val="TableParagraph"/>
              <w:spacing w:before="25"/>
              <w:ind w:left="637"/>
              <w:rPr>
                <w:sz w:val="20"/>
              </w:rPr>
            </w:pPr>
            <w:r>
              <w:rPr>
                <w:sz w:val="20"/>
              </w:rPr>
              <w:t>2,739</w:t>
            </w:r>
          </w:p>
        </w:tc>
        <w:tc>
          <w:tcPr>
            <w:tcW w:w="1390" w:type="dxa"/>
          </w:tcPr>
          <w:p>
            <w:pPr>
              <w:pStyle w:val="TableParagraph"/>
              <w:spacing w:before="25"/>
              <w:ind w:left="646"/>
              <w:rPr>
                <w:sz w:val="20"/>
              </w:rPr>
            </w:pPr>
            <w:r>
              <w:rPr>
                <w:sz w:val="20"/>
              </w:rPr>
              <w:t>3,299</w:t>
            </w:r>
          </w:p>
        </w:tc>
      </w:tr>
      <w:tr>
        <w:trPr>
          <w:trHeight w:val="266" w:hRule="exact"/>
        </w:trPr>
        <w:tc>
          <w:tcPr>
            <w:tcW w:w="4785" w:type="dxa"/>
          </w:tcPr>
          <w:p>
            <w:pPr>
              <w:pStyle w:val="TableParagraph"/>
              <w:spacing w:line="226" w:lineRule="exact" w:before="0"/>
              <w:ind w:left="222"/>
              <w:rPr>
                <w:sz w:val="20"/>
              </w:rPr>
            </w:pPr>
            <w:r>
              <w:rPr>
                <w:sz w:val="20"/>
              </w:rPr>
              <w:t>Total other expenses</w:t>
            </w:r>
          </w:p>
        </w:tc>
        <w:tc>
          <w:tcPr>
            <w:tcW w:w="1635" w:type="dxa"/>
          </w:tcPr>
          <w:p>
            <w:pPr>
              <w:pStyle w:val="TableParagraph"/>
              <w:tabs>
                <w:tab w:pos="444" w:val="left" w:leader="none"/>
                <w:tab w:pos="1259" w:val="left" w:leader="none"/>
              </w:tabs>
              <w:spacing w:before="25"/>
              <w:ind w:right="88"/>
              <w:jc w:val="right"/>
              <w:rPr>
                <w:sz w:val="20"/>
              </w:rPr>
            </w:pPr>
            <w:r>
              <w:rPr>
                <w:w w:val="100"/>
                <w:sz w:val="20"/>
                <w:u w:val="single"/>
              </w:rPr>
              <w:t> </w:t>
            </w:r>
            <w:r>
              <w:rPr>
                <w:sz w:val="20"/>
                <w:u w:val="single"/>
              </w:rPr>
              <w:tab/>
              <w:t>17,186</w:t>
              <w:tab/>
            </w:r>
          </w:p>
        </w:tc>
        <w:tc>
          <w:tcPr>
            <w:tcW w:w="1450" w:type="dxa"/>
          </w:tcPr>
          <w:p>
            <w:pPr>
              <w:pStyle w:val="TableParagraph"/>
              <w:tabs>
                <w:tab w:pos="534" w:val="left" w:leader="none"/>
                <w:tab w:pos="1349" w:val="left" w:leader="none"/>
              </w:tabs>
              <w:spacing w:before="25"/>
              <w:ind w:left="90"/>
              <w:rPr>
                <w:sz w:val="20"/>
              </w:rPr>
            </w:pPr>
            <w:r>
              <w:rPr>
                <w:w w:val="100"/>
                <w:sz w:val="20"/>
                <w:u w:val="single"/>
              </w:rPr>
              <w:t> </w:t>
            </w:r>
            <w:r>
              <w:rPr>
                <w:sz w:val="20"/>
                <w:u w:val="single"/>
              </w:rPr>
              <w:tab/>
              <w:t>32,336</w:t>
              <w:tab/>
            </w:r>
          </w:p>
        </w:tc>
        <w:tc>
          <w:tcPr>
            <w:tcW w:w="1390" w:type="dxa"/>
          </w:tcPr>
          <w:p>
            <w:pPr>
              <w:pStyle w:val="TableParagraph"/>
              <w:tabs>
                <w:tab w:pos="544" w:val="left" w:leader="none"/>
                <w:tab w:pos="1340" w:val="left" w:leader="none"/>
              </w:tabs>
              <w:spacing w:before="25"/>
              <w:ind w:left="99"/>
              <w:rPr>
                <w:sz w:val="20"/>
              </w:rPr>
            </w:pPr>
            <w:r>
              <w:rPr>
                <w:w w:val="100"/>
                <w:sz w:val="20"/>
                <w:u w:val="single"/>
              </w:rPr>
              <w:t> </w:t>
            </w:r>
            <w:r>
              <w:rPr>
                <w:sz w:val="20"/>
                <w:u w:val="single"/>
              </w:rPr>
              <w:tab/>
              <w:t>36,361</w:t>
              <w:tab/>
            </w:r>
          </w:p>
        </w:tc>
      </w:tr>
      <w:tr>
        <w:trPr>
          <w:trHeight w:val="444" w:hRule="exact"/>
        </w:trPr>
        <w:tc>
          <w:tcPr>
            <w:tcW w:w="4785" w:type="dxa"/>
          </w:tcPr>
          <w:p>
            <w:pPr>
              <w:pStyle w:val="TableParagraph"/>
              <w:spacing w:line="202" w:lineRule="exact" w:before="29"/>
              <w:ind w:left="50" w:right="456"/>
              <w:rPr>
                <w:sz w:val="20"/>
              </w:rPr>
            </w:pPr>
            <w:r>
              <w:rPr>
                <w:sz w:val="20"/>
              </w:rPr>
              <w:t>Income before income taxes and cumulative effect of accounting changes</w:t>
            </w:r>
          </w:p>
        </w:tc>
        <w:tc>
          <w:tcPr>
            <w:tcW w:w="1635" w:type="dxa"/>
          </w:tcPr>
          <w:p>
            <w:pPr>
              <w:pStyle w:val="TableParagraph"/>
              <w:spacing w:before="32"/>
              <w:ind w:left="631"/>
              <w:rPr>
                <w:sz w:val="20"/>
              </w:rPr>
            </w:pPr>
            <w:r>
              <w:rPr>
                <w:sz w:val="20"/>
              </w:rPr>
              <w:t>299,523</w:t>
            </w:r>
          </w:p>
        </w:tc>
        <w:tc>
          <w:tcPr>
            <w:tcW w:w="1450" w:type="dxa"/>
          </w:tcPr>
          <w:p>
            <w:pPr>
              <w:pStyle w:val="TableParagraph"/>
              <w:spacing w:before="32"/>
              <w:ind w:left="435"/>
              <w:rPr>
                <w:sz w:val="20"/>
              </w:rPr>
            </w:pPr>
            <w:r>
              <w:rPr>
                <w:sz w:val="20"/>
              </w:rPr>
              <w:t>259,637</w:t>
            </w:r>
          </w:p>
        </w:tc>
        <w:tc>
          <w:tcPr>
            <w:tcW w:w="1390" w:type="dxa"/>
          </w:tcPr>
          <w:p>
            <w:pPr>
              <w:pStyle w:val="TableParagraph"/>
              <w:spacing w:before="32"/>
              <w:ind w:left="445"/>
              <w:rPr>
                <w:sz w:val="20"/>
              </w:rPr>
            </w:pPr>
            <w:r>
              <w:rPr>
                <w:sz w:val="20"/>
              </w:rPr>
              <w:t>157,443</w:t>
            </w:r>
          </w:p>
        </w:tc>
      </w:tr>
      <w:tr>
        <w:trPr>
          <w:trHeight w:val="271" w:hRule="exact"/>
        </w:trPr>
        <w:tc>
          <w:tcPr>
            <w:tcW w:w="4785" w:type="dxa"/>
          </w:tcPr>
          <w:p>
            <w:pPr>
              <w:pStyle w:val="TableParagraph"/>
              <w:spacing w:before="1"/>
              <w:ind w:left="50"/>
              <w:rPr>
                <w:sz w:val="20"/>
              </w:rPr>
            </w:pPr>
            <w:r>
              <w:rPr>
                <w:sz w:val="20"/>
              </w:rPr>
              <w:t>Provision for income taxes (Note 11)</w:t>
            </w:r>
          </w:p>
        </w:tc>
        <w:tc>
          <w:tcPr>
            <w:tcW w:w="1635" w:type="dxa"/>
          </w:tcPr>
          <w:p>
            <w:pPr>
              <w:pStyle w:val="TableParagraph"/>
              <w:tabs>
                <w:tab w:pos="343" w:val="left" w:leader="none"/>
                <w:tab w:pos="1259" w:val="left" w:leader="none"/>
              </w:tabs>
              <w:spacing w:before="30"/>
              <w:ind w:right="88"/>
              <w:jc w:val="right"/>
              <w:rPr>
                <w:sz w:val="20"/>
              </w:rPr>
            </w:pPr>
            <w:r>
              <w:rPr>
                <w:w w:val="100"/>
                <w:sz w:val="20"/>
                <w:u w:val="single"/>
              </w:rPr>
              <w:t> </w:t>
            </w:r>
            <w:r>
              <w:rPr>
                <w:sz w:val="20"/>
                <w:u w:val="single"/>
              </w:rPr>
              <w:tab/>
              <w:t>120,192</w:t>
              <w:tab/>
            </w:r>
          </w:p>
        </w:tc>
        <w:tc>
          <w:tcPr>
            <w:tcW w:w="1450" w:type="dxa"/>
          </w:tcPr>
          <w:p>
            <w:pPr>
              <w:pStyle w:val="TableParagraph"/>
              <w:tabs>
                <w:tab w:pos="433" w:val="left" w:leader="none"/>
                <w:tab w:pos="1349" w:val="left" w:leader="none"/>
              </w:tabs>
              <w:spacing w:before="30"/>
              <w:ind w:left="90"/>
              <w:rPr>
                <w:sz w:val="20"/>
              </w:rPr>
            </w:pPr>
            <w:r>
              <w:rPr>
                <w:w w:val="100"/>
                <w:sz w:val="20"/>
                <w:u w:val="single"/>
              </w:rPr>
              <w:t> </w:t>
            </w:r>
            <w:r>
              <w:rPr>
                <w:sz w:val="20"/>
                <w:u w:val="single"/>
              </w:rPr>
              <w:tab/>
              <w:t>105,353</w:t>
              <w:tab/>
            </w:r>
          </w:p>
        </w:tc>
        <w:tc>
          <w:tcPr>
            <w:tcW w:w="1390" w:type="dxa"/>
          </w:tcPr>
          <w:p>
            <w:pPr>
              <w:pStyle w:val="TableParagraph"/>
              <w:tabs>
                <w:tab w:pos="544" w:val="left" w:leader="none"/>
                <w:tab w:pos="1340" w:val="left" w:leader="none"/>
              </w:tabs>
              <w:spacing w:before="30"/>
              <w:ind w:left="99"/>
              <w:rPr>
                <w:sz w:val="20"/>
              </w:rPr>
            </w:pPr>
            <w:r>
              <w:rPr>
                <w:w w:val="100"/>
                <w:sz w:val="20"/>
                <w:u w:val="single"/>
              </w:rPr>
              <w:t> </w:t>
            </w:r>
            <w:r>
              <w:rPr>
                <w:sz w:val="20"/>
                <w:u w:val="single"/>
              </w:rPr>
              <w:tab/>
              <w:t>55,816</w:t>
              <w:tab/>
            </w:r>
          </w:p>
        </w:tc>
      </w:tr>
      <w:tr>
        <w:trPr>
          <w:trHeight w:val="266" w:hRule="exact"/>
        </w:trPr>
        <w:tc>
          <w:tcPr>
            <w:tcW w:w="4785" w:type="dxa"/>
          </w:tcPr>
          <w:p>
            <w:pPr>
              <w:pStyle w:val="TableParagraph"/>
              <w:spacing w:before="3"/>
              <w:ind w:left="50"/>
              <w:rPr>
                <w:sz w:val="20"/>
              </w:rPr>
            </w:pPr>
            <w:r>
              <w:rPr>
                <w:sz w:val="20"/>
              </w:rPr>
              <w:t>Income before cumulative effect of accounting changes</w:t>
            </w:r>
          </w:p>
        </w:tc>
        <w:tc>
          <w:tcPr>
            <w:tcW w:w="1635" w:type="dxa"/>
          </w:tcPr>
          <w:p>
            <w:pPr>
              <w:pStyle w:val="TableParagraph"/>
              <w:spacing w:before="32"/>
              <w:ind w:left="631"/>
              <w:rPr>
                <w:sz w:val="20"/>
              </w:rPr>
            </w:pPr>
            <w:r>
              <w:rPr>
                <w:sz w:val="20"/>
              </w:rPr>
              <w:t>179,331</w:t>
            </w:r>
          </w:p>
        </w:tc>
        <w:tc>
          <w:tcPr>
            <w:tcW w:w="1450" w:type="dxa"/>
          </w:tcPr>
          <w:p>
            <w:pPr>
              <w:pStyle w:val="TableParagraph"/>
              <w:spacing w:before="32"/>
              <w:ind w:left="435"/>
              <w:rPr>
                <w:sz w:val="20"/>
              </w:rPr>
            </w:pPr>
            <w:r>
              <w:rPr>
                <w:sz w:val="20"/>
              </w:rPr>
              <w:t>154,284</w:t>
            </w:r>
          </w:p>
        </w:tc>
        <w:tc>
          <w:tcPr>
            <w:tcW w:w="1390" w:type="dxa"/>
          </w:tcPr>
          <w:p>
            <w:pPr>
              <w:pStyle w:val="TableParagraph"/>
              <w:spacing w:before="32"/>
              <w:ind w:left="445"/>
              <w:rPr>
                <w:sz w:val="20"/>
              </w:rPr>
            </w:pPr>
            <w:r>
              <w:rPr>
                <w:sz w:val="20"/>
              </w:rPr>
              <w:t>101,627</w:t>
            </w:r>
          </w:p>
        </w:tc>
      </w:tr>
      <w:tr>
        <w:trPr>
          <w:trHeight w:val="266" w:hRule="exact"/>
        </w:trPr>
        <w:tc>
          <w:tcPr>
            <w:tcW w:w="4785" w:type="dxa"/>
          </w:tcPr>
          <w:p>
            <w:pPr>
              <w:pStyle w:val="TableParagraph"/>
              <w:spacing w:line="226" w:lineRule="exact" w:before="0"/>
              <w:ind w:left="50"/>
              <w:rPr>
                <w:sz w:val="20"/>
              </w:rPr>
            </w:pPr>
            <w:r>
              <w:rPr>
                <w:sz w:val="20"/>
              </w:rPr>
              <w:t>Cumulative effect of accounting changes (Note 3)</w:t>
            </w:r>
          </w:p>
        </w:tc>
        <w:tc>
          <w:tcPr>
            <w:tcW w:w="1635" w:type="dxa"/>
          </w:tcPr>
          <w:p>
            <w:pPr>
              <w:pStyle w:val="TableParagraph"/>
              <w:tabs>
                <w:tab w:pos="933" w:val="left" w:leader="none"/>
                <w:tab w:pos="1257" w:val="left" w:leader="none"/>
              </w:tabs>
              <w:spacing w:before="25"/>
              <w:ind w:right="90"/>
              <w:jc w:val="right"/>
              <w:rPr>
                <w:sz w:val="20"/>
              </w:rPr>
            </w:pPr>
            <w:r>
              <w:rPr>
                <w:w w:val="100"/>
                <w:sz w:val="20"/>
                <w:u w:val="single"/>
              </w:rPr>
              <w:t> </w:t>
            </w:r>
            <w:r>
              <w:rPr>
                <w:sz w:val="20"/>
                <w:u w:val="single"/>
              </w:rPr>
              <w:tab/>
            </w:r>
            <w:r>
              <w:rPr>
                <w:spacing w:val="-1"/>
                <w:sz w:val="20"/>
                <w:u w:val="single"/>
              </w:rPr>
              <w:t>-</w:t>
              <w:tab/>
            </w:r>
          </w:p>
        </w:tc>
        <w:tc>
          <w:tcPr>
            <w:tcW w:w="1450" w:type="dxa"/>
          </w:tcPr>
          <w:p>
            <w:pPr>
              <w:pStyle w:val="TableParagraph"/>
              <w:tabs>
                <w:tab w:pos="534" w:val="left" w:leader="none"/>
                <w:tab w:pos="1349" w:val="left" w:leader="none"/>
              </w:tabs>
              <w:spacing w:before="25"/>
              <w:ind w:left="90"/>
              <w:rPr>
                <w:sz w:val="20"/>
              </w:rPr>
            </w:pPr>
            <w:r>
              <w:rPr>
                <w:w w:val="100"/>
                <w:sz w:val="20"/>
                <w:u w:val="single"/>
              </w:rPr>
              <w:t> </w:t>
            </w:r>
            <w:r>
              <w:rPr>
                <w:sz w:val="20"/>
                <w:u w:val="single"/>
              </w:rPr>
              <w:tab/>
              <w:t>15,259</w:t>
              <w:tab/>
            </w:r>
          </w:p>
        </w:tc>
        <w:tc>
          <w:tcPr>
            <w:tcW w:w="1390" w:type="dxa"/>
          </w:tcPr>
          <w:p>
            <w:pPr>
              <w:pStyle w:val="TableParagraph"/>
              <w:tabs>
                <w:tab w:pos="544" w:val="left" w:leader="none"/>
                <w:tab w:pos="1340" w:val="left" w:leader="none"/>
              </w:tabs>
              <w:spacing w:before="25"/>
              <w:ind w:left="99"/>
              <w:rPr>
                <w:sz w:val="20"/>
              </w:rPr>
            </w:pPr>
            <w:r>
              <w:rPr>
                <w:w w:val="100"/>
                <w:sz w:val="20"/>
                <w:u w:val="single"/>
              </w:rPr>
              <w:t> </w:t>
            </w:r>
            <w:r>
              <w:rPr>
                <w:sz w:val="20"/>
                <w:u w:val="single"/>
              </w:rPr>
              <w:tab/>
              <w:t>12,538</w:t>
              <w:tab/>
            </w:r>
          </w:p>
        </w:tc>
      </w:tr>
      <w:tr>
        <w:trPr>
          <w:trHeight w:val="263" w:hRule="exact"/>
        </w:trPr>
        <w:tc>
          <w:tcPr>
            <w:tcW w:w="4785" w:type="dxa"/>
          </w:tcPr>
          <w:p>
            <w:pPr>
              <w:pStyle w:val="TableParagraph"/>
              <w:spacing w:before="3"/>
              <w:ind w:left="50"/>
              <w:rPr>
                <w:sz w:val="20"/>
              </w:rPr>
            </w:pPr>
            <w:r>
              <w:rPr>
                <w:sz w:val="20"/>
              </w:rPr>
              <w:t>Net income</w:t>
            </w:r>
          </w:p>
        </w:tc>
        <w:tc>
          <w:tcPr>
            <w:tcW w:w="1635" w:type="dxa"/>
          </w:tcPr>
          <w:p>
            <w:pPr>
              <w:pStyle w:val="TableParagraph"/>
              <w:spacing w:before="32"/>
              <w:ind w:left="530"/>
              <w:rPr>
                <w:sz w:val="20"/>
              </w:rPr>
            </w:pPr>
            <w:r>
              <w:rPr>
                <w:sz w:val="20"/>
              </w:rPr>
              <w:t>$179,331</w:t>
            </w:r>
          </w:p>
        </w:tc>
        <w:tc>
          <w:tcPr>
            <w:tcW w:w="1450" w:type="dxa"/>
          </w:tcPr>
          <w:p>
            <w:pPr>
              <w:pStyle w:val="TableParagraph"/>
              <w:spacing w:before="32"/>
              <w:ind w:left="334"/>
              <w:rPr>
                <w:sz w:val="20"/>
              </w:rPr>
            </w:pPr>
            <w:r>
              <w:rPr>
                <w:sz w:val="20"/>
              </w:rPr>
              <w:t>$169,543</w:t>
            </w:r>
          </w:p>
        </w:tc>
        <w:tc>
          <w:tcPr>
            <w:tcW w:w="1390" w:type="dxa"/>
          </w:tcPr>
          <w:p>
            <w:pPr>
              <w:pStyle w:val="TableParagraph"/>
              <w:spacing w:before="32"/>
              <w:ind w:left="344"/>
              <w:rPr>
                <w:sz w:val="20"/>
              </w:rPr>
            </w:pPr>
            <w:r>
              <w:rPr>
                <w:sz w:val="20"/>
              </w:rPr>
              <w:t>$114,165</w:t>
            </w:r>
          </w:p>
        </w:tc>
      </w:tr>
    </w:tbl>
    <w:p>
      <w:pPr>
        <w:spacing w:before="191" w:after="8"/>
        <w:ind w:left="164" w:right="0" w:firstLine="0"/>
        <w:jc w:val="left"/>
        <w:rPr>
          <w:rFonts w:ascii="Arial"/>
          <w:b/>
          <w:sz w:val="20"/>
        </w:rPr>
      </w:pPr>
      <w:r>
        <w:rPr>
          <w:rFonts w:ascii="Arial"/>
          <w:b/>
          <w:sz w:val="20"/>
        </w:rPr>
        <w:t>Per share amounts (Notes 3, 8, and 12):</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85"/>
        <w:gridCol w:w="1634"/>
        <w:gridCol w:w="1450"/>
        <w:gridCol w:w="1409"/>
      </w:tblGrid>
      <w:tr>
        <w:trPr>
          <w:trHeight w:val="256" w:hRule="exact"/>
        </w:trPr>
        <w:tc>
          <w:tcPr>
            <w:tcW w:w="4785" w:type="dxa"/>
          </w:tcPr>
          <w:p>
            <w:pPr>
              <w:pStyle w:val="TableParagraph"/>
              <w:spacing w:line="223" w:lineRule="exact" w:before="0"/>
              <w:ind w:left="50"/>
              <w:rPr>
                <w:sz w:val="20"/>
              </w:rPr>
            </w:pPr>
            <w:r>
              <w:rPr>
                <w:sz w:val="20"/>
              </w:rPr>
              <w:t>Income before cumulative effect of accounting changes</w:t>
            </w:r>
          </w:p>
        </w:tc>
        <w:tc>
          <w:tcPr>
            <w:tcW w:w="1634" w:type="dxa"/>
          </w:tcPr>
          <w:p>
            <w:pPr>
              <w:pStyle w:val="TableParagraph"/>
              <w:spacing w:before="21"/>
              <w:ind w:right="91"/>
              <w:jc w:val="right"/>
              <w:rPr>
                <w:sz w:val="20"/>
              </w:rPr>
            </w:pPr>
            <w:r>
              <w:rPr>
                <w:sz w:val="20"/>
              </w:rPr>
              <w:t>$ 1.22</w:t>
            </w:r>
          </w:p>
        </w:tc>
        <w:tc>
          <w:tcPr>
            <w:tcW w:w="1450" w:type="dxa"/>
          </w:tcPr>
          <w:p>
            <w:pPr>
              <w:pStyle w:val="TableParagraph"/>
              <w:spacing w:before="21"/>
              <w:ind w:right="101"/>
              <w:jc w:val="right"/>
              <w:rPr>
                <w:sz w:val="20"/>
              </w:rPr>
            </w:pPr>
            <w:r>
              <w:rPr>
                <w:sz w:val="20"/>
              </w:rPr>
              <w:t>$ 1.05</w:t>
            </w:r>
          </w:p>
        </w:tc>
        <w:tc>
          <w:tcPr>
            <w:tcW w:w="1409" w:type="dxa"/>
          </w:tcPr>
          <w:p>
            <w:pPr>
              <w:pStyle w:val="TableParagraph"/>
              <w:spacing w:before="21"/>
              <w:ind w:right="48"/>
              <w:jc w:val="right"/>
              <w:rPr>
                <w:sz w:val="20"/>
              </w:rPr>
            </w:pPr>
            <w:r>
              <w:rPr>
                <w:sz w:val="20"/>
              </w:rPr>
              <w:t>$ .71</w:t>
            </w:r>
          </w:p>
        </w:tc>
      </w:tr>
      <w:tr>
        <w:trPr>
          <w:trHeight w:val="266" w:hRule="exact"/>
        </w:trPr>
        <w:tc>
          <w:tcPr>
            <w:tcW w:w="4785" w:type="dxa"/>
          </w:tcPr>
          <w:p>
            <w:pPr>
              <w:pStyle w:val="TableParagraph"/>
              <w:spacing w:line="226" w:lineRule="exact" w:before="0"/>
              <w:ind w:left="50"/>
              <w:rPr>
                <w:sz w:val="20"/>
              </w:rPr>
            </w:pPr>
            <w:r>
              <w:rPr>
                <w:sz w:val="20"/>
              </w:rPr>
              <w:t>Cumulative effect of accounting changes</w:t>
            </w:r>
          </w:p>
        </w:tc>
        <w:tc>
          <w:tcPr>
            <w:tcW w:w="1634" w:type="dxa"/>
          </w:tcPr>
          <w:p>
            <w:pPr>
              <w:pStyle w:val="TableParagraph"/>
              <w:tabs>
                <w:tab w:pos="933" w:val="left" w:leader="none"/>
                <w:tab w:pos="1257" w:val="left" w:leader="none"/>
              </w:tabs>
              <w:spacing w:before="25"/>
              <w:ind w:right="89"/>
              <w:jc w:val="right"/>
              <w:rPr>
                <w:sz w:val="20"/>
              </w:rPr>
            </w:pPr>
            <w:r>
              <w:rPr>
                <w:w w:val="100"/>
                <w:sz w:val="20"/>
                <w:u w:val="single"/>
              </w:rPr>
              <w:t> </w:t>
            </w:r>
            <w:r>
              <w:rPr>
                <w:sz w:val="20"/>
                <w:u w:val="single"/>
              </w:rPr>
              <w:tab/>
              <w:t>-</w:t>
              <w:tab/>
            </w:r>
          </w:p>
        </w:tc>
        <w:tc>
          <w:tcPr>
            <w:tcW w:w="1450" w:type="dxa"/>
          </w:tcPr>
          <w:p>
            <w:pPr>
              <w:pStyle w:val="TableParagraph"/>
              <w:tabs>
                <w:tab w:pos="1001" w:val="left" w:leader="none"/>
              </w:tabs>
              <w:spacing w:before="25"/>
              <w:ind w:right="98"/>
              <w:jc w:val="right"/>
              <w:rPr>
                <w:sz w:val="20"/>
              </w:rPr>
            </w:pPr>
            <w:r>
              <w:rPr>
                <w:w w:val="100"/>
                <w:sz w:val="20"/>
                <w:u w:val="single"/>
              </w:rPr>
              <w:t> </w:t>
            </w:r>
            <w:r>
              <w:rPr>
                <w:sz w:val="20"/>
                <w:u w:val="single"/>
              </w:rPr>
              <w:tab/>
              <w:t>.10</w:t>
            </w:r>
          </w:p>
        </w:tc>
        <w:tc>
          <w:tcPr>
            <w:tcW w:w="1409" w:type="dxa"/>
          </w:tcPr>
          <w:p>
            <w:pPr>
              <w:pStyle w:val="TableParagraph"/>
              <w:tabs>
                <w:tab w:pos="1001" w:val="left" w:leader="none"/>
              </w:tabs>
              <w:spacing w:before="25"/>
              <w:ind w:right="48"/>
              <w:jc w:val="right"/>
              <w:rPr>
                <w:sz w:val="20"/>
              </w:rPr>
            </w:pPr>
            <w:r>
              <w:rPr>
                <w:w w:val="100"/>
                <w:sz w:val="20"/>
                <w:u w:val="single"/>
              </w:rPr>
              <w:t> </w:t>
            </w:r>
            <w:r>
              <w:rPr>
                <w:sz w:val="20"/>
                <w:u w:val="single"/>
              </w:rPr>
              <w:tab/>
              <w:t>.09</w:t>
            </w:r>
          </w:p>
        </w:tc>
      </w:tr>
      <w:tr>
        <w:trPr>
          <w:trHeight w:val="263" w:hRule="exact"/>
        </w:trPr>
        <w:tc>
          <w:tcPr>
            <w:tcW w:w="4785" w:type="dxa"/>
          </w:tcPr>
          <w:p>
            <w:pPr>
              <w:pStyle w:val="TableParagraph"/>
              <w:spacing w:before="3"/>
              <w:ind w:left="50"/>
              <w:rPr>
                <w:sz w:val="20"/>
              </w:rPr>
            </w:pPr>
            <w:r>
              <w:rPr>
                <w:sz w:val="20"/>
              </w:rPr>
              <w:t>Net income</w:t>
            </w:r>
          </w:p>
        </w:tc>
        <w:tc>
          <w:tcPr>
            <w:tcW w:w="1634" w:type="dxa"/>
          </w:tcPr>
          <w:p>
            <w:pPr>
              <w:pStyle w:val="TableParagraph"/>
              <w:spacing w:before="32"/>
              <w:ind w:right="91"/>
              <w:jc w:val="right"/>
              <w:rPr>
                <w:sz w:val="20"/>
              </w:rPr>
            </w:pPr>
            <w:r>
              <w:rPr>
                <w:sz w:val="20"/>
              </w:rPr>
              <w:t>$ 1.22</w:t>
            </w:r>
          </w:p>
        </w:tc>
        <w:tc>
          <w:tcPr>
            <w:tcW w:w="1450" w:type="dxa"/>
          </w:tcPr>
          <w:p>
            <w:pPr>
              <w:pStyle w:val="TableParagraph"/>
              <w:spacing w:before="32"/>
              <w:ind w:right="101"/>
              <w:jc w:val="right"/>
              <w:rPr>
                <w:sz w:val="20"/>
              </w:rPr>
            </w:pPr>
            <w:r>
              <w:rPr>
                <w:sz w:val="20"/>
              </w:rPr>
              <w:t>$ 1.15</w:t>
            </w:r>
          </w:p>
        </w:tc>
        <w:tc>
          <w:tcPr>
            <w:tcW w:w="1409" w:type="dxa"/>
          </w:tcPr>
          <w:p>
            <w:pPr>
              <w:pStyle w:val="TableParagraph"/>
              <w:spacing w:before="32"/>
              <w:ind w:right="48"/>
              <w:jc w:val="right"/>
              <w:rPr>
                <w:sz w:val="20"/>
              </w:rPr>
            </w:pPr>
            <w:r>
              <w:rPr>
                <w:sz w:val="20"/>
              </w:rPr>
              <w:t>$ .80</w:t>
            </w:r>
          </w:p>
        </w:tc>
      </w:tr>
    </w:tbl>
    <w:p>
      <w:pPr>
        <w:spacing w:after="0"/>
        <w:jc w:val="right"/>
        <w:rPr>
          <w:sz w:val="20"/>
        </w:rPr>
        <w:sectPr>
          <w:headerReference w:type="default" r:id="rId26"/>
          <w:pgSz w:w="12240" w:h="15840"/>
          <w:pgMar w:header="725" w:footer="746" w:top="2020" w:bottom="940" w:left="1640" w:right="900"/>
        </w:sectPr>
      </w:pPr>
    </w:p>
    <w:p>
      <w:pPr>
        <w:pStyle w:val="BodyText"/>
        <w:rPr>
          <w:rFonts w:ascii="Arial"/>
          <w:b/>
        </w:rPr>
      </w:pPr>
    </w:p>
    <w:p>
      <w:pPr>
        <w:pStyle w:val="BodyText"/>
        <w:spacing w:before="3"/>
        <w:rPr>
          <w:rFonts w:ascii="Arial"/>
          <w:b/>
          <w:sz w:val="19"/>
        </w:rPr>
      </w:pPr>
    </w:p>
    <w:p>
      <w:pPr>
        <w:pStyle w:val="Heading2"/>
        <w:spacing w:before="95"/>
        <w:ind w:left="160"/>
      </w:pPr>
      <w:r>
        <w:rPr/>
        <w:t>Years Ended December 31, 1994, 1993, And 1992 (in thousands except per share amounts)</w:t>
      </w:r>
    </w:p>
    <w:p>
      <w:pPr>
        <w:spacing w:after="0"/>
        <w:sectPr>
          <w:headerReference w:type="default" r:id="rId27"/>
          <w:pgSz w:w="12240" w:h="15840"/>
          <w:pgMar w:header="725" w:footer="746" w:top="2020" w:bottom="940" w:left="1640" w:right="920"/>
        </w:sectPr>
      </w:pPr>
    </w:p>
    <w:p>
      <w:pPr>
        <w:tabs>
          <w:tab w:pos="5411" w:val="left" w:leader="none"/>
        </w:tabs>
        <w:spacing w:before="90"/>
        <w:ind w:left="4129" w:right="0" w:firstLine="0"/>
        <w:jc w:val="left"/>
        <w:rPr>
          <w:rFonts w:ascii="Arial"/>
          <w:sz w:val="16"/>
        </w:rPr>
      </w:pPr>
      <w:r>
        <w:rPr>
          <w:rFonts w:ascii="Arial"/>
          <w:sz w:val="16"/>
        </w:rPr>
        <w:t>Common</w:t>
      </w:r>
      <w:r>
        <w:rPr>
          <w:rFonts w:ascii="Arial"/>
          <w:spacing w:val="-11"/>
          <w:sz w:val="16"/>
        </w:rPr>
        <w:t> </w:t>
      </w:r>
      <w:r>
        <w:rPr>
          <w:rFonts w:ascii="Arial"/>
          <w:spacing w:val="-3"/>
          <w:sz w:val="16"/>
        </w:rPr>
        <w:t>Stock</w:t>
        <w:tab/>
        <w:t>Capital</w:t>
      </w:r>
      <w:r>
        <w:rPr>
          <w:rFonts w:ascii="Arial"/>
          <w:spacing w:val="-7"/>
          <w:sz w:val="16"/>
        </w:rPr>
        <w:t> </w:t>
      </w:r>
      <w:r>
        <w:rPr>
          <w:rFonts w:ascii="Arial"/>
          <w:sz w:val="16"/>
        </w:rPr>
        <w:t>In</w:t>
      </w:r>
    </w:p>
    <w:p>
      <w:pPr>
        <w:spacing w:line="244" w:lineRule="auto" w:before="3"/>
        <w:ind w:left="5540" w:right="-14" w:hanging="284"/>
        <w:jc w:val="left"/>
        <w:rPr>
          <w:rFonts w:ascii="Arial"/>
          <w:sz w:val="16"/>
        </w:rPr>
      </w:pPr>
      <w:r>
        <w:rPr>
          <w:rFonts w:ascii="Arial"/>
          <w:spacing w:val="-3"/>
          <w:sz w:val="16"/>
        </w:rPr>
        <w:t>Excess </w:t>
      </w:r>
      <w:r>
        <w:rPr>
          <w:rFonts w:ascii="Arial"/>
          <w:sz w:val="16"/>
        </w:rPr>
        <w:t>of</w:t>
      </w:r>
      <w:r>
        <w:rPr>
          <w:rFonts w:ascii="Arial"/>
          <w:spacing w:val="-12"/>
          <w:sz w:val="16"/>
        </w:rPr>
        <w:t> </w:t>
      </w:r>
      <w:r>
        <w:rPr>
          <w:rFonts w:ascii="Arial"/>
          <w:sz w:val="16"/>
        </w:rPr>
        <w:t>Par Value</w:t>
      </w:r>
    </w:p>
    <w:p>
      <w:pPr>
        <w:spacing w:line="244" w:lineRule="auto" w:before="90"/>
        <w:ind w:left="253" w:right="-7" w:firstLine="0"/>
        <w:jc w:val="left"/>
        <w:rPr>
          <w:rFonts w:ascii="Arial"/>
          <w:sz w:val="16"/>
        </w:rPr>
      </w:pPr>
      <w:r>
        <w:rPr/>
        <w:br w:type="column"/>
      </w:r>
      <w:r>
        <w:rPr>
          <w:rFonts w:ascii="Arial"/>
          <w:spacing w:val="-4"/>
          <w:sz w:val="16"/>
        </w:rPr>
        <w:t>Retained </w:t>
      </w:r>
      <w:r>
        <w:rPr>
          <w:rFonts w:ascii="Arial"/>
          <w:spacing w:val="-1"/>
          <w:w w:val="95"/>
          <w:sz w:val="16"/>
        </w:rPr>
        <w:t>Earnings</w:t>
      </w:r>
    </w:p>
    <w:p>
      <w:pPr>
        <w:tabs>
          <w:tab w:pos="1633" w:val="left" w:leader="none"/>
        </w:tabs>
        <w:spacing w:before="90"/>
        <w:ind w:left="202" w:right="0" w:firstLine="0"/>
        <w:jc w:val="left"/>
        <w:rPr>
          <w:rFonts w:ascii="Arial"/>
          <w:sz w:val="16"/>
        </w:rPr>
      </w:pPr>
      <w:r>
        <w:rPr/>
        <w:br w:type="column"/>
      </w:r>
      <w:r>
        <w:rPr>
          <w:rFonts w:ascii="Arial"/>
          <w:spacing w:val="-3"/>
          <w:sz w:val="16"/>
        </w:rPr>
        <w:t>Treasury</w:t>
      </w:r>
      <w:r>
        <w:rPr>
          <w:rFonts w:ascii="Arial"/>
          <w:spacing w:val="-6"/>
          <w:sz w:val="16"/>
        </w:rPr>
        <w:t> </w:t>
      </w:r>
      <w:r>
        <w:rPr>
          <w:rFonts w:ascii="Arial"/>
          <w:sz w:val="16"/>
        </w:rPr>
        <w:t>Stock</w:t>
        <w:tab/>
      </w:r>
      <w:r>
        <w:rPr>
          <w:rFonts w:ascii="Arial"/>
          <w:spacing w:val="-3"/>
          <w:sz w:val="16"/>
        </w:rPr>
        <w:t>Total</w:t>
      </w:r>
    </w:p>
    <w:p>
      <w:pPr>
        <w:spacing w:after="0"/>
        <w:jc w:val="left"/>
        <w:rPr>
          <w:rFonts w:ascii="Arial"/>
          <w:sz w:val="16"/>
        </w:rPr>
        <w:sectPr>
          <w:type w:val="continuous"/>
          <w:pgSz w:w="12240" w:h="15840"/>
          <w:pgMar w:top="1420" w:bottom="280" w:left="1640" w:right="920"/>
          <w:cols w:num="3" w:equalWidth="0">
            <w:col w:w="6217" w:space="40"/>
            <w:col w:w="875" w:space="40"/>
            <w:col w:w="2508"/>
          </w:cols>
        </w:sectPr>
      </w:pPr>
    </w:p>
    <w:p>
      <w:pPr>
        <w:pStyle w:val="BodyText"/>
        <w:tabs>
          <w:tab w:pos="4369" w:val="left" w:leader="none"/>
          <w:tab w:pos="5449" w:val="left" w:leader="none"/>
          <w:tab w:pos="6428" w:val="left" w:leader="none"/>
          <w:tab w:pos="7643" w:val="left" w:leader="none"/>
          <w:tab w:pos="8588" w:val="left" w:leader="none"/>
        </w:tabs>
        <w:spacing w:before="29"/>
        <w:ind w:left="352"/>
      </w:pPr>
      <w:r>
        <w:rPr>
          <w:position w:val="3"/>
        </w:rPr>
        <w:t>Balance at December</w:t>
      </w:r>
      <w:r>
        <w:rPr>
          <w:spacing w:val="7"/>
          <w:position w:val="3"/>
        </w:rPr>
        <w:t> </w:t>
      </w:r>
      <w:r>
        <w:rPr>
          <w:position w:val="3"/>
        </w:rPr>
        <w:t>31,</w:t>
      </w:r>
      <w:r>
        <w:rPr>
          <w:spacing w:val="2"/>
          <w:position w:val="3"/>
        </w:rPr>
        <w:t> </w:t>
      </w:r>
      <w:r>
        <w:rPr>
          <w:position w:val="3"/>
        </w:rPr>
        <w:t>1991</w:t>
        <w:tab/>
      </w:r>
      <w:r>
        <w:rPr/>
        <w:t>$45,265</w:t>
        <w:tab/>
        <w:t>$79,240</w:t>
        <w:tab/>
        <w:t>$515,885</w:t>
        <w:tab/>
        <w:t>$(4,597)</w:t>
        <w:tab/>
        <w:t>$635,793</w:t>
      </w:r>
    </w:p>
    <w:p>
      <w:pPr>
        <w:spacing w:after="0"/>
        <w:sectPr>
          <w:type w:val="continuous"/>
          <w:pgSz w:w="12240" w:h="15840"/>
          <w:pgMar w:top="1420" w:bottom="280" w:left="1640" w:right="920"/>
        </w:sectPr>
      </w:pPr>
    </w:p>
    <w:p>
      <w:pPr>
        <w:pStyle w:val="BodyText"/>
        <w:spacing w:line="202" w:lineRule="exact" w:before="25"/>
        <w:ind w:left="524" w:right="-7"/>
      </w:pPr>
      <w:r>
        <w:rPr/>
        <w:t>Public common stock </w:t>
      </w:r>
      <w:r>
        <w:rPr>
          <w:spacing w:val="3"/>
        </w:rPr>
        <w:t>offering</w:t>
      </w:r>
      <w:r>
        <w:rPr>
          <w:spacing w:val="-42"/>
        </w:rPr>
        <w:t> </w:t>
      </w:r>
      <w:r>
        <w:rPr/>
        <w:t>(Note 8)</w:t>
      </w:r>
    </w:p>
    <w:p>
      <w:pPr>
        <w:pStyle w:val="BodyText"/>
        <w:tabs>
          <w:tab w:pos="1503" w:val="left" w:leader="none"/>
          <w:tab w:pos="3073" w:val="left" w:leader="none"/>
          <w:tab w:pos="3764" w:val="left" w:leader="none"/>
          <w:tab w:pos="4743" w:val="left" w:leader="none"/>
        </w:tabs>
        <w:spacing w:before="29"/>
        <w:ind w:left="524"/>
      </w:pPr>
      <w:r>
        <w:rPr/>
        <w:br w:type="column"/>
      </w:r>
      <w:r>
        <w:rPr/>
        <w:t>2,328</w:t>
        <w:tab/>
        <w:t>82,094</w:t>
        <w:tab/>
        <w:t>-</w:t>
        <w:tab/>
        <w:t>2,524</w:t>
        <w:tab/>
        <w:t>86,946</w:t>
      </w:r>
    </w:p>
    <w:p>
      <w:pPr>
        <w:spacing w:after="0"/>
        <w:sectPr>
          <w:type w:val="continuous"/>
          <w:pgSz w:w="12240" w:h="15840"/>
          <w:pgMar w:top="1420" w:bottom="280" w:left="1640" w:right="920"/>
          <w:cols w:num="2" w:equalWidth="0">
            <w:col w:w="3452" w:space="595"/>
            <w:col w:w="5633"/>
          </w:cols>
        </w:sectPr>
      </w:pPr>
    </w:p>
    <w:p>
      <w:pPr>
        <w:pStyle w:val="BodyText"/>
        <w:tabs>
          <w:tab w:pos="4470" w:val="left" w:leader="none"/>
          <w:tab w:pos="4571" w:val="left" w:leader="none"/>
          <w:tab w:pos="5483" w:val="left" w:leader="none"/>
          <w:tab w:pos="5550" w:val="left" w:leader="none"/>
          <w:tab w:pos="7119" w:val="left" w:leader="none"/>
          <w:tab w:pos="8199" w:val="left" w:leader="none"/>
          <w:tab w:pos="8790" w:val="left" w:leader="none"/>
          <w:tab w:pos="9279" w:val="left" w:leader="none"/>
        </w:tabs>
        <w:spacing w:before="31"/>
        <w:ind w:left="524" w:right="330"/>
      </w:pPr>
      <w:r>
        <w:rPr/>
        <w:t>Conversion of debentures</w:t>
      </w:r>
      <w:r>
        <w:rPr>
          <w:spacing w:val="1"/>
        </w:rPr>
        <w:t> </w:t>
      </w:r>
      <w:r>
        <w:rPr/>
        <w:t>(Note</w:t>
      </w:r>
      <w:r>
        <w:rPr>
          <w:spacing w:val="1"/>
        </w:rPr>
        <w:t> </w:t>
      </w:r>
      <w:r>
        <w:rPr/>
        <w:t>6)</w:t>
        <w:tab/>
        <w:tab/>
      </w:r>
      <w:r>
        <w:rPr>
          <w:position w:val="-2"/>
        </w:rPr>
        <w:t>1,371</w:t>
        <w:tab/>
        <w:tab/>
        <w:t>34,678</w:t>
        <w:tab/>
        <w:t>-</w:t>
        <w:tab/>
        <w:t>-</w:t>
        <w:tab/>
        <w:t>36,049 </w:t>
      </w:r>
      <w:r>
        <w:rPr/>
        <w:t>Two-for-one stock split</w:t>
      </w:r>
      <w:r>
        <w:rPr>
          <w:spacing w:val="-4"/>
        </w:rPr>
        <w:t> </w:t>
      </w:r>
      <w:r>
        <w:rPr/>
        <w:t>(Note</w:t>
      </w:r>
      <w:r>
        <w:rPr>
          <w:spacing w:val="1"/>
        </w:rPr>
        <w:t> </w:t>
      </w:r>
      <w:r>
        <w:rPr/>
        <w:t>8)</w:t>
        <w:tab/>
      </w:r>
      <w:r>
        <w:rPr>
          <w:position w:val="-2"/>
        </w:rPr>
        <w:t>46,180</w:t>
        <w:tab/>
        <w:t>(46,180)</w:t>
        <w:tab/>
        <w:t>-</w:t>
        <w:tab/>
        <w:t>-</w:t>
        <w:tab/>
        <w:tab/>
        <w:t>-</w:t>
      </w:r>
    </w:p>
    <w:p>
      <w:pPr>
        <w:spacing w:after="0"/>
        <w:sectPr>
          <w:type w:val="continuous"/>
          <w:pgSz w:w="12240" w:h="15840"/>
          <w:pgMar w:top="1420" w:bottom="280" w:left="1640" w:right="920"/>
        </w:sectPr>
      </w:pPr>
    </w:p>
    <w:p>
      <w:pPr>
        <w:pStyle w:val="BodyText"/>
        <w:spacing w:line="202" w:lineRule="exact" w:before="23"/>
        <w:ind w:left="524"/>
      </w:pPr>
      <w:r>
        <w:rPr/>
        <w:t>Sale (retirement) of treasury stock, pooled company</w:t>
      </w:r>
    </w:p>
    <w:p>
      <w:pPr>
        <w:pStyle w:val="BodyText"/>
        <w:spacing w:line="202" w:lineRule="exact" w:before="56"/>
        <w:ind w:left="524"/>
      </w:pPr>
      <w:r>
        <w:rPr/>
        <w:t>Issuance of common and treasury stock upon exercise of executive stock options and pursuant to Employee stock option and purchase plans and related tax benefit (Note 9)</w:t>
      </w:r>
    </w:p>
    <w:p>
      <w:pPr>
        <w:pStyle w:val="BodyText"/>
        <w:spacing w:line="202" w:lineRule="exact" w:before="56"/>
        <w:ind w:left="524"/>
      </w:pPr>
      <w:r>
        <w:rPr/>
        <w:t>Sale of preferred stock, pooled company</w:t>
      </w:r>
    </w:p>
    <w:p>
      <w:pPr>
        <w:pStyle w:val="BodyText"/>
        <w:tabs>
          <w:tab w:pos="1859" w:val="left" w:leader="none"/>
          <w:tab w:pos="3073" w:val="left" w:leader="none"/>
          <w:tab w:pos="3764" w:val="left" w:leader="none"/>
          <w:tab w:pos="4844" w:val="left" w:leader="none"/>
        </w:tabs>
        <w:spacing w:before="27"/>
        <w:ind w:left="611"/>
      </w:pPr>
      <w:r>
        <w:rPr/>
        <w:br w:type="column"/>
      </w:r>
      <w:r>
        <w:rPr/>
        <w:t>(307)</w:t>
        <w:tab/>
        <w:t>60</w:t>
        <w:tab/>
        <w:t>-</w:t>
        <w:tab/>
        <w:t>1,434</w:t>
        <w:tab/>
        <w:t>1,187</w:t>
      </w:r>
    </w:p>
    <w:p>
      <w:pPr>
        <w:pStyle w:val="BodyText"/>
      </w:pPr>
    </w:p>
    <w:p>
      <w:pPr>
        <w:pStyle w:val="BodyText"/>
        <w:tabs>
          <w:tab w:pos="1269" w:val="left" w:leader="none"/>
          <w:tab w:pos="2738" w:val="left" w:leader="none"/>
          <w:tab w:pos="3583" w:val="left" w:leader="none"/>
          <w:tab w:pos="4509" w:val="left" w:leader="none"/>
        </w:tabs>
        <w:ind w:left="343"/>
        <w:jc w:val="center"/>
      </w:pPr>
      <w:r>
        <w:rPr/>
        <w:t>156</w:t>
        <w:tab/>
        <w:t>3,359</w:t>
        <w:tab/>
        <w:t>-</w:t>
        <w:tab/>
        <w:t>553</w:t>
        <w:tab/>
        <w:t>4,068</w:t>
      </w:r>
    </w:p>
    <w:p>
      <w:pPr>
        <w:pStyle w:val="BodyText"/>
        <w:rPr>
          <w:sz w:val="22"/>
        </w:rPr>
      </w:pPr>
    </w:p>
    <w:p>
      <w:pPr>
        <w:pStyle w:val="BodyText"/>
        <w:rPr>
          <w:sz w:val="22"/>
        </w:rPr>
      </w:pPr>
    </w:p>
    <w:p>
      <w:pPr>
        <w:pStyle w:val="BodyText"/>
        <w:spacing w:before="7"/>
        <w:rPr>
          <w:sz w:val="28"/>
        </w:rPr>
      </w:pPr>
    </w:p>
    <w:p>
      <w:pPr>
        <w:pStyle w:val="BodyText"/>
        <w:tabs>
          <w:tab w:pos="1169" w:val="left" w:leader="none"/>
          <w:tab w:pos="2738" w:val="left" w:leader="none"/>
          <w:tab w:pos="3818" w:val="left" w:leader="none"/>
          <w:tab w:pos="4409" w:val="left" w:leader="none"/>
        </w:tabs>
        <w:ind w:left="189"/>
        <w:jc w:val="center"/>
      </w:pPr>
      <w:r>
        <w:rPr/>
        <w:t>1,054</w:t>
        <w:tab/>
        <w:t>13,584</w:t>
        <w:tab/>
        <w:t>-</w:t>
        <w:tab/>
        <w:t>-</w:t>
        <w:tab/>
        <w:t>14,638</w:t>
      </w:r>
    </w:p>
    <w:p>
      <w:pPr>
        <w:spacing w:after="0"/>
        <w:jc w:val="center"/>
        <w:sectPr>
          <w:type w:val="continuous"/>
          <w:pgSz w:w="12240" w:h="15840"/>
          <w:pgMar w:top="1420" w:bottom="280" w:left="1640" w:right="920"/>
          <w:cols w:num="2" w:equalWidth="0">
            <w:col w:w="3543" w:space="503"/>
            <w:col w:w="5634"/>
          </w:cols>
        </w:sectPr>
      </w:pPr>
    </w:p>
    <w:p>
      <w:pPr>
        <w:pStyle w:val="BodyText"/>
        <w:tabs>
          <w:tab w:pos="4959" w:val="left" w:leader="none"/>
          <w:tab w:pos="6039" w:val="left" w:leader="none"/>
          <w:tab w:pos="6663" w:val="left" w:leader="none"/>
          <w:tab w:pos="8199" w:val="left" w:leader="none"/>
          <w:tab w:pos="8823" w:val="left" w:leader="none"/>
        </w:tabs>
        <w:spacing w:before="31"/>
        <w:ind w:left="524"/>
      </w:pPr>
      <w:r>
        <w:rPr/>
        <w:t>Cash dividends, $.03533</w:t>
      </w:r>
      <w:r>
        <w:rPr>
          <w:spacing w:val="16"/>
        </w:rPr>
        <w:t> </w:t>
      </w:r>
      <w:r>
        <w:rPr/>
        <w:t>per</w:t>
      </w:r>
      <w:r>
        <w:rPr>
          <w:spacing w:val="6"/>
        </w:rPr>
        <w:t> </w:t>
      </w:r>
      <w:r>
        <w:rPr/>
        <w:t>share</w:t>
        <w:tab/>
      </w:r>
      <w:r>
        <w:rPr>
          <w:position w:val="-2"/>
        </w:rPr>
        <w:t>-</w:t>
        <w:tab/>
        <w:t>-</w:t>
        <w:tab/>
        <w:t>(4,890)</w:t>
        <w:tab/>
        <w:t>-</w:t>
        <w:tab/>
        <w:t>(4,890)</w:t>
      </w:r>
    </w:p>
    <w:p>
      <w:pPr>
        <w:spacing w:after="0"/>
        <w:sectPr>
          <w:type w:val="continuous"/>
          <w:pgSz w:w="12240" w:h="15840"/>
          <w:pgMar w:top="1420" w:bottom="280" w:left="1640" w:right="920"/>
        </w:sectPr>
      </w:pPr>
    </w:p>
    <w:p>
      <w:pPr>
        <w:pStyle w:val="BodyText"/>
        <w:spacing w:line="202" w:lineRule="exact" w:before="24"/>
        <w:ind w:left="524" w:right="716"/>
      </w:pPr>
      <w:r>
        <w:rPr/>
        <w:t>Cash distributions of pooled company (Note 2)</w:t>
      </w:r>
    </w:p>
    <w:p>
      <w:pPr>
        <w:pStyle w:val="BodyText"/>
        <w:spacing w:line="202" w:lineRule="exact" w:before="57"/>
        <w:ind w:left="524"/>
      </w:pPr>
      <w:r>
        <w:rPr/>
        <w:t>Reclassification of retained earnings, pooled company (Note 2)</w:t>
      </w:r>
    </w:p>
    <w:p>
      <w:pPr>
        <w:pStyle w:val="BodyText"/>
        <w:spacing w:line="202" w:lineRule="exact" w:before="57"/>
        <w:ind w:left="524"/>
      </w:pPr>
      <w:r>
        <w:rPr/>
        <w:t>Reinstatement of deferred taxes, pooled company (Note 2)</w:t>
      </w:r>
    </w:p>
    <w:p>
      <w:pPr>
        <w:pStyle w:val="BodyText"/>
        <w:tabs>
          <w:tab w:pos="1604" w:val="left" w:leader="none"/>
          <w:tab w:pos="2228" w:val="left" w:leader="none"/>
          <w:tab w:pos="3764" w:val="left" w:leader="none"/>
          <w:tab w:pos="4388" w:val="left" w:leader="none"/>
        </w:tabs>
        <w:spacing w:before="27"/>
        <w:ind w:left="524"/>
      </w:pPr>
      <w:r>
        <w:rPr/>
        <w:br w:type="column"/>
      </w:r>
      <w:r>
        <w:rPr/>
        <w:t>-</w:t>
        <w:tab/>
        <w:t>-</w:t>
        <w:tab/>
        <w:t>(5,388)</w:t>
        <w:tab/>
        <w:t>-</w:t>
        <w:tab/>
        <w:t>(5,388)</w:t>
      </w:r>
    </w:p>
    <w:p>
      <w:pPr>
        <w:pStyle w:val="BodyText"/>
      </w:pPr>
    </w:p>
    <w:p>
      <w:pPr>
        <w:pStyle w:val="BodyText"/>
        <w:tabs>
          <w:tab w:pos="1115" w:val="left" w:leader="none"/>
          <w:tab w:pos="2127" w:val="left" w:leader="none"/>
          <w:tab w:pos="3764" w:val="left" w:leader="none"/>
          <w:tab w:pos="4844" w:val="left" w:leader="none"/>
        </w:tabs>
        <w:ind w:left="524"/>
      </w:pPr>
      <w:r>
        <w:rPr/>
        <w:t>-</w:t>
        <w:tab/>
        <w:t>13,844</w:t>
        <w:tab/>
        <w:t>(13,844)</w:t>
        <w:tab/>
        <w:t>-</w:t>
        <w:tab/>
        <w:t>-</w:t>
      </w:r>
    </w:p>
    <w:p>
      <w:pPr>
        <w:pStyle w:val="BodyText"/>
      </w:pPr>
    </w:p>
    <w:p>
      <w:pPr>
        <w:pStyle w:val="BodyText"/>
        <w:tabs>
          <w:tab w:pos="1148" w:val="left" w:leader="none"/>
          <w:tab w:pos="2684" w:val="left" w:leader="none"/>
          <w:tab w:pos="3764" w:val="left" w:leader="none"/>
          <w:tab w:pos="4388" w:val="left" w:leader="none"/>
        </w:tabs>
        <w:ind w:left="524"/>
      </w:pPr>
      <w:r>
        <w:rPr/>
        <w:t>-</w:t>
        <w:tab/>
        <w:t>(3,032)</w:t>
        <w:tab/>
        <w:t>-</w:t>
        <w:tab/>
        <w:t>-</w:t>
        <w:tab/>
        <w:t>(3,032)</w:t>
      </w:r>
    </w:p>
    <w:p>
      <w:pPr>
        <w:spacing w:after="0"/>
        <w:sectPr>
          <w:type w:val="continuous"/>
          <w:pgSz w:w="12240" w:h="15840"/>
          <w:pgMar w:top="1420" w:bottom="280" w:left="1640" w:right="920"/>
          <w:cols w:num="2" w:equalWidth="0">
            <w:col w:w="3522" w:space="913"/>
            <w:col w:w="5245"/>
          </w:cols>
        </w:sectPr>
      </w:pPr>
    </w:p>
    <w:p>
      <w:pPr>
        <w:pStyle w:val="BodyText"/>
        <w:tabs>
          <w:tab w:pos="4110" w:val="left" w:leader="none"/>
          <w:tab w:pos="4957" w:val="left" w:leader="none"/>
          <w:tab w:pos="6039" w:val="left" w:leader="none"/>
          <w:tab w:pos="6529" w:val="left" w:leader="none"/>
          <w:tab w:pos="8199" w:val="left" w:leader="none"/>
          <w:tab w:pos="8689" w:val="left" w:leader="none"/>
        </w:tabs>
        <w:spacing w:before="31"/>
        <w:ind w:left="524"/>
      </w:pPr>
      <w:r>
        <w:rPr>
          <w:position w:val="3"/>
        </w:rPr>
        <w:t>Net income</w:t>
      </w:r>
      <w:r>
        <w:rPr>
          <w:spacing w:val="9"/>
          <w:position w:val="3"/>
        </w:rPr>
        <w:t> </w:t>
      </w:r>
      <w:r>
        <w:rPr>
          <w:position w:val="3"/>
        </w:rPr>
        <w:t>-</w:t>
      </w:r>
      <w:r>
        <w:rPr>
          <w:spacing w:val="1"/>
          <w:position w:val="3"/>
        </w:rPr>
        <w:t> </w:t>
      </w:r>
      <w:r>
        <w:rPr>
          <w:position w:val="3"/>
        </w:rPr>
        <w:t>1992</w:t>
        <w:tab/>
      </w:r>
      <w:r>
        <w:rPr>
          <w:u w:val="single"/>
        </w:rPr>
        <w:t> </w:t>
        <w:tab/>
        <w:t>-</w:t>
        <w:tab/>
        <w:t>-</w:t>
        <w:tab/>
        <w:t>114,165</w:t>
        <w:tab/>
        <w:t>-</w:t>
        <w:tab/>
        <w:t>114,165</w:t>
      </w:r>
      <w:r>
        <w:rPr>
          <w:spacing w:val="15"/>
          <w:u w:val="single"/>
        </w:rPr>
        <w:t> </w:t>
      </w:r>
    </w:p>
    <w:p>
      <w:pPr>
        <w:pStyle w:val="BodyText"/>
        <w:tabs>
          <w:tab w:pos="4135" w:val="left" w:leader="none"/>
          <w:tab w:pos="5114" w:val="left" w:leader="none"/>
          <w:tab w:pos="6194" w:val="left" w:leader="none"/>
          <w:tab w:pos="7663" w:val="left" w:leader="none"/>
          <w:tab w:pos="8354" w:val="left" w:leader="none"/>
        </w:tabs>
        <w:spacing w:before="13"/>
        <w:ind w:left="17"/>
        <w:jc w:val="center"/>
      </w:pPr>
      <w:r>
        <w:rPr>
          <w:position w:val="3"/>
        </w:rPr>
        <w:t>Balance at December</w:t>
      </w:r>
      <w:r>
        <w:rPr>
          <w:spacing w:val="7"/>
          <w:position w:val="3"/>
        </w:rPr>
        <w:t> </w:t>
      </w:r>
      <w:r>
        <w:rPr>
          <w:position w:val="3"/>
        </w:rPr>
        <w:t>31,</w:t>
      </w:r>
      <w:r>
        <w:rPr>
          <w:spacing w:val="2"/>
          <w:position w:val="3"/>
        </w:rPr>
        <w:t> </w:t>
      </w:r>
      <w:r>
        <w:rPr>
          <w:position w:val="3"/>
        </w:rPr>
        <w:t>1992</w:t>
        <w:tab/>
      </w:r>
      <w:r>
        <w:rPr/>
        <w:t>96,047</w:t>
        <w:tab/>
        <w:t>177,647</w:t>
        <w:tab/>
        <w:t>605,928</w:t>
        <w:tab/>
        <w:t>(86)</w:t>
        <w:tab/>
        <w:t>879,536</w:t>
      </w:r>
    </w:p>
    <w:p>
      <w:pPr>
        <w:pStyle w:val="BodyText"/>
        <w:tabs>
          <w:tab w:pos="4137" w:val="left" w:leader="none"/>
          <w:tab w:pos="5150" w:val="left" w:leader="none"/>
          <w:tab w:pos="6787" w:val="left" w:leader="none"/>
          <w:tab w:pos="7867" w:val="left" w:leader="none"/>
          <w:tab w:pos="8947" w:val="left" w:leader="none"/>
        </w:tabs>
        <w:ind w:left="191"/>
        <w:jc w:val="center"/>
      </w:pPr>
      <w:r>
        <w:rPr/>
        <w:t>Three-for-two stock split</w:t>
      </w:r>
      <w:r>
        <w:rPr>
          <w:spacing w:val="-4"/>
        </w:rPr>
        <w:t> </w:t>
      </w:r>
      <w:r>
        <w:rPr/>
        <w:t>(Note</w:t>
      </w:r>
      <w:r>
        <w:rPr>
          <w:spacing w:val="2"/>
        </w:rPr>
        <w:t> </w:t>
      </w:r>
      <w:r>
        <w:rPr/>
        <w:t>8)</w:t>
        <w:tab/>
      </w:r>
      <w:r>
        <w:rPr>
          <w:position w:val="-2"/>
        </w:rPr>
        <w:t>46,325</w:t>
        <w:tab/>
        <w:t>(46,325)</w:t>
        <w:tab/>
        <w:t>-</w:t>
        <w:tab/>
        <w:t>-</w:t>
        <w:tab/>
        <w:t>-</w:t>
      </w:r>
    </w:p>
    <w:p>
      <w:pPr>
        <w:spacing w:after="0"/>
        <w:jc w:val="center"/>
        <w:sectPr>
          <w:type w:val="continuous"/>
          <w:pgSz w:w="12240" w:h="15840"/>
          <w:pgMar w:top="1420" w:bottom="280" w:left="1640" w:right="920"/>
        </w:sectPr>
      </w:pPr>
    </w:p>
    <w:p>
      <w:pPr>
        <w:pStyle w:val="BodyText"/>
        <w:spacing w:line="202" w:lineRule="exact" w:before="24"/>
        <w:ind w:left="524"/>
      </w:pPr>
      <w:r>
        <w:rPr/>
        <w:t>Issuance of common and treasury stock upon exercise of executive stock options and pursuant to Employee stock option and purchase plans and related tax benefit (Note 9)</w:t>
      </w:r>
    </w:p>
    <w:p>
      <w:pPr>
        <w:pStyle w:val="BodyText"/>
        <w:tabs>
          <w:tab w:pos="1451" w:val="left" w:leader="none"/>
          <w:tab w:pos="2919" w:val="left" w:leader="none"/>
          <w:tab w:pos="3865" w:val="left" w:leader="none"/>
          <w:tab w:pos="4590" w:val="left" w:leader="none"/>
        </w:tabs>
        <w:spacing w:before="28"/>
        <w:ind w:left="524"/>
      </w:pPr>
      <w:r>
        <w:rPr/>
        <w:br w:type="column"/>
      </w:r>
      <w:r>
        <w:rPr/>
        <w:t>384</w:t>
        <w:tab/>
        <w:t>9,846</w:t>
        <w:tab/>
        <w:t>-</w:t>
        <w:tab/>
        <w:t>86</w:t>
        <w:tab/>
        <w:t>10,316</w:t>
      </w:r>
    </w:p>
    <w:p>
      <w:pPr>
        <w:spacing w:after="0"/>
        <w:sectPr>
          <w:type w:val="continuous"/>
          <w:pgSz w:w="12240" w:h="15840"/>
          <w:pgMar w:top="1420" w:bottom="280" w:left="1640" w:right="920"/>
          <w:cols w:num="2" w:equalWidth="0">
            <w:col w:w="3543" w:space="657"/>
            <w:col w:w="5480"/>
          </w:cols>
        </w:sectPr>
      </w:pPr>
    </w:p>
    <w:p>
      <w:pPr>
        <w:pStyle w:val="BodyText"/>
        <w:tabs>
          <w:tab w:pos="4110" w:val="left" w:leader="none"/>
          <w:tab w:pos="4957" w:val="left" w:leader="none"/>
          <w:tab w:pos="6039" w:val="left" w:leader="none"/>
          <w:tab w:pos="6529" w:val="left" w:leader="none"/>
          <w:tab w:pos="6663" w:val="left" w:leader="none"/>
          <w:tab w:pos="8199" w:val="left" w:leader="none"/>
          <w:tab w:pos="8689" w:val="left" w:leader="none"/>
          <w:tab w:pos="8823" w:val="left" w:leader="none"/>
        </w:tabs>
        <w:spacing w:before="31"/>
        <w:ind w:left="524" w:right="167"/>
      </w:pPr>
      <w:r>
        <w:rPr/>
        <w:t>Cash dividends, $.03867</w:t>
      </w:r>
      <w:r>
        <w:rPr>
          <w:spacing w:val="17"/>
        </w:rPr>
        <w:t> </w:t>
      </w:r>
      <w:r>
        <w:rPr/>
        <w:t>per</w:t>
      </w:r>
      <w:r>
        <w:rPr>
          <w:spacing w:val="6"/>
        </w:rPr>
        <w:t> </w:t>
      </w:r>
      <w:r>
        <w:rPr/>
        <w:t>share</w:t>
        <w:tab/>
        <w:tab/>
      </w:r>
      <w:r>
        <w:rPr>
          <w:position w:val="-2"/>
        </w:rPr>
        <w:t>-</w:t>
        <w:tab/>
        <w:t>-</w:t>
        <w:tab/>
        <w:tab/>
        <w:t>(5,376)</w:t>
        <w:tab/>
        <w:t>-</w:t>
        <w:tab/>
        <w:tab/>
        <w:t>(5,376) </w:t>
      </w:r>
      <w:r>
        <w:rPr>
          <w:position w:val="3"/>
        </w:rPr>
        <w:t>Net income</w:t>
      </w:r>
      <w:r>
        <w:rPr>
          <w:spacing w:val="9"/>
          <w:position w:val="3"/>
        </w:rPr>
        <w:t> </w:t>
      </w:r>
      <w:r>
        <w:rPr>
          <w:position w:val="3"/>
        </w:rPr>
        <w:t>-</w:t>
      </w:r>
      <w:r>
        <w:rPr>
          <w:spacing w:val="2"/>
          <w:position w:val="3"/>
        </w:rPr>
        <w:t> </w:t>
      </w:r>
      <w:r>
        <w:rPr>
          <w:position w:val="3"/>
        </w:rPr>
        <w:t>1993</w:t>
        <w:tab/>
      </w:r>
      <w:r>
        <w:rPr>
          <w:u w:val="single"/>
        </w:rPr>
        <w:t> </w:t>
        <w:tab/>
        <w:t>-</w:t>
        <w:tab/>
        <w:t>-</w:t>
        <w:tab/>
        <w:t>169,543</w:t>
        <w:tab/>
        <w:t>-</w:t>
        <w:tab/>
        <w:t>169,543</w:t>
      </w:r>
      <w:r>
        <w:rPr>
          <w:spacing w:val="15"/>
          <w:u w:val="single"/>
        </w:rPr>
        <w:t> </w:t>
      </w:r>
    </w:p>
    <w:p>
      <w:pPr>
        <w:pStyle w:val="BodyText"/>
        <w:tabs>
          <w:tab w:pos="4369" w:val="left" w:leader="none"/>
          <w:tab w:pos="5449" w:val="left" w:leader="none"/>
          <w:tab w:pos="6529" w:val="left" w:leader="none"/>
          <w:tab w:pos="8199" w:val="left" w:leader="none"/>
          <w:tab w:pos="8535" w:val="left" w:leader="none"/>
        </w:tabs>
        <w:spacing w:before="13"/>
        <w:ind w:left="352"/>
      </w:pPr>
      <w:r>
        <w:rPr>
          <w:position w:val="3"/>
        </w:rPr>
        <w:t>Balance at</w:t>
      </w:r>
      <w:r>
        <w:rPr>
          <w:spacing w:val="4"/>
          <w:position w:val="3"/>
        </w:rPr>
        <w:t> </w:t>
      </w:r>
      <w:r>
        <w:rPr>
          <w:position w:val="3"/>
        </w:rPr>
        <w:t>December</w:t>
      </w:r>
      <w:r>
        <w:rPr>
          <w:spacing w:val="1"/>
          <w:position w:val="3"/>
        </w:rPr>
        <w:t> </w:t>
      </w:r>
      <w:r>
        <w:rPr>
          <w:position w:val="3"/>
        </w:rPr>
        <w:t>31,1993</w:t>
        <w:tab/>
      </w:r>
      <w:r>
        <w:rPr/>
        <w:t>142,756</w:t>
        <w:tab/>
        <w:t>141,168</w:t>
        <w:tab/>
        <w:t>770,095</w:t>
        <w:tab/>
        <w:t>-</w:t>
        <w:tab/>
        <w:t>1,054,019</w:t>
      </w:r>
    </w:p>
    <w:p>
      <w:pPr>
        <w:spacing w:after="0"/>
        <w:sectPr>
          <w:type w:val="continuous"/>
          <w:pgSz w:w="12240" w:h="15840"/>
          <w:pgMar w:top="1420" w:bottom="280" w:left="1640" w:right="920"/>
        </w:sectPr>
      </w:pPr>
    </w:p>
    <w:p>
      <w:pPr>
        <w:pStyle w:val="BodyText"/>
        <w:spacing w:line="202" w:lineRule="exact" w:before="25"/>
        <w:ind w:left="524" w:right="-5"/>
      </w:pPr>
      <w:r>
        <w:rPr/>
        <w:t>Issuance of common stock upon exercise of executive stock</w:t>
      </w:r>
      <w:r>
        <w:rPr>
          <w:spacing w:val="-23"/>
        </w:rPr>
        <w:t> </w:t>
      </w:r>
      <w:r>
        <w:rPr/>
        <w:t>options and pursuant to Employee stock </w:t>
      </w:r>
      <w:r>
        <w:rPr>
          <w:spacing w:val="5"/>
        </w:rPr>
        <w:t>option </w:t>
      </w:r>
      <w:r>
        <w:rPr/>
        <w:t>and purchase plans </w:t>
      </w:r>
      <w:r>
        <w:rPr>
          <w:spacing w:val="2"/>
        </w:rPr>
        <w:t>and </w:t>
      </w:r>
      <w:r>
        <w:rPr/>
        <w:t>related tax benefit (Note</w:t>
      </w:r>
      <w:r>
        <w:rPr>
          <w:spacing w:val="6"/>
        </w:rPr>
        <w:t> </w:t>
      </w:r>
      <w:r>
        <w:rPr/>
        <w:t>9)</w:t>
      </w:r>
    </w:p>
    <w:p>
      <w:pPr>
        <w:pStyle w:val="BodyText"/>
        <w:tabs>
          <w:tab w:pos="1350" w:val="left" w:leader="none"/>
          <w:tab w:pos="2919" w:val="left" w:leader="none"/>
          <w:tab w:pos="3999" w:val="left" w:leader="none"/>
          <w:tab w:pos="4590" w:val="left" w:leader="none"/>
        </w:tabs>
        <w:spacing w:before="29"/>
        <w:ind w:left="524"/>
      </w:pPr>
      <w:r>
        <w:rPr/>
        <w:br w:type="column"/>
      </w:r>
      <w:r>
        <w:rPr/>
        <w:t>500</w:t>
        <w:tab/>
        <w:t>10,578</w:t>
        <w:tab/>
        <w:t>-</w:t>
        <w:tab/>
        <w:t>-</w:t>
        <w:tab/>
        <w:t>11,078</w:t>
      </w:r>
    </w:p>
    <w:p>
      <w:pPr>
        <w:spacing w:after="0"/>
        <w:sectPr>
          <w:type w:val="continuous"/>
          <w:pgSz w:w="12240" w:h="15840"/>
          <w:pgMar w:top="1420" w:bottom="280" w:left="1640" w:right="920"/>
          <w:cols w:num="2" w:equalWidth="0">
            <w:col w:w="3316" w:space="884"/>
            <w:col w:w="5480"/>
          </w:cols>
        </w:sectPr>
      </w:pPr>
    </w:p>
    <w:p>
      <w:pPr>
        <w:pStyle w:val="BodyText"/>
        <w:tabs>
          <w:tab w:pos="4110" w:val="left" w:leader="none"/>
          <w:tab w:pos="4957" w:val="left" w:leader="none"/>
          <w:tab w:pos="6039" w:val="left" w:leader="none"/>
          <w:tab w:pos="6529" w:val="left" w:leader="none"/>
          <w:tab w:pos="6663" w:val="left" w:leader="none"/>
          <w:tab w:pos="8199" w:val="left" w:leader="none"/>
          <w:tab w:pos="8689" w:val="left" w:leader="none"/>
          <w:tab w:pos="8823" w:val="left" w:leader="none"/>
        </w:tabs>
        <w:spacing w:before="31"/>
        <w:ind w:left="524" w:right="167"/>
      </w:pPr>
      <w:r>
        <w:rPr/>
        <w:t>Cash dividends, $.04000</w:t>
      </w:r>
      <w:r>
        <w:rPr>
          <w:spacing w:val="17"/>
        </w:rPr>
        <w:t> </w:t>
      </w:r>
      <w:r>
        <w:rPr/>
        <w:t>per</w:t>
      </w:r>
      <w:r>
        <w:rPr>
          <w:spacing w:val="6"/>
        </w:rPr>
        <w:t> </w:t>
      </w:r>
      <w:r>
        <w:rPr/>
        <w:t>share</w:t>
        <w:tab/>
        <w:tab/>
      </w:r>
      <w:r>
        <w:rPr>
          <w:position w:val="-2"/>
        </w:rPr>
        <w:t>-</w:t>
        <w:tab/>
        <w:t>-</w:t>
        <w:tab/>
        <w:tab/>
        <w:t>(5,722)</w:t>
        <w:tab/>
        <w:t>-</w:t>
        <w:tab/>
        <w:tab/>
        <w:t>(5,722) </w:t>
      </w:r>
      <w:r>
        <w:rPr>
          <w:position w:val="3"/>
        </w:rPr>
        <w:t>Net income</w:t>
      </w:r>
      <w:r>
        <w:rPr>
          <w:spacing w:val="9"/>
          <w:position w:val="3"/>
        </w:rPr>
        <w:t> </w:t>
      </w:r>
      <w:r>
        <w:rPr>
          <w:position w:val="3"/>
        </w:rPr>
        <w:t>-</w:t>
      </w:r>
      <w:r>
        <w:rPr>
          <w:spacing w:val="2"/>
          <w:position w:val="3"/>
        </w:rPr>
        <w:t> </w:t>
      </w:r>
      <w:r>
        <w:rPr>
          <w:position w:val="3"/>
        </w:rPr>
        <w:t>1994</w:t>
        <w:tab/>
      </w:r>
      <w:r>
        <w:rPr>
          <w:u w:val="single"/>
        </w:rPr>
        <w:t> </w:t>
        <w:tab/>
        <w:t>-</w:t>
        <w:tab/>
        <w:t>-</w:t>
        <w:tab/>
        <w:t>179,331</w:t>
        <w:tab/>
        <w:tab/>
        <w:t>179,331</w:t>
      </w:r>
      <w:r>
        <w:rPr>
          <w:spacing w:val="15"/>
          <w:u w:val="single"/>
        </w:rPr>
        <w:t> </w:t>
      </w:r>
    </w:p>
    <w:p>
      <w:pPr>
        <w:pStyle w:val="BodyText"/>
        <w:tabs>
          <w:tab w:pos="4268" w:val="left" w:leader="none"/>
          <w:tab w:pos="5348" w:val="left" w:leader="none"/>
          <w:tab w:pos="6428" w:val="left" w:leader="none"/>
          <w:tab w:pos="8046" w:val="left" w:leader="none"/>
        </w:tabs>
        <w:spacing w:before="13"/>
        <w:ind w:left="352"/>
      </w:pPr>
      <w:r>
        <w:rPr>
          <w:position w:val="3"/>
        </w:rPr>
        <w:t>Balance at</w:t>
      </w:r>
      <w:r>
        <w:rPr>
          <w:spacing w:val="4"/>
          <w:position w:val="3"/>
        </w:rPr>
        <w:t> </w:t>
      </w:r>
      <w:r>
        <w:rPr>
          <w:position w:val="3"/>
        </w:rPr>
        <w:t>December</w:t>
      </w:r>
      <w:r>
        <w:rPr>
          <w:spacing w:val="1"/>
          <w:position w:val="3"/>
        </w:rPr>
        <w:t> </w:t>
      </w:r>
      <w:r>
        <w:rPr>
          <w:position w:val="3"/>
        </w:rPr>
        <w:t>31,1994</w:t>
        <w:tab/>
      </w:r>
      <w:r>
        <w:rPr/>
        <w:t>$143,256</w:t>
        <w:tab/>
        <w:t>$151,746</w:t>
        <w:tab/>
        <w:t>$943,704</w:t>
        <w:tab/>
        <w:t>$ -  </w:t>
      </w:r>
      <w:r>
        <w:rPr>
          <w:spacing w:val="38"/>
        </w:rPr>
        <w:t> </w:t>
      </w:r>
      <w:r>
        <w:rPr/>
        <w:t>$1,238,706</w:t>
      </w:r>
    </w:p>
    <w:p>
      <w:pPr>
        <w:spacing w:after="0"/>
        <w:sectPr>
          <w:type w:val="continuous"/>
          <w:pgSz w:w="12240" w:h="15840"/>
          <w:pgMar w:top="1420" w:bottom="280" w:left="1640" w:right="92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9520;mso-wrap-distance-left:0;mso-wrap-distance-right:0" from="88.559998pt,27.763792pt" to="559.439998pt,27.763792pt" stroked="true" strokeweight="1.44pt" strokecolor="#000000">
            <v:stroke dashstyle="solid"/>
            <w10:wrap type="topAndBottom"/>
          </v:line>
        </w:pict>
      </w:r>
      <w:bookmarkStart w:name="_TOC_250006" w:id="15"/>
      <w:bookmarkEnd w:id="15"/>
      <w:r>
        <w:rPr/>
        <w:t>Consolidated Statement Of Cash Flows</w:t>
      </w:r>
    </w:p>
    <w:p>
      <w:pPr>
        <w:pStyle w:val="BodyText"/>
        <w:rPr>
          <w:rFonts w:ascii="Arial"/>
          <w:sz w:val="28"/>
        </w:rPr>
      </w:pPr>
    </w:p>
    <w:p>
      <w:pPr>
        <w:tabs>
          <w:tab w:pos="5190" w:val="left" w:leader="none"/>
          <w:tab w:pos="5435" w:val="left" w:leader="none"/>
          <w:tab w:pos="5535" w:val="left" w:leader="none"/>
          <w:tab w:pos="6124" w:val="left" w:leader="none"/>
          <w:tab w:pos="6630" w:val="left" w:leader="none"/>
          <w:tab w:pos="6985" w:val="left" w:leader="none"/>
          <w:tab w:pos="7057" w:val="left" w:leader="none"/>
          <w:tab w:pos="7158" w:val="left" w:leader="none"/>
          <w:tab w:pos="7189" w:val="left" w:leader="none"/>
          <w:tab w:pos="8425" w:val="left" w:leader="none"/>
          <w:tab w:pos="8497" w:val="left" w:leader="none"/>
          <w:tab w:pos="8598" w:val="left" w:leader="none"/>
          <w:tab w:pos="8629" w:val="left" w:leader="none"/>
        </w:tabs>
        <w:spacing w:line="242" w:lineRule="auto" w:before="93"/>
        <w:ind w:left="351" w:right="167" w:hanging="188"/>
        <w:jc w:val="left"/>
        <w:rPr>
          <w:sz w:val="20"/>
        </w:rPr>
      </w:pPr>
      <w:r>
        <w:rPr>
          <w:rFonts w:ascii="Arial"/>
          <w:b/>
          <w:sz w:val="20"/>
        </w:rPr>
        <w:t>Cash flows from</w:t>
      </w:r>
      <w:r>
        <w:rPr>
          <w:rFonts w:ascii="Arial"/>
          <w:b/>
          <w:spacing w:val="15"/>
          <w:sz w:val="20"/>
        </w:rPr>
        <w:t> </w:t>
      </w:r>
      <w:r>
        <w:rPr>
          <w:rFonts w:ascii="Arial"/>
          <w:b/>
          <w:sz w:val="20"/>
        </w:rPr>
        <w:t>operating</w:t>
      </w:r>
      <w:r>
        <w:rPr>
          <w:rFonts w:ascii="Arial"/>
          <w:b/>
          <w:spacing w:val="-2"/>
          <w:sz w:val="20"/>
        </w:rPr>
        <w:t> </w:t>
      </w:r>
      <w:r>
        <w:rPr>
          <w:rFonts w:ascii="Arial"/>
          <w:b/>
          <w:sz w:val="20"/>
        </w:rPr>
        <w:t>activities:</w:t>
        <w:tab/>
        <w:tab/>
      </w:r>
      <w:r>
        <w:rPr>
          <w:rFonts w:ascii="Arial"/>
          <w:spacing w:val="-3"/>
          <w:position w:val="14"/>
          <w:sz w:val="16"/>
        </w:rPr>
        <w:t>Dec</w:t>
      </w:r>
      <w:r>
        <w:rPr>
          <w:rFonts w:ascii="Arial"/>
          <w:spacing w:val="-6"/>
          <w:position w:val="14"/>
          <w:sz w:val="16"/>
        </w:rPr>
        <w:t> </w:t>
      </w:r>
      <w:r>
        <w:rPr>
          <w:rFonts w:ascii="Arial"/>
          <w:position w:val="14"/>
          <w:sz w:val="16"/>
        </w:rPr>
        <w:t>31,</w:t>
      </w:r>
      <w:r>
        <w:rPr>
          <w:rFonts w:ascii="Arial"/>
          <w:spacing w:val="-5"/>
          <w:position w:val="14"/>
          <w:sz w:val="16"/>
        </w:rPr>
        <w:t> </w:t>
      </w:r>
      <w:r>
        <w:rPr>
          <w:rFonts w:ascii="Arial"/>
          <w:position w:val="14"/>
          <w:sz w:val="16"/>
        </w:rPr>
        <w:t>1994</w:t>
        <w:tab/>
        <w:tab/>
      </w:r>
      <w:r>
        <w:rPr>
          <w:rFonts w:ascii="Arial"/>
          <w:spacing w:val="-3"/>
          <w:position w:val="14"/>
          <w:sz w:val="16"/>
        </w:rPr>
        <w:t>Dec</w:t>
      </w:r>
      <w:r>
        <w:rPr>
          <w:rFonts w:ascii="Arial"/>
          <w:spacing w:val="-6"/>
          <w:position w:val="14"/>
          <w:sz w:val="16"/>
        </w:rPr>
        <w:t> </w:t>
      </w:r>
      <w:r>
        <w:rPr>
          <w:rFonts w:ascii="Arial"/>
          <w:position w:val="14"/>
          <w:sz w:val="16"/>
        </w:rPr>
        <w:t>31,</w:t>
      </w:r>
      <w:r>
        <w:rPr>
          <w:rFonts w:ascii="Arial"/>
          <w:spacing w:val="-5"/>
          <w:position w:val="14"/>
          <w:sz w:val="16"/>
        </w:rPr>
        <w:t> </w:t>
      </w:r>
      <w:r>
        <w:rPr>
          <w:rFonts w:ascii="Arial"/>
          <w:position w:val="14"/>
          <w:sz w:val="16"/>
        </w:rPr>
        <w:t>1993</w:t>
        <w:tab/>
      </w:r>
      <w:r>
        <w:rPr>
          <w:rFonts w:ascii="Arial"/>
          <w:spacing w:val="-3"/>
          <w:position w:val="14"/>
          <w:sz w:val="16"/>
        </w:rPr>
        <w:t>Dec</w:t>
      </w:r>
      <w:r>
        <w:rPr>
          <w:rFonts w:ascii="Arial"/>
          <w:spacing w:val="-13"/>
          <w:position w:val="14"/>
          <w:sz w:val="16"/>
        </w:rPr>
        <w:t> </w:t>
      </w:r>
      <w:r>
        <w:rPr>
          <w:rFonts w:ascii="Arial"/>
          <w:position w:val="14"/>
          <w:sz w:val="16"/>
        </w:rPr>
        <w:t>31,</w:t>
      </w:r>
      <w:r>
        <w:rPr>
          <w:rFonts w:ascii="Arial"/>
          <w:spacing w:val="-12"/>
          <w:position w:val="14"/>
          <w:sz w:val="16"/>
        </w:rPr>
        <w:t> </w:t>
      </w:r>
      <w:r>
        <w:rPr>
          <w:rFonts w:ascii="Arial"/>
          <w:position w:val="14"/>
          <w:sz w:val="16"/>
        </w:rPr>
        <w:t>1992</w:t>
      </w:r>
      <w:r>
        <w:rPr>
          <w:rFonts w:ascii="Arial"/>
          <w:spacing w:val="-2"/>
          <w:w w:val="98"/>
          <w:position w:val="14"/>
          <w:sz w:val="16"/>
        </w:rPr>
        <w:t> </w:t>
      </w:r>
      <w:r>
        <w:rPr>
          <w:position w:val="3"/>
          <w:sz w:val="20"/>
        </w:rPr>
        <w:t>Net</w:t>
      </w:r>
      <w:r>
        <w:rPr>
          <w:spacing w:val="4"/>
          <w:position w:val="3"/>
          <w:sz w:val="20"/>
        </w:rPr>
        <w:t> </w:t>
      </w:r>
      <w:r>
        <w:rPr>
          <w:position w:val="3"/>
          <w:sz w:val="20"/>
        </w:rPr>
        <w:t>income</w:t>
        <w:tab/>
        <w:tab/>
      </w:r>
      <w:r>
        <w:rPr>
          <w:sz w:val="20"/>
        </w:rPr>
        <w:t>$179,331</w:t>
        <w:tab/>
        <w:tab/>
        <w:tab/>
        <w:t>$169,543</w:t>
        <w:tab/>
        <w:tab/>
        <w:t>$114,165 Cumulative effect of accounting changes</w:t>
      </w:r>
      <w:r>
        <w:rPr>
          <w:spacing w:val="-2"/>
          <w:sz w:val="20"/>
        </w:rPr>
        <w:t> </w:t>
      </w:r>
      <w:r>
        <w:rPr>
          <w:sz w:val="20"/>
        </w:rPr>
        <w:t>(Note</w:t>
      </w:r>
      <w:r>
        <w:rPr>
          <w:spacing w:val="2"/>
          <w:sz w:val="20"/>
        </w:rPr>
        <w:t> </w:t>
      </w:r>
      <w:r>
        <w:rPr>
          <w:sz w:val="20"/>
        </w:rPr>
        <w:t>3)</w:t>
        <w:tab/>
      </w:r>
      <w:r>
        <w:rPr>
          <w:position w:val="-2"/>
          <w:sz w:val="20"/>
          <w:u w:val="single"/>
        </w:rPr>
        <w:t> </w:t>
        <w:tab/>
        <w:tab/>
        <w:tab/>
        <w:t>-</w:t>
        <w:tab/>
        <w:t> </w:t>
        <w:tab/>
        <w:tab/>
        <w:tab/>
        <w:tab/>
        <w:t>(15,259) </w:t>
        <w:tab/>
        <w:tab/>
        <w:tab/>
        <w:tab/>
        <w:t>(12,538) </w:t>
      </w:r>
      <w:r>
        <w:rPr>
          <w:sz w:val="20"/>
        </w:rPr>
        <w:t>Income before cumulative effect of</w:t>
      </w:r>
      <w:r>
        <w:rPr>
          <w:spacing w:val="-7"/>
          <w:sz w:val="20"/>
        </w:rPr>
        <w:t> </w:t>
      </w:r>
      <w:r>
        <w:rPr>
          <w:sz w:val="20"/>
        </w:rPr>
        <w:t>accounting</w:t>
      </w:r>
      <w:r>
        <w:rPr>
          <w:spacing w:val="-3"/>
          <w:sz w:val="20"/>
        </w:rPr>
        <w:t> </w:t>
      </w:r>
      <w:r>
        <w:rPr>
          <w:sz w:val="20"/>
        </w:rPr>
        <w:t>changes</w:t>
        <w:tab/>
        <w:tab/>
        <w:tab/>
      </w:r>
      <w:r>
        <w:rPr>
          <w:position w:val="-2"/>
          <w:sz w:val="20"/>
        </w:rPr>
        <w:t>179,331</w:t>
        <w:tab/>
        <w:tab/>
        <w:tab/>
        <w:tab/>
        <w:t>154,284</w:t>
        <w:tab/>
        <w:tab/>
        <w:tab/>
        <w:t>101,627 </w:t>
      </w:r>
      <w:r>
        <w:rPr>
          <w:sz w:val="20"/>
        </w:rPr>
        <w:t>Adjustments </w:t>
      </w:r>
      <w:r>
        <w:rPr>
          <w:spacing w:val="2"/>
          <w:sz w:val="20"/>
        </w:rPr>
        <w:t>to </w:t>
      </w:r>
      <w:r>
        <w:rPr>
          <w:sz w:val="20"/>
        </w:rPr>
        <w:t>reconcile net income </w:t>
      </w:r>
      <w:r>
        <w:rPr>
          <w:spacing w:val="2"/>
          <w:sz w:val="20"/>
        </w:rPr>
        <w:t>to </w:t>
      </w:r>
      <w:r>
        <w:rPr>
          <w:sz w:val="20"/>
        </w:rPr>
        <w:t>cash</w:t>
      </w:r>
      <w:r>
        <w:rPr>
          <w:spacing w:val="-6"/>
          <w:sz w:val="20"/>
        </w:rPr>
        <w:t> </w:t>
      </w:r>
      <w:r>
        <w:rPr>
          <w:sz w:val="20"/>
        </w:rPr>
        <w:t>provided</w:t>
      </w:r>
    </w:p>
    <w:p>
      <w:pPr>
        <w:pStyle w:val="BodyText"/>
        <w:spacing w:line="199" w:lineRule="exact"/>
        <w:ind w:left="351"/>
      </w:pPr>
      <w:r>
        <w:rPr/>
        <w:t>by operating activities:</w:t>
      </w:r>
    </w:p>
    <w:p>
      <w:pPr>
        <w:pStyle w:val="BodyText"/>
        <w:tabs>
          <w:tab w:pos="5535" w:val="left" w:leader="none"/>
          <w:tab w:pos="7158" w:val="left" w:leader="none"/>
          <w:tab w:pos="8598" w:val="left" w:leader="none"/>
        </w:tabs>
        <w:spacing w:before="9"/>
        <w:ind w:left="524"/>
      </w:pPr>
      <w:r>
        <w:rPr>
          <w:position w:val="3"/>
        </w:rPr>
        <w:t>Depreciation</w:t>
        <w:tab/>
      </w:r>
      <w:r>
        <w:rPr/>
        <w:t>139,045</w:t>
        <w:tab/>
        <w:t>119,338</w:t>
        <w:tab/>
        <w:t>101,976</w:t>
      </w:r>
    </w:p>
    <w:p>
      <w:pPr>
        <w:pStyle w:val="BodyText"/>
        <w:tabs>
          <w:tab w:pos="5636" w:val="left" w:leader="none"/>
          <w:tab w:pos="7259" w:val="left" w:leader="none"/>
          <w:tab w:pos="8699" w:val="left" w:leader="none"/>
        </w:tabs>
        <w:ind w:left="524"/>
      </w:pPr>
      <w:r>
        <w:rPr/>
        <w:t>Deferred</w:t>
      </w:r>
      <w:r>
        <w:rPr>
          <w:spacing w:val="1"/>
        </w:rPr>
        <w:t> </w:t>
      </w:r>
      <w:r>
        <w:rPr/>
        <w:t>income</w:t>
      </w:r>
      <w:r>
        <w:rPr>
          <w:spacing w:val="2"/>
        </w:rPr>
        <w:t> </w:t>
      </w:r>
      <w:r>
        <w:rPr/>
        <w:t>taxes</w:t>
        <w:tab/>
      </w:r>
      <w:r>
        <w:rPr>
          <w:position w:val="-2"/>
        </w:rPr>
        <w:t>49,887</w:t>
        <w:tab/>
        <w:t>53,200</w:t>
        <w:tab/>
        <w:t>21,260</w:t>
      </w:r>
    </w:p>
    <w:p>
      <w:pPr>
        <w:spacing w:after="0"/>
        <w:sectPr>
          <w:headerReference w:type="default" r:id="rId28"/>
          <w:pgSz w:w="12240" w:h="15840"/>
          <w:pgMar w:header="725" w:footer="746" w:top="940" w:bottom="940" w:left="1640" w:right="920"/>
        </w:sectPr>
      </w:pPr>
    </w:p>
    <w:p>
      <w:pPr>
        <w:pStyle w:val="BodyText"/>
        <w:spacing w:line="202" w:lineRule="exact" w:before="24"/>
        <w:ind w:left="524"/>
      </w:pPr>
      <w:r>
        <w:rPr/>
        <w:t>Amortization of deferred gains on sale and leaseback of aircraft</w:t>
      </w:r>
    </w:p>
    <w:p>
      <w:pPr>
        <w:pStyle w:val="BodyText"/>
        <w:tabs>
          <w:tab w:pos="2147" w:val="left" w:leader="none"/>
          <w:tab w:pos="3587" w:val="left" w:leader="none"/>
        </w:tabs>
        <w:spacing w:before="27"/>
        <w:ind w:left="524"/>
      </w:pPr>
      <w:r>
        <w:rPr/>
        <w:br w:type="column"/>
      </w:r>
      <w:r>
        <w:rPr/>
        <w:t>(30,341)</w:t>
        <w:tab/>
        <w:t>(32,509)</w:t>
        <w:tab/>
        <w:t>(32,719)</w:t>
      </w:r>
    </w:p>
    <w:p>
      <w:pPr>
        <w:spacing w:after="0"/>
        <w:sectPr>
          <w:type w:val="continuous"/>
          <w:pgSz w:w="12240" w:h="15840"/>
          <w:pgMar w:top="1420" w:bottom="280" w:left="1640" w:right="920"/>
          <w:cols w:num="2" w:equalWidth="0">
            <w:col w:w="3996" w:space="1049"/>
            <w:col w:w="4635"/>
          </w:cols>
        </w:sectPr>
      </w:pPr>
    </w:p>
    <w:p>
      <w:pPr>
        <w:pStyle w:val="BodyText"/>
        <w:tabs>
          <w:tab w:pos="5636" w:val="left" w:leader="none"/>
          <w:tab w:pos="7259" w:val="left" w:leader="none"/>
          <w:tab w:pos="8799" w:val="left" w:leader="none"/>
        </w:tabs>
        <w:spacing w:before="32"/>
        <w:ind w:left="524" w:right="424"/>
      </w:pPr>
      <w:r>
        <w:rPr>
          <w:spacing w:val="2"/>
        </w:rPr>
        <w:t>Amortization of </w:t>
      </w:r>
      <w:r>
        <w:rPr/>
        <w:t>scheduled</w:t>
      </w:r>
      <w:r>
        <w:rPr>
          <w:spacing w:val="-10"/>
        </w:rPr>
        <w:t> </w:t>
      </w:r>
      <w:r>
        <w:rPr/>
        <w:t>airframe</w:t>
      </w:r>
      <w:r>
        <w:rPr>
          <w:spacing w:val="-1"/>
        </w:rPr>
        <w:t> </w:t>
      </w:r>
      <w:r>
        <w:rPr>
          <w:spacing w:val="2"/>
        </w:rPr>
        <w:t>overhauls</w:t>
        <w:tab/>
      </w:r>
      <w:r>
        <w:rPr>
          <w:position w:val="-2"/>
        </w:rPr>
        <w:t>14,216</w:t>
        <w:tab/>
        <w:t>11,630</w:t>
        <w:tab/>
        <w:t>6,930 </w:t>
      </w:r>
      <w:r>
        <w:rPr>
          <w:spacing w:val="2"/>
        </w:rPr>
        <w:t>Changes</w:t>
      </w:r>
      <w:r>
        <w:rPr>
          <w:spacing w:val="-8"/>
        </w:rPr>
        <w:t> </w:t>
      </w:r>
      <w:r>
        <w:rPr/>
        <w:t>in</w:t>
      </w:r>
      <w:r>
        <w:rPr>
          <w:spacing w:val="-8"/>
        </w:rPr>
        <w:t> </w:t>
      </w:r>
      <w:r>
        <w:rPr>
          <w:spacing w:val="3"/>
        </w:rPr>
        <w:t>certain</w:t>
      </w:r>
      <w:r>
        <w:rPr>
          <w:spacing w:val="-8"/>
        </w:rPr>
        <w:t> </w:t>
      </w:r>
      <w:r>
        <w:rPr>
          <w:spacing w:val="3"/>
        </w:rPr>
        <w:t>assets</w:t>
      </w:r>
      <w:r>
        <w:rPr>
          <w:spacing w:val="-8"/>
        </w:rPr>
        <w:t> </w:t>
      </w:r>
      <w:r>
        <w:rPr/>
        <w:t>and</w:t>
      </w:r>
      <w:r>
        <w:rPr>
          <w:spacing w:val="-8"/>
        </w:rPr>
        <w:t> </w:t>
      </w:r>
      <w:r>
        <w:rPr>
          <w:spacing w:val="3"/>
        </w:rPr>
        <w:t>liabilities:</w:t>
      </w:r>
    </w:p>
    <w:p>
      <w:pPr>
        <w:pStyle w:val="BodyText"/>
        <w:tabs>
          <w:tab w:pos="5670" w:val="left" w:leader="none"/>
          <w:tab w:pos="7191" w:val="left" w:leader="none"/>
          <w:tab w:pos="8732" w:val="left" w:leader="none"/>
        </w:tabs>
        <w:spacing w:before="58"/>
        <w:ind w:left="712"/>
      </w:pPr>
      <w:r>
        <w:rPr/>
        <w:t>Increase in accounts</w:t>
      </w:r>
      <w:r>
        <w:rPr>
          <w:spacing w:val="4"/>
        </w:rPr>
        <w:t> </w:t>
      </w:r>
      <w:r>
        <w:rPr/>
        <w:t>receivable</w:t>
        <w:tab/>
        <w:t>(5,208)</w:t>
        <w:tab/>
        <w:t>(14,253)</w:t>
        <w:tab/>
        <w:t>(7,440)</w:t>
      </w:r>
    </w:p>
    <w:p>
      <w:pPr>
        <w:pStyle w:val="BodyText"/>
        <w:tabs>
          <w:tab w:pos="5891" w:val="left" w:leader="none"/>
          <w:tab w:pos="7292" w:val="left" w:leader="none"/>
          <w:tab w:pos="8631" w:val="left" w:leader="none"/>
        </w:tabs>
        <w:spacing w:before="29"/>
        <w:ind w:left="711"/>
      </w:pPr>
      <w:r>
        <w:rPr/>
        <w:t>Decrease(increase) in </w:t>
      </w:r>
      <w:r>
        <w:rPr>
          <w:spacing w:val="3"/>
        </w:rPr>
        <w:t>other</w:t>
      </w:r>
      <w:r>
        <w:rPr/>
        <w:t> current</w:t>
      </w:r>
      <w:r>
        <w:rPr>
          <w:spacing w:val="5"/>
        </w:rPr>
        <w:t> </w:t>
      </w:r>
      <w:r>
        <w:rPr/>
        <w:t>assets</w:t>
        <w:tab/>
        <w:t>648</w:t>
        <w:tab/>
        <w:t>(9,641)</w:t>
        <w:tab/>
        <w:t>(12,000)</w:t>
      </w:r>
    </w:p>
    <w:p>
      <w:pPr>
        <w:spacing w:after="0"/>
        <w:sectPr>
          <w:type w:val="continuous"/>
          <w:pgSz w:w="12240" w:h="15840"/>
          <w:pgMar w:top="1420" w:bottom="280" w:left="1640" w:right="920"/>
        </w:sectPr>
      </w:pPr>
    </w:p>
    <w:p>
      <w:pPr>
        <w:pStyle w:val="BodyText"/>
        <w:spacing w:line="249" w:lineRule="auto" w:before="29"/>
        <w:ind w:left="711"/>
      </w:pPr>
      <w:r>
        <w:rPr/>
        <w:t>Increase in accounts payable and accrued liabilities</w:t>
      </w:r>
    </w:p>
    <w:p>
      <w:pPr>
        <w:pStyle w:val="BodyText"/>
        <w:tabs>
          <w:tab w:pos="2334" w:val="left" w:leader="none"/>
          <w:tab w:pos="3774" w:val="left" w:leader="none"/>
        </w:tabs>
        <w:spacing w:before="29"/>
        <w:ind w:left="711"/>
      </w:pPr>
      <w:r>
        <w:rPr/>
        <w:br w:type="column"/>
      </w:r>
      <w:r>
        <w:rPr/>
        <w:t>52,679</w:t>
        <w:tab/>
        <w:t>67,585</w:t>
        <w:tab/>
        <w:t>65,706</w:t>
      </w:r>
    </w:p>
    <w:p>
      <w:pPr>
        <w:spacing w:after="0"/>
        <w:sectPr>
          <w:type w:val="continuous"/>
          <w:pgSz w:w="12240" w:h="15840"/>
          <w:pgMar w:top="1420" w:bottom="280" w:left="1640" w:right="920"/>
          <w:cols w:num="2" w:equalWidth="0">
            <w:col w:w="4047" w:space="878"/>
            <w:col w:w="4755"/>
          </w:cols>
        </w:sectPr>
      </w:pPr>
    </w:p>
    <w:p>
      <w:pPr>
        <w:pStyle w:val="BodyText"/>
        <w:tabs>
          <w:tab w:pos="5311" w:val="left" w:leader="none"/>
          <w:tab w:pos="6833" w:val="left" w:leader="none"/>
          <w:tab w:pos="8273" w:val="left" w:leader="none"/>
        </w:tabs>
        <w:spacing w:before="20"/>
        <w:ind w:left="285"/>
        <w:jc w:val="center"/>
      </w:pPr>
      <w:r>
        <w:rPr>
          <w:spacing w:val="3"/>
        </w:rPr>
        <w:t>Increase </w:t>
      </w:r>
      <w:r>
        <w:rPr/>
        <w:t>in air</w:t>
      </w:r>
      <w:r>
        <w:rPr>
          <w:spacing w:val="-25"/>
        </w:rPr>
        <w:t> </w:t>
      </w:r>
      <w:r>
        <w:rPr>
          <w:spacing w:val="3"/>
        </w:rPr>
        <w:t>traffic</w:t>
      </w:r>
      <w:r>
        <w:rPr>
          <w:spacing w:val="-6"/>
        </w:rPr>
        <w:t> </w:t>
      </w:r>
      <w:r>
        <w:rPr>
          <w:spacing w:val="3"/>
        </w:rPr>
        <w:t>liability</w:t>
        <w:tab/>
      </w:r>
      <w:r>
        <w:rPr/>
        <w:t>9,993</w:t>
        <w:tab/>
        <w:t>30,212</w:t>
        <w:tab/>
        <w:t>18,602</w:t>
      </w:r>
    </w:p>
    <w:p>
      <w:pPr>
        <w:pStyle w:val="BodyText"/>
        <w:tabs>
          <w:tab w:pos="5244" w:val="left" w:leader="none"/>
          <w:tab w:pos="6933" w:val="left" w:leader="none"/>
          <w:tab w:pos="8273" w:val="left" w:leader="none"/>
        </w:tabs>
        <w:spacing w:line="230" w:lineRule="exact" w:before="28"/>
        <w:ind w:left="285"/>
        <w:jc w:val="center"/>
      </w:pPr>
      <w:r>
        <w:rPr>
          <w:spacing w:val="2"/>
        </w:rPr>
        <w:t>Increase(decrease) </w:t>
      </w:r>
      <w:r>
        <w:rPr/>
        <w:t>in </w:t>
      </w:r>
      <w:r>
        <w:rPr>
          <w:spacing w:val="4"/>
        </w:rPr>
        <w:t>other</w:t>
      </w:r>
      <w:r>
        <w:rPr>
          <w:spacing w:val="-23"/>
        </w:rPr>
        <w:t> </w:t>
      </w:r>
      <w:r>
        <w:rPr/>
        <w:t>current</w:t>
      </w:r>
      <w:r>
        <w:rPr>
          <w:spacing w:val="4"/>
        </w:rPr>
        <w:t> </w:t>
      </w:r>
      <w:r>
        <w:rPr/>
        <w:t>liabilities</w:t>
        <w:tab/>
        <w:t>(4,690)</w:t>
        <w:tab/>
        <w:t>2,393</w:t>
        <w:tab/>
        <w:t>12,179</w:t>
      </w:r>
    </w:p>
    <w:p>
      <w:pPr>
        <w:pStyle w:val="BodyText"/>
        <w:tabs>
          <w:tab w:pos="5190" w:val="left" w:leader="none"/>
          <w:tab w:pos="5735" w:val="left" w:leader="none"/>
          <w:tab w:pos="6632" w:val="left" w:leader="none"/>
          <w:tab w:pos="7257" w:val="left" w:leader="none"/>
          <w:tab w:pos="8072" w:val="left" w:leader="none"/>
          <w:tab w:pos="8797" w:val="left" w:leader="none"/>
          <w:tab w:pos="9512" w:val="left" w:leader="none"/>
        </w:tabs>
        <w:spacing w:line="260" w:lineRule="exact"/>
        <w:ind w:left="524"/>
      </w:pPr>
      <w:r>
        <w:rPr>
          <w:position w:val="3"/>
        </w:rPr>
        <w:t>Other</w:t>
        <w:tab/>
      </w:r>
      <w:r>
        <w:rPr>
          <w:u w:val="single"/>
        </w:rPr>
        <w:t> </w:t>
        <w:tab/>
        <w:t>7,106</w:t>
        <w:tab/>
        <w:t> </w:t>
        <w:tab/>
        <w:t>10,440</w:t>
        <w:tab/>
        <w:t> </w:t>
        <w:tab/>
        <w:t>5,978</w:t>
        <w:tab/>
      </w:r>
    </w:p>
    <w:p>
      <w:pPr>
        <w:pStyle w:val="BodyText"/>
        <w:tabs>
          <w:tab w:pos="5535" w:val="left" w:leader="none"/>
          <w:tab w:pos="7158" w:val="left" w:leader="none"/>
          <w:tab w:pos="8598" w:val="left" w:leader="none"/>
        </w:tabs>
        <w:spacing w:before="15"/>
        <w:ind w:left="524"/>
      </w:pPr>
      <w:r>
        <w:rPr/>
        <w:t>Net cash provided by</w:t>
      </w:r>
      <w:r>
        <w:rPr>
          <w:spacing w:val="2"/>
        </w:rPr>
        <w:t> </w:t>
      </w:r>
      <w:r>
        <w:rPr>
          <w:spacing w:val="3"/>
        </w:rPr>
        <w:t>operating</w:t>
      </w:r>
      <w:r>
        <w:rPr>
          <w:spacing w:val="-22"/>
        </w:rPr>
        <w:t> </w:t>
      </w:r>
      <w:r>
        <w:rPr/>
        <w:t>activities</w:t>
        <w:tab/>
      </w:r>
      <w:r>
        <w:rPr>
          <w:position w:val="-2"/>
        </w:rPr>
        <w:t>412,666</w:t>
        <w:tab/>
        <w:t>392,679</w:t>
        <w:tab/>
        <w:t>282,099</w:t>
      </w:r>
    </w:p>
    <w:p>
      <w:pPr>
        <w:pStyle w:val="Heading2"/>
        <w:spacing w:before="189"/>
        <w:ind w:left="164"/>
      </w:pPr>
      <w:r>
        <w:rPr/>
        <w:t>Cash flows from investing activities:</w:t>
      </w:r>
    </w:p>
    <w:p>
      <w:pPr>
        <w:pStyle w:val="BodyText"/>
        <w:tabs>
          <w:tab w:pos="5190" w:val="left" w:leader="none"/>
        </w:tabs>
        <w:ind w:left="351"/>
        <w:jc w:val="both"/>
      </w:pPr>
      <w:r>
        <w:rPr/>
        <w:t>Purchases of property</w:t>
      </w:r>
      <w:r>
        <w:rPr>
          <w:spacing w:val="5"/>
        </w:rPr>
        <w:t> </w:t>
      </w:r>
      <w:r>
        <w:rPr/>
        <w:t>and</w:t>
      </w:r>
      <w:r>
        <w:rPr>
          <w:spacing w:val="3"/>
        </w:rPr>
        <w:t> </w:t>
      </w:r>
      <w:r>
        <w:rPr/>
        <w:t>equipment</w:t>
        <w:tab/>
      </w:r>
      <w:r>
        <w:rPr>
          <w:position w:val="-2"/>
          <w:u w:val="single"/>
        </w:rPr>
        <w:t>(788,649)                 (524,169)           </w:t>
      </w:r>
      <w:r>
        <w:rPr>
          <w:spacing w:val="21"/>
          <w:position w:val="-2"/>
          <w:u w:val="single"/>
        </w:rPr>
        <w:t> </w:t>
      </w:r>
      <w:r>
        <w:rPr>
          <w:position w:val="-2"/>
          <w:u w:val="single"/>
        </w:rPr>
        <w:t>(432,528)   </w:t>
      </w:r>
      <w:r>
        <w:rPr>
          <w:spacing w:val="-14"/>
          <w:position w:val="-2"/>
          <w:u w:val="single"/>
        </w:rPr>
        <w:t> </w:t>
      </w:r>
    </w:p>
    <w:p>
      <w:pPr>
        <w:pStyle w:val="BodyText"/>
        <w:tabs>
          <w:tab w:pos="5468" w:val="left" w:leader="none"/>
          <w:tab w:pos="7091" w:val="left" w:leader="none"/>
          <w:tab w:pos="8531" w:val="left" w:leader="none"/>
        </w:tabs>
        <w:spacing w:before="13"/>
        <w:ind w:left="524"/>
      </w:pPr>
      <w:r>
        <w:rPr/>
        <w:t>Net cash used in </w:t>
      </w:r>
      <w:r>
        <w:rPr>
          <w:spacing w:val="2"/>
        </w:rPr>
        <w:t>investing</w:t>
      </w:r>
      <w:r>
        <w:rPr>
          <w:spacing w:val="-1"/>
        </w:rPr>
        <w:t> </w:t>
      </w:r>
      <w:r>
        <w:rPr>
          <w:spacing w:val="2"/>
        </w:rPr>
        <w:t>activities</w:t>
        <w:tab/>
      </w:r>
      <w:r>
        <w:rPr>
          <w:position w:val="-2"/>
        </w:rPr>
        <w:t>(788,649)</w:t>
        <w:tab/>
        <w:t>(524,169)</w:t>
        <w:tab/>
        <w:t>(432,528)</w:t>
      </w:r>
    </w:p>
    <w:p>
      <w:pPr>
        <w:pStyle w:val="Heading2"/>
        <w:spacing w:before="190"/>
        <w:ind w:left="164"/>
      </w:pPr>
      <w:r>
        <w:rPr/>
        <w:t>Cash flows from financing activities:</w:t>
      </w:r>
    </w:p>
    <w:p>
      <w:pPr>
        <w:pStyle w:val="BodyText"/>
        <w:tabs>
          <w:tab w:pos="5535" w:val="left" w:leader="none"/>
          <w:tab w:pos="6126" w:val="left" w:leader="none"/>
          <w:tab w:pos="7259" w:val="left" w:leader="none"/>
          <w:tab w:pos="7748" w:val="left" w:leader="none"/>
          <w:tab w:pos="8598" w:val="left" w:leader="none"/>
          <w:tab w:pos="8699" w:val="left" w:leader="none"/>
        </w:tabs>
        <w:spacing w:before="1"/>
        <w:ind w:left="352" w:right="424"/>
        <w:jc w:val="both"/>
      </w:pPr>
      <w:r>
        <w:rPr/>
        <w:t>Issuance of</w:t>
      </w:r>
      <w:r>
        <w:rPr>
          <w:spacing w:val="-5"/>
        </w:rPr>
        <w:t> </w:t>
      </w:r>
      <w:r>
        <w:rPr/>
        <w:t>long-term</w:t>
      </w:r>
      <w:r>
        <w:rPr>
          <w:spacing w:val="3"/>
        </w:rPr>
        <w:t> </w:t>
      </w:r>
      <w:r>
        <w:rPr/>
        <w:t>debt</w:t>
        <w:tab/>
        <w:tab/>
      </w:r>
      <w:r>
        <w:rPr>
          <w:position w:val="-2"/>
        </w:rPr>
        <w:t>-</w:t>
        <w:tab/>
        <w:t>17,810</w:t>
        <w:tab/>
        <w:t>113,827 </w:t>
      </w:r>
      <w:r>
        <w:rPr/>
        <w:t>Proceeds from public common stock</w:t>
      </w:r>
      <w:r>
        <w:rPr>
          <w:spacing w:val="-11"/>
        </w:rPr>
        <w:t> </w:t>
      </w:r>
      <w:r>
        <w:rPr>
          <w:spacing w:val="2"/>
        </w:rPr>
        <w:t>offering(Note</w:t>
      </w:r>
      <w:r>
        <w:rPr>
          <w:spacing w:val="-34"/>
        </w:rPr>
        <w:t> </w:t>
      </w:r>
      <w:r>
        <w:rPr/>
        <w:t>8)</w:t>
        <w:tab/>
        <w:tab/>
      </w:r>
      <w:r>
        <w:rPr>
          <w:position w:val="-2"/>
        </w:rPr>
        <w:t>-</w:t>
        <w:tab/>
        <w:tab/>
        <w:t>-</w:t>
        <w:tab/>
        <w:tab/>
        <w:t>86,946 </w:t>
      </w:r>
      <w:r>
        <w:rPr/>
        <w:t>Proceeds from aircraft sale and</w:t>
      </w:r>
      <w:r>
        <w:rPr>
          <w:spacing w:val="23"/>
        </w:rPr>
        <w:t> </w:t>
      </w:r>
      <w:r>
        <w:rPr/>
        <w:t>leaseback</w:t>
      </w:r>
      <w:r>
        <w:rPr>
          <w:spacing w:val="3"/>
        </w:rPr>
        <w:t> </w:t>
      </w:r>
      <w:r>
        <w:rPr/>
        <w:t>transactions</w:t>
        <w:tab/>
      </w:r>
      <w:r>
        <w:rPr>
          <w:position w:val="-2"/>
        </w:rPr>
        <w:t>315,000</w:t>
        <w:tab/>
        <w:t>90,000</w:t>
        <w:tab/>
        <w:t>120,000 </w:t>
      </w:r>
      <w:r>
        <w:rPr/>
        <w:t>Proceeds from sale of preferred stock,</w:t>
      </w:r>
      <w:r>
        <w:rPr>
          <w:spacing w:val="-17"/>
        </w:rPr>
        <w:t> </w:t>
      </w:r>
      <w:r>
        <w:rPr/>
        <w:t>pooled</w:t>
      </w:r>
      <w:r>
        <w:rPr>
          <w:spacing w:val="2"/>
        </w:rPr>
        <w:t> </w:t>
      </w:r>
      <w:r>
        <w:rPr/>
        <w:t>company</w:t>
        <w:tab/>
        <w:tab/>
      </w:r>
      <w:r>
        <w:rPr>
          <w:position w:val="-2"/>
        </w:rPr>
        <w:t>-</w:t>
        <w:tab/>
        <w:tab/>
        <w:t>-</w:t>
        <w:tab/>
        <w:tab/>
        <w:t>14,638</w:t>
      </w:r>
    </w:p>
    <w:p>
      <w:pPr>
        <w:spacing w:after="0"/>
        <w:jc w:val="both"/>
        <w:sectPr>
          <w:type w:val="continuous"/>
          <w:pgSz w:w="12240" w:h="15840"/>
          <w:pgMar w:top="1420" w:bottom="280" w:left="1640" w:right="920"/>
        </w:sectPr>
      </w:pPr>
    </w:p>
    <w:p>
      <w:pPr>
        <w:pStyle w:val="BodyText"/>
        <w:spacing w:line="202" w:lineRule="exact" w:before="24"/>
        <w:ind w:left="352"/>
      </w:pPr>
      <w:r>
        <w:rPr/>
        <w:t>Payment of long-term debt and capital lease obligations</w:t>
      </w:r>
    </w:p>
    <w:p>
      <w:pPr>
        <w:pStyle w:val="BodyText"/>
        <w:tabs>
          <w:tab w:pos="1873" w:val="left" w:leader="none"/>
          <w:tab w:pos="3414" w:val="left" w:leader="none"/>
        </w:tabs>
        <w:spacing w:before="28"/>
        <w:ind w:left="352"/>
      </w:pPr>
      <w:r>
        <w:rPr/>
        <w:br w:type="column"/>
      </w:r>
      <w:r>
        <w:rPr/>
        <w:t>(63,071)</w:t>
        <w:tab/>
        <w:t>(120,098)</w:t>
        <w:tab/>
        <w:t>(10,358)</w:t>
      </w:r>
    </w:p>
    <w:p>
      <w:pPr>
        <w:spacing w:after="0"/>
        <w:sectPr>
          <w:type w:val="continuous"/>
          <w:pgSz w:w="12240" w:h="15840"/>
          <w:pgMar w:top="1420" w:bottom="280" w:left="1640" w:right="920"/>
          <w:cols w:num="2" w:equalWidth="0">
            <w:col w:w="3910" w:space="1308"/>
            <w:col w:w="4462"/>
          </w:cols>
        </w:sectPr>
      </w:pPr>
    </w:p>
    <w:p>
      <w:pPr>
        <w:pStyle w:val="BodyText"/>
        <w:tabs>
          <w:tab w:pos="5190" w:val="left" w:leader="none"/>
          <w:tab w:pos="5670" w:val="left" w:leader="none"/>
          <w:tab w:pos="5737" w:val="left" w:leader="none"/>
          <w:tab w:pos="6124" w:val="left" w:leader="none"/>
          <w:tab w:pos="6630" w:val="left" w:leader="none"/>
          <w:tab w:pos="7292" w:val="left" w:leader="none"/>
          <w:tab w:pos="7359" w:val="left" w:leader="none"/>
          <w:tab w:pos="7645" w:val="left" w:leader="none"/>
          <w:tab w:pos="7748" w:val="left" w:leader="none"/>
          <w:tab w:pos="8732" w:val="left" w:leader="none"/>
          <w:tab w:pos="8799" w:val="left" w:leader="none"/>
          <w:tab w:pos="8951" w:val="left" w:leader="none"/>
          <w:tab w:pos="9510" w:val="left" w:leader="none"/>
        </w:tabs>
        <w:spacing w:before="12"/>
        <w:ind w:left="352" w:right="167"/>
      </w:pPr>
      <w:r>
        <w:rPr/>
        <w:t>Payment </w:t>
      </w:r>
      <w:r>
        <w:rPr>
          <w:spacing w:val="2"/>
        </w:rPr>
        <w:t>of</w:t>
      </w:r>
      <w:r>
        <w:rPr>
          <w:spacing w:val="1"/>
        </w:rPr>
        <w:t> </w:t>
      </w:r>
      <w:r>
        <w:rPr/>
        <w:t>cash dividends</w:t>
        <w:tab/>
        <w:tab/>
      </w:r>
      <w:r>
        <w:rPr>
          <w:position w:val="-2"/>
        </w:rPr>
        <w:t>(5,722)</w:t>
        <w:tab/>
        <w:tab/>
        <w:t>(5,376)</w:t>
        <w:tab/>
        <w:t>(4,890) </w:t>
      </w:r>
      <w:r>
        <w:rPr/>
        <w:t>Cash distributions of pooled</w:t>
      </w:r>
      <w:r>
        <w:rPr>
          <w:spacing w:val="9"/>
        </w:rPr>
        <w:t> </w:t>
      </w:r>
      <w:r>
        <w:rPr/>
        <w:t>company(Note</w:t>
      </w:r>
      <w:r>
        <w:rPr>
          <w:spacing w:val="-1"/>
        </w:rPr>
        <w:t> </w:t>
      </w:r>
      <w:r>
        <w:rPr/>
        <w:t>2)</w:t>
        <w:tab/>
        <w:tab/>
        <w:tab/>
        <w:tab/>
      </w:r>
      <w:r>
        <w:rPr>
          <w:position w:val="-2"/>
        </w:rPr>
        <w:t>-</w:t>
        <w:tab/>
        <w:tab/>
        <w:tab/>
        <w:tab/>
        <w:tab/>
        <w:t>-</w:t>
        <w:tab/>
        <w:t>(5,389) </w:t>
      </w:r>
      <w:r>
        <w:rPr/>
        <w:t>Proceeds from Employee</w:t>
      </w:r>
      <w:r>
        <w:rPr>
          <w:spacing w:val="-5"/>
        </w:rPr>
        <w:t> </w:t>
      </w:r>
      <w:r>
        <w:rPr/>
        <w:t>stock</w:t>
      </w:r>
      <w:r>
        <w:rPr>
          <w:spacing w:val="-2"/>
        </w:rPr>
        <w:t> </w:t>
      </w:r>
      <w:r>
        <w:rPr/>
        <w:t>plans</w:t>
        <w:tab/>
        <w:tab/>
        <w:tab/>
      </w:r>
      <w:r>
        <w:rPr>
          <w:position w:val="-2"/>
        </w:rPr>
        <w:t>8,743</w:t>
        <w:tab/>
        <w:tab/>
        <w:tab/>
        <w:t>6,743</w:t>
        <w:tab/>
        <w:tab/>
        <w:t>3,517 </w:t>
      </w:r>
      <w:r>
        <w:rPr>
          <w:position w:val="3"/>
        </w:rPr>
        <w:t>Other</w:t>
        <w:tab/>
      </w:r>
      <w:r>
        <w:rPr>
          <w:u w:val="single"/>
        </w:rPr>
        <w:t> </w:t>
        <w:tab/>
        <w:tab/>
        <w:tab/>
        <w:t>-</w:t>
        <w:tab/>
        <w:t> </w:t>
        <w:tab/>
        <w:tab/>
        <w:tab/>
        <w:t>(7) </w:t>
        <w:tab/>
        <w:tab/>
        <w:tab/>
        <w:t>802</w:t>
        <w:tab/>
      </w:r>
    </w:p>
    <w:p>
      <w:pPr>
        <w:pStyle w:val="BodyText"/>
        <w:tabs>
          <w:tab w:pos="5190" w:val="left" w:leader="none"/>
          <w:tab w:pos="5468" w:val="left" w:leader="none"/>
          <w:tab w:pos="5533" w:val="left" w:leader="none"/>
          <w:tab w:pos="6632" w:val="left" w:leader="none"/>
          <w:tab w:pos="7091" w:val="left" w:leader="none"/>
          <w:tab w:pos="7156" w:val="left" w:leader="none"/>
          <w:tab w:pos="7189" w:val="left" w:leader="none"/>
          <w:tab w:pos="8072" w:val="left" w:leader="none"/>
          <w:tab w:pos="8596" w:val="left" w:leader="none"/>
          <w:tab w:pos="9512" w:val="left" w:leader="none"/>
        </w:tabs>
        <w:spacing w:line="249" w:lineRule="auto" w:before="14"/>
        <w:ind w:left="351" w:right="165" w:firstLine="172"/>
      </w:pPr>
      <w:r>
        <w:rPr/>
        <w:t>Net cash provided by </w:t>
      </w:r>
      <w:r>
        <w:rPr>
          <w:spacing w:val="2"/>
        </w:rPr>
        <w:t>(used </w:t>
      </w:r>
      <w:r>
        <w:rPr/>
        <w:t>in)</w:t>
      </w:r>
      <w:r>
        <w:rPr>
          <w:spacing w:val="-7"/>
        </w:rPr>
        <w:t> </w:t>
      </w:r>
      <w:r>
        <w:rPr/>
        <w:t>financing</w:t>
      </w:r>
      <w:r>
        <w:rPr>
          <w:spacing w:val="-3"/>
        </w:rPr>
        <w:t> </w:t>
      </w:r>
      <w:r>
        <w:rPr>
          <w:spacing w:val="2"/>
        </w:rPr>
        <w:t>activities</w:t>
        <w:tab/>
      </w:r>
      <w:r>
        <w:rPr>
          <w:spacing w:val="2"/>
          <w:position w:val="-2"/>
          <w:u w:val="single"/>
        </w:rPr>
        <w:t> </w:t>
        <w:tab/>
        <w:tab/>
      </w:r>
      <w:r>
        <w:rPr>
          <w:position w:val="-2"/>
          <w:u w:val="single"/>
        </w:rPr>
        <w:t>254,950</w:t>
        <w:tab/>
        <w:t> </w:t>
        <w:tab/>
        <w:tab/>
        <w:tab/>
        <w:t>(10,928) </w:t>
        <w:tab/>
        <w:tab/>
        <w:t>319,094</w:t>
        <w:tab/>
      </w:r>
      <w:r>
        <w:rPr>
          <w:position w:val="-2"/>
        </w:rPr>
        <w:t> </w:t>
      </w:r>
      <w:r>
        <w:rPr/>
        <w:t>Net increase </w:t>
      </w:r>
      <w:r>
        <w:rPr>
          <w:spacing w:val="2"/>
        </w:rPr>
        <w:t>(decrease) </w:t>
      </w:r>
      <w:r>
        <w:rPr/>
        <w:t>in cash and</w:t>
      </w:r>
      <w:r>
        <w:rPr>
          <w:spacing w:val="10"/>
        </w:rPr>
        <w:t> </w:t>
      </w:r>
      <w:r>
        <w:rPr/>
        <w:t>cash</w:t>
      </w:r>
      <w:r>
        <w:rPr>
          <w:spacing w:val="2"/>
        </w:rPr>
        <w:t> </w:t>
      </w:r>
      <w:r>
        <w:rPr/>
        <w:t>equivalents</w:t>
        <w:tab/>
        <w:tab/>
      </w:r>
      <w:r>
        <w:rPr>
          <w:position w:val="-2"/>
        </w:rPr>
        <w:t>(121,033)</w:t>
        <w:tab/>
        <w:tab/>
        <w:t>(142,418)</w:t>
        <w:tab/>
        <w:tab/>
        <w:t>168,665 </w:t>
      </w:r>
      <w:r>
        <w:rPr/>
        <w:t>Cash and cash </w:t>
      </w:r>
      <w:r>
        <w:rPr>
          <w:spacing w:val="2"/>
        </w:rPr>
        <w:t>equivalents </w:t>
      </w:r>
      <w:r>
        <w:rPr/>
        <w:t>at beginning</w:t>
      </w:r>
      <w:r>
        <w:rPr>
          <w:spacing w:val="18"/>
        </w:rPr>
        <w:t> </w:t>
      </w:r>
      <w:r>
        <w:rPr>
          <w:spacing w:val="3"/>
        </w:rPr>
        <w:t>of</w:t>
      </w:r>
      <w:r>
        <w:rPr>
          <w:spacing w:val="2"/>
        </w:rPr>
        <w:t> </w:t>
      </w:r>
      <w:r>
        <w:rPr/>
        <w:t>period</w:t>
        <w:tab/>
      </w:r>
      <w:r>
        <w:rPr>
          <w:position w:val="-2"/>
          <w:u w:val="single"/>
        </w:rPr>
        <w:t> </w:t>
        <w:tab/>
        <w:tab/>
        <w:t>295,571</w:t>
        <w:tab/>
        <w:t> </w:t>
        <w:tab/>
        <w:tab/>
        <w:t>437,989</w:t>
        <w:tab/>
        <w:t> </w:t>
        <w:tab/>
        <w:t>269,324</w:t>
        <w:tab/>
      </w:r>
      <w:r>
        <w:rPr>
          <w:position w:val="-2"/>
        </w:rPr>
        <w:t> </w:t>
      </w:r>
      <w:r>
        <w:rPr/>
        <w:t>Cash and cash equivalents at end</w:t>
      </w:r>
      <w:r>
        <w:rPr>
          <w:spacing w:val="28"/>
        </w:rPr>
        <w:t> </w:t>
      </w:r>
      <w:r>
        <w:rPr>
          <w:spacing w:val="2"/>
        </w:rPr>
        <w:t>of</w:t>
      </w:r>
      <w:r>
        <w:rPr>
          <w:spacing w:val="4"/>
        </w:rPr>
        <w:t> </w:t>
      </w:r>
      <w:r>
        <w:rPr/>
        <w:t>period</w:t>
        <w:tab/>
      </w:r>
      <w:r>
        <w:rPr>
          <w:position w:val="-2"/>
          <w:u w:val="single"/>
        </w:rPr>
        <w:t>$174,538</w:t>
        <w:tab/>
        <w:t>$295,571</w:t>
        <w:tab/>
        <w:t>$437,989</w:t>
        <w:tab/>
      </w:r>
    </w:p>
    <w:p>
      <w:pPr>
        <w:pStyle w:val="Heading2"/>
        <w:spacing w:before="194" w:after="8"/>
        <w:ind w:left="164"/>
      </w:pPr>
      <w:r>
        <w:rPr/>
        <w:t>Cash payments for:</w:t>
      </w:r>
    </w:p>
    <w:tbl>
      <w:tblPr>
        <w:tblW w:w="0" w:type="auto"/>
        <w:jc w:val="left"/>
        <w:tblInd w:w="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27"/>
        <w:gridCol w:w="2346"/>
        <w:gridCol w:w="1531"/>
        <w:gridCol w:w="1098"/>
      </w:tblGrid>
      <w:tr>
        <w:trPr>
          <w:trHeight w:val="256" w:hRule="exact"/>
        </w:trPr>
        <w:tc>
          <w:tcPr>
            <w:tcW w:w="4027" w:type="dxa"/>
          </w:tcPr>
          <w:p>
            <w:pPr>
              <w:pStyle w:val="TableParagraph"/>
              <w:spacing w:line="223" w:lineRule="exact" w:before="0"/>
              <w:ind w:left="50"/>
              <w:rPr>
                <w:sz w:val="20"/>
              </w:rPr>
            </w:pPr>
            <w:r>
              <w:rPr>
                <w:sz w:val="20"/>
              </w:rPr>
              <w:t>Interest, net of amount capitalized</w:t>
            </w:r>
          </w:p>
        </w:tc>
        <w:tc>
          <w:tcPr>
            <w:tcW w:w="2346" w:type="dxa"/>
          </w:tcPr>
          <w:p>
            <w:pPr>
              <w:pStyle w:val="TableParagraph"/>
              <w:spacing w:before="21"/>
              <w:ind w:right="481"/>
              <w:jc w:val="right"/>
              <w:rPr>
                <w:sz w:val="20"/>
              </w:rPr>
            </w:pPr>
            <w:r>
              <w:rPr>
                <w:sz w:val="20"/>
              </w:rPr>
              <w:t>$26,598</w:t>
            </w:r>
          </w:p>
        </w:tc>
        <w:tc>
          <w:tcPr>
            <w:tcW w:w="1531" w:type="dxa"/>
          </w:tcPr>
          <w:p>
            <w:pPr>
              <w:pStyle w:val="TableParagraph"/>
              <w:spacing w:before="21"/>
              <w:ind w:right="390"/>
              <w:jc w:val="right"/>
              <w:rPr>
                <w:sz w:val="20"/>
              </w:rPr>
            </w:pPr>
            <w:r>
              <w:rPr>
                <w:sz w:val="20"/>
              </w:rPr>
              <w:t>$43,161</w:t>
            </w:r>
          </w:p>
        </w:tc>
        <w:tc>
          <w:tcPr>
            <w:tcW w:w="1098" w:type="dxa"/>
          </w:tcPr>
          <w:p>
            <w:pPr>
              <w:pStyle w:val="TableParagraph"/>
              <w:spacing w:before="21"/>
              <w:ind w:right="48"/>
              <w:jc w:val="right"/>
              <w:rPr>
                <w:sz w:val="20"/>
              </w:rPr>
            </w:pPr>
            <w:r>
              <w:rPr>
                <w:sz w:val="20"/>
              </w:rPr>
              <w:t>$39,936</w:t>
            </w:r>
          </w:p>
        </w:tc>
      </w:tr>
      <w:tr>
        <w:trPr>
          <w:trHeight w:val="256" w:hRule="exact"/>
        </w:trPr>
        <w:tc>
          <w:tcPr>
            <w:tcW w:w="4027" w:type="dxa"/>
          </w:tcPr>
          <w:p>
            <w:pPr>
              <w:pStyle w:val="TableParagraph"/>
              <w:spacing w:line="226" w:lineRule="exact" w:before="0"/>
              <w:ind w:left="50"/>
              <w:rPr>
                <w:sz w:val="20"/>
              </w:rPr>
            </w:pPr>
            <w:r>
              <w:rPr>
                <w:sz w:val="20"/>
              </w:rPr>
              <w:t>Income taxes</w:t>
            </w:r>
          </w:p>
        </w:tc>
        <w:tc>
          <w:tcPr>
            <w:tcW w:w="2346" w:type="dxa"/>
          </w:tcPr>
          <w:p>
            <w:pPr>
              <w:pStyle w:val="TableParagraph"/>
              <w:spacing w:before="25"/>
              <w:ind w:right="481"/>
              <w:jc w:val="right"/>
              <w:rPr>
                <w:sz w:val="20"/>
              </w:rPr>
            </w:pPr>
            <w:r>
              <w:rPr>
                <w:sz w:val="20"/>
              </w:rPr>
              <w:t>80,461</w:t>
            </w:r>
          </w:p>
        </w:tc>
        <w:tc>
          <w:tcPr>
            <w:tcW w:w="1531" w:type="dxa"/>
          </w:tcPr>
          <w:p>
            <w:pPr>
              <w:pStyle w:val="TableParagraph"/>
              <w:spacing w:before="25"/>
              <w:ind w:right="390"/>
              <w:jc w:val="right"/>
              <w:rPr>
                <w:sz w:val="20"/>
              </w:rPr>
            </w:pPr>
            <w:r>
              <w:rPr>
                <w:sz w:val="20"/>
              </w:rPr>
              <w:t>45,292</w:t>
            </w:r>
          </w:p>
        </w:tc>
        <w:tc>
          <w:tcPr>
            <w:tcW w:w="1098" w:type="dxa"/>
          </w:tcPr>
          <w:p>
            <w:pPr>
              <w:pStyle w:val="TableParagraph"/>
              <w:spacing w:before="25"/>
              <w:ind w:right="48"/>
              <w:jc w:val="right"/>
              <w:rPr>
                <w:sz w:val="20"/>
              </w:rPr>
            </w:pPr>
            <w:r>
              <w:rPr>
                <w:sz w:val="20"/>
              </w:rPr>
              <w:t>27,728</w:t>
            </w:r>
          </w:p>
        </w:tc>
      </w:tr>
    </w:tbl>
    <w:p>
      <w:pPr>
        <w:spacing w:after="0"/>
        <w:jc w:val="right"/>
        <w:rPr>
          <w:sz w:val="20"/>
        </w:rPr>
        <w:sectPr>
          <w:type w:val="continuous"/>
          <w:pgSz w:w="12240" w:h="15840"/>
          <w:pgMar w:top="1420" w:bottom="280" w:left="1640" w:right="920"/>
        </w:sectPr>
      </w:pPr>
    </w:p>
    <w:p>
      <w:pPr>
        <w:pStyle w:val="BodyText"/>
        <w:rPr>
          <w:rFonts w:ascii="Arial"/>
          <w:b/>
        </w:rPr>
      </w:pPr>
    </w:p>
    <w:p>
      <w:pPr>
        <w:pStyle w:val="BodyText"/>
        <w:spacing w:before="9"/>
        <w:rPr>
          <w:rFonts w:ascii="Arial"/>
          <w:b/>
          <w:sz w:val="24"/>
        </w:rPr>
      </w:pPr>
    </w:p>
    <w:p>
      <w:pPr>
        <w:pStyle w:val="Heading1"/>
      </w:pPr>
      <w:r>
        <w:rPr/>
        <w:pict>
          <v:line style="position:absolute;mso-position-horizontal-relative:page;mso-position-vertical-relative:paragraph;z-index:9544;mso-wrap-distance-left:0;mso-wrap-distance-right:0" from="88.559998pt,27.763792pt" to="559.439998pt,27.763792pt" stroked="true" strokeweight="1.44pt" strokecolor="#000000">
            <v:stroke dashstyle="solid"/>
            <w10:wrap type="topAndBottom"/>
          </v:line>
        </w:pict>
      </w:r>
      <w:bookmarkStart w:name="_TOC_250005" w:id="16"/>
      <w:bookmarkEnd w:id="16"/>
      <w:r>
        <w:rPr/>
        <w:t>Notes to Consolidated Financial Statements</w:t>
      </w:r>
    </w:p>
    <w:p>
      <w:pPr>
        <w:pStyle w:val="BodyText"/>
        <w:rPr>
          <w:rFonts w:ascii="Arial"/>
        </w:rPr>
      </w:pPr>
    </w:p>
    <w:p>
      <w:pPr>
        <w:pStyle w:val="BodyText"/>
        <w:spacing w:before="8"/>
        <w:rPr>
          <w:rFonts w:ascii="Arial"/>
          <w:sz w:val="21"/>
        </w:rPr>
      </w:pPr>
    </w:p>
    <w:p>
      <w:pPr>
        <w:pStyle w:val="Heading2"/>
        <w:numPr>
          <w:ilvl w:val="0"/>
          <w:numId w:val="3"/>
        </w:numPr>
        <w:tabs>
          <w:tab w:pos="1164" w:val="left" w:leader="none"/>
        </w:tabs>
        <w:spacing w:line="240" w:lineRule="auto" w:before="96" w:after="0"/>
        <w:ind w:left="1163" w:right="0" w:hanging="283"/>
        <w:jc w:val="left"/>
      </w:pPr>
      <w:r>
        <w:rPr/>
        <w:t>Summary Of Significant Accounting</w:t>
      </w:r>
      <w:r>
        <w:rPr>
          <w:spacing w:val="30"/>
        </w:rPr>
        <w:t> </w:t>
      </w:r>
      <w:r>
        <w:rPr/>
        <w:t>Policies</w:t>
      </w:r>
    </w:p>
    <w:p>
      <w:pPr>
        <w:pStyle w:val="BodyText"/>
        <w:spacing w:line="249" w:lineRule="auto" w:before="130"/>
        <w:ind w:left="880" w:right="316"/>
      </w:pPr>
      <w:r>
        <w:rPr>
          <w:rFonts w:ascii="Arial"/>
          <w:i/>
        </w:rPr>
        <w:t>B</w:t>
      </w:r>
      <w:r>
        <w:rPr>
          <w:rFonts w:ascii="Arial"/>
          <w:i/>
          <w:sz w:val="16"/>
        </w:rPr>
        <w:t>ASIS OF PRESENTATION </w:t>
      </w:r>
      <w:r>
        <w:rPr/>
        <w:t>The consolidated financial statements include the accounts of Southwest Airlines Co. (Southwest) and its wholly owned subsidiaries (the Company). All significant intercompany balances and transactions have been eliminated. Certain prior year amounts have been reclassified for comparison purposes.</w:t>
      </w:r>
    </w:p>
    <w:p>
      <w:pPr>
        <w:pStyle w:val="BodyText"/>
        <w:spacing w:line="249" w:lineRule="auto" w:before="120"/>
        <w:ind w:left="879"/>
      </w:pPr>
      <w:r>
        <w:rPr>
          <w:rFonts w:ascii="Arial"/>
          <w:i/>
        </w:rPr>
        <w:t>C</w:t>
      </w:r>
      <w:r>
        <w:rPr>
          <w:rFonts w:ascii="Arial"/>
          <w:i/>
          <w:sz w:val="16"/>
        </w:rPr>
        <w:t>ASH AND CASH EQUIVALENTS </w:t>
      </w:r>
      <w:r>
        <w:rPr/>
        <w:t>Cash equivalents consist of investment grade commercial paper issued by major financial institutions that are highly liquid and have original maturity dates of three months or less. Cash and cash equivalents are carried at cost, which approximates market value.</w:t>
      </w:r>
    </w:p>
    <w:p>
      <w:pPr>
        <w:pStyle w:val="BodyText"/>
        <w:spacing w:line="249" w:lineRule="auto" w:before="120"/>
        <w:ind w:left="879" w:right="167"/>
      </w:pPr>
      <w:r>
        <w:rPr>
          <w:rFonts w:ascii="Arial"/>
          <w:i/>
        </w:rPr>
        <w:t>I</w:t>
      </w:r>
      <w:r>
        <w:rPr>
          <w:rFonts w:ascii="Arial"/>
          <w:i/>
          <w:sz w:val="16"/>
        </w:rPr>
        <w:t>NVENTORIES </w:t>
      </w:r>
      <w:r>
        <w:rPr/>
        <w:t>Inventories of flight equipment expendable parts, materials, and supplies are carried at average cost. These items are charged to expense when issued for use.</w:t>
      </w:r>
    </w:p>
    <w:p>
      <w:pPr>
        <w:pStyle w:val="BodyText"/>
        <w:spacing w:line="249" w:lineRule="auto" w:before="120"/>
        <w:ind w:left="879" w:right="269"/>
      </w:pPr>
      <w:r>
        <w:rPr>
          <w:rFonts w:ascii="Arial"/>
          <w:i/>
        </w:rPr>
        <w:t>P</w:t>
      </w:r>
      <w:r>
        <w:rPr>
          <w:rFonts w:ascii="Arial"/>
          <w:i/>
          <w:sz w:val="16"/>
        </w:rPr>
        <w:t>ROPERTY AND EQUIPMENT </w:t>
      </w:r>
      <w:r>
        <w:rPr/>
        <w:t>Depreciation is provided by the straight-line method to residual values over periods ranging from 15 to 20 years for flight equipment (see Note 3) and 3 to 30 years for ground property and equipment. Property under capital leases and related obligations are recorded at an amount equal to the present value of future minimum lease payments computed on the basis of the lessee's incremental borrowing rate or, when known, the interest rate implicit in the lease. Amortization of property under capital leases is on a straight-line basis over the lease term and is included in depreciation expense.</w:t>
      </w:r>
    </w:p>
    <w:p>
      <w:pPr>
        <w:pStyle w:val="BodyText"/>
        <w:spacing w:line="249" w:lineRule="auto" w:before="120"/>
        <w:ind w:left="880" w:right="215"/>
      </w:pPr>
      <w:r>
        <w:rPr>
          <w:rFonts w:ascii="Arial"/>
          <w:i/>
        </w:rPr>
        <w:t>A</w:t>
      </w:r>
      <w:r>
        <w:rPr>
          <w:rFonts w:ascii="Arial"/>
          <w:i/>
          <w:sz w:val="16"/>
        </w:rPr>
        <w:t>IRCRAFT AND ENGINE MAINTENANCE </w:t>
      </w:r>
      <w:r>
        <w:rPr/>
        <w:t>The cost of engine overhauls and routine maintenance costs for aircraft and engine maintenance are charged to maintenance expense as incurred. Scheduled airframe overhaul costs are capitalized at amounts not to exceed the fair market value of the related aircraft and amortized over the estimated periods benefited, presently 8 years. Modifications that significantly enhance the operating performance or extend the useful lives of aircraft or engines are capitalized and amortized over the remaining life of the asset.</w:t>
      </w:r>
    </w:p>
    <w:p>
      <w:pPr>
        <w:pStyle w:val="BodyText"/>
        <w:spacing w:line="249" w:lineRule="auto" w:before="120"/>
        <w:ind w:left="879" w:right="412"/>
      </w:pPr>
      <w:r>
        <w:rPr>
          <w:rFonts w:ascii="Arial" w:hAnsi="Arial"/>
          <w:i/>
        </w:rPr>
        <w:t>R</w:t>
      </w:r>
      <w:r>
        <w:rPr>
          <w:rFonts w:ascii="Arial" w:hAnsi="Arial"/>
          <w:i/>
          <w:sz w:val="16"/>
        </w:rPr>
        <w:t>EVENUE RECOGNITION </w:t>
      </w:r>
      <w:r>
        <w:rPr/>
        <w:t>Passenger revenue is recognized when the transportation is provided. Tickets sold but not yet used are included in “Air traffic liability.”</w:t>
      </w:r>
    </w:p>
    <w:p>
      <w:pPr>
        <w:pStyle w:val="BodyText"/>
        <w:spacing w:line="249" w:lineRule="auto" w:before="120"/>
        <w:ind w:left="879"/>
      </w:pPr>
      <w:r>
        <w:rPr>
          <w:rFonts w:ascii="Arial"/>
          <w:i/>
        </w:rPr>
        <w:t>F</w:t>
      </w:r>
      <w:r>
        <w:rPr>
          <w:rFonts w:ascii="Arial"/>
          <w:i/>
          <w:sz w:val="16"/>
        </w:rPr>
        <w:t>REQUENT FLYER AWARDS </w:t>
      </w:r>
      <w:r>
        <w:rPr/>
        <w:t>The Company accrues the estimated incremental cost of providing free travel awards earned under its Company Club Frequent Flyer program.</w:t>
      </w:r>
    </w:p>
    <w:p>
      <w:pPr>
        <w:pStyle w:val="BodyText"/>
        <w:spacing w:line="249" w:lineRule="auto" w:before="120"/>
        <w:ind w:left="880" w:right="412"/>
      </w:pPr>
      <w:r>
        <w:rPr>
          <w:rFonts w:ascii="Arial"/>
          <w:i/>
        </w:rPr>
        <w:t>A</w:t>
      </w:r>
      <w:r>
        <w:rPr>
          <w:rFonts w:ascii="Arial"/>
          <w:i/>
          <w:sz w:val="16"/>
        </w:rPr>
        <w:t>DVERTISING </w:t>
      </w:r>
      <w:r>
        <w:rPr/>
        <w:t>The Company expenses the production costs of advertising as incurred. Advertising expense for the years ended December 31, 1994, 1993, and 1992 was $79,475,000, $55,344,000,  and</w:t>
      </w:r>
    </w:p>
    <w:p>
      <w:pPr>
        <w:pStyle w:val="BodyText"/>
        <w:spacing w:before="1"/>
        <w:ind w:left="880"/>
      </w:pPr>
      <w:r>
        <w:rPr/>
        <w:t>$42,068,000, respectively.</w:t>
      </w:r>
    </w:p>
    <w:p>
      <w:pPr>
        <w:pStyle w:val="BodyText"/>
        <w:spacing w:before="7"/>
        <w:rPr>
          <w:sz w:val="21"/>
        </w:rPr>
      </w:pPr>
    </w:p>
    <w:p>
      <w:pPr>
        <w:pStyle w:val="Heading2"/>
        <w:numPr>
          <w:ilvl w:val="0"/>
          <w:numId w:val="3"/>
        </w:numPr>
        <w:tabs>
          <w:tab w:pos="1164" w:val="left" w:leader="none"/>
        </w:tabs>
        <w:spacing w:line="240" w:lineRule="auto" w:before="0" w:after="0"/>
        <w:ind w:left="1163" w:right="0" w:hanging="283"/>
        <w:jc w:val="left"/>
      </w:pPr>
      <w:r>
        <w:rPr/>
        <w:t>Acquisition</w:t>
      </w:r>
    </w:p>
    <w:p>
      <w:pPr>
        <w:pStyle w:val="BodyText"/>
        <w:spacing w:line="249" w:lineRule="auto" w:before="130"/>
        <w:ind w:left="880" w:right="269"/>
      </w:pPr>
      <w:r>
        <w:rPr/>
        <w:t>On December 31, 1993, Southwest exchanged 3,574,656 newly issued shares of its common stock for all of the outstanding stock of Morris Air Corporation (Morris), a low-fare commercial/charter air carrier based in Salt Lake City. The acquisition was accounted for as a pooling of interests and, accordingly, the Company's consolidated financial statements were restated to include the accounts and operations of Morris for all periods prior to the acquisition.</w:t>
      </w:r>
    </w:p>
    <w:p>
      <w:pPr>
        <w:spacing w:after="0" w:line="249" w:lineRule="auto"/>
        <w:sectPr>
          <w:headerReference w:type="default" r:id="rId29"/>
          <w:pgSz w:w="12240" w:h="15840"/>
          <w:pgMar w:header="725" w:footer="746" w:top="940" w:bottom="940" w:left="1640" w:right="920"/>
        </w:sectPr>
      </w:pPr>
    </w:p>
    <w:p>
      <w:pPr>
        <w:pStyle w:val="BodyText"/>
      </w:pPr>
    </w:p>
    <w:p>
      <w:pPr>
        <w:pStyle w:val="BodyText"/>
        <w:spacing w:before="4"/>
        <w:rPr>
          <w:sz w:val="25"/>
        </w:rPr>
      </w:pPr>
    </w:p>
    <w:p>
      <w:pPr>
        <w:pStyle w:val="BodyText"/>
        <w:spacing w:line="249" w:lineRule="auto" w:before="94"/>
        <w:ind w:left="819" w:right="184"/>
      </w:pPr>
      <w:r>
        <w:rPr/>
        <w:t>Prior to 1993, Morris was treated as an S-Corporation for federal and state income tax purposes under applicable provisions of the Internal Revenue Code and various state tax laws. Therefore, no provision for income taxes was made prior to 1993. Morris made regular cash distributions to its shareholders sufficient to meet their tax liabilities. Upon termination of S-Corporation status on December 31, 1992, the undistributed S-Corporation retained earnings were reclassified to capital in excess of par value.</w:t>
      </w:r>
    </w:p>
    <w:p>
      <w:pPr>
        <w:pStyle w:val="BodyText"/>
        <w:spacing w:line="249" w:lineRule="auto" w:before="1"/>
        <w:ind w:left="819" w:right="162"/>
      </w:pPr>
      <w:r>
        <w:rPr/>
        <w:t>Additionally, Morris established $3,032,000 </w:t>
      </w:r>
      <w:r>
        <w:rPr>
          <w:spacing w:val="2"/>
        </w:rPr>
        <w:t>of </w:t>
      </w:r>
      <w:r>
        <w:rPr/>
        <w:t>deferred income taxes for the cumulative differences in </w:t>
      </w:r>
      <w:r>
        <w:rPr>
          <w:spacing w:val="2"/>
        </w:rPr>
        <w:t>the </w:t>
      </w:r>
      <w:r>
        <w:rPr/>
        <w:t>timing </w:t>
      </w:r>
      <w:r>
        <w:rPr>
          <w:spacing w:val="2"/>
        </w:rPr>
        <w:t>of reporting </w:t>
      </w:r>
      <w:r>
        <w:rPr/>
        <w:t>certain items for financial statement and income tax purposes. </w:t>
      </w:r>
      <w:r>
        <w:rPr>
          <w:spacing w:val="2"/>
        </w:rPr>
        <w:t>These </w:t>
      </w:r>
      <w:r>
        <w:rPr/>
        <w:t>deferred taxes related primarily </w:t>
      </w:r>
      <w:r>
        <w:rPr>
          <w:spacing w:val="2"/>
        </w:rPr>
        <w:t>to </w:t>
      </w:r>
      <w:r>
        <w:rPr/>
        <w:t>depreciation. The establishment </w:t>
      </w:r>
      <w:r>
        <w:rPr>
          <w:spacing w:val="2"/>
        </w:rPr>
        <w:t>of </w:t>
      </w:r>
      <w:r>
        <w:rPr/>
        <w:t>deferred taxes was </w:t>
      </w:r>
      <w:r>
        <w:rPr>
          <w:spacing w:val="4"/>
        </w:rPr>
        <w:t>offset </w:t>
      </w:r>
      <w:r>
        <w:rPr/>
        <w:t>by a reduction </w:t>
      </w:r>
      <w:r>
        <w:rPr>
          <w:spacing w:val="2"/>
        </w:rPr>
        <w:t>of </w:t>
      </w:r>
      <w:r>
        <w:rPr/>
        <w:t>capital in excess </w:t>
      </w:r>
      <w:r>
        <w:rPr>
          <w:spacing w:val="2"/>
        </w:rPr>
        <w:t>of </w:t>
      </w:r>
      <w:r>
        <w:rPr/>
        <w:t>par value.</w:t>
      </w:r>
    </w:p>
    <w:p>
      <w:pPr>
        <w:pStyle w:val="BodyText"/>
        <w:spacing w:line="249" w:lineRule="auto" w:before="121"/>
        <w:ind w:left="819" w:right="258"/>
      </w:pPr>
      <w:r>
        <w:rPr/>
        <w:t>Merger expenses of $10,803,000 relating to the merger of Southwest and Morris have been included in 1993 operating expenses as required for financial reporting purposes; however, these expenses have been separately reported as “merger expenses” to reflect the impact of the nonrecurring expenses on operating results. Included in these one-time costs resulting from the merger were $1,900,000 of various professional fees; $4,703,000 for disposal of duplicate or incompatible property and equipment; and</w:t>
      </w:r>
    </w:p>
    <w:p>
      <w:pPr>
        <w:pStyle w:val="BodyText"/>
        <w:spacing w:line="249" w:lineRule="auto" w:before="1"/>
        <w:ind w:left="819" w:right="258"/>
      </w:pPr>
      <w:r>
        <w:rPr/>
        <w:t>$4,200,000 for Employee relocation and severance costs related to elimination of duplicate or incompatible operations. During 1994, the integration of Morris into Southwest was substantially completed, including the disposal of incompatible property and equipment and settlement of Employee relocation and severance costs.</w:t>
      </w:r>
    </w:p>
    <w:p>
      <w:pPr>
        <w:pStyle w:val="BodyText"/>
        <w:spacing w:before="10"/>
      </w:pPr>
    </w:p>
    <w:p>
      <w:pPr>
        <w:pStyle w:val="Heading2"/>
        <w:numPr>
          <w:ilvl w:val="0"/>
          <w:numId w:val="3"/>
        </w:numPr>
        <w:tabs>
          <w:tab w:pos="1104" w:val="left" w:leader="none"/>
        </w:tabs>
        <w:spacing w:line="240" w:lineRule="auto" w:before="0" w:after="0"/>
        <w:ind w:left="1103" w:right="0" w:hanging="283"/>
        <w:jc w:val="left"/>
      </w:pPr>
      <w:r>
        <w:rPr/>
        <w:t>Accounting</w:t>
      </w:r>
      <w:r>
        <w:rPr>
          <w:spacing w:val="9"/>
        </w:rPr>
        <w:t> </w:t>
      </w:r>
      <w:r>
        <w:rPr/>
        <w:t>Changes</w:t>
      </w:r>
    </w:p>
    <w:p>
      <w:pPr>
        <w:pStyle w:val="BodyText"/>
        <w:spacing w:line="249" w:lineRule="auto" w:before="131"/>
        <w:ind w:left="819" w:right="258"/>
      </w:pPr>
      <w:r>
        <w:rPr/>
        <w:t>Income Taxes Effective January 1, 1993, the Company adopted Statement </w:t>
      </w:r>
      <w:r>
        <w:rPr>
          <w:spacing w:val="2"/>
        </w:rPr>
        <w:t>of </w:t>
      </w:r>
      <w:r>
        <w:rPr/>
        <w:t>Financial Accounting Standards No. 109, “Accounting for Income Taxes” (SFAS 109). As a result of adopting SFAS 109, the Company recorded deferred tax assets of $6,977,000 and reduced deferred tax liabilities by $9,048,000 at January 1, 1993, which resulted in an increase </w:t>
      </w:r>
      <w:r>
        <w:rPr>
          <w:spacing w:val="2"/>
        </w:rPr>
        <w:t>to </w:t>
      </w:r>
      <w:r>
        <w:rPr/>
        <w:t>the Company's 1993 net income </w:t>
      </w:r>
      <w:r>
        <w:rPr>
          <w:spacing w:val="2"/>
        </w:rPr>
        <w:t>of </w:t>
      </w:r>
      <w:r>
        <w:rPr/>
        <w:t>$16,025,000 ($.11 per share) for the cumulative effect </w:t>
      </w:r>
      <w:r>
        <w:rPr>
          <w:spacing w:val="2"/>
        </w:rPr>
        <w:t>of </w:t>
      </w:r>
      <w:r>
        <w:rPr/>
        <w:t>the accounting</w:t>
      </w:r>
      <w:r>
        <w:rPr>
          <w:spacing w:val="37"/>
        </w:rPr>
        <w:t> </w:t>
      </w:r>
      <w:r>
        <w:rPr/>
        <w:t>change.</w:t>
      </w:r>
    </w:p>
    <w:p>
      <w:pPr>
        <w:pStyle w:val="BodyText"/>
        <w:spacing w:line="249" w:lineRule="auto" w:before="120"/>
        <w:ind w:left="819" w:right="218"/>
      </w:pPr>
      <w:r>
        <w:rPr>
          <w:rFonts w:ascii="Arial" w:hAnsi="Arial"/>
          <w:i/>
        </w:rPr>
        <w:t>P</w:t>
      </w:r>
      <w:r>
        <w:rPr>
          <w:rFonts w:ascii="Arial" w:hAnsi="Arial"/>
          <w:i/>
          <w:sz w:val="16"/>
        </w:rPr>
        <w:t>OSTRETIREMENT </w:t>
      </w:r>
      <w:r>
        <w:rPr>
          <w:rFonts w:ascii="Arial" w:hAnsi="Arial"/>
          <w:i/>
        </w:rPr>
        <w:t>B</w:t>
      </w:r>
      <w:r>
        <w:rPr>
          <w:rFonts w:ascii="Arial" w:hAnsi="Arial"/>
          <w:i/>
          <w:sz w:val="16"/>
        </w:rPr>
        <w:t>ENEFITS </w:t>
      </w:r>
      <w:r>
        <w:rPr>
          <w:spacing w:val="2"/>
        </w:rPr>
        <w:t>Effective </w:t>
      </w:r>
      <w:r>
        <w:rPr/>
        <w:t>January 1, 1993, the Company adopted Statement </w:t>
      </w:r>
      <w:r>
        <w:rPr>
          <w:spacing w:val="2"/>
        </w:rPr>
        <w:t>of </w:t>
      </w:r>
      <w:r>
        <w:rPr/>
        <w:t>Financial Accounting Standards No. 106, “Employers' Accounting for Postretirement Benefits Other Than  </w:t>
      </w:r>
      <w:r>
        <w:rPr>
          <w:spacing w:val="2"/>
        </w:rPr>
        <w:t>Pensions” </w:t>
      </w:r>
      <w:r>
        <w:rPr/>
        <w:t>(SFAS 106). The cumulative effect </w:t>
      </w:r>
      <w:r>
        <w:rPr>
          <w:spacing w:val="2"/>
        </w:rPr>
        <w:t>of </w:t>
      </w:r>
      <w:r>
        <w:rPr/>
        <w:t>this change in accounting method at January 1, 1993 reduced 1993 net income by $766,000 (net of benefit from income taxes of $469,000) or $.01 per share. The effect of adopting SFAS 106 on 1993 income before cumulative effect of accounting changes was not </w:t>
      </w:r>
      <w:r>
        <w:rPr>
          <w:spacing w:val="3"/>
        </w:rPr>
        <w:t>material.</w:t>
      </w:r>
    </w:p>
    <w:p>
      <w:pPr>
        <w:pStyle w:val="BodyText"/>
        <w:spacing w:line="249" w:lineRule="auto" w:before="120"/>
        <w:ind w:left="819" w:right="303"/>
        <w:jc w:val="both"/>
      </w:pPr>
      <w:r>
        <w:rPr>
          <w:rFonts w:ascii="Arial"/>
          <w:i/>
        </w:rPr>
        <w:t>S</w:t>
      </w:r>
      <w:r>
        <w:rPr>
          <w:rFonts w:ascii="Arial"/>
          <w:i/>
          <w:sz w:val="16"/>
        </w:rPr>
        <w:t>CHEDULED </w:t>
      </w:r>
      <w:r>
        <w:rPr>
          <w:rFonts w:ascii="Arial"/>
          <w:i/>
        </w:rPr>
        <w:t>A</w:t>
      </w:r>
      <w:r>
        <w:rPr>
          <w:rFonts w:ascii="Arial"/>
          <w:i/>
          <w:sz w:val="16"/>
        </w:rPr>
        <w:t>IRFRAME </w:t>
      </w:r>
      <w:r>
        <w:rPr/>
        <w:t>Overhauls Prior to January 1, 1992, the Company expensed scheduled airframe overhaul costs as incurred. This practice was adopted at a time when costs were relatively constant from year to year and consistent with the growth of the fleet.</w:t>
      </w:r>
    </w:p>
    <w:p>
      <w:pPr>
        <w:pStyle w:val="BodyText"/>
        <w:spacing w:line="249" w:lineRule="auto" w:before="121"/>
        <w:ind w:left="819" w:right="258"/>
      </w:pPr>
      <w:r>
        <w:rPr/>
        <w:t>Given the significant growth of the Company's fleet and the Company's 1991 modification of its airframe overhaul maintenance program with the Federal Aviation Administration (FAA), Southwest changed its method of accounting for scheduled airframe overhauls costs from the direct expense method to that of capitalizing and amortizing the costs over the periods benefited. The Company believes this method is preferable because it results in charges to expense that are consistent with the growth in the fleet; improves financial reporting; and better matches revenues and expenses.</w:t>
      </w:r>
    </w:p>
    <w:p>
      <w:pPr>
        <w:pStyle w:val="BodyText"/>
        <w:spacing w:line="249" w:lineRule="auto" w:before="121"/>
        <w:ind w:left="819" w:right="199"/>
      </w:pPr>
      <w:r>
        <w:rPr/>
        <w:t>For the year ended December 31, 1992, the Company recognized approximately $6,900,000 in amortization of airframe overhaul expense. Had the direct expense method been used to provide for scheduled airframe overhaul costs during the year ended December 31, 1992, income before cumulative effect of accounting change would have been reduced by approximately $9,800,000 (net of provision for income taxes and profitsharing of approximately $8,800,000), or approximately $.07 per  share.</w:t>
      </w:r>
    </w:p>
    <w:p>
      <w:pPr>
        <w:spacing w:after="0" w:line="249" w:lineRule="auto"/>
        <w:sectPr>
          <w:pgSz w:w="12240" w:h="15840"/>
          <w:pgMar w:header="725" w:footer="746" w:top="940" w:bottom="940" w:left="1700" w:right="960"/>
        </w:sectPr>
      </w:pPr>
    </w:p>
    <w:p>
      <w:pPr>
        <w:pStyle w:val="BodyText"/>
      </w:pPr>
    </w:p>
    <w:p>
      <w:pPr>
        <w:pStyle w:val="BodyText"/>
        <w:spacing w:before="4"/>
        <w:rPr>
          <w:sz w:val="25"/>
        </w:rPr>
      </w:pPr>
    </w:p>
    <w:p>
      <w:pPr>
        <w:pStyle w:val="BodyText"/>
        <w:spacing w:line="249" w:lineRule="auto" w:before="94"/>
        <w:ind w:left="819" w:right="184"/>
      </w:pPr>
      <w:r>
        <w:rPr/>
        <w:t>This change in accounting principle had the effect of a one-time adjustment increasing net income for the year ended December 31, 1992 by approximately $12,538,000 (net of provision for income taxes and profitsharing of approximately $11,500,000).</w:t>
      </w:r>
    </w:p>
    <w:p>
      <w:pPr>
        <w:pStyle w:val="BodyText"/>
        <w:spacing w:line="249" w:lineRule="auto" w:before="120"/>
        <w:ind w:left="819" w:right="205"/>
      </w:pPr>
      <w:r>
        <w:rPr>
          <w:rFonts w:ascii="Arial"/>
          <w:i/>
        </w:rPr>
        <w:t>C</w:t>
      </w:r>
      <w:r>
        <w:rPr>
          <w:rFonts w:ascii="Arial"/>
          <w:i/>
          <w:sz w:val="16"/>
        </w:rPr>
        <w:t>HANGE IN </w:t>
      </w:r>
      <w:r>
        <w:rPr>
          <w:rFonts w:ascii="Arial"/>
          <w:i/>
        </w:rPr>
        <w:t>A</w:t>
      </w:r>
      <w:r>
        <w:rPr>
          <w:rFonts w:ascii="Arial"/>
          <w:i/>
          <w:sz w:val="16"/>
        </w:rPr>
        <w:t>CCOUNTING </w:t>
      </w:r>
      <w:r>
        <w:rPr>
          <w:rFonts w:ascii="Arial"/>
          <w:i/>
        </w:rPr>
        <w:t>E</w:t>
      </w:r>
      <w:r>
        <w:rPr>
          <w:rFonts w:ascii="Arial"/>
          <w:i/>
          <w:sz w:val="16"/>
        </w:rPr>
        <w:t>STIMATE </w:t>
      </w:r>
      <w:r>
        <w:rPr/>
        <w:t>Effective January 1, 1992, the Company revised the estimated useful lives </w:t>
      </w:r>
      <w:r>
        <w:rPr>
          <w:spacing w:val="2"/>
        </w:rPr>
        <w:t>of </w:t>
      </w:r>
      <w:r>
        <w:rPr/>
        <w:t>its 737-200 aircraft from 15 years </w:t>
      </w:r>
      <w:r>
        <w:rPr>
          <w:spacing w:val="2"/>
        </w:rPr>
        <w:t>to </w:t>
      </w:r>
      <w:r>
        <w:rPr/>
        <w:t>15-19 years. This change was the result </w:t>
      </w:r>
      <w:r>
        <w:rPr>
          <w:spacing w:val="2"/>
        </w:rPr>
        <w:t>of </w:t>
      </w:r>
      <w:r>
        <w:rPr/>
        <w:t>the Company's assessment </w:t>
      </w:r>
      <w:r>
        <w:rPr>
          <w:spacing w:val="2"/>
        </w:rPr>
        <w:t>of </w:t>
      </w:r>
      <w:r>
        <w:rPr/>
        <w:t>the </w:t>
      </w:r>
      <w:r>
        <w:rPr>
          <w:spacing w:val="2"/>
        </w:rPr>
        <w:t>remaining </w:t>
      </w:r>
      <w:r>
        <w:rPr/>
        <w:t>useful lives </w:t>
      </w:r>
      <w:r>
        <w:rPr>
          <w:spacing w:val="2"/>
        </w:rPr>
        <w:t>of </w:t>
      </w:r>
      <w:r>
        <w:rPr/>
        <w:t>its 737-200 aircraft following the </w:t>
      </w:r>
      <w:r>
        <w:rPr>
          <w:spacing w:val="2"/>
        </w:rPr>
        <w:t>recent </w:t>
      </w:r>
      <w:r>
        <w:rPr/>
        <w:t>promulgation </w:t>
      </w:r>
      <w:r>
        <w:rPr>
          <w:spacing w:val="2"/>
        </w:rPr>
        <w:t>of </w:t>
      </w:r>
      <w:r>
        <w:rPr/>
        <w:t>rules by the FAA for the phase </w:t>
      </w:r>
      <w:r>
        <w:rPr>
          <w:spacing w:val="2"/>
        </w:rPr>
        <w:t>out </w:t>
      </w:r>
      <w:r>
        <w:rPr/>
        <w:t>of Stage 2 aircraft by December 31, 1999. The effect of this change was to reduce depreciation expense approximately $3,680,000, or $.03 per share, for the year ended December 31,</w:t>
      </w:r>
      <w:r>
        <w:rPr>
          <w:spacing w:val="9"/>
        </w:rPr>
        <w:t> </w:t>
      </w:r>
      <w:r>
        <w:rPr/>
        <w:t>1992.</w:t>
      </w:r>
    </w:p>
    <w:p>
      <w:pPr>
        <w:pStyle w:val="BodyText"/>
        <w:spacing w:before="9"/>
      </w:pPr>
    </w:p>
    <w:p>
      <w:pPr>
        <w:pStyle w:val="Heading2"/>
        <w:numPr>
          <w:ilvl w:val="0"/>
          <w:numId w:val="3"/>
        </w:numPr>
        <w:tabs>
          <w:tab w:pos="1046" w:val="left" w:leader="none"/>
        </w:tabs>
        <w:spacing w:line="240" w:lineRule="auto" w:before="1" w:after="0"/>
        <w:ind w:left="1045" w:right="0" w:hanging="225"/>
        <w:jc w:val="left"/>
      </w:pPr>
      <w:r>
        <w:rPr/>
        <w:t>Commitments</w:t>
      </w:r>
    </w:p>
    <w:p>
      <w:pPr>
        <w:pStyle w:val="BodyText"/>
        <w:spacing w:line="249" w:lineRule="auto" w:before="131"/>
        <w:ind w:left="819" w:right="340"/>
      </w:pPr>
      <w:r>
        <w:rPr/>
        <w:t>The Company's contractual purchase commitments consist primarily of scheduled aircraft acquisitions. Twenty-five 737-300 aircraft are scheduled for delivery in 1995, 18 in 1996, and ten in 1997. Four  737-</w:t>
      </w:r>
    </w:p>
    <w:p>
      <w:pPr>
        <w:pStyle w:val="BodyText"/>
        <w:spacing w:line="249" w:lineRule="auto" w:before="1"/>
        <w:ind w:left="819" w:right="231"/>
      </w:pPr>
      <w:r>
        <w:rPr/>
        <w:t>700s are scheduled for delivery in 1997, 16 in 1998, 16 in 1999, 15 in 2000, and 12 in 2001. In addition, the Company has </w:t>
      </w:r>
      <w:r>
        <w:rPr>
          <w:spacing w:val="3"/>
        </w:rPr>
        <w:t>options </w:t>
      </w:r>
      <w:r>
        <w:rPr>
          <w:spacing w:val="2"/>
        </w:rPr>
        <w:t>to </w:t>
      </w:r>
      <w:r>
        <w:rPr/>
        <w:t>purchase up </w:t>
      </w:r>
      <w:r>
        <w:rPr>
          <w:spacing w:val="2"/>
        </w:rPr>
        <w:t>to </w:t>
      </w:r>
      <w:r>
        <w:rPr/>
        <w:t>eleven 737-300s in 1997 and up </w:t>
      </w:r>
      <w:r>
        <w:rPr>
          <w:spacing w:val="2"/>
        </w:rPr>
        <w:t>to </w:t>
      </w:r>
      <w:r>
        <w:rPr/>
        <w:t>sixty-three 737-700s  during 1998-2004. The Company has the </w:t>
      </w:r>
      <w:r>
        <w:rPr>
          <w:spacing w:val="3"/>
        </w:rPr>
        <w:t>option, </w:t>
      </w:r>
      <w:r>
        <w:rPr/>
        <w:t>which must be exercised two years prior </w:t>
      </w:r>
      <w:r>
        <w:rPr>
          <w:spacing w:val="2"/>
        </w:rPr>
        <w:t>to </w:t>
      </w:r>
      <w:r>
        <w:rPr/>
        <w:t>the contractual delivery date, to substitute 737-400s or 737-500s for the 737-300s to be delivered during 1997 and 737-600s or 737-800s for the 737-700s delivered subsequent to 1999. Aggregate funding needed for these commitments was approximately $3,042.7 million, subject </w:t>
      </w:r>
      <w:r>
        <w:rPr>
          <w:spacing w:val="3"/>
        </w:rPr>
        <w:t>to </w:t>
      </w:r>
      <w:r>
        <w:rPr/>
        <w:t>adjustments for inflation, due as follows: $602.6 million in 1995, $489.5 million in 1996, $447.8 million in 1997, $445.4 million in </w:t>
      </w:r>
      <w:r>
        <w:rPr>
          <w:spacing w:val="33"/>
        </w:rPr>
        <w:t> </w:t>
      </w:r>
      <w:r>
        <w:rPr/>
        <w:t>1998,</w:t>
      </w:r>
    </w:p>
    <w:p>
      <w:pPr>
        <w:pStyle w:val="BodyText"/>
        <w:spacing w:line="249" w:lineRule="auto" w:before="1"/>
        <w:ind w:left="819" w:right="340"/>
      </w:pPr>
      <w:r>
        <w:rPr/>
        <w:t>$452.9 million in 1999, $366.0 million in 2000, and $238.5 million in 2001. In addition, the Company has an agreement in principle to lease two used 737-300 aircraft in  1995.</w:t>
      </w:r>
    </w:p>
    <w:p>
      <w:pPr>
        <w:pStyle w:val="BodyText"/>
        <w:spacing w:line="249" w:lineRule="auto" w:before="121"/>
        <w:ind w:left="819" w:right="258"/>
      </w:pPr>
      <w:r>
        <w:rPr/>
        <w:t>The Company uses jet fuel fixed price swap arrangements </w:t>
      </w:r>
      <w:r>
        <w:rPr>
          <w:spacing w:val="2"/>
        </w:rPr>
        <w:t>to </w:t>
      </w:r>
      <w:r>
        <w:rPr/>
        <w:t>hedge its exposure </w:t>
      </w:r>
      <w:r>
        <w:rPr>
          <w:spacing w:val="2"/>
        </w:rPr>
        <w:t>to </w:t>
      </w:r>
      <w:r>
        <w:rPr/>
        <w:t>price fluctuations on approximately 5 percent </w:t>
      </w:r>
      <w:r>
        <w:rPr>
          <w:spacing w:val="2"/>
        </w:rPr>
        <w:t>of </w:t>
      </w:r>
      <w:r>
        <w:rPr/>
        <w:t>its annual fuel requirements. As </w:t>
      </w:r>
      <w:r>
        <w:rPr>
          <w:spacing w:val="2"/>
        </w:rPr>
        <w:t>of </w:t>
      </w:r>
      <w:r>
        <w:rPr/>
        <w:t>December 31, 1994, the Company had jet fuel swap agreements with broker-dealers </w:t>
      </w:r>
      <w:r>
        <w:rPr>
          <w:spacing w:val="2"/>
        </w:rPr>
        <w:t>to </w:t>
      </w:r>
      <w:r>
        <w:rPr/>
        <w:t>exchange monthly payments </w:t>
      </w:r>
      <w:r>
        <w:rPr>
          <w:spacing w:val="2"/>
        </w:rPr>
        <w:t>on </w:t>
      </w:r>
      <w:r>
        <w:rPr/>
        <w:t>notional quantities  amounting </w:t>
      </w:r>
      <w:r>
        <w:rPr>
          <w:spacing w:val="2"/>
        </w:rPr>
        <w:t>to </w:t>
      </w:r>
      <w:r>
        <w:rPr/>
        <w:t>2,100,000 gallons per </w:t>
      </w:r>
      <w:r>
        <w:rPr>
          <w:spacing w:val="2"/>
        </w:rPr>
        <w:t>month, </w:t>
      </w:r>
      <w:r>
        <w:rPr>
          <w:spacing w:val="3"/>
        </w:rPr>
        <w:t>over </w:t>
      </w:r>
      <w:r>
        <w:rPr/>
        <w:t>the ensuing three months. Under the swap agreements, the Company pays </w:t>
      </w:r>
      <w:r>
        <w:rPr>
          <w:spacing w:val="2"/>
        </w:rPr>
        <w:t>or </w:t>
      </w:r>
      <w:r>
        <w:rPr/>
        <w:t>receives the difference between the daily average jet fuel price and a fixed price </w:t>
      </w:r>
      <w:r>
        <w:rPr>
          <w:spacing w:val="3"/>
        </w:rPr>
        <w:t>of </w:t>
      </w:r>
      <w:r>
        <w:rPr/>
        <w:t>approximately $.518 per gallon. Gains and losses </w:t>
      </w:r>
      <w:r>
        <w:rPr>
          <w:spacing w:val="2"/>
        </w:rPr>
        <w:t>on </w:t>
      </w:r>
      <w:r>
        <w:rPr/>
        <w:t>such transactions are recorded as adjustments </w:t>
      </w:r>
      <w:r>
        <w:rPr>
          <w:spacing w:val="2"/>
        </w:rPr>
        <w:t>to </w:t>
      </w:r>
      <w:r>
        <w:rPr/>
        <w:t>fuel expense and have been insignificant. Although </w:t>
      </w:r>
      <w:r>
        <w:rPr>
          <w:spacing w:val="2"/>
        </w:rPr>
        <w:t>the </w:t>
      </w:r>
      <w:r>
        <w:rPr/>
        <w:t>agreements expose </w:t>
      </w:r>
      <w:r>
        <w:rPr>
          <w:spacing w:val="2"/>
        </w:rPr>
        <w:t>the </w:t>
      </w:r>
      <w:r>
        <w:rPr/>
        <w:t>Company </w:t>
      </w:r>
      <w:r>
        <w:rPr>
          <w:spacing w:val="3"/>
        </w:rPr>
        <w:t>to </w:t>
      </w:r>
      <w:r>
        <w:rPr/>
        <w:t>credit loss in </w:t>
      </w:r>
      <w:r>
        <w:rPr>
          <w:spacing w:val="2"/>
        </w:rPr>
        <w:t>the </w:t>
      </w:r>
      <w:r>
        <w:rPr/>
        <w:t>event of nonperformance by the </w:t>
      </w:r>
      <w:r>
        <w:rPr>
          <w:spacing w:val="3"/>
        </w:rPr>
        <w:t>other </w:t>
      </w:r>
      <w:r>
        <w:rPr/>
        <w:t>parties </w:t>
      </w:r>
      <w:r>
        <w:rPr>
          <w:spacing w:val="2"/>
        </w:rPr>
        <w:t>to </w:t>
      </w:r>
      <w:r>
        <w:rPr/>
        <w:t>the agreements, the Company does not anticipate such nonperformance.</w:t>
      </w:r>
    </w:p>
    <w:p>
      <w:pPr>
        <w:pStyle w:val="BodyText"/>
        <w:spacing w:before="10"/>
      </w:pPr>
    </w:p>
    <w:p>
      <w:pPr>
        <w:pStyle w:val="Heading2"/>
        <w:numPr>
          <w:ilvl w:val="0"/>
          <w:numId w:val="3"/>
        </w:numPr>
        <w:tabs>
          <w:tab w:pos="1046" w:val="left" w:leader="none"/>
        </w:tabs>
        <w:spacing w:line="240" w:lineRule="auto" w:before="0" w:after="0"/>
        <w:ind w:left="1045" w:right="0" w:hanging="225"/>
        <w:jc w:val="left"/>
      </w:pPr>
      <w:r>
        <w:rPr/>
        <w:t>Accrued Liabilities (in</w:t>
      </w:r>
      <w:r>
        <w:rPr>
          <w:spacing w:val="15"/>
        </w:rPr>
        <w:t> </w:t>
      </w:r>
      <w:r>
        <w:rPr/>
        <w:t>thousands)</w:t>
      </w:r>
    </w:p>
    <w:p>
      <w:pPr>
        <w:pStyle w:val="BodyText"/>
        <w:spacing w:before="10"/>
        <w:rPr>
          <w:rFonts w:ascii="Arial"/>
          <w:b/>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38"/>
        <w:gridCol w:w="1255"/>
        <w:gridCol w:w="178"/>
        <w:gridCol w:w="196"/>
        <w:gridCol w:w="1076"/>
      </w:tblGrid>
      <w:tr>
        <w:trPr>
          <w:trHeight w:val="329" w:hRule="exact"/>
        </w:trPr>
        <w:tc>
          <w:tcPr>
            <w:tcW w:w="5038" w:type="dxa"/>
            <w:tcBorders>
              <w:bottom w:val="single" w:sz="6" w:space="0" w:color="FFFF00"/>
              <w:right w:val="single" w:sz="6" w:space="0" w:color="FFFF00"/>
            </w:tcBorders>
          </w:tcPr>
          <w:p>
            <w:pPr/>
          </w:p>
        </w:tc>
        <w:tc>
          <w:tcPr>
            <w:tcW w:w="1255" w:type="dxa"/>
            <w:tcBorders>
              <w:left w:val="single" w:sz="6" w:space="0" w:color="FFFF00"/>
              <w:bottom w:val="single" w:sz="6" w:space="0" w:color="FFFF00"/>
              <w:right w:val="nil"/>
            </w:tcBorders>
          </w:tcPr>
          <w:p>
            <w:pPr>
              <w:pStyle w:val="TableParagraph"/>
              <w:spacing w:before="85"/>
              <w:ind w:left="422" w:right="429"/>
              <w:jc w:val="center"/>
              <w:rPr>
                <w:rFonts w:ascii="Arial"/>
                <w:sz w:val="16"/>
              </w:rPr>
            </w:pPr>
            <w:r>
              <w:rPr>
                <w:rFonts w:ascii="Arial"/>
                <w:sz w:val="16"/>
              </w:rPr>
              <w:t>1994</w:t>
            </w:r>
          </w:p>
        </w:tc>
        <w:tc>
          <w:tcPr>
            <w:tcW w:w="373" w:type="dxa"/>
            <w:gridSpan w:val="2"/>
            <w:tcBorders>
              <w:left w:val="nil"/>
              <w:bottom w:val="single" w:sz="6" w:space="0" w:color="FFFF00"/>
              <w:right w:val="nil"/>
            </w:tcBorders>
          </w:tcPr>
          <w:p>
            <w:pPr/>
          </w:p>
        </w:tc>
        <w:tc>
          <w:tcPr>
            <w:tcW w:w="1076" w:type="dxa"/>
            <w:tcBorders>
              <w:left w:val="nil"/>
              <w:bottom w:val="single" w:sz="6" w:space="0" w:color="FFFF00"/>
            </w:tcBorders>
          </w:tcPr>
          <w:p>
            <w:pPr>
              <w:pStyle w:val="TableParagraph"/>
              <w:spacing w:before="85"/>
              <w:ind w:left="265"/>
              <w:rPr>
                <w:rFonts w:ascii="Arial"/>
                <w:sz w:val="16"/>
              </w:rPr>
            </w:pPr>
            <w:r>
              <w:rPr>
                <w:rFonts w:ascii="Arial"/>
                <w:sz w:val="16"/>
              </w:rPr>
              <w:t>1993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Aircraft rentals</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$67,407</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$55,459</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Profitsharing and savings plans (Note 10)</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53,512</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45,691</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Aircraft maintenance costs</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37,330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37,853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Vacation pay</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31,801</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26,781</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Taxes, other than income</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25,001</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19,183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Interest</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20,270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21,311</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Merger expenses</w:t>
            </w:r>
          </w:p>
        </w:tc>
        <w:tc>
          <w:tcPr>
            <w:tcW w:w="1255" w:type="dxa"/>
            <w:tcBorders>
              <w:top w:val="single" w:sz="6" w:space="0" w:color="FFFF00"/>
              <w:left w:val="single" w:sz="6" w:space="0" w:color="FFFF00"/>
              <w:bottom w:val="single" w:sz="6" w:space="0" w:color="FFFF00"/>
              <w:right w:val="nil"/>
            </w:tcBorders>
          </w:tcPr>
          <w:p>
            <w:pPr>
              <w:pStyle w:val="TableParagraph"/>
              <w:ind w:right="257"/>
              <w:jc w:val="right"/>
              <w:rPr>
                <w:sz w:val="20"/>
              </w:rPr>
            </w:pPr>
            <w:r>
              <w:rPr>
                <w:w w:val="100"/>
                <w:sz w:val="20"/>
              </w:rPr>
              <w:t>-</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8,527</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w:t>
            </w:r>
          </w:p>
        </w:tc>
        <w:tc>
          <w:tcPr>
            <w:tcW w:w="1255" w:type="dxa"/>
            <w:tcBorders>
              <w:top w:val="single" w:sz="6" w:space="0" w:color="FFFF00"/>
              <w:left w:val="single" w:sz="6" w:space="0" w:color="FFFF00"/>
              <w:bottom w:val="single" w:sz="6" w:space="0" w:color="000000"/>
              <w:right w:val="nil"/>
            </w:tcBorders>
          </w:tcPr>
          <w:p>
            <w:pPr>
              <w:pStyle w:val="TableParagraph"/>
              <w:ind w:right="259"/>
              <w:jc w:val="right"/>
              <w:rPr>
                <w:sz w:val="20"/>
              </w:rPr>
            </w:pPr>
            <w:r>
              <w:rPr>
                <w:sz w:val="20"/>
              </w:rPr>
              <w:t>53,658</w:t>
            </w:r>
          </w:p>
        </w:tc>
        <w:tc>
          <w:tcPr>
            <w:tcW w:w="373"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2"/>
                <w:sz w:val="20"/>
                <w:u w:val="single" w:color="FFFF00"/>
              </w:rPr>
              <w:t> </w:t>
            </w:r>
          </w:p>
        </w:tc>
        <w:tc>
          <w:tcPr>
            <w:tcW w:w="1076" w:type="dxa"/>
            <w:tcBorders>
              <w:top w:val="single" w:sz="6" w:space="0" w:color="FFFF00"/>
              <w:left w:val="nil"/>
              <w:bottom w:val="single" w:sz="6" w:space="0" w:color="000000"/>
            </w:tcBorders>
          </w:tcPr>
          <w:p>
            <w:pPr>
              <w:pStyle w:val="TableParagraph"/>
              <w:ind w:right="254"/>
              <w:jc w:val="right"/>
              <w:rPr>
                <w:sz w:val="20"/>
              </w:rPr>
            </w:pPr>
            <w:r>
              <w:rPr>
                <w:sz w:val="20"/>
              </w:rPr>
              <w:t>50,528</w:t>
            </w:r>
          </w:p>
        </w:tc>
      </w:tr>
      <w:tr>
        <w:trPr>
          <w:trHeight w:val="338" w:hRule="exact"/>
        </w:trPr>
        <w:tc>
          <w:tcPr>
            <w:tcW w:w="5038" w:type="dxa"/>
            <w:tcBorders>
              <w:top w:val="single" w:sz="6" w:space="0" w:color="FFFF00"/>
              <w:right w:val="single" w:sz="6" w:space="0" w:color="FFFF00"/>
            </w:tcBorders>
          </w:tcPr>
          <w:p>
            <w:pPr/>
          </w:p>
        </w:tc>
        <w:tc>
          <w:tcPr>
            <w:tcW w:w="1255" w:type="dxa"/>
            <w:tcBorders>
              <w:top w:val="single" w:sz="6" w:space="0" w:color="000000"/>
              <w:left w:val="single" w:sz="6" w:space="0" w:color="FFFF00"/>
              <w:right w:val="nil"/>
            </w:tcBorders>
          </w:tcPr>
          <w:p>
            <w:pPr>
              <w:pStyle w:val="TableParagraph"/>
              <w:ind w:right="259"/>
              <w:jc w:val="right"/>
              <w:rPr>
                <w:sz w:val="20"/>
              </w:rPr>
            </w:pPr>
            <w:r>
              <w:rPr>
                <w:sz w:val="20"/>
              </w:rPr>
              <w:t>$288,979</w:t>
            </w:r>
          </w:p>
        </w:tc>
        <w:tc>
          <w:tcPr>
            <w:tcW w:w="178" w:type="dxa"/>
            <w:tcBorders>
              <w:top w:val="nil"/>
              <w:left w:val="nil"/>
              <w:right w:val="nil"/>
            </w:tcBorders>
          </w:tcPr>
          <w:p>
            <w:pPr/>
          </w:p>
        </w:tc>
        <w:tc>
          <w:tcPr>
            <w:tcW w:w="1272" w:type="dxa"/>
            <w:gridSpan w:val="2"/>
            <w:tcBorders>
              <w:top w:val="single" w:sz="6" w:space="0" w:color="000000"/>
              <w:left w:val="nil"/>
            </w:tcBorders>
          </w:tcPr>
          <w:p>
            <w:pPr>
              <w:pStyle w:val="TableParagraph"/>
              <w:ind w:left="244"/>
              <w:rPr>
                <w:sz w:val="20"/>
              </w:rPr>
            </w:pPr>
            <w:r>
              <w:rPr>
                <w:sz w:val="20"/>
              </w:rPr>
              <w:t>$265,333</w:t>
            </w:r>
          </w:p>
        </w:tc>
      </w:tr>
    </w:tbl>
    <w:p>
      <w:pPr>
        <w:spacing w:after="0"/>
        <w:rPr>
          <w:sz w:val="20"/>
        </w:rPr>
        <w:sectPr>
          <w:pgSz w:w="12240" w:h="15840"/>
          <w:pgMar w:header="725" w:footer="746" w:top="940" w:bottom="940" w:left="1700" w:right="960"/>
        </w:sectPr>
      </w:pPr>
    </w:p>
    <w:p>
      <w:pPr>
        <w:pStyle w:val="BodyText"/>
        <w:rPr>
          <w:rFonts w:ascii="Arial"/>
          <w:b/>
        </w:rPr>
      </w:pPr>
    </w:p>
    <w:p>
      <w:pPr>
        <w:pStyle w:val="BodyText"/>
        <w:rPr>
          <w:rFonts w:ascii="Arial"/>
          <w:b/>
        </w:rPr>
      </w:pPr>
    </w:p>
    <w:p>
      <w:pPr>
        <w:pStyle w:val="BodyText"/>
        <w:spacing w:before="10"/>
        <w:rPr>
          <w:rFonts w:ascii="Arial"/>
          <w:b/>
          <w:sz w:val="23"/>
        </w:rPr>
      </w:pPr>
    </w:p>
    <w:p>
      <w:pPr>
        <w:pStyle w:val="ListParagraph"/>
        <w:numPr>
          <w:ilvl w:val="0"/>
          <w:numId w:val="3"/>
        </w:numPr>
        <w:tabs>
          <w:tab w:pos="1046" w:val="left" w:leader="none"/>
        </w:tabs>
        <w:spacing w:line="240" w:lineRule="auto" w:before="0" w:after="0"/>
        <w:ind w:left="1045" w:right="0" w:hanging="225"/>
        <w:jc w:val="left"/>
        <w:rPr>
          <w:rFonts w:ascii="Arial"/>
          <w:b/>
          <w:sz w:val="20"/>
        </w:rPr>
      </w:pPr>
      <w:r>
        <w:rPr>
          <w:rFonts w:ascii="Arial"/>
          <w:b/>
          <w:sz w:val="20"/>
        </w:rPr>
        <w:t>Long-Term Debt (In</w:t>
      </w:r>
      <w:r>
        <w:rPr>
          <w:rFonts w:ascii="Arial"/>
          <w:b/>
          <w:spacing w:val="33"/>
          <w:sz w:val="20"/>
        </w:rPr>
        <w:t> </w:t>
      </w:r>
      <w:r>
        <w:rPr>
          <w:rFonts w:ascii="Arial"/>
          <w:b/>
          <w:sz w:val="20"/>
        </w:rPr>
        <w:t>Thousands)</w:t>
      </w:r>
    </w:p>
    <w:p>
      <w:pPr>
        <w:pStyle w:val="BodyText"/>
        <w:spacing w:before="10"/>
        <w:rPr>
          <w:rFonts w:ascii="Arial"/>
          <w:b/>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38"/>
        <w:gridCol w:w="1255"/>
        <w:gridCol w:w="178"/>
        <w:gridCol w:w="196"/>
        <w:gridCol w:w="1076"/>
      </w:tblGrid>
      <w:tr>
        <w:trPr>
          <w:trHeight w:val="329" w:hRule="exact"/>
        </w:trPr>
        <w:tc>
          <w:tcPr>
            <w:tcW w:w="5038" w:type="dxa"/>
            <w:tcBorders>
              <w:bottom w:val="single" w:sz="6" w:space="0" w:color="FFFF00"/>
              <w:right w:val="single" w:sz="6" w:space="0" w:color="FFFF00"/>
            </w:tcBorders>
          </w:tcPr>
          <w:p>
            <w:pPr/>
          </w:p>
        </w:tc>
        <w:tc>
          <w:tcPr>
            <w:tcW w:w="1255" w:type="dxa"/>
            <w:tcBorders>
              <w:left w:val="single" w:sz="6" w:space="0" w:color="FFFF00"/>
              <w:bottom w:val="single" w:sz="6" w:space="0" w:color="FFFF00"/>
              <w:right w:val="nil"/>
            </w:tcBorders>
          </w:tcPr>
          <w:p>
            <w:pPr>
              <w:pStyle w:val="TableParagraph"/>
              <w:spacing w:before="85"/>
              <w:ind w:left="422" w:right="429"/>
              <w:jc w:val="center"/>
              <w:rPr>
                <w:rFonts w:ascii="Arial"/>
                <w:sz w:val="16"/>
              </w:rPr>
            </w:pPr>
            <w:r>
              <w:rPr>
                <w:rFonts w:ascii="Arial"/>
                <w:sz w:val="16"/>
              </w:rPr>
              <w:t>1994</w:t>
            </w:r>
          </w:p>
        </w:tc>
        <w:tc>
          <w:tcPr>
            <w:tcW w:w="373" w:type="dxa"/>
            <w:gridSpan w:val="2"/>
            <w:tcBorders>
              <w:left w:val="nil"/>
              <w:bottom w:val="single" w:sz="6" w:space="0" w:color="FFFF00"/>
              <w:right w:val="nil"/>
            </w:tcBorders>
          </w:tcPr>
          <w:p>
            <w:pPr/>
          </w:p>
        </w:tc>
        <w:tc>
          <w:tcPr>
            <w:tcW w:w="1076" w:type="dxa"/>
            <w:tcBorders>
              <w:left w:val="nil"/>
              <w:bottom w:val="single" w:sz="6" w:space="0" w:color="FFFF00"/>
            </w:tcBorders>
          </w:tcPr>
          <w:p>
            <w:pPr>
              <w:pStyle w:val="TableParagraph"/>
              <w:spacing w:before="85"/>
              <w:ind w:left="265"/>
              <w:rPr>
                <w:rFonts w:ascii="Arial"/>
                <w:sz w:val="16"/>
              </w:rPr>
            </w:pPr>
            <w:r>
              <w:rPr>
                <w:rFonts w:ascii="Arial"/>
                <w:sz w:val="16"/>
              </w:rPr>
              <w:t>1993</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9 1/4% Notes due 1998</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$100,000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100,000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9.4% Notes due 2001</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100,000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100,000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8 3/4% Notes due 2003</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100,000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100,000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7 7/8% Notes due 2007</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100,000</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100,000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Capital leases (Note 7)</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195,756</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204,904</w:t>
            </w:r>
          </w:p>
        </w:tc>
      </w:tr>
      <w:tr>
        <w:trPr>
          <w:trHeight w:val="456" w:hRule="exact"/>
        </w:trPr>
        <w:tc>
          <w:tcPr>
            <w:tcW w:w="5038" w:type="dxa"/>
            <w:tcBorders>
              <w:top w:val="single" w:sz="6" w:space="0" w:color="FFFF00"/>
              <w:bottom w:val="single" w:sz="6" w:space="0" w:color="FFFF00"/>
              <w:right w:val="single" w:sz="6" w:space="0" w:color="FFFF00"/>
            </w:tcBorders>
          </w:tcPr>
          <w:p>
            <w:pPr>
              <w:pStyle w:val="TableParagraph"/>
              <w:spacing w:line="202" w:lineRule="exact" w:before="20"/>
              <w:ind w:left="187" w:right="411"/>
              <w:rPr>
                <w:sz w:val="20"/>
              </w:rPr>
            </w:pPr>
            <w:r>
              <w:rPr>
                <w:sz w:val="20"/>
              </w:rPr>
              <w:t>Secured notes payable to financial institutions, repaid in 1994</w:t>
            </w:r>
          </w:p>
        </w:tc>
        <w:tc>
          <w:tcPr>
            <w:tcW w:w="1255" w:type="dxa"/>
            <w:tcBorders>
              <w:top w:val="single" w:sz="6" w:space="0" w:color="FFFF00"/>
              <w:left w:val="single" w:sz="6" w:space="0" w:color="FFFF00"/>
              <w:bottom w:val="single" w:sz="6" w:space="0" w:color="FFFF00"/>
              <w:right w:val="nil"/>
            </w:tcBorders>
          </w:tcPr>
          <w:p>
            <w:pPr>
              <w:pStyle w:val="TableParagraph"/>
              <w:ind w:right="257"/>
              <w:jc w:val="right"/>
              <w:rPr>
                <w:sz w:val="20"/>
              </w:rPr>
            </w:pPr>
            <w:r>
              <w:rPr>
                <w:w w:val="100"/>
                <w:sz w:val="20"/>
              </w:rPr>
              <w:t>-</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53,950</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Industrial Revenue Bonds, repaid in 1994</w:t>
            </w:r>
          </w:p>
        </w:tc>
        <w:tc>
          <w:tcPr>
            <w:tcW w:w="1255" w:type="dxa"/>
            <w:tcBorders>
              <w:top w:val="single" w:sz="6" w:space="0" w:color="FFFF00"/>
              <w:left w:val="single" w:sz="6" w:space="0" w:color="FFFF00"/>
              <w:bottom w:val="single" w:sz="6" w:space="0" w:color="FFFF00"/>
              <w:right w:val="nil"/>
            </w:tcBorders>
          </w:tcPr>
          <w:p>
            <w:pPr>
              <w:pStyle w:val="TableParagraph"/>
              <w:ind w:right="257"/>
              <w:jc w:val="right"/>
              <w:rPr>
                <w:sz w:val="20"/>
              </w:rPr>
            </w:pPr>
            <w:r>
              <w:rPr>
                <w:w w:val="100"/>
                <w:sz w:val="20"/>
              </w:rPr>
              <w:t>-</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2"/>
              <w:jc w:val="right"/>
              <w:rPr>
                <w:sz w:val="20"/>
              </w:rPr>
            </w:pPr>
            <w:r>
              <w:rPr>
                <w:sz w:val="20"/>
              </w:rPr>
              <w:t>375</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w:t>
            </w:r>
          </w:p>
        </w:tc>
        <w:tc>
          <w:tcPr>
            <w:tcW w:w="1255" w:type="dxa"/>
            <w:tcBorders>
              <w:top w:val="single" w:sz="6" w:space="0" w:color="FFFF00"/>
              <w:left w:val="single" w:sz="6" w:space="0" w:color="FFFF00"/>
              <w:bottom w:val="single" w:sz="6" w:space="0" w:color="000000"/>
              <w:right w:val="nil"/>
            </w:tcBorders>
          </w:tcPr>
          <w:p>
            <w:pPr>
              <w:pStyle w:val="TableParagraph"/>
              <w:ind w:right="257"/>
              <w:jc w:val="right"/>
              <w:rPr>
                <w:sz w:val="20"/>
              </w:rPr>
            </w:pPr>
            <w:r>
              <w:rPr>
                <w:sz w:val="20"/>
              </w:rPr>
              <w:t>435</w:t>
            </w:r>
          </w:p>
        </w:tc>
        <w:tc>
          <w:tcPr>
            <w:tcW w:w="373"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2"/>
                <w:sz w:val="20"/>
                <w:u w:val="single" w:color="FFFF00"/>
              </w:rPr>
              <w:t> </w:t>
            </w:r>
          </w:p>
        </w:tc>
        <w:tc>
          <w:tcPr>
            <w:tcW w:w="1076" w:type="dxa"/>
            <w:tcBorders>
              <w:top w:val="single" w:sz="6" w:space="0" w:color="FFFF00"/>
              <w:left w:val="nil"/>
              <w:bottom w:val="single" w:sz="6" w:space="0" w:color="000000"/>
            </w:tcBorders>
          </w:tcPr>
          <w:p>
            <w:pPr>
              <w:pStyle w:val="TableParagraph"/>
              <w:ind w:right="252"/>
              <w:jc w:val="right"/>
              <w:rPr>
                <w:sz w:val="20"/>
              </w:rPr>
            </w:pPr>
            <w:r>
              <w:rPr>
                <w:sz w:val="20"/>
              </w:rPr>
              <w:t>13</w:t>
            </w:r>
          </w:p>
        </w:tc>
      </w:tr>
      <w:tr>
        <w:trPr>
          <w:trHeight w:val="274" w:hRule="exact"/>
        </w:trPr>
        <w:tc>
          <w:tcPr>
            <w:tcW w:w="5038" w:type="dxa"/>
            <w:tcBorders>
              <w:top w:val="single" w:sz="6" w:space="0" w:color="FFFF00"/>
              <w:bottom w:val="single" w:sz="6" w:space="0" w:color="FFFF00"/>
              <w:right w:val="single" w:sz="6" w:space="0" w:color="FFFF00"/>
            </w:tcBorders>
          </w:tcPr>
          <w:p>
            <w:pPr/>
          </w:p>
        </w:tc>
        <w:tc>
          <w:tcPr>
            <w:tcW w:w="1255" w:type="dxa"/>
            <w:tcBorders>
              <w:top w:val="single" w:sz="6" w:space="0" w:color="000000"/>
              <w:left w:val="single" w:sz="6" w:space="0" w:color="FFFF00"/>
              <w:bottom w:val="single" w:sz="6" w:space="0" w:color="FFFF00"/>
              <w:right w:val="nil"/>
            </w:tcBorders>
          </w:tcPr>
          <w:p>
            <w:pPr>
              <w:pStyle w:val="TableParagraph"/>
              <w:ind w:right="259"/>
              <w:jc w:val="right"/>
              <w:rPr>
                <w:sz w:val="20"/>
              </w:rPr>
            </w:pPr>
            <w:r>
              <w:rPr>
                <w:sz w:val="20"/>
              </w:rPr>
              <w:t>596,191</w:t>
            </w:r>
          </w:p>
        </w:tc>
        <w:tc>
          <w:tcPr>
            <w:tcW w:w="178" w:type="dxa"/>
            <w:tcBorders>
              <w:top w:val="nil"/>
              <w:left w:val="nil"/>
              <w:bottom w:val="single" w:sz="6" w:space="0" w:color="FFFF00"/>
              <w:right w:val="nil"/>
            </w:tcBorders>
          </w:tcPr>
          <w:p>
            <w:pPr/>
          </w:p>
        </w:tc>
        <w:tc>
          <w:tcPr>
            <w:tcW w:w="1272" w:type="dxa"/>
            <w:gridSpan w:val="2"/>
            <w:tcBorders>
              <w:top w:val="single" w:sz="6" w:space="0" w:color="000000"/>
              <w:left w:val="nil"/>
              <w:bottom w:val="single" w:sz="6" w:space="0" w:color="FFFF00"/>
            </w:tcBorders>
          </w:tcPr>
          <w:p>
            <w:pPr>
              <w:pStyle w:val="TableParagraph"/>
              <w:ind w:left="345"/>
              <w:rPr>
                <w:sz w:val="20"/>
              </w:rPr>
            </w:pPr>
            <w:r>
              <w:rPr>
                <w:sz w:val="20"/>
              </w:rPr>
              <w:t>659,242</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current maturities</w:t>
            </w:r>
          </w:p>
        </w:tc>
        <w:tc>
          <w:tcPr>
            <w:tcW w:w="1255" w:type="dxa"/>
            <w:tcBorders>
              <w:top w:val="single" w:sz="6" w:space="0" w:color="FFFF00"/>
              <w:left w:val="single" w:sz="6" w:space="0" w:color="FFFF00"/>
              <w:bottom w:val="single" w:sz="6" w:space="0" w:color="FFFF00"/>
              <w:right w:val="nil"/>
            </w:tcBorders>
          </w:tcPr>
          <w:p>
            <w:pPr>
              <w:pStyle w:val="TableParagraph"/>
              <w:ind w:right="259"/>
              <w:jc w:val="right"/>
              <w:rPr>
                <w:sz w:val="20"/>
              </w:rPr>
            </w:pPr>
            <w:r>
              <w:rPr>
                <w:sz w:val="20"/>
              </w:rPr>
              <w:t>9,553</w:t>
            </w:r>
          </w:p>
        </w:tc>
        <w:tc>
          <w:tcPr>
            <w:tcW w:w="373"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tcBorders>
          </w:tcPr>
          <w:p>
            <w:pPr>
              <w:pStyle w:val="TableParagraph"/>
              <w:ind w:right="254"/>
              <w:jc w:val="right"/>
              <w:rPr>
                <w:sz w:val="20"/>
              </w:rPr>
            </w:pPr>
            <w:r>
              <w:rPr>
                <w:sz w:val="20"/>
              </w:rPr>
              <w:t>16,068</w:t>
            </w:r>
          </w:p>
        </w:tc>
      </w:tr>
      <w:tr>
        <w:trPr>
          <w:trHeight w:val="274" w:hRule="exact"/>
        </w:trPr>
        <w:tc>
          <w:tcPr>
            <w:tcW w:w="503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debt discount</w:t>
            </w:r>
          </w:p>
        </w:tc>
        <w:tc>
          <w:tcPr>
            <w:tcW w:w="1255" w:type="dxa"/>
            <w:tcBorders>
              <w:top w:val="single" w:sz="6" w:space="0" w:color="FFFF00"/>
              <w:left w:val="single" w:sz="6" w:space="0" w:color="FFFF00"/>
              <w:bottom w:val="single" w:sz="6" w:space="0" w:color="000000"/>
              <w:right w:val="nil"/>
            </w:tcBorders>
          </w:tcPr>
          <w:p>
            <w:pPr>
              <w:pStyle w:val="TableParagraph"/>
              <w:ind w:right="259"/>
              <w:jc w:val="right"/>
              <w:rPr>
                <w:sz w:val="20"/>
              </w:rPr>
            </w:pPr>
            <w:r>
              <w:rPr>
                <w:sz w:val="20"/>
              </w:rPr>
              <w:t>3,567</w:t>
            </w:r>
          </w:p>
        </w:tc>
        <w:tc>
          <w:tcPr>
            <w:tcW w:w="373"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2"/>
                <w:sz w:val="20"/>
                <w:u w:val="single" w:color="FFFF00"/>
              </w:rPr>
              <w:t> </w:t>
            </w:r>
          </w:p>
        </w:tc>
        <w:tc>
          <w:tcPr>
            <w:tcW w:w="1076" w:type="dxa"/>
            <w:tcBorders>
              <w:top w:val="single" w:sz="6" w:space="0" w:color="FFFF00"/>
              <w:left w:val="nil"/>
              <w:bottom w:val="single" w:sz="6" w:space="0" w:color="000000"/>
            </w:tcBorders>
          </w:tcPr>
          <w:p>
            <w:pPr>
              <w:pStyle w:val="TableParagraph"/>
              <w:ind w:right="254"/>
              <w:jc w:val="right"/>
              <w:rPr>
                <w:sz w:val="20"/>
              </w:rPr>
            </w:pPr>
            <w:r>
              <w:rPr>
                <w:sz w:val="20"/>
              </w:rPr>
              <w:t>4,038</w:t>
            </w:r>
          </w:p>
        </w:tc>
      </w:tr>
      <w:tr>
        <w:trPr>
          <w:trHeight w:val="281" w:hRule="exact"/>
        </w:trPr>
        <w:tc>
          <w:tcPr>
            <w:tcW w:w="5038" w:type="dxa"/>
            <w:tcBorders>
              <w:top w:val="single" w:sz="6" w:space="0" w:color="FFFF00"/>
              <w:right w:val="single" w:sz="6" w:space="0" w:color="FFFF00"/>
            </w:tcBorders>
          </w:tcPr>
          <w:p>
            <w:pPr/>
          </w:p>
        </w:tc>
        <w:tc>
          <w:tcPr>
            <w:tcW w:w="1255" w:type="dxa"/>
            <w:tcBorders>
              <w:top w:val="single" w:sz="6" w:space="0" w:color="000000"/>
              <w:left w:val="single" w:sz="6" w:space="0" w:color="FFFF00"/>
              <w:right w:val="nil"/>
            </w:tcBorders>
          </w:tcPr>
          <w:p>
            <w:pPr>
              <w:pStyle w:val="TableParagraph"/>
              <w:ind w:right="259"/>
              <w:jc w:val="right"/>
              <w:rPr>
                <w:sz w:val="20"/>
              </w:rPr>
            </w:pPr>
            <w:r>
              <w:rPr>
                <w:sz w:val="20"/>
              </w:rPr>
              <w:t>$583,071</w:t>
            </w:r>
          </w:p>
        </w:tc>
        <w:tc>
          <w:tcPr>
            <w:tcW w:w="178" w:type="dxa"/>
            <w:tcBorders>
              <w:top w:val="nil"/>
              <w:left w:val="nil"/>
              <w:right w:val="nil"/>
            </w:tcBorders>
          </w:tcPr>
          <w:p>
            <w:pPr/>
          </w:p>
        </w:tc>
        <w:tc>
          <w:tcPr>
            <w:tcW w:w="1272" w:type="dxa"/>
            <w:gridSpan w:val="2"/>
            <w:tcBorders>
              <w:top w:val="single" w:sz="6" w:space="0" w:color="000000"/>
              <w:left w:val="nil"/>
            </w:tcBorders>
          </w:tcPr>
          <w:p>
            <w:pPr>
              <w:pStyle w:val="TableParagraph"/>
              <w:ind w:left="244"/>
              <w:rPr>
                <w:sz w:val="20"/>
              </w:rPr>
            </w:pPr>
            <w:r>
              <w:rPr>
                <w:sz w:val="20"/>
              </w:rPr>
              <w:t>$639,136</w:t>
            </w:r>
          </w:p>
        </w:tc>
      </w:tr>
    </w:tbl>
    <w:p>
      <w:pPr>
        <w:pStyle w:val="BodyText"/>
        <w:spacing w:line="249" w:lineRule="auto" w:before="125"/>
        <w:ind w:left="820" w:right="184"/>
      </w:pPr>
      <w:r>
        <w:rPr/>
        <w:t>On March 1, 1993, the Company redeemed the $100 million in senior unsecured 9% Notes due March 1, 1996 issued in March 1986. The Notes were redeemed at par plus accrued  interest.</w:t>
      </w:r>
    </w:p>
    <w:p>
      <w:pPr>
        <w:pStyle w:val="BodyText"/>
        <w:spacing w:line="249" w:lineRule="auto" w:before="121"/>
        <w:ind w:left="820" w:right="140"/>
      </w:pPr>
      <w:r>
        <w:rPr/>
        <w:t>On September 9, 1992, Southwest issued $100 million of senior unsecured 7 7/8% Notes due September 1, 2007. Interest is payable semi-annually </w:t>
      </w:r>
      <w:r>
        <w:rPr>
          <w:spacing w:val="2"/>
        </w:rPr>
        <w:t>on </w:t>
      </w:r>
      <w:r>
        <w:rPr/>
        <w:t>March 1 and September 1. The </w:t>
      </w:r>
      <w:r>
        <w:rPr>
          <w:spacing w:val="2"/>
        </w:rPr>
        <w:t>Notes </w:t>
      </w:r>
      <w:r>
        <w:rPr/>
        <w:t>are not redeemable prior  </w:t>
      </w:r>
      <w:r>
        <w:rPr>
          <w:spacing w:val="2"/>
        </w:rPr>
        <w:t>to</w:t>
      </w:r>
      <w:r>
        <w:rPr/>
        <w:t> maturity.</w:t>
      </w:r>
    </w:p>
    <w:p>
      <w:pPr>
        <w:pStyle w:val="BodyText"/>
        <w:spacing w:line="249" w:lineRule="auto" w:before="121"/>
        <w:ind w:left="820" w:right="199"/>
      </w:pPr>
      <w:r>
        <w:rPr/>
        <w:t>During 1991, the Company issued $100 million </w:t>
      </w:r>
      <w:r>
        <w:rPr>
          <w:spacing w:val="2"/>
        </w:rPr>
        <w:t>of </w:t>
      </w:r>
      <w:r>
        <w:rPr/>
        <w:t>senior unsecured 9 1/4% </w:t>
      </w:r>
      <w:r>
        <w:rPr>
          <w:spacing w:val="2"/>
        </w:rPr>
        <w:t>Notes, </w:t>
      </w:r>
      <w:r>
        <w:rPr/>
        <w:t>$100 million </w:t>
      </w:r>
      <w:r>
        <w:rPr>
          <w:spacing w:val="2"/>
        </w:rPr>
        <w:t>of </w:t>
      </w:r>
      <w:r>
        <w:rPr/>
        <w:t>senior unsecured 9.4% Notes, and $100 million of senior unsecured 8 3/4% Notes due February 15, 1998, July 1, 2001, and October 15, 2003, respectively. Interest on the Notes is payable semi-annually. The Notes are not redeemable by the Company prior </w:t>
      </w:r>
      <w:r>
        <w:rPr>
          <w:spacing w:val="2"/>
        </w:rPr>
        <w:t>to</w:t>
      </w:r>
      <w:r>
        <w:rPr>
          <w:spacing w:val="3"/>
        </w:rPr>
        <w:t> </w:t>
      </w:r>
      <w:r>
        <w:rPr/>
        <w:t>maturity.</w:t>
      </w:r>
    </w:p>
    <w:p>
      <w:pPr>
        <w:pStyle w:val="BodyText"/>
        <w:spacing w:line="249" w:lineRule="auto" w:before="121" w:after="58"/>
        <w:ind w:left="820" w:right="184" w:hanging="1"/>
      </w:pPr>
      <w:r>
        <w:rPr/>
        <w:t>The fair values, based on quoted market prices, of these Notes at December 31, 1994, were as follows (in thousands):</w:t>
      </w: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09"/>
        <w:gridCol w:w="1442"/>
      </w:tblGrid>
      <w:tr>
        <w:trPr>
          <w:trHeight w:val="343" w:hRule="exact"/>
        </w:trPr>
        <w:tc>
          <w:tcPr>
            <w:tcW w:w="4409" w:type="dxa"/>
            <w:tcBorders>
              <w:bottom w:val="single" w:sz="6" w:space="0" w:color="FFFF00"/>
              <w:right w:val="single" w:sz="6" w:space="0" w:color="FFFF00"/>
            </w:tcBorders>
          </w:tcPr>
          <w:p>
            <w:pPr>
              <w:pStyle w:val="TableParagraph"/>
              <w:spacing w:before="58"/>
              <w:ind w:left="283"/>
              <w:rPr>
                <w:sz w:val="20"/>
              </w:rPr>
            </w:pPr>
            <w:r>
              <w:rPr>
                <w:sz w:val="20"/>
              </w:rPr>
              <w:t>9 1/4% Notes due 1998</w:t>
            </w:r>
          </w:p>
        </w:tc>
        <w:tc>
          <w:tcPr>
            <w:tcW w:w="1442" w:type="dxa"/>
            <w:tcBorders>
              <w:left w:val="single" w:sz="6" w:space="0" w:color="FFFF00"/>
              <w:bottom w:val="single" w:sz="6" w:space="0" w:color="FFFF00"/>
            </w:tcBorders>
          </w:tcPr>
          <w:p>
            <w:pPr>
              <w:pStyle w:val="TableParagraph"/>
              <w:spacing w:before="87"/>
              <w:ind w:right="331"/>
              <w:jc w:val="right"/>
              <w:rPr>
                <w:sz w:val="20"/>
              </w:rPr>
            </w:pPr>
            <w:r>
              <w:rPr>
                <w:sz w:val="20"/>
              </w:rPr>
              <w:t>$102,000</w:t>
            </w:r>
          </w:p>
        </w:tc>
      </w:tr>
      <w:tr>
        <w:trPr>
          <w:trHeight w:val="274" w:hRule="exact"/>
        </w:trPr>
        <w:tc>
          <w:tcPr>
            <w:tcW w:w="4409" w:type="dxa"/>
            <w:tcBorders>
              <w:top w:val="single" w:sz="6" w:space="0" w:color="FFFF00"/>
              <w:bottom w:val="single" w:sz="6" w:space="0" w:color="FFFF00"/>
              <w:right w:val="single" w:sz="6" w:space="0" w:color="FFFF00"/>
            </w:tcBorders>
          </w:tcPr>
          <w:p>
            <w:pPr>
              <w:pStyle w:val="TableParagraph"/>
              <w:spacing w:line="226" w:lineRule="exact" w:before="0"/>
              <w:ind w:left="283"/>
              <w:rPr>
                <w:sz w:val="20"/>
              </w:rPr>
            </w:pPr>
            <w:r>
              <w:rPr>
                <w:sz w:val="20"/>
              </w:rPr>
              <w:t>9.4% Notes due 2001</w:t>
            </w:r>
          </w:p>
        </w:tc>
        <w:tc>
          <w:tcPr>
            <w:tcW w:w="1442" w:type="dxa"/>
            <w:tcBorders>
              <w:top w:val="single" w:sz="6" w:space="0" w:color="FFFF00"/>
              <w:left w:val="single" w:sz="6" w:space="0" w:color="FFFF00"/>
              <w:bottom w:val="single" w:sz="6" w:space="0" w:color="FFFF00"/>
            </w:tcBorders>
          </w:tcPr>
          <w:p>
            <w:pPr>
              <w:pStyle w:val="TableParagraph"/>
              <w:ind w:right="331"/>
              <w:jc w:val="right"/>
              <w:rPr>
                <w:sz w:val="20"/>
              </w:rPr>
            </w:pPr>
            <w:r>
              <w:rPr>
                <w:sz w:val="20"/>
              </w:rPr>
              <w:t>103,820</w:t>
            </w:r>
          </w:p>
        </w:tc>
      </w:tr>
      <w:tr>
        <w:trPr>
          <w:trHeight w:val="274" w:hRule="exact"/>
        </w:trPr>
        <w:tc>
          <w:tcPr>
            <w:tcW w:w="4409" w:type="dxa"/>
            <w:tcBorders>
              <w:top w:val="single" w:sz="6" w:space="0" w:color="FFFF00"/>
              <w:bottom w:val="single" w:sz="6" w:space="0" w:color="FFFF00"/>
              <w:right w:val="single" w:sz="6" w:space="0" w:color="FFFF00"/>
            </w:tcBorders>
          </w:tcPr>
          <w:p>
            <w:pPr>
              <w:pStyle w:val="TableParagraph"/>
              <w:spacing w:line="226" w:lineRule="exact" w:before="0"/>
              <w:ind w:left="283"/>
              <w:rPr>
                <w:sz w:val="20"/>
              </w:rPr>
            </w:pPr>
            <w:r>
              <w:rPr>
                <w:sz w:val="20"/>
              </w:rPr>
              <w:t>8 3/4% Notes due 2003</w:t>
            </w:r>
          </w:p>
        </w:tc>
        <w:tc>
          <w:tcPr>
            <w:tcW w:w="1442" w:type="dxa"/>
            <w:tcBorders>
              <w:top w:val="single" w:sz="6" w:space="0" w:color="FFFF00"/>
              <w:left w:val="single" w:sz="6" w:space="0" w:color="FFFF00"/>
              <w:bottom w:val="single" w:sz="6" w:space="0" w:color="FFFF00"/>
            </w:tcBorders>
          </w:tcPr>
          <w:p>
            <w:pPr>
              <w:pStyle w:val="TableParagraph"/>
              <w:ind w:right="331"/>
              <w:jc w:val="right"/>
              <w:rPr>
                <w:sz w:val="20"/>
              </w:rPr>
            </w:pPr>
            <w:r>
              <w:rPr>
                <w:sz w:val="20"/>
              </w:rPr>
              <w:t>100,670</w:t>
            </w:r>
          </w:p>
        </w:tc>
      </w:tr>
      <w:tr>
        <w:trPr>
          <w:trHeight w:val="324" w:hRule="exact"/>
        </w:trPr>
        <w:tc>
          <w:tcPr>
            <w:tcW w:w="4409" w:type="dxa"/>
            <w:tcBorders>
              <w:top w:val="single" w:sz="6" w:space="0" w:color="FFFF00"/>
              <w:right w:val="single" w:sz="6" w:space="0" w:color="FFFF00"/>
            </w:tcBorders>
          </w:tcPr>
          <w:p>
            <w:pPr>
              <w:pStyle w:val="TableParagraph"/>
              <w:spacing w:line="226" w:lineRule="exact" w:before="0"/>
              <w:ind w:left="283"/>
              <w:rPr>
                <w:sz w:val="20"/>
              </w:rPr>
            </w:pPr>
            <w:r>
              <w:rPr>
                <w:sz w:val="20"/>
              </w:rPr>
              <w:t>7 7/8% Notes due 2007</w:t>
            </w:r>
          </w:p>
        </w:tc>
        <w:tc>
          <w:tcPr>
            <w:tcW w:w="1442" w:type="dxa"/>
            <w:tcBorders>
              <w:top w:val="single" w:sz="6" w:space="0" w:color="FFFF00"/>
              <w:left w:val="single" w:sz="6" w:space="0" w:color="FFFF00"/>
            </w:tcBorders>
          </w:tcPr>
          <w:p>
            <w:pPr>
              <w:pStyle w:val="TableParagraph"/>
              <w:ind w:right="331"/>
              <w:jc w:val="right"/>
              <w:rPr>
                <w:sz w:val="20"/>
              </w:rPr>
            </w:pPr>
            <w:r>
              <w:rPr>
                <w:sz w:val="20"/>
              </w:rPr>
              <w:t>93,070</w:t>
            </w:r>
          </w:p>
        </w:tc>
      </w:tr>
    </w:tbl>
    <w:p>
      <w:pPr>
        <w:pStyle w:val="BodyText"/>
        <w:spacing w:line="249" w:lineRule="auto" w:before="125"/>
        <w:ind w:left="820" w:right="189"/>
      </w:pPr>
      <w:r>
        <w:rPr/>
        <w:t>In 1992, certain Convertible Subordinated Debentures issued by Southwest Airlines Eurofinance N.V.  were redeemed. The principal amount of $35,000,000 was converted into 1,370,902 shares (unadjusted for the 1993 and 1992 stock splits) of Southwest's common stock at the conversion price of $25.53 per share. The conversion was primarily a noncash transaction and, therefore, was excluded from the Statement </w:t>
      </w:r>
      <w:r>
        <w:rPr>
          <w:spacing w:val="3"/>
        </w:rPr>
        <w:t>of </w:t>
      </w:r>
      <w:r>
        <w:rPr/>
        <w:t>Cash</w:t>
      </w:r>
      <w:r>
        <w:rPr>
          <w:spacing w:val="-11"/>
        </w:rPr>
        <w:t> </w:t>
      </w:r>
      <w:r>
        <w:rPr/>
        <w:t>Flows.</w:t>
      </w:r>
    </w:p>
    <w:p>
      <w:pPr>
        <w:pStyle w:val="BodyText"/>
        <w:spacing w:line="249" w:lineRule="auto" w:before="121"/>
        <w:ind w:left="820" w:right="184"/>
      </w:pPr>
      <w:r>
        <w:rPr/>
        <w:t>In addition to the credit facilities described above, Southwest has an unsecured Bank Credit Agreement with a group of domestic banks that permits Southwest to borrow through December 14, 1996 on a revolving credit basis up to $300 million. Interest rates on borrowings under the Credit Agreement can be, at the option of Southwest, the agent bank's prime rate, .30% over LIBOR, or .50% over domestic certificate of deposit rates. The commitment fee is 0.1875% per annum. There were no outstanding borrowings under this agreement at December 31, 1994 or 1993.</w:t>
      </w:r>
    </w:p>
    <w:p>
      <w:pPr>
        <w:spacing w:after="0" w:line="249" w:lineRule="auto"/>
        <w:sectPr>
          <w:pgSz w:w="12240" w:h="15840"/>
          <w:pgMar w:header="725" w:footer="746" w:top="940" w:bottom="940" w:left="1700" w:right="960"/>
        </w:sectPr>
      </w:pPr>
    </w:p>
    <w:p>
      <w:pPr>
        <w:pStyle w:val="BodyText"/>
      </w:pPr>
    </w:p>
    <w:p>
      <w:pPr>
        <w:pStyle w:val="BodyText"/>
      </w:pPr>
    </w:p>
    <w:p>
      <w:pPr>
        <w:pStyle w:val="BodyText"/>
        <w:spacing w:before="10"/>
        <w:rPr>
          <w:sz w:val="23"/>
        </w:rPr>
      </w:pPr>
    </w:p>
    <w:p>
      <w:pPr>
        <w:pStyle w:val="Heading2"/>
        <w:numPr>
          <w:ilvl w:val="0"/>
          <w:numId w:val="3"/>
        </w:numPr>
        <w:tabs>
          <w:tab w:pos="1046" w:val="left" w:leader="none"/>
        </w:tabs>
        <w:spacing w:line="240" w:lineRule="auto" w:before="0" w:after="0"/>
        <w:ind w:left="1045" w:right="0" w:hanging="225"/>
        <w:jc w:val="left"/>
      </w:pPr>
      <w:r>
        <w:rPr/>
        <w:t>Leases</w:t>
      </w:r>
    </w:p>
    <w:p>
      <w:pPr>
        <w:pStyle w:val="BodyText"/>
        <w:spacing w:before="131"/>
        <w:ind w:left="819"/>
      </w:pPr>
      <w:r>
        <w:rPr/>
        <w:t>Total rental expense for operating leases charged to operations in 1994, 1993, and 1992 was</w:t>
      </w:r>
    </w:p>
    <w:p>
      <w:pPr>
        <w:pStyle w:val="BodyText"/>
        <w:spacing w:line="249" w:lineRule="auto" w:before="10"/>
        <w:ind w:left="819" w:right="439"/>
        <w:jc w:val="both"/>
      </w:pPr>
      <w:r>
        <w:rPr/>
        <w:t>$198,987,000, $167,303,000, and $125,835,000, respectively. The majority of the Company's terminal operations space, as well as 89 aircraft, were under operating leases. The amounts applicable to capital leases included in property and equipment were (in thousands):</w:t>
      </w:r>
    </w:p>
    <w:p>
      <w:pPr>
        <w:pStyle w:val="BodyText"/>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33"/>
        <w:gridCol w:w="182"/>
        <w:gridCol w:w="1450"/>
      </w:tblGrid>
      <w:tr>
        <w:trPr>
          <w:trHeight w:val="329" w:hRule="exact"/>
        </w:trPr>
        <w:tc>
          <w:tcPr>
            <w:tcW w:w="4318" w:type="dxa"/>
            <w:tcBorders>
              <w:bottom w:val="single" w:sz="6" w:space="0" w:color="FFFF00"/>
              <w:right w:val="single" w:sz="6" w:space="0" w:color="FFFF00"/>
            </w:tcBorders>
          </w:tcPr>
          <w:p>
            <w:pPr/>
          </w:p>
        </w:tc>
        <w:tc>
          <w:tcPr>
            <w:tcW w:w="3065" w:type="dxa"/>
            <w:gridSpan w:val="3"/>
            <w:tcBorders>
              <w:left w:val="single" w:sz="6" w:space="0" w:color="FFFF00"/>
              <w:bottom w:val="single" w:sz="6" w:space="0" w:color="FFFF00"/>
            </w:tcBorders>
          </w:tcPr>
          <w:p>
            <w:pPr>
              <w:pStyle w:val="TableParagraph"/>
              <w:tabs>
                <w:tab w:pos="2155" w:val="left" w:leader="none"/>
              </w:tabs>
              <w:spacing w:before="85"/>
              <w:ind w:left="537"/>
              <w:rPr>
                <w:rFonts w:ascii="Arial"/>
                <w:sz w:val="16"/>
              </w:rPr>
            </w:pPr>
            <w:r>
              <w:rPr>
                <w:rFonts w:ascii="Arial"/>
                <w:sz w:val="16"/>
              </w:rPr>
              <w:t>1994</w:t>
              <w:tab/>
              <w:t>1993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Flight equipment</w:t>
            </w:r>
          </w:p>
        </w:tc>
        <w:tc>
          <w:tcPr>
            <w:tcW w:w="3065" w:type="dxa"/>
            <w:gridSpan w:val="3"/>
            <w:tcBorders>
              <w:top w:val="single" w:sz="6" w:space="0" w:color="FFFF00"/>
              <w:left w:val="single" w:sz="6" w:space="0" w:color="FFFF00"/>
              <w:bottom w:val="single" w:sz="6" w:space="0" w:color="FFFF00"/>
            </w:tcBorders>
          </w:tcPr>
          <w:p>
            <w:pPr>
              <w:pStyle w:val="TableParagraph"/>
              <w:tabs>
                <w:tab w:pos="1852" w:val="left" w:leader="none"/>
              </w:tabs>
              <w:ind w:left="230"/>
              <w:rPr>
                <w:sz w:val="20"/>
              </w:rPr>
            </w:pPr>
            <w:r>
              <w:rPr>
                <w:sz w:val="20"/>
              </w:rPr>
              <w:t>$233,324</w:t>
              <w:tab/>
              <w:t>$232,853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accumulated amortization</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88,656</w:t>
            </w:r>
          </w:p>
        </w:tc>
        <w:tc>
          <w:tcPr>
            <w:tcW w:w="1632" w:type="dxa"/>
            <w:gridSpan w:val="2"/>
            <w:tcBorders>
              <w:top w:val="single" w:sz="6" w:space="0" w:color="FFFF00"/>
              <w:left w:val="nil"/>
              <w:bottom w:val="nil"/>
            </w:tcBorders>
          </w:tcPr>
          <w:p>
            <w:pPr>
              <w:pStyle w:val="TableParagraph"/>
              <w:tabs>
                <w:tab w:pos="628" w:val="left" w:leader="none"/>
              </w:tabs>
              <w:rPr>
                <w:sz w:val="20"/>
              </w:rPr>
            </w:pPr>
            <w:r>
              <w:rPr>
                <w:w w:val="100"/>
                <w:sz w:val="20"/>
                <w:u w:val="single" w:color="FFFF00"/>
              </w:rPr>
              <w:t> </w:t>
            </w:r>
            <w:r>
              <w:rPr>
                <w:sz w:val="20"/>
                <w:u w:val="single" w:color="FFFF00"/>
              </w:rPr>
              <w:t>   </w:t>
            </w:r>
            <w:r>
              <w:rPr>
                <w:spacing w:val="-23"/>
                <w:sz w:val="20"/>
                <w:u w:val="single" w:color="FFFF00"/>
              </w:rPr>
              <w:t> </w:t>
            </w:r>
            <w:r>
              <w:rPr>
                <w:sz w:val="20"/>
              </w:rPr>
              <w:tab/>
              <w:t>74,234</w:t>
            </w:r>
          </w:p>
        </w:tc>
      </w:tr>
      <w:tr>
        <w:trPr>
          <w:trHeight w:val="281" w:hRule="exact"/>
        </w:trPr>
        <w:tc>
          <w:tcPr>
            <w:tcW w:w="4318" w:type="dxa"/>
            <w:tcBorders>
              <w:top w:val="single" w:sz="6" w:space="0" w:color="FFFF00"/>
              <w:right w:val="single" w:sz="6" w:space="0" w:color="FFFF00"/>
            </w:tcBorders>
          </w:tcPr>
          <w:p>
            <w:pPr/>
          </w:p>
        </w:tc>
        <w:tc>
          <w:tcPr>
            <w:tcW w:w="1433" w:type="dxa"/>
            <w:tcBorders>
              <w:top w:val="single" w:sz="6" w:space="0" w:color="000000"/>
              <w:left w:val="single" w:sz="6" w:space="0" w:color="FFFF00"/>
              <w:right w:val="nil"/>
            </w:tcBorders>
          </w:tcPr>
          <w:p>
            <w:pPr>
              <w:pStyle w:val="TableParagraph"/>
              <w:ind w:right="436"/>
              <w:jc w:val="right"/>
              <w:rPr>
                <w:sz w:val="20"/>
              </w:rPr>
            </w:pPr>
            <w:r>
              <w:rPr>
                <w:sz w:val="20"/>
              </w:rPr>
              <w:t>$144,668</w:t>
            </w:r>
          </w:p>
        </w:tc>
        <w:tc>
          <w:tcPr>
            <w:tcW w:w="182" w:type="dxa"/>
            <w:tcBorders>
              <w:top w:val="nil"/>
              <w:left w:val="nil"/>
              <w:right w:val="nil"/>
            </w:tcBorders>
          </w:tcPr>
          <w:p>
            <w:pPr/>
          </w:p>
        </w:tc>
        <w:tc>
          <w:tcPr>
            <w:tcW w:w="1450" w:type="dxa"/>
            <w:tcBorders>
              <w:top w:val="single" w:sz="6" w:space="0" w:color="000000"/>
              <w:left w:val="nil"/>
            </w:tcBorders>
          </w:tcPr>
          <w:p>
            <w:pPr>
              <w:pStyle w:val="TableParagraph"/>
              <w:ind w:left="244"/>
              <w:rPr>
                <w:sz w:val="20"/>
              </w:rPr>
            </w:pPr>
            <w:r>
              <w:rPr>
                <w:sz w:val="20"/>
              </w:rPr>
              <w:t>$158,619</w:t>
            </w:r>
          </w:p>
        </w:tc>
      </w:tr>
    </w:tbl>
    <w:p>
      <w:pPr>
        <w:pStyle w:val="BodyText"/>
        <w:spacing w:line="249" w:lineRule="auto" w:before="125"/>
        <w:ind w:left="820" w:right="184"/>
      </w:pPr>
      <w:r>
        <w:rPr/>
        <w:t>Future minimum lease payments under capital leases and noncancelable operating leases, with initial or remaining terms in excess of one year, at December 31, 1994, were (in thousands):</w:t>
      </w:r>
    </w:p>
    <w:p>
      <w:pPr>
        <w:pStyle w:val="BodyText"/>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62"/>
        <w:gridCol w:w="154"/>
        <w:gridCol w:w="80"/>
        <w:gridCol w:w="1369"/>
      </w:tblGrid>
      <w:tr>
        <w:trPr>
          <w:trHeight w:val="329" w:hRule="exact"/>
        </w:trPr>
        <w:tc>
          <w:tcPr>
            <w:tcW w:w="4318" w:type="dxa"/>
            <w:tcBorders>
              <w:bottom w:val="single" w:sz="6" w:space="0" w:color="FFFF00"/>
              <w:right w:val="single" w:sz="6" w:space="0" w:color="FFFF00"/>
            </w:tcBorders>
          </w:tcPr>
          <w:p>
            <w:pPr/>
          </w:p>
        </w:tc>
        <w:tc>
          <w:tcPr>
            <w:tcW w:w="1462" w:type="dxa"/>
            <w:tcBorders>
              <w:left w:val="single" w:sz="6" w:space="0" w:color="FFFF00"/>
              <w:bottom w:val="single" w:sz="6" w:space="0" w:color="FFFF00"/>
              <w:right w:val="nil"/>
            </w:tcBorders>
          </w:tcPr>
          <w:p>
            <w:pPr>
              <w:pStyle w:val="TableParagraph"/>
              <w:spacing w:before="85"/>
              <w:ind w:left="178" w:right="177"/>
              <w:jc w:val="center"/>
              <w:rPr>
                <w:rFonts w:ascii="Arial"/>
                <w:sz w:val="16"/>
              </w:rPr>
            </w:pPr>
            <w:r>
              <w:rPr>
                <w:rFonts w:ascii="Arial"/>
                <w:sz w:val="16"/>
              </w:rPr>
              <w:t>Capital Leases</w:t>
            </w:r>
          </w:p>
        </w:tc>
        <w:tc>
          <w:tcPr>
            <w:tcW w:w="234" w:type="dxa"/>
            <w:gridSpan w:val="2"/>
            <w:tcBorders>
              <w:left w:val="nil"/>
              <w:bottom w:val="single" w:sz="6" w:space="0" w:color="FFFF00"/>
              <w:right w:val="nil"/>
            </w:tcBorders>
          </w:tcPr>
          <w:p>
            <w:pPr/>
          </w:p>
        </w:tc>
        <w:tc>
          <w:tcPr>
            <w:tcW w:w="1369" w:type="dxa"/>
            <w:tcBorders>
              <w:left w:val="nil"/>
              <w:bottom w:val="single" w:sz="6" w:space="0" w:color="FFFF00"/>
            </w:tcBorders>
          </w:tcPr>
          <w:p>
            <w:pPr>
              <w:pStyle w:val="TableParagraph"/>
              <w:spacing w:before="85"/>
              <w:ind w:left="34"/>
              <w:rPr>
                <w:rFonts w:ascii="Arial"/>
                <w:sz w:val="16"/>
              </w:rPr>
            </w:pPr>
            <w:r>
              <w:rPr>
                <w:rFonts w:ascii="Arial"/>
                <w:w w:val="95"/>
                <w:sz w:val="16"/>
              </w:rPr>
              <w:t>Operating Leases</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1995</w:t>
            </w:r>
          </w:p>
        </w:tc>
        <w:tc>
          <w:tcPr>
            <w:tcW w:w="1462" w:type="dxa"/>
            <w:tcBorders>
              <w:top w:val="single" w:sz="6" w:space="0" w:color="FFFF00"/>
              <w:left w:val="single" w:sz="6" w:space="0" w:color="FFFF00"/>
              <w:bottom w:val="single" w:sz="6" w:space="0" w:color="FFFF00"/>
              <w:right w:val="nil"/>
            </w:tcBorders>
          </w:tcPr>
          <w:p>
            <w:pPr>
              <w:pStyle w:val="TableParagraph"/>
              <w:ind w:left="43" w:right="177"/>
              <w:jc w:val="center"/>
              <w:rPr>
                <w:sz w:val="20"/>
              </w:rPr>
            </w:pPr>
            <w:r>
              <w:rPr>
                <w:sz w:val="20"/>
              </w:rPr>
              <w:t>$26,282</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255"/>
              <w:rPr>
                <w:sz w:val="20"/>
              </w:rPr>
            </w:pPr>
            <w:r>
              <w:rPr>
                <w:sz w:val="20"/>
              </w:rPr>
              <w:t>$176,439</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1996</w:t>
            </w:r>
          </w:p>
        </w:tc>
        <w:tc>
          <w:tcPr>
            <w:tcW w:w="1462" w:type="dxa"/>
            <w:tcBorders>
              <w:top w:val="single" w:sz="6" w:space="0" w:color="FFFF00"/>
              <w:left w:val="single" w:sz="6" w:space="0" w:color="FFFF00"/>
              <w:bottom w:val="single" w:sz="6" w:space="0" w:color="FFFF00"/>
              <w:right w:val="nil"/>
            </w:tcBorders>
          </w:tcPr>
          <w:p>
            <w:pPr>
              <w:pStyle w:val="TableParagraph"/>
              <w:ind w:left="144" w:right="177"/>
              <w:jc w:val="center"/>
              <w:rPr>
                <w:sz w:val="20"/>
              </w:rPr>
            </w:pPr>
            <w:r>
              <w:rPr>
                <w:sz w:val="20"/>
              </w:rPr>
              <w:t>28,897</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356"/>
              <w:rPr>
                <w:sz w:val="20"/>
              </w:rPr>
            </w:pPr>
            <w:r>
              <w:rPr>
                <w:sz w:val="20"/>
              </w:rPr>
              <w:t>178,253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1997</w:t>
            </w:r>
          </w:p>
        </w:tc>
        <w:tc>
          <w:tcPr>
            <w:tcW w:w="1462" w:type="dxa"/>
            <w:tcBorders>
              <w:top w:val="single" w:sz="6" w:space="0" w:color="FFFF00"/>
              <w:left w:val="single" w:sz="6" w:space="0" w:color="FFFF00"/>
              <w:bottom w:val="single" w:sz="6" w:space="0" w:color="FFFF00"/>
              <w:right w:val="nil"/>
            </w:tcBorders>
          </w:tcPr>
          <w:p>
            <w:pPr>
              <w:pStyle w:val="TableParagraph"/>
              <w:ind w:left="144" w:right="177"/>
              <w:jc w:val="center"/>
              <w:rPr>
                <w:sz w:val="20"/>
              </w:rPr>
            </w:pPr>
            <w:r>
              <w:rPr>
                <w:sz w:val="20"/>
              </w:rPr>
              <w:t>26,843</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356"/>
              <w:rPr>
                <w:sz w:val="20"/>
              </w:rPr>
            </w:pPr>
            <w:r>
              <w:rPr>
                <w:sz w:val="20"/>
              </w:rPr>
              <w:t>168,132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1998</w:t>
            </w:r>
          </w:p>
        </w:tc>
        <w:tc>
          <w:tcPr>
            <w:tcW w:w="1462" w:type="dxa"/>
            <w:tcBorders>
              <w:top w:val="single" w:sz="6" w:space="0" w:color="FFFF00"/>
              <w:left w:val="single" w:sz="6" w:space="0" w:color="FFFF00"/>
              <w:bottom w:val="single" w:sz="6" w:space="0" w:color="FFFF00"/>
              <w:right w:val="nil"/>
            </w:tcBorders>
          </w:tcPr>
          <w:p>
            <w:pPr>
              <w:pStyle w:val="TableParagraph"/>
              <w:ind w:left="144" w:right="177"/>
              <w:jc w:val="center"/>
              <w:rPr>
                <w:sz w:val="20"/>
              </w:rPr>
            </w:pPr>
            <w:r>
              <w:rPr>
                <w:sz w:val="20"/>
              </w:rPr>
              <w:t>32,903</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356"/>
              <w:rPr>
                <w:sz w:val="20"/>
              </w:rPr>
            </w:pPr>
            <w:r>
              <w:rPr>
                <w:sz w:val="20"/>
              </w:rPr>
              <w:t>148,017</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012"/>
              <w:rPr>
                <w:sz w:val="20"/>
              </w:rPr>
            </w:pPr>
            <w:r>
              <w:rPr>
                <w:sz w:val="20"/>
              </w:rPr>
              <w:t>1999</w:t>
            </w:r>
          </w:p>
        </w:tc>
        <w:tc>
          <w:tcPr>
            <w:tcW w:w="1462" w:type="dxa"/>
            <w:tcBorders>
              <w:top w:val="single" w:sz="6" w:space="0" w:color="FFFF00"/>
              <w:left w:val="single" w:sz="6" w:space="0" w:color="FFFF00"/>
              <w:bottom w:val="single" w:sz="6" w:space="0" w:color="FFFF00"/>
              <w:right w:val="nil"/>
            </w:tcBorders>
          </w:tcPr>
          <w:p>
            <w:pPr>
              <w:pStyle w:val="TableParagraph"/>
              <w:ind w:left="144" w:right="177"/>
              <w:jc w:val="center"/>
              <w:rPr>
                <w:sz w:val="20"/>
              </w:rPr>
            </w:pPr>
            <w:r>
              <w:rPr>
                <w:sz w:val="20"/>
              </w:rPr>
              <w:t>20,999</w:t>
            </w:r>
          </w:p>
        </w:tc>
        <w:tc>
          <w:tcPr>
            <w:tcW w:w="234" w:type="dxa"/>
            <w:gridSpan w:val="2"/>
            <w:tcBorders>
              <w:top w:val="single" w:sz="6" w:space="0" w:color="FFFF00"/>
              <w:left w:val="nil"/>
              <w:bottom w:val="single" w:sz="6" w:space="0" w:color="FFFF00"/>
              <w:right w:val="nil"/>
            </w:tcBorders>
          </w:tcPr>
          <w:p>
            <w:pPr/>
          </w:p>
        </w:tc>
        <w:tc>
          <w:tcPr>
            <w:tcW w:w="1369" w:type="dxa"/>
            <w:tcBorders>
              <w:top w:val="single" w:sz="6" w:space="0" w:color="FFFF00"/>
              <w:left w:val="nil"/>
              <w:bottom w:val="single" w:sz="6" w:space="0" w:color="FFFF00"/>
            </w:tcBorders>
          </w:tcPr>
          <w:p>
            <w:pPr>
              <w:pStyle w:val="TableParagraph"/>
              <w:ind w:left="356"/>
              <w:rPr>
                <w:sz w:val="20"/>
              </w:rPr>
            </w:pPr>
            <w:r>
              <w:rPr>
                <w:sz w:val="20"/>
              </w:rPr>
              <w:t>137,845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537"/>
              <w:rPr>
                <w:sz w:val="20"/>
              </w:rPr>
            </w:pPr>
            <w:r>
              <w:rPr>
                <w:sz w:val="20"/>
              </w:rPr>
              <w:t>After 1999</w:t>
            </w:r>
          </w:p>
        </w:tc>
        <w:tc>
          <w:tcPr>
            <w:tcW w:w="1462" w:type="dxa"/>
            <w:tcBorders>
              <w:top w:val="single" w:sz="6" w:space="0" w:color="FFFF00"/>
              <w:left w:val="single" w:sz="6" w:space="0" w:color="FFFF00"/>
              <w:bottom w:val="single" w:sz="6" w:space="0" w:color="000000"/>
              <w:right w:val="nil"/>
            </w:tcBorders>
          </w:tcPr>
          <w:p>
            <w:pPr>
              <w:pStyle w:val="TableParagraph"/>
              <w:ind w:left="43" w:right="177"/>
              <w:jc w:val="center"/>
              <w:rPr>
                <w:sz w:val="20"/>
              </w:rPr>
            </w:pPr>
            <w:r>
              <w:rPr>
                <w:sz w:val="20"/>
              </w:rPr>
              <w:t>191,096</w:t>
            </w:r>
          </w:p>
        </w:tc>
        <w:tc>
          <w:tcPr>
            <w:tcW w:w="234" w:type="dxa"/>
            <w:gridSpan w:val="2"/>
            <w:tcBorders>
              <w:top w:val="single" w:sz="6" w:space="0" w:color="FFFF00"/>
              <w:left w:val="nil"/>
              <w:bottom w:val="single" w:sz="6" w:space="0" w:color="000000"/>
              <w:right w:val="nil"/>
            </w:tcBorders>
          </w:tcPr>
          <w:p>
            <w:pPr>
              <w:pStyle w:val="TableParagraph"/>
              <w:ind w:left="-1"/>
              <w:rPr>
                <w:sz w:val="20"/>
              </w:rPr>
            </w:pPr>
            <w:r>
              <w:rPr>
                <w:w w:val="100"/>
                <w:sz w:val="20"/>
                <w:u w:val="single" w:color="FFFF00"/>
              </w:rPr>
              <w:t> </w:t>
            </w:r>
            <w:r>
              <w:rPr>
                <w:spacing w:val="-2"/>
                <w:sz w:val="20"/>
                <w:u w:val="single" w:color="FFFF00"/>
              </w:rPr>
              <w:t> </w:t>
            </w:r>
          </w:p>
        </w:tc>
        <w:tc>
          <w:tcPr>
            <w:tcW w:w="1369" w:type="dxa"/>
            <w:tcBorders>
              <w:top w:val="single" w:sz="6" w:space="0" w:color="FFFF00"/>
              <w:left w:val="nil"/>
              <w:bottom w:val="single" w:sz="6" w:space="0" w:color="000000"/>
            </w:tcBorders>
          </w:tcPr>
          <w:p>
            <w:pPr>
              <w:pStyle w:val="TableParagraph"/>
              <w:ind w:left="202"/>
              <w:rPr>
                <w:sz w:val="20"/>
              </w:rPr>
            </w:pPr>
            <w:r>
              <w:rPr>
                <w:sz w:val="20"/>
              </w:rPr>
              <w:t>1,559,478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Total minimum lease payments</w:t>
            </w:r>
          </w:p>
        </w:tc>
        <w:tc>
          <w:tcPr>
            <w:tcW w:w="1462" w:type="dxa"/>
            <w:tcBorders>
              <w:top w:val="single" w:sz="6" w:space="0" w:color="000000"/>
              <w:left w:val="single" w:sz="6" w:space="0" w:color="FFFF00"/>
              <w:bottom w:val="single" w:sz="6" w:space="0" w:color="FFFF00"/>
              <w:right w:val="nil"/>
            </w:tcBorders>
          </w:tcPr>
          <w:p>
            <w:pPr>
              <w:pStyle w:val="TableParagraph"/>
              <w:ind w:left="43" w:right="177"/>
              <w:jc w:val="center"/>
              <w:rPr>
                <w:sz w:val="20"/>
              </w:rPr>
            </w:pPr>
            <w:r>
              <w:rPr>
                <w:sz w:val="20"/>
              </w:rPr>
              <w:t>327,020</w:t>
            </w:r>
          </w:p>
        </w:tc>
        <w:tc>
          <w:tcPr>
            <w:tcW w:w="154"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182"/>
              <w:rPr>
                <w:sz w:val="20"/>
              </w:rPr>
            </w:pPr>
            <w:r>
              <w:rPr>
                <w:sz w:val="20"/>
              </w:rPr>
              <w:t>$2,368,164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amount representing interest</w:t>
            </w:r>
          </w:p>
        </w:tc>
        <w:tc>
          <w:tcPr>
            <w:tcW w:w="3065" w:type="dxa"/>
            <w:gridSpan w:val="4"/>
            <w:tcBorders>
              <w:top w:val="single" w:sz="6" w:space="0" w:color="FFFF00"/>
              <w:left w:val="single" w:sz="6" w:space="0" w:color="FFFF00"/>
              <w:bottom w:val="single" w:sz="6" w:space="0" w:color="FFFF00"/>
            </w:tcBorders>
          </w:tcPr>
          <w:p>
            <w:pPr>
              <w:pStyle w:val="TableParagraph"/>
              <w:ind w:left="331"/>
              <w:rPr>
                <w:sz w:val="20"/>
              </w:rPr>
            </w:pPr>
            <w:r>
              <w:rPr>
                <w:sz w:val="20"/>
              </w:rPr>
              <w:t>131,264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Present value of minimum lease payments</w:t>
            </w:r>
          </w:p>
        </w:tc>
        <w:tc>
          <w:tcPr>
            <w:tcW w:w="3065" w:type="dxa"/>
            <w:gridSpan w:val="4"/>
            <w:tcBorders>
              <w:top w:val="single" w:sz="6" w:space="0" w:color="FFFF00"/>
              <w:left w:val="single" w:sz="6" w:space="0" w:color="FFFF00"/>
              <w:bottom w:val="single" w:sz="6" w:space="0" w:color="FFFF00"/>
            </w:tcBorders>
          </w:tcPr>
          <w:p>
            <w:pPr>
              <w:pStyle w:val="TableParagraph"/>
              <w:ind w:left="331"/>
              <w:rPr>
                <w:sz w:val="20"/>
              </w:rPr>
            </w:pPr>
            <w:r>
              <w:rPr>
                <w:sz w:val="20"/>
              </w:rPr>
              <w:t>195,756</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Less current portion</w:t>
            </w:r>
          </w:p>
        </w:tc>
        <w:tc>
          <w:tcPr>
            <w:tcW w:w="3065" w:type="dxa"/>
            <w:gridSpan w:val="4"/>
            <w:tcBorders>
              <w:top w:val="single" w:sz="6" w:space="0" w:color="FFFF00"/>
              <w:left w:val="single" w:sz="6" w:space="0" w:color="FFFF00"/>
              <w:bottom w:val="single" w:sz="6" w:space="0" w:color="FFFF00"/>
            </w:tcBorders>
          </w:tcPr>
          <w:p>
            <w:pPr>
              <w:pStyle w:val="TableParagraph"/>
              <w:ind w:left="532"/>
              <w:rPr>
                <w:sz w:val="20"/>
              </w:rPr>
            </w:pPr>
            <w:r>
              <w:rPr>
                <w:sz w:val="20"/>
              </w:rPr>
              <w:t>9,542</w:t>
            </w:r>
          </w:p>
        </w:tc>
      </w:tr>
      <w:tr>
        <w:trPr>
          <w:trHeight w:val="281" w:hRule="exact"/>
        </w:trPr>
        <w:tc>
          <w:tcPr>
            <w:tcW w:w="4318" w:type="dxa"/>
            <w:tcBorders>
              <w:top w:val="single" w:sz="6" w:space="0" w:color="FFFF00"/>
              <w:right w:val="single" w:sz="6" w:space="0" w:color="FFFF00"/>
            </w:tcBorders>
          </w:tcPr>
          <w:p>
            <w:pPr>
              <w:pStyle w:val="TableParagraph"/>
              <w:spacing w:line="226" w:lineRule="exact" w:before="0"/>
              <w:ind w:left="187"/>
              <w:rPr>
                <w:sz w:val="20"/>
              </w:rPr>
            </w:pPr>
            <w:r>
              <w:rPr>
                <w:sz w:val="20"/>
              </w:rPr>
              <w:t>Long-term portion</w:t>
            </w:r>
          </w:p>
        </w:tc>
        <w:tc>
          <w:tcPr>
            <w:tcW w:w="3065" w:type="dxa"/>
            <w:gridSpan w:val="4"/>
            <w:tcBorders>
              <w:top w:val="single" w:sz="6" w:space="0" w:color="FFFF00"/>
              <w:left w:val="single" w:sz="6" w:space="0" w:color="FFFF00"/>
            </w:tcBorders>
          </w:tcPr>
          <w:p>
            <w:pPr>
              <w:pStyle w:val="TableParagraph"/>
              <w:ind w:left="230"/>
              <w:rPr>
                <w:sz w:val="20"/>
              </w:rPr>
            </w:pPr>
            <w:r>
              <w:rPr>
                <w:sz w:val="20"/>
              </w:rPr>
              <w:t>$186,214</w:t>
            </w:r>
          </w:p>
        </w:tc>
      </w:tr>
    </w:tbl>
    <w:p>
      <w:pPr>
        <w:pStyle w:val="BodyText"/>
        <w:spacing w:line="249" w:lineRule="auto" w:before="125"/>
        <w:ind w:left="820" w:right="258"/>
      </w:pPr>
      <w:r>
        <w:rPr/>
        <w:t>The aircraft leases can generally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spacing w:before="10"/>
      </w:pPr>
    </w:p>
    <w:p>
      <w:pPr>
        <w:pStyle w:val="Heading2"/>
        <w:numPr>
          <w:ilvl w:val="0"/>
          <w:numId w:val="3"/>
        </w:numPr>
        <w:tabs>
          <w:tab w:pos="1046" w:val="left" w:leader="none"/>
        </w:tabs>
        <w:spacing w:line="240" w:lineRule="auto" w:before="0" w:after="0"/>
        <w:ind w:left="1045" w:right="0" w:hanging="225"/>
        <w:jc w:val="left"/>
      </w:pPr>
      <w:r>
        <w:rPr/>
        <w:t>Common</w:t>
      </w:r>
      <w:r>
        <w:rPr>
          <w:spacing w:val="9"/>
        </w:rPr>
        <w:t> </w:t>
      </w:r>
      <w:r>
        <w:rPr/>
        <w:t>Stock</w:t>
      </w:r>
    </w:p>
    <w:p>
      <w:pPr>
        <w:pStyle w:val="BodyText"/>
        <w:spacing w:line="249" w:lineRule="auto" w:before="131"/>
        <w:ind w:left="820"/>
      </w:pPr>
      <w:r>
        <w:rPr/>
        <w:t>At December 31, 1994, the Company had common stock reserved for issuance pursuant to Employee stock benefit plans (12,009,293 shares) and upon exercise of rights pursuant to the Common Stock Rights Agreement (Agreement), as amended (155,265,088 shares).</w:t>
      </w:r>
    </w:p>
    <w:p>
      <w:pPr>
        <w:pStyle w:val="BodyText"/>
        <w:spacing w:line="249" w:lineRule="auto" w:before="121"/>
        <w:ind w:left="820" w:right="182"/>
      </w:pPr>
      <w:r>
        <w:rPr/>
        <w:t>Pursuant </w:t>
      </w:r>
      <w:r>
        <w:rPr>
          <w:spacing w:val="2"/>
        </w:rPr>
        <w:t>to </w:t>
      </w:r>
      <w:r>
        <w:rPr/>
        <w:t>the Agreement, each </w:t>
      </w:r>
      <w:r>
        <w:rPr>
          <w:spacing w:val="4"/>
        </w:rPr>
        <w:t>outstanding </w:t>
      </w:r>
      <w:r>
        <w:rPr/>
        <w:t>share </w:t>
      </w:r>
      <w:r>
        <w:rPr>
          <w:spacing w:val="2"/>
        </w:rPr>
        <w:t>of </w:t>
      </w:r>
      <w:r>
        <w:rPr/>
        <w:t>the Company's common </w:t>
      </w:r>
      <w:r>
        <w:rPr>
          <w:spacing w:val="2"/>
        </w:rPr>
        <w:t>stock </w:t>
      </w:r>
      <w:r>
        <w:rPr/>
        <w:t>is accompanied by </w:t>
      </w:r>
      <w:r>
        <w:rPr>
          <w:spacing w:val="3"/>
        </w:rPr>
        <w:t>one </w:t>
      </w:r>
      <w:r>
        <w:rPr/>
        <w:t>common share purchase right (Right). </w:t>
      </w:r>
      <w:r>
        <w:rPr>
          <w:spacing w:val="2"/>
        </w:rPr>
        <w:t>Each </w:t>
      </w:r>
      <w:r>
        <w:rPr/>
        <w:t>Right entitles its holder </w:t>
      </w:r>
      <w:r>
        <w:rPr>
          <w:spacing w:val="2"/>
        </w:rPr>
        <w:t>to </w:t>
      </w:r>
      <w:r>
        <w:rPr/>
        <w:t>purchase </w:t>
      </w:r>
      <w:r>
        <w:rPr>
          <w:spacing w:val="3"/>
        </w:rPr>
        <w:t>one </w:t>
      </w:r>
      <w:r>
        <w:rPr/>
        <w:t>share </w:t>
      </w:r>
      <w:r>
        <w:rPr>
          <w:spacing w:val="2"/>
        </w:rPr>
        <w:t>of </w:t>
      </w:r>
      <w:r>
        <w:rPr/>
        <w:t>common stock at an exercise price of $16.67 and is exercisable </w:t>
      </w:r>
      <w:r>
        <w:rPr>
          <w:spacing w:val="3"/>
        </w:rPr>
        <w:t>only </w:t>
      </w:r>
      <w:r>
        <w:rPr/>
        <w:t>in the event of a proposed takeover, as defined by the Agreement. The Company may redeem the Rights at $.0111 per Right prior </w:t>
      </w:r>
      <w:r>
        <w:rPr>
          <w:spacing w:val="2"/>
        </w:rPr>
        <w:t>to </w:t>
      </w:r>
      <w:r>
        <w:rPr/>
        <w:t>the time that 20 percent of the common stock has been acquired by a person or group. If the Company is acquired or if certain self-dealing </w:t>
      </w:r>
      <w:r>
        <w:rPr>
          <w:spacing w:val="2"/>
        </w:rPr>
        <w:t>transactions </w:t>
      </w:r>
      <w:r>
        <w:rPr>
          <w:spacing w:val="4"/>
        </w:rPr>
        <w:t>occur, </w:t>
      </w:r>
      <w:r>
        <w:rPr/>
        <w:t>as defined in </w:t>
      </w:r>
      <w:r>
        <w:rPr>
          <w:spacing w:val="2"/>
        </w:rPr>
        <w:t>the </w:t>
      </w:r>
      <w:r>
        <w:rPr/>
        <w:t>Agreement, each Right will </w:t>
      </w:r>
      <w:r>
        <w:rPr>
          <w:spacing w:val="2"/>
        </w:rPr>
        <w:t>entitle its </w:t>
      </w:r>
      <w:r>
        <w:rPr/>
        <w:t>holder </w:t>
      </w:r>
      <w:r>
        <w:rPr>
          <w:spacing w:val="4"/>
        </w:rPr>
        <w:t>to </w:t>
      </w:r>
      <w:r>
        <w:rPr/>
        <w:t>purchase for $16.67 that number </w:t>
      </w:r>
      <w:r>
        <w:rPr>
          <w:spacing w:val="2"/>
        </w:rPr>
        <w:t>of </w:t>
      </w:r>
      <w:r>
        <w:rPr/>
        <w:t>the acquiring company's </w:t>
      </w:r>
      <w:r>
        <w:rPr>
          <w:spacing w:val="2"/>
        </w:rPr>
        <w:t>or </w:t>
      </w:r>
      <w:r>
        <w:rPr/>
        <w:t>the Company's common shares, as  provided in the Agreement, having a market value </w:t>
      </w:r>
      <w:r>
        <w:rPr>
          <w:spacing w:val="2"/>
        </w:rPr>
        <w:t>of </w:t>
      </w:r>
      <w:r>
        <w:rPr/>
        <w:t>two times the exercise price </w:t>
      </w:r>
      <w:r>
        <w:rPr>
          <w:spacing w:val="2"/>
        </w:rPr>
        <w:t>of </w:t>
      </w:r>
      <w:r>
        <w:rPr/>
        <w:t>the Right. The Rights will expire no </w:t>
      </w:r>
      <w:r>
        <w:rPr>
          <w:spacing w:val="2"/>
        </w:rPr>
        <w:t>later than </w:t>
      </w:r>
      <w:r>
        <w:rPr/>
        <w:t>July 30,</w:t>
      </w:r>
      <w:r>
        <w:rPr>
          <w:spacing w:val="21"/>
        </w:rPr>
        <w:t> </w:t>
      </w:r>
      <w:r>
        <w:rPr/>
        <w:t>1996.</w:t>
      </w:r>
    </w:p>
    <w:p>
      <w:pPr>
        <w:spacing w:after="0" w:line="249" w:lineRule="auto"/>
        <w:sectPr>
          <w:pgSz w:w="12240" w:h="15840"/>
          <w:pgMar w:header="725" w:footer="746" w:top="940" w:bottom="940" w:left="1700" w:right="960"/>
        </w:sectPr>
      </w:pPr>
    </w:p>
    <w:p>
      <w:pPr>
        <w:pStyle w:val="BodyText"/>
      </w:pPr>
    </w:p>
    <w:p>
      <w:pPr>
        <w:pStyle w:val="BodyText"/>
        <w:spacing w:before="4"/>
        <w:rPr>
          <w:sz w:val="25"/>
        </w:rPr>
      </w:pPr>
    </w:p>
    <w:p>
      <w:pPr>
        <w:pStyle w:val="BodyText"/>
        <w:spacing w:line="249" w:lineRule="auto" w:before="94"/>
        <w:ind w:left="819" w:right="214"/>
      </w:pPr>
      <w:r>
        <w:rPr/>
        <w:t>On May 19, 1993, the Company's Board of Directors declared a three-for-two stock split, distributing 46,325,147 shares on July 15, 1993. On May 20, 1992, the Company's Board of Directors declared a two- for-one stock split, distributing 46,180,531 shares on July 15, 1992.</w:t>
      </w:r>
    </w:p>
    <w:p>
      <w:pPr>
        <w:pStyle w:val="BodyText"/>
        <w:spacing w:line="249" w:lineRule="auto" w:before="121"/>
        <w:ind w:left="819" w:right="276"/>
      </w:pPr>
      <w:r>
        <w:rPr/>
        <w:t>In February 1992, the Company sold 2,500,000 shares (unadjusted for the subsequent 1993 and 1992 stock splits) of its common stock (2,327,892 new shares and 172,108 shares from treasury) in a public offering. Net proceeds from the sale of approximately $86,946,000 were added to the working capital of the Company for general corporate purposes, including the acquisition of aircraft and related  equipment.</w:t>
      </w:r>
    </w:p>
    <w:p>
      <w:pPr>
        <w:pStyle w:val="BodyText"/>
        <w:spacing w:before="10"/>
      </w:pPr>
    </w:p>
    <w:p>
      <w:pPr>
        <w:pStyle w:val="Heading2"/>
        <w:numPr>
          <w:ilvl w:val="0"/>
          <w:numId w:val="3"/>
        </w:numPr>
        <w:tabs>
          <w:tab w:pos="1046" w:val="left" w:leader="none"/>
        </w:tabs>
        <w:spacing w:line="240" w:lineRule="auto" w:before="0" w:after="0"/>
        <w:ind w:left="1045" w:right="0" w:hanging="225"/>
        <w:jc w:val="left"/>
      </w:pPr>
      <w:r>
        <w:rPr/>
        <w:t>Stock</w:t>
      </w:r>
      <w:r>
        <w:rPr>
          <w:spacing w:val="3"/>
        </w:rPr>
        <w:t> </w:t>
      </w:r>
      <w:r>
        <w:rPr/>
        <w:t>Plans</w:t>
      </w:r>
    </w:p>
    <w:p>
      <w:pPr>
        <w:pStyle w:val="BodyText"/>
        <w:spacing w:line="249" w:lineRule="auto" w:before="131"/>
        <w:ind w:left="819" w:right="146"/>
      </w:pPr>
      <w:r>
        <w:rPr/>
        <w:t>In May 1991, the Company's stockholders approved the Incentive Stock Option Plan and the Non-  Qualified Stock Option Plan. Under the Incentive Stock Option Plan, </w:t>
      </w:r>
      <w:r>
        <w:rPr>
          <w:spacing w:val="4"/>
        </w:rPr>
        <w:t>options </w:t>
      </w:r>
      <w:r>
        <w:rPr>
          <w:spacing w:val="2"/>
        </w:rPr>
        <w:t>to </w:t>
      </w:r>
      <w:r>
        <w:rPr/>
        <w:t>purchase a maximum </w:t>
      </w:r>
      <w:r>
        <w:rPr>
          <w:spacing w:val="3"/>
        </w:rPr>
        <w:t>of </w:t>
      </w:r>
      <w:r>
        <w:rPr/>
        <w:t>9,000,000 shares of Southwest common stock may be granted to key Employees. Under the Non-Qualified Stock Option Plan, </w:t>
      </w:r>
      <w:r>
        <w:rPr>
          <w:spacing w:val="2"/>
        </w:rPr>
        <w:t>options </w:t>
      </w:r>
      <w:r>
        <w:rPr/>
        <w:t>to purchase up to 750,000 shares of Southwest common stock may be granted </w:t>
      </w:r>
      <w:r>
        <w:rPr>
          <w:spacing w:val="2"/>
        </w:rPr>
        <w:t>to </w:t>
      </w:r>
      <w:r>
        <w:rPr/>
        <w:t>key Employees and non-employee directors. Under each plan, the </w:t>
      </w:r>
      <w:r>
        <w:rPr>
          <w:spacing w:val="3"/>
        </w:rPr>
        <w:t>option </w:t>
      </w:r>
      <w:r>
        <w:rPr/>
        <w:t>price per share may not be less than </w:t>
      </w:r>
      <w:r>
        <w:rPr>
          <w:spacing w:val="2"/>
        </w:rPr>
        <w:t>the </w:t>
      </w:r>
      <w:r>
        <w:rPr/>
        <w:t>fair market value </w:t>
      </w:r>
      <w:r>
        <w:rPr>
          <w:spacing w:val="2"/>
        </w:rPr>
        <w:t>of </w:t>
      </w:r>
      <w:r>
        <w:rPr/>
        <w:t>a share </w:t>
      </w:r>
      <w:r>
        <w:rPr>
          <w:spacing w:val="2"/>
        </w:rPr>
        <w:t>on the date the </w:t>
      </w:r>
      <w:r>
        <w:rPr>
          <w:spacing w:val="4"/>
        </w:rPr>
        <w:t>option </w:t>
      </w:r>
      <w:r>
        <w:rPr/>
        <w:t>is granted and </w:t>
      </w:r>
      <w:r>
        <w:rPr>
          <w:spacing w:val="2"/>
        </w:rPr>
        <w:t>the </w:t>
      </w:r>
      <w:r>
        <w:rPr/>
        <w:t>maximum term </w:t>
      </w:r>
      <w:r>
        <w:rPr>
          <w:spacing w:val="2"/>
        </w:rPr>
        <w:t>of </w:t>
      </w:r>
      <w:r>
        <w:rPr/>
        <w:t>an </w:t>
      </w:r>
      <w:r>
        <w:rPr>
          <w:spacing w:val="3"/>
        </w:rPr>
        <w:t>option </w:t>
      </w:r>
      <w:r>
        <w:rPr/>
        <w:t>may not exceed 10</w:t>
      </w:r>
      <w:r>
        <w:rPr>
          <w:spacing w:val="-5"/>
        </w:rPr>
        <w:t> </w:t>
      </w:r>
      <w:r>
        <w:rPr/>
        <w:t>years.</w:t>
      </w:r>
    </w:p>
    <w:p>
      <w:pPr>
        <w:pStyle w:val="BodyText"/>
        <w:spacing w:before="121"/>
        <w:ind w:left="819"/>
      </w:pPr>
      <w:r>
        <w:rPr/>
        <w:t>Information regarding the stock option plans is summarized below:</w:t>
      </w:r>
    </w:p>
    <w:p>
      <w:pPr>
        <w:pStyle w:val="BodyText"/>
        <w:spacing w:before="9"/>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98"/>
        <w:gridCol w:w="1433"/>
        <w:gridCol w:w="182"/>
        <w:gridCol w:w="59"/>
        <w:gridCol w:w="1391"/>
      </w:tblGrid>
      <w:tr>
        <w:trPr>
          <w:trHeight w:val="329" w:hRule="exact"/>
        </w:trPr>
        <w:tc>
          <w:tcPr>
            <w:tcW w:w="3598" w:type="dxa"/>
            <w:tcBorders>
              <w:bottom w:val="single" w:sz="6" w:space="0" w:color="FFFF00"/>
              <w:right w:val="single" w:sz="6" w:space="0" w:color="FFFF00"/>
            </w:tcBorders>
          </w:tcPr>
          <w:p>
            <w:pPr/>
          </w:p>
        </w:tc>
        <w:tc>
          <w:tcPr>
            <w:tcW w:w="1433" w:type="dxa"/>
            <w:tcBorders>
              <w:left w:val="single" w:sz="6" w:space="0" w:color="FFFF00"/>
              <w:bottom w:val="single" w:sz="6" w:space="0" w:color="FFFF00"/>
              <w:right w:val="nil"/>
            </w:tcBorders>
          </w:tcPr>
          <w:p>
            <w:pPr>
              <w:pStyle w:val="TableParagraph"/>
              <w:spacing w:before="85"/>
              <w:ind w:left="230"/>
              <w:rPr>
                <w:rFonts w:ascii="Arial"/>
                <w:sz w:val="16"/>
              </w:rPr>
            </w:pPr>
            <w:r>
              <w:rPr>
                <w:rFonts w:ascii="Arial"/>
                <w:sz w:val="16"/>
              </w:rPr>
              <w:t>Incentive Plan</w:t>
            </w:r>
          </w:p>
        </w:tc>
        <w:tc>
          <w:tcPr>
            <w:tcW w:w="241" w:type="dxa"/>
            <w:gridSpan w:val="2"/>
            <w:tcBorders>
              <w:left w:val="nil"/>
              <w:bottom w:val="single" w:sz="6" w:space="0" w:color="FFFF00"/>
              <w:right w:val="nil"/>
            </w:tcBorders>
          </w:tcPr>
          <w:p>
            <w:pPr/>
          </w:p>
        </w:tc>
        <w:tc>
          <w:tcPr>
            <w:tcW w:w="1391" w:type="dxa"/>
            <w:tcBorders>
              <w:left w:val="nil"/>
              <w:bottom w:val="single" w:sz="6" w:space="0" w:color="FFFF00"/>
            </w:tcBorders>
          </w:tcPr>
          <w:p>
            <w:pPr>
              <w:pStyle w:val="TableParagraph"/>
              <w:spacing w:before="85"/>
              <w:ind w:left="13"/>
              <w:rPr>
                <w:rFonts w:ascii="Arial"/>
                <w:sz w:val="16"/>
              </w:rPr>
            </w:pPr>
            <w:r>
              <w:rPr>
                <w:rFonts w:ascii="Arial"/>
                <w:w w:val="95"/>
                <w:sz w:val="16"/>
              </w:rPr>
              <w:t>Non-Qualified Plan</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Outstanding December 31, 1991</w:t>
            </w:r>
          </w:p>
        </w:tc>
        <w:tc>
          <w:tcPr>
            <w:tcW w:w="1433" w:type="dxa"/>
            <w:tcBorders>
              <w:top w:val="single" w:sz="6" w:space="0" w:color="FFFF00"/>
              <w:left w:val="single" w:sz="6" w:space="0" w:color="FFFF00"/>
              <w:bottom w:val="single" w:sz="6" w:space="0" w:color="FFFF00"/>
              <w:right w:val="nil"/>
            </w:tcBorders>
          </w:tcPr>
          <w:p>
            <w:pPr>
              <w:pStyle w:val="TableParagraph"/>
              <w:ind w:left="177"/>
              <w:rPr>
                <w:sz w:val="20"/>
              </w:rPr>
            </w:pPr>
            <w:r>
              <w:rPr>
                <w:sz w:val="20"/>
              </w:rPr>
              <w:t>3,948,957</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286"/>
              <w:rPr>
                <w:sz w:val="20"/>
              </w:rPr>
            </w:pPr>
            <w:r>
              <w:rPr>
                <w:sz w:val="20"/>
              </w:rPr>
              <w:t>282,825</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Granted</w:t>
            </w:r>
          </w:p>
        </w:tc>
        <w:tc>
          <w:tcPr>
            <w:tcW w:w="1433" w:type="dxa"/>
            <w:tcBorders>
              <w:top w:val="single" w:sz="6" w:space="0" w:color="FFFF00"/>
              <w:left w:val="single" w:sz="6" w:space="0" w:color="FFFF00"/>
              <w:bottom w:val="single" w:sz="6" w:space="0" w:color="FFFF00"/>
              <w:right w:val="nil"/>
            </w:tcBorders>
          </w:tcPr>
          <w:p>
            <w:pPr>
              <w:pStyle w:val="TableParagraph"/>
              <w:ind w:left="331"/>
              <w:rPr>
                <w:sz w:val="20"/>
              </w:rPr>
            </w:pPr>
            <w:r>
              <w:rPr>
                <w:sz w:val="20"/>
              </w:rPr>
              <w:t>430,974</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387"/>
              <w:rPr>
                <w:sz w:val="20"/>
              </w:rPr>
            </w:pPr>
            <w:r>
              <w:rPr>
                <w:sz w:val="20"/>
              </w:rPr>
              <w:t>97,950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Exercised</w:t>
            </w:r>
          </w:p>
        </w:tc>
        <w:tc>
          <w:tcPr>
            <w:tcW w:w="1433" w:type="dxa"/>
            <w:tcBorders>
              <w:top w:val="single" w:sz="6" w:space="0" w:color="FFFF00"/>
              <w:left w:val="single" w:sz="6" w:space="0" w:color="FFFF00"/>
              <w:bottom w:val="single" w:sz="6" w:space="0" w:color="FFFF00"/>
              <w:right w:val="nil"/>
            </w:tcBorders>
          </w:tcPr>
          <w:p>
            <w:pPr>
              <w:pStyle w:val="TableParagraph"/>
              <w:ind w:left="263"/>
              <w:rPr>
                <w:sz w:val="20"/>
              </w:rPr>
            </w:pPr>
            <w:r>
              <w:rPr>
                <w:sz w:val="20"/>
              </w:rPr>
              <w:t>(251,817)</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421"/>
              <w:rPr>
                <w:sz w:val="20"/>
              </w:rPr>
            </w:pPr>
            <w:r>
              <w:rPr>
                <w:sz w:val="20"/>
              </w:rPr>
              <w:t>(4,350)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Surrendered</w:t>
            </w:r>
          </w:p>
        </w:tc>
        <w:tc>
          <w:tcPr>
            <w:tcW w:w="1433" w:type="dxa"/>
            <w:tcBorders>
              <w:top w:val="single" w:sz="6" w:space="0" w:color="FFFF00"/>
              <w:left w:val="single" w:sz="6" w:space="0" w:color="FFFF00"/>
              <w:bottom w:val="single" w:sz="6" w:space="0" w:color="000000"/>
              <w:right w:val="nil"/>
            </w:tcBorders>
          </w:tcPr>
          <w:p>
            <w:pPr>
              <w:pStyle w:val="TableParagraph"/>
              <w:ind w:left="263"/>
              <w:rPr>
                <w:sz w:val="20"/>
              </w:rPr>
            </w:pPr>
            <w:r>
              <w:rPr>
                <w:sz w:val="20"/>
              </w:rPr>
              <w:t>(111,210)</w:t>
            </w:r>
          </w:p>
        </w:tc>
        <w:tc>
          <w:tcPr>
            <w:tcW w:w="241"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91" w:type="dxa"/>
            <w:tcBorders>
              <w:top w:val="single" w:sz="6" w:space="0" w:color="FFFF00"/>
              <w:left w:val="nil"/>
              <w:bottom w:val="single" w:sz="6" w:space="0" w:color="000000"/>
            </w:tcBorders>
          </w:tcPr>
          <w:p>
            <w:pPr>
              <w:pStyle w:val="TableParagraph"/>
              <w:ind w:left="421"/>
              <w:rPr>
                <w:sz w:val="20"/>
              </w:rPr>
            </w:pPr>
            <w:r>
              <w:rPr>
                <w:sz w:val="20"/>
              </w:rPr>
              <w:t>(1,800)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Outstanding December 31, 1992</w:t>
            </w:r>
          </w:p>
        </w:tc>
        <w:tc>
          <w:tcPr>
            <w:tcW w:w="1433" w:type="dxa"/>
            <w:tcBorders>
              <w:top w:val="single" w:sz="6" w:space="0" w:color="000000"/>
              <w:left w:val="single" w:sz="6" w:space="0" w:color="FFFF00"/>
              <w:bottom w:val="single" w:sz="6" w:space="0" w:color="FFFF00"/>
              <w:right w:val="nil"/>
            </w:tcBorders>
          </w:tcPr>
          <w:p>
            <w:pPr>
              <w:pStyle w:val="TableParagraph"/>
              <w:ind w:left="177"/>
              <w:rPr>
                <w:sz w:val="20"/>
              </w:rPr>
            </w:pPr>
            <w:r>
              <w:rPr>
                <w:sz w:val="20"/>
              </w:rPr>
              <w:t>4,016,904</w:t>
            </w:r>
          </w:p>
        </w:tc>
        <w:tc>
          <w:tcPr>
            <w:tcW w:w="182"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345"/>
              <w:rPr>
                <w:sz w:val="20"/>
              </w:rPr>
            </w:pPr>
            <w:r>
              <w:rPr>
                <w:sz w:val="20"/>
              </w:rPr>
              <w:t>374,625</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Granted</w:t>
            </w:r>
          </w:p>
        </w:tc>
        <w:tc>
          <w:tcPr>
            <w:tcW w:w="1433" w:type="dxa"/>
            <w:tcBorders>
              <w:top w:val="single" w:sz="6" w:space="0" w:color="FFFF00"/>
              <w:left w:val="single" w:sz="6" w:space="0" w:color="FFFF00"/>
              <w:bottom w:val="single" w:sz="6" w:space="0" w:color="FFFF00"/>
              <w:right w:val="nil"/>
            </w:tcBorders>
          </w:tcPr>
          <w:p>
            <w:pPr>
              <w:pStyle w:val="TableParagraph"/>
              <w:ind w:left="331"/>
              <w:rPr>
                <w:sz w:val="20"/>
              </w:rPr>
            </w:pPr>
            <w:r>
              <w:rPr>
                <w:sz w:val="20"/>
              </w:rPr>
              <w:t>724,646</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387"/>
              <w:rPr>
                <w:sz w:val="20"/>
              </w:rPr>
            </w:pPr>
            <w:r>
              <w:rPr>
                <w:sz w:val="20"/>
              </w:rPr>
              <w:t>22,512</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Exercised</w:t>
            </w:r>
          </w:p>
        </w:tc>
        <w:tc>
          <w:tcPr>
            <w:tcW w:w="1433" w:type="dxa"/>
            <w:tcBorders>
              <w:top w:val="single" w:sz="6" w:space="0" w:color="FFFF00"/>
              <w:left w:val="single" w:sz="6" w:space="0" w:color="FFFF00"/>
              <w:bottom w:val="single" w:sz="6" w:space="0" w:color="FFFF00"/>
              <w:right w:val="nil"/>
            </w:tcBorders>
          </w:tcPr>
          <w:p>
            <w:pPr>
              <w:pStyle w:val="TableParagraph"/>
              <w:ind w:left="163"/>
              <w:rPr>
                <w:sz w:val="20"/>
              </w:rPr>
            </w:pPr>
            <w:r>
              <w:rPr>
                <w:sz w:val="20"/>
              </w:rPr>
              <w:t>*(198,285)</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118"/>
              <w:rPr>
                <w:sz w:val="20"/>
              </w:rPr>
            </w:pPr>
            <w:r>
              <w:rPr>
                <w:sz w:val="20"/>
              </w:rPr>
              <w:t>**(94,810)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Surrendered</w:t>
            </w:r>
          </w:p>
        </w:tc>
        <w:tc>
          <w:tcPr>
            <w:tcW w:w="1433" w:type="dxa"/>
            <w:tcBorders>
              <w:top w:val="single" w:sz="6" w:space="0" w:color="FFFF00"/>
              <w:left w:val="single" w:sz="6" w:space="0" w:color="FFFF00"/>
              <w:bottom w:val="single" w:sz="6" w:space="0" w:color="000000"/>
              <w:right w:val="nil"/>
            </w:tcBorders>
          </w:tcPr>
          <w:p>
            <w:pPr>
              <w:pStyle w:val="TableParagraph"/>
              <w:ind w:left="263"/>
              <w:rPr>
                <w:sz w:val="20"/>
              </w:rPr>
            </w:pPr>
            <w:r>
              <w:rPr>
                <w:sz w:val="20"/>
              </w:rPr>
              <w:t>(230,978)</w:t>
            </w:r>
          </w:p>
        </w:tc>
        <w:tc>
          <w:tcPr>
            <w:tcW w:w="241"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91" w:type="dxa"/>
            <w:tcBorders>
              <w:top w:val="single" w:sz="6" w:space="0" w:color="FFFF00"/>
              <w:left w:val="nil"/>
              <w:bottom w:val="single" w:sz="6" w:space="0" w:color="000000"/>
            </w:tcBorders>
          </w:tcPr>
          <w:p>
            <w:pPr>
              <w:pStyle w:val="TableParagraph"/>
              <w:ind w:left="421"/>
              <w:rPr>
                <w:sz w:val="20"/>
              </w:rPr>
            </w:pPr>
            <w:r>
              <w:rPr>
                <w:sz w:val="20"/>
              </w:rPr>
              <w:t>(1,050)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Outstanding December 31, 1994</w:t>
            </w:r>
          </w:p>
        </w:tc>
        <w:tc>
          <w:tcPr>
            <w:tcW w:w="1433" w:type="dxa"/>
            <w:tcBorders>
              <w:top w:val="single" w:sz="6" w:space="0" w:color="000000"/>
              <w:left w:val="single" w:sz="6" w:space="0" w:color="FFFF00"/>
              <w:bottom w:val="single" w:sz="6" w:space="0" w:color="FFFF00"/>
              <w:right w:val="nil"/>
            </w:tcBorders>
          </w:tcPr>
          <w:p>
            <w:pPr>
              <w:pStyle w:val="TableParagraph"/>
              <w:ind w:left="177"/>
              <w:rPr>
                <w:sz w:val="20"/>
              </w:rPr>
            </w:pPr>
            <w:r>
              <w:rPr>
                <w:sz w:val="20"/>
              </w:rPr>
              <w:t>4,312,287</w:t>
            </w:r>
          </w:p>
        </w:tc>
        <w:tc>
          <w:tcPr>
            <w:tcW w:w="182"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345"/>
              <w:rPr>
                <w:sz w:val="20"/>
              </w:rPr>
            </w:pPr>
            <w:r>
              <w:rPr>
                <w:sz w:val="20"/>
              </w:rPr>
              <w:t>301,277</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Granted</w:t>
            </w:r>
          </w:p>
        </w:tc>
        <w:tc>
          <w:tcPr>
            <w:tcW w:w="1433" w:type="dxa"/>
            <w:tcBorders>
              <w:top w:val="single" w:sz="6" w:space="0" w:color="FFFF00"/>
              <w:left w:val="single" w:sz="6" w:space="0" w:color="FFFF00"/>
              <w:bottom w:val="single" w:sz="6" w:space="0" w:color="FFFF00"/>
              <w:right w:val="nil"/>
            </w:tcBorders>
          </w:tcPr>
          <w:p>
            <w:pPr>
              <w:pStyle w:val="TableParagraph"/>
              <w:ind w:left="331"/>
              <w:rPr>
                <w:sz w:val="20"/>
              </w:rPr>
            </w:pPr>
            <w:r>
              <w:rPr>
                <w:sz w:val="20"/>
              </w:rPr>
              <w:t>794,714</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387"/>
              <w:rPr>
                <w:sz w:val="20"/>
              </w:rPr>
            </w:pPr>
            <w:r>
              <w:rPr>
                <w:sz w:val="20"/>
              </w:rPr>
              <w:t>63,918</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Exercised</w:t>
            </w:r>
          </w:p>
        </w:tc>
        <w:tc>
          <w:tcPr>
            <w:tcW w:w="1433" w:type="dxa"/>
            <w:tcBorders>
              <w:top w:val="single" w:sz="6" w:space="0" w:color="FFFF00"/>
              <w:left w:val="single" w:sz="6" w:space="0" w:color="FFFF00"/>
              <w:bottom w:val="single" w:sz="6" w:space="0" w:color="FFFF00"/>
              <w:right w:val="nil"/>
            </w:tcBorders>
          </w:tcPr>
          <w:p>
            <w:pPr>
              <w:pStyle w:val="TableParagraph"/>
              <w:ind w:left="263"/>
              <w:rPr>
                <w:sz w:val="20"/>
              </w:rPr>
            </w:pPr>
            <w:r>
              <w:rPr>
                <w:sz w:val="20"/>
              </w:rPr>
              <w:t>(190,159)</w:t>
            </w:r>
          </w:p>
        </w:tc>
        <w:tc>
          <w:tcPr>
            <w:tcW w:w="241" w:type="dxa"/>
            <w:gridSpan w:val="2"/>
            <w:tcBorders>
              <w:top w:val="single" w:sz="6" w:space="0" w:color="FFFF00"/>
              <w:left w:val="nil"/>
              <w:bottom w:val="single" w:sz="6" w:space="0" w:color="FFFF00"/>
              <w:right w:val="nil"/>
            </w:tcBorders>
          </w:tcPr>
          <w:p>
            <w:pPr/>
          </w:p>
        </w:tc>
        <w:tc>
          <w:tcPr>
            <w:tcW w:w="1391" w:type="dxa"/>
            <w:tcBorders>
              <w:top w:val="single" w:sz="6" w:space="0" w:color="FFFF00"/>
              <w:left w:val="nil"/>
              <w:bottom w:val="single" w:sz="6" w:space="0" w:color="FFFF00"/>
            </w:tcBorders>
          </w:tcPr>
          <w:p>
            <w:pPr>
              <w:pStyle w:val="TableParagraph"/>
              <w:ind w:left="421"/>
              <w:rPr>
                <w:sz w:val="20"/>
              </w:rPr>
            </w:pPr>
            <w:r>
              <w:rPr>
                <w:sz w:val="20"/>
              </w:rPr>
              <w:t>(9,940)</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Surrendered</w:t>
            </w:r>
          </w:p>
        </w:tc>
        <w:tc>
          <w:tcPr>
            <w:tcW w:w="1433" w:type="dxa"/>
            <w:tcBorders>
              <w:top w:val="single" w:sz="6" w:space="0" w:color="FFFF00"/>
              <w:left w:val="single" w:sz="6" w:space="0" w:color="FFFF00"/>
              <w:bottom w:val="single" w:sz="6" w:space="0" w:color="000000"/>
              <w:right w:val="nil"/>
            </w:tcBorders>
          </w:tcPr>
          <w:p>
            <w:pPr>
              <w:pStyle w:val="TableParagraph"/>
              <w:ind w:left="263"/>
              <w:rPr>
                <w:sz w:val="20"/>
              </w:rPr>
            </w:pPr>
            <w:r>
              <w:rPr>
                <w:sz w:val="20"/>
              </w:rPr>
              <w:t>(104,880)</w:t>
            </w:r>
          </w:p>
        </w:tc>
        <w:tc>
          <w:tcPr>
            <w:tcW w:w="241"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91" w:type="dxa"/>
            <w:tcBorders>
              <w:top w:val="single" w:sz="6" w:space="0" w:color="FFFF00"/>
              <w:left w:val="nil"/>
              <w:bottom w:val="single" w:sz="6" w:space="0" w:color="000000"/>
            </w:tcBorders>
          </w:tcPr>
          <w:p>
            <w:pPr>
              <w:pStyle w:val="TableParagraph"/>
              <w:ind w:left="877"/>
              <w:rPr>
                <w:sz w:val="20"/>
              </w:rPr>
            </w:pPr>
            <w:r>
              <w:rPr>
                <w:w w:val="100"/>
                <w:sz w:val="20"/>
              </w:rPr>
              <w:t>-</w:t>
            </w:r>
          </w:p>
        </w:tc>
      </w:tr>
      <w:tr>
        <w:trPr>
          <w:trHeight w:val="281" w:hRule="exact"/>
        </w:trPr>
        <w:tc>
          <w:tcPr>
            <w:tcW w:w="3598" w:type="dxa"/>
            <w:tcBorders>
              <w:top w:val="single" w:sz="6" w:space="0" w:color="FFFF00"/>
              <w:right w:val="single" w:sz="6" w:space="0" w:color="FFFF00"/>
            </w:tcBorders>
          </w:tcPr>
          <w:p>
            <w:pPr>
              <w:pStyle w:val="TableParagraph"/>
              <w:spacing w:line="226" w:lineRule="exact" w:before="0"/>
              <w:ind w:left="187"/>
              <w:rPr>
                <w:sz w:val="20"/>
              </w:rPr>
            </w:pPr>
            <w:r>
              <w:rPr>
                <w:sz w:val="20"/>
              </w:rPr>
              <w:t>Outstanding December 31, 1994</w:t>
            </w:r>
          </w:p>
        </w:tc>
        <w:tc>
          <w:tcPr>
            <w:tcW w:w="1433" w:type="dxa"/>
            <w:tcBorders>
              <w:top w:val="single" w:sz="6" w:space="0" w:color="000000"/>
              <w:left w:val="single" w:sz="6" w:space="0" w:color="FFFF00"/>
              <w:right w:val="nil"/>
            </w:tcBorders>
          </w:tcPr>
          <w:p>
            <w:pPr>
              <w:pStyle w:val="TableParagraph"/>
              <w:ind w:left="177"/>
              <w:rPr>
                <w:sz w:val="20"/>
              </w:rPr>
            </w:pPr>
            <w:r>
              <w:rPr>
                <w:sz w:val="20"/>
              </w:rPr>
              <w:t>4,811,962</w:t>
            </w:r>
          </w:p>
        </w:tc>
        <w:tc>
          <w:tcPr>
            <w:tcW w:w="182" w:type="dxa"/>
            <w:tcBorders>
              <w:top w:val="nil"/>
              <w:left w:val="nil"/>
              <w:right w:val="nil"/>
            </w:tcBorders>
          </w:tcPr>
          <w:p>
            <w:pPr/>
          </w:p>
        </w:tc>
        <w:tc>
          <w:tcPr>
            <w:tcW w:w="1450" w:type="dxa"/>
            <w:gridSpan w:val="2"/>
            <w:tcBorders>
              <w:top w:val="single" w:sz="6" w:space="0" w:color="000000"/>
              <w:left w:val="nil"/>
            </w:tcBorders>
          </w:tcPr>
          <w:p>
            <w:pPr>
              <w:pStyle w:val="TableParagraph"/>
              <w:ind w:left="345"/>
              <w:rPr>
                <w:sz w:val="20"/>
              </w:rPr>
            </w:pPr>
            <w:r>
              <w:rPr>
                <w:sz w:val="20"/>
              </w:rPr>
              <w:t>355,255</w:t>
            </w:r>
          </w:p>
        </w:tc>
      </w:tr>
    </w:tbl>
    <w:p>
      <w:pPr>
        <w:pStyle w:val="BodyText"/>
      </w:pPr>
    </w:p>
    <w:p>
      <w:pPr>
        <w:pStyle w:val="BodyText"/>
        <w:spacing w:before="3"/>
        <w:rPr>
          <w:sz w:val="11"/>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98"/>
        <w:gridCol w:w="1440"/>
        <w:gridCol w:w="1442"/>
      </w:tblGrid>
      <w:tr>
        <w:trPr>
          <w:trHeight w:val="329" w:hRule="exact"/>
        </w:trPr>
        <w:tc>
          <w:tcPr>
            <w:tcW w:w="3598" w:type="dxa"/>
            <w:tcBorders>
              <w:bottom w:val="single" w:sz="6" w:space="0" w:color="FFFF00"/>
              <w:right w:val="single" w:sz="6" w:space="0" w:color="FFFF00"/>
            </w:tcBorders>
          </w:tcPr>
          <w:p>
            <w:pPr>
              <w:pStyle w:val="TableParagraph"/>
              <w:spacing w:before="85"/>
              <w:ind w:left="91"/>
              <w:rPr>
                <w:rFonts w:ascii="Arial"/>
                <w:sz w:val="16"/>
              </w:rPr>
            </w:pPr>
            <w:r>
              <w:rPr>
                <w:rFonts w:ascii="Arial"/>
                <w:sz w:val="16"/>
              </w:rPr>
              <w:t>Exercisable</w:t>
            </w:r>
          </w:p>
        </w:tc>
        <w:tc>
          <w:tcPr>
            <w:tcW w:w="1440" w:type="dxa"/>
            <w:tcBorders>
              <w:left w:val="single" w:sz="6" w:space="0" w:color="FFFF00"/>
              <w:bottom w:val="single" w:sz="6" w:space="0" w:color="FFFF00"/>
              <w:right w:val="single" w:sz="6" w:space="0" w:color="FFFF00"/>
            </w:tcBorders>
          </w:tcPr>
          <w:p>
            <w:pPr>
              <w:pStyle w:val="TableParagraph"/>
              <w:spacing w:before="85"/>
              <w:ind w:left="189" w:right="191"/>
              <w:jc w:val="center"/>
              <w:rPr>
                <w:rFonts w:ascii="Arial"/>
                <w:sz w:val="16"/>
              </w:rPr>
            </w:pPr>
            <w:r>
              <w:rPr>
                <w:rFonts w:ascii="Arial"/>
                <w:sz w:val="16"/>
              </w:rPr>
              <w:t>Incentive Plan</w:t>
            </w:r>
          </w:p>
        </w:tc>
        <w:tc>
          <w:tcPr>
            <w:tcW w:w="1442" w:type="dxa"/>
            <w:tcBorders>
              <w:left w:val="single" w:sz="6" w:space="0" w:color="FFFF00"/>
              <w:bottom w:val="single" w:sz="6" w:space="0" w:color="FFFF00"/>
            </w:tcBorders>
          </w:tcPr>
          <w:p>
            <w:pPr>
              <w:pStyle w:val="TableParagraph"/>
              <w:spacing w:before="85"/>
              <w:ind w:left="49" w:right="56"/>
              <w:jc w:val="center"/>
              <w:rPr>
                <w:rFonts w:ascii="Arial"/>
                <w:sz w:val="16"/>
              </w:rPr>
            </w:pPr>
            <w:r>
              <w:rPr>
                <w:rFonts w:ascii="Arial"/>
                <w:w w:val="95"/>
                <w:sz w:val="16"/>
              </w:rPr>
              <w:t>Non-Qualified Plan</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86" w:right="191"/>
              <w:jc w:val="center"/>
              <w:rPr>
                <w:sz w:val="20"/>
              </w:rPr>
            </w:pPr>
            <w:r>
              <w:rPr>
                <w:sz w:val="20"/>
              </w:rPr>
              <w:t>572,244</w:t>
            </w:r>
          </w:p>
        </w:tc>
        <w:tc>
          <w:tcPr>
            <w:tcW w:w="1442" w:type="dxa"/>
            <w:tcBorders>
              <w:top w:val="single" w:sz="6" w:space="0" w:color="FFFF00"/>
              <w:left w:val="single" w:sz="6" w:space="0" w:color="FFFF00"/>
              <w:bottom w:val="single" w:sz="6" w:space="0" w:color="FFFF00"/>
            </w:tcBorders>
          </w:tcPr>
          <w:p>
            <w:pPr>
              <w:pStyle w:val="TableParagraph"/>
              <w:ind w:left="49" w:right="149"/>
              <w:jc w:val="center"/>
              <w:rPr>
                <w:sz w:val="20"/>
              </w:rPr>
            </w:pPr>
            <w:r>
              <w:rPr>
                <w:sz w:val="20"/>
              </w:rPr>
              <w:t>163,936</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86" w:right="191"/>
              <w:jc w:val="center"/>
              <w:rPr>
                <w:sz w:val="20"/>
              </w:rPr>
            </w:pPr>
            <w:r>
              <w:rPr>
                <w:sz w:val="20"/>
              </w:rPr>
              <w:t>314,322</w:t>
            </w:r>
          </w:p>
        </w:tc>
        <w:tc>
          <w:tcPr>
            <w:tcW w:w="1442" w:type="dxa"/>
            <w:tcBorders>
              <w:top w:val="single" w:sz="6" w:space="0" w:color="FFFF00"/>
              <w:left w:val="single" w:sz="6" w:space="0" w:color="FFFF00"/>
              <w:bottom w:val="single" w:sz="6" w:space="0" w:color="FFFF00"/>
            </w:tcBorders>
          </w:tcPr>
          <w:p>
            <w:pPr>
              <w:pStyle w:val="TableParagraph"/>
              <w:ind w:left="49" w:right="149"/>
              <w:jc w:val="center"/>
              <w:rPr>
                <w:sz w:val="20"/>
              </w:rPr>
            </w:pPr>
            <w:r>
              <w:rPr>
                <w:sz w:val="20"/>
              </w:rPr>
              <w:t>108,509</w:t>
            </w:r>
          </w:p>
        </w:tc>
      </w:tr>
      <w:tr>
        <w:trPr>
          <w:trHeight w:val="281" w:hRule="exact"/>
        </w:trPr>
        <w:tc>
          <w:tcPr>
            <w:tcW w:w="3598" w:type="dxa"/>
            <w:tcBorders>
              <w:top w:val="single" w:sz="6" w:space="0" w:color="FFFF00"/>
              <w:right w:val="single" w:sz="6" w:space="0" w:color="FFFF00"/>
            </w:tcBorders>
          </w:tcPr>
          <w:p>
            <w:pPr>
              <w:pStyle w:val="TableParagraph"/>
              <w:spacing w:line="226" w:lineRule="exact" w:before="0"/>
              <w:ind w:left="360"/>
              <w:rPr>
                <w:sz w:val="20"/>
              </w:rPr>
            </w:pPr>
            <w:r>
              <w:rPr>
                <w:sz w:val="20"/>
              </w:rPr>
              <w:t>1992</w:t>
            </w:r>
          </w:p>
        </w:tc>
        <w:tc>
          <w:tcPr>
            <w:tcW w:w="1440" w:type="dxa"/>
            <w:tcBorders>
              <w:top w:val="single" w:sz="6" w:space="0" w:color="FFFF00"/>
              <w:left w:val="single" w:sz="6" w:space="0" w:color="FFFF00"/>
              <w:right w:val="single" w:sz="6" w:space="0" w:color="FFFF00"/>
            </w:tcBorders>
          </w:tcPr>
          <w:p>
            <w:pPr>
              <w:pStyle w:val="TableParagraph"/>
              <w:ind w:left="86" w:right="191"/>
              <w:jc w:val="center"/>
              <w:rPr>
                <w:sz w:val="20"/>
              </w:rPr>
            </w:pPr>
            <w:r>
              <w:rPr>
                <w:sz w:val="20"/>
              </w:rPr>
              <w:t>198,474</w:t>
            </w:r>
          </w:p>
        </w:tc>
        <w:tc>
          <w:tcPr>
            <w:tcW w:w="1442" w:type="dxa"/>
            <w:tcBorders>
              <w:top w:val="single" w:sz="6" w:space="0" w:color="FFFF00"/>
              <w:left w:val="single" w:sz="6" w:space="0" w:color="FFFF00"/>
            </w:tcBorders>
          </w:tcPr>
          <w:p>
            <w:pPr>
              <w:pStyle w:val="TableParagraph"/>
              <w:ind w:left="49" w:right="149"/>
              <w:jc w:val="center"/>
              <w:rPr>
                <w:sz w:val="20"/>
              </w:rPr>
            </w:pPr>
            <w:r>
              <w:rPr>
                <w:sz w:val="20"/>
              </w:rPr>
              <w:t>142,575</w:t>
            </w:r>
          </w:p>
        </w:tc>
      </w:tr>
    </w:tbl>
    <w:p>
      <w:pPr>
        <w:spacing w:after="0"/>
        <w:jc w:val="center"/>
        <w:rPr>
          <w:sz w:val="20"/>
        </w:rPr>
        <w:sectPr>
          <w:pgSz w:w="12240" w:h="15840"/>
          <w:pgMar w:header="725" w:footer="746" w:top="940" w:bottom="940" w:left="1700" w:right="960"/>
        </w:sectPr>
      </w:pPr>
    </w:p>
    <w:p>
      <w:pPr>
        <w:pStyle w:val="BodyText"/>
      </w:pPr>
    </w:p>
    <w:p>
      <w:pPr>
        <w:pStyle w:val="BodyText"/>
      </w:pPr>
    </w:p>
    <w:p>
      <w:pPr>
        <w:pStyle w:val="BodyText"/>
      </w:pPr>
    </w:p>
    <w:p>
      <w:pPr>
        <w:pStyle w:val="BodyText"/>
        <w:spacing w:before="10"/>
        <w:rPr>
          <w:sz w:val="13"/>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98"/>
        <w:gridCol w:w="1440"/>
        <w:gridCol w:w="1442"/>
      </w:tblGrid>
      <w:tr>
        <w:trPr>
          <w:trHeight w:val="329" w:hRule="exact"/>
        </w:trPr>
        <w:tc>
          <w:tcPr>
            <w:tcW w:w="3598" w:type="dxa"/>
            <w:tcBorders>
              <w:bottom w:val="single" w:sz="6" w:space="0" w:color="FFFF00"/>
              <w:right w:val="single" w:sz="6" w:space="0" w:color="FFFF00"/>
            </w:tcBorders>
          </w:tcPr>
          <w:p>
            <w:pPr>
              <w:pStyle w:val="TableParagraph"/>
              <w:spacing w:before="85"/>
              <w:ind w:left="91"/>
              <w:rPr>
                <w:rFonts w:ascii="Arial"/>
                <w:sz w:val="16"/>
              </w:rPr>
            </w:pPr>
            <w:r>
              <w:rPr>
                <w:rFonts w:ascii="Arial"/>
                <w:sz w:val="16"/>
              </w:rPr>
              <w:t>Available for granting in future periods:</w:t>
            </w:r>
          </w:p>
        </w:tc>
        <w:tc>
          <w:tcPr>
            <w:tcW w:w="1440" w:type="dxa"/>
            <w:tcBorders>
              <w:left w:val="single" w:sz="6" w:space="0" w:color="FFFF00"/>
              <w:bottom w:val="single" w:sz="6" w:space="0" w:color="FFFF00"/>
              <w:right w:val="single" w:sz="6" w:space="0" w:color="FFFF00"/>
            </w:tcBorders>
          </w:tcPr>
          <w:p>
            <w:pPr>
              <w:pStyle w:val="TableParagraph"/>
              <w:spacing w:before="85"/>
              <w:ind w:left="230"/>
              <w:rPr>
                <w:rFonts w:ascii="Arial"/>
                <w:sz w:val="16"/>
              </w:rPr>
            </w:pPr>
            <w:r>
              <w:rPr>
                <w:rFonts w:ascii="Arial"/>
                <w:sz w:val="16"/>
              </w:rPr>
              <w:t>Incentive Plan</w:t>
            </w:r>
          </w:p>
        </w:tc>
        <w:tc>
          <w:tcPr>
            <w:tcW w:w="1442" w:type="dxa"/>
            <w:tcBorders>
              <w:left w:val="single" w:sz="6" w:space="0" w:color="FFFF00"/>
              <w:bottom w:val="single" w:sz="6" w:space="0" w:color="FFFF00"/>
            </w:tcBorders>
          </w:tcPr>
          <w:p>
            <w:pPr>
              <w:pStyle w:val="TableParagraph"/>
              <w:spacing w:before="85"/>
              <w:ind w:left="49" w:right="56"/>
              <w:jc w:val="center"/>
              <w:rPr>
                <w:rFonts w:ascii="Arial"/>
                <w:sz w:val="16"/>
              </w:rPr>
            </w:pPr>
            <w:r>
              <w:rPr>
                <w:rFonts w:ascii="Arial"/>
                <w:w w:val="95"/>
                <w:sz w:val="16"/>
              </w:rPr>
              <w:t>Non-Qualified Plan</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177"/>
              <w:rPr>
                <w:sz w:val="20"/>
              </w:rPr>
            </w:pPr>
            <w:r>
              <w:rPr>
                <w:sz w:val="20"/>
              </w:rPr>
              <w:t>3,447,694</w:t>
            </w:r>
          </w:p>
        </w:tc>
        <w:tc>
          <w:tcPr>
            <w:tcW w:w="1442" w:type="dxa"/>
            <w:tcBorders>
              <w:top w:val="single" w:sz="6" w:space="0" w:color="FFFF00"/>
              <w:left w:val="single" w:sz="6" w:space="0" w:color="FFFF00"/>
              <w:bottom w:val="single" w:sz="6" w:space="0" w:color="FFFF00"/>
            </w:tcBorders>
          </w:tcPr>
          <w:p>
            <w:pPr>
              <w:pStyle w:val="TableParagraph"/>
              <w:ind w:left="49" w:right="149"/>
              <w:jc w:val="center"/>
              <w:rPr>
                <w:sz w:val="20"/>
              </w:rPr>
            </w:pPr>
            <w:r>
              <w:rPr>
                <w:sz w:val="20"/>
              </w:rPr>
              <w:t>279,165</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177"/>
              <w:rPr>
                <w:sz w:val="20"/>
              </w:rPr>
            </w:pPr>
            <w:r>
              <w:rPr>
                <w:sz w:val="20"/>
              </w:rPr>
              <w:t>4,137,528</w:t>
            </w:r>
          </w:p>
        </w:tc>
        <w:tc>
          <w:tcPr>
            <w:tcW w:w="1442" w:type="dxa"/>
            <w:tcBorders>
              <w:top w:val="single" w:sz="6" w:space="0" w:color="FFFF00"/>
              <w:left w:val="single" w:sz="6" w:space="0" w:color="FFFF00"/>
              <w:bottom w:val="single" w:sz="6" w:space="0" w:color="FFFF00"/>
            </w:tcBorders>
          </w:tcPr>
          <w:p>
            <w:pPr>
              <w:pStyle w:val="TableParagraph"/>
              <w:ind w:left="49" w:right="149"/>
              <w:jc w:val="center"/>
              <w:rPr>
                <w:sz w:val="20"/>
              </w:rPr>
            </w:pPr>
            <w:r>
              <w:rPr>
                <w:sz w:val="20"/>
              </w:rPr>
              <w:t>343,083</w:t>
            </w:r>
          </w:p>
        </w:tc>
      </w:tr>
      <w:tr>
        <w:trPr>
          <w:trHeight w:val="281" w:hRule="exact"/>
        </w:trPr>
        <w:tc>
          <w:tcPr>
            <w:tcW w:w="3598" w:type="dxa"/>
            <w:tcBorders>
              <w:top w:val="single" w:sz="6" w:space="0" w:color="FFFF00"/>
              <w:right w:val="single" w:sz="6" w:space="0" w:color="FFFF00"/>
            </w:tcBorders>
          </w:tcPr>
          <w:p>
            <w:pPr>
              <w:pStyle w:val="TableParagraph"/>
              <w:spacing w:line="226" w:lineRule="exact" w:before="0"/>
              <w:ind w:left="360"/>
              <w:rPr>
                <w:sz w:val="20"/>
              </w:rPr>
            </w:pPr>
            <w:r>
              <w:rPr>
                <w:sz w:val="20"/>
              </w:rPr>
              <w:t>1992</w:t>
            </w:r>
          </w:p>
        </w:tc>
        <w:tc>
          <w:tcPr>
            <w:tcW w:w="1440" w:type="dxa"/>
            <w:tcBorders>
              <w:top w:val="single" w:sz="6" w:space="0" w:color="FFFF00"/>
              <w:left w:val="single" w:sz="6" w:space="0" w:color="FFFF00"/>
              <w:right w:val="single" w:sz="6" w:space="0" w:color="FFFF00"/>
            </w:tcBorders>
          </w:tcPr>
          <w:p>
            <w:pPr>
              <w:pStyle w:val="TableParagraph"/>
              <w:ind w:left="177"/>
              <w:rPr>
                <w:sz w:val="20"/>
              </w:rPr>
            </w:pPr>
            <w:r>
              <w:rPr>
                <w:sz w:val="20"/>
              </w:rPr>
              <w:t>4,631,196</w:t>
            </w:r>
          </w:p>
        </w:tc>
        <w:tc>
          <w:tcPr>
            <w:tcW w:w="1442" w:type="dxa"/>
            <w:tcBorders>
              <w:top w:val="single" w:sz="6" w:space="0" w:color="FFFF00"/>
              <w:left w:val="single" w:sz="6" w:space="0" w:color="FFFF00"/>
            </w:tcBorders>
          </w:tcPr>
          <w:p>
            <w:pPr>
              <w:pStyle w:val="TableParagraph"/>
              <w:ind w:left="49" w:right="149"/>
              <w:jc w:val="center"/>
              <w:rPr>
                <w:sz w:val="20"/>
              </w:rPr>
            </w:pPr>
            <w:r>
              <w:rPr>
                <w:sz w:val="20"/>
              </w:rPr>
              <w:t>364,545</w:t>
            </w:r>
          </w:p>
        </w:tc>
      </w:tr>
    </w:tbl>
    <w:p>
      <w:pPr>
        <w:pStyle w:val="BodyText"/>
      </w:pPr>
    </w:p>
    <w:p>
      <w:pPr>
        <w:pStyle w:val="BodyText"/>
        <w:spacing w:before="3"/>
        <w:rPr>
          <w:sz w:val="11"/>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98"/>
        <w:gridCol w:w="1440"/>
        <w:gridCol w:w="1442"/>
      </w:tblGrid>
      <w:tr>
        <w:trPr>
          <w:trHeight w:val="329" w:hRule="exact"/>
        </w:trPr>
        <w:tc>
          <w:tcPr>
            <w:tcW w:w="3598" w:type="dxa"/>
            <w:tcBorders>
              <w:bottom w:val="single" w:sz="6" w:space="0" w:color="FFFF00"/>
              <w:right w:val="single" w:sz="6" w:space="0" w:color="FFFF00"/>
            </w:tcBorders>
          </w:tcPr>
          <w:p>
            <w:pPr>
              <w:pStyle w:val="TableParagraph"/>
              <w:spacing w:before="85"/>
              <w:ind w:left="91"/>
              <w:rPr>
                <w:rFonts w:ascii="Arial"/>
                <w:sz w:val="16"/>
              </w:rPr>
            </w:pPr>
            <w:r>
              <w:rPr>
                <w:rFonts w:ascii="Arial"/>
                <w:sz w:val="16"/>
              </w:rPr>
              <w:t>Average price of exercised options:</w:t>
            </w:r>
          </w:p>
        </w:tc>
        <w:tc>
          <w:tcPr>
            <w:tcW w:w="1440" w:type="dxa"/>
            <w:tcBorders>
              <w:left w:val="single" w:sz="6" w:space="0" w:color="FFFF00"/>
              <w:bottom w:val="single" w:sz="6" w:space="0" w:color="FFFF00"/>
              <w:right w:val="single" w:sz="6" w:space="0" w:color="FFFF00"/>
            </w:tcBorders>
          </w:tcPr>
          <w:p>
            <w:pPr>
              <w:pStyle w:val="TableParagraph"/>
              <w:spacing w:before="85"/>
              <w:ind w:left="189" w:right="191"/>
              <w:jc w:val="center"/>
              <w:rPr>
                <w:rFonts w:ascii="Arial"/>
                <w:sz w:val="16"/>
              </w:rPr>
            </w:pPr>
            <w:r>
              <w:rPr>
                <w:rFonts w:ascii="Arial"/>
                <w:sz w:val="16"/>
              </w:rPr>
              <w:t>Incentive Plan</w:t>
            </w:r>
          </w:p>
        </w:tc>
        <w:tc>
          <w:tcPr>
            <w:tcW w:w="1442" w:type="dxa"/>
            <w:tcBorders>
              <w:left w:val="single" w:sz="6" w:space="0" w:color="FFFF00"/>
              <w:bottom w:val="single" w:sz="6" w:space="0" w:color="FFFF00"/>
            </w:tcBorders>
          </w:tcPr>
          <w:p>
            <w:pPr>
              <w:pStyle w:val="TableParagraph"/>
              <w:spacing w:before="85"/>
              <w:ind w:left="49" w:right="56"/>
              <w:jc w:val="center"/>
              <w:rPr>
                <w:rFonts w:ascii="Arial"/>
                <w:sz w:val="16"/>
              </w:rPr>
            </w:pPr>
            <w:r>
              <w:rPr>
                <w:rFonts w:ascii="Arial"/>
                <w:w w:val="95"/>
                <w:sz w:val="16"/>
              </w:rPr>
              <w:t>Non-Qualified Plan</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1994</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189" w:right="124"/>
              <w:jc w:val="center"/>
              <w:rPr>
                <w:sz w:val="20"/>
              </w:rPr>
            </w:pPr>
            <w:r>
              <w:rPr>
                <w:sz w:val="20"/>
              </w:rPr>
              <w:t>$8.23</w:t>
            </w:r>
          </w:p>
        </w:tc>
        <w:tc>
          <w:tcPr>
            <w:tcW w:w="1442" w:type="dxa"/>
            <w:tcBorders>
              <w:top w:val="single" w:sz="6" w:space="0" w:color="FFFF00"/>
              <w:left w:val="single" w:sz="6" w:space="0" w:color="FFFF00"/>
              <w:bottom w:val="single" w:sz="6" w:space="0" w:color="FFFF00"/>
            </w:tcBorders>
          </w:tcPr>
          <w:p>
            <w:pPr>
              <w:pStyle w:val="TableParagraph"/>
              <w:ind w:left="125" w:right="56"/>
              <w:jc w:val="center"/>
              <w:rPr>
                <w:sz w:val="20"/>
              </w:rPr>
            </w:pPr>
            <w:r>
              <w:rPr>
                <w:sz w:val="20"/>
              </w:rPr>
              <w:t>$7.85</w:t>
            </w:r>
          </w:p>
        </w:tc>
      </w:tr>
      <w:tr>
        <w:trPr>
          <w:trHeight w:val="274" w:hRule="exact"/>
        </w:trPr>
        <w:tc>
          <w:tcPr>
            <w:tcW w:w="359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1993</w:t>
            </w:r>
          </w:p>
        </w:tc>
        <w:tc>
          <w:tcPr>
            <w:tcW w:w="1440" w:type="dxa"/>
            <w:tcBorders>
              <w:top w:val="single" w:sz="6" w:space="0" w:color="FFFF00"/>
              <w:left w:val="single" w:sz="6" w:space="0" w:color="FFFF00"/>
              <w:bottom w:val="single" w:sz="6" w:space="0" w:color="FFFF00"/>
              <w:right w:val="single" w:sz="6" w:space="0" w:color="FFFF00"/>
            </w:tcBorders>
          </w:tcPr>
          <w:p>
            <w:pPr>
              <w:pStyle w:val="TableParagraph"/>
              <w:ind w:left="189" w:right="124"/>
              <w:jc w:val="center"/>
              <w:rPr>
                <w:sz w:val="20"/>
              </w:rPr>
            </w:pPr>
            <w:r>
              <w:rPr>
                <w:sz w:val="20"/>
              </w:rPr>
              <w:t>$7.14</w:t>
            </w:r>
          </w:p>
        </w:tc>
        <w:tc>
          <w:tcPr>
            <w:tcW w:w="1442" w:type="dxa"/>
            <w:tcBorders>
              <w:top w:val="single" w:sz="6" w:space="0" w:color="FFFF00"/>
              <w:left w:val="single" w:sz="6" w:space="0" w:color="FFFF00"/>
              <w:bottom w:val="single" w:sz="6" w:space="0" w:color="FFFF00"/>
            </w:tcBorders>
          </w:tcPr>
          <w:p>
            <w:pPr>
              <w:pStyle w:val="TableParagraph"/>
              <w:ind w:left="125" w:right="56"/>
              <w:jc w:val="center"/>
              <w:rPr>
                <w:sz w:val="20"/>
              </w:rPr>
            </w:pPr>
            <w:r>
              <w:rPr>
                <w:sz w:val="20"/>
              </w:rPr>
              <w:t>$7.37</w:t>
            </w:r>
          </w:p>
        </w:tc>
      </w:tr>
      <w:tr>
        <w:trPr>
          <w:trHeight w:val="281" w:hRule="exact"/>
        </w:trPr>
        <w:tc>
          <w:tcPr>
            <w:tcW w:w="3598" w:type="dxa"/>
            <w:tcBorders>
              <w:top w:val="single" w:sz="6" w:space="0" w:color="FFFF00"/>
              <w:right w:val="single" w:sz="6" w:space="0" w:color="FFFF00"/>
            </w:tcBorders>
          </w:tcPr>
          <w:p>
            <w:pPr>
              <w:pStyle w:val="TableParagraph"/>
              <w:spacing w:line="226" w:lineRule="exact" w:before="0"/>
              <w:ind w:left="360"/>
              <w:rPr>
                <w:sz w:val="20"/>
              </w:rPr>
            </w:pPr>
            <w:r>
              <w:rPr>
                <w:sz w:val="20"/>
              </w:rPr>
              <w:t>1992</w:t>
            </w:r>
          </w:p>
        </w:tc>
        <w:tc>
          <w:tcPr>
            <w:tcW w:w="1440" w:type="dxa"/>
            <w:tcBorders>
              <w:top w:val="single" w:sz="6" w:space="0" w:color="FFFF00"/>
              <w:left w:val="single" w:sz="6" w:space="0" w:color="FFFF00"/>
              <w:right w:val="single" w:sz="6" w:space="0" w:color="FFFF00"/>
            </w:tcBorders>
          </w:tcPr>
          <w:p>
            <w:pPr>
              <w:pStyle w:val="TableParagraph"/>
              <w:ind w:left="189" w:right="124"/>
              <w:jc w:val="center"/>
              <w:rPr>
                <w:sz w:val="20"/>
              </w:rPr>
            </w:pPr>
            <w:r>
              <w:rPr>
                <w:sz w:val="20"/>
              </w:rPr>
              <w:t>$6.10</w:t>
            </w:r>
          </w:p>
        </w:tc>
        <w:tc>
          <w:tcPr>
            <w:tcW w:w="1442" w:type="dxa"/>
            <w:tcBorders>
              <w:top w:val="single" w:sz="6" w:space="0" w:color="FFFF00"/>
              <w:left w:val="single" w:sz="6" w:space="0" w:color="FFFF00"/>
            </w:tcBorders>
          </w:tcPr>
          <w:p>
            <w:pPr>
              <w:pStyle w:val="TableParagraph"/>
              <w:ind w:left="28" w:right="56"/>
              <w:jc w:val="center"/>
              <w:rPr>
                <w:sz w:val="20"/>
              </w:rPr>
            </w:pPr>
            <w:r>
              <w:rPr>
                <w:sz w:val="20"/>
              </w:rPr>
              <w:t>$11.36</w:t>
            </w:r>
          </w:p>
        </w:tc>
      </w:tr>
    </w:tbl>
    <w:p>
      <w:pPr>
        <w:tabs>
          <w:tab w:pos="1539" w:val="left" w:leader="none"/>
        </w:tabs>
        <w:spacing w:line="244" w:lineRule="auto" w:before="123"/>
        <w:ind w:left="1540" w:right="1561" w:hanging="360"/>
        <w:jc w:val="left"/>
        <w:rPr>
          <w:rFonts w:ascii="Arial"/>
          <w:sz w:val="16"/>
        </w:rPr>
      </w:pPr>
      <w:r>
        <w:rPr>
          <w:rFonts w:ascii="Arial"/>
          <w:sz w:val="16"/>
        </w:rPr>
        <w:t>*</w:t>
        <w:tab/>
        <w:t>Includes</w:t>
      </w:r>
      <w:r>
        <w:rPr>
          <w:rFonts w:ascii="Arial"/>
          <w:spacing w:val="-15"/>
          <w:sz w:val="16"/>
        </w:rPr>
        <w:t> </w:t>
      </w:r>
      <w:r>
        <w:rPr>
          <w:rFonts w:ascii="Arial"/>
          <w:sz w:val="16"/>
        </w:rPr>
        <w:t>108,113</w:t>
      </w:r>
      <w:r>
        <w:rPr>
          <w:rFonts w:ascii="Arial"/>
          <w:spacing w:val="-15"/>
          <w:sz w:val="16"/>
        </w:rPr>
        <w:t> </w:t>
      </w:r>
      <w:r>
        <w:rPr>
          <w:rFonts w:ascii="Arial"/>
          <w:sz w:val="16"/>
        </w:rPr>
        <w:t>pre-split</w:t>
      </w:r>
      <w:r>
        <w:rPr>
          <w:rFonts w:ascii="Arial"/>
          <w:spacing w:val="-15"/>
          <w:sz w:val="16"/>
        </w:rPr>
        <w:t> </w:t>
      </w:r>
      <w:r>
        <w:rPr>
          <w:rFonts w:ascii="Arial"/>
          <w:spacing w:val="-3"/>
          <w:sz w:val="16"/>
        </w:rPr>
        <w:t>shares</w:t>
      </w:r>
      <w:r>
        <w:rPr>
          <w:rFonts w:ascii="Arial"/>
          <w:spacing w:val="-15"/>
          <w:sz w:val="16"/>
        </w:rPr>
        <w:t> </w:t>
      </w:r>
      <w:r>
        <w:rPr>
          <w:rFonts w:ascii="Arial"/>
          <w:sz w:val="16"/>
        </w:rPr>
        <w:t>and</w:t>
      </w:r>
      <w:r>
        <w:rPr>
          <w:rFonts w:ascii="Arial"/>
          <w:spacing w:val="-15"/>
          <w:sz w:val="16"/>
        </w:rPr>
        <w:t> </w:t>
      </w:r>
      <w:r>
        <w:rPr>
          <w:rFonts w:ascii="Arial"/>
          <w:sz w:val="16"/>
        </w:rPr>
        <w:t>36,115</w:t>
      </w:r>
      <w:r>
        <w:rPr>
          <w:rFonts w:ascii="Arial"/>
          <w:spacing w:val="-15"/>
          <w:sz w:val="16"/>
        </w:rPr>
        <w:t> </w:t>
      </w:r>
      <w:r>
        <w:rPr>
          <w:rFonts w:ascii="Arial"/>
          <w:sz w:val="16"/>
        </w:rPr>
        <w:t>post-split</w:t>
      </w:r>
      <w:r>
        <w:rPr>
          <w:rFonts w:ascii="Arial"/>
          <w:spacing w:val="-13"/>
          <w:sz w:val="16"/>
        </w:rPr>
        <w:t> </w:t>
      </w:r>
      <w:r>
        <w:rPr>
          <w:rFonts w:ascii="Arial"/>
          <w:spacing w:val="-3"/>
          <w:sz w:val="16"/>
        </w:rPr>
        <w:t>shares,</w:t>
      </w:r>
      <w:r>
        <w:rPr>
          <w:rFonts w:ascii="Arial"/>
          <w:spacing w:val="-13"/>
          <w:sz w:val="16"/>
        </w:rPr>
        <w:t> </w:t>
      </w:r>
      <w:r>
        <w:rPr>
          <w:rFonts w:ascii="Arial"/>
          <w:sz w:val="16"/>
        </w:rPr>
        <w:t>of</w:t>
      </w:r>
      <w:r>
        <w:rPr>
          <w:rFonts w:ascii="Arial"/>
          <w:spacing w:val="-13"/>
          <w:sz w:val="16"/>
        </w:rPr>
        <w:t> </w:t>
      </w:r>
      <w:r>
        <w:rPr>
          <w:rFonts w:ascii="Arial"/>
          <w:sz w:val="16"/>
        </w:rPr>
        <w:t>which</w:t>
      </w:r>
      <w:r>
        <w:rPr>
          <w:rFonts w:ascii="Arial"/>
          <w:spacing w:val="-15"/>
          <w:sz w:val="16"/>
        </w:rPr>
        <w:t> </w:t>
      </w:r>
      <w:r>
        <w:rPr>
          <w:rFonts w:ascii="Arial"/>
          <w:sz w:val="16"/>
        </w:rPr>
        <w:t>5,476</w:t>
      </w:r>
      <w:r>
        <w:rPr>
          <w:rFonts w:ascii="Arial"/>
          <w:spacing w:val="-15"/>
          <w:sz w:val="16"/>
        </w:rPr>
        <w:t> </w:t>
      </w:r>
      <w:r>
        <w:rPr>
          <w:rFonts w:ascii="Arial"/>
          <w:sz w:val="16"/>
        </w:rPr>
        <w:t>pre-split</w:t>
      </w:r>
      <w:r>
        <w:rPr>
          <w:rFonts w:ascii="Arial"/>
          <w:spacing w:val="-15"/>
          <w:sz w:val="16"/>
        </w:rPr>
        <w:t> </w:t>
      </w:r>
      <w:r>
        <w:rPr>
          <w:rFonts w:ascii="Arial"/>
          <w:spacing w:val="-3"/>
          <w:sz w:val="16"/>
        </w:rPr>
        <w:t>shares</w:t>
      </w:r>
      <w:r>
        <w:rPr>
          <w:rFonts w:ascii="Arial"/>
          <w:w w:val="98"/>
          <w:sz w:val="16"/>
        </w:rPr>
        <w:t> </w:t>
      </w:r>
      <w:r>
        <w:rPr>
          <w:rFonts w:ascii="Arial"/>
          <w:sz w:val="16"/>
        </w:rPr>
        <w:t>and</w:t>
      </w:r>
      <w:r>
        <w:rPr>
          <w:rFonts w:ascii="Arial"/>
          <w:spacing w:val="-11"/>
          <w:sz w:val="16"/>
        </w:rPr>
        <w:t> </w:t>
      </w:r>
      <w:r>
        <w:rPr>
          <w:rFonts w:ascii="Arial"/>
          <w:sz w:val="16"/>
        </w:rPr>
        <w:t>72</w:t>
      </w:r>
      <w:r>
        <w:rPr>
          <w:rFonts w:ascii="Arial"/>
          <w:spacing w:val="-11"/>
          <w:sz w:val="16"/>
        </w:rPr>
        <w:t> </w:t>
      </w:r>
      <w:r>
        <w:rPr>
          <w:rFonts w:ascii="Arial"/>
          <w:sz w:val="16"/>
        </w:rPr>
        <w:t>post-split</w:t>
      </w:r>
      <w:r>
        <w:rPr>
          <w:rFonts w:ascii="Arial"/>
          <w:spacing w:val="-9"/>
          <w:sz w:val="16"/>
        </w:rPr>
        <w:t> </w:t>
      </w:r>
      <w:r>
        <w:rPr>
          <w:rFonts w:ascii="Arial"/>
          <w:spacing w:val="-3"/>
          <w:sz w:val="16"/>
        </w:rPr>
        <w:t>shares</w:t>
      </w:r>
      <w:r>
        <w:rPr>
          <w:rFonts w:ascii="Arial"/>
          <w:spacing w:val="-10"/>
          <w:sz w:val="16"/>
        </w:rPr>
        <w:t> </w:t>
      </w:r>
      <w:r>
        <w:rPr>
          <w:rFonts w:ascii="Arial"/>
          <w:spacing w:val="-3"/>
          <w:sz w:val="16"/>
        </w:rPr>
        <w:t>were</w:t>
      </w:r>
      <w:r>
        <w:rPr>
          <w:rFonts w:ascii="Arial"/>
          <w:spacing w:val="-14"/>
          <w:sz w:val="16"/>
        </w:rPr>
        <w:t> </w:t>
      </w:r>
      <w:r>
        <w:rPr>
          <w:rFonts w:ascii="Arial"/>
          <w:spacing w:val="-3"/>
          <w:sz w:val="16"/>
        </w:rPr>
        <w:t>issued</w:t>
      </w:r>
      <w:r>
        <w:rPr>
          <w:rFonts w:ascii="Arial"/>
          <w:spacing w:val="-11"/>
          <w:sz w:val="16"/>
        </w:rPr>
        <w:t> </w:t>
      </w:r>
      <w:r>
        <w:rPr>
          <w:rFonts w:ascii="Arial"/>
          <w:sz w:val="16"/>
        </w:rPr>
        <w:t>from</w:t>
      </w:r>
      <w:r>
        <w:rPr>
          <w:rFonts w:ascii="Arial"/>
          <w:spacing w:val="-6"/>
          <w:sz w:val="16"/>
        </w:rPr>
        <w:t> </w:t>
      </w:r>
      <w:r>
        <w:rPr>
          <w:rFonts w:ascii="Arial"/>
          <w:spacing w:val="-3"/>
          <w:sz w:val="16"/>
        </w:rPr>
        <w:t>treasury.</w:t>
      </w:r>
    </w:p>
    <w:p>
      <w:pPr>
        <w:tabs>
          <w:tab w:pos="1539" w:val="left" w:leader="none"/>
        </w:tabs>
        <w:spacing w:before="119"/>
        <w:ind w:left="1180" w:right="0" w:firstLine="0"/>
        <w:jc w:val="left"/>
        <w:rPr>
          <w:rFonts w:ascii="Arial"/>
          <w:sz w:val="16"/>
        </w:rPr>
      </w:pPr>
      <w:r>
        <w:rPr>
          <w:rFonts w:ascii="Arial"/>
          <w:sz w:val="16"/>
        </w:rPr>
        <w:t>**</w:t>
        <w:tab/>
        <w:t>Includes</w:t>
      </w:r>
      <w:r>
        <w:rPr>
          <w:rFonts w:ascii="Arial"/>
          <w:spacing w:val="-16"/>
          <w:sz w:val="16"/>
        </w:rPr>
        <w:t> </w:t>
      </w:r>
      <w:r>
        <w:rPr>
          <w:rFonts w:ascii="Arial"/>
          <w:sz w:val="16"/>
        </w:rPr>
        <w:t>12,740</w:t>
      </w:r>
      <w:r>
        <w:rPr>
          <w:rFonts w:ascii="Arial"/>
          <w:spacing w:val="-17"/>
          <w:sz w:val="16"/>
        </w:rPr>
        <w:t> </w:t>
      </w:r>
      <w:r>
        <w:rPr>
          <w:rFonts w:ascii="Arial"/>
          <w:sz w:val="16"/>
        </w:rPr>
        <w:t>pre-split</w:t>
      </w:r>
      <w:r>
        <w:rPr>
          <w:rFonts w:ascii="Arial"/>
          <w:spacing w:val="-16"/>
          <w:sz w:val="16"/>
        </w:rPr>
        <w:t> </w:t>
      </w:r>
      <w:r>
        <w:rPr>
          <w:rFonts w:ascii="Arial"/>
          <w:spacing w:val="-3"/>
          <w:sz w:val="16"/>
        </w:rPr>
        <w:t>shares</w:t>
      </w:r>
      <w:r>
        <w:rPr>
          <w:rFonts w:ascii="Arial"/>
          <w:spacing w:val="-16"/>
          <w:sz w:val="16"/>
        </w:rPr>
        <w:t> </w:t>
      </w:r>
      <w:r>
        <w:rPr>
          <w:rFonts w:ascii="Arial"/>
          <w:sz w:val="16"/>
        </w:rPr>
        <w:t>and</w:t>
      </w:r>
      <w:r>
        <w:rPr>
          <w:rFonts w:ascii="Arial"/>
          <w:spacing w:val="-17"/>
          <w:sz w:val="16"/>
        </w:rPr>
        <w:t> </w:t>
      </w:r>
      <w:r>
        <w:rPr>
          <w:rFonts w:ascii="Arial"/>
          <w:sz w:val="16"/>
        </w:rPr>
        <w:t>75,700</w:t>
      </w:r>
      <w:r>
        <w:rPr>
          <w:rFonts w:ascii="Arial"/>
          <w:spacing w:val="-17"/>
          <w:sz w:val="16"/>
        </w:rPr>
        <w:t> </w:t>
      </w:r>
      <w:r>
        <w:rPr>
          <w:rFonts w:ascii="Arial"/>
          <w:sz w:val="16"/>
        </w:rPr>
        <w:t>post-split</w:t>
      </w:r>
      <w:r>
        <w:rPr>
          <w:rFonts w:ascii="Arial"/>
          <w:spacing w:val="-15"/>
          <w:sz w:val="16"/>
        </w:rPr>
        <w:t> </w:t>
      </w:r>
      <w:r>
        <w:rPr>
          <w:rFonts w:ascii="Arial"/>
          <w:spacing w:val="-3"/>
          <w:sz w:val="16"/>
        </w:rPr>
        <w:t>shares.</w:t>
      </w:r>
    </w:p>
    <w:p>
      <w:pPr>
        <w:pStyle w:val="BodyText"/>
        <w:spacing w:line="249" w:lineRule="auto" w:before="125"/>
        <w:ind w:left="820" w:right="184"/>
      </w:pPr>
      <w:r>
        <w:rPr/>
        <w:t>The exercise price of outstanding options ranged from $6.02 to $37.44 in 1994, $6.02 to $19.71 in 1993, and $6.02 to $12.06 in 1992.</w:t>
      </w:r>
    </w:p>
    <w:p>
      <w:pPr>
        <w:pStyle w:val="BodyText"/>
        <w:spacing w:line="249" w:lineRule="auto" w:before="121"/>
        <w:ind w:left="820" w:right="184"/>
      </w:pPr>
      <w:r>
        <w:rPr/>
        <w:t>In 1991, the Company's stockholders also approved the Employee Stock Purchase Plan that provides for the sale of common stock to Employees of the Company at a price equal to 90% of the market value at the end of each purchase period. Common stock purchases are paid for through periodic payroll deductions. Participants under the plan received 290,054 shares in 1994, 182,459 shares (59,442 pre-split shares and 93,296 post-split shares) in 1993 and 166,436 shares in 1992 at average prices of $24.98, $25.25,   and</w:t>
      </w:r>
    </w:p>
    <w:p>
      <w:pPr>
        <w:pStyle w:val="BodyText"/>
        <w:spacing w:before="1"/>
        <w:ind w:left="820"/>
      </w:pPr>
      <w:r>
        <w:rPr/>
        <w:t>$12.89, respectively.</w:t>
      </w:r>
    </w:p>
    <w:p>
      <w:pPr>
        <w:pStyle w:val="BodyText"/>
        <w:spacing w:line="249" w:lineRule="auto" w:before="130"/>
        <w:ind w:left="820" w:right="184"/>
      </w:pPr>
      <w:r>
        <w:rPr/>
        <w:t>At December 31, 1994, 1993, and 1992, 1,489,753, 1,504,752, and 1,512,252 options to purchase the Company's common stock were also outstanding related to employment contracts with the Company's president and chief executive officer. Exercise prices range from $1.00 to $11.33 per share. Options for 15,000 shares, 7,500 shares (5,000 pre-split shares, of which 968 shares were issued from treasury), and 22,500 shares were exercised in 1994, 1993, and 1992, respectively.</w:t>
      </w:r>
    </w:p>
    <w:p>
      <w:pPr>
        <w:pStyle w:val="BodyText"/>
        <w:spacing w:line="249" w:lineRule="auto" w:before="121"/>
        <w:ind w:left="820" w:right="246"/>
      </w:pPr>
      <w:r>
        <w:rPr/>
        <w:t>Effective January 12, 1995, the Company adopted, pursuant </w:t>
      </w:r>
      <w:r>
        <w:rPr>
          <w:spacing w:val="2"/>
        </w:rPr>
        <w:t>to </w:t>
      </w:r>
      <w:r>
        <w:rPr/>
        <w:t>a collective bargaining agreement between the Company and the Southwest Airlines Pilots' Association (SWAPA), the 1995 SWAPA Non-Qualified Stock Option Plan (SWAPA Plan). Under the terms </w:t>
      </w:r>
      <w:r>
        <w:rPr>
          <w:spacing w:val="2"/>
        </w:rPr>
        <w:t>of </w:t>
      </w:r>
      <w:r>
        <w:rPr/>
        <w:t>the SWAPA Plan, 18,000,000 common shares  have been </w:t>
      </w:r>
      <w:r>
        <w:rPr>
          <w:spacing w:val="2"/>
        </w:rPr>
        <w:t>reserved </w:t>
      </w:r>
      <w:r>
        <w:rPr/>
        <w:t>for issuance. An </w:t>
      </w:r>
      <w:r>
        <w:rPr>
          <w:spacing w:val="2"/>
        </w:rPr>
        <w:t>initial </w:t>
      </w:r>
      <w:r>
        <w:rPr/>
        <w:t>grant </w:t>
      </w:r>
      <w:r>
        <w:rPr>
          <w:spacing w:val="3"/>
        </w:rPr>
        <w:t>of </w:t>
      </w:r>
      <w:r>
        <w:rPr>
          <w:spacing w:val="2"/>
        </w:rPr>
        <w:t>approximately </w:t>
      </w:r>
      <w:r>
        <w:rPr/>
        <w:t>14.5 million shares was made </w:t>
      </w:r>
      <w:r>
        <w:rPr>
          <w:spacing w:val="3"/>
        </w:rPr>
        <w:t>on the </w:t>
      </w:r>
      <w:r>
        <w:rPr/>
        <w:t>effective date at an </w:t>
      </w:r>
      <w:r>
        <w:rPr>
          <w:spacing w:val="3"/>
        </w:rPr>
        <w:t>option </w:t>
      </w:r>
      <w:r>
        <w:rPr/>
        <w:t>price of $20.00 per share. On September 1 of each year of the agreement, commencing September 1, 1996, additional </w:t>
      </w:r>
      <w:r>
        <w:rPr>
          <w:spacing w:val="4"/>
        </w:rPr>
        <w:t>options </w:t>
      </w:r>
      <w:r>
        <w:rPr/>
        <w:t>will be granted </w:t>
      </w:r>
      <w:r>
        <w:rPr>
          <w:spacing w:val="3"/>
        </w:rPr>
        <w:t>to </w:t>
      </w:r>
      <w:r>
        <w:rPr/>
        <w:t>Pilots that became eligible during that year at an </w:t>
      </w:r>
      <w:r>
        <w:rPr>
          <w:spacing w:val="3"/>
        </w:rPr>
        <w:t>option </w:t>
      </w:r>
      <w:r>
        <w:rPr/>
        <w:t>price equal </w:t>
      </w:r>
      <w:r>
        <w:rPr>
          <w:spacing w:val="2"/>
        </w:rPr>
        <w:t>to </w:t>
      </w:r>
      <w:r>
        <w:rPr/>
        <w:t>the fair market value of the common stock of the Company on the  date </w:t>
      </w:r>
      <w:r>
        <w:rPr>
          <w:spacing w:val="2"/>
        </w:rPr>
        <w:t>of </w:t>
      </w:r>
      <w:r>
        <w:rPr/>
        <w:t>grant plus 5 percent. Options vest in ten annual increments </w:t>
      </w:r>
      <w:r>
        <w:rPr>
          <w:spacing w:val="2"/>
        </w:rPr>
        <w:t>of </w:t>
      </w:r>
      <w:r>
        <w:rPr/>
        <w:t>10 percent and must be exercised prior </w:t>
      </w:r>
      <w:r>
        <w:rPr>
          <w:spacing w:val="3"/>
        </w:rPr>
        <w:t>to </w:t>
      </w:r>
      <w:r>
        <w:rPr/>
        <w:t>January 31, 2007, </w:t>
      </w:r>
      <w:r>
        <w:rPr>
          <w:spacing w:val="2"/>
        </w:rPr>
        <w:t>or </w:t>
      </w:r>
      <w:r>
        <w:rPr/>
        <w:t>within a specified time upon retirement </w:t>
      </w:r>
      <w:r>
        <w:rPr>
          <w:spacing w:val="2"/>
        </w:rPr>
        <w:t>or </w:t>
      </w:r>
      <w:r>
        <w:rPr/>
        <w:t>termination. In the event that SWAPA exercises its </w:t>
      </w:r>
      <w:r>
        <w:rPr>
          <w:spacing w:val="4"/>
        </w:rPr>
        <w:t>option </w:t>
      </w:r>
      <w:r>
        <w:rPr>
          <w:spacing w:val="2"/>
        </w:rPr>
        <w:t>to </w:t>
      </w:r>
      <w:r>
        <w:rPr/>
        <w:t>make the collective bargaining agreement amendable </w:t>
      </w:r>
      <w:r>
        <w:rPr>
          <w:spacing w:val="2"/>
        </w:rPr>
        <w:t>on or </w:t>
      </w:r>
      <w:r>
        <w:rPr/>
        <w:t>before September 1, 1999, any unexercised </w:t>
      </w:r>
      <w:r>
        <w:rPr>
          <w:spacing w:val="3"/>
        </w:rPr>
        <w:t>options </w:t>
      </w:r>
      <w:r>
        <w:rPr/>
        <w:t>will be canceled on December 1,</w:t>
      </w:r>
      <w:r>
        <w:rPr>
          <w:spacing w:val="-29"/>
        </w:rPr>
        <w:t> </w:t>
      </w:r>
      <w:r>
        <w:rPr/>
        <w:t>1999.</w:t>
      </w:r>
    </w:p>
    <w:p>
      <w:pPr>
        <w:spacing w:after="0" w:line="249" w:lineRule="auto"/>
        <w:sectPr>
          <w:pgSz w:w="12240" w:h="15840"/>
          <w:pgMar w:header="725" w:footer="746" w:top="940" w:bottom="940" w:left="1700" w:right="960"/>
        </w:sectPr>
      </w:pPr>
    </w:p>
    <w:p>
      <w:pPr>
        <w:pStyle w:val="BodyText"/>
      </w:pPr>
    </w:p>
    <w:p>
      <w:pPr>
        <w:pStyle w:val="BodyText"/>
      </w:pPr>
    </w:p>
    <w:p>
      <w:pPr>
        <w:pStyle w:val="BodyText"/>
        <w:spacing w:before="10"/>
        <w:rPr>
          <w:sz w:val="23"/>
        </w:rPr>
      </w:pPr>
    </w:p>
    <w:p>
      <w:pPr>
        <w:pStyle w:val="Heading2"/>
        <w:numPr>
          <w:ilvl w:val="0"/>
          <w:numId w:val="3"/>
        </w:numPr>
        <w:tabs>
          <w:tab w:pos="1156" w:val="left" w:leader="none"/>
        </w:tabs>
        <w:spacing w:line="240" w:lineRule="auto" w:before="0" w:after="0"/>
        <w:ind w:left="1155" w:right="0" w:hanging="335"/>
        <w:jc w:val="left"/>
      </w:pPr>
      <w:r>
        <w:rPr/>
        <w:t>Employee Profitsharing And Savings</w:t>
      </w:r>
      <w:r>
        <w:rPr>
          <w:spacing w:val="27"/>
        </w:rPr>
        <w:t> </w:t>
      </w:r>
      <w:r>
        <w:rPr/>
        <w:t>Plans</w:t>
      </w:r>
    </w:p>
    <w:p>
      <w:pPr>
        <w:pStyle w:val="BodyText"/>
        <w:spacing w:line="249" w:lineRule="auto" w:before="131"/>
        <w:ind w:left="819" w:right="184"/>
      </w:pPr>
      <w:r>
        <w:rPr/>
        <w:t>Substantially all of Southwest's Employees are members of the Southwest Airlines Co. Profitsharing Plan (the Plan). Total profitsharing expense charged to operations in 1994, 1993, and 1992 was  $52,782,000,</w:t>
      </w:r>
    </w:p>
    <w:p>
      <w:pPr>
        <w:pStyle w:val="BodyText"/>
        <w:spacing w:line="249" w:lineRule="auto" w:before="1"/>
        <w:ind w:left="819" w:right="258"/>
      </w:pPr>
      <w:r>
        <w:rPr/>
        <w:t>$44,959,000, and $26,363,000, respectively. The Company also elected to contribute $3,605,000 in 1992 as a result of an accounting change (see Note 3).</w:t>
      </w:r>
    </w:p>
    <w:p>
      <w:pPr>
        <w:pStyle w:val="BodyText"/>
        <w:spacing w:line="249" w:lineRule="auto" w:before="121"/>
        <w:ind w:left="819" w:right="184"/>
      </w:pPr>
      <w:r>
        <w:rPr/>
        <w:t>The Company sponsors Employee savings plans under Section 401(k) of the Internal Revenue Code. The plans cover substantially all full-time Employees. The amount of matching contributions varies by Employee group. Company contributions generally vest over five years with credit for prior years' service granted. Company matching contributions expensed in 1994, 1993, and 1992 were  $19,817,000,</w:t>
      </w:r>
    </w:p>
    <w:p>
      <w:pPr>
        <w:pStyle w:val="BodyText"/>
        <w:spacing w:before="1"/>
        <w:ind w:left="819"/>
      </w:pPr>
      <w:r>
        <w:rPr/>
        <w:t>$13,986,000, and $11,611,000, respectively.</w:t>
      </w:r>
    </w:p>
    <w:p>
      <w:pPr>
        <w:pStyle w:val="BodyText"/>
        <w:spacing w:before="7"/>
        <w:rPr>
          <w:sz w:val="21"/>
        </w:rPr>
      </w:pPr>
    </w:p>
    <w:p>
      <w:pPr>
        <w:pStyle w:val="Heading2"/>
        <w:numPr>
          <w:ilvl w:val="0"/>
          <w:numId w:val="3"/>
        </w:numPr>
        <w:tabs>
          <w:tab w:pos="1214" w:val="left" w:leader="none"/>
        </w:tabs>
        <w:spacing w:line="240" w:lineRule="auto" w:before="0" w:after="0"/>
        <w:ind w:left="1213" w:right="0" w:hanging="393"/>
        <w:jc w:val="left"/>
      </w:pPr>
      <w:r>
        <w:rPr/>
        <w:t>Income</w:t>
      </w:r>
      <w:r>
        <w:rPr>
          <w:spacing w:val="7"/>
        </w:rPr>
        <w:t> </w:t>
      </w:r>
      <w:r>
        <w:rPr/>
        <w:t>Taxes</w:t>
      </w:r>
    </w:p>
    <w:p>
      <w:pPr>
        <w:pStyle w:val="BodyText"/>
        <w:spacing w:line="249" w:lineRule="auto" w:before="130"/>
        <w:ind w:left="819" w:right="184"/>
      </w:pPr>
      <w:r>
        <w:rPr/>
        <w:t>Effective January 1, 1993, the Company changed its method of accounting for income taxes from the deferred method to the liability method as required by SFAS 109 (see Note 3).</w:t>
      </w:r>
    </w:p>
    <w:p>
      <w:pPr>
        <w:pStyle w:val="BodyText"/>
        <w:spacing w:line="249" w:lineRule="auto" w:before="120"/>
        <w:ind w:left="819" w:right="340"/>
      </w:pPr>
      <w:r>
        <w:rPr/>
        <w:t>Under SFAS 109, deferred income taxes reflect the net tax effects of temporary differences between the carrying amounts of assets and liabilities for financial reporting purposes and the amounts used for income tax purposes. The components of deferred tax assets and liabilities at December 31, 1994 and 1993 are as follows (in thousands):</w:t>
      </w:r>
    </w:p>
    <w:p>
      <w:pPr>
        <w:pStyle w:val="BodyText"/>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33"/>
        <w:gridCol w:w="182"/>
        <w:gridCol w:w="145"/>
        <w:gridCol w:w="1304"/>
      </w:tblGrid>
      <w:tr>
        <w:trPr>
          <w:trHeight w:val="329" w:hRule="exact"/>
        </w:trPr>
        <w:tc>
          <w:tcPr>
            <w:tcW w:w="4318" w:type="dxa"/>
            <w:tcBorders>
              <w:bottom w:val="single" w:sz="6" w:space="0" w:color="FFFF00"/>
              <w:right w:val="single" w:sz="6" w:space="0" w:color="FFFF00"/>
            </w:tcBorders>
          </w:tcPr>
          <w:p>
            <w:pPr/>
          </w:p>
        </w:tc>
        <w:tc>
          <w:tcPr>
            <w:tcW w:w="1433" w:type="dxa"/>
            <w:tcBorders>
              <w:left w:val="single" w:sz="6" w:space="0" w:color="FFFF00"/>
              <w:bottom w:val="single" w:sz="6" w:space="0" w:color="FFFF00"/>
              <w:right w:val="nil"/>
            </w:tcBorders>
          </w:tcPr>
          <w:p>
            <w:pPr>
              <w:pStyle w:val="TableParagraph"/>
              <w:spacing w:before="85"/>
              <w:ind w:left="189" w:right="191"/>
              <w:jc w:val="center"/>
              <w:rPr>
                <w:rFonts w:ascii="Arial"/>
                <w:sz w:val="16"/>
              </w:rPr>
            </w:pPr>
            <w:r>
              <w:rPr>
                <w:rFonts w:ascii="Arial"/>
                <w:sz w:val="16"/>
              </w:rPr>
              <w:t>1994</w:t>
            </w:r>
          </w:p>
        </w:tc>
        <w:tc>
          <w:tcPr>
            <w:tcW w:w="328" w:type="dxa"/>
            <w:gridSpan w:val="2"/>
            <w:tcBorders>
              <w:left w:val="nil"/>
              <w:bottom w:val="single" w:sz="6" w:space="0" w:color="FFFF00"/>
              <w:right w:val="nil"/>
            </w:tcBorders>
          </w:tcPr>
          <w:p>
            <w:pPr/>
          </w:p>
        </w:tc>
        <w:tc>
          <w:tcPr>
            <w:tcW w:w="1304" w:type="dxa"/>
            <w:tcBorders>
              <w:left w:val="nil"/>
              <w:bottom w:val="single" w:sz="6" w:space="0" w:color="FFFF00"/>
            </w:tcBorders>
          </w:tcPr>
          <w:p>
            <w:pPr>
              <w:pStyle w:val="TableParagraph"/>
              <w:spacing w:before="85"/>
              <w:ind w:left="402"/>
              <w:rPr>
                <w:rFonts w:ascii="Arial"/>
                <w:sz w:val="16"/>
              </w:rPr>
            </w:pPr>
            <w:r>
              <w:rPr>
                <w:rFonts w:ascii="Arial"/>
                <w:sz w:val="16"/>
              </w:rPr>
              <w:t>1993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Deferred tax liabilities:</w:t>
            </w:r>
          </w:p>
        </w:tc>
        <w:tc>
          <w:tcPr>
            <w:tcW w:w="3065" w:type="dxa"/>
            <w:gridSpan w:val="4"/>
            <w:tcBorders>
              <w:top w:val="single" w:sz="6" w:space="0" w:color="FFFF00"/>
              <w:left w:val="single" w:sz="6" w:space="0" w:color="FFFF00"/>
              <w:bottom w:val="single" w:sz="6" w:space="0" w:color="FFFF00"/>
            </w:tcBorders>
          </w:tcPr>
          <w:p>
            <w:pP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Accelerated depreciation</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$343,585</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$299,195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right="1506"/>
              <w:jc w:val="right"/>
              <w:rPr>
                <w:sz w:val="20"/>
              </w:rPr>
            </w:pPr>
            <w:r>
              <w:rPr>
                <w:sz w:val="20"/>
              </w:rPr>
              <w:t>Scheduled airframe overhauls</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23,966</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21,512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Other</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55,953</w:t>
            </w:r>
          </w:p>
        </w:tc>
        <w:tc>
          <w:tcPr>
            <w:tcW w:w="328"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04" w:type="dxa"/>
            <w:tcBorders>
              <w:top w:val="single" w:sz="6" w:space="0" w:color="FFFF00"/>
              <w:left w:val="nil"/>
              <w:bottom w:val="single" w:sz="6" w:space="0" w:color="000000"/>
            </w:tcBorders>
          </w:tcPr>
          <w:p>
            <w:pPr>
              <w:pStyle w:val="TableParagraph"/>
              <w:ind w:right="432"/>
              <w:jc w:val="right"/>
              <w:rPr>
                <w:sz w:val="20"/>
              </w:rPr>
            </w:pPr>
            <w:r>
              <w:rPr>
                <w:sz w:val="20"/>
              </w:rPr>
              <w:t>45,734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ind w:right="1490"/>
              <w:jc w:val="right"/>
              <w:rPr>
                <w:sz w:val="20"/>
              </w:rPr>
            </w:pPr>
            <w:r>
              <w:rPr>
                <w:sz w:val="20"/>
              </w:rPr>
              <w:t>Total deferred tax liabilities</w:t>
            </w:r>
          </w:p>
        </w:tc>
        <w:tc>
          <w:tcPr>
            <w:tcW w:w="1433" w:type="dxa"/>
            <w:tcBorders>
              <w:top w:val="single" w:sz="6" w:space="0" w:color="000000"/>
              <w:left w:val="single" w:sz="6" w:space="0" w:color="FFFF00"/>
              <w:bottom w:val="single" w:sz="6" w:space="0" w:color="FFFF00"/>
              <w:right w:val="nil"/>
            </w:tcBorders>
          </w:tcPr>
          <w:p>
            <w:pPr>
              <w:pStyle w:val="TableParagraph"/>
              <w:ind w:right="436"/>
              <w:jc w:val="right"/>
              <w:rPr>
                <w:sz w:val="20"/>
              </w:rPr>
            </w:pPr>
            <w:r>
              <w:rPr>
                <w:sz w:val="20"/>
              </w:rPr>
              <w:t>423,504</w:t>
            </w:r>
          </w:p>
        </w:tc>
        <w:tc>
          <w:tcPr>
            <w:tcW w:w="182"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345"/>
              <w:rPr>
                <w:sz w:val="20"/>
              </w:rPr>
            </w:pPr>
            <w:r>
              <w:rPr>
                <w:sz w:val="20"/>
              </w:rPr>
              <w:t>366,441</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Deferred tax assets:</w:t>
            </w:r>
          </w:p>
        </w:tc>
        <w:tc>
          <w:tcPr>
            <w:tcW w:w="3065" w:type="dxa"/>
            <w:gridSpan w:val="4"/>
            <w:tcBorders>
              <w:top w:val="single" w:sz="6" w:space="0" w:color="FFFF00"/>
              <w:left w:val="single" w:sz="6" w:space="0" w:color="FFFF00"/>
              <w:bottom w:val="single" w:sz="6" w:space="0" w:color="FFFF00"/>
            </w:tcBorders>
          </w:tcPr>
          <w:p>
            <w:pPr/>
          </w:p>
        </w:tc>
      </w:tr>
      <w:tr>
        <w:trPr>
          <w:trHeight w:val="475" w:hRule="exact"/>
        </w:trPr>
        <w:tc>
          <w:tcPr>
            <w:tcW w:w="4318" w:type="dxa"/>
            <w:tcBorders>
              <w:top w:val="single" w:sz="6" w:space="0" w:color="FFFF00"/>
              <w:bottom w:val="single" w:sz="6" w:space="0" w:color="FFFF00"/>
              <w:right w:val="single" w:sz="6" w:space="0" w:color="FFFF00"/>
            </w:tcBorders>
          </w:tcPr>
          <w:p>
            <w:pPr>
              <w:pStyle w:val="TableParagraph"/>
              <w:spacing w:line="202" w:lineRule="exact" w:before="21"/>
              <w:ind w:left="360" w:right="335"/>
              <w:rPr>
                <w:sz w:val="20"/>
              </w:rPr>
            </w:pPr>
            <w:r>
              <w:rPr>
                <w:sz w:val="20"/>
              </w:rPr>
              <w:t>Deferred gains from sale and leaseback of aircraft</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95,602</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87,358</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Capital and operating leases</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38,240</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33,637</w:t>
            </w:r>
          </w:p>
        </w:tc>
      </w:tr>
      <w:tr>
        <w:trPr>
          <w:trHeight w:val="475" w:hRule="exact"/>
        </w:trPr>
        <w:tc>
          <w:tcPr>
            <w:tcW w:w="4318" w:type="dxa"/>
            <w:tcBorders>
              <w:top w:val="single" w:sz="6" w:space="0" w:color="FFFF00"/>
              <w:bottom w:val="single" w:sz="6" w:space="0" w:color="FFFF00"/>
              <w:right w:val="single" w:sz="6" w:space="0" w:color="FFFF00"/>
            </w:tcBorders>
          </w:tcPr>
          <w:p>
            <w:pPr>
              <w:pStyle w:val="TableParagraph"/>
              <w:spacing w:line="202" w:lineRule="exact" w:before="21"/>
              <w:ind w:left="360" w:right="335"/>
              <w:rPr>
                <w:sz w:val="20"/>
              </w:rPr>
            </w:pPr>
            <w:r>
              <w:rPr>
                <w:sz w:val="20"/>
              </w:rPr>
              <w:t>Alternative minimum tax credit carry forward</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22,778</w:t>
            </w:r>
          </w:p>
        </w:tc>
        <w:tc>
          <w:tcPr>
            <w:tcW w:w="328" w:type="dxa"/>
            <w:gridSpan w:val="2"/>
            <w:tcBorders>
              <w:top w:val="single" w:sz="6" w:space="0" w:color="FFFF00"/>
              <w:left w:val="nil"/>
              <w:bottom w:val="single" w:sz="6" w:space="0" w:color="FFFF00"/>
              <w:right w:val="nil"/>
            </w:tcBorders>
          </w:tcPr>
          <w:p>
            <w:pPr/>
          </w:p>
        </w:tc>
        <w:tc>
          <w:tcPr>
            <w:tcW w:w="1304" w:type="dxa"/>
            <w:tcBorders>
              <w:top w:val="single" w:sz="6" w:space="0" w:color="FFFF00"/>
              <w:left w:val="nil"/>
              <w:bottom w:val="single" w:sz="6" w:space="0" w:color="FFFF00"/>
            </w:tcBorders>
          </w:tcPr>
          <w:p>
            <w:pPr>
              <w:pStyle w:val="TableParagraph"/>
              <w:ind w:right="432"/>
              <w:jc w:val="right"/>
              <w:rPr>
                <w:sz w:val="20"/>
              </w:rPr>
            </w:pPr>
            <w:r>
              <w:rPr>
                <w:sz w:val="20"/>
              </w:rPr>
              <w:t>32,122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43,856</w:t>
            </w:r>
          </w:p>
        </w:tc>
        <w:tc>
          <w:tcPr>
            <w:tcW w:w="328" w:type="dxa"/>
            <w:gridSpan w:val="2"/>
            <w:tcBorders>
              <w:top w:val="single" w:sz="6" w:space="0" w:color="FFFF00"/>
              <w:left w:val="nil"/>
              <w:bottom w:val="nil"/>
              <w:right w:val="nil"/>
            </w:tcBorders>
          </w:tcPr>
          <w:p>
            <w:pPr>
              <w:pStyle w:val="TableParagraph"/>
              <w:rPr>
                <w:sz w:val="20"/>
              </w:rPr>
            </w:pPr>
            <w:r>
              <w:rPr>
                <w:w w:val="100"/>
                <w:sz w:val="20"/>
                <w:u w:val="single" w:color="FFFF00"/>
              </w:rPr>
              <w:t> </w:t>
            </w:r>
            <w:r>
              <w:rPr>
                <w:spacing w:val="-23"/>
                <w:sz w:val="20"/>
                <w:u w:val="single" w:color="FFFF00"/>
              </w:rPr>
              <w:t> </w:t>
            </w:r>
          </w:p>
        </w:tc>
        <w:tc>
          <w:tcPr>
            <w:tcW w:w="1304" w:type="dxa"/>
            <w:tcBorders>
              <w:top w:val="single" w:sz="6" w:space="0" w:color="FFFF00"/>
              <w:left w:val="nil"/>
              <w:bottom w:val="single" w:sz="6" w:space="0" w:color="000000"/>
            </w:tcBorders>
          </w:tcPr>
          <w:p>
            <w:pPr>
              <w:pStyle w:val="TableParagraph"/>
              <w:ind w:right="432"/>
              <w:jc w:val="right"/>
              <w:rPr>
                <w:sz w:val="20"/>
              </w:rPr>
            </w:pPr>
            <w:r>
              <w:rPr>
                <w:sz w:val="20"/>
              </w:rPr>
              <w:t>40,183</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360"/>
              <w:rPr>
                <w:sz w:val="20"/>
              </w:rPr>
            </w:pPr>
            <w:r>
              <w:rPr>
                <w:sz w:val="20"/>
              </w:rPr>
              <w:t>Total deferred tax assets</w:t>
            </w:r>
          </w:p>
        </w:tc>
        <w:tc>
          <w:tcPr>
            <w:tcW w:w="1433" w:type="dxa"/>
            <w:tcBorders>
              <w:top w:val="single" w:sz="6" w:space="0" w:color="000000"/>
              <w:left w:val="single" w:sz="6" w:space="0" w:color="FFFF00"/>
              <w:bottom w:val="single" w:sz="6" w:space="0" w:color="FFFF00"/>
              <w:right w:val="nil"/>
            </w:tcBorders>
          </w:tcPr>
          <w:p>
            <w:pPr>
              <w:pStyle w:val="TableParagraph"/>
              <w:ind w:right="436"/>
              <w:jc w:val="right"/>
              <w:rPr>
                <w:sz w:val="20"/>
              </w:rPr>
            </w:pPr>
            <w:r>
              <w:rPr>
                <w:sz w:val="20"/>
              </w:rPr>
              <w:t>200,476</w:t>
            </w:r>
          </w:p>
        </w:tc>
        <w:tc>
          <w:tcPr>
            <w:tcW w:w="182" w:type="dxa"/>
            <w:tcBorders>
              <w:top w:val="nil"/>
              <w:left w:val="nil"/>
              <w:bottom w:val="single" w:sz="6" w:space="0" w:color="FFFF00"/>
              <w:right w:val="nil"/>
            </w:tcBorders>
          </w:tcPr>
          <w:p>
            <w:pPr/>
          </w:p>
        </w:tc>
        <w:tc>
          <w:tcPr>
            <w:tcW w:w="1450" w:type="dxa"/>
            <w:gridSpan w:val="2"/>
            <w:tcBorders>
              <w:top w:val="single" w:sz="6" w:space="0" w:color="000000"/>
              <w:left w:val="nil"/>
              <w:bottom w:val="single" w:sz="6" w:space="0" w:color="FFFF00"/>
            </w:tcBorders>
          </w:tcPr>
          <w:p>
            <w:pPr>
              <w:pStyle w:val="TableParagraph"/>
              <w:ind w:left="345"/>
              <w:rPr>
                <w:sz w:val="20"/>
              </w:rPr>
            </w:pPr>
            <w:r>
              <w:rPr>
                <w:sz w:val="20"/>
              </w:rPr>
              <w:t>193,300</w:t>
            </w:r>
          </w:p>
        </w:tc>
      </w:tr>
      <w:tr>
        <w:trPr>
          <w:trHeight w:val="281" w:hRule="exact"/>
        </w:trPr>
        <w:tc>
          <w:tcPr>
            <w:tcW w:w="4318" w:type="dxa"/>
            <w:tcBorders>
              <w:top w:val="single" w:sz="6" w:space="0" w:color="FFFF00"/>
              <w:right w:val="single" w:sz="6" w:space="0" w:color="FFFF00"/>
            </w:tcBorders>
          </w:tcPr>
          <w:p>
            <w:pPr>
              <w:pStyle w:val="TableParagraph"/>
              <w:spacing w:line="226" w:lineRule="exact" w:before="0"/>
              <w:ind w:left="360"/>
              <w:rPr>
                <w:sz w:val="20"/>
              </w:rPr>
            </w:pPr>
            <w:r>
              <w:rPr>
                <w:sz w:val="20"/>
              </w:rPr>
              <w:t>Net deferred tax liability</w:t>
            </w:r>
          </w:p>
        </w:tc>
        <w:tc>
          <w:tcPr>
            <w:tcW w:w="1433" w:type="dxa"/>
            <w:tcBorders>
              <w:top w:val="single" w:sz="6" w:space="0" w:color="FFFF00"/>
              <w:left w:val="single" w:sz="6" w:space="0" w:color="FFFF00"/>
              <w:right w:val="nil"/>
            </w:tcBorders>
          </w:tcPr>
          <w:p>
            <w:pPr>
              <w:pStyle w:val="TableParagraph"/>
              <w:ind w:right="436"/>
              <w:jc w:val="right"/>
              <w:rPr>
                <w:sz w:val="20"/>
              </w:rPr>
            </w:pPr>
            <w:r>
              <w:rPr>
                <w:sz w:val="20"/>
              </w:rPr>
              <w:t>$223,028</w:t>
            </w:r>
          </w:p>
        </w:tc>
        <w:tc>
          <w:tcPr>
            <w:tcW w:w="328" w:type="dxa"/>
            <w:gridSpan w:val="2"/>
            <w:tcBorders>
              <w:top w:val="single" w:sz="6" w:space="0" w:color="FFFF00"/>
              <w:left w:val="nil"/>
              <w:right w:val="nil"/>
            </w:tcBorders>
          </w:tcPr>
          <w:p>
            <w:pPr/>
          </w:p>
        </w:tc>
        <w:tc>
          <w:tcPr>
            <w:tcW w:w="1304" w:type="dxa"/>
            <w:tcBorders>
              <w:top w:val="single" w:sz="6" w:space="0" w:color="FFFF00"/>
              <w:left w:val="nil"/>
            </w:tcBorders>
          </w:tcPr>
          <w:p>
            <w:pPr>
              <w:pStyle w:val="TableParagraph"/>
              <w:ind w:right="432"/>
              <w:jc w:val="right"/>
              <w:rPr>
                <w:sz w:val="20"/>
              </w:rPr>
            </w:pPr>
            <w:r>
              <w:rPr>
                <w:sz w:val="20"/>
              </w:rPr>
              <w:t>$173,141</w:t>
            </w:r>
          </w:p>
        </w:tc>
      </w:tr>
    </w:tbl>
    <w:p>
      <w:pPr>
        <w:pStyle w:val="BodyText"/>
        <w:spacing w:line="249" w:lineRule="auto" w:before="125"/>
        <w:ind w:left="820" w:right="258"/>
      </w:pPr>
      <w:r>
        <w:rPr/>
        <w:t>In August 1993, the Revenue Reconciliation Act of 1993 (the “1993 Act”) was enacted, which contains numerous provision changes including an increase in the federal corporate income tax rate from 34 percent to 35 percent effective January 1, 1993. As a result, the Company recognized approximately $4.0 million of additional expense related to deferred tax liabilities existing on January 1, 1993.</w:t>
      </w:r>
    </w:p>
    <w:p>
      <w:pPr>
        <w:spacing w:after="0" w:line="249" w:lineRule="auto"/>
        <w:sectPr>
          <w:pgSz w:w="12240" w:h="15840"/>
          <w:pgMar w:header="725" w:footer="746" w:top="940" w:bottom="940" w:left="1700" w:right="960"/>
        </w:sectPr>
      </w:pPr>
    </w:p>
    <w:p>
      <w:pPr>
        <w:pStyle w:val="BodyText"/>
      </w:pPr>
    </w:p>
    <w:p>
      <w:pPr>
        <w:pStyle w:val="BodyText"/>
        <w:spacing w:before="4"/>
        <w:rPr>
          <w:sz w:val="25"/>
        </w:rPr>
      </w:pPr>
    </w:p>
    <w:p>
      <w:pPr>
        <w:pStyle w:val="BodyText"/>
        <w:spacing w:line="249" w:lineRule="auto" w:before="94"/>
        <w:ind w:left="819" w:right="184"/>
      </w:pPr>
      <w:r>
        <w:rPr/>
        <w:t>The provision for income taxes before the cumulative effect of accounting changes is comprised of the following (in thousands):</w:t>
      </w:r>
    </w:p>
    <w:p>
      <w:pPr>
        <w:pStyle w:val="BodyText"/>
        <w:spacing w:before="1"/>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58"/>
        <w:gridCol w:w="1433"/>
        <w:gridCol w:w="328"/>
        <w:gridCol w:w="985"/>
        <w:gridCol w:w="310"/>
        <w:gridCol w:w="52"/>
        <w:gridCol w:w="1216"/>
      </w:tblGrid>
      <w:tr>
        <w:trPr>
          <w:trHeight w:val="636" w:hRule="exact"/>
        </w:trPr>
        <w:tc>
          <w:tcPr>
            <w:tcW w:w="2158" w:type="dxa"/>
            <w:tcBorders>
              <w:bottom w:val="single" w:sz="6" w:space="0" w:color="FFFF00"/>
              <w:right w:val="single" w:sz="6" w:space="0" w:color="FFFF00"/>
            </w:tcBorders>
          </w:tcPr>
          <w:p>
            <w:pPr/>
          </w:p>
        </w:tc>
        <w:tc>
          <w:tcPr>
            <w:tcW w:w="1433" w:type="dxa"/>
            <w:tcBorders>
              <w:left w:val="single" w:sz="6" w:space="0" w:color="FFFF00"/>
              <w:bottom w:val="single" w:sz="6" w:space="0" w:color="FFFF00"/>
              <w:right w:val="nil"/>
            </w:tcBorders>
          </w:tcPr>
          <w:p>
            <w:pPr>
              <w:pStyle w:val="TableParagraph"/>
              <w:spacing w:before="85"/>
              <w:ind w:left="902"/>
              <w:rPr>
                <w:rFonts w:ascii="Arial"/>
                <w:sz w:val="16"/>
              </w:rPr>
            </w:pPr>
            <w:r>
              <w:rPr>
                <w:rFonts w:ascii="Arial"/>
                <w:w w:val="95"/>
                <w:sz w:val="16"/>
              </w:rPr>
              <w:t>Liability</w:t>
            </w:r>
          </w:p>
          <w:p>
            <w:pPr>
              <w:pStyle w:val="TableParagraph"/>
              <w:spacing w:before="123"/>
              <w:ind w:left="189" w:right="191"/>
              <w:jc w:val="center"/>
              <w:rPr>
                <w:rFonts w:ascii="Arial"/>
                <w:sz w:val="16"/>
              </w:rPr>
            </w:pPr>
            <w:r>
              <w:rPr>
                <w:rFonts w:ascii="Arial"/>
                <w:sz w:val="16"/>
              </w:rPr>
              <w:t>1994</w:t>
            </w:r>
          </w:p>
        </w:tc>
        <w:tc>
          <w:tcPr>
            <w:tcW w:w="1313" w:type="dxa"/>
            <w:gridSpan w:val="2"/>
            <w:tcBorders>
              <w:left w:val="nil"/>
              <w:bottom w:val="single" w:sz="6" w:space="0" w:color="FFFF00"/>
              <w:right w:val="nil"/>
            </w:tcBorders>
          </w:tcPr>
          <w:p>
            <w:pPr>
              <w:pStyle w:val="TableParagraph"/>
              <w:spacing w:before="85"/>
              <w:ind w:left="30"/>
              <w:rPr>
                <w:rFonts w:ascii="Arial"/>
                <w:sz w:val="16"/>
              </w:rPr>
            </w:pPr>
            <w:r>
              <w:rPr>
                <w:rFonts w:ascii="Arial"/>
                <w:sz w:val="16"/>
              </w:rPr>
              <w:t>Method</w:t>
            </w:r>
          </w:p>
          <w:p>
            <w:pPr>
              <w:pStyle w:val="TableParagraph"/>
              <w:spacing w:before="123"/>
              <w:ind w:left="643"/>
              <w:rPr>
                <w:rFonts w:ascii="Arial"/>
                <w:sz w:val="16"/>
              </w:rPr>
            </w:pPr>
            <w:r>
              <w:rPr>
                <w:rFonts w:ascii="Arial"/>
                <w:sz w:val="16"/>
              </w:rPr>
              <w:t>1993</w:t>
            </w:r>
          </w:p>
        </w:tc>
        <w:tc>
          <w:tcPr>
            <w:tcW w:w="361" w:type="dxa"/>
            <w:gridSpan w:val="2"/>
            <w:tcBorders>
              <w:left w:val="nil"/>
              <w:bottom w:val="single" w:sz="6" w:space="0" w:color="FFFF00"/>
              <w:right w:val="nil"/>
            </w:tcBorders>
          </w:tcPr>
          <w:p>
            <w:pPr/>
          </w:p>
        </w:tc>
        <w:tc>
          <w:tcPr>
            <w:tcW w:w="1216" w:type="dxa"/>
            <w:tcBorders>
              <w:left w:val="nil"/>
              <w:bottom w:val="single" w:sz="6" w:space="0" w:color="FFFF00"/>
            </w:tcBorders>
          </w:tcPr>
          <w:p>
            <w:pPr>
              <w:pStyle w:val="TableParagraph"/>
              <w:spacing w:before="85"/>
              <w:ind w:right="35"/>
              <w:jc w:val="center"/>
              <w:rPr>
                <w:rFonts w:ascii="Arial"/>
                <w:sz w:val="16"/>
              </w:rPr>
            </w:pPr>
            <w:r>
              <w:rPr>
                <w:rFonts w:ascii="Arial"/>
                <w:spacing w:val="-3"/>
                <w:sz w:val="16"/>
              </w:rPr>
              <w:t>Deferred Method</w:t>
            </w:r>
          </w:p>
          <w:p>
            <w:pPr>
              <w:pStyle w:val="TableParagraph"/>
              <w:spacing w:before="123"/>
              <w:ind w:right="35"/>
              <w:jc w:val="center"/>
              <w:rPr>
                <w:rFonts w:ascii="Arial"/>
                <w:sz w:val="16"/>
              </w:rPr>
            </w:pPr>
            <w:r>
              <w:rPr>
                <w:rFonts w:ascii="Arial"/>
                <w:sz w:val="16"/>
              </w:rPr>
              <w:t>1992</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Current:</w:t>
            </w:r>
          </w:p>
        </w:tc>
        <w:tc>
          <w:tcPr>
            <w:tcW w:w="4322" w:type="dxa"/>
            <w:gridSpan w:val="6"/>
            <w:tcBorders>
              <w:top w:val="single" w:sz="6" w:space="0" w:color="FFFF00"/>
              <w:left w:val="single" w:sz="6" w:space="0" w:color="FFFF00"/>
              <w:bottom w:val="single" w:sz="6" w:space="0" w:color="FFFF00"/>
            </w:tcBorders>
          </w:tcPr>
          <w:p>
            <w:pP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Federal</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$59,603</w:t>
            </w:r>
          </w:p>
        </w:tc>
        <w:tc>
          <w:tcPr>
            <w:tcW w:w="328" w:type="dxa"/>
            <w:tcBorders>
              <w:top w:val="single" w:sz="6" w:space="0" w:color="FFFF00"/>
              <w:left w:val="nil"/>
              <w:bottom w:val="single" w:sz="6" w:space="0" w:color="FFFF00"/>
              <w:right w:val="nil"/>
            </w:tcBorders>
          </w:tcPr>
          <w:p>
            <w:pPr/>
          </w:p>
        </w:tc>
        <w:tc>
          <w:tcPr>
            <w:tcW w:w="985" w:type="dxa"/>
            <w:tcBorders>
              <w:top w:val="single" w:sz="6" w:space="0" w:color="FFFF00"/>
              <w:left w:val="nil"/>
              <w:bottom w:val="single" w:sz="6" w:space="0" w:color="FFFF00"/>
              <w:right w:val="nil"/>
            </w:tcBorders>
          </w:tcPr>
          <w:p>
            <w:pPr>
              <w:pStyle w:val="TableParagraph"/>
              <w:ind w:left="200"/>
              <w:rPr>
                <w:sz w:val="20"/>
              </w:rPr>
            </w:pPr>
            <w:r>
              <w:rPr>
                <w:sz w:val="20"/>
              </w:rPr>
              <w:t>$46,744</w:t>
            </w:r>
          </w:p>
        </w:tc>
        <w:tc>
          <w:tcPr>
            <w:tcW w:w="361" w:type="dxa"/>
            <w:gridSpan w:val="2"/>
            <w:tcBorders>
              <w:top w:val="single" w:sz="6" w:space="0" w:color="FFFF00"/>
              <w:left w:val="nil"/>
              <w:bottom w:val="single" w:sz="6" w:space="0" w:color="FFFF00"/>
              <w:right w:val="nil"/>
            </w:tcBorders>
          </w:tcPr>
          <w:p>
            <w:pPr/>
          </w:p>
        </w:tc>
        <w:tc>
          <w:tcPr>
            <w:tcW w:w="1216" w:type="dxa"/>
            <w:tcBorders>
              <w:top w:val="single" w:sz="6" w:space="0" w:color="FFFF00"/>
              <w:left w:val="nil"/>
              <w:bottom w:val="single" w:sz="6" w:space="0" w:color="FFFF00"/>
            </w:tcBorders>
          </w:tcPr>
          <w:p>
            <w:pPr>
              <w:pStyle w:val="TableParagraph"/>
              <w:ind w:right="249"/>
              <w:jc w:val="right"/>
              <w:rPr>
                <w:sz w:val="20"/>
              </w:rPr>
            </w:pPr>
            <w:r>
              <w:rPr>
                <w:sz w:val="20"/>
              </w:rPr>
              <w:t>$30,586</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State</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10,702</w:t>
            </w:r>
          </w:p>
        </w:tc>
        <w:tc>
          <w:tcPr>
            <w:tcW w:w="328" w:type="dxa"/>
            <w:tcBorders>
              <w:top w:val="single" w:sz="6" w:space="0" w:color="FFFF00"/>
              <w:left w:val="nil"/>
              <w:bottom w:val="nil"/>
              <w:right w:val="nil"/>
            </w:tcBorders>
          </w:tcPr>
          <w:p>
            <w:pPr>
              <w:pStyle w:val="TableParagraph"/>
              <w:tabs>
                <w:tab w:pos="729" w:val="left" w:leader="none"/>
              </w:tabs>
              <w:ind w:right="-403"/>
              <w:jc w:val="right"/>
              <w:rPr>
                <w:sz w:val="20"/>
              </w:rPr>
            </w:pPr>
            <w:r>
              <w:rPr>
                <w:w w:val="100"/>
                <w:sz w:val="20"/>
                <w:u w:val="single" w:color="FFFF00"/>
              </w:rPr>
              <w:t> </w:t>
            </w:r>
            <w:r>
              <w:rPr>
                <w:sz w:val="20"/>
                <w:u w:val="single" w:color="FFFF00"/>
              </w:rPr>
              <w:tab/>
            </w:r>
          </w:p>
        </w:tc>
        <w:tc>
          <w:tcPr>
            <w:tcW w:w="985" w:type="dxa"/>
            <w:tcBorders>
              <w:top w:val="single" w:sz="6" w:space="0" w:color="FFFF00"/>
              <w:left w:val="nil"/>
              <w:bottom w:val="nil"/>
              <w:right w:val="nil"/>
            </w:tcBorders>
          </w:tcPr>
          <w:p>
            <w:pPr>
              <w:pStyle w:val="TableParagraph"/>
              <w:tabs>
                <w:tab w:pos="712" w:val="left" w:leader="none"/>
              </w:tabs>
              <w:ind w:right="-130"/>
              <w:jc w:val="right"/>
              <w:rPr>
                <w:sz w:val="20"/>
              </w:rPr>
            </w:pPr>
            <w:r>
              <w:rPr>
                <w:sz w:val="20"/>
                <w:u w:val="single"/>
              </w:rPr>
              <w:t>5,409</w:t>
              <w:tab/>
            </w:r>
          </w:p>
        </w:tc>
        <w:tc>
          <w:tcPr>
            <w:tcW w:w="361" w:type="dxa"/>
            <w:gridSpan w:val="2"/>
            <w:tcBorders>
              <w:top w:val="single" w:sz="6" w:space="0" w:color="FFFF00"/>
              <w:left w:val="nil"/>
              <w:bottom w:val="nil"/>
              <w:right w:val="nil"/>
            </w:tcBorders>
          </w:tcPr>
          <w:p>
            <w:pPr>
              <w:pStyle w:val="TableParagraph"/>
              <w:ind w:left="127"/>
              <w:rPr>
                <w:sz w:val="20"/>
              </w:rPr>
            </w:pPr>
            <w:r>
              <w:rPr>
                <w:w w:val="100"/>
                <w:sz w:val="20"/>
                <w:u w:val="single" w:color="FFFF00"/>
              </w:rPr>
              <w:t> </w:t>
            </w:r>
            <w:r>
              <w:rPr>
                <w:spacing w:val="-23"/>
                <w:sz w:val="20"/>
                <w:u w:val="single" w:color="FFFF00"/>
              </w:rPr>
              <w:t> </w:t>
            </w:r>
          </w:p>
        </w:tc>
        <w:tc>
          <w:tcPr>
            <w:tcW w:w="1216" w:type="dxa"/>
            <w:tcBorders>
              <w:top w:val="single" w:sz="6" w:space="0" w:color="FFFF00"/>
              <w:left w:val="nil"/>
              <w:bottom w:val="single" w:sz="6" w:space="0" w:color="000000"/>
            </w:tcBorders>
          </w:tcPr>
          <w:p>
            <w:pPr>
              <w:pStyle w:val="TableParagraph"/>
              <w:ind w:right="249"/>
              <w:jc w:val="right"/>
              <w:rPr>
                <w:sz w:val="20"/>
              </w:rPr>
            </w:pPr>
            <w:r>
              <w:rPr>
                <w:sz w:val="20"/>
              </w:rPr>
              <w:t>3,970</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Total current</w:t>
            </w:r>
          </w:p>
        </w:tc>
        <w:tc>
          <w:tcPr>
            <w:tcW w:w="1433" w:type="dxa"/>
            <w:tcBorders>
              <w:top w:val="single" w:sz="6" w:space="0" w:color="000000"/>
              <w:left w:val="single" w:sz="6" w:space="0" w:color="FFFF00"/>
              <w:bottom w:val="single" w:sz="6" w:space="0" w:color="FFFF00"/>
              <w:right w:val="nil"/>
            </w:tcBorders>
          </w:tcPr>
          <w:p>
            <w:pPr>
              <w:pStyle w:val="TableParagraph"/>
              <w:ind w:right="436"/>
              <w:jc w:val="right"/>
              <w:rPr>
                <w:sz w:val="20"/>
              </w:rPr>
            </w:pPr>
            <w:r>
              <w:rPr>
                <w:sz w:val="20"/>
              </w:rPr>
              <w:t>70,305</w:t>
            </w:r>
          </w:p>
        </w:tc>
        <w:tc>
          <w:tcPr>
            <w:tcW w:w="1622" w:type="dxa"/>
            <w:gridSpan w:val="3"/>
            <w:tcBorders>
              <w:top w:val="nil"/>
              <w:left w:val="nil"/>
              <w:bottom w:val="single" w:sz="6" w:space="0" w:color="FFFF00"/>
              <w:right w:val="nil"/>
            </w:tcBorders>
          </w:tcPr>
          <w:p>
            <w:pPr>
              <w:pStyle w:val="TableParagraph"/>
              <w:spacing w:before="31"/>
              <w:ind w:left="628"/>
              <w:rPr>
                <w:sz w:val="20"/>
              </w:rPr>
            </w:pPr>
            <w:r>
              <w:rPr>
                <w:sz w:val="20"/>
              </w:rPr>
              <w:t>52,153</w:t>
            </w:r>
          </w:p>
        </w:tc>
        <w:tc>
          <w:tcPr>
            <w:tcW w:w="1267" w:type="dxa"/>
            <w:gridSpan w:val="2"/>
            <w:tcBorders>
              <w:top w:val="single" w:sz="6" w:space="0" w:color="000000"/>
              <w:left w:val="nil"/>
              <w:bottom w:val="single" w:sz="6" w:space="0" w:color="FFFF00"/>
            </w:tcBorders>
          </w:tcPr>
          <w:p>
            <w:pPr>
              <w:pStyle w:val="TableParagraph"/>
              <w:ind w:left="446"/>
              <w:rPr>
                <w:sz w:val="20"/>
              </w:rPr>
            </w:pPr>
            <w:r>
              <w:rPr>
                <w:sz w:val="20"/>
              </w:rPr>
              <w:t>34,556</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Deferred:</w:t>
            </w:r>
          </w:p>
        </w:tc>
        <w:tc>
          <w:tcPr>
            <w:tcW w:w="4322" w:type="dxa"/>
            <w:gridSpan w:val="6"/>
            <w:tcBorders>
              <w:top w:val="single" w:sz="6" w:space="0" w:color="FFFF00"/>
              <w:left w:val="single" w:sz="6" w:space="0" w:color="FFFF00"/>
              <w:bottom w:val="single" w:sz="6" w:space="0" w:color="FFFF00"/>
            </w:tcBorders>
          </w:tcPr>
          <w:p>
            <w:pP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Federal</w:t>
            </w:r>
          </w:p>
        </w:tc>
        <w:tc>
          <w:tcPr>
            <w:tcW w:w="1433" w:type="dxa"/>
            <w:tcBorders>
              <w:top w:val="single" w:sz="6" w:space="0" w:color="FFFF00"/>
              <w:left w:val="single" w:sz="6" w:space="0" w:color="FFFF00"/>
              <w:bottom w:val="single" w:sz="6" w:space="0" w:color="FFFF00"/>
              <w:right w:val="nil"/>
            </w:tcBorders>
          </w:tcPr>
          <w:p>
            <w:pPr>
              <w:pStyle w:val="TableParagraph"/>
              <w:ind w:right="436"/>
              <w:jc w:val="right"/>
              <w:rPr>
                <w:sz w:val="20"/>
              </w:rPr>
            </w:pPr>
            <w:r>
              <w:rPr>
                <w:sz w:val="20"/>
              </w:rPr>
              <w:t>46,470</w:t>
            </w:r>
          </w:p>
        </w:tc>
        <w:tc>
          <w:tcPr>
            <w:tcW w:w="328" w:type="dxa"/>
            <w:tcBorders>
              <w:top w:val="single" w:sz="6" w:space="0" w:color="FFFF00"/>
              <w:left w:val="nil"/>
              <w:bottom w:val="single" w:sz="6" w:space="0" w:color="FFFF00"/>
              <w:right w:val="nil"/>
            </w:tcBorders>
          </w:tcPr>
          <w:p>
            <w:pPr/>
          </w:p>
        </w:tc>
        <w:tc>
          <w:tcPr>
            <w:tcW w:w="985" w:type="dxa"/>
            <w:tcBorders>
              <w:top w:val="single" w:sz="6" w:space="0" w:color="FFFF00"/>
              <w:left w:val="nil"/>
              <w:bottom w:val="single" w:sz="6" w:space="0" w:color="FFFF00"/>
              <w:right w:val="nil"/>
            </w:tcBorders>
          </w:tcPr>
          <w:p>
            <w:pPr>
              <w:pStyle w:val="TableParagraph"/>
              <w:ind w:left="301"/>
              <w:rPr>
                <w:sz w:val="20"/>
              </w:rPr>
            </w:pPr>
            <w:r>
              <w:rPr>
                <w:sz w:val="20"/>
              </w:rPr>
              <w:t>48,524</w:t>
            </w:r>
          </w:p>
        </w:tc>
        <w:tc>
          <w:tcPr>
            <w:tcW w:w="361" w:type="dxa"/>
            <w:gridSpan w:val="2"/>
            <w:tcBorders>
              <w:top w:val="single" w:sz="6" w:space="0" w:color="FFFF00"/>
              <w:left w:val="nil"/>
              <w:bottom w:val="single" w:sz="6" w:space="0" w:color="FFFF00"/>
              <w:right w:val="nil"/>
            </w:tcBorders>
          </w:tcPr>
          <w:p>
            <w:pPr/>
          </w:p>
        </w:tc>
        <w:tc>
          <w:tcPr>
            <w:tcW w:w="1216" w:type="dxa"/>
            <w:tcBorders>
              <w:top w:val="single" w:sz="6" w:space="0" w:color="FFFF00"/>
              <w:left w:val="nil"/>
              <w:bottom w:val="single" w:sz="6" w:space="0" w:color="FFFF00"/>
            </w:tcBorders>
          </w:tcPr>
          <w:p>
            <w:pPr>
              <w:pStyle w:val="TableParagraph"/>
              <w:ind w:right="249"/>
              <w:jc w:val="right"/>
              <w:rPr>
                <w:sz w:val="20"/>
              </w:rPr>
            </w:pPr>
            <w:r>
              <w:rPr>
                <w:sz w:val="20"/>
              </w:rPr>
              <w:t>18,144</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State</w:t>
            </w:r>
          </w:p>
        </w:tc>
        <w:tc>
          <w:tcPr>
            <w:tcW w:w="1433" w:type="dxa"/>
            <w:tcBorders>
              <w:top w:val="single" w:sz="6" w:space="0" w:color="FFFF00"/>
              <w:left w:val="single" w:sz="6" w:space="0" w:color="FFFF00"/>
              <w:bottom w:val="single" w:sz="6" w:space="0" w:color="000000"/>
              <w:right w:val="nil"/>
            </w:tcBorders>
          </w:tcPr>
          <w:p>
            <w:pPr>
              <w:pStyle w:val="TableParagraph"/>
              <w:ind w:right="436"/>
              <w:jc w:val="right"/>
              <w:rPr>
                <w:sz w:val="20"/>
              </w:rPr>
            </w:pPr>
            <w:r>
              <w:rPr>
                <w:sz w:val="20"/>
              </w:rPr>
              <w:t>3,417</w:t>
            </w:r>
          </w:p>
        </w:tc>
        <w:tc>
          <w:tcPr>
            <w:tcW w:w="328" w:type="dxa"/>
            <w:tcBorders>
              <w:top w:val="single" w:sz="6" w:space="0" w:color="FFFF00"/>
              <w:left w:val="nil"/>
              <w:bottom w:val="nil"/>
              <w:right w:val="nil"/>
            </w:tcBorders>
          </w:tcPr>
          <w:p>
            <w:pPr>
              <w:pStyle w:val="TableParagraph"/>
              <w:tabs>
                <w:tab w:pos="729" w:val="left" w:leader="none"/>
              </w:tabs>
              <w:ind w:right="-403"/>
              <w:jc w:val="right"/>
              <w:rPr>
                <w:sz w:val="20"/>
              </w:rPr>
            </w:pPr>
            <w:r>
              <w:rPr>
                <w:w w:val="100"/>
                <w:sz w:val="20"/>
                <w:u w:val="single" w:color="FFFF00"/>
              </w:rPr>
              <w:t> </w:t>
            </w:r>
            <w:r>
              <w:rPr>
                <w:sz w:val="20"/>
                <w:u w:val="single" w:color="FFFF00"/>
              </w:rPr>
              <w:tab/>
            </w:r>
          </w:p>
        </w:tc>
        <w:tc>
          <w:tcPr>
            <w:tcW w:w="985" w:type="dxa"/>
            <w:tcBorders>
              <w:top w:val="single" w:sz="6" w:space="0" w:color="FFFF00"/>
              <w:left w:val="nil"/>
              <w:bottom w:val="nil"/>
              <w:right w:val="nil"/>
            </w:tcBorders>
          </w:tcPr>
          <w:p>
            <w:pPr>
              <w:pStyle w:val="TableParagraph"/>
              <w:tabs>
                <w:tab w:pos="712" w:val="left" w:leader="none"/>
              </w:tabs>
              <w:ind w:right="-130"/>
              <w:jc w:val="right"/>
              <w:rPr>
                <w:sz w:val="20"/>
              </w:rPr>
            </w:pPr>
            <w:r>
              <w:rPr>
                <w:sz w:val="20"/>
                <w:u w:val="single"/>
              </w:rPr>
              <w:t>4,676</w:t>
              <w:tab/>
            </w:r>
          </w:p>
        </w:tc>
        <w:tc>
          <w:tcPr>
            <w:tcW w:w="361" w:type="dxa"/>
            <w:gridSpan w:val="2"/>
            <w:tcBorders>
              <w:top w:val="single" w:sz="6" w:space="0" w:color="FFFF00"/>
              <w:left w:val="nil"/>
              <w:bottom w:val="nil"/>
              <w:right w:val="nil"/>
            </w:tcBorders>
          </w:tcPr>
          <w:p>
            <w:pPr>
              <w:pStyle w:val="TableParagraph"/>
              <w:ind w:left="127"/>
              <w:rPr>
                <w:sz w:val="20"/>
              </w:rPr>
            </w:pPr>
            <w:r>
              <w:rPr>
                <w:w w:val="100"/>
                <w:sz w:val="20"/>
                <w:u w:val="single" w:color="FFFF00"/>
              </w:rPr>
              <w:t> </w:t>
            </w:r>
            <w:r>
              <w:rPr>
                <w:spacing w:val="-23"/>
                <w:sz w:val="20"/>
                <w:u w:val="single" w:color="FFFF00"/>
              </w:rPr>
              <w:t> </w:t>
            </w:r>
          </w:p>
        </w:tc>
        <w:tc>
          <w:tcPr>
            <w:tcW w:w="1216" w:type="dxa"/>
            <w:tcBorders>
              <w:top w:val="single" w:sz="6" w:space="0" w:color="FFFF00"/>
              <w:left w:val="nil"/>
              <w:bottom w:val="single" w:sz="6" w:space="0" w:color="000000"/>
            </w:tcBorders>
          </w:tcPr>
          <w:p>
            <w:pPr>
              <w:pStyle w:val="TableParagraph"/>
              <w:ind w:right="249"/>
              <w:jc w:val="right"/>
              <w:rPr>
                <w:sz w:val="20"/>
              </w:rPr>
            </w:pPr>
            <w:r>
              <w:rPr>
                <w:sz w:val="20"/>
              </w:rPr>
              <w:t>3,116</w:t>
            </w:r>
          </w:p>
        </w:tc>
      </w:tr>
      <w:tr>
        <w:trPr>
          <w:trHeight w:val="274" w:hRule="exact"/>
        </w:trPr>
        <w:tc>
          <w:tcPr>
            <w:tcW w:w="215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Total deferred</w:t>
            </w:r>
          </w:p>
        </w:tc>
        <w:tc>
          <w:tcPr>
            <w:tcW w:w="1433" w:type="dxa"/>
            <w:tcBorders>
              <w:top w:val="single" w:sz="6" w:space="0" w:color="000000"/>
              <w:left w:val="single" w:sz="6" w:space="0" w:color="FFFF00"/>
              <w:bottom w:val="single" w:sz="6" w:space="0" w:color="FFFF00"/>
              <w:right w:val="nil"/>
            </w:tcBorders>
          </w:tcPr>
          <w:p>
            <w:pPr>
              <w:pStyle w:val="TableParagraph"/>
              <w:ind w:right="436"/>
              <w:jc w:val="right"/>
              <w:rPr>
                <w:sz w:val="20"/>
              </w:rPr>
            </w:pPr>
            <w:r>
              <w:rPr>
                <w:sz w:val="20"/>
              </w:rPr>
              <w:t>49,887</w:t>
            </w:r>
          </w:p>
        </w:tc>
        <w:tc>
          <w:tcPr>
            <w:tcW w:w="1622" w:type="dxa"/>
            <w:gridSpan w:val="3"/>
            <w:tcBorders>
              <w:top w:val="nil"/>
              <w:left w:val="nil"/>
              <w:bottom w:val="single" w:sz="6" w:space="0" w:color="FFFF00"/>
              <w:right w:val="nil"/>
            </w:tcBorders>
          </w:tcPr>
          <w:p>
            <w:pPr>
              <w:pStyle w:val="TableParagraph"/>
              <w:spacing w:before="31"/>
              <w:ind w:left="628"/>
              <w:rPr>
                <w:sz w:val="20"/>
              </w:rPr>
            </w:pPr>
            <w:r>
              <w:rPr>
                <w:sz w:val="20"/>
              </w:rPr>
              <w:t>53,200</w:t>
            </w:r>
          </w:p>
        </w:tc>
        <w:tc>
          <w:tcPr>
            <w:tcW w:w="1267" w:type="dxa"/>
            <w:gridSpan w:val="2"/>
            <w:tcBorders>
              <w:top w:val="single" w:sz="6" w:space="0" w:color="000000"/>
              <w:left w:val="nil"/>
              <w:bottom w:val="single" w:sz="6" w:space="0" w:color="000000"/>
            </w:tcBorders>
          </w:tcPr>
          <w:p>
            <w:pPr>
              <w:pStyle w:val="TableParagraph"/>
              <w:ind w:left="446"/>
              <w:rPr>
                <w:sz w:val="20"/>
              </w:rPr>
            </w:pPr>
            <w:r>
              <w:rPr>
                <w:sz w:val="20"/>
              </w:rPr>
              <w:t>21,260</w:t>
            </w:r>
          </w:p>
        </w:tc>
      </w:tr>
      <w:tr>
        <w:trPr>
          <w:trHeight w:val="281" w:hRule="exact"/>
        </w:trPr>
        <w:tc>
          <w:tcPr>
            <w:tcW w:w="2158" w:type="dxa"/>
            <w:tcBorders>
              <w:top w:val="single" w:sz="6" w:space="0" w:color="FFFF00"/>
              <w:right w:val="single" w:sz="6" w:space="0" w:color="FFFF00"/>
            </w:tcBorders>
          </w:tcPr>
          <w:p>
            <w:pPr/>
          </w:p>
        </w:tc>
        <w:tc>
          <w:tcPr>
            <w:tcW w:w="1433" w:type="dxa"/>
            <w:tcBorders>
              <w:top w:val="single" w:sz="6" w:space="0" w:color="FFFF00"/>
              <w:left w:val="single" w:sz="6" w:space="0" w:color="FFFF00"/>
              <w:right w:val="nil"/>
            </w:tcBorders>
          </w:tcPr>
          <w:p>
            <w:pPr>
              <w:pStyle w:val="TableParagraph"/>
              <w:ind w:right="436"/>
              <w:jc w:val="right"/>
              <w:rPr>
                <w:sz w:val="20"/>
              </w:rPr>
            </w:pPr>
            <w:r>
              <w:rPr>
                <w:sz w:val="20"/>
              </w:rPr>
              <w:t>$120,192</w:t>
            </w:r>
          </w:p>
        </w:tc>
        <w:tc>
          <w:tcPr>
            <w:tcW w:w="328" w:type="dxa"/>
            <w:tcBorders>
              <w:top w:val="single" w:sz="6" w:space="0" w:color="FFFF00"/>
              <w:left w:val="nil"/>
              <w:right w:val="nil"/>
            </w:tcBorders>
          </w:tcPr>
          <w:p>
            <w:pPr/>
          </w:p>
        </w:tc>
        <w:tc>
          <w:tcPr>
            <w:tcW w:w="985" w:type="dxa"/>
            <w:tcBorders>
              <w:top w:val="single" w:sz="6" w:space="0" w:color="FFFF00"/>
              <w:left w:val="nil"/>
              <w:right w:val="nil"/>
            </w:tcBorders>
          </w:tcPr>
          <w:p>
            <w:pPr>
              <w:pStyle w:val="TableParagraph"/>
              <w:ind w:left="99"/>
              <w:rPr>
                <w:sz w:val="20"/>
              </w:rPr>
            </w:pPr>
            <w:r>
              <w:rPr>
                <w:sz w:val="20"/>
              </w:rPr>
              <w:t>$105,353</w:t>
            </w:r>
          </w:p>
        </w:tc>
        <w:tc>
          <w:tcPr>
            <w:tcW w:w="361" w:type="dxa"/>
            <w:gridSpan w:val="2"/>
            <w:tcBorders>
              <w:top w:val="single" w:sz="6" w:space="0" w:color="FFFF00"/>
              <w:left w:val="nil"/>
              <w:right w:val="nil"/>
            </w:tcBorders>
          </w:tcPr>
          <w:p>
            <w:pPr/>
          </w:p>
        </w:tc>
        <w:tc>
          <w:tcPr>
            <w:tcW w:w="1216" w:type="dxa"/>
            <w:tcBorders>
              <w:top w:val="single" w:sz="6" w:space="0" w:color="000000"/>
              <w:left w:val="nil"/>
            </w:tcBorders>
          </w:tcPr>
          <w:p>
            <w:pPr>
              <w:pStyle w:val="TableParagraph"/>
              <w:ind w:right="249"/>
              <w:jc w:val="right"/>
              <w:rPr>
                <w:sz w:val="20"/>
              </w:rPr>
            </w:pPr>
            <w:r>
              <w:rPr>
                <w:sz w:val="20"/>
              </w:rPr>
              <w:t>$55,816</w:t>
            </w:r>
          </w:p>
        </w:tc>
      </w:tr>
    </w:tbl>
    <w:p>
      <w:pPr>
        <w:pStyle w:val="BodyText"/>
        <w:spacing w:line="249" w:lineRule="auto" w:before="125"/>
        <w:ind w:left="820" w:right="184"/>
      </w:pPr>
      <w:r>
        <w:rPr/>
        <w:t>The components of the provision for deferred income taxes as reported under the previous method of accounting for the year ended December 31, 1992 are as follows (in thousands):</w:t>
      </w:r>
    </w:p>
    <w:p>
      <w:pPr>
        <w:pStyle w:val="BodyText"/>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42"/>
      </w:tblGrid>
      <w:tr>
        <w:trPr>
          <w:trHeight w:val="329" w:hRule="exact"/>
        </w:trPr>
        <w:tc>
          <w:tcPr>
            <w:tcW w:w="4318" w:type="dxa"/>
            <w:tcBorders>
              <w:bottom w:val="single" w:sz="6" w:space="0" w:color="FFFF00"/>
              <w:right w:val="single" w:sz="6" w:space="0" w:color="FFFF00"/>
            </w:tcBorders>
          </w:tcPr>
          <w:p>
            <w:pPr/>
          </w:p>
        </w:tc>
        <w:tc>
          <w:tcPr>
            <w:tcW w:w="1442" w:type="dxa"/>
            <w:tcBorders>
              <w:left w:val="single" w:sz="6" w:space="0" w:color="FFFF00"/>
              <w:bottom w:val="single" w:sz="6" w:space="0" w:color="FFFF00"/>
            </w:tcBorders>
          </w:tcPr>
          <w:p>
            <w:pPr>
              <w:pStyle w:val="TableParagraph"/>
              <w:spacing w:before="85"/>
              <w:ind w:left="49" w:right="56"/>
              <w:jc w:val="center"/>
              <w:rPr>
                <w:rFonts w:ascii="Arial"/>
                <w:sz w:val="16"/>
              </w:rPr>
            </w:pPr>
            <w:r>
              <w:rPr>
                <w:rFonts w:ascii="Arial"/>
                <w:sz w:val="16"/>
              </w:rPr>
              <w:t>1992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Depreciation</w:t>
            </w:r>
          </w:p>
        </w:tc>
        <w:tc>
          <w:tcPr>
            <w:tcW w:w="1442" w:type="dxa"/>
            <w:tcBorders>
              <w:top w:val="single" w:sz="6" w:space="0" w:color="FFFF00"/>
              <w:left w:val="single" w:sz="6" w:space="0" w:color="FFFF00"/>
              <w:bottom w:val="single" w:sz="6" w:space="0" w:color="FFFF00"/>
            </w:tcBorders>
          </w:tcPr>
          <w:p>
            <w:pPr>
              <w:pStyle w:val="TableParagraph"/>
              <w:ind w:left="331"/>
              <w:rPr>
                <w:sz w:val="20"/>
              </w:rPr>
            </w:pPr>
            <w:r>
              <w:rPr>
                <w:sz w:val="20"/>
              </w:rPr>
              <w:t>$27,947</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Deferred gains on sale\leasebacks</w:t>
            </w:r>
          </w:p>
        </w:tc>
        <w:tc>
          <w:tcPr>
            <w:tcW w:w="1442" w:type="dxa"/>
            <w:tcBorders>
              <w:top w:val="single" w:sz="6" w:space="0" w:color="FFFF00"/>
              <w:left w:val="single" w:sz="6" w:space="0" w:color="FFFF00"/>
              <w:bottom w:val="single" w:sz="6" w:space="0" w:color="FFFF00"/>
            </w:tcBorders>
          </w:tcPr>
          <w:p>
            <w:pPr>
              <w:pStyle w:val="TableParagraph"/>
              <w:ind w:right="362"/>
              <w:jc w:val="right"/>
              <w:rPr>
                <w:sz w:val="20"/>
              </w:rPr>
            </w:pPr>
            <w:r>
              <w:rPr>
                <w:sz w:val="20"/>
              </w:rPr>
              <w:t>(4,275)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Scheduled airframe overhauls</w:t>
            </w:r>
          </w:p>
        </w:tc>
        <w:tc>
          <w:tcPr>
            <w:tcW w:w="1442" w:type="dxa"/>
            <w:tcBorders>
              <w:top w:val="single" w:sz="6" w:space="0" w:color="FFFF00"/>
              <w:left w:val="single" w:sz="6" w:space="0" w:color="FFFF00"/>
              <w:bottom w:val="single" w:sz="6" w:space="0" w:color="FFFF00"/>
            </w:tcBorders>
          </w:tcPr>
          <w:p>
            <w:pPr>
              <w:pStyle w:val="TableParagraph"/>
              <w:ind w:left="532"/>
              <w:rPr>
                <w:sz w:val="20"/>
              </w:rPr>
            </w:pPr>
            <w:r>
              <w:rPr>
                <w:sz w:val="20"/>
              </w:rPr>
              <w:t>6,336</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Vacation pay</w:t>
            </w:r>
          </w:p>
        </w:tc>
        <w:tc>
          <w:tcPr>
            <w:tcW w:w="1442" w:type="dxa"/>
            <w:tcBorders>
              <w:top w:val="single" w:sz="6" w:space="0" w:color="FFFF00"/>
              <w:left w:val="single" w:sz="6" w:space="0" w:color="FFFF00"/>
              <w:bottom w:val="single" w:sz="6" w:space="0" w:color="FFFF00"/>
            </w:tcBorders>
          </w:tcPr>
          <w:p>
            <w:pPr>
              <w:pStyle w:val="TableParagraph"/>
              <w:ind w:right="362"/>
              <w:jc w:val="right"/>
              <w:rPr>
                <w:sz w:val="20"/>
              </w:rPr>
            </w:pPr>
            <w:r>
              <w:rPr>
                <w:sz w:val="20"/>
              </w:rPr>
              <w:t>(1,220)</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Alternative minimum tax</w:t>
            </w:r>
          </w:p>
        </w:tc>
        <w:tc>
          <w:tcPr>
            <w:tcW w:w="1442" w:type="dxa"/>
            <w:tcBorders>
              <w:top w:val="single" w:sz="6" w:space="0" w:color="FFFF00"/>
              <w:left w:val="single" w:sz="6" w:space="0" w:color="FFFF00"/>
              <w:bottom w:val="single" w:sz="6" w:space="0" w:color="FFFF00"/>
            </w:tcBorders>
          </w:tcPr>
          <w:p>
            <w:pPr>
              <w:pStyle w:val="TableParagraph"/>
              <w:ind w:left="364"/>
              <w:rPr>
                <w:sz w:val="20"/>
              </w:rPr>
            </w:pPr>
            <w:r>
              <w:rPr>
                <w:sz w:val="20"/>
              </w:rPr>
              <w:t>(10,645)</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 net</w:t>
            </w:r>
          </w:p>
        </w:tc>
        <w:tc>
          <w:tcPr>
            <w:tcW w:w="1442" w:type="dxa"/>
            <w:tcBorders>
              <w:top w:val="single" w:sz="6" w:space="0" w:color="FFFF00"/>
              <w:left w:val="single" w:sz="6" w:space="0" w:color="FFFF00"/>
              <w:bottom w:val="single" w:sz="6" w:space="0" w:color="000000"/>
            </w:tcBorders>
          </w:tcPr>
          <w:p>
            <w:pPr>
              <w:pStyle w:val="TableParagraph"/>
              <w:ind w:left="532"/>
              <w:rPr>
                <w:sz w:val="20"/>
              </w:rPr>
            </w:pPr>
            <w:r>
              <w:rPr>
                <w:sz w:val="20"/>
              </w:rPr>
              <w:t>3,117</w:t>
            </w:r>
          </w:p>
        </w:tc>
      </w:tr>
      <w:tr>
        <w:trPr>
          <w:trHeight w:val="382" w:hRule="exact"/>
        </w:trPr>
        <w:tc>
          <w:tcPr>
            <w:tcW w:w="4318" w:type="dxa"/>
            <w:tcBorders>
              <w:top w:val="single" w:sz="6" w:space="0" w:color="FFFF00"/>
              <w:right w:val="single" w:sz="6" w:space="0" w:color="FFFF00"/>
            </w:tcBorders>
          </w:tcPr>
          <w:p>
            <w:pPr/>
          </w:p>
        </w:tc>
        <w:tc>
          <w:tcPr>
            <w:tcW w:w="1442" w:type="dxa"/>
            <w:tcBorders>
              <w:top w:val="single" w:sz="6" w:space="0" w:color="000000"/>
              <w:left w:val="single" w:sz="6" w:space="0" w:color="FFFF00"/>
            </w:tcBorders>
          </w:tcPr>
          <w:p>
            <w:pPr>
              <w:pStyle w:val="TableParagraph"/>
              <w:ind w:left="331"/>
              <w:rPr>
                <w:sz w:val="20"/>
              </w:rPr>
            </w:pPr>
            <w:r>
              <w:rPr>
                <w:sz w:val="20"/>
              </w:rPr>
              <w:t>$21,260</w:t>
            </w:r>
          </w:p>
        </w:tc>
      </w:tr>
    </w:tbl>
    <w:p>
      <w:pPr>
        <w:pStyle w:val="BodyText"/>
        <w:spacing w:line="249" w:lineRule="auto" w:before="125"/>
        <w:ind w:left="820" w:right="265"/>
      </w:pPr>
      <w:r>
        <w:rPr/>
        <w:t>In January 1994, Southwest received an examination report from the Internal Revenue Service proposing certain adjustments </w:t>
      </w:r>
      <w:r>
        <w:rPr>
          <w:spacing w:val="2"/>
        </w:rPr>
        <w:t>to </w:t>
      </w:r>
      <w:r>
        <w:rPr/>
        <w:t>Southwest's income tax returns for 1987 and 1988. The adjustments relate </w:t>
      </w:r>
      <w:r>
        <w:rPr>
          <w:spacing w:val="3"/>
        </w:rPr>
        <w:t>to  </w:t>
      </w:r>
      <w:r>
        <w:rPr/>
        <w:t>certain types </w:t>
      </w:r>
      <w:r>
        <w:rPr>
          <w:spacing w:val="2"/>
        </w:rPr>
        <w:t>of </w:t>
      </w:r>
      <w:r>
        <w:rPr/>
        <w:t>aircraft financings consummated by Southwest, as well as </w:t>
      </w:r>
      <w:r>
        <w:rPr>
          <w:spacing w:val="4"/>
        </w:rPr>
        <w:t>other </w:t>
      </w:r>
      <w:r>
        <w:rPr/>
        <w:t>members </w:t>
      </w:r>
      <w:r>
        <w:rPr>
          <w:spacing w:val="2"/>
        </w:rPr>
        <w:t>of </w:t>
      </w:r>
      <w:r>
        <w:rPr/>
        <w:t>the aviation industry during that time period. Southwest intends </w:t>
      </w:r>
      <w:r>
        <w:rPr>
          <w:spacing w:val="2"/>
        </w:rPr>
        <w:t>to </w:t>
      </w:r>
      <w:r>
        <w:rPr/>
        <w:t>vigorously protest the adjustments proposed with which it does not agree. The industry's difference with the IRS involves complex issues </w:t>
      </w:r>
      <w:r>
        <w:rPr>
          <w:spacing w:val="2"/>
        </w:rPr>
        <w:t>of </w:t>
      </w:r>
      <w:r>
        <w:rPr/>
        <w:t>law and fact that are likely </w:t>
      </w:r>
      <w:r>
        <w:rPr>
          <w:spacing w:val="2"/>
        </w:rPr>
        <w:t>to </w:t>
      </w:r>
      <w:r>
        <w:rPr/>
        <w:t>take a substantial period </w:t>
      </w:r>
      <w:r>
        <w:rPr>
          <w:spacing w:val="2"/>
        </w:rPr>
        <w:t>of </w:t>
      </w:r>
      <w:r>
        <w:rPr/>
        <w:t>time </w:t>
      </w:r>
      <w:r>
        <w:rPr>
          <w:spacing w:val="2"/>
        </w:rPr>
        <w:t>to </w:t>
      </w:r>
      <w:r>
        <w:rPr/>
        <w:t>resolve. Management believes that final resolution </w:t>
      </w:r>
      <w:r>
        <w:rPr>
          <w:spacing w:val="3"/>
        </w:rPr>
        <w:t>of </w:t>
      </w:r>
      <w:r>
        <w:rPr/>
        <w:t>such protest will not have a materially adverse effect upon the results of </w:t>
      </w:r>
      <w:r>
        <w:rPr>
          <w:spacing w:val="3"/>
        </w:rPr>
        <w:t>operations</w:t>
      </w:r>
      <w:r>
        <w:rPr>
          <w:spacing w:val="-34"/>
        </w:rPr>
        <w:t> </w:t>
      </w:r>
      <w:r>
        <w:rPr/>
        <w:t>of Southwest.</w:t>
      </w:r>
    </w:p>
    <w:p>
      <w:pPr>
        <w:spacing w:after="0" w:line="249" w:lineRule="auto"/>
        <w:sectPr>
          <w:pgSz w:w="12240" w:h="15840"/>
          <w:pgMar w:header="725" w:footer="746" w:top="940" w:bottom="940" w:left="1700" w:right="960"/>
        </w:sectPr>
      </w:pPr>
    </w:p>
    <w:p>
      <w:pPr>
        <w:pStyle w:val="BodyText"/>
      </w:pPr>
    </w:p>
    <w:p>
      <w:pPr>
        <w:pStyle w:val="BodyText"/>
        <w:spacing w:before="4"/>
        <w:rPr>
          <w:sz w:val="25"/>
        </w:rPr>
      </w:pPr>
    </w:p>
    <w:p>
      <w:pPr>
        <w:pStyle w:val="BodyText"/>
        <w:spacing w:line="249" w:lineRule="auto" w:before="94"/>
        <w:ind w:left="819"/>
      </w:pPr>
      <w:r>
        <w:rPr/>
        <w:t>The effective tax rate on income before cumulative effect of accounting changes differed from the federal income tax statutory rate for the following reasons (in thousands):</w:t>
      </w:r>
    </w:p>
    <w:p>
      <w:pPr>
        <w:pStyle w:val="BodyText"/>
        <w:spacing w:before="1"/>
        <w:rPr>
          <w:sz w:val="10"/>
        </w:rPr>
      </w:pPr>
    </w:p>
    <w:tbl>
      <w:tblPr>
        <w:tblW w:w="0" w:type="auto"/>
        <w:jc w:val="left"/>
        <w:tblInd w:w="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18"/>
        <w:gridCol w:w="1440"/>
        <w:gridCol w:w="190"/>
        <w:gridCol w:w="181"/>
        <w:gridCol w:w="1076"/>
        <w:gridCol w:w="182"/>
        <w:gridCol w:w="1267"/>
      </w:tblGrid>
      <w:tr>
        <w:trPr>
          <w:trHeight w:val="329" w:hRule="exact"/>
        </w:trPr>
        <w:tc>
          <w:tcPr>
            <w:tcW w:w="4318" w:type="dxa"/>
            <w:vMerge w:val="restart"/>
            <w:tcBorders>
              <w:right w:val="single" w:sz="6" w:space="0" w:color="FFFF00"/>
            </w:tcBorders>
          </w:tcPr>
          <w:p>
            <w:pPr/>
          </w:p>
        </w:tc>
        <w:tc>
          <w:tcPr>
            <w:tcW w:w="1440" w:type="dxa"/>
            <w:tcBorders>
              <w:left w:val="single" w:sz="6" w:space="0" w:color="FFFF00"/>
              <w:bottom w:val="single" w:sz="6" w:space="0" w:color="FFFF00"/>
              <w:right w:val="nil"/>
            </w:tcBorders>
          </w:tcPr>
          <w:p>
            <w:pPr>
              <w:pStyle w:val="TableParagraph"/>
              <w:spacing w:before="85"/>
              <w:ind w:left="902"/>
              <w:rPr>
                <w:rFonts w:ascii="Arial"/>
                <w:sz w:val="16"/>
              </w:rPr>
            </w:pPr>
            <w:r>
              <w:rPr>
                <w:rFonts w:ascii="Arial"/>
                <w:w w:val="95"/>
                <w:sz w:val="16"/>
              </w:rPr>
              <w:t>Liability</w:t>
            </w:r>
          </w:p>
        </w:tc>
        <w:tc>
          <w:tcPr>
            <w:tcW w:w="1447" w:type="dxa"/>
            <w:gridSpan w:val="3"/>
            <w:tcBorders>
              <w:left w:val="nil"/>
              <w:bottom w:val="single" w:sz="6" w:space="0" w:color="FFFF00"/>
              <w:right w:val="nil"/>
            </w:tcBorders>
          </w:tcPr>
          <w:p>
            <w:pPr>
              <w:pStyle w:val="TableParagraph"/>
              <w:spacing w:before="85"/>
              <w:ind w:left="26"/>
              <w:rPr>
                <w:rFonts w:ascii="Arial"/>
                <w:sz w:val="16"/>
              </w:rPr>
            </w:pPr>
            <w:r>
              <w:rPr>
                <w:rFonts w:ascii="Arial"/>
                <w:sz w:val="16"/>
              </w:rPr>
              <w:t>Method</w:t>
            </w:r>
          </w:p>
        </w:tc>
        <w:tc>
          <w:tcPr>
            <w:tcW w:w="182" w:type="dxa"/>
            <w:tcBorders>
              <w:left w:val="nil"/>
              <w:bottom w:val="single" w:sz="6" w:space="0" w:color="FFFF00"/>
              <w:right w:val="nil"/>
            </w:tcBorders>
          </w:tcPr>
          <w:p>
            <w:pPr/>
          </w:p>
        </w:tc>
        <w:tc>
          <w:tcPr>
            <w:tcW w:w="1267" w:type="dxa"/>
            <w:tcBorders>
              <w:left w:val="nil"/>
              <w:bottom w:val="single" w:sz="6" w:space="0" w:color="FFFF00"/>
            </w:tcBorders>
          </w:tcPr>
          <w:p>
            <w:pPr>
              <w:pStyle w:val="TableParagraph"/>
              <w:spacing w:before="85"/>
              <w:ind w:left="6"/>
              <w:rPr>
                <w:rFonts w:ascii="Arial"/>
                <w:sz w:val="16"/>
              </w:rPr>
            </w:pPr>
            <w:r>
              <w:rPr>
                <w:rFonts w:ascii="Arial"/>
                <w:sz w:val="16"/>
              </w:rPr>
              <w:t>Deferred Method</w:t>
            </w:r>
          </w:p>
        </w:tc>
      </w:tr>
      <w:tr>
        <w:trPr>
          <w:trHeight w:val="322" w:hRule="exact"/>
        </w:trPr>
        <w:tc>
          <w:tcPr>
            <w:tcW w:w="4318" w:type="dxa"/>
            <w:vMerge/>
            <w:tcBorders>
              <w:bottom w:val="single" w:sz="6" w:space="0" w:color="FFFF00"/>
              <w:right w:val="single" w:sz="6" w:space="0" w:color="FFFF00"/>
            </w:tcBorders>
          </w:tcPr>
          <w:p>
            <w:pPr/>
          </w:p>
        </w:tc>
        <w:tc>
          <w:tcPr>
            <w:tcW w:w="1440" w:type="dxa"/>
            <w:tcBorders>
              <w:top w:val="single" w:sz="6" w:space="0" w:color="FFFF00"/>
              <w:left w:val="single" w:sz="6" w:space="0" w:color="FFFF00"/>
              <w:bottom w:val="single" w:sz="6" w:space="0" w:color="FFFF00"/>
              <w:right w:val="nil"/>
            </w:tcBorders>
          </w:tcPr>
          <w:p>
            <w:pPr>
              <w:pStyle w:val="TableParagraph"/>
              <w:spacing w:before="85"/>
              <w:ind w:left="512" w:right="523"/>
              <w:jc w:val="center"/>
              <w:rPr>
                <w:rFonts w:ascii="Arial"/>
                <w:sz w:val="16"/>
              </w:rPr>
            </w:pPr>
            <w:r>
              <w:rPr>
                <w:rFonts w:ascii="Arial"/>
                <w:sz w:val="16"/>
              </w:rPr>
              <w:t>1994</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spacing w:before="85"/>
              <w:ind w:left="265"/>
              <w:rPr>
                <w:rFonts w:ascii="Arial"/>
                <w:sz w:val="16"/>
              </w:rPr>
            </w:pPr>
            <w:r>
              <w:rPr>
                <w:rFonts w:ascii="Arial"/>
                <w:sz w:val="16"/>
              </w:rPr>
              <w:t>1993</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spacing w:before="85"/>
              <w:ind w:left="409"/>
              <w:rPr>
                <w:rFonts w:ascii="Arial"/>
                <w:sz w:val="16"/>
              </w:rPr>
            </w:pPr>
            <w:r>
              <w:rPr>
                <w:rFonts w:ascii="Arial"/>
                <w:sz w:val="16"/>
              </w:rPr>
              <w:t>1992</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Tax at statutory U.S. tax rates</w:t>
            </w:r>
          </w:p>
        </w:tc>
        <w:tc>
          <w:tcPr>
            <w:tcW w:w="1440" w:type="dxa"/>
            <w:tcBorders>
              <w:top w:val="single" w:sz="6" w:space="0" w:color="FFFF00"/>
              <w:left w:val="single" w:sz="6" w:space="0" w:color="FFFF00"/>
              <w:bottom w:val="single" w:sz="6" w:space="0" w:color="FFFF00"/>
              <w:right w:val="nil"/>
            </w:tcBorders>
          </w:tcPr>
          <w:p>
            <w:pPr>
              <w:pStyle w:val="TableParagraph"/>
              <w:ind w:left="230"/>
              <w:rPr>
                <w:sz w:val="20"/>
              </w:rPr>
            </w:pPr>
            <w:r>
              <w:rPr>
                <w:sz w:val="20"/>
              </w:rPr>
              <w:t>$104,833</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ind w:left="150"/>
              <w:rPr>
                <w:sz w:val="20"/>
              </w:rPr>
            </w:pPr>
            <w:r>
              <w:rPr>
                <w:sz w:val="20"/>
              </w:rPr>
              <w:t>$90,873</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ind w:left="294"/>
              <w:rPr>
                <w:sz w:val="20"/>
              </w:rPr>
            </w:pPr>
            <w:r>
              <w:rPr>
                <w:sz w:val="20"/>
              </w:rPr>
              <w:t>$53,531</w:t>
            </w:r>
          </w:p>
        </w:tc>
      </w:tr>
      <w:tr>
        <w:trPr>
          <w:trHeight w:val="514" w:hRule="exact"/>
        </w:trPr>
        <w:tc>
          <w:tcPr>
            <w:tcW w:w="4318" w:type="dxa"/>
            <w:tcBorders>
              <w:top w:val="single" w:sz="6" w:space="0" w:color="FFFF00"/>
              <w:bottom w:val="single" w:sz="6" w:space="0" w:color="FFFF00"/>
              <w:right w:val="single" w:sz="6" w:space="0" w:color="FFFF00"/>
            </w:tcBorders>
          </w:tcPr>
          <w:p>
            <w:pPr>
              <w:pStyle w:val="TableParagraph"/>
              <w:spacing w:line="202" w:lineRule="exact" w:before="21"/>
              <w:ind w:left="187" w:right="600"/>
              <w:rPr>
                <w:sz w:val="20"/>
              </w:rPr>
            </w:pPr>
            <w:r>
              <w:rPr>
                <w:sz w:val="20"/>
              </w:rPr>
              <w:t>Less amount associated with S-Corporation earnings of Morris (Note 2)</w:t>
            </w:r>
          </w:p>
        </w:tc>
        <w:tc>
          <w:tcPr>
            <w:tcW w:w="1440" w:type="dxa"/>
            <w:tcBorders>
              <w:top w:val="single" w:sz="6" w:space="0" w:color="FFFF00"/>
              <w:left w:val="single" w:sz="6" w:space="0" w:color="FFFF00"/>
              <w:bottom w:val="single" w:sz="6" w:space="0" w:color="000000"/>
              <w:right w:val="single" w:sz="6" w:space="0" w:color="FFFF00"/>
            </w:tcBorders>
          </w:tcPr>
          <w:p>
            <w:pPr>
              <w:pStyle w:val="TableParagraph"/>
              <w:spacing w:before="0"/>
              <w:rPr>
                <w:sz w:val="23"/>
              </w:rPr>
            </w:pPr>
          </w:p>
          <w:p>
            <w:pPr>
              <w:pStyle w:val="TableParagraph"/>
              <w:spacing w:before="0"/>
              <w:ind w:left="921"/>
              <w:rPr>
                <w:sz w:val="20"/>
              </w:rPr>
            </w:pPr>
            <w:r>
              <w:rPr>
                <w:w w:val="100"/>
                <w:sz w:val="20"/>
              </w:rPr>
              <w:t>-</w:t>
            </w:r>
          </w:p>
        </w:tc>
        <w:tc>
          <w:tcPr>
            <w:tcW w:w="190" w:type="dxa"/>
            <w:tcBorders>
              <w:top w:val="single" w:sz="6" w:space="0" w:color="FFFF00"/>
              <w:left w:val="single" w:sz="6" w:space="0" w:color="FFFF00"/>
              <w:bottom w:val="single" w:sz="6" w:space="0" w:color="FFFF00"/>
              <w:right w:val="single" w:sz="6" w:space="0" w:color="FFFF00"/>
            </w:tcBorders>
          </w:tcPr>
          <w:p>
            <w:pPr/>
          </w:p>
        </w:tc>
        <w:tc>
          <w:tcPr>
            <w:tcW w:w="1258" w:type="dxa"/>
            <w:gridSpan w:val="2"/>
            <w:tcBorders>
              <w:top w:val="single" w:sz="6" w:space="0" w:color="FFFF00"/>
              <w:left w:val="single" w:sz="6" w:space="0" w:color="FFFF00"/>
              <w:bottom w:val="single" w:sz="6" w:space="0" w:color="000000"/>
              <w:right w:val="single" w:sz="6" w:space="0" w:color="FFFF00"/>
            </w:tcBorders>
          </w:tcPr>
          <w:p>
            <w:pPr>
              <w:pStyle w:val="TableParagraph"/>
              <w:spacing w:before="0"/>
              <w:rPr>
                <w:sz w:val="23"/>
              </w:rPr>
            </w:pPr>
          </w:p>
          <w:p>
            <w:pPr>
              <w:pStyle w:val="TableParagraph"/>
              <w:spacing w:before="0"/>
              <w:ind w:right="252"/>
              <w:jc w:val="right"/>
              <w:rPr>
                <w:sz w:val="20"/>
              </w:rPr>
            </w:pPr>
            <w:r>
              <w:rPr>
                <w:w w:val="100"/>
                <w:sz w:val="20"/>
              </w:rPr>
              <w:t>-</w:t>
            </w:r>
          </w:p>
        </w:tc>
        <w:tc>
          <w:tcPr>
            <w:tcW w:w="182" w:type="dxa"/>
            <w:tcBorders>
              <w:top w:val="single" w:sz="6" w:space="0" w:color="FFFF00"/>
              <w:left w:val="single" w:sz="6" w:space="0" w:color="FFFF00"/>
              <w:bottom w:val="single" w:sz="6" w:space="0" w:color="FFFF00"/>
              <w:right w:val="single" w:sz="6" w:space="0" w:color="FFFF00"/>
            </w:tcBorders>
          </w:tcPr>
          <w:p>
            <w:pPr/>
          </w:p>
        </w:tc>
        <w:tc>
          <w:tcPr>
            <w:tcW w:w="1267" w:type="dxa"/>
            <w:tcBorders>
              <w:top w:val="single" w:sz="6" w:space="0" w:color="FFFF00"/>
              <w:left w:val="single" w:sz="6" w:space="0" w:color="FFFF00"/>
              <w:bottom w:val="single" w:sz="6" w:space="0" w:color="000000"/>
            </w:tcBorders>
          </w:tcPr>
          <w:p>
            <w:pPr>
              <w:pStyle w:val="TableParagraph"/>
              <w:spacing w:before="0"/>
              <w:rPr>
                <w:sz w:val="23"/>
              </w:rPr>
            </w:pPr>
          </w:p>
          <w:p>
            <w:pPr>
              <w:pStyle w:val="TableParagraph"/>
              <w:spacing w:before="0"/>
              <w:ind w:left="465"/>
              <w:rPr>
                <w:sz w:val="20"/>
              </w:rPr>
            </w:pPr>
            <w:r>
              <w:rPr>
                <w:sz w:val="20"/>
              </w:rPr>
              <w:t>(3,607)</w:t>
            </w:r>
          </w:p>
        </w:tc>
      </w:tr>
      <w:tr>
        <w:trPr>
          <w:trHeight w:val="274" w:hRule="exact"/>
        </w:trPr>
        <w:tc>
          <w:tcPr>
            <w:tcW w:w="4318" w:type="dxa"/>
            <w:tcBorders>
              <w:top w:val="single" w:sz="6" w:space="0" w:color="FFFF00"/>
              <w:bottom w:val="single" w:sz="6" w:space="0" w:color="FFFF00"/>
              <w:right w:val="single" w:sz="6" w:space="0" w:color="FFFF00"/>
            </w:tcBorders>
          </w:tcPr>
          <w:p>
            <w:pPr/>
          </w:p>
        </w:tc>
        <w:tc>
          <w:tcPr>
            <w:tcW w:w="1440" w:type="dxa"/>
            <w:tcBorders>
              <w:top w:val="single" w:sz="6" w:space="0" w:color="000000"/>
              <w:left w:val="single" w:sz="6" w:space="0" w:color="FFFF00"/>
              <w:bottom w:val="single" w:sz="6" w:space="0" w:color="FFFF00"/>
              <w:right w:val="nil"/>
            </w:tcBorders>
          </w:tcPr>
          <w:p>
            <w:pPr>
              <w:pStyle w:val="TableParagraph"/>
              <w:ind w:left="331"/>
              <w:rPr>
                <w:sz w:val="20"/>
              </w:rPr>
            </w:pPr>
            <w:r>
              <w:rPr>
                <w:sz w:val="20"/>
              </w:rPr>
              <w:t>104,833</w:t>
            </w:r>
          </w:p>
        </w:tc>
        <w:tc>
          <w:tcPr>
            <w:tcW w:w="371" w:type="dxa"/>
            <w:gridSpan w:val="2"/>
            <w:tcBorders>
              <w:top w:val="single" w:sz="6" w:space="0" w:color="000000"/>
              <w:left w:val="nil"/>
              <w:bottom w:val="single" w:sz="6" w:space="0" w:color="FFFF00"/>
              <w:right w:val="nil"/>
            </w:tcBorders>
          </w:tcPr>
          <w:p>
            <w:pPr/>
          </w:p>
        </w:tc>
        <w:tc>
          <w:tcPr>
            <w:tcW w:w="1076" w:type="dxa"/>
            <w:tcBorders>
              <w:top w:val="single" w:sz="6" w:space="0" w:color="000000"/>
              <w:left w:val="nil"/>
              <w:bottom w:val="single" w:sz="6" w:space="0" w:color="FFFF00"/>
              <w:right w:val="nil"/>
            </w:tcBorders>
          </w:tcPr>
          <w:p>
            <w:pPr>
              <w:pStyle w:val="TableParagraph"/>
              <w:ind w:left="150"/>
              <w:rPr>
                <w:sz w:val="20"/>
              </w:rPr>
            </w:pPr>
            <w:r>
              <w:rPr>
                <w:sz w:val="20"/>
              </w:rPr>
              <w:t>$90,873</w:t>
            </w:r>
          </w:p>
        </w:tc>
        <w:tc>
          <w:tcPr>
            <w:tcW w:w="182" w:type="dxa"/>
            <w:tcBorders>
              <w:top w:val="single" w:sz="6" w:space="0" w:color="FFFF00"/>
              <w:left w:val="nil"/>
              <w:bottom w:val="single" w:sz="6" w:space="0" w:color="FFFF00"/>
              <w:right w:val="nil"/>
            </w:tcBorders>
          </w:tcPr>
          <w:p>
            <w:pPr/>
          </w:p>
        </w:tc>
        <w:tc>
          <w:tcPr>
            <w:tcW w:w="1267" w:type="dxa"/>
            <w:tcBorders>
              <w:top w:val="single" w:sz="6" w:space="0" w:color="000000"/>
              <w:left w:val="nil"/>
              <w:bottom w:val="single" w:sz="6" w:space="0" w:color="FFFF00"/>
            </w:tcBorders>
          </w:tcPr>
          <w:p>
            <w:pPr>
              <w:pStyle w:val="TableParagraph"/>
              <w:ind w:left="294"/>
              <w:rPr>
                <w:sz w:val="20"/>
              </w:rPr>
            </w:pPr>
            <w:r>
              <w:rPr>
                <w:sz w:val="20"/>
              </w:rPr>
              <w:t>$49,924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Nondeductible items</w:t>
            </w:r>
          </w:p>
        </w:tc>
        <w:tc>
          <w:tcPr>
            <w:tcW w:w="1440" w:type="dxa"/>
            <w:tcBorders>
              <w:top w:val="single" w:sz="6" w:space="0" w:color="FFFF00"/>
              <w:left w:val="single" w:sz="6" w:space="0" w:color="FFFF00"/>
              <w:bottom w:val="single" w:sz="6" w:space="0" w:color="FFFF00"/>
              <w:right w:val="nil"/>
            </w:tcBorders>
          </w:tcPr>
          <w:p>
            <w:pPr>
              <w:pStyle w:val="TableParagraph"/>
              <w:ind w:left="532"/>
              <w:rPr>
                <w:sz w:val="20"/>
              </w:rPr>
            </w:pPr>
            <w:r>
              <w:rPr>
                <w:sz w:val="20"/>
              </w:rPr>
              <w:t>3,689</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ind w:left="351"/>
              <w:rPr>
                <w:sz w:val="20"/>
              </w:rPr>
            </w:pPr>
            <w:r>
              <w:rPr>
                <w:sz w:val="20"/>
              </w:rPr>
              <w:t>1,361</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ind w:left="495"/>
              <w:rPr>
                <w:sz w:val="20"/>
              </w:rPr>
            </w:pPr>
            <w:r>
              <w:rPr>
                <w:sz w:val="20"/>
              </w:rPr>
              <w:t>1,131</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State income taxes, net of federal benefit</w:t>
            </w:r>
          </w:p>
        </w:tc>
        <w:tc>
          <w:tcPr>
            <w:tcW w:w="1440" w:type="dxa"/>
            <w:tcBorders>
              <w:top w:val="single" w:sz="6" w:space="0" w:color="FFFF00"/>
              <w:left w:val="single" w:sz="6" w:space="0" w:color="FFFF00"/>
              <w:bottom w:val="single" w:sz="6" w:space="0" w:color="FFFF00"/>
              <w:right w:val="nil"/>
            </w:tcBorders>
          </w:tcPr>
          <w:p>
            <w:pPr>
              <w:pStyle w:val="TableParagraph"/>
              <w:ind w:left="532"/>
              <w:rPr>
                <w:sz w:val="20"/>
              </w:rPr>
            </w:pPr>
            <w:r>
              <w:rPr>
                <w:sz w:val="20"/>
              </w:rPr>
              <w:t>9,177</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ind w:left="351"/>
              <w:rPr>
                <w:sz w:val="20"/>
              </w:rPr>
            </w:pPr>
            <w:r>
              <w:rPr>
                <w:sz w:val="20"/>
              </w:rPr>
              <w:t>6,632</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ind w:left="495"/>
              <w:rPr>
                <w:sz w:val="20"/>
              </w:rPr>
            </w:pPr>
            <w:r>
              <w:rPr>
                <w:sz w:val="20"/>
              </w:rPr>
              <w:t>5,124</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Effect of increase in U.S. statutory rates</w:t>
            </w:r>
          </w:p>
        </w:tc>
        <w:tc>
          <w:tcPr>
            <w:tcW w:w="1440" w:type="dxa"/>
            <w:tcBorders>
              <w:top w:val="single" w:sz="6" w:space="0" w:color="FFFF00"/>
              <w:left w:val="single" w:sz="6" w:space="0" w:color="FFFF00"/>
              <w:bottom w:val="single" w:sz="6" w:space="0" w:color="FFFF00"/>
              <w:right w:val="nil"/>
            </w:tcBorders>
          </w:tcPr>
          <w:p>
            <w:pPr>
              <w:pStyle w:val="TableParagraph"/>
              <w:ind w:left="921"/>
              <w:rPr>
                <w:sz w:val="20"/>
              </w:rPr>
            </w:pPr>
            <w:r>
              <w:rPr>
                <w:w w:val="100"/>
                <w:sz w:val="20"/>
              </w:rPr>
              <w:t>-</w:t>
            </w:r>
          </w:p>
        </w:tc>
        <w:tc>
          <w:tcPr>
            <w:tcW w:w="371" w:type="dxa"/>
            <w:gridSpan w:val="2"/>
            <w:tcBorders>
              <w:top w:val="single" w:sz="6" w:space="0" w:color="FFFF00"/>
              <w:left w:val="nil"/>
              <w:bottom w:val="single" w:sz="6" w:space="0" w:color="FFFF00"/>
              <w:right w:val="nil"/>
            </w:tcBorders>
          </w:tcPr>
          <w:p>
            <w:pPr/>
          </w:p>
        </w:tc>
        <w:tc>
          <w:tcPr>
            <w:tcW w:w="1076" w:type="dxa"/>
            <w:tcBorders>
              <w:top w:val="single" w:sz="6" w:space="0" w:color="FFFF00"/>
              <w:left w:val="nil"/>
              <w:bottom w:val="single" w:sz="6" w:space="0" w:color="FFFF00"/>
              <w:right w:val="nil"/>
            </w:tcBorders>
          </w:tcPr>
          <w:p>
            <w:pPr>
              <w:pStyle w:val="TableParagraph"/>
              <w:ind w:left="351"/>
              <w:rPr>
                <w:sz w:val="20"/>
              </w:rPr>
            </w:pPr>
            <w:r>
              <w:rPr>
                <w:sz w:val="20"/>
              </w:rPr>
              <w:t>3,957</w:t>
            </w:r>
          </w:p>
        </w:tc>
        <w:tc>
          <w:tcPr>
            <w:tcW w:w="182" w:type="dxa"/>
            <w:tcBorders>
              <w:top w:val="single" w:sz="6" w:space="0" w:color="FFFF00"/>
              <w:left w:val="nil"/>
              <w:bottom w:val="single" w:sz="6" w:space="0" w:color="FFFF00"/>
              <w:right w:val="nil"/>
            </w:tcBorders>
          </w:tcPr>
          <w:p>
            <w:pPr/>
          </w:p>
        </w:tc>
        <w:tc>
          <w:tcPr>
            <w:tcW w:w="1267" w:type="dxa"/>
            <w:tcBorders>
              <w:top w:val="single" w:sz="6" w:space="0" w:color="FFFF00"/>
              <w:left w:val="nil"/>
              <w:bottom w:val="single" w:sz="6" w:space="0" w:color="FFFF00"/>
            </w:tcBorders>
          </w:tcPr>
          <w:p>
            <w:pPr>
              <w:pStyle w:val="TableParagraph"/>
              <w:ind w:right="299"/>
              <w:jc w:val="right"/>
              <w:rPr>
                <w:sz w:val="20"/>
              </w:rPr>
            </w:pPr>
            <w:r>
              <w:rPr>
                <w:w w:val="100"/>
                <w:sz w:val="20"/>
              </w:rPr>
              <w:t>-</w:t>
            </w:r>
          </w:p>
        </w:tc>
      </w:tr>
      <w:tr>
        <w:trPr>
          <w:trHeight w:val="274" w:hRule="exact"/>
        </w:trPr>
        <w:tc>
          <w:tcPr>
            <w:tcW w:w="4318" w:type="dxa"/>
            <w:tcBorders>
              <w:top w:val="single" w:sz="6" w:space="0" w:color="FFFF00"/>
              <w:bottom w:val="single" w:sz="6" w:space="0" w:color="FFFF00"/>
              <w:right w:val="single" w:sz="6" w:space="0" w:color="FFFF00"/>
            </w:tcBorders>
          </w:tcPr>
          <w:p>
            <w:pPr>
              <w:pStyle w:val="TableParagraph"/>
              <w:spacing w:line="226" w:lineRule="exact" w:before="0"/>
              <w:ind w:left="187"/>
              <w:rPr>
                <w:sz w:val="20"/>
              </w:rPr>
            </w:pPr>
            <w:r>
              <w:rPr>
                <w:sz w:val="20"/>
              </w:rPr>
              <w:t>Other, net</w:t>
            </w:r>
          </w:p>
        </w:tc>
        <w:tc>
          <w:tcPr>
            <w:tcW w:w="1440" w:type="dxa"/>
            <w:tcBorders>
              <w:top w:val="single" w:sz="6" w:space="0" w:color="FFFF00"/>
              <w:left w:val="single" w:sz="6" w:space="0" w:color="FFFF00"/>
              <w:bottom w:val="single" w:sz="6" w:space="0" w:color="000000"/>
              <w:right w:val="nil"/>
            </w:tcBorders>
          </w:tcPr>
          <w:p>
            <w:pPr>
              <w:pStyle w:val="TableParagraph"/>
              <w:ind w:left="532"/>
              <w:rPr>
                <w:sz w:val="20"/>
              </w:rPr>
            </w:pPr>
            <w:r>
              <w:rPr>
                <w:sz w:val="20"/>
              </w:rPr>
              <w:t>2,493</w:t>
            </w:r>
          </w:p>
        </w:tc>
        <w:tc>
          <w:tcPr>
            <w:tcW w:w="371" w:type="dxa"/>
            <w:gridSpan w:val="2"/>
            <w:tcBorders>
              <w:top w:val="single" w:sz="6" w:space="0" w:color="FFFF00"/>
              <w:left w:val="nil"/>
              <w:bottom w:val="nil"/>
              <w:right w:val="nil"/>
            </w:tcBorders>
          </w:tcPr>
          <w:p>
            <w:pPr>
              <w:pStyle w:val="TableParagraph"/>
              <w:tabs>
                <w:tab w:pos="729" w:val="left" w:leader="none"/>
              </w:tabs>
              <w:ind w:right="-359"/>
              <w:rPr>
                <w:sz w:val="20"/>
              </w:rPr>
            </w:pPr>
            <w:r>
              <w:rPr>
                <w:w w:val="100"/>
                <w:sz w:val="20"/>
                <w:u w:val="single" w:color="FFFF00"/>
              </w:rPr>
              <w:t> </w:t>
            </w:r>
            <w:r>
              <w:rPr>
                <w:sz w:val="20"/>
                <w:u w:val="single" w:color="FFFF00"/>
              </w:rPr>
              <w:tab/>
            </w:r>
          </w:p>
        </w:tc>
        <w:tc>
          <w:tcPr>
            <w:tcW w:w="1076" w:type="dxa"/>
            <w:tcBorders>
              <w:top w:val="single" w:sz="6" w:space="0" w:color="FFFF00"/>
              <w:left w:val="nil"/>
              <w:bottom w:val="nil"/>
              <w:right w:val="nil"/>
            </w:tcBorders>
          </w:tcPr>
          <w:p>
            <w:pPr>
              <w:pStyle w:val="TableParagraph"/>
              <w:tabs>
                <w:tab w:pos="1064" w:val="left" w:leader="none"/>
              </w:tabs>
              <w:ind w:left="351"/>
              <w:rPr>
                <w:sz w:val="20"/>
              </w:rPr>
            </w:pPr>
            <w:r>
              <w:rPr>
                <w:sz w:val="20"/>
                <w:u w:val="single"/>
              </w:rPr>
              <w:t>2,530</w:t>
              <w:tab/>
            </w:r>
          </w:p>
        </w:tc>
        <w:tc>
          <w:tcPr>
            <w:tcW w:w="182" w:type="dxa"/>
            <w:tcBorders>
              <w:top w:val="single" w:sz="6" w:space="0" w:color="FFFF00"/>
              <w:left w:val="nil"/>
              <w:bottom w:val="nil"/>
              <w:right w:val="nil"/>
            </w:tcBorders>
          </w:tcPr>
          <w:p>
            <w:pPr>
              <w:pStyle w:val="TableParagraph"/>
              <w:ind w:left="-8" w:right="-39"/>
              <w:rPr>
                <w:sz w:val="20"/>
              </w:rPr>
            </w:pPr>
            <w:r>
              <w:rPr>
                <w:w w:val="100"/>
                <w:sz w:val="20"/>
                <w:u w:val="single" w:color="FFFF00"/>
              </w:rPr>
              <w:t> </w:t>
            </w:r>
            <w:r>
              <w:rPr>
                <w:spacing w:val="-23"/>
                <w:sz w:val="20"/>
                <w:u w:val="single" w:color="FFFF00"/>
              </w:rPr>
              <w:t> </w:t>
            </w:r>
          </w:p>
        </w:tc>
        <w:tc>
          <w:tcPr>
            <w:tcW w:w="1267" w:type="dxa"/>
            <w:tcBorders>
              <w:top w:val="single" w:sz="6" w:space="0" w:color="FFFF00"/>
              <w:left w:val="nil"/>
              <w:bottom w:val="single" w:sz="6" w:space="0" w:color="000000"/>
            </w:tcBorders>
          </w:tcPr>
          <w:p>
            <w:pPr>
              <w:pStyle w:val="TableParagraph"/>
              <w:ind w:left="582"/>
              <w:rPr>
                <w:sz w:val="20"/>
              </w:rPr>
            </w:pPr>
            <w:r>
              <w:rPr>
                <w:sz w:val="20"/>
              </w:rPr>
              <w:t>(363)</w:t>
            </w:r>
          </w:p>
        </w:tc>
      </w:tr>
      <w:tr>
        <w:trPr>
          <w:trHeight w:val="281" w:hRule="exact"/>
        </w:trPr>
        <w:tc>
          <w:tcPr>
            <w:tcW w:w="4318" w:type="dxa"/>
            <w:tcBorders>
              <w:top w:val="single" w:sz="6" w:space="0" w:color="FFFF00"/>
              <w:right w:val="single" w:sz="6" w:space="0" w:color="FFFF00"/>
            </w:tcBorders>
          </w:tcPr>
          <w:p>
            <w:pPr>
              <w:pStyle w:val="TableParagraph"/>
              <w:spacing w:line="226" w:lineRule="exact" w:before="0"/>
              <w:ind w:left="187"/>
              <w:rPr>
                <w:sz w:val="20"/>
              </w:rPr>
            </w:pPr>
            <w:r>
              <w:rPr>
                <w:sz w:val="20"/>
              </w:rPr>
              <w:t>Total income tax provision</w:t>
            </w:r>
          </w:p>
        </w:tc>
        <w:tc>
          <w:tcPr>
            <w:tcW w:w="1440" w:type="dxa"/>
            <w:tcBorders>
              <w:top w:val="single" w:sz="6" w:space="0" w:color="000000"/>
              <w:left w:val="single" w:sz="6" w:space="0" w:color="FFFF00"/>
              <w:right w:val="nil"/>
            </w:tcBorders>
          </w:tcPr>
          <w:p>
            <w:pPr>
              <w:pStyle w:val="TableParagraph"/>
              <w:ind w:left="230"/>
              <w:rPr>
                <w:sz w:val="20"/>
              </w:rPr>
            </w:pPr>
            <w:r>
              <w:rPr>
                <w:sz w:val="20"/>
              </w:rPr>
              <w:t>$120,192</w:t>
            </w:r>
          </w:p>
        </w:tc>
        <w:tc>
          <w:tcPr>
            <w:tcW w:w="1630" w:type="dxa"/>
            <w:gridSpan w:val="4"/>
            <w:tcBorders>
              <w:top w:val="nil"/>
              <w:left w:val="nil"/>
              <w:right w:val="nil"/>
            </w:tcBorders>
          </w:tcPr>
          <w:p>
            <w:pPr>
              <w:pStyle w:val="TableParagraph"/>
              <w:spacing w:before="31"/>
              <w:ind w:left="427"/>
              <w:rPr>
                <w:sz w:val="20"/>
              </w:rPr>
            </w:pPr>
            <w:r>
              <w:rPr>
                <w:sz w:val="20"/>
              </w:rPr>
              <w:t>$105,353</w:t>
            </w:r>
          </w:p>
        </w:tc>
        <w:tc>
          <w:tcPr>
            <w:tcW w:w="1267" w:type="dxa"/>
            <w:tcBorders>
              <w:top w:val="single" w:sz="6" w:space="0" w:color="000000"/>
              <w:left w:val="nil"/>
            </w:tcBorders>
          </w:tcPr>
          <w:p>
            <w:pPr>
              <w:pStyle w:val="TableParagraph"/>
              <w:ind w:left="345"/>
              <w:rPr>
                <w:sz w:val="20"/>
              </w:rPr>
            </w:pPr>
            <w:r>
              <w:rPr>
                <w:sz w:val="20"/>
              </w:rPr>
              <w:t>$55,816</w:t>
            </w:r>
          </w:p>
        </w:tc>
      </w:tr>
    </w:tbl>
    <w:p>
      <w:pPr>
        <w:pStyle w:val="BodyText"/>
        <w:spacing w:before="2"/>
        <w:rPr>
          <w:sz w:val="21"/>
        </w:rPr>
      </w:pPr>
    </w:p>
    <w:p>
      <w:pPr>
        <w:pStyle w:val="Heading2"/>
        <w:numPr>
          <w:ilvl w:val="0"/>
          <w:numId w:val="3"/>
        </w:numPr>
        <w:tabs>
          <w:tab w:pos="1156" w:val="left" w:leader="none"/>
        </w:tabs>
        <w:spacing w:line="240" w:lineRule="auto" w:before="1" w:after="0"/>
        <w:ind w:left="1155" w:right="0" w:hanging="335"/>
        <w:jc w:val="left"/>
      </w:pPr>
      <w:r>
        <w:rPr/>
        <w:t>Net Income Per Common And Common Equivalent</w:t>
      </w:r>
      <w:r>
        <w:rPr>
          <w:spacing w:val="34"/>
        </w:rPr>
        <w:t> </w:t>
      </w:r>
      <w:r>
        <w:rPr/>
        <w:t>Share</w:t>
      </w:r>
    </w:p>
    <w:p>
      <w:pPr>
        <w:pStyle w:val="BodyText"/>
        <w:spacing w:line="249" w:lineRule="auto" w:before="131"/>
        <w:ind w:left="820" w:right="266"/>
      </w:pPr>
      <w:r>
        <w:rPr/>
        <w:t>Net income per common and common equivalent share is computed based on the weighted average number of common and common equivalent shares outstanding (147,305,374 in 1994, 147,144,568 in 1993, and 142,945,890 in 1992). Fully diluted earnings per share have not been presented as the fully dilutive effect of shares issuable upon the exercise of options under the Company's Stock Option Plans or conversion of Convertible Subordinated Debentures is anti-dilutive or is not material.</w:t>
      </w:r>
    </w:p>
    <w:p>
      <w:pPr>
        <w:spacing w:after="0" w:line="249" w:lineRule="auto"/>
        <w:sectPr>
          <w:pgSz w:w="12240" w:h="15840"/>
          <w:pgMar w:header="725" w:footer="746" w:top="940" w:bottom="940" w:left="1700" w:right="940"/>
        </w:sectPr>
      </w:pPr>
    </w:p>
    <w:p>
      <w:pPr>
        <w:pStyle w:val="BodyText"/>
      </w:pPr>
    </w:p>
    <w:p>
      <w:pPr>
        <w:pStyle w:val="BodyText"/>
        <w:spacing w:before="3"/>
        <w:rPr>
          <w:sz w:val="24"/>
        </w:rPr>
      </w:pPr>
    </w:p>
    <w:p>
      <w:pPr>
        <w:pStyle w:val="Heading2"/>
        <w:spacing w:before="95"/>
      </w:pPr>
      <w:r>
        <w:rPr/>
        <w:t>The Board of Directors and Shareholders, Southwest Airlines Co.</w:t>
      </w:r>
    </w:p>
    <w:p>
      <w:pPr>
        <w:pStyle w:val="BodyText"/>
        <w:spacing w:line="249" w:lineRule="auto" w:before="130"/>
        <w:ind w:left="880" w:right="232"/>
      </w:pPr>
      <w:r>
        <w:rPr/>
        <w:t>We have audited the accompanying consolidated balance sheets of Southwest Airlines Co. as of December 31, 1994 and 1993, and the related consolidated statements of income, stockholders' equity, and cash   flows for each </w:t>
      </w:r>
      <w:r>
        <w:rPr>
          <w:spacing w:val="2"/>
        </w:rPr>
        <w:t>of </w:t>
      </w:r>
      <w:r>
        <w:rPr/>
        <w:t>the three years in the period ended December 31, 1994. </w:t>
      </w:r>
      <w:r>
        <w:rPr>
          <w:spacing w:val="2"/>
        </w:rPr>
        <w:t>These </w:t>
      </w:r>
      <w:r>
        <w:rPr/>
        <w:t>financial </w:t>
      </w:r>
      <w:r>
        <w:rPr>
          <w:spacing w:val="2"/>
        </w:rPr>
        <w:t>statements </w:t>
      </w:r>
      <w:r>
        <w:rPr/>
        <w:t>are </w:t>
      </w:r>
      <w:r>
        <w:rPr>
          <w:spacing w:val="2"/>
        </w:rPr>
        <w:t>the responsibility of the </w:t>
      </w:r>
      <w:r>
        <w:rPr/>
        <w:t>Company's management. Our </w:t>
      </w:r>
      <w:r>
        <w:rPr>
          <w:spacing w:val="2"/>
        </w:rPr>
        <w:t>responsibility </w:t>
      </w:r>
      <w:r>
        <w:rPr/>
        <w:t>is </w:t>
      </w:r>
      <w:r>
        <w:rPr>
          <w:spacing w:val="3"/>
        </w:rPr>
        <w:t>to </w:t>
      </w:r>
      <w:r>
        <w:rPr/>
        <w:t>express an </w:t>
      </w:r>
      <w:r>
        <w:rPr>
          <w:spacing w:val="4"/>
        </w:rPr>
        <w:t>opinion </w:t>
      </w:r>
      <w:r>
        <w:rPr>
          <w:spacing w:val="2"/>
        </w:rPr>
        <w:t>on </w:t>
      </w:r>
      <w:r>
        <w:rPr/>
        <w:t>these financial </w:t>
      </w:r>
      <w:r>
        <w:rPr>
          <w:spacing w:val="2"/>
        </w:rPr>
        <w:t>statements </w:t>
      </w:r>
      <w:r>
        <w:rPr/>
        <w:t>based </w:t>
      </w:r>
      <w:r>
        <w:rPr>
          <w:spacing w:val="2"/>
        </w:rPr>
        <w:t>on </w:t>
      </w:r>
      <w:r>
        <w:rPr>
          <w:spacing w:val="3"/>
        </w:rPr>
        <w:t>our</w:t>
      </w:r>
      <w:r>
        <w:rPr>
          <w:spacing w:val="-17"/>
        </w:rPr>
        <w:t> </w:t>
      </w:r>
      <w:r>
        <w:rPr/>
        <w:t>audits.</w:t>
      </w:r>
    </w:p>
    <w:p>
      <w:pPr>
        <w:pStyle w:val="BodyText"/>
        <w:spacing w:line="249" w:lineRule="auto" w:before="120"/>
        <w:ind w:left="880" w:right="412"/>
      </w:pPr>
      <w:r>
        <w:rPr/>
        <w:t>We conducted our audits in accordance with generally accepted auditing standards.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line="249" w:lineRule="auto" w:before="120"/>
        <w:ind w:left="880"/>
      </w:pPr>
      <w:r>
        <w:rPr/>
        <w:t>In our opinion, the financial statements referred to above present fairly, in all material respects, the consolidated financial position of Southwest Airlines Co. at December 31, 1994 and 1993, and the consolidated results of its operations and its cash flows for each of the three years in the period ended December 31, 1994, in conformity with generally accepted accounting principles.</w:t>
      </w:r>
    </w:p>
    <w:p>
      <w:pPr>
        <w:pStyle w:val="BodyText"/>
        <w:spacing w:line="249" w:lineRule="auto" w:before="120"/>
        <w:ind w:left="880" w:right="412"/>
      </w:pPr>
      <w:r>
        <w:rPr/>
        <w:t>As discussed in Note 3, during 1993, the Company changed its method of accounting for income taxes and postretirement benefits. Also as discussed in Note 3, during 1992, the Company changed its method of accounting for scheduled airframe overhauls.</w:t>
      </w:r>
    </w:p>
    <w:p>
      <w:pPr>
        <w:pStyle w:val="BodyText"/>
        <w:spacing w:before="10"/>
      </w:pPr>
    </w:p>
    <w:p>
      <w:pPr>
        <w:pStyle w:val="BodyText"/>
        <w:ind w:left="880"/>
      </w:pPr>
      <w:r>
        <w:rPr/>
        <w:t>ERNST &amp; YOUNG LLP</w:t>
      </w:r>
    </w:p>
    <w:p>
      <w:pPr>
        <w:pStyle w:val="BodyText"/>
        <w:spacing w:line="249" w:lineRule="auto" w:before="9"/>
        <w:ind w:left="880" w:right="7109"/>
      </w:pPr>
      <w:r>
        <w:rPr/>
        <w:t>Dallas, Texas January 26, 1995</w:t>
      </w:r>
    </w:p>
    <w:p>
      <w:pPr>
        <w:spacing w:after="0" w:line="249" w:lineRule="auto"/>
        <w:sectPr>
          <w:headerReference w:type="default" r:id="rId30"/>
          <w:pgSz w:w="12240" w:h="15840"/>
          <w:pgMar w:header="725" w:footer="746" w:top="2020" w:bottom="940" w:left="1640" w:right="920"/>
        </w:sectPr>
      </w:pPr>
    </w:p>
    <w:p>
      <w:pPr>
        <w:pStyle w:val="BodyText"/>
      </w:pPr>
    </w:p>
    <w:p>
      <w:pPr>
        <w:pStyle w:val="BodyText"/>
        <w:spacing w:before="3"/>
        <w:rPr>
          <w:sz w:val="24"/>
        </w:rPr>
      </w:pPr>
    </w:p>
    <w:p>
      <w:pPr>
        <w:pStyle w:val="Heading2"/>
        <w:spacing w:before="95"/>
      </w:pPr>
      <w:r>
        <w:rPr/>
        <w:t>Transfer Agent and Registrar</w:t>
      </w:r>
    </w:p>
    <w:p>
      <w:pPr>
        <w:pStyle w:val="BodyText"/>
        <w:spacing w:line="249" w:lineRule="auto" w:before="10"/>
        <w:ind w:left="1240" w:right="4688"/>
      </w:pPr>
      <w:r>
        <w:rPr/>
        <w:t>Continental Stock Transfer &amp; Trust Company 2 Broadway</w:t>
      </w:r>
    </w:p>
    <w:p>
      <w:pPr>
        <w:pStyle w:val="BodyText"/>
        <w:spacing w:line="249" w:lineRule="auto"/>
        <w:ind w:left="1240" w:right="5699"/>
      </w:pPr>
      <w:r>
        <w:rPr/>
        <w:t>New York, New York 10004 (212) 509-4000</w:t>
      </w:r>
    </w:p>
    <w:p>
      <w:pPr>
        <w:pStyle w:val="BodyText"/>
        <w:spacing w:before="9"/>
      </w:pPr>
    </w:p>
    <w:p>
      <w:pPr>
        <w:spacing w:line="254" w:lineRule="auto" w:before="0"/>
        <w:ind w:left="1240" w:right="6237" w:hanging="360"/>
        <w:jc w:val="left"/>
        <w:rPr>
          <w:b/>
          <w:sz w:val="20"/>
        </w:rPr>
      </w:pPr>
      <w:r>
        <w:rPr>
          <w:rFonts w:ascii="Arial"/>
          <w:b/>
          <w:sz w:val="20"/>
        </w:rPr>
        <w:t>Stock Exchange Listing </w:t>
      </w:r>
      <w:r>
        <w:rPr>
          <w:sz w:val="20"/>
        </w:rPr>
        <w:t>New York Stock Exchange Ticker Symbol: </w:t>
      </w:r>
      <w:r>
        <w:rPr>
          <w:b/>
          <w:sz w:val="20"/>
        </w:rPr>
        <w:t>LUV</w:t>
      </w:r>
    </w:p>
    <w:p>
      <w:pPr>
        <w:pStyle w:val="BodyText"/>
        <w:spacing w:before="5"/>
        <w:rPr>
          <w:b/>
        </w:rPr>
      </w:pPr>
    </w:p>
    <w:p>
      <w:pPr>
        <w:pStyle w:val="Heading2"/>
      </w:pPr>
      <w:r>
        <w:rPr/>
        <w:t>Auditors</w:t>
      </w:r>
    </w:p>
    <w:p>
      <w:pPr>
        <w:pStyle w:val="BodyText"/>
        <w:spacing w:line="249" w:lineRule="auto" w:before="10"/>
        <w:ind w:left="1240" w:right="6738"/>
      </w:pPr>
      <w:r>
        <w:rPr/>
        <w:t>Ernst &amp; Young LLP Dallas, Texas General Offices</w:t>
      </w:r>
    </w:p>
    <w:p>
      <w:pPr>
        <w:pStyle w:val="BodyText"/>
        <w:ind w:left="1240"/>
      </w:pPr>
      <w:r>
        <w:rPr/>
        <w:t>P. O. Box 36611</w:t>
      </w:r>
    </w:p>
    <w:p>
      <w:pPr>
        <w:pStyle w:val="BodyText"/>
        <w:spacing w:before="9"/>
        <w:ind w:left="1240"/>
      </w:pPr>
      <w:r>
        <w:rPr/>
        <w:t>Dallas, Texas  75235-1611</w:t>
      </w:r>
    </w:p>
    <w:p>
      <w:pPr>
        <w:pStyle w:val="BodyText"/>
        <w:spacing w:before="7"/>
        <w:rPr>
          <w:sz w:val="21"/>
        </w:rPr>
      </w:pPr>
    </w:p>
    <w:p>
      <w:pPr>
        <w:pStyle w:val="Heading2"/>
      </w:pPr>
      <w:r>
        <w:rPr/>
        <w:t>Annual Meeting</w:t>
      </w:r>
    </w:p>
    <w:p>
      <w:pPr>
        <w:pStyle w:val="BodyText"/>
        <w:spacing w:line="249" w:lineRule="auto" w:before="10"/>
        <w:ind w:left="1240"/>
      </w:pPr>
      <w:r>
        <w:rPr/>
        <w:t>The Annual Meeting of Shareholders of Southwest Airlines Co. will be held at 10:00 a.m. on May 18, 1995 at the Southwest Airlines Corporate Headquarters, 2702 Love Field Drive, Dallas, Texas.</w:t>
      </w:r>
    </w:p>
    <w:p>
      <w:pPr>
        <w:pStyle w:val="BodyText"/>
        <w:spacing w:before="9"/>
      </w:pPr>
    </w:p>
    <w:p>
      <w:pPr>
        <w:pStyle w:val="Heading2"/>
      </w:pPr>
      <w:r>
        <w:rPr/>
        <w:t>SEC Form 10-K</w:t>
      </w:r>
    </w:p>
    <w:p>
      <w:pPr>
        <w:pStyle w:val="BodyText"/>
        <w:spacing w:line="249" w:lineRule="auto" w:before="10"/>
        <w:ind w:left="1240" w:right="412"/>
      </w:pPr>
      <w:r>
        <w:rPr/>
        <w:t>Shareholders may obtain free of charge a copy of the Company’s Annual Report on Form 10-K as filed with the Securities and Exchange Commission by writing to the Chief Financial Officer, P. O. Box 36611, Dallas, Texas  75235-1611.</w:t>
      </w:r>
    </w:p>
    <w:p>
      <w:pPr>
        <w:spacing w:after="0" w:line="249" w:lineRule="auto"/>
        <w:sectPr>
          <w:headerReference w:type="default" r:id="rId31"/>
          <w:pgSz w:w="12240" w:h="15840"/>
          <w:pgMar w:header="725" w:footer="746" w:top="2020" w:bottom="940" w:left="1640" w:right="92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9568;mso-wrap-distance-left:0;mso-wrap-distance-right:0" from="88.559998pt,27.763792pt" to="559.439998pt,27.763792pt" stroked="true" strokeweight="1.44pt" strokecolor="#000000">
            <v:stroke dashstyle="solid"/>
            <w10:wrap type="topAndBottom"/>
          </v:line>
        </w:pict>
      </w:r>
      <w:bookmarkStart w:name="_TOC_250002" w:id="19"/>
      <w:bookmarkEnd w:id="19"/>
      <w:r>
        <w:rPr/>
        <w:t>Directors</w:t>
      </w:r>
    </w:p>
    <w:p>
      <w:pPr>
        <w:pStyle w:val="BodyText"/>
        <w:rPr>
          <w:rFonts w:ascii="Arial"/>
        </w:rPr>
      </w:pPr>
    </w:p>
    <w:p>
      <w:pPr>
        <w:pStyle w:val="BodyText"/>
        <w:spacing w:before="8"/>
        <w:rPr>
          <w:rFonts w:ascii="Arial"/>
          <w:sz w:val="21"/>
        </w:rPr>
      </w:pPr>
    </w:p>
    <w:p>
      <w:pPr>
        <w:pStyle w:val="Heading2"/>
        <w:spacing w:before="96"/>
      </w:pPr>
      <w:r>
        <w:rPr/>
        <w:t>Samuel E. Barshop</w:t>
      </w:r>
    </w:p>
    <w:p>
      <w:pPr>
        <w:pStyle w:val="BodyText"/>
        <w:spacing w:before="49"/>
        <w:ind w:left="1240"/>
      </w:pPr>
      <w:r>
        <w:rPr/>
        <w:t>Chairman of the Board,</w:t>
      </w:r>
    </w:p>
    <w:p>
      <w:pPr>
        <w:pStyle w:val="BodyText"/>
        <w:spacing w:before="9"/>
        <w:ind w:left="1240"/>
      </w:pPr>
      <w:r>
        <w:rPr/>
        <w:t>S. Barshop Investments Ltd.,</w:t>
      </w:r>
    </w:p>
    <w:p>
      <w:pPr>
        <w:pStyle w:val="BodyText"/>
        <w:spacing w:before="9"/>
        <w:ind w:left="1240"/>
      </w:pPr>
      <w:r>
        <w:rPr/>
        <w:t>San Antonio, Texas; Audit and Compensation Committees</w:t>
      </w:r>
    </w:p>
    <w:p>
      <w:pPr>
        <w:pStyle w:val="BodyText"/>
        <w:spacing w:before="7"/>
        <w:rPr>
          <w:sz w:val="21"/>
        </w:rPr>
      </w:pPr>
    </w:p>
    <w:p>
      <w:pPr>
        <w:pStyle w:val="Heading2"/>
      </w:pPr>
      <w:r>
        <w:rPr/>
        <w:t>Gene H. Bishop</w:t>
      </w:r>
    </w:p>
    <w:p>
      <w:pPr>
        <w:pStyle w:val="BodyText"/>
        <w:spacing w:before="49"/>
        <w:ind w:left="1240"/>
      </w:pPr>
      <w:r>
        <w:rPr/>
        <w:t>Retired Chairman and Chief Executive Officer,</w:t>
      </w:r>
    </w:p>
    <w:p>
      <w:pPr>
        <w:pStyle w:val="BodyText"/>
        <w:spacing w:before="10"/>
        <w:ind w:left="1240"/>
      </w:pPr>
      <w:r>
        <w:rPr/>
        <w:t>Life Partners Group, Inc., Dallas, Texas; Audit, Compensation, and Executive Committees</w:t>
      </w:r>
    </w:p>
    <w:p>
      <w:pPr>
        <w:pStyle w:val="BodyText"/>
        <w:spacing w:before="7"/>
        <w:rPr>
          <w:sz w:val="21"/>
        </w:rPr>
      </w:pPr>
    </w:p>
    <w:p>
      <w:pPr>
        <w:pStyle w:val="Heading2"/>
      </w:pPr>
      <w:r>
        <w:rPr/>
        <w:t>C. Webb Crockett</w:t>
      </w:r>
    </w:p>
    <w:p>
      <w:pPr>
        <w:pStyle w:val="BodyText"/>
        <w:spacing w:line="249" w:lineRule="auto" w:before="48"/>
        <w:ind w:left="1240" w:right="5160"/>
      </w:pPr>
      <w:r>
        <w:rPr/>
        <w:t>Shareholder, Fennemore Craig, Attorneys at Law, Phoenix, Arizona; Audit Committee</w:t>
      </w:r>
    </w:p>
    <w:p>
      <w:pPr>
        <w:pStyle w:val="BodyText"/>
        <w:spacing w:before="9"/>
      </w:pPr>
    </w:p>
    <w:p>
      <w:pPr>
        <w:pStyle w:val="Heading2"/>
      </w:pPr>
      <w:r>
        <w:rPr/>
        <w:t>William P. Hobby, Jr.</w:t>
      </w:r>
    </w:p>
    <w:p>
      <w:pPr>
        <w:pStyle w:val="BodyText"/>
        <w:spacing w:line="249" w:lineRule="auto" w:before="48"/>
        <w:ind w:left="1240" w:right="4688"/>
      </w:pPr>
      <w:r>
        <w:rPr/>
        <w:t>Former Lieutenant Governor of Texas; Chairman of the Board,</w:t>
      </w:r>
    </w:p>
    <w:p>
      <w:pPr>
        <w:pStyle w:val="BodyText"/>
        <w:spacing w:line="249" w:lineRule="auto"/>
        <w:ind w:left="1240" w:right="4743"/>
      </w:pPr>
      <w:r>
        <w:rPr/>
        <w:t>H&amp;C Communications, Houston, Texas; Audit and Compensation Committees</w:t>
      </w:r>
    </w:p>
    <w:p>
      <w:pPr>
        <w:pStyle w:val="BodyText"/>
        <w:spacing w:before="9"/>
      </w:pPr>
    </w:p>
    <w:p>
      <w:pPr>
        <w:pStyle w:val="Heading2"/>
      </w:pPr>
      <w:r>
        <w:rPr/>
        <w:t>Travis C. Johnson</w:t>
      </w:r>
    </w:p>
    <w:p>
      <w:pPr>
        <w:pStyle w:val="BodyText"/>
        <w:spacing w:line="249" w:lineRule="auto" w:before="48"/>
        <w:ind w:left="1240" w:right="5465"/>
      </w:pPr>
      <w:r>
        <w:rPr/>
        <w:t>Partner, Johnson &amp; Bowen, Attorneys at Law, El Paso, Texas; Audit Committee</w:t>
      </w:r>
    </w:p>
    <w:p>
      <w:pPr>
        <w:pStyle w:val="BodyText"/>
        <w:spacing w:before="9"/>
      </w:pPr>
    </w:p>
    <w:p>
      <w:pPr>
        <w:pStyle w:val="Heading2"/>
      </w:pPr>
      <w:r>
        <w:rPr/>
        <w:t>Herbert D. Kelleher</w:t>
      </w:r>
    </w:p>
    <w:p>
      <w:pPr>
        <w:pStyle w:val="BodyText"/>
        <w:spacing w:line="249" w:lineRule="auto" w:before="48"/>
        <w:ind w:left="1240" w:right="167"/>
      </w:pPr>
      <w:r>
        <w:rPr/>
        <w:t>Chairman of the Board, President, and Chief Executive Officer of Southwest Airlines, Co., Dallas, Texas; Executive Committee</w:t>
      </w:r>
    </w:p>
    <w:p>
      <w:pPr>
        <w:pStyle w:val="BodyText"/>
        <w:spacing w:before="9"/>
      </w:pPr>
    </w:p>
    <w:p>
      <w:pPr>
        <w:pStyle w:val="Heading2"/>
      </w:pPr>
      <w:r>
        <w:rPr/>
        <w:t>Rollin W. King</w:t>
      </w:r>
    </w:p>
    <w:p>
      <w:pPr>
        <w:pStyle w:val="BodyText"/>
        <w:spacing w:before="48"/>
        <w:ind w:left="1240"/>
      </w:pPr>
      <w:r>
        <w:rPr/>
        <w:t>Consultant, Dallas, Texas; Audit and Executive Committees</w:t>
      </w:r>
    </w:p>
    <w:p>
      <w:pPr>
        <w:pStyle w:val="BodyText"/>
        <w:spacing w:before="7"/>
        <w:rPr>
          <w:sz w:val="21"/>
        </w:rPr>
      </w:pPr>
    </w:p>
    <w:p>
      <w:pPr>
        <w:pStyle w:val="Heading2"/>
      </w:pPr>
      <w:r>
        <w:rPr/>
        <w:t>Walter M. Mischer, Sr.</w:t>
      </w:r>
    </w:p>
    <w:p>
      <w:pPr>
        <w:pStyle w:val="BodyText"/>
        <w:spacing w:line="249" w:lineRule="auto" w:before="49"/>
        <w:ind w:left="1240" w:right="167"/>
      </w:pPr>
      <w:r>
        <w:rPr/>
        <w:t>Chairman of the Board and Chief Executive Officer, Southern Investors Service Co., Inc., Houston, Texas (Real Estate Development); Audit and Compensation Committees</w:t>
      </w:r>
    </w:p>
    <w:p>
      <w:pPr>
        <w:pStyle w:val="BodyText"/>
        <w:spacing w:before="10"/>
      </w:pPr>
    </w:p>
    <w:p>
      <w:pPr>
        <w:pStyle w:val="Heading2"/>
      </w:pPr>
      <w:r>
        <w:rPr/>
        <w:t>June M. Morris</w:t>
      </w:r>
    </w:p>
    <w:p>
      <w:pPr>
        <w:pStyle w:val="BodyText"/>
        <w:spacing w:line="249" w:lineRule="auto" w:before="49"/>
        <w:ind w:left="1240"/>
      </w:pPr>
      <w:r>
        <w:rPr/>
        <w:t>Founder and former Chief Executive Officer of Morris Air Corporation, Salt Lake City, Utah; Audit Committee</w:t>
      </w:r>
    </w:p>
    <w:p>
      <w:pPr>
        <w:spacing w:after="0" w:line="249" w:lineRule="auto"/>
        <w:sectPr>
          <w:headerReference w:type="default" r:id="rId32"/>
          <w:pgSz w:w="12240" w:h="15840"/>
          <w:pgMar w:header="725" w:footer="746" w:top="940" w:bottom="940" w:left="1640" w:right="92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9592;mso-wrap-distance-left:0;mso-wrap-distance-right:0" from="88.559998pt,27.763792pt" to="559.439998pt,27.763792pt" stroked="true" strokeweight="1.44pt" strokecolor="#000000">
            <v:stroke dashstyle="solid"/>
            <w10:wrap type="topAndBottom"/>
          </v:line>
        </w:pict>
      </w:r>
      <w:bookmarkStart w:name="_TOC_250001" w:id="20"/>
      <w:bookmarkEnd w:id="20"/>
      <w:r>
        <w:rPr/>
        <w:t>Officers</w:t>
      </w:r>
    </w:p>
    <w:p>
      <w:pPr>
        <w:pStyle w:val="BodyText"/>
        <w:rPr>
          <w:rFonts w:ascii="Arial"/>
        </w:rPr>
      </w:pPr>
    </w:p>
    <w:p>
      <w:pPr>
        <w:pStyle w:val="BodyText"/>
        <w:spacing w:before="8"/>
        <w:rPr>
          <w:rFonts w:ascii="Arial"/>
          <w:sz w:val="21"/>
        </w:rPr>
      </w:pPr>
    </w:p>
    <w:p>
      <w:pPr>
        <w:pStyle w:val="Heading2"/>
        <w:spacing w:before="96"/>
      </w:pPr>
      <w:r>
        <w:rPr/>
        <w:t>Herbert D. Kelleher*</w:t>
      </w:r>
    </w:p>
    <w:p>
      <w:pPr>
        <w:pStyle w:val="BodyText"/>
        <w:spacing w:before="49"/>
        <w:ind w:left="1240"/>
      </w:pPr>
      <w:r>
        <w:rPr/>
        <w:t>Chairman of the Board, President, and Chief Executive Officer</w:t>
      </w:r>
    </w:p>
    <w:p>
      <w:pPr>
        <w:pStyle w:val="BodyText"/>
        <w:spacing w:before="7"/>
        <w:rPr>
          <w:sz w:val="21"/>
        </w:rPr>
      </w:pPr>
    </w:p>
    <w:p>
      <w:pPr>
        <w:pStyle w:val="Heading2"/>
      </w:pPr>
      <w:r>
        <w:rPr/>
        <w:t>Colleen C. Barrett*</w:t>
      </w:r>
    </w:p>
    <w:p>
      <w:pPr>
        <w:pStyle w:val="BodyText"/>
        <w:spacing w:before="49"/>
        <w:ind w:left="1240"/>
      </w:pPr>
      <w:r>
        <w:rPr/>
        <w:t>Executive Vice President–Customers and Corporate Secretary</w:t>
      </w:r>
    </w:p>
    <w:p>
      <w:pPr>
        <w:pStyle w:val="BodyText"/>
        <w:spacing w:before="7"/>
        <w:rPr>
          <w:sz w:val="21"/>
        </w:rPr>
      </w:pPr>
    </w:p>
    <w:p>
      <w:pPr>
        <w:pStyle w:val="Heading2"/>
      </w:pPr>
      <w:r>
        <w:rPr/>
        <w:t>Gary A. Barron*</w:t>
      </w:r>
    </w:p>
    <w:p>
      <w:pPr>
        <w:pStyle w:val="BodyText"/>
        <w:spacing w:before="48"/>
        <w:ind w:left="1240"/>
      </w:pPr>
      <w:r>
        <w:rPr/>
        <w:t>Executive Vice President, Chief Operations Officer</w:t>
      </w:r>
    </w:p>
    <w:p>
      <w:pPr>
        <w:pStyle w:val="BodyText"/>
        <w:spacing w:before="6"/>
        <w:rPr>
          <w:sz w:val="21"/>
        </w:rPr>
      </w:pPr>
    </w:p>
    <w:p>
      <w:pPr>
        <w:pStyle w:val="Heading2"/>
        <w:spacing w:before="1"/>
      </w:pPr>
      <w:r>
        <w:rPr/>
        <w:t>John G. Denison*</w:t>
      </w:r>
    </w:p>
    <w:p>
      <w:pPr>
        <w:pStyle w:val="BodyText"/>
        <w:spacing w:before="49"/>
        <w:ind w:left="1240"/>
      </w:pPr>
      <w:r>
        <w:rPr/>
        <w:t>Executive Vice President –Corporate Services</w:t>
      </w:r>
    </w:p>
    <w:p>
      <w:pPr>
        <w:pStyle w:val="BodyText"/>
        <w:spacing w:before="7"/>
        <w:rPr>
          <w:sz w:val="21"/>
        </w:rPr>
      </w:pPr>
    </w:p>
    <w:p>
      <w:pPr>
        <w:pStyle w:val="Heading2"/>
      </w:pPr>
      <w:r>
        <w:rPr/>
        <w:t>Carolyn R. Bates</w:t>
      </w:r>
    </w:p>
    <w:p>
      <w:pPr>
        <w:pStyle w:val="BodyText"/>
        <w:spacing w:before="49"/>
        <w:ind w:left="1240"/>
      </w:pPr>
      <w:r>
        <w:rPr/>
        <w:t>Vice President–Reservations</w:t>
      </w:r>
    </w:p>
    <w:p>
      <w:pPr>
        <w:pStyle w:val="BodyText"/>
        <w:spacing w:before="7"/>
        <w:rPr>
          <w:sz w:val="21"/>
        </w:rPr>
      </w:pPr>
    </w:p>
    <w:p>
      <w:pPr>
        <w:pStyle w:val="Heading2"/>
      </w:pPr>
      <w:r>
        <w:rPr/>
        <w:t>Alan S. Davis</w:t>
      </w:r>
    </w:p>
    <w:p>
      <w:pPr>
        <w:pStyle w:val="BodyText"/>
        <w:spacing w:before="48"/>
        <w:ind w:left="1240"/>
      </w:pPr>
      <w:r>
        <w:rPr/>
        <w:t>Vice President–Internal Audit and Special Projects</w:t>
      </w:r>
    </w:p>
    <w:p>
      <w:pPr>
        <w:pStyle w:val="BodyText"/>
        <w:spacing w:before="7"/>
        <w:rPr>
          <w:sz w:val="21"/>
        </w:rPr>
      </w:pPr>
    </w:p>
    <w:p>
      <w:pPr>
        <w:pStyle w:val="Heading2"/>
      </w:pPr>
      <w:r>
        <w:rPr/>
        <w:t>Camille T. Keith</w:t>
      </w:r>
    </w:p>
    <w:p>
      <w:pPr>
        <w:pStyle w:val="BodyText"/>
        <w:spacing w:before="49"/>
        <w:ind w:left="1240"/>
      </w:pPr>
      <w:r>
        <w:rPr/>
        <w:t>Vice President–Special Marketing</w:t>
      </w:r>
    </w:p>
    <w:p>
      <w:pPr>
        <w:pStyle w:val="BodyText"/>
        <w:spacing w:before="7"/>
        <w:rPr>
          <w:sz w:val="21"/>
        </w:rPr>
      </w:pPr>
    </w:p>
    <w:p>
      <w:pPr>
        <w:pStyle w:val="Heading2"/>
      </w:pPr>
      <w:r>
        <w:rPr/>
        <w:t>Gary C. Kelly*</w:t>
      </w:r>
    </w:p>
    <w:p>
      <w:pPr>
        <w:pStyle w:val="BodyText"/>
        <w:spacing w:before="49"/>
        <w:ind w:left="1240"/>
      </w:pPr>
      <w:r>
        <w:rPr/>
        <w:t>Vice President–Finance, Chief Financial Officer</w:t>
      </w:r>
    </w:p>
    <w:p>
      <w:pPr>
        <w:pStyle w:val="BodyText"/>
        <w:spacing w:before="7"/>
        <w:rPr>
          <w:sz w:val="21"/>
        </w:rPr>
      </w:pPr>
    </w:p>
    <w:p>
      <w:pPr>
        <w:pStyle w:val="Heading2"/>
      </w:pPr>
      <w:r>
        <w:rPr/>
        <w:t>Pete McGlade</w:t>
      </w:r>
    </w:p>
    <w:p>
      <w:pPr>
        <w:pStyle w:val="BodyText"/>
        <w:spacing w:before="48"/>
        <w:ind w:left="1240"/>
      </w:pPr>
      <w:r>
        <w:rPr/>
        <w:t>Vice President–Schedule Planning</w:t>
      </w:r>
    </w:p>
    <w:p>
      <w:pPr>
        <w:pStyle w:val="BodyText"/>
        <w:spacing w:before="7"/>
        <w:rPr>
          <w:sz w:val="21"/>
        </w:rPr>
      </w:pPr>
    </w:p>
    <w:p>
      <w:pPr>
        <w:pStyle w:val="Heading2"/>
      </w:pPr>
      <w:r>
        <w:rPr/>
        <w:t>William Q. Miller</w:t>
      </w:r>
    </w:p>
    <w:p>
      <w:pPr>
        <w:pStyle w:val="BodyText"/>
        <w:spacing w:before="49"/>
        <w:ind w:left="1240"/>
      </w:pPr>
      <w:r>
        <w:rPr/>
        <w:t>Vice President–Inflight Service</w:t>
      </w:r>
    </w:p>
    <w:p>
      <w:pPr>
        <w:pStyle w:val="BodyText"/>
        <w:spacing w:before="7"/>
        <w:rPr>
          <w:sz w:val="21"/>
        </w:rPr>
      </w:pPr>
    </w:p>
    <w:p>
      <w:pPr>
        <w:pStyle w:val="Heading2"/>
      </w:pPr>
      <w:r>
        <w:rPr/>
        <w:t>James F. Parker*</w:t>
      </w:r>
    </w:p>
    <w:p>
      <w:pPr>
        <w:pStyle w:val="BodyText"/>
        <w:spacing w:before="49"/>
        <w:ind w:left="1240"/>
      </w:pPr>
      <w:r>
        <w:rPr/>
        <w:t>Vice President–General Counsel</w:t>
      </w:r>
    </w:p>
    <w:p>
      <w:pPr>
        <w:pStyle w:val="BodyText"/>
        <w:spacing w:before="7"/>
        <w:rPr>
          <w:sz w:val="21"/>
        </w:rPr>
      </w:pPr>
    </w:p>
    <w:p>
      <w:pPr>
        <w:pStyle w:val="Heading2"/>
        <w:spacing w:before="1"/>
      </w:pPr>
      <w:r>
        <w:rPr/>
        <w:t>Robert W. Rapp, Jr.</w:t>
      </w:r>
    </w:p>
    <w:p>
      <w:pPr>
        <w:pStyle w:val="BodyText"/>
        <w:spacing w:before="49"/>
        <w:ind w:left="1240"/>
      </w:pPr>
      <w:r>
        <w:rPr/>
        <w:t>Vice President–Systems</w:t>
      </w:r>
    </w:p>
    <w:p>
      <w:pPr>
        <w:pStyle w:val="BodyText"/>
        <w:spacing w:before="7"/>
        <w:rPr>
          <w:sz w:val="21"/>
        </w:rPr>
      </w:pPr>
    </w:p>
    <w:p>
      <w:pPr>
        <w:pStyle w:val="Heading2"/>
      </w:pPr>
      <w:r>
        <w:rPr/>
        <w:t>Ron Ricks*</w:t>
      </w:r>
    </w:p>
    <w:p>
      <w:pPr>
        <w:pStyle w:val="BodyText"/>
        <w:spacing w:before="49"/>
        <w:ind w:left="1240"/>
      </w:pPr>
      <w:r>
        <w:rPr/>
        <w:t>Vice President–Governmental Affairs</w:t>
      </w:r>
    </w:p>
    <w:p>
      <w:pPr>
        <w:pStyle w:val="BodyText"/>
        <w:spacing w:before="7"/>
        <w:rPr>
          <w:sz w:val="21"/>
        </w:rPr>
      </w:pPr>
    </w:p>
    <w:p>
      <w:pPr>
        <w:pStyle w:val="Heading2"/>
      </w:pPr>
      <w:r>
        <w:rPr/>
        <w:t>Dave Ridley</w:t>
      </w:r>
    </w:p>
    <w:p>
      <w:pPr>
        <w:pStyle w:val="BodyText"/>
        <w:spacing w:before="48"/>
        <w:ind w:left="1240"/>
      </w:pPr>
      <w:r>
        <w:rPr/>
        <w:t>Vice President–Marketing and Sales</w:t>
      </w:r>
    </w:p>
    <w:p>
      <w:pPr>
        <w:pStyle w:val="BodyText"/>
        <w:spacing w:before="6"/>
        <w:rPr>
          <w:sz w:val="21"/>
        </w:rPr>
      </w:pPr>
    </w:p>
    <w:p>
      <w:pPr>
        <w:pStyle w:val="Heading2"/>
        <w:spacing w:before="1"/>
      </w:pPr>
      <w:r>
        <w:rPr/>
        <w:t>Joyce C. Rogge</w:t>
      </w:r>
    </w:p>
    <w:p>
      <w:pPr>
        <w:pStyle w:val="BodyText"/>
        <w:spacing w:before="49"/>
        <w:ind w:left="1240"/>
      </w:pPr>
      <w:r>
        <w:rPr/>
        <w:t>Vice President–Advertising and Promotions</w:t>
      </w:r>
    </w:p>
    <w:p>
      <w:pPr>
        <w:spacing w:after="0"/>
        <w:sectPr>
          <w:headerReference w:type="default" r:id="rId33"/>
          <w:pgSz w:w="12240" w:h="15840"/>
          <w:pgMar w:header="725" w:footer="746" w:top="940" w:bottom="940" w:left="1640" w:right="920"/>
        </w:sectPr>
      </w:pPr>
    </w:p>
    <w:p>
      <w:pPr>
        <w:pStyle w:val="BodyText"/>
      </w:pPr>
    </w:p>
    <w:p>
      <w:pPr>
        <w:pStyle w:val="BodyText"/>
        <w:rPr>
          <w:sz w:val="23"/>
        </w:rPr>
      </w:pPr>
    </w:p>
    <w:p>
      <w:pPr>
        <w:pStyle w:val="Heading2"/>
        <w:ind w:left="819"/>
      </w:pPr>
      <w:r>
        <w:rPr/>
        <w:t>Roger W. Saari</w:t>
      </w:r>
    </w:p>
    <w:p>
      <w:pPr>
        <w:pStyle w:val="BodyText"/>
        <w:spacing w:before="49"/>
        <w:ind w:left="1179"/>
      </w:pPr>
      <w:r>
        <w:rPr/>
        <w:t>Vice President–Fuel and Administrative Purchasing</w:t>
      </w:r>
    </w:p>
    <w:p>
      <w:pPr>
        <w:pStyle w:val="BodyText"/>
        <w:spacing w:before="7"/>
        <w:rPr>
          <w:sz w:val="21"/>
        </w:rPr>
      </w:pPr>
    </w:p>
    <w:p>
      <w:pPr>
        <w:pStyle w:val="Heading2"/>
        <w:ind w:left="819"/>
      </w:pPr>
      <w:r>
        <w:rPr/>
        <w:t>Elizabeth P. Sartain</w:t>
      </w:r>
    </w:p>
    <w:p>
      <w:pPr>
        <w:pStyle w:val="BodyText"/>
        <w:spacing w:before="49"/>
        <w:ind w:left="1179"/>
      </w:pPr>
      <w:r>
        <w:rPr/>
        <w:t>Vice President–People</w:t>
      </w:r>
    </w:p>
    <w:p>
      <w:pPr>
        <w:pStyle w:val="BodyText"/>
        <w:spacing w:before="7"/>
        <w:rPr>
          <w:sz w:val="21"/>
        </w:rPr>
      </w:pPr>
    </w:p>
    <w:p>
      <w:pPr>
        <w:pStyle w:val="Heading2"/>
        <w:ind w:left="819"/>
      </w:pPr>
      <w:r>
        <w:rPr/>
        <w:t>Paul E. Sterbenz</w:t>
      </w:r>
    </w:p>
    <w:p>
      <w:pPr>
        <w:pStyle w:val="BodyText"/>
        <w:spacing w:before="48"/>
        <w:ind w:left="1179"/>
      </w:pPr>
      <w:r>
        <w:rPr/>
        <w:t>Vice President–Flight Operations</w:t>
      </w:r>
    </w:p>
    <w:p>
      <w:pPr>
        <w:pStyle w:val="BodyText"/>
        <w:spacing w:before="7"/>
        <w:rPr>
          <w:sz w:val="21"/>
        </w:rPr>
      </w:pPr>
    </w:p>
    <w:p>
      <w:pPr>
        <w:pStyle w:val="Heading2"/>
        <w:ind w:left="819"/>
      </w:pPr>
      <w:r>
        <w:rPr/>
        <w:t>Keith L. Taylor</w:t>
      </w:r>
    </w:p>
    <w:p>
      <w:pPr>
        <w:pStyle w:val="BodyText"/>
        <w:spacing w:before="49"/>
        <w:ind w:left="1179"/>
      </w:pPr>
      <w:r>
        <w:rPr/>
        <w:t>Vice President–Revenue Management</w:t>
      </w:r>
    </w:p>
    <w:p>
      <w:pPr>
        <w:pStyle w:val="BodyText"/>
        <w:spacing w:before="7"/>
        <w:rPr>
          <w:sz w:val="21"/>
        </w:rPr>
      </w:pPr>
    </w:p>
    <w:p>
      <w:pPr>
        <w:pStyle w:val="Heading2"/>
        <w:ind w:left="819"/>
      </w:pPr>
      <w:r>
        <w:rPr/>
        <w:t>James C. Wimberly*</w:t>
      </w:r>
    </w:p>
    <w:p>
      <w:pPr>
        <w:pStyle w:val="BodyText"/>
        <w:spacing w:before="49"/>
        <w:ind w:left="1179"/>
      </w:pPr>
      <w:r>
        <w:rPr/>
        <w:t>Vice President–Ground Operations</w:t>
      </w:r>
    </w:p>
    <w:p>
      <w:pPr>
        <w:pStyle w:val="BodyText"/>
        <w:spacing w:before="7"/>
        <w:rPr>
          <w:sz w:val="21"/>
        </w:rPr>
      </w:pPr>
    </w:p>
    <w:p>
      <w:pPr>
        <w:pStyle w:val="Heading2"/>
        <w:spacing w:before="1"/>
        <w:ind w:left="819"/>
      </w:pPr>
      <w:r>
        <w:rPr/>
        <w:t>William D. Lyons</w:t>
      </w:r>
    </w:p>
    <w:p>
      <w:pPr>
        <w:pStyle w:val="BodyText"/>
        <w:spacing w:before="49"/>
        <w:ind w:left="1179"/>
      </w:pPr>
      <w:r>
        <w:rPr/>
        <w:t>Controller</w:t>
      </w:r>
    </w:p>
    <w:p>
      <w:pPr>
        <w:pStyle w:val="BodyText"/>
        <w:spacing w:before="7"/>
        <w:rPr>
          <w:sz w:val="21"/>
        </w:rPr>
      </w:pPr>
    </w:p>
    <w:p>
      <w:pPr>
        <w:pStyle w:val="Heading2"/>
        <w:ind w:left="819"/>
      </w:pPr>
      <w:r>
        <w:rPr/>
        <w:t>John D. Owen</w:t>
      </w:r>
    </w:p>
    <w:p>
      <w:pPr>
        <w:pStyle w:val="BodyText"/>
        <w:spacing w:before="49"/>
        <w:ind w:left="1179"/>
      </w:pPr>
      <w:r>
        <w:rPr/>
        <w:t>Treasurer</w:t>
      </w:r>
    </w:p>
    <w:p>
      <w:pPr>
        <w:pStyle w:val="BodyText"/>
        <w:spacing w:before="130"/>
        <w:ind w:left="819"/>
      </w:pPr>
      <w:r>
        <w:rPr/>
        <w:t>* Indicates Member of Executive Planning Committee</w:t>
      </w:r>
    </w:p>
    <w:p>
      <w:pPr>
        <w:spacing w:after="0"/>
        <w:sectPr>
          <w:pgSz w:w="12240" w:h="15840"/>
          <w:pgMar w:header="725" w:footer="746" w:top="940" w:bottom="940" w:left="1700" w:right="960"/>
        </w:sectPr>
      </w:pPr>
    </w:p>
    <w:p>
      <w:pPr>
        <w:pStyle w:val="BodyText"/>
      </w:pPr>
    </w:p>
    <w:p>
      <w:pPr>
        <w:pStyle w:val="BodyText"/>
        <w:spacing w:before="9"/>
        <w:rPr>
          <w:sz w:val="24"/>
        </w:rPr>
      </w:pPr>
    </w:p>
    <w:p>
      <w:pPr>
        <w:pStyle w:val="Heading1"/>
      </w:pPr>
      <w:r>
        <w:rPr/>
        <w:pict>
          <v:line style="position:absolute;mso-position-horizontal-relative:page;mso-position-vertical-relative:paragraph;z-index:9616;mso-wrap-distance-left:0;mso-wrap-distance-right:0" from="88.559998pt,27.763792pt" to="559.439998pt,27.763792pt" stroked="true" strokeweight="1.44pt" strokecolor="#000000">
            <v:stroke dashstyle="solid"/>
            <w10:wrap type="topAndBottom"/>
          </v:line>
        </w:pict>
      </w:r>
      <w:bookmarkStart w:name="_TOC_250000" w:id="21"/>
      <w:bookmarkEnd w:id="21"/>
      <w:r>
        <w:rPr/>
        <w:t>Dedication</w:t>
      </w:r>
    </w:p>
    <w:p>
      <w:pPr>
        <w:pStyle w:val="BodyText"/>
        <w:spacing w:before="1"/>
        <w:rPr>
          <w:rFonts w:ascii="Arial"/>
          <w:sz w:val="21"/>
        </w:rPr>
      </w:pPr>
    </w:p>
    <w:p>
      <w:pPr>
        <w:pStyle w:val="BodyText"/>
        <w:spacing w:line="249" w:lineRule="auto" w:before="93"/>
        <w:ind w:left="1240" w:right="237"/>
      </w:pPr>
      <w:r>
        <w:rPr/>
        <w:t>This Southwest Airlines Annual Report is dedicated to our 1994 Heroes of the Heart, our Technical Services Department, the most spirited group of Electronic Technicians in the industry. Your efficiency and resourcefulness help make us the Low Fare Airline.</w:t>
      </w:r>
    </w:p>
    <w:sectPr>
      <w:headerReference w:type="default" r:id="rId34"/>
      <w:pgSz w:w="12240" w:h="15840"/>
      <w:pgMar w:header="725" w:footer="746" w:top="940" w:bottom="940" w:left="16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43.714844pt;width:184.6pt;height:13.3pt;mso-position-horizontal-relative:page;mso-position-vertical-relative:page;z-index:-122824" type="#_x0000_t202" filled="false" stroked="false">
          <v:textbox inset="0,0,0,0">
            <w:txbxContent>
              <w:p>
                <w:pPr>
                  <w:pStyle w:val="BodyText"/>
                  <w:spacing w:before="15"/>
                  <w:ind w:left="20"/>
                  <w:rPr>
                    <w:rFonts w:ascii="Arial" w:hAnsi="Arial"/>
                  </w:rPr>
                </w:pPr>
                <w:r>
                  <w:rPr>
                    <w:rFonts w:ascii="Arial" w:hAnsi="Arial"/>
                  </w:rPr>
                  <w:t>Southwest Airlines – 1994 Annual Report</w:t>
                </w:r>
              </w:p>
            </w:txbxContent>
          </v:textbox>
          <w10:wrap type="none"/>
        </v:shape>
      </w:pict>
    </w:r>
    <w:r>
      <w:rPr/>
      <w:pict>
        <v:shape style="position:absolute;margin-left:519.799988pt;margin-top:743.714844pt;width:40.25pt;height:13.3pt;mso-position-horizontal-relative:page;mso-position-vertical-relative:page;z-index:-122800" type="#_x0000_t202" filled="false" stroked="false">
          <v:textbox inset="0,0,0,0">
            <w:txbxContent>
              <w:p>
                <w:pPr>
                  <w:pStyle w:val="BodyText"/>
                  <w:spacing w:before="15"/>
                  <w:ind w:left="20"/>
                  <w:rPr>
                    <w:rFonts w:ascii="Arial"/>
                  </w:rPr>
                </w:pPr>
                <w:r>
                  <w:rPr>
                    <w:rFonts w:ascii="Arial"/>
                  </w:rPr>
                  <w:t>Page </w:t>
                </w:r>
                <w:r>
                  <w:rPr/>
                  <w:fldChar w:fldCharType="begin"/>
                </w:r>
                <w:r>
                  <w:rPr>
                    <w:rFonts w:ascii="Arial"/>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77.559998pt;margin-top:35.234844pt;width:81.45pt;height:13.3pt;mso-position-horizontal-relative:page;mso-position-vertical-relative:page;z-index:-122848" type="#_x0000_t202" filled="false" stroked="false">
          <v:textbox inset="0,0,0,0">
            <w:txbxContent>
              <w:p>
                <w:pPr>
                  <w:pStyle w:val="BodyText"/>
                  <w:spacing w:before="15"/>
                  <w:ind w:left="20"/>
                  <w:rPr>
                    <w:rFonts w:ascii="Arial"/>
                  </w:rPr>
                </w:pPr>
                <w:r>
                  <w:rPr>
                    <w:rFonts w:ascii="Arial"/>
                  </w:rPr>
                  <w:t>Table of Contents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0.200012pt;margin-top:35.234844pt;width:48.8pt;height:13.3pt;mso-position-horizontal-relative:page;mso-position-vertical-relative:page;z-index:-122440" type="#_x0000_t202" filled="false" stroked="false">
          <v:textbox inset="0,0,0,0">
            <w:txbxContent>
              <w:p>
                <w:pPr>
                  <w:pStyle w:val="BodyText"/>
                  <w:spacing w:before="15"/>
                  <w:ind w:left="20"/>
                  <w:rPr>
                    <w:rFonts w:ascii="Arial"/>
                  </w:rPr>
                </w:pPr>
                <w:r>
                  <w:rPr>
                    <w:rFonts w:ascii="Arial"/>
                  </w:rPr>
                  <w:t>Expansion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2.200012pt;margin-top:35.234844pt;width:36.8pt;height:13.3pt;mso-position-horizontal-relative:page;mso-position-vertical-relative:page;z-index:-122416" type="#_x0000_t202" filled="false" stroked="false">
          <v:textbox inset="0,0,0,0">
            <w:txbxContent>
              <w:p>
                <w:pPr>
                  <w:pStyle w:val="BodyText"/>
                  <w:spacing w:before="15"/>
                  <w:ind w:left="20"/>
                  <w:rPr>
                    <w:rFonts w:ascii="Arial"/>
                  </w:rPr>
                </w:pPr>
                <w:r>
                  <w:rPr>
                    <w:rFonts w:ascii="Arial"/>
                  </w:rPr>
                  <w:t>Outlook</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62.199997pt;margin-top:35.234844pt;width:397.25pt;height:13.3pt;mso-position-horizontal-relative:page;mso-position-vertical-relative:page;z-index:-122392" type="#_x0000_t202" filled="false" stroked="false">
          <v:textbox inset="0,0,0,0">
            <w:txbxContent>
              <w:p>
                <w:pPr>
                  <w:pStyle w:val="BodyText"/>
                  <w:spacing w:before="15"/>
                  <w:ind w:left="20"/>
                  <w:rPr>
                    <w:rFonts w:ascii="Arial"/>
                  </w:rPr>
                </w:pPr>
                <w:r>
                  <w:rPr>
                    <w:rFonts w:ascii="Arial"/>
                  </w:rPr>
                  <w:t>Management's Discussion and Analysis of Financial Condition and Results of Operations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368" from="88.559998pt,101.040001pt" to="559.439998pt,101.040001pt" stroked="true" strokeweight="1.44pt" strokecolor="#000000">
          <v:stroke dashstyle="solid"/>
          <w10:wrap type="none"/>
        </v:line>
      </w:pict>
    </w:r>
    <w:r>
      <w:rPr/>
      <w:pict>
        <v:shape style="position:absolute;margin-left:430.519989pt;margin-top:35.234844pt;width:128.35pt;height:13.3pt;mso-position-horizontal-relative:page;mso-position-vertical-relative:page;z-index:-122344" type="#_x0000_t202" filled="false" stroked="false">
          <v:textbox inset="0,0,0,0">
            <w:txbxContent>
              <w:p>
                <w:pPr>
                  <w:pStyle w:val="BodyText"/>
                  <w:spacing w:before="15"/>
                  <w:ind w:left="20"/>
                  <w:rPr>
                    <w:rFonts w:ascii="Arial"/>
                  </w:rPr>
                </w:pPr>
                <w:r>
                  <w:rPr>
                    <w:rFonts w:ascii="Arial"/>
                  </w:rPr>
                  <w:t>Consolidated Balance Sheet</w:t>
                </w:r>
              </w:p>
            </w:txbxContent>
          </v:textbox>
          <w10:wrap type="none"/>
        </v:shape>
      </w:pict>
    </w:r>
    <w:r>
      <w:rPr/>
      <w:pict>
        <v:shape style="position:absolute;margin-left:89pt;margin-top:77.265076pt;width:230.4pt;height:22.15pt;mso-position-horizontal-relative:page;mso-position-vertical-relative:page;z-index:-122320" type="#_x0000_t202" filled="false" stroked="false">
          <v:textbox inset="0,0,0,0">
            <w:txbxContent>
              <w:p>
                <w:pPr>
                  <w:spacing w:before="8"/>
                  <w:ind w:left="20" w:right="0" w:firstLine="0"/>
                  <w:jc w:val="left"/>
                  <w:rPr>
                    <w:rFonts w:ascii="Arial"/>
                    <w:sz w:val="36"/>
                  </w:rPr>
                </w:pPr>
                <w:bookmarkStart w:name="_TOC_250009" w:id="12"/>
                <w:bookmarkEnd w:id="12"/>
                <w:r>
                  <w:rPr>
                    <w:rFonts w:ascii="Arial"/>
                    <w:sz w:val="36"/>
                  </w:rPr>
                  <w:t>Consolidated Balance Sheet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296" from="88.559998pt,101.040001pt" to="559.439998pt,101.040001pt" stroked="true" strokeweight="1.44pt" strokecolor="#000000">
          <v:stroke dashstyle="solid"/>
          <w10:wrap type="none"/>
        </v:line>
      </w:pict>
    </w:r>
    <w:r>
      <w:rPr/>
      <w:pict>
        <v:shape style="position:absolute;margin-left:399.799988pt;margin-top:35.234844pt;width:159.5pt;height:13.3pt;mso-position-horizontal-relative:page;mso-position-vertical-relative:page;z-index:-122272" type="#_x0000_t202" filled="false" stroked="false">
          <v:textbox inset="0,0,0,0">
            <w:txbxContent>
              <w:p>
                <w:pPr>
                  <w:pStyle w:val="BodyText"/>
                  <w:spacing w:before="15"/>
                  <w:ind w:left="20"/>
                  <w:rPr>
                    <w:rFonts w:ascii="Arial"/>
                  </w:rPr>
                </w:pPr>
                <w:r>
                  <w:rPr>
                    <w:rFonts w:ascii="Arial"/>
                  </w:rPr>
                  <w:t>Consolidated Statement Of Income</w:t>
                </w:r>
              </w:p>
            </w:txbxContent>
          </v:textbox>
          <w10:wrap type="none"/>
        </v:shape>
      </w:pict>
    </w:r>
    <w:r>
      <w:rPr/>
      <w:pict>
        <v:shape style="position:absolute;margin-left:89pt;margin-top:77.265076pt;width:284.5pt;height:22.15pt;mso-position-horizontal-relative:page;mso-position-vertical-relative:page;z-index:-122248" type="#_x0000_t202" filled="false" stroked="false">
          <v:textbox inset="0,0,0,0">
            <w:txbxContent>
              <w:p>
                <w:pPr>
                  <w:spacing w:before="8"/>
                  <w:ind w:left="20" w:right="0" w:firstLine="0"/>
                  <w:jc w:val="left"/>
                  <w:rPr>
                    <w:rFonts w:ascii="Arial"/>
                    <w:sz w:val="36"/>
                  </w:rPr>
                </w:pPr>
                <w:bookmarkStart w:name="_TOC_250008" w:id="13"/>
                <w:bookmarkEnd w:id="13"/>
                <w:r>
                  <w:rPr>
                    <w:rFonts w:ascii="Arial"/>
                    <w:sz w:val="36"/>
                  </w:rPr>
                  <w:t>Consolidated Statement Of Income</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224" from="88.559998pt,101.040001pt" to="559.439998pt,101.040001pt" stroked="true" strokeweight="1.44pt" strokecolor="#000000">
          <v:stroke dashstyle="solid"/>
          <w10:wrap type="none"/>
        </v:line>
      </w:pict>
    </w:r>
    <w:r>
      <w:rPr/>
      <w:pict>
        <v:shape style="position:absolute;margin-left:342.200012pt;margin-top:35.234844pt;width:216.8pt;height:13.3pt;mso-position-horizontal-relative:page;mso-position-vertical-relative:page;z-index:-122200" type="#_x0000_t202" filled="false" stroked="false">
          <v:textbox inset="0,0,0,0">
            <w:txbxContent>
              <w:p>
                <w:pPr>
                  <w:pStyle w:val="BodyText"/>
                  <w:spacing w:before="15"/>
                  <w:ind w:left="20"/>
                  <w:rPr>
                    <w:rFonts w:ascii="Arial"/>
                  </w:rPr>
                </w:pPr>
                <w:r>
                  <w:rPr>
                    <w:rFonts w:ascii="Arial"/>
                  </w:rPr>
                  <w:t>Consolidated Statement Of Stockholders' Equity</w:t>
                </w:r>
              </w:p>
            </w:txbxContent>
          </v:textbox>
          <w10:wrap type="none"/>
        </v:shape>
      </w:pict>
    </w:r>
    <w:r>
      <w:rPr/>
      <w:pict>
        <v:shape style="position:absolute;margin-left:89pt;margin-top:77.265076pt;width:387.9pt;height:22.15pt;mso-position-horizontal-relative:page;mso-position-vertical-relative:page;z-index:-122176" type="#_x0000_t202" filled="false" stroked="false">
          <v:textbox inset="0,0,0,0">
            <w:txbxContent>
              <w:p>
                <w:pPr>
                  <w:spacing w:before="8"/>
                  <w:ind w:left="20" w:right="0" w:firstLine="0"/>
                  <w:jc w:val="left"/>
                  <w:rPr>
                    <w:rFonts w:ascii="Arial"/>
                    <w:sz w:val="36"/>
                  </w:rPr>
                </w:pPr>
                <w:bookmarkStart w:name="_TOC_250007" w:id="14"/>
                <w:bookmarkEnd w:id="14"/>
                <w:r>
                  <w:rPr>
                    <w:rFonts w:ascii="Arial"/>
                    <w:sz w:val="36"/>
                  </w:rPr>
                  <w:t>Consolidated Statement Of Stockholders' Equity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1.079987pt;margin-top:35.234844pt;width:178pt;height:13.3pt;mso-position-horizontal-relative:page;mso-position-vertical-relative:page;z-index:-122152" type="#_x0000_t202" filled="false" stroked="false">
          <v:textbox inset="0,0,0,0">
            <w:txbxContent>
              <w:p>
                <w:pPr>
                  <w:pStyle w:val="BodyText"/>
                  <w:spacing w:before="15"/>
                  <w:ind w:left="20"/>
                  <w:rPr>
                    <w:rFonts w:ascii="Arial"/>
                  </w:rPr>
                </w:pPr>
                <w:r>
                  <w:rPr>
                    <w:rFonts w:ascii="Arial"/>
                  </w:rPr>
                  <w:t>Consolidated Statement Of Cash Flows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1.399994pt;margin-top:35.234844pt;width:197.65pt;height:13.3pt;mso-position-horizontal-relative:page;mso-position-vertical-relative:page;z-index:-122128" type="#_x0000_t202" filled="false" stroked="false">
          <v:textbox inset="0,0,0,0">
            <w:txbxContent>
              <w:p>
                <w:pPr>
                  <w:pStyle w:val="BodyText"/>
                  <w:spacing w:before="15"/>
                  <w:ind w:left="20"/>
                  <w:rPr>
                    <w:rFonts w:ascii="Arial"/>
                  </w:rPr>
                </w:pPr>
                <w:r>
                  <w:rPr>
                    <w:rFonts w:ascii="Arial"/>
                  </w:rPr>
                  <w:t>Notes to Consolidated Financial Statements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104" from="88.559998pt,101.040001pt" to="559.439998pt,101.040001pt" stroked="true" strokeweight="1.44pt" strokecolor="#000000">
          <v:stroke dashstyle="solid"/>
          <w10:wrap type="none"/>
        </v:line>
      </w:pict>
    </w:r>
    <w:r>
      <w:rPr/>
      <w:pict>
        <v:shape style="position:absolute;margin-left:461.959991pt;margin-top:35.234844pt;width:96.9pt;height:13.3pt;mso-position-horizontal-relative:page;mso-position-vertical-relative:page;z-index:-122080" type="#_x0000_t202" filled="false" stroked="false">
          <v:textbox inset="0,0,0,0">
            <w:txbxContent>
              <w:p>
                <w:pPr>
                  <w:pStyle w:val="BodyText"/>
                  <w:spacing w:before="15"/>
                  <w:ind w:left="20"/>
                  <w:rPr>
                    <w:rFonts w:ascii="Arial"/>
                  </w:rPr>
                </w:pPr>
                <w:r>
                  <w:rPr>
                    <w:rFonts w:ascii="Arial"/>
                  </w:rPr>
                  <w:t>Independent Auditors</w:t>
                </w:r>
              </w:p>
            </w:txbxContent>
          </v:textbox>
          <w10:wrap type="none"/>
        </v:shape>
      </w:pict>
    </w:r>
    <w:r>
      <w:rPr/>
      <w:pict>
        <v:shape style="position:absolute;margin-left:89pt;margin-top:77.265076pt;width:174.05pt;height:22.15pt;mso-position-horizontal-relative:page;mso-position-vertical-relative:page;z-index:-122056" type="#_x0000_t202" filled="false" stroked="false">
          <v:textbox inset="0,0,0,0">
            <w:txbxContent>
              <w:p>
                <w:pPr>
                  <w:spacing w:before="8"/>
                  <w:ind w:left="20" w:right="0" w:firstLine="0"/>
                  <w:jc w:val="left"/>
                  <w:rPr>
                    <w:rFonts w:ascii="Arial"/>
                    <w:sz w:val="36"/>
                  </w:rPr>
                </w:pPr>
                <w:bookmarkStart w:name="_TOC_250004" w:id="17"/>
                <w:bookmarkEnd w:id="17"/>
                <w:r>
                  <w:rPr>
                    <w:rFonts w:ascii="Arial"/>
                    <w:sz w:val="36"/>
                  </w:rPr>
                  <w:t>Independent Auditors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032" from="88.559998pt,101.040001pt" to="559.439998pt,101.040001pt" stroked="true" strokeweight="1.44pt" strokecolor="#000000">
          <v:stroke dashstyle="solid"/>
          <w10:wrap type="none"/>
        </v:line>
      </w:pict>
    </w:r>
    <w:r>
      <w:rPr/>
      <w:pict>
        <v:shape style="position:absolute;margin-left:488.600006pt;margin-top:35.234844pt;width:70.5pt;height:13.3pt;mso-position-horizontal-relative:page;mso-position-vertical-relative:page;z-index:-122008" type="#_x0000_t202" filled="false" stroked="false">
          <v:textbox inset="0,0,0,0">
            <w:txbxContent>
              <w:p>
                <w:pPr>
                  <w:pStyle w:val="BodyText"/>
                  <w:spacing w:before="15"/>
                  <w:ind w:left="20"/>
                  <w:rPr>
                    <w:rFonts w:ascii="Arial"/>
                  </w:rPr>
                </w:pPr>
                <w:r>
                  <w:rPr>
                    <w:rFonts w:ascii="Arial"/>
                  </w:rPr>
                  <w:t>Corporate Data</w:t>
                </w:r>
              </w:p>
            </w:txbxContent>
          </v:textbox>
          <w10:wrap type="none"/>
        </v:shape>
      </w:pict>
    </w:r>
    <w:r>
      <w:rPr/>
      <w:pict>
        <v:shape style="position:absolute;margin-left:89pt;margin-top:77.265076pt;width:125.6pt;height:22.15pt;mso-position-horizontal-relative:page;mso-position-vertical-relative:page;z-index:-121984" type="#_x0000_t202" filled="false" stroked="false">
          <v:textbox inset="0,0,0,0">
            <w:txbxContent>
              <w:p>
                <w:pPr>
                  <w:spacing w:before="8"/>
                  <w:ind w:left="20" w:right="0" w:firstLine="0"/>
                  <w:jc w:val="left"/>
                  <w:rPr>
                    <w:rFonts w:ascii="Arial"/>
                    <w:sz w:val="36"/>
                  </w:rPr>
                </w:pPr>
                <w:bookmarkStart w:name="_TOC_250003" w:id="18"/>
                <w:bookmarkEnd w:id="18"/>
                <w:r>
                  <w:rPr>
                    <w:rFonts w:ascii="Arial"/>
                    <w:sz w:val="36"/>
                  </w:rPr>
                  <w:t>Corporate Data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1.640015pt;margin-top:35.234844pt;width:107.4pt;height:13.3pt;mso-position-horizontal-relative:page;mso-position-vertical-relative:page;z-index:-122776" type="#_x0000_t202" filled="false" stroked="false">
          <v:textbox inset="0,0,0,0">
            <w:txbxContent>
              <w:p>
                <w:pPr>
                  <w:pStyle w:val="BodyText"/>
                  <w:spacing w:before="15"/>
                  <w:ind w:left="20"/>
                  <w:rPr>
                    <w:rFonts w:ascii="Arial"/>
                  </w:rPr>
                </w:pPr>
                <w:r>
                  <w:rPr>
                    <w:rFonts w:ascii="Arial"/>
                  </w:rPr>
                  <w:t>Consolidated Highlights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6.919983pt;margin-top:35.234844pt;width:41.95pt;height:13.3pt;mso-position-horizontal-relative:page;mso-position-vertical-relative:page;z-index:-121960" type="#_x0000_t202" filled="false" stroked="false">
          <v:textbox inset="0,0,0,0">
            <w:txbxContent>
              <w:p>
                <w:pPr>
                  <w:pStyle w:val="BodyText"/>
                  <w:spacing w:before="15"/>
                  <w:ind w:left="20"/>
                  <w:rPr>
                    <w:rFonts w:ascii="Arial"/>
                  </w:rPr>
                </w:pPr>
                <w:r>
                  <w:rPr>
                    <w:rFonts w:ascii="Arial"/>
                  </w:rPr>
                  <w:t>Directors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1.719971pt;margin-top:35.234844pt;width:37.4pt;height:13.3pt;mso-position-horizontal-relative:page;mso-position-vertical-relative:page;z-index:-121936" type="#_x0000_t202" filled="false" stroked="false">
          <v:textbox inset="0,0,0,0">
            <w:txbxContent>
              <w:p>
                <w:pPr>
                  <w:pStyle w:val="BodyText"/>
                  <w:spacing w:before="15"/>
                  <w:ind w:left="20"/>
                  <w:rPr>
                    <w:rFonts w:ascii="Arial"/>
                  </w:rPr>
                </w:pPr>
                <w:r>
                  <w:rPr>
                    <w:rFonts w:ascii="Arial"/>
                  </w:rPr>
                  <w:t>Officers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480011pt;margin-top:35.234844pt;width:49.55pt;height:13.3pt;mso-position-horizontal-relative:page;mso-position-vertical-relative:page;z-index:-121912" type="#_x0000_t202" filled="false" stroked="false">
          <v:textbox inset="0,0,0,0">
            <w:txbxContent>
              <w:p>
                <w:pPr>
                  <w:pStyle w:val="BodyText"/>
                  <w:spacing w:before="15"/>
                  <w:ind w:left="20"/>
                  <w:rPr>
                    <w:rFonts w:ascii="Arial"/>
                  </w:rPr>
                </w:pPr>
                <w:r>
                  <w:rPr>
                    <w:rFonts w:ascii="Arial"/>
                  </w:rPr>
                  <w:t>Dedication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0.679993pt;margin-top:35.234844pt;width:48.4pt;height:13.3pt;mso-position-horizontal-relative:page;mso-position-vertical-relative:page;z-index:-122752" type="#_x0000_t202" filled="false" stroked="false">
          <v:textbox inset="0,0,0,0">
            <w:txbxContent>
              <w:p>
                <w:pPr>
                  <w:pStyle w:val="BodyText"/>
                  <w:spacing w:before="15"/>
                  <w:ind w:left="20"/>
                  <w:rPr>
                    <w:rFonts w:ascii="Arial"/>
                  </w:rPr>
                </w:pPr>
                <w:r>
                  <w:rPr>
                    <w:rFonts w:ascii="Arial"/>
                  </w:rPr>
                  <w:t>Low Fares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63.399994pt;margin-top:35.234844pt;width:95.7pt;height:13.3pt;mso-position-horizontal-relative:page;mso-position-vertical-relative:page;z-index:-122728" type="#_x0000_t202" filled="false" stroked="false">
          <v:textbox inset="0,0,0,0">
            <w:txbxContent>
              <w:p>
                <w:pPr>
                  <w:pStyle w:val="BodyText"/>
                  <w:spacing w:before="15"/>
                  <w:ind w:left="20"/>
                  <w:rPr>
                    <w:rFonts w:ascii="Arial"/>
                  </w:rPr>
                </w:pPr>
                <w:r>
                  <w:rPr>
                    <w:rFonts w:ascii="Arial"/>
                  </w:rPr>
                  <w:t>To Our Shareholders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719971pt;margin-top:35.234844pt;width:43.25pt;height:13.3pt;mso-position-horizontal-relative:page;mso-position-vertical-relative:page;z-index:-122704" type="#_x0000_t202" filled="false" stroked="false">
          <v:textbox inset="0,0,0,0">
            <w:txbxContent>
              <w:p>
                <w:pPr>
                  <w:pStyle w:val="BodyText"/>
                  <w:spacing w:before="15"/>
                  <w:ind w:left="20"/>
                  <w:rPr>
                    <w:rFonts w:ascii="Arial"/>
                  </w:rPr>
                </w:pPr>
                <w:r>
                  <w:rPr>
                    <w:rFonts w:ascii="Arial"/>
                  </w:rPr>
                  <w:t>Low Cost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680" from="88.559998pt,101.040001pt" to="559.439998pt,101.040001pt" stroked="true" strokeweight="1.44pt" strokecolor="#000000">
          <v:stroke dashstyle="solid"/>
          <w10:wrap type="none"/>
        </v:line>
      </w:pict>
    </w:r>
    <w:r>
      <w:rPr/>
      <w:pict>
        <v:shape style="position:absolute;margin-left:504.200012pt;margin-top:35.234844pt;width:55.35pt;height:13.3pt;mso-position-horizontal-relative:page;mso-position-vertical-relative:page;z-index:-122656" type="#_x0000_t202" filled="false" stroked="false">
          <v:textbox inset="0,0,0,0">
            <w:txbxContent>
              <w:p>
                <w:pPr>
                  <w:pStyle w:val="BodyText"/>
                  <w:spacing w:before="15"/>
                  <w:ind w:left="20"/>
                  <w:rPr>
                    <w:rFonts w:ascii="Arial"/>
                  </w:rPr>
                </w:pPr>
                <w:r>
                  <w:rPr>
                    <w:rFonts w:ascii="Arial"/>
                  </w:rPr>
                  <w:t>Productivity</w:t>
                </w:r>
              </w:p>
            </w:txbxContent>
          </v:textbox>
          <w10:wrap type="none"/>
        </v:shape>
      </w:pict>
    </w:r>
    <w:r>
      <w:rPr/>
      <w:pict>
        <v:shape style="position:absolute;margin-left:89pt;margin-top:77.265076pt;width:96.3pt;height:22.15pt;mso-position-horizontal-relative:page;mso-position-vertical-relative:page;z-index:-122632" type="#_x0000_t202" filled="false" stroked="false">
          <v:textbox inset="0,0,0,0">
            <w:txbxContent>
              <w:p>
                <w:pPr>
                  <w:spacing w:before="8"/>
                  <w:ind w:left="20" w:right="0" w:firstLine="0"/>
                  <w:jc w:val="left"/>
                  <w:rPr>
                    <w:rFonts w:ascii="Arial"/>
                    <w:sz w:val="36"/>
                  </w:rPr>
                </w:pPr>
                <w:bookmarkStart w:name="_TOC_250015" w:id="6"/>
                <w:bookmarkEnd w:id="6"/>
                <w:r>
                  <w:rPr>
                    <w:rFonts w:ascii="Arial"/>
                    <w:sz w:val="36"/>
                  </w:rPr>
                  <w:t>Productivity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608" from="88.559998pt,101.040001pt" to="559.439998pt,101.040001pt" stroked="true" strokeweight="1.44pt" strokecolor="#000000">
          <v:stroke dashstyle="solid"/>
          <w10:wrap type="none"/>
        </v:line>
      </w:pict>
    </w:r>
    <w:r>
      <w:rPr/>
      <w:pict>
        <v:shape style="position:absolute;margin-left:518.119995pt;margin-top:35.234844pt;width:40.7pt;height:13.3pt;mso-position-horizontal-relative:page;mso-position-vertical-relative:page;z-index:-122584" type="#_x0000_t202" filled="false" stroked="false">
          <v:textbox inset="0,0,0,0">
            <w:txbxContent>
              <w:p>
                <w:pPr>
                  <w:pStyle w:val="BodyText"/>
                  <w:spacing w:before="15"/>
                  <w:ind w:left="20"/>
                  <w:rPr>
                    <w:rFonts w:ascii="Arial"/>
                  </w:rPr>
                </w:pPr>
                <w:r>
                  <w:rPr>
                    <w:rFonts w:ascii="Arial"/>
                  </w:rPr>
                  <w:t>Jet Fleet</w:t>
                </w:r>
              </w:p>
            </w:txbxContent>
          </v:textbox>
          <w10:wrap type="none"/>
        </v:shape>
      </w:pict>
    </w:r>
    <w:r>
      <w:rPr/>
      <w:pict>
        <v:shape style="position:absolute;margin-left:89pt;margin-top:77.265076pt;width:71.2pt;height:22.15pt;mso-position-horizontal-relative:page;mso-position-vertical-relative:page;z-index:-122560" type="#_x0000_t202" filled="false" stroked="false">
          <v:textbox inset="0,0,0,0">
            <w:txbxContent>
              <w:p>
                <w:pPr>
                  <w:spacing w:before="8"/>
                  <w:ind w:left="20" w:right="0" w:firstLine="0"/>
                  <w:jc w:val="left"/>
                  <w:rPr>
                    <w:rFonts w:ascii="Arial"/>
                    <w:sz w:val="36"/>
                  </w:rPr>
                </w:pPr>
                <w:bookmarkStart w:name="_TOC_250014" w:id="7"/>
                <w:bookmarkEnd w:id="7"/>
                <w:r>
                  <w:rPr>
                    <w:rFonts w:ascii="Arial"/>
                    <w:sz w:val="36"/>
                  </w:rPr>
                  <w:t>Jet Fleet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2536" from="88.559998pt,101.040001pt" to="559.439998pt,101.040001pt" stroked="true" strokeweight="1.44pt" strokecolor="#000000">
          <v:stroke dashstyle="solid"/>
          <w10:wrap type="none"/>
        </v:line>
      </w:pict>
    </w:r>
    <w:r>
      <w:rPr/>
      <w:pict>
        <v:shape style="position:absolute;margin-left:522.919983pt;margin-top:35.234844pt;width:36.25pt;height:13.3pt;mso-position-horizontal-relative:page;mso-position-vertical-relative:page;z-index:-122512" type="#_x0000_t202" filled="false" stroked="false">
          <v:textbox inset="0,0,0,0">
            <w:txbxContent>
              <w:p>
                <w:pPr>
                  <w:pStyle w:val="BodyText"/>
                  <w:spacing w:before="15"/>
                  <w:ind w:left="20"/>
                  <w:rPr>
                    <w:rFonts w:ascii="Arial"/>
                  </w:rPr>
                </w:pPr>
                <w:r>
                  <w:rPr>
                    <w:rFonts w:ascii="Arial"/>
                  </w:rPr>
                  <w:t>Service</w:t>
                </w:r>
              </w:p>
            </w:txbxContent>
          </v:textbox>
          <w10:wrap type="none"/>
        </v:shape>
      </w:pict>
    </w:r>
    <w:r>
      <w:rPr/>
      <w:pict>
        <v:shape style="position:absolute;margin-left:89pt;margin-top:77.265076pt;width:62.65pt;height:22.15pt;mso-position-horizontal-relative:page;mso-position-vertical-relative:page;z-index:-122488" type="#_x0000_t202" filled="false" stroked="false">
          <v:textbox inset="0,0,0,0">
            <w:txbxContent>
              <w:p>
                <w:pPr>
                  <w:spacing w:before="8"/>
                  <w:ind w:left="20" w:right="0" w:firstLine="0"/>
                  <w:jc w:val="left"/>
                  <w:rPr>
                    <w:rFonts w:ascii="Arial"/>
                    <w:sz w:val="36"/>
                  </w:rPr>
                </w:pPr>
                <w:bookmarkStart w:name="_TOC_250013" w:id="8"/>
                <w:bookmarkEnd w:id="8"/>
                <w:r>
                  <w:rPr>
                    <w:rFonts w:ascii="Arial"/>
                    <w:sz w:val="36"/>
                  </w:rPr>
                  <w:t>Service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3.719971pt;margin-top:35.234844pt;width:25.25pt;height:13.3pt;mso-position-horizontal-relative:page;mso-position-vertical-relative:page;z-index:-122464" type="#_x0000_t202" filled="false" stroked="false">
          <v:textbox inset="0,0,0,0">
            <w:txbxContent>
              <w:p>
                <w:pPr>
                  <w:pStyle w:val="BodyText"/>
                  <w:spacing w:before="15"/>
                  <w:ind w:left="20"/>
                  <w:rPr>
                    <w:rFonts w:ascii="Arial"/>
                  </w:rPr>
                </w:pPr>
                <w:r>
                  <w:rPr>
                    <w:rFonts w:ascii="Arial"/>
                  </w:rPr>
                  <w:t>Spirit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63" w:hanging="284"/>
        <w:jc w:val="right"/>
      </w:pPr>
      <w:rPr>
        <w:rFonts w:hint="default" w:ascii="Arial" w:hAnsi="Arial" w:eastAsia="Arial" w:cs="Arial"/>
        <w:b/>
        <w:bCs/>
        <w:w w:val="99"/>
        <w:sz w:val="20"/>
        <w:szCs w:val="20"/>
      </w:rPr>
    </w:lvl>
    <w:lvl w:ilvl="1">
      <w:start w:val="0"/>
      <w:numFmt w:val="bullet"/>
      <w:lvlText w:val="•"/>
      <w:lvlJc w:val="left"/>
      <w:pPr>
        <w:ind w:left="1460" w:hanging="284"/>
      </w:pPr>
      <w:rPr>
        <w:rFonts w:hint="default"/>
      </w:rPr>
    </w:lvl>
    <w:lvl w:ilvl="2">
      <w:start w:val="0"/>
      <w:numFmt w:val="bullet"/>
      <w:lvlText w:val="•"/>
      <w:lvlJc w:val="left"/>
      <w:pPr>
        <w:ind w:left="2373" w:hanging="284"/>
      </w:pPr>
      <w:rPr>
        <w:rFonts w:hint="default"/>
      </w:rPr>
    </w:lvl>
    <w:lvl w:ilvl="3">
      <w:start w:val="0"/>
      <w:numFmt w:val="bullet"/>
      <w:lvlText w:val="•"/>
      <w:lvlJc w:val="left"/>
      <w:pPr>
        <w:ind w:left="3286" w:hanging="284"/>
      </w:pPr>
      <w:rPr>
        <w:rFonts w:hint="default"/>
      </w:rPr>
    </w:lvl>
    <w:lvl w:ilvl="4">
      <w:start w:val="0"/>
      <w:numFmt w:val="bullet"/>
      <w:lvlText w:val="•"/>
      <w:lvlJc w:val="left"/>
      <w:pPr>
        <w:ind w:left="4200" w:hanging="284"/>
      </w:pPr>
      <w:rPr>
        <w:rFonts w:hint="default"/>
      </w:rPr>
    </w:lvl>
    <w:lvl w:ilvl="5">
      <w:start w:val="0"/>
      <w:numFmt w:val="bullet"/>
      <w:lvlText w:val="•"/>
      <w:lvlJc w:val="left"/>
      <w:pPr>
        <w:ind w:left="5113" w:hanging="284"/>
      </w:pPr>
      <w:rPr>
        <w:rFonts w:hint="default"/>
      </w:rPr>
    </w:lvl>
    <w:lvl w:ilvl="6">
      <w:start w:val="0"/>
      <w:numFmt w:val="bullet"/>
      <w:lvlText w:val="•"/>
      <w:lvlJc w:val="left"/>
      <w:pPr>
        <w:ind w:left="6026" w:hanging="284"/>
      </w:pPr>
      <w:rPr>
        <w:rFonts w:hint="default"/>
      </w:rPr>
    </w:lvl>
    <w:lvl w:ilvl="7">
      <w:start w:val="0"/>
      <w:numFmt w:val="bullet"/>
      <w:lvlText w:val="•"/>
      <w:lvlJc w:val="left"/>
      <w:pPr>
        <w:ind w:left="6940" w:hanging="284"/>
      </w:pPr>
      <w:rPr>
        <w:rFonts w:hint="default"/>
      </w:rPr>
    </w:lvl>
    <w:lvl w:ilvl="8">
      <w:start w:val="0"/>
      <w:numFmt w:val="bullet"/>
      <w:lvlText w:val="•"/>
      <w:lvlJc w:val="left"/>
      <w:pPr>
        <w:ind w:left="7853" w:hanging="284"/>
      </w:pPr>
      <w:rPr>
        <w:rFonts w:hint="default"/>
      </w:rPr>
    </w:lvl>
  </w:abstractNum>
  <w:abstractNum w:abstractNumId="1">
    <w:multiLevelType w:val="hybridMultilevel"/>
    <w:lvl w:ilvl="0">
      <w:start w:val="0"/>
      <w:numFmt w:val="bullet"/>
      <w:lvlText w:val=""/>
      <w:lvlJc w:val="left"/>
      <w:pPr>
        <w:ind w:left="1600" w:hanging="360"/>
      </w:pPr>
      <w:rPr>
        <w:rFonts w:hint="default" w:ascii="Symbol" w:hAnsi="Symbol" w:eastAsia="Symbol" w:cs="Symbol"/>
        <w:w w:val="100"/>
        <w:sz w:val="20"/>
        <w:szCs w:val="20"/>
      </w:rPr>
    </w:lvl>
    <w:lvl w:ilvl="1">
      <w:start w:val="0"/>
      <w:numFmt w:val="bullet"/>
      <w:lvlText w:val="•"/>
      <w:lvlJc w:val="left"/>
      <w:pPr>
        <w:ind w:left="2408" w:hanging="360"/>
      </w:pPr>
      <w:rPr>
        <w:rFonts w:hint="default"/>
      </w:rPr>
    </w:lvl>
    <w:lvl w:ilvl="2">
      <w:start w:val="0"/>
      <w:numFmt w:val="bullet"/>
      <w:lvlText w:val="•"/>
      <w:lvlJc w:val="left"/>
      <w:pPr>
        <w:ind w:left="3216" w:hanging="360"/>
      </w:pPr>
      <w:rPr>
        <w:rFonts w:hint="default"/>
      </w:rPr>
    </w:lvl>
    <w:lvl w:ilvl="3">
      <w:start w:val="0"/>
      <w:numFmt w:val="bullet"/>
      <w:lvlText w:val="•"/>
      <w:lvlJc w:val="left"/>
      <w:pPr>
        <w:ind w:left="4024" w:hanging="360"/>
      </w:pPr>
      <w:rPr>
        <w:rFonts w:hint="default"/>
      </w:rPr>
    </w:lvl>
    <w:lvl w:ilvl="4">
      <w:start w:val="0"/>
      <w:numFmt w:val="bullet"/>
      <w:lvlText w:val="•"/>
      <w:lvlJc w:val="left"/>
      <w:pPr>
        <w:ind w:left="4832" w:hanging="360"/>
      </w:pPr>
      <w:rPr>
        <w:rFonts w:hint="default"/>
      </w:rPr>
    </w:lvl>
    <w:lvl w:ilvl="5">
      <w:start w:val="0"/>
      <w:numFmt w:val="bullet"/>
      <w:lvlText w:val="•"/>
      <w:lvlJc w:val="left"/>
      <w:pPr>
        <w:ind w:left="5640" w:hanging="360"/>
      </w:pPr>
      <w:rPr>
        <w:rFonts w:hint="default"/>
      </w:rPr>
    </w:lvl>
    <w:lvl w:ilvl="6">
      <w:start w:val="0"/>
      <w:numFmt w:val="bullet"/>
      <w:lvlText w:val="•"/>
      <w:lvlJc w:val="left"/>
      <w:pPr>
        <w:ind w:left="644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064" w:hanging="360"/>
      </w:pPr>
      <w:rPr>
        <w:rFonts w:hint="default"/>
      </w:rPr>
    </w:lvl>
  </w:abstractNum>
  <w:abstractNum w:abstractNumId="0">
    <w:multiLevelType w:val="hybridMultilevel"/>
    <w:lvl w:ilvl="0">
      <w:start w:val="6"/>
      <w:numFmt w:val="decimal"/>
      <w:lvlText w:val="%1"/>
      <w:lvlJc w:val="left"/>
      <w:pPr>
        <w:ind w:left="1190" w:hanging="311"/>
        <w:jc w:val="left"/>
      </w:pPr>
      <w:rPr>
        <w:rFonts w:hint="default"/>
      </w:rPr>
    </w:lvl>
    <w:lvl w:ilvl="1">
      <w:start w:val="9"/>
      <w:numFmt w:val="decimal"/>
      <w:lvlText w:val="%1.%2"/>
      <w:lvlJc w:val="left"/>
      <w:pPr>
        <w:ind w:left="1190" w:hanging="311"/>
        <w:jc w:val="left"/>
      </w:pPr>
      <w:rPr>
        <w:rFonts w:hint="default" w:ascii="Times New Roman" w:hAnsi="Times New Roman" w:eastAsia="Times New Roman" w:cs="Times New Roman"/>
        <w:spacing w:val="0"/>
        <w:w w:val="100"/>
        <w:sz w:val="20"/>
        <w:szCs w:val="20"/>
      </w:rPr>
    </w:lvl>
    <w:lvl w:ilvl="2">
      <w:start w:val="1"/>
      <w:numFmt w:val="decimal"/>
      <w:lvlText w:val="%3."/>
      <w:lvlJc w:val="left"/>
      <w:pPr>
        <w:ind w:left="1600" w:hanging="360"/>
        <w:jc w:val="left"/>
      </w:pPr>
      <w:rPr>
        <w:rFonts w:hint="default" w:ascii="Times New Roman" w:hAnsi="Times New Roman" w:eastAsia="Times New Roman" w:cs="Times New Roman"/>
        <w:w w:val="100"/>
        <w:sz w:val="20"/>
        <w:szCs w:val="20"/>
      </w:rPr>
    </w:lvl>
    <w:lvl w:ilvl="3">
      <w:start w:val="0"/>
      <w:numFmt w:val="bullet"/>
      <w:lvlText w:val="•"/>
      <w:lvlJc w:val="left"/>
      <w:pPr>
        <w:ind w:left="3395" w:hanging="360"/>
      </w:pPr>
      <w:rPr>
        <w:rFonts w:hint="default"/>
      </w:rPr>
    </w:lvl>
    <w:lvl w:ilvl="4">
      <w:start w:val="0"/>
      <w:numFmt w:val="bullet"/>
      <w:lvlText w:val="•"/>
      <w:lvlJc w:val="left"/>
      <w:pPr>
        <w:ind w:left="4293" w:hanging="360"/>
      </w:pPr>
      <w:rPr>
        <w:rFonts w:hint="default"/>
      </w:rPr>
    </w:lvl>
    <w:lvl w:ilvl="5">
      <w:start w:val="0"/>
      <w:numFmt w:val="bullet"/>
      <w:lvlText w:val="•"/>
      <w:lvlJc w:val="left"/>
      <w:pPr>
        <w:ind w:left="5191"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86" w:hanging="360"/>
      </w:pPr>
      <w:rPr>
        <w:rFonts w:hint="default"/>
      </w:rPr>
    </w:lvl>
    <w:lvl w:ilvl="8">
      <w:start w:val="0"/>
      <w:numFmt w:val="bullet"/>
      <w:lvlText w:val="•"/>
      <w:lvlJc w:val="left"/>
      <w:pPr>
        <w:ind w:left="7884"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26"/>
      <w:ind w:left="880"/>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88"/>
      <w:ind w:left="159"/>
      <w:outlineLvl w:val="1"/>
    </w:pPr>
    <w:rPr>
      <w:rFonts w:ascii="Arial" w:hAnsi="Arial" w:eastAsia="Arial" w:cs="Arial"/>
      <w:sz w:val="36"/>
      <w:szCs w:val="36"/>
    </w:rPr>
  </w:style>
  <w:style w:styleId="Heading2" w:type="paragraph">
    <w:name w:val="Heading 2"/>
    <w:basedOn w:val="Normal"/>
    <w:uiPriority w:val="1"/>
    <w:qFormat/>
    <w:pPr>
      <w:ind w:left="880"/>
      <w:outlineLvl w:val="2"/>
    </w:pPr>
    <w:rPr>
      <w:rFonts w:ascii="Arial" w:hAnsi="Arial" w:eastAsia="Arial" w:cs="Arial"/>
      <w:b/>
      <w:bCs/>
      <w:sz w:val="20"/>
      <w:szCs w:val="20"/>
    </w:rPr>
  </w:style>
  <w:style w:styleId="ListParagraph" w:type="paragraph">
    <w:name w:val="List Paragraph"/>
    <w:basedOn w:val="Normal"/>
    <w:uiPriority w:val="1"/>
    <w:qFormat/>
    <w:pPr>
      <w:spacing w:before="63"/>
      <w:ind w:left="1600" w:hanging="360"/>
    </w:pPr>
    <w:rPr>
      <w:rFonts w:ascii="Times New Roman" w:hAnsi="Times New Roman" w:eastAsia="Times New Roman" w:cs="Times New Roman"/>
    </w:rPr>
  </w:style>
  <w:style w:styleId="TableParagraph" w:type="paragraph">
    <w:name w:val="Table Paragraph"/>
    <w:basedOn w:val="Normal"/>
    <w:uiPriority w:val="1"/>
    <w:qFormat/>
    <w:pPr>
      <w:spacing w:before="24"/>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iflyswa.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image" Target="media/image6.jpeg"/><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1994 Annual Report</dc:title>
  <dcterms:created xsi:type="dcterms:W3CDTF">2018-01-03T22:40:27Z</dcterms:created>
  <dcterms:modified xsi:type="dcterms:W3CDTF">2018-01-03T22:40:27Z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2000-06-29T00:00:00Z</vt:filetime>
  </property>
  <property fmtid="{D5CDD505-2E9C-101B-9397-08002B2CF9AE}" pid="3" name="LastSaved">
    <vt:filetime>2000-06-29T00:00:00Z</vt:filetime>
  </property>
</Properties>
</file>