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2330"/>
        <w:rPr>
          <w:sz w:val="20"/>
        </w:rPr>
      </w:pPr>
      <w:r>
        <w:rPr>
          <w:sz w:val="20"/>
        </w:rPr>
        <w:pict>
          <v:group style="width:22.55pt;height:12.1pt;mso-position-horizontal-relative:char;mso-position-vertical-relative:line" coordorigin="0,0" coordsize="451,242">
            <v:shape style="position:absolute;left:118;top:173;width:218;height:69" coordorigin="118,173" coordsize="218,69" path="m149,173l118,173,136,201,161,223,192,237,226,242,261,237,291,223,301,215,227,215,203,212,182,203,164,190,149,173xm335,173l304,173,289,190,271,203,250,212,227,215,301,215,317,201,335,173xe" filled="true" fillcolor="#bcbec0" stroked="false">
              <v:path arrowok="t"/>
              <v:fill type="solid"/>
            </v:shape>
            <v:shape style="position:absolute;left:116;top:0;width:221;height:72" coordorigin="116,0" coordsize="221,72" path="m226,0l191,5,160,20,134,43,116,72,148,72,162,54,181,40,203,31,227,28,302,28,293,20,262,5,226,0xm302,28l227,28,251,31,272,40,291,54,306,72,337,72,319,43,302,28xe" filled="true" fillcolor="#bcbec0" stroked="false">
              <v:path arrowok="t"/>
              <v:fill type="solid"/>
            </v:shape>
            <v:shape style="position:absolute;left:0;top:126;width:166;height:20" coordorigin="0,126" coordsize="166,20" path="m157,126l0,126,1,145,165,145,157,126xe" filled="true" fillcolor="#bcbec0" stroked="false">
              <v:path arrowok="t"/>
              <v:fill type="solid"/>
            </v:shape>
            <v:shape style="position:absolute;left:27;top:150;width:159;height:19" coordorigin="27,150" coordsize="159,19" path="m168,150l27,150,27,168,185,168,168,150xe" filled="true" fillcolor="#bcbec0" stroked="false">
              <v:path arrowok="t"/>
              <v:fill type="solid"/>
            </v:shape>
            <v:shape style="position:absolute;left:286;top:126;width:165;height:20" coordorigin="286,126" coordsize="165,20" path="m451,126l293,126,286,145,450,145,451,126xe" filled="true" fillcolor="#bcbec0" stroked="false">
              <v:path arrowok="t"/>
              <v:fill type="solid"/>
            </v:shape>
            <v:shape style="position:absolute;left:266;top:150;width:158;height:19" coordorigin="266,150" coordsize="158,19" path="m424,150l283,150,266,168,424,168,424,150xe" filled="true" fillcolor="#bcbec0" stroked="false">
              <v:path arrowok="t"/>
              <v:fill type="solid"/>
            </v:shape>
            <v:shape style="position:absolute;left:147;top:53;width:159;height:156" coordorigin="147,53" coordsize="159,156" path="m193,53l179,56,161,67,151,82,147,98,149,115,153,127,157,138,163,147,170,157,182,169,198,184,212,197,220,204,226,209,232,204,240,197,255,184,226,184,215,174,203,163,192,153,185,145,175,132,170,124,166,107,165,104,165,91,171,80,186,74,198,72,296,72,289,64,287,64,226,64,218,59,206,55,193,53xm296,72l255,72,267,74,282,80,288,91,288,104,287,107,283,124,278,132,268,145,261,153,250,163,237,174,226,184,255,184,271,169,283,157,290,147,295,138,300,127,304,115,305,110,306,107,306,102,304,88,299,76,296,72xm255,72l198,72,209,76,217,80,221,83,226,88,232,83,236,80,244,76,255,72xm260,53l246,55,235,59,226,64,287,64,274,56,260,53xe" filled="true" fillcolor="#ed1b2d" stroked="false">
              <v:path arrowok="t"/>
              <v:fill type="solid"/>
            </v:shape>
          </v:group>
        </w:pict>
      </w:r>
      <w:r>
        <w:rPr>
          <w:sz w:val="20"/>
        </w:rPr>
      </w:r>
    </w:p>
    <w:p>
      <w:pPr>
        <w:pStyle w:val="BodyText"/>
        <w:spacing w:before="6"/>
        <w:rPr>
          <w:sz w:val="22"/>
        </w:rPr>
      </w:pPr>
      <w:r>
        <w:rPr/>
        <w:pict>
          <v:shapetype id="_x0000_t202" o:spt="202" coordsize="21600,21600" path="m,l,21600r21600,l21600,xe">
            <v:stroke joinstyle="miter"/>
            <v:path gradientshapeok="t" o:connecttype="rect"/>
          </v:shapetype>
          <v:shape style="position:absolute;margin-left:65.234703pt;margin-top:15.419pt;width:130.6pt;height:90.6pt;mso-position-horizontal-relative:page;mso-position-vertical-relative:paragraph;z-index:0;mso-wrap-distance-left:0;mso-wrap-distance-right:0" type="#_x0000_t202" filled="false" stroked="false">
            <v:textbox inset="0,0,0,0">
              <w:txbxContent>
                <w:tbl>
                  <w:tblPr>
                    <w:tblW w:w="0" w:type="auto"/>
                    <w:jc w:val="lef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448"/>
                    <w:gridCol w:w="420"/>
                    <w:gridCol w:w="420"/>
                    <w:gridCol w:w="420"/>
                    <w:gridCol w:w="420"/>
                    <w:gridCol w:w="469"/>
                  </w:tblGrid>
                  <w:tr>
                    <w:trPr>
                      <w:trHeight w:val="1579" w:hRule="exact"/>
                    </w:trPr>
                    <w:tc>
                      <w:tcPr>
                        <w:tcW w:w="448" w:type="dxa"/>
                        <w:tcBorders>
                          <w:top w:val="nil"/>
                        </w:tcBorders>
                      </w:tcPr>
                      <w:p>
                        <w:pPr>
                          <w:pStyle w:val="TableParagraph"/>
                          <w:rPr>
                            <w:rFonts w:ascii="Times New Roman"/>
                            <w:sz w:val="14"/>
                          </w:rPr>
                        </w:pPr>
                      </w:p>
                      <w:p>
                        <w:pPr>
                          <w:pStyle w:val="TableParagraph"/>
                          <w:spacing w:before="106"/>
                          <w:ind w:right="45"/>
                          <w:jc w:val="right"/>
                          <w:rPr>
                            <w:sz w:val="12"/>
                          </w:rPr>
                        </w:pPr>
                        <w:bookmarkStart w:name="Consolidated Highlights" w:id="1"/>
                        <w:bookmarkEnd w:id="1"/>
                        <w:r>
                          <w:rPr/>
                        </w:r>
                        <w:r>
                          <w:rPr>
                            <w:color w:val="FFFFFF"/>
                            <w:w w:val="85"/>
                            <w:sz w:val="12"/>
                          </w:rPr>
                          <w:t>10.0%</w:t>
                        </w:r>
                      </w:p>
                    </w:tc>
                    <w:tc>
                      <w:tcPr>
                        <w:tcW w:w="420" w:type="dxa"/>
                        <w:tcBorders>
                          <w:top w:val="nil"/>
                        </w:tcBorders>
                      </w:tcPr>
                      <w:p>
                        <w:pPr>
                          <w:pStyle w:val="TableParagraph"/>
                          <w:spacing w:before="125"/>
                          <w:ind w:right="18"/>
                          <w:jc w:val="center"/>
                          <w:rPr>
                            <w:sz w:val="12"/>
                          </w:rPr>
                        </w:pPr>
                        <w:r>
                          <w:rPr>
                            <w:color w:val="FFFFFF"/>
                            <w:w w:val="95"/>
                            <w:sz w:val="12"/>
                          </w:rPr>
                          <w:t>11.1%</w:t>
                        </w:r>
                      </w:p>
                    </w:tc>
                    <w:tc>
                      <w:tcPr>
                        <w:tcW w:w="420" w:type="dxa"/>
                        <w:tcBorders>
                          <w:top w:val="nil"/>
                        </w:tcBorders>
                      </w:tcPr>
                      <w:p>
                        <w:pPr>
                          <w:pStyle w:val="TableParagraph"/>
                          <w:rPr>
                            <w:rFonts w:ascii="Times New Roman"/>
                            <w:sz w:val="14"/>
                          </w:rPr>
                        </w:pPr>
                      </w:p>
                      <w:p>
                        <w:pPr>
                          <w:pStyle w:val="TableParagraph"/>
                          <w:spacing w:before="3"/>
                          <w:rPr>
                            <w:rFonts w:ascii="Times New Roman"/>
                            <w:sz w:val="17"/>
                          </w:rPr>
                        </w:pPr>
                      </w:p>
                      <w:p>
                        <w:pPr>
                          <w:pStyle w:val="TableParagraph"/>
                          <w:ind w:left="10" w:right="11"/>
                          <w:jc w:val="center"/>
                          <w:rPr>
                            <w:sz w:val="12"/>
                          </w:rPr>
                        </w:pPr>
                        <w:r>
                          <w:rPr>
                            <w:color w:val="FFFFFF"/>
                            <w:w w:val="95"/>
                            <w:sz w:val="12"/>
                          </w:rPr>
                          <w:t>9.2%</w:t>
                        </w:r>
                      </w:p>
                    </w:tc>
                    <w:tc>
                      <w:tcPr>
                        <w:tcW w:w="420" w:type="dxa"/>
                        <w:tcBorders>
                          <w:top w:val="nil"/>
                        </w:tcBorders>
                        <w:shd w:val="clear" w:color="auto" w:fill="386AB3"/>
                      </w:tcPr>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spacing w:before="121"/>
                          <w:ind w:left="67"/>
                          <w:rPr>
                            <w:sz w:val="12"/>
                          </w:rPr>
                        </w:pPr>
                        <w:r>
                          <w:rPr>
                            <w:color w:val="FFFFFF"/>
                            <w:w w:val="95"/>
                            <w:sz w:val="12"/>
                          </w:rPr>
                          <w:t>4.4%</w:t>
                        </w:r>
                      </w:p>
                    </w:tc>
                    <w:tc>
                      <w:tcPr>
                        <w:tcW w:w="420" w:type="dxa"/>
                        <w:tcBorders>
                          <w:top w:val="nil"/>
                        </w:tcBorders>
                      </w:tcPr>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spacing w:before="81"/>
                          <w:ind w:left="32" w:right="13"/>
                          <w:jc w:val="center"/>
                          <w:rPr>
                            <w:sz w:val="12"/>
                          </w:rPr>
                        </w:pPr>
                        <w:r>
                          <w:rPr>
                            <w:color w:val="FFFFFF"/>
                            <w:w w:val="95"/>
                            <w:sz w:val="12"/>
                          </w:rPr>
                          <w:t>7.4%</w:t>
                        </w:r>
                      </w:p>
                    </w:tc>
                    <w:tc>
                      <w:tcPr>
                        <w:tcW w:w="469" w:type="dxa"/>
                        <w:tcBorders>
                          <w:top w:val="nil"/>
                        </w:tcBorders>
                        <w:shd w:val="clear" w:color="auto" w:fill="386AB3"/>
                      </w:tcPr>
                      <w:p>
                        <w:pPr>
                          <w:pStyle w:val="TableParagraph"/>
                          <w:spacing w:before="69"/>
                          <w:ind w:left="124"/>
                          <w:rPr>
                            <w:sz w:val="12"/>
                          </w:rPr>
                        </w:pPr>
                        <w:r>
                          <w:rPr>
                            <w:color w:val="FFFFFF"/>
                            <w:w w:val="95"/>
                            <w:sz w:val="12"/>
                          </w:rPr>
                          <w:t>12%</w:t>
                        </w:r>
                      </w:p>
                      <w:p>
                        <w:pPr>
                          <w:pStyle w:val="TableParagraph"/>
                          <w:spacing w:before="111"/>
                          <w:ind w:left="124"/>
                          <w:rPr>
                            <w:sz w:val="12"/>
                          </w:rPr>
                        </w:pPr>
                        <w:r>
                          <w:rPr>
                            <w:color w:val="FFFFFF"/>
                            <w:w w:val="95"/>
                            <w:sz w:val="12"/>
                          </w:rPr>
                          <w:t>10%</w:t>
                        </w:r>
                      </w:p>
                      <w:p>
                        <w:pPr>
                          <w:pStyle w:val="TableParagraph"/>
                          <w:spacing w:before="111"/>
                          <w:ind w:left="124"/>
                          <w:rPr>
                            <w:sz w:val="12"/>
                          </w:rPr>
                        </w:pPr>
                        <w:r>
                          <w:rPr>
                            <w:color w:val="FFFFFF"/>
                            <w:w w:val="95"/>
                            <w:sz w:val="12"/>
                          </w:rPr>
                          <w:t>8%</w:t>
                        </w:r>
                      </w:p>
                      <w:p>
                        <w:pPr>
                          <w:pStyle w:val="TableParagraph"/>
                          <w:spacing w:before="111"/>
                          <w:ind w:left="124"/>
                          <w:rPr>
                            <w:sz w:val="12"/>
                          </w:rPr>
                        </w:pPr>
                        <w:r>
                          <w:rPr>
                            <w:color w:val="FFFFFF"/>
                            <w:w w:val="95"/>
                            <w:sz w:val="12"/>
                          </w:rPr>
                          <w:t>6%</w:t>
                        </w:r>
                      </w:p>
                      <w:p>
                        <w:pPr>
                          <w:pStyle w:val="TableParagraph"/>
                          <w:spacing w:before="111"/>
                          <w:ind w:left="124"/>
                          <w:rPr>
                            <w:sz w:val="12"/>
                          </w:rPr>
                        </w:pPr>
                        <w:r>
                          <w:rPr>
                            <w:color w:val="FFFFFF"/>
                            <w:w w:val="95"/>
                            <w:sz w:val="12"/>
                          </w:rPr>
                          <w:t>4%</w:t>
                        </w:r>
                      </w:p>
                      <w:p>
                        <w:pPr>
                          <w:pStyle w:val="TableParagraph"/>
                          <w:spacing w:before="111"/>
                          <w:ind w:left="124"/>
                          <w:rPr>
                            <w:sz w:val="12"/>
                          </w:rPr>
                        </w:pPr>
                        <w:r>
                          <w:rPr>
                            <w:color w:val="FFFFFF"/>
                            <w:w w:val="95"/>
                            <w:sz w:val="12"/>
                          </w:rPr>
                          <w:t>2%</w:t>
                        </w:r>
                      </w:p>
                    </w:tc>
                  </w:tr>
                  <w:tr>
                    <w:trPr>
                      <w:trHeight w:val="222" w:hRule="exact"/>
                    </w:trPr>
                    <w:tc>
                      <w:tcPr>
                        <w:tcW w:w="448" w:type="dxa"/>
                        <w:shd w:val="clear" w:color="auto" w:fill="002D6A"/>
                      </w:tcPr>
                      <w:p>
                        <w:pPr>
                          <w:pStyle w:val="TableParagraph"/>
                          <w:spacing w:before="39"/>
                          <w:ind w:right="100"/>
                          <w:jc w:val="right"/>
                          <w:rPr>
                            <w:sz w:val="12"/>
                          </w:rPr>
                        </w:pPr>
                        <w:r>
                          <w:rPr>
                            <w:color w:val="FFFFFF"/>
                            <w:w w:val="85"/>
                            <w:sz w:val="12"/>
                          </w:rPr>
                          <w:t>1999</w:t>
                        </w:r>
                      </w:p>
                    </w:tc>
                    <w:tc>
                      <w:tcPr>
                        <w:tcW w:w="420" w:type="dxa"/>
                        <w:shd w:val="clear" w:color="auto" w:fill="002D6A"/>
                      </w:tcPr>
                      <w:p>
                        <w:pPr>
                          <w:pStyle w:val="TableParagraph"/>
                          <w:spacing w:before="39"/>
                          <w:ind w:left="10"/>
                          <w:jc w:val="center"/>
                          <w:rPr>
                            <w:sz w:val="12"/>
                          </w:rPr>
                        </w:pPr>
                        <w:r>
                          <w:rPr>
                            <w:color w:val="FFFFFF"/>
                            <w:w w:val="95"/>
                            <w:sz w:val="12"/>
                          </w:rPr>
                          <w:t>2000</w:t>
                        </w:r>
                      </w:p>
                    </w:tc>
                    <w:tc>
                      <w:tcPr>
                        <w:tcW w:w="420" w:type="dxa"/>
                        <w:shd w:val="clear" w:color="auto" w:fill="002D6A"/>
                      </w:tcPr>
                      <w:p>
                        <w:pPr>
                          <w:pStyle w:val="TableParagraph"/>
                          <w:spacing w:before="39"/>
                          <w:ind w:left="10" w:right="14"/>
                          <w:jc w:val="center"/>
                          <w:rPr>
                            <w:sz w:val="12"/>
                          </w:rPr>
                        </w:pPr>
                        <w:r>
                          <w:rPr>
                            <w:color w:val="FFFFFF"/>
                            <w:w w:val="95"/>
                            <w:sz w:val="12"/>
                          </w:rPr>
                          <w:t>2001</w:t>
                        </w:r>
                      </w:p>
                    </w:tc>
                    <w:tc>
                      <w:tcPr>
                        <w:tcW w:w="420" w:type="dxa"/>
                        <w:shd w:val="clear" w:color="auto" w:fill="002D6A"/>
                      </w:tcPr>
                      <w:p>
                        <w:pPr>
                          <w:pStyle w:val="TableParagraph"/>
                          <w:spacing w:before="39"/>
                          <w:ind w:left="78"/>
                          <w:rPr>
                            <w:sz w:val="12"/>
                          </w:rPr>
                        </w:pPr>
                        <w:r>
                          <w:rPr>
                            <w:color w:val="FFFFFF"/>
                            <w:w w:val="95"/>
                            <w:sz w:val="12"/>
                          </w:rPr>
                          <w:t>2002</w:t>
                        </w:r>
                      </w:p>
                    </w:tc>
                    <w:tc>
                      <w:tcPr>
                        <w:tcW w:w="420" w:type="dxa"/>
                        <w:shd w:val="clear" w:color="auto" w:fill="002D6A"/>
                      </w:tcPr>
                      <w:p>
                        <w:pPr>
                          <w:pStyle w:val="TableParagraph"/>
                          <w:spacing w:before="39"/>
                          <w:ind w:left="2" w:right="18"/>
                          <w:jc w:val="center"/>
                          <w:rPr>
                            <w:sz w:val="12"/>
                          </w:rPr>
                        </w:pPr>
                        <w:r>
                          <w:rPr>
                            <w:color w:val="FFFFFF"/>
                            <w:w w:val="95"/>
                            <w:sz w:val="12"/>
                          </w:rPr>
                          <w:t>2003</w:t>
                        </w:r>
                      </w:p>
                    </w:tc>
                    <w:tc>
                      <w:tcPr>
                        <w:tcW w:w="469" w:type="dxa"/>
                        <w:tcBorders>
                          <w:bottom w:val="nil"/>
                          <w:right w:val="nil"/>
                        </w:tcBorders>
                        <w:shd w:val="clear" w:color="auto" w:fill="386AB3"/>
                      </w:tcPr>
                      <w:p>
                        <w:pPr/>
                      </w:p>
                    </w:tc>
                  </w:tr>
                </w:tbl>
                <w:p>
                  <w:pPr>
                    <w:pStyle w:val="BodyText"/>
                  </w:pPr>
                </w:p>
              </w:txbxContent>
            </v:textbox>
            <w10:wrap type="topAndBottom"/>
          </v:shape>
        </w:pict>
      </w:r>
      <w:r>
        <w:rPr/>
        <w:pict>
          <v:shape style="position:absolute;margin-left:242.815994pt;margin-top:14.903pt;width:130.6pt;height:90.6pt;mso-position-horizontal-relative:page;mso-position-vertical-relative:paragraph;z-index:0;mso-wrap-distance-left:0;mso-wrap-distance-right:0" type="#_x0000_t202" filled="false" stroked="false">
            <v:textbox inset="0,0,0,0">
              <w:txbxContent>
                <w:tbl>
                  <w:tblPr>
                    <w:tblW w:w="0" w:type="auto"/>
                    <w:jc w:val="lef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448"/>
                    <w:gridCol w:w="420"/>
                    <w:gridCol w:w="420"/>
                    <w:gridCol w:w="420"/>
                    <w:gridCol w:w="420"/>
                    <w:gridCol w:w="469"/>
                  </w:tblGrid>
                  <w:tr>
                    <w:trPr>
                      <w:trHeight w:val="1579" w:hRule="exact"/>
                    </w:trPr>
                    <w:tc>
                      <w:tcPr>
                        <w:tcW w:w="448" w:type="dxa"/>
                        <w:tcBorders>
                          <w:top w:val="nil"/>
                        </w:tcBorders>
                      </w:tcPr>
                      <w:p>
                        <w:pPr>
                          <w:pStyle w:val="TableParagraph"/>
                          <w:rPr>
                            <w:rFonts w:ascii="Times New Roman"/>
                            <w:sz w:val="14"/>
                          </w:rPr>
                        </w:pPr>
                      </w:p>
                      <w:p>
                        <w:pPr>
                          <w:pStyle w:val="TableParagraph"/>
                          <w:rPr>
                            <w:rFonts w:ascii="Times New Roman"/>
                            <w:sz w:val="14"/>
                          </w:rPr>
                        </w:pPr>
                      </w:p>
                      <w:p>
                        <w:pPr>
                          <w:pStyle w:val="TableParagraph"/>
                          <w:spacing w:before="11"/>
                          <w:rPr>
                            <w:rFonts w:ascii="Times New Roman"/>
                            <w:sz w:val="18"/>
                          </w:rPr>
                        </w:pPr>
                      </w:p>
                      <w:p>
                        <w:pPr>
                          <w:pStyle w:val="TableParagraph"/>
                          <w:ind w:left="6" w:right="29"/>
                          <w:jc w:val="center"/>
                          <w:rPr>
                            <w:sz w:val="12"/>
                          </w:rPr>
                        </w:pPr>
                        <w:r>
                          <w:rPr>
                            <w:color w:val="FFFFFF"/>
                            <w:w w:val="95"/>
                            <w:sz w:val="12"/>
                          </w:rPr>
                          <w:t>$.59</w:t>
                        </w:r>
                      </w:p>
                    </w:tc>
                    <w:tc>
                      <w:tcPr>
                        <w:tcW w:w="420" w:type="dxa"/>
                        <w:tcBorders>
                          <w:top w:val="nil"/>
                        </w:tcBorders>
                      </w:tcPr>
                      <w:p>
                        <w:pPr>
                          <w:pStyle w:val="TableParagraph"/>
                          <w:spacing w:before="71"/>
                          <w:ind w:left="85"/>
                          <w:rPr>
                            <w:sz w:val="12"/>
                          </w:rPr>
                        </w:pPr>
                        <w:r>
                          <w:rPr>
                            <w:color w:val="FFFFFF"/>
                            <w:sz w:val="12"/>
                          </w:rPr>
                          <w:t>$.79*</w:t>
                        </w:r>
                      </w:p>
                    </w:tc>
                    <w:tc>
                      <w:tcPr>
                        <w:tcW w:w="420" w:type="dxa"/>
                        <w:tcBorders>
                          <w:top w:val="nil"/>
                        </w:tcBorders>
                      </w:tcPr>
                      <w:p>
                        <w:pPr>
                          <w:pStyle w:val="TableParagraph"/>
                          <w:rPr>
                            <w:rFonts w:ascii="Times New Roman"/>
                            <w:sz w:val="14"/>
                          </w:rPr>
                        </w:pPr>
                      </w:p>
                      <w:p>
                        <w:pPr>
                          <w:pStyle w:val="TableParagraph"/>
                          <w:rPr>
                            <w:rFonts w:ascii="Times New Roman"/>
                            <w:sz w:val="14"/>
                          </w:rPr>
                        </w:pPr>
                      </w:p>
                      <w:p>
                        <w:pPr>
                          <w:pStyle w:val="TableParagraph"/>
                          <w:spacing w:before="10"/>
                          <w:rPr>
                            <w:rFonts w:ascii="Times New Roman"/>
                            <w:sz w:val="11"/>
                          </w:rPr>
                        </w:pPr>
                      </w:p>
                      <w:p>
                        <w:pPr>
                          <w:pStyle w:val="TableParagraph"/>
                          <w:ind w:left="85"/>
                          <w:rPr>
                            <w:sz w:val="12"/>
                          </w:rPr>
                        </w:pPr>
                        <w:r>
                          <w:rPr>
                            <w:color w:val="FFFFFF"/>
                            <w:w w:val="95"/>
                            <w:sz w:val="12"/>
                          </w:rPr>
                          <w:t>$.63</w:t>
                        </w:r>
                      </w:p>
                    </w:tc>
                    <w:tc>
                      <w:tcPr>
                        <w:tcW w:w="420" w:type="dxa"/>
                        <w:tcBorders>
                          <w:top w:val="nil"/>
                        </w:tcBorders>
                        <w:shd w:val="clear" w:color="auto" w:fill="386AB3"/>
                      </w:tcPr>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spacing w:before="1"/>
                          <w:rPr>
                            <w:rFonts w:ascii="Times New Roman"/>
                            <w:sz w:val="12"/>
                          </w:rPr>
                        </w:pPr>
                      </w:p>
                      <w:p>
                        <w:pPr>
                          <w:pStyle w:val="TableParagraph"/>
                          <w:ind w:right="38"/>
                          <w:jc w:val="center"/>
                          <w:rPr>
                            <w:sz w:val="12"/>
                          </w:rPr>
                        </w:pPr>
                        <w:r>
                          <w:rPr>
                            <w:color w:val="FFFFFF"/>
                            <w:w w:val="95"/>
                            <w:sz w:val="12"/>
                          </w:rPr>
                          <w:t>$.30</w:t>
                        </w:r>
                      </w:p>
                    </w:tc>
                    <w:tc>
                      <w:tcPr>
                        <w:tcW w:w="420" w:type="dxa"/>
                        <w:tcBorders>
                          <w:top w:val="nil"/>
                        </w:tcBorders>
                        <w:shd w:val="clear" w:color="auto" w:fill="386AB3"/>
                      </w:tcPr>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spacing w:before="3"/>
                          <w:rPr>
                            <w:rFonts w:ascii="Times New Roman"/>
                            <w:sz w:val="20"/>
                          </w:rPr>
                        </w:pPr>
                      </w:p>
                      <w:p>
                        <w:pPr>
                          <w:pStyle w:val="TableParagraph"/>
                          <w:ind w:left="6" w:right="18"/>
                          <w:jc w:val="center"/>
                          <w:rPr>
                            <w:sz w:val="12"/>
                          </w:rPr>
                        </w:pPr>
                        <w:r>
                          <w:rPr>
                            <w:color w:val="FFFFFF"/>
                            <w:w w:val="95"/>
                            <w:sz w:val="12"/>
                          </w:rPr>
                          <w:t>$.54</w:t>
                        </w:r>
                      </w:p>
                    </w:tc>
                    <w:tc>
                      <w:tcPr>
                        <w:tcW w:w="469" w:type="dxa"/>
                        <w:tcBorders>
                          <w:top w:val="nil"/>
                        </w:tcBorders>
                        <w:shd w:val="clear" w:color="auto" w:fill="386AB3"/>
                      </w:tcPr>
                      <w:p>
                        <w:pPr>
                          <w:pStyle w:val="TableParagraph"/>
                          <w:spacing w:before="71"/>
                          <w:ind w:left="109"/>
                          <w:rPr>
                            <w:sz w:val="12"/>
                          </w:rPr>
                        </w:pPr>
                        <w:r>
                          <w:rPr>
                            <w:color w:val="FFFFFF"/>
                            <w:w w:val="95"/>
                            <w:sz w:val="12"/>
                          </w:rPr>
                          <w:t>$.80</w:t>
                        </w:r>
                      </w:p>
                      <w:p>
                        <w:pPr>
                          <w:pStyle w:val="TableParagraph"/>
                          <w:spacing w:before="112"/>
                          <w:ind w:left="109"/>
                          <w:rPr>
                            <w:sz w:val="12"/>
                          </w:rPr>
                        </w:pPr>
                        <w:r>
                          <w:rPr>
                            <w:color w:val="FFFFFF"/>
                            <w:w w:val="95"/>
                            <w:sz w:val="12"/>
                          </w:rPr>
                          <w:t>$.70</w:t>
                        </w:r>
                      </w:p>
                      <w:p>
                        <w:pPr>
                          <w:pStyle w:val="TableParagraph"/>
                          <w:spacing w:before="112"/>
                          <w:ind w:left="109"/>
                          <w:rPr>
                            <w:sz w:val="12"/>
                          </w:rPr>
                        </w:pPr>
                        <w:r>
                          <w:rPr>
                            <w:color w:val="FFFFFF"/>
                            <w:w w:val="95"/>
                            <w:sz w:val="12"/>
                          </w:rPr>
                          <w:t>$.60</w:t>
                        </w:r>
                      </w:p>
                      <w:p>
                        <w:pPr>
                          <w:pStyle w:val="TableParagraph"/>
                          <w:spacing w:before="112"/>
                          <w:ind w:left="109"/>
                          <w:rPr>
                            <w:sz w:val="12"/>
                          </w:rPr>
                        </w:pPr>
                        <w:r>
                          <w:rPr>
                            <w:color w:val="FFFFFF"/>
                            <w:w w:val="95"/>
                            <w:sz w:val="12"/>
                          </w:rPr>
                          <w:t>$.50</w:t>
                        </w:r>
                      </w:p>
                      <w:p>
                        <w:pPr>
                          <w:pStyle w:val="TableParagraph"/>
                          <w:spacing w:before="112"/>
                          <w:ind w:left="109"/>
                          <w:rPr>
                            <w:sz w:val="12"/>
                          </w:rPr>
                        </w:pPr>
                        <w:r>
                          <w:rPr>
                            <w:color w:val="FFFFFF"/>
                            <w:w w:val="95"/>
                            <w:sz w:val="12"/>
                          </w:rPr>
                          <w:t>$.40</w:t>
                        </w:r>
                      </w:p>
                      <w:p>
                        <w:pPr>
                          <w:pStyle w:val="TableParagraph"/>
                          <w:spacing w:before="112"/>
                          <w:ind w:left="109"/>
                          <w:rPr>
                            <w:sz w:val="12"/>
                          </w:rPr>
                        </w:pPr>
                        <w:r>
                          <w:rPr>
                            <w:color w:val="FFFFFF"/>
                            <w:w w:val="95"/>
                            <w:sz w:val="12"/>
                          </w:rPr>
                          <w:t>$.30</w:t>
                        </w:r>
                      </w:p>
                    </w:tc>
                  </w:tr>
                  <w:tr>
                    <w:trPr>
                      <w:trHeight w:val="222" w:hRule="exact"/>
                    </w:trPr>
                    <w:tc>
                      <w:tcPr>
                        <w:tcW w:w="448" w:type="dxa"/>
                        <w:shd w:val="clear" w:color="auto" w:fill="002D6A"/>
                      </w:tcPr>
                      <w:p>
                        <w:pPr>
                          <w:pStyle w:val="TableParagraph"/>
                          <w:spacing w:before="36"/>
                          <w:ind w:left="23" w:right="29"/>
                          <w:jc w:val="center"/>
                          <w:rPr>
                            <w:sz w:val="12"/>
                          </w:rPr>
                        </w:pPr>
                        <w:r>
                          <w:rPr>
                            <w:color w:val="FFFFFF"/>
                            <w:w w:val="95"/>
                            <w:sz w:val="12"/>
                          </w:rPr>
                          <w:t>1999</w:t>
                        </w:r>
                      </w:p>
                    </w:tc>
                    <w:tc>
                      <w:tcPr>
                        <w:tcW w:w="420" w:type="dxa"/>
                        <w:shd w:val="clear" w:color="auto" w:fill="002D6A"/>
                      </w:tcPr>
                      <w:p>
                        <w:pPr>
                          <w:pStyle w:val="TableParagraph"/>
                          <w:spacing w:before="36"/>
                          <w:ind w:left="70"/>
                          <w:rPr>
                            <w:sz w:val="12"/>
                          </w:rPr>
                        </w:pPr>
                        <w:r>
                          <w:rPr>
                            <w:color w:val="FFFFFF"/>
                            <w:w w:val="95"/>
                            <w:sz w:val="12"/>
                          </w:rPr>
                          <w:t>2000</w:t>
                        </w:r>
                      </w:p>
                    </w:tc>
                    <w:tc>
                      <w:tcPr>
                        <w:tcW w:w="420" w:type="dxa"/>
                        <w:shd w:val="clear" w:color="auto" w:fill="002D6A"/>
                      </w:tcPr>
                      <w:p>
                        <w:pPr>
                          <w:pStyle w:val="TableParagraph"/>
                          <w:spacing w:before="35"/>
                          <w:ind w:left="89"/>
                          <w:rPr>
                            <w:sz w:val="12"/>
                          </w:rPr>
                        </w:pPr>
                        <w:r>
                          <w:rPr>
                            <w:color w:val="FFFFFF"/>
                            <w:w w:val="95"/>
                            <w:sz w:val="12"/>
                          </w:rPr>
                          <w:t>2001</w:t>
                        </w:r>
                      </w:p>
                    </w:tc>
                    <w:tc>
                      <w:tcPr>
                        <w:tcW w:w="420" w:type="dxa"/>
                        <w:shd w:val="clear" w:color="auto" w:fill="002D6A"/>
                      </w:tcPr>
                      <w:p>
                        <w:pPr>
                          <w:pStyle w:val="TableParagraph"/>
                          <w:spacing w:before="38"/>
                          <w:ind w:left="29" w:right="38"/>
                          <w:jc w:val="center"/>
                          <w:rPr>
                            <w:sz w:val="12"/>
                          </w:rPr>
                        </w:pPr>
                        <w:r>
                          <w:rPr>
                            <w:color w:val="FFFFFF"/>
                            <w:w w:val="95"/>
                            <w:sz w:val="12"/>
                          </w:rPr>
                          <w:t>2002</w:t>
                        </w:r>
                      </w:p>
                    </w:tc>
                    <w:tc>
                      <w:tcPr>
                        <w:tcW w:w="420" w:type="dxa"/>
                        <w:shd w:val="clear" w:color="auto" w:fill="002D6A"/>
                      </w:tcPr>
                      <w:p>
                        <w:pPr>
                          <w:pStyle w:val="TableParagraph"/>
                          <w:spacing w:before="36"/>
                          <w:ind w:left="8" w:right="18"/>
                          <w:jc w:val="center"/>
                          <w:rPr>
                            <w:sz w:val="12"/>
                          </w:rPr>
                        </w:pPr>
                        <w:r>
                          <w:rPr>
                            <w:color w:val="FFFFFF"/>
                            <w:w w:val="95"/>
                            <w:sz w:val="12"/>
                          </w:rPr>
                          <w:t>2003</w:t>
                        </w:r>
                      </w:p>
                    </w:tc>
                    <w:tc>
                      <w:tcPr>
                        <w:tcW w:w="469" w:type="dxa"/>
                        <w:tcBorders>
                          <w:bottom w:val="nil"/>
                          <w:right w:val="nil"/>
                        </w:tcBorders>
                        <w:shd w:val="clear" w:color="auto" w:fill="386AB3"/>
                      </w:tcPr>
                      <w:p>
                        <w:pPr/>
                      </w:p>
                    </w:tc>
                  </w:tr>
                </w:tbl>
                <w:p>
                  <w:pPr>
                    <w:pStyle w:val="BodyText"/>
                  </w:pPr>
                </w:p>
              </w:txbxContent>
            </v:textbox>
            <w10:wrap type="topAndBottom"/>
          </v:shape>
        </w:pict>
      </w:r>
      <w:r>
        <w:rPr/>
        <w:pict>
          <v:shape style="position:absolute;margin-left:420.026001pt;margin-top:15.0906pt;width:128.4500pt;height:90.6pt;mso-position-horizontal-relative:page;mso-position-vertical-relative:paragraph;z-index:0;mso-wrap-distance-left:0;mso-wrap-distance-right:0" type="#_x0000_t202" filled="false" stroked="false">
            <v:textbox inset="0,0,0,0">
              <w:txbxContent>
                <w:tbl>
                  <w:tblPr>
                    <w:tblW w:w="0" w:type="auto"/>
                    <w:jc w:val="lef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448"/>
                    <w:gridCol w:w="420"/>
                    <w:gridCol w:w="420"/>
                    <w:gridCol w:w="420"/>
                    <w:gridCol w:w="420"/>
                    <w:gridCol w:w="427"/>
                  </w:tblGrid>
                  <w:tr>
                    <w:trPr>
                      <w:trHeight w:val="1579" w:hRule="exact"/>
                    </w:trPr>
                    <w:tc>
                      <w:tcPr>
                        <w:tcW w:w="448" w:type="dxa"/>
                        <w:tcBorders>
                          <w:top w:val="nil"/>
                        </w:tcBorders>
                      </w:tcPr>
                      <w:p>
                        <w:pPr>
                          <w:pStyle w:val="TableParagraph"/>
                          <w:rPr>
                            <w:rFonts w:ascii="Times New Roman"/>
                            <w:sz w:val="14"/>
                          </w:rPr>
                        </w:pPr>
                      </w:p>
                      <w:p>
                        <w:pPr>
                          <w:pStyle w:val="TableParagraph"/>
                          <w:spacing w:before="2"/>
                          <w:rPr>
                            <w:rFonts w:ascii="Times New Roman"/>
                            <w:sz w:val="11"/>
                          </w:rPr>
                        </w:pPr>
                      </w:p>
                      <w:p>
                        <w:pPr>
                          <w:pStyle w:val="TableParagraph"/>
                          <w:ind w:left="82"/>
                          <w:rPr>
                            <w:sz w:val="12"/>
                          </w:rPr>
                        </w:pPr>
                        <w:r>
                          <w:rPr>
                            <w:color w:val="FFFFFF"/>
                            <w:w w:val="95"/>
                            <w:sz w:val="12"/>
                          </w:rPr>
                          <w:t>18.1%</w:t>
                        </w:r>
                      </w:p>
                    </w:tc>
                    <w:tc>
                      <w:tcPr>
                        <w:tcW w:w="420" w:type="dxa"/>
                        <w:tcBorders>
                          <w:top w:val="nil"/>
                        </w:tcBorders>
                      </w:tcPr>
                      <w:p>
                        <w:pPr>
                          <w:pStyle w:val="TableParagraph"/>
                          <w:spacing w:before="4"/>
                          <w:rPr>
                            <w:rFonts w:ascii="Times New Roman"/>
                            <w:sz w:val="12"/>
                          </w:rPr>
                        </w:pPr>
                      </w:p>
                      <w:p>
                        <w:pPr>
                          <w:pStyle w:val="TableParagraph"/>
                          <w:ind w:left="59"/>
                          <w:rPr>
                            <w:sz w:val="12"/>
                          </w:rPr>
                        </w:pPr>
                        <w:r>
                          <w:rPr>
                            <w:color w:val="FFFFFF"/>
                            <w:w w:val="95"/>
                            <w:sz w:val="12"/>
                          </w:rPr>
                          <w:t>19.9%</w:t>
                        </w:r>
                      </w:p>
                    </w:tc>
                    <w:tc>
                      <w:tcPr>
                        <w:tcW w:w="420" w:type="dxa"/>
                        <w:tcBorders>
                          <w:top w:val="nil"/>
                        </w:tcBorders>
                        <w:shd w:val="clear" w:color="auto" w:fill="386AB3"/>
                      </w:tcPr>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spacing w:before="5"/>
                          <w:rPr>
                            <w:rFonts w:ascii="Times New Roman"/>
                            <w:sz w:val="12"/>
                          </w:rPr>
                        </w:pPr>
                      </w:p>
                      <w:p>
                        <w:pPr>
                          <w:pStyle w:val="TableParagraph"/>
                          <w:ind w:left="10" w:right="7"/>
                          <w:jc w:val="center"/>
                          <w:rPr>
                            <w:sz w:val="12"/>
                          </w:rPr>
                        </w:pPr>
                        <w:r>
                          <w:rPr>
                            <w:color w:val="FFFFFF"/>
                            <w:w w:val="95"/>
                            <w:sz w:val="12"/>
                          </w:rPr>
                          <w:t>13.7%</w:t>
                        </w:r>
                      </w:p>
                    </w:tc>
                    <w:tc>
                      <w:tcPr>
                        <w:tcW w:w="420" w:type="dxa"/>
                        <w:tcBorders>
                          <w:top w:val="nil"/>
                        </w:tcBorders>
                        <w:shd w:val="clear" w:color="auto" w:fill="386AB3"/>
                      </w:tcPr>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spacing w:before="122"/>
                          <w:ind w:left="31" w:right="31"/>
                          <w:jc w:val="center"/>
                          <w:rPr>
                            <w:sz w:val="12"/>
                          </w:rPr>
                        </w:pPr>
                        <w:r>
                          <w:rPr>
                            <w:color w:val="FFFFFF"/>
                            <w:w w:val="95"/>
                            <w:sz w:val="12"/>
                          </w:rPr>
                          <w:t>5.7%</w:t>
                        </w:r>
                      </w:p>
                    </w:tc>
                    <w:tc>
                      <w:tcPr>
                        <w:tcW w:w="420" w:type="dxa"/>
                        <w:tcBorders>
                          <w:top w:val="nil"/>
                        </w:tcBorders>
                        <w:shd w:val="clear" w:color="auto" w:fill="386AB3"/>
                      </w:tcPr>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spacing w:before="7"/>
                          <w:rPr>
                            <w:rFonts w:ascii="Times New Roman"/>
                            <w:sz w:val="14"/>
                          </w:rPr>
                        </w:pPr>
                      </w:p>
                      <w:p>
                        <w:pPr>
                          <w:pStyle w:val="TableParagraph"/>
                          <w:ind w:right="74"/>
                          <w:jc w:val="right"/>
                          <w:rPr>
                            <w:sz w:val="12"/>
                          </w:rPr>
                        </w:pPr>
                        <w:r>
                          <w:rPr>
                            <w:color w:val="FFFFFF"/>
                            <w:w w:val="85"/>
                            <w:sz w:val="12"/>
                          </w:rPr>
                          <w:t>9.3%</w:t>
                        </w:r>
                      </w:p>
                    </w:tc>
                    <w:tc>
                      <w:tcPr>
                        <w:tcW w:w="427" w:type="dxa"/>
                        <w:tcBorders>
                          <w:top w:val="nil"/>
                        </w:tcBorders>
                        <w:shd w:val="clear" w:color="auto" w:fill="386AB3"/>
                      </w:tcPr>
                      <w:p>
                        <w:pPr>
                          <w:pStyle w:val="TableParagraph"/>
                          <w:spacing w:before="5"/>
                          <w:rPr>
                            <w:rFonts w:ascii="Times New Roman"/>
                            <w:sz w:val="15"/>
                          </w:rPr>
                        </w:pPr>
                      </w:p>
                      <w:p>
                        <w:pPr>
                          <w:pStyle w:val="TableParagraph"/>
                          <w:spacing w:before="1"/>
                          <w:ind w:left="106"/>
                          <w:rPr>
                            <w:sz w:val="12"/>
                          </w:rPr>
                        </w:pPr>
                        <w:r>
                          <w:rPr>
                            <w:color w:val="FFFFFF"/>
                            <w:w w:val="95"/>
                            <w:sz w:val="12"/>
                          </w:rPr>
                          <w:t>20%</w:t>
                        </w:r>
                      </w:p>
                      <w:p>
                        <w:pPr>
                          <w:pStyle w:val="TableParagraph"/>
                          <w:spacing w:before="8"/>
                          <w:rPr>
                            <w:rFonts w:ascii="Times New Roman"/>
                            <w:sz w:val="16"/>
                          </w:rPr>
                        </w:pPr>
                      </w:p>
                      <w:p>
                        <w:pPr>
                          <w:pStyle w:val="TableParagraph"/>
                          <w:ind w:left="106"/>
                          <w:rPr>
                            <w:sz w:val="12"/>
                          </w:rPr>
                        </w:pPr>
                        <w:r>
                          <w:rPr>
                            <w:color w:val="FFFFFF"/>
                            <w:w w:val="95"/>
                            <w:sz w:val="12"/>
                          </w:rPr>
                          <w:t>15%</w:t>
                        </w:r>
                      </w:p>
                      <w:p>
                        <w:pPr>
                          <w:pStyle w:val="TableParagraph"/>
                          <w:spacing w:before="7"/>
                          <w:rPr>
                            <w:rFonts w:ascii="Times New Roman"/>
                            <w:sz w:val="16"/>
                          </w:rPr>
                        </w:pPr>
                      </w:p>
                      <w:p>
                        <w:pPr>
                          <w:pStyle w:val="TableParagraph"/>
                          <w:spacing w:before="1"/>
                          <w:ind w:left="106"/>
                          <w:rPr>
                            <w:sz w:val="12"/>
                          </w:rPr>
                        </w:pPr>
                        <w:r>
                          <w:rPr>
                            <w:color w:val="FFFFFF"/>
                            <w:w w:val="95"/>
                            <w:sz w:val="12"/>
                          </w:rPr>
                          <w:t>10%</w:t>
                        </w:r>
                      </w:p>
                      <w:p>
                        <w:pPr>
                          <w:pStyle w:val="TableParagraph"/>
                          <w:spacing w:before="8"/>
                          <w:rPr>
                            <w:rFonts w:ascii="Times New Roman"/>
                            <w:sz w:val="16"/>
                          </w:rPr>
                        </w:pPr>
                      </w:p>
                      <w:p>
                        <w:pPr>
                          <w:pStyle w:val="TableParagraph"/>
                          <w:ind w:left="106"/>
                          <w:rPr>
                            <w:sz w:val="12"/>
                          </w:rPr>
                        </w:pPr>
                        <w:r>
                          <w:rPr>
                            <w:color w:val="FFFFFF"/>
                            <w:w w:val="95"/>
                            <w:sz w:val="12"/>
                          </w:rPr>
                          <w:t>5%</w:t>
                        </w:r>
                      </w:p>
                    </w:tc>
                  </w:tr>
                  <w:tr>
                    <w:trPr>
                      <w:trHeight w:val="222" w:hRule="exact"/>
                    </w:trPr>
                    <w:tc>
                      <w:tcPr>
                        <w:tcW w:w="448" w:type="dxa"/>
                        <w:shd w:val="clear" w:color="auto" w:fill="002D6A"/>
                      </w:tcPr>
                      <w:p>
                        <w:pPr>
                          <w:pStyle w:val="TableParagraph"/>
                          <w:spacing w:before="38"/>
                          <w:ind w:left="93"/>
                          <w:rPr>
                            <w:sz w:val="12"/>
                          </w:rPr>
                        </w:pPr>
                        <w:r>
                          <w:rPr>
                            <w:color w:val="FFFFFF"/>
                            <w:w w:val="95"/>
                            <w:sz w:val="12"/>
                          </w:rPr>
                          <w:t>1999</w:t>
                        </w:r>
                      </w:p>
                    </w:tc>
                    <w:tc>
                      <w:tcPr>
                        <w:tcW w:w="420" w:type="dxa"/>
                        <w:shd w:val="clear" w:color="auto" w:fill="002D6A"/>
                      </w:tcPr>
                      <w:p>
                        <w:pPr>
                          <w:pStyle w:val="TableParagraph"/>
                          <w:spacing w:before="38"/>
                          <w:ind w:left="89"/>
                          <w:rPr>
                            <w:sz w:val="12"/>
                          </w:rPr>
                        </w:pPr>
                        <w:r>
                          <w:rPr>
                            <w:color w:val="FFFFFF"/>
                            <w:w w:val="95"/>
                            <w:sz w:val="12"/>
                          </w:rPr>
                          <w:t>2000</w:t>
                        </w:r>
                      </w:p>
                    </w:tc>
                    <w:tc>
                      <w:tcPr>
                        <w:tcW w:w="420" w:type="dxa"/>
                        <w:shd w:val="clear" w:color="auto" w:fill="002D6A"/>
                      </w:tcPr>
                      <w:p>
                        <w:pPr>
                          <w:pStyle w:val="TableParagraph"/>
                          <w:spacing w:before="38"/>
                          <w:ind w:left="10" w:right="15"/>
                          <w:jc w:val="center"/>
                          <w:rPr>
                            <w:sz w:val="12"/>
                          </w:rPr>
                        </w:pPr>
                        <w:r>
                          <w:rPr>
                            <w:color w:val="FFFFFF"/>
                            <w:w w:val="95"/>
                            <w:sz w:val="12"/>
                          </w:rPr>
                          <w:t>2001</w:t>
                        </w:r>
                      </w:p>
                    </w:tc>
                    <w:tc>
                      <w:tcPr>
                        <w:tcW w:w="420" w:type="dxa"/>
                        <w:shd w:val="clear" w:color="auto" w:fill="002D6A"/>
                      </w:tcPr>
                      <w:p>
                        <w:pPr>
                          <w:pStyle w:val="TableParagraph"/>
                          <w:spacing w:before="35"/>
                          <w:ind w:left="31" w:right="20"/>
                          <w:jc w:val="center"/>
                          <w:rPr>
                            <w:sz w:val="12"/>
                          </w:rPr>
                        </w:pPr>
                        <w:r>
                          <w:rPr>
                            <w:color w:val="FFFFFF"/>
                            <w:w w:val="95"/>
                            <w:sz w:val="12"/>
                          </w:rPr>
                          <w:t>2002</w:t>
                        </w:r>
                      </w:p>
                    </w:tc>
                    <w:tc>
                      <w:tcPr>
                        <w:tcW w:w="420" w:type="dxa"/>
                        <w:shd w:val="clear" w:color="auto" w:fill="002D6A"/>
                      </w:tcPr>
                      <w:p>
                        <w:pPr>
                          <w:pStyle w:val="TableParagraph"/>
                          <w:spacing w:before="35"/>
                          <w:ind w:right="85"/>
                          <w:jc w:val="right"/>
                          <w:rPr>
                            <w:sz w:val="12"/>
                          </w:rPr>
                        </w:pPr>
                        <w:r>
                          <w:rPr>
                            <w:color w:val="FFFFFF"/>
                            <w:w w:val="85"/>
                            <w:sz w:val="12"/>
                          </w:rPr>
                          <w:t>2003</w:t>
                        </w:r>
                      </w:p>
                    </w:tc>
                    <w:tc>
                      <w:tcPr>
                        <w:tcW w:w="427" w:type="dxa"/>
                        <w:tcBorders>
                          <w:bottom w:val="nil"/>
                          <w:right w:val="nil"/>
                        </w:tcBorders>
                        <w:shd w:val="clear" w:color="auto" w:fill="386AB3"/>
                      </w:tcPr>
                      <w:p>
                        <w:pPr/>
                      </w:p>
                    </w:tc>
                  </w:tr>
                </w:tbl>
                <w:p>
                  <w:pPr>
                    <w:pStyle w:val="BodyText"/>
                  </w:pPr>
                </w:p>
              </w:txbxContent>
            </v:textbox>
            <w10:wrap type="topAndBottom"/>
          </v:shape>
        </w:pict>
      </w:r>
    </w:p>
    <w:p>
      <w:pPr>
        <w:pStyle w:val="BodyText"/>
        <w:spacing w:before="1"/>
        <w:rPr>
          <w:sz w:val="6"/>
        </w:rPr>
      </w:pPr>
    </w:p>
    <w:p>
      <w:pPr>
        <w:spacing w:after="0"/>
        <w:rPr>
          <w:sz w:val="6"/>
        </w:rPr>
        <w:sectPr>
          <w:type w:val="continuous"/>
          <w:pgSz w:w="12240" w:h="15840"/>
          <w:pgMar w:top="320" w:bottom="280" w:left="1140" w:right="1160"/>
        </w:sectPr>
      </w:pPr>
    </w:p>
    <w:p>
      <w:pPr>
        <w:spacing w:before="57"/>
        <w:ind w:left="164" w:right="0" w:firstLine="0"/>
        <w:jc w:val="left"/>
        <w:rPr>
          <w:rFonts w:ascii="Arial"/>
          <w:b/>
          <w:sz w:val="12"/>
        </w:rPr>
      </w:pPr>
      <w:r>
        <w:rPr/>
        <w:pict>
          <v:rect style="position:absolute;margin-left:73.130699pt;margin-top:-72.726288pt;width:7.2794pt;height:57.1075pt;mso-position-horizontal-relative:page;mso-position-vertical-relative:paragraph;z-index:-237280" filled="true" fillcolor="#fcaf17" stroked="false">
            <v:fill type="solid"/>
            <w10:wrap type="none"/>
          </v:rect>
        </w:pict>
      </w:r>
      <w:r>
        <w:rPr/>
        <w:pict>
          <v:rect style="position:absolute;margin-left:94.516502pt;margin-top:-79.654984pt;width:7.2774pt;height:64.0108pt;mso-position-horizontal-relative:page;mso-position-vertical-relative:paragraph;z-index:-237256" filled="true" fillcolor="#fcaf17" stroked="false">
            <v:fill type="solid"/>
            <w10:wrap type="none"/>
          </v:rect>
        </w:pict>
      </w:r>
      <w:r>
        <w:rPr/>
        <w:pict>
          <v:rect style="position:absolute;margin-left:115.655197pt;margin-top:-67.985085pt;width:7.2793pt;height:52.3623pt;mso-position-horizontal-relative:page;mso-position-vertical-relative:paragraph;z-index:-237232" filled="true" fillcolor="#fcaf17" stroked="false">
            <v:fill type="solid"/>
            <w10:wrap type="none"/>
          </v:rect>
        </w:pict>
      </w:r>
      <w:r>
        <w:rPr/>
        <w:pict>
          <v:rect style="position:absolute;margin-left:136.248001pt;margin-top:-40.448887pt;width:7.2793pt;height:24.8261pt;mso-position-horizontal-relative:page;mso-position-vertical-relative:paragraph;z-index:-237208" filled="true" fillcolor="#fcaf17" stroked="false">
            <v:fill type="solid"/>
            <w10:wrap type="none"/>
          </v:rect>
        </w:pict>
      </w:r>
      <w:r>
        <w:rPr/>
        <w:pict>
          <v:rect style="position:absolute;margin-left:157.972107pt;margin-top:-58.228188pt;width:7.2799pt;height:42.60540pt;mso-position-horizontal-relative:page;mso-position-vertical-relative:paragraph;z-index:-237184" filled="true" fillcolor="#fcaf17" stroked="false">
            <v:fill type="solid"/>
            <w10:wrap type="none"/>
          </v:rect>
        </w:pict>
      </w:r>
      <w:r>
        <w:rPr/>
        <w:pict>
          <v:rect style="position:absolute;margin-left:250.175003pt;margin-top:-59.365288pt;width:7.279pt;height:43.2793pt;mso-position-horizontal-relative:page;mso-position-vertical-relative:paragraph;z-index:-236680" filled="true" fillcolor="#fcaf17" stroked="false">
            <v:fill type="solid"/>
            <w10:wrap type="none"/>
          </v:rect>
        </w:pict>
      </w:r>
      <w:r>
        <w:rPr/>
        <w:pict>
          <v:rect style="position:absolute;margin-left:272.347992pt;margin-top:-83.455284pt;width:7.277pt;height:67.295pt;mso-position-horizontal-relative:page;mso-position-vertical-relative:paragraph;z-index:-236656" filled="true" fillcolor="#fcaf17" stroked="false">
            <v:fill type="solid"/>
            <w10:wrap type="none"/>
          </v:rect>
        </w:pict>
      </w:r>
      <w:r>
        <w:rPr/>
        <w:pict>
          <v:rect style="position:absolute;margin-left:293.17099pt;margin-top:-63.697289pt;width:7.279pt;height:47.46480pt;mso-position-horizontal-relative:page;mso-position-vertical-relative:paragraph;z-index:-236632" filled="true" fillcolor="#fcaf17" stroked="false">
            <v:fill type="solid"/>
            <w10:wrap type="none"/>
          </v:rect>
        </w:pict>
      </w:r>
      <w:r>
        <w:rPr/>
        <w:pict>
          <v:rect style="position:absolute;margin-left:314.085999pt;margin-top:-23.351587pt;width:7.279pt;height:7.1191pt;mso-position-horizontal-relative:page;mso-position-vertical-relative:paragraph;z-index:-236608" filled="true" fillcolor="#fcaf17" stroked="false">
            <v:fill type="solid"/>
            <w10:wrap type="none"/>
          </v:rect>
        </w:pict>
      </w:r>
      <w:r>
        <w:rPr/>
        <w:pict>
          <v:rect style="position:absolute;margin-left:335.337006pt;margin-top:-51.053288pt;width:7.279pt;height:34.8208pt;mso-position-horizontal-relative:page;mso-position-vertical-relative:paragraph;z-index:-236584" filled="true" fillcolor="#fcaf17" stroked="false">
            <v:fill type="solid"/>
            <w10:wrap type="none"/>
          </v:rect>
        </w:pict>
      </w:r>
      <w:r>
        <w:rPr/>
        <w:pict>
          <v:rect style="position:absolute;margin-left:428.089996pt;margin-top:-71.258186pt;width:7.279pt;height:55.334pt;mso-position-horizontal-relative:page;mso-position-vertical-relative:paragraph;z-index:-236560" filled="true" fillcolor="#fcaf17" stroked="false">
            <v:fill type="solid"/>
            <w10:wrap type="none"/>
          </v:rect>
        </w:pict>
      </w:r>
      <w:r>
        <w:rPr/>
        <w:pict>
          <v:rect style="position:absolute;margin-left:449.483002pt;margin-top:-79.262184pt;width:7.277pt;height:63.2891pt;mso-position-horizontal-relative:page;mso-position-vertical-relative:paragraph;z-index:-236536" filled="true" fillcolor="#fcaf17" stroked="false">
            <v:fill type="solid"/>
            <w10:wrap type="none"/>
          </v:rect>
        </w:pict>
      </w:r>
      <w:r>
        <w:rPr/>
        <w:pict>
          <v:rect style="position:absolute;margin-left:470.369995pt;margin-top:-55.123386pt;width:7.28pt;height:39.0781pt;mso-position-horizontal-relative:page;mso-position-vertical-relative:paragraph;z-index:-236512" filled="true" fillcolor="#fcaf17" stroked="false">
            <v:fill type="solid"/>
            <w10:wrap type="none"/>
          </v:rect>
        </w:pict>
      </w:r>
      <w:r>
        <w:rPr/>
        <w:pict>
          <v:rect style="position:absolute;margin-left:491.214996pt;margin-top:-31.947586pt;width:7.279pt;height:15.9023pt;mso-position-horizontal-relative:page;mso-position-vertical-relative:paragraph;z-index:-236488" filled="true" fillcolor="#fcaf17" stroked="false">
            <v:fill type="solid"/>
            <w10:wrap type="none"/>
          </v:rect>
        </w:pict>
      </w:r>
      <w:r>
        <w:rPr/>
        <w:pict>
          <v:rect style="position:absolute;margin-left:512.466003pt;margin-top:-45.736687pt;width:7.279pt;height:29.6914pt;mso-position-horizontal-relative:page;mso-position-vertical-relative:paragraph;z-index:-236464" filled="true" fillcolor="#fcaf17" stroked="false">
            <v:fill type="solid"/>
            <w10:wrap type="none"/>
          </v:rect>
        </w:pict>
      </w:r>
      <w:r>
        <w:rPr>
          <w:rFonts w:ascii="Arial"/>
          <w:b/>
          <w:color w:val="FFFFFF"/>
          <w:w w:val="85"/>
          <w:sz w:val="12"/>
        </w:rPr>
        <w:t>Net Margin</w:t>
      </w:r>
    </w:p>
    <w:p>
      <w:pPr>
        <w:spacing w:before="47"/>
        <w:ind w:left="212" w:right="0" w:firstLine="0"/>
        <w:jc w:val="left"/>
        <w:rPr>
          <w:rFonts w:ascii="Arial"/>
          <w:b/>
          <w:sz w:val="12"/>
        </w:rPr>
      </w:pPr>
      <w:r>
        <w:rPr/>
        <w:br w:type="column"/>
      </w:r>
      <w:r>
        <w:rPr>
          <w:rFonts w:ascii="Arial"/>
          <w:b/>
          <w:color w:val="FFFFFF"/>
          <w:w w:val="90"/>
          <w:sz w:val="12"/>
        </w:rPr>
        <w:t>Net Income Per Share, Diluted</w:t>
      </w:r>
    </w:p>
    <w:p>
      <w:pPr>
        <w:spacing w:line="120" w:lineRule="exact" w:before="11"/>
        <w:ind w:left="216" w:right="-13" w:hanging="53"/>
        <w:jc w:val="left"/>
        <w:rPr>
          <w:rFonts w:ascii="Arial"/>
          <w:sz w:val="11"/>
        </w:rPr>
      </w:pPr>
      <w:r>
        <w:rPr/>
        <w:pict>
          <v:rect style="position:absolute;margin-left:65.181999pt;margin-top:78.888878pt;width:225.937pt;height:17.0049pt;mso-position-horizontal-relative:page;mso-position-vertical-relative:paragraph;z-index:-237160" filled="true" fillcolor="#6f8cc7" stroked="false">
            <v:fill type="solid"/>
            <w10:wrap type="none"/>
          </v:rect>
        </w:pict>
      </w:r>
      <w:r>
        <w:rPr/>
        <w:pict>
          <v:rect style="position:absolute;margin-left:469.802002pt;margin-top:78.888878pt;width:78.024pt;height:17.0049pt;mso-position-horizontal-relative:page;mso-position-vertical-relative:paragraph;z-index:-236800" filled="true" fillcolor="#002d6a" stroked="false">
            <v:fill type="solid"/>
            <w10:wrap type="none"/>
          </v:rect>
        </w:pict>
      </w:r>
      <w:r>
        <w:rPr>
          <w:rFonts w:ascii="Arial"/>
          <w:color w:val="FFFFFF"/>
          <w:w w:val="90"/>
          <w:position w:val="1"/>
          <w:sz w:val="10"/>
        </w:rPr>
        <w:t>* </w:t>
      </w:r>
      <w:r>
        <w:rPr>
          <w:rFonts w:ascii="Arial"/>
          <w:color w:val="FFFFFF"/>
          <w:w w:val="90"/>
          <w:sz w:val="11"/>
        </w:rPr>
        <w:t>Excludes cumulative effect of change in accounting principle of $.03.</w:t>
      </w:r>
    </w:p>
    <w:p>
      <w:pPr>
        <w:spacing w:before="51"/>
        <w:ind w:left="164" w:right="0" w:firstLine="0"/>
        <w:jc w:val="left"/>
        <w:rPr>
          <w:rFonts w:ascii="Arial" w:hAnsi="Arial"/>
          <w:b/>
          <w:sz w:val="12"/>
        </w:rPr>
      </w:pPr>
      <w:r>
        <w:rPr/>
        <w:br w:type="column"/>
      </w:r>
      <w:r>
        <w:rPr>
          <w:rFonts w:ascii="Arial" w:hAnsi="Arial"/>
          <w:b/>
          <w:color w:val="FFFFFF"/>
          <w:w w:val="85"/>
          <w:sz w:val="12"/>
        </w:rPr>
        <w:t>Return On Stockholders’ Equity</w:t>
      </w:r>
    </w:p>
    <w:p>
      <w:pPr>
        <w:spacing w:after="0"/>
        <w:jc w:val="left"/>
        <w:rPr>
          <w:rFonts w:ascii="Arial" w:hAnsi="Arial"/>
          <w:sz w:val="12"/>
        </w:rPr>
        <w:sectPr>
          <w:type w:val="continuous"/>
          <w:pgSz w:w="12240" w:h="15840"/>
          <w:pgMar w:top="320" w:bottom="280" w:left="1140" w:right="1160"/>
          <w:cols w:num="3" w:equalWidth="0">
            <w:col w:w="761" w:space="2744"/>
            <w:col w:w="1969" w:space="1622"/>
            <w:col w:w="2844"/>
          </w:cols>
        </w:sectPr>
      </w:pPr>
    </w:p>
    <w:p>
      <w:pPr>
        <w:pStyle w:val="BodyText"/>
        <w:rPr>
          <w:rFonts w:ascii="Arial"/>
          <w:b/>
          <w:sz w:val="20"/>
        </w:rPr>
      </w:pPr>
      <w:r>
        <w:rPr/>
        <w:pict>
          <v:rect style="position:absolute;margin-left:0pt;margin-top:0pt;width:612pt;height:792pt;mso-position-horizontal-relative:page;mso-position-vertical-relative:page;z-index:-237304" filled="true" fillcolor="#386ab3" stroked="false">
            <v:fill type="solid"/>
            <w10:wrap type="none"/>
          </v:rect>
        </w:pict>
      </w:r>
      <w:r>
        <w:rPr/>
        <w:pict>
          <v:rect style="position:absolute;margin-left:65.181999pt;margin-top:263.763214pt;width:225.937pt;height:17.003900pt;mso-position-horizontal-relative:page;mso-position-vertical-relative:page;z-index:-237136" filled="true" fillcolor="#6f8cc7" stroked="false">
            <v:fill type="solid"/>
            <w10:wrap type="none"/>
          </v:rect>
        </w:pict>
      </w:r>
      <w:r>
        <w:rPr/>
        <w:pict>
          <v:rect style="position:absolute;margin-left:65.181999pt;margin-top:299.088287pt;width:225.937pt;height:17.003700pt;mso-position-horizontal-relative:page;mso-position-vertical-relative:page;z-index:-237112" filled="true" fillcolor="#6f8cc7" stroked="false">
            <v:fill type="solid"/>
            <w10:wrap type="none"/>
          </v:rect>
        </w:pict>
      </w:r>
      <w:r>
        <w:rPr/>
        <w:pict>
          <v:rect style="position:absolute;margin-left:65.181999pt;margin-top:334.414001pt;width:225.937pt;height:16.997pt;mso-position-horizontal-relative:page;mso-position-vertical-relative:page;z-index:-237088" filled="true" fillcolor="#6f8cc7" stroked="false">
            <v:fill type="solid"/>
            <w10:wrap type="none"/>
          </v:rect>
        </w:pict>
      </w:r>
      <w:r>
        <w:rPr/>
        <w:pict>
          <v:rect style="position:absolute;margin-left:65.181999pt;margin-top:369.729004pt;width:225.937pt;height:17.006pt;mso-position-horizontal-relative:page;mso-position-vertical-relative:page;z-index:-237064" filled="true" fillcolor="#6f8cc7" stroked="false">
            <v:fill type="solid"/>
            <w10:wrap type="none"/>
          </v:rect>
        </w:pict>
      </w:r>
      <w:r>
        <w:rPr/>
        <w:pict>
          <v:rect style="position:absolute;margin-left:65.181999pt;margin-top:405.053986pt;width:225.937pt;height:17.004pt;mso-position-horizontal-relative:page;mso-position-vertical-relative:page;z-index:-237040" filled="true" fillcolor="#6f8cc7" stroked="false">
            <v:fill type="solid"/>
            <w10:wrap type="none"/>
          </v:rect>
        </w:pict>
      </w:r>
      <w:r>
        <w:rPr/>
        <w:pict>
          <v:rect style="position:absolute;margin-left:65.181999pt;margin-top:440.381012pt;width:225.937pt;height:17.002pt;mso-position-horizontal-relative:page;mso-position-vertical-relative:page;z-index:-237016" filled="true" fillcolor="#6f8cc7" stroked="false">
            <v:fill type="solid"/>
            <w10:wrap type="none"/>
          </v:rect>
        </w:pict>
      </w:r>
      <w:r>
        <w:rPr/>
        <w:pict>
          <v:rect style="position:absolute;margin-left:65.181999pt;margin-top:475.703003pt;width:225.937pt;height:17.005pt;mso-position-horizontal-relative:page;mso-position-vertical-relative:page;z-index:-236992" filled="true" fillcolor="#6f8cc7" stroked="false">
            <v:fill type="solid"/>
            <w10:wrap type="none"/>
          </v:rect>
        </w:pict>
      </w:r>
      <w:r>
        <w:rPr/>
        <w:pict>
          <v:rect style="position:absolute;margin-left:469.802002pt;margin-top:334.414001pt;width:78.024pt;height:16.997pt;mso-position-horizontal-relative:page;mso-position-vertical-relative:page;z-index:-236920" filled="true" fillcolor="#002d6a" stroked="false">
            <v:fill type="solid"/>
            <w10:wrap type="none"/>
          </v:rect>
        </w:pict>
      </w:r>
      <w:r>
        <w:rPr/>
        <w:pict>
          <v:rect style="position:absolute;margin-left:469.802002pt;margin-top:369.729004pt;width:78.024pt;height:17.006pt;mso-position-horizontal-relative:page;mso-position-vertical-relative:page;z-index:-236896" filled="true" fillcolor="#002d6a" stroked="false">
            <v:fill type="solid"/>
            <w10:wrap type="none"/>
          </v:rect>
        </w:pict>
      </w:r>
      <w:r>
        <w:rPr/>
        <w:pict>
          <v:rect style="position:absolute;margin-left:469.802002pt;margin-top:263.763214pt;width:78.024pt;height:17.003900pt;mso-position-horizontal-relative:page;mso-position-vertical-relative:page;z-index:-236872" filled="true" fillcolor="#002d6a" stroked="false">
            <v:fill type="solid"/>
            <w10:wrap type="none"/>
          </v:rect>
        </w:pict>
      </w:r>
      <w:r>
        <w:rPr/>
        <w:pict>
          <v:rect style="position:absolute;margin-left:469.802002pt;margin-top:405.053986pt;width:78.024pt;height:17.004pt;mso-position-horizontal-relative:page;mso-position-vertical-relative:page;z-index:-236848" filled="true" fillcolor="#002d6a" stroked="false">
            <v:fill type="solid"/>
            <w10:wrap type="none"/>
          </v:rect>
        </w:pict>
      </w:r>
      <w:r>
        <w:rPr/>
        <w:pict>
          <v:rect style="position:absolute;margin-left:469.802002pt;margin-top:299.088287pt;width:78.024pt;height:17.003700pt;mso-position-horizontal-relative:page;mso-position-vertical-relative:page;z-index:-236824" filled="true" fillcolor="#002d6a" stroked="false">
            <v:fill type="solid"/>
            <w10:wrap type="none"/>
          </v:rect>
        </w:pict>
      </w:r>
      <w:r>
        <w:rPr/>
        <w:pict>
          <v:rect style="position:absolute;margin-left:469.802002pt;margin-top:475.703003pt;width:78.024pt;height:17.005pt;mso-position-horizontal-relative:page;mso-position-vertical-relative:page;z-index:-236752" filled="true" fillcolor="#002d6a" stroked="false">
            <v:fill type="solid"/>
            <w10:wrap type="none"/>
          </v:rect>
        </w:pict>
      </w:r>
      <w:r>
        <w:rPr/>
        <w:pict>
          <v:rect style="position:absolute;margin-left:469.802002pt;margin-top:440.381012pt;width:78.024pt;height:17.002pt;mso-position-horizontal-relative:page;mso-position-vertical-relative:page;z-index:-236728" filled="true" fillcolor="#002d6a" stroked="false">
            <v:fill type="solid"/>
            <w10:wrap type="none"/>
          </v:rect>
        </w:pict>
      </w:r>
    </w:p>
    <w:p>
      <w:pPr>
        <w:pStyle w:val="BodyText"/>
        <w:spacing w:before="7"/>
        <w:rPr>
          <w:rFonts w:ascii="Arial"/>
          <w:b/>
          <w:sz w:val="19"/>
        </w:rPr>
      </w:pPr>
    </w:p>
    <w:p>
      <w:pPr>
        <w:pStyle w:val="BodyText"/>
        <w:spacing w:line="20" w:lineRule="exact"/>
        <w:ind w:left="155"/>
        <w:rPr>
          <w:rFonts w:ascii="Arial"/>
          <w:sz w:val="2"/>
        </w:rPr>
      </w:pPr>
      <w:r>
        <w:rPr>
          <w:rFonts w:ascii="Arial"/>
          <w:sz w:val="2"/>
        </w:rPr>
        <w:pict>
          <v:group style="width:483.05pt;height:.5pt;mso-position-horizontal-relative:char;mso-position-vertical-relative:line" coordorigin="0,0" coordsize="9661,10">
            <v:line style="position:absolute" from="5,5" to="9655,5" stroked="true" strokeweight=".5pt" strokecolor="#ffffff">
              <v:stroke dashstyle="solid"/>
            </v:line>
          </v:group>
        </w:pict>
      </w:r>
      <w:r>
        <w:rPr>
          <w:rFonts w:ascii="Arial"/>
          <w:sz w:val="2"/>
        </w:rPr>
      </w:r>
    </w:p>
    <w:p>
      <w:pPr>
        <w:pStyle w:val="BodyText"/>
        <w:rPr>
          <w:rFonts w:ascii="Arial"/>
          <w:b/>
          <w:sz w:val="20"/>
        </w:rPr>
      </w:pPr>
    </w:p>
    <w:p>
      <w:pPr>
        <w:pStyle w:val="BodyText"/>
        <w:spacing w:before="9"/>
        <w:rPr>
          <w:rFonts w:ascii="Arial"/>
          <w:b/>
          <w:sz w:val="10"/>
        </w:rPr>
      </w:pPr>
    </w:p>
    <w:tbl>
      <w:tblPr>
        <w:tblW w:w="0" w:type="auto"/>
        <w:jc w:val="left"/>
        <w:tblInd w:w="372"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310"/>
        <w:gridCol w:w="1738"/>
        <w:gridCol w:w="1836"/>
        <w:gridCol w:w="1150"/>
      </w:tblGrid>
      <w:tr>
        <w:trPr>
          <w:trHeight w:val="496" w:hRule="exact"/>
        </w:trPr>
        <w:tc>
          <w:tcPr>
            <w:tcW w:w="4310" w:type="dxa"/>
            <w:shd w:val="clear" w:color="auto" w:fill="386AB3"/>
          </w:tcPr>
          <w:p>
            <w:pPr>
              <w:pStyle w:val="TableParagraph"/>
              <w:spacing w:before="2"/>
              <w:ind w:left="72"/>
              <w:rPr>
                <w:sz w:val="16"/>
              </w:rPr>
            </w:pPr>
            <w:r>
              <w:rPr>
                <w:color w:val="FFFFFF"/>
                <w:w w:val="75"/>
                <w:sz w:val="16"/>
              </w:rPr>
              <w:t>CONSOLIDATED HIGHLIGHTS</w:t>
            </w:r>
          </w:p>
          <w:p>
            <w:pPr>
              <w:pStyle w:val="TableParagraph"/>
              <w:spacing w:before="40"/>
              <w:ind w:left="50"/>
              <w:rPr>
                <w:i/>
                <w:sz w:val="15"/>
              </w:rPr>
            </w:pPr>
            <w:r>
              <w:rPr>
                <w:i/>
                <w:color w:val="FFFFFF"/>
                <w:w w:val="80"/>
                <w:sz w:val="15"/>
              </w:rPr>
              <w:t>(DOLLARS IN MILLIONS, EXCEPT PER SHARE AMOUNTS)</w:t>
            </w:r>
          </w:p>
        </w:tc>
        <w:tc>
          <w:tcPr>
            <w:tcW w:w="1738" w:type="dxa"/>
            <w:shd w:val="clear" w:color="auto" w:fill="386AB3"/>
          </w:tcPr>
          <w:p>
            <w:pPr>
              <w:pStyle w:val="TableParagraph"/>
              <w:spacing w:before="2"/>
              <w:rPr>
                <w:b/>
                <w:sz w:val="18"/>
              </w:rPr>
            </w:pPr>
          </w:p>
          <w:p>
            <w:pPr>
              <w:pStyle w:val="TableParagraph"/>
              <w:ind w:left="686" w:right="672"/>
              <w:jc w:val="center"/>
              <w:rPr>
                <w:sz w:val="16"/>
              </w:rPr>
            </w:pPr>
            <w:r>
              <w:rPr>
                <w:color w:val="FFFFFF"/>
                <w:w w:val="95"/>
                <w:sz w:val="16"/>
              </w:rPr>
              <w:t>2003</w:t>
            </w:r>
          </w:p>
        </w:tc>
        <w:tc>
          <w:tcPr>
            <w:tcW w:w="1836" w:type="dxa"/>
            <w:shd w:val="clear" w:color="auto" w:fill="386AB3"/>
          </w:tcPr>
          <w:p>
            <w:pPr>
              <w:pStyle w:val="TableParagraph"/>
              <w:spacing w:before="2"/>
              <w:rPr>
                <w:b/>
                <w:sz w:val="18"/>
              </w:rPr>
            </w:pPr>
          </w:p>
          <w:p>
            <w:pPr>
              <w:pStyle w:val="TableParagraph"/>
              <w:ind w:left="729" w:right="727"/>
              <w:jc w:val="center"/>
              <w:rPr>
                <w:sz w:val="16"/>
              </w:rPr>
            </w:pPr>
            <w:r>
              <w:rPr>
                <w:color w:val="FFFFFF"/>
                <w:w w:val="95"/>
                <w:sz w:val="16"/>
              </w:rPr>
              <w:t>2002</w:t>
            </w:r>
          </w:p>
        </w:tc>
        <w:tc>
          <w:tcPr>
            <w:tcW w:w="1150" w:type="dxa"/>
            <w:shd w:val="clear" w:color="auto" w:fill="386AB3"/>
          </w:tcPr>
          <w:p>
            <w:pPr>
              <w:pStyle w:val="TableParagraph"/>
              <w:spacing w:before="2"/>
              <w:rPr>
                <w:b/>
                <w:sz w:val="18"/>
              </w:rPr>
            </w:pPr>
          </w:p>
          <w:p>
            <w:pPr>
              <w:pStyle w:val="TableParagraph"/>
              <w:ind w:right="72"/>
              <w:jc w:val="right"/>
              <w:rPr>
                <w:sz w:val="16"/>
              </w:rPr>
            </w:pPr>
            <w:r>
              <w:rPr>
                <w:color w:val="FFFFFF"/>
                <w:w w:val="75"/>
                <w:sz w:val="16"/>
              </w:rPr>
              <w:t>CHANGE</w:t>
            </w:r>
          </w:p>
        </w:tc>
      </w:tr>
      <w:tr>
        <w:trPr>
          <w:trHeight w:val="340" w:hRule="exact"/>
        </w:trPr>
        <w:tc>
          <w:tcPr>
            <w:tcW w:w="4310" w:type="dxa"/>
            <w:shd w:val="clear" w:color="auto" w:fill="6F8CC7"/>
          </w:tcPr>
          <w:p>
            <w:pPr>
              <w:pStyle w:val="TableParagraph"/>
              <w:spacing w:before="81"/>
              <w:ind w:left="52"/>
              <w:rPr>
                <w:i/>
                <w:sz w:val="16"/>
              </w:rPr>
            </w:pPr>
            <w:r>
              <w:rPr>
                <w:i/>
                <w:color w:val="FFFFFF"/>
                <w:w w:val="80"/>
                <w:sz w:val="16"/>
              </w:rPr>
              <w:t>Operating revenues</w:t>
            </w:r>
          </w:p>
        </w:tc>
        <w:tc>
          <w:tcPr>
            <w:tcW w:w="1738" w:type="dxa"/>
            <w:shd w:val="clear" w:color="auto" w:fill="002D6A"/>
          </w:tcPr>
          <w:p>
            <w:pPr>
              <w:pStyle w:val="TableParagraph"/>
              <w:spacing w:before="90"/>
              <w:ind w:left="787"/>
              <w:rPr>
                <w:sz w:val="16"/>
              </w:rPr>
            </w:pPr>
            <w:r>
              <w:rPr>
                <w:color w:val="FFFFFF"/>
                <w:w w:val="95"/>
                <w:sz w:val="16"/>
              </w:rPr>
              <w:t>$5,937</w:t>
            </w:r>
            <w:r>
              <w:rPr>
                <w:color w:val="FFFFFF"/>
                <w:sz w:val="16"/>
              </w:rPr>
              <w:t> </w:t>
            </w:r>
          </w:p>
        </w:tc>
        <w:tc>
          <w:tcPr>
            <w:tcW w:w="1836" w:type="dxa"/>
            <w:shd w:val="clear" w:color="auto" w:fill="6F8CC7"/>
          </w:tcPr>
          <w:p>
            <w:pPr>
              <w:pStyle w:val="TableParagraph"/>
              <w:spacing w:before="90"/>
              <w:ind w:right="432"/>
              <w:jc w:val="right"/>
              <w:rPr>
                <w:sz w:val="16"/>
              </w:rPr>
            </w:pPr>
            <w:r>
              <w:rPr>
                <w:color w:val="FFFFFF"/>
                <w:w w:val="85"/>
                <w:sz w:val="16"/>
              </w:rPr>
              <w:t>$5,522</w:t>
            </w:r>
            <w:r>
              <w:rPr>
                <w:color w:val="FFFFFF"/>
                <w:sz w:val="16"/>
              </w:rPr>
              <w:t> </w:t>
            </w:r>
          </w:p>
        </w:tc>
        <w:tc>
          <w:tcPr>
            <w:tcW w:w="1150" w:type="dxa"/>
            <w:shd w:val="clear" w:color="auto" w:fill="002D6A"/>
          </w:tcPr>
          <w:p>
            <w:pPr>
              <w:pStyle w:val="TableParagraph"/>
              <w:spacing w:before="92"/>
              <w:ind w:right="115"/>
              <w:jc w:val="right"/>
              <w:rPr>
                <w:sz w:val="16"/>
              </w:rPr>
            </w:pPr>
            <w:r>
              <w:rPr>
                <w:color w:val="FFFFFF"/>
                <w:w w:val="85"/>
                <w:sz w:val="16"/>
              </w:rPr>
              <w:t>7.5%</w:t>
            </w:r>
          </w:p>
        </w:tc>
      </w:tr>
      <w:tr>
        <w:trPr>
          <w:trHeight w:val="366" w:hRule="exact"/>
        </w:trPr>
        <w:tc>
          <w:tcPr>
            <w:tcW w:w="4310" w:type="dxa"/>
            <w:shd w:val="clear" w:color="auto" w:fill="386AB3"/>
          </w:tcPr>
          <w:p>
            <w:pPr>
              <w:pStyle w:val="TableParagraph"/>
              <w:spacing w:before="82"/>
              <w:ind w:left="52"/>
              <w:rPr>
                <w:i/>
                <w:sz w:val="16"/>
              </w:rPr>
            </w:pPr>
            <w:r>
              <w:rPr>
                <w:i/>
                <w:color w:val="FFFFFF"/>
                <w:w w:val="80"/>
                <w:sz w:val="16"/>
              </w:rPr>
              <w:t>Operating expenses</w:t>
            </w:r>
          </w:p>
        </w:tc>
        <w:tc>
          <w:tcPr>
            <w:tcW w:w="1738" w:type="dxa"/>
            <w:shd w:val="clear" w:color="auto" w:fill="386AB3"/>
          </w:tcPr>
          <w:p>
            <w:pPr>
              <w:pStyle w:val="TableParagraph"/>
              <w:spacing w:before="110"/>
              <w:ind w:left="784"/>
              <w:rPr>
                <w:sz w:val="16"/>
              </w:rPr>
            </w:pPr>
            <w:r>
              <w:rPr>
                <w:color w:val="FFFFFF"/>
                <w:w w:val="95"/>
                <w:sz w:val="16"/>
              </w:rPr>
              <w:t>$5,454</w:t>
            </w:r>
            <w:r>
              <w:rPr>
                <w:color w:val="FFFFFF"/>
                <w:sz w:val="16"/>
              </w:rPr>
              <w:t> </w:t>
            </w:r>
          </w:p>
        </w:tc>
        <w:tc>
          <w:tcPr>
            <w:tcW w:w="1836" w:type="dxa"/>
            <w:shd w:val="clear" w:color="auto" w:fill="386AB3"/>
          </w:tcPr>
          <w:p>
            <w:pPr>
              <w:pStyle w:val="TableParagraph"/>
              <w:spacing w:before="110"/>
              <w:ind w:right="419"/>
              <w:jc w:val="right"/>
              <w:rPr>
                <w:sz w:val="16"/>
              </w:rPr>
            </w:pPr>
            <w:r>
              <w:rPr>
                <w:color w:val="FFFFFF"/>
                <w:w w:val="85"/>
                <w:sz w:val="16"/>
              </w:rPr>
              <w:t>$5,105</w:t>
            </w:r>
            <w:r>
              <w:rPr>
                <w:color w:val="FFFFFF"/>
                <w:sz w:val="16"/>
              </w:rPr>
              <w:t> </w:t>
            </w:r>
          </w:p>
        </w:tc>
        <w:tc>
          <w:tcPr>
            <w:tcW w:w="1150" w:type="dxa"/>
            <w:shd w:val="clear" w:color="auto" w:fill="386AB3"/>
          </w:tcPr>
          <w:p>
            <w:pPr>
              <w:pStyle w:val="TableParagraph"/>
              <w:spacing w:before="113"/>
              <w:ind w:right="118"/>
              <w:jc w:val="right"/>
              <w:rPr>
                <w:sz w:val="16"/>
              </w:rPr>
            </w:pPr>
            <w:r>
              <w:rPr>
                <w:color w:val="FFFFFF"/>
                <w:w w:val="85"/>
                <w:sz w:val="16"/>
              </w:rPr>
              <w:t>6.8%</w:t>
            </w:r>
          </w:p>
        </w:tc>
      </w:tr>
      <w:tr>
        <w:trPr>
          <w:trHeight w:val="340" w:hRule="exact"/>
        </w:trPr>
        <w:tc>
          <w:tcPr>
            <w:tcW w:w="4310" w:type="dxa"/>
            <w:shd w:val="clear" w:color="auto" w:fill="6F8CC7"/>
          </w:tcPr>
          <w:p>
            <w:pPr>
              <w:pStyle w:val="TableParagraph"/>
              <w:spacing w:before="71"/>
              <w:ind w:left="52"/>
              <w:rPr>
                <w:i/>
                <w:sz w:val="16"/>
              </w:rPr>
            </w:pPr>
            <w:r>
              <w:rPr>
                <w:i/>
                <w:color w:val="FFFFFF"/>
                <w:w w:val="85"/>
                <w:sz w:val="16"/>
              </w:rPr>
              <w:t>Operating income</w:t>
            </w:r>
          </w:p>
        </w:tc>
        <w:tc>
          <w:tcPr>
            <w:tcW w:w="1738" w:type="dxa"/>
            <w:shd w:val="clear" w:color="auto" w:fill="002D6A"/>
          </w:tcPr>
          <w:p>
            <w:pPr>
              <w:pStyle w:val="TableParagraph"/>
              <w:spacing w:before="92"/>
              <w:ind w:left="920"/>
              <w:rPr>
                <w:sz w:val="16"/>
              </w:rPr>
            </w:pPr>
            <w:r>
              <w:rPr>
                <w:color w:val="FFFFFF"/>
                <w:w w:val="95"/>
                <w:sz w:val="16"/>
              </w:rPr>
              <w:t>$483</w:t>
            </w:r>
            <w:r>
              <w:rPr>
                <w:color w:val="FFFFFF"/>
                <w:sz w:val="16"/>
              </w:rPr>
              <w:t> </w:t>
            </w:r>
          </w:p>
        </w:tc>
        <w:tc>
          <w:tcPr>
            <w:tcW w:w="1836" w:type="dxa"/>
            <w:shd w:val="clear" w:color="auto" w:fill="6F8CC7"/>
          </w:tcPr>
          <w:p>
            <w:pPr>
              <w:pStyle w:val="TableParagraph"/>
              <w:spacing w:before="92"/>
              <w:ind w:right="417"/>
              <w:jc w:val="right"/>
              <w:rPr>
                <w:sz w:val="16"/>
              </w:rPr>
            </w:pPr>
            <w:r>
              <w:rPr>
                <w:color w:val="FFFFFF"/>
                <w:w w:val="85"/>
                <w:sz w:val="16"/>
              </w:rPr>
              <w:t>$417</w:t>
            </w:r>
            <w:r>
              <w:rPr>
                <w:color w:val="FFFFFF"/>
                <w:sz w:val="16"/>
              </w:rPr>
              <w:t> </w:t>
            </w:r>
          </w:p>
        </w:tc>
        <w:tc>
          <w:tcPr>
            <w:tcW w:w="1150" w:type="dxa"/>
            <w:shd w:val="clear" w:color="auto" w:fill="002D6A"/>
          </w:tcPr>
          <w:p>
            <w:pPr>
              <w:pStyle w:val="TableParagraph"/>
              <w:spacing w:before="83"/>
              <w:ind w:right="121"/>
              <w:jc w:val="right"/>
              <w:rPr>
                <w:sz w:val="16"/>
              </w:rPr>
            </w:pPr>
            <w:r>
              <w:rPr>
                <w:color w:val="FFFFFF"/>
                <w:w w:val="85"/>
                <w:sz w:val="16"/>
              </w:rPr>
              <w:t>15.8%</w:t>
            </w:r>
          </w:p>
        </w:tc>
      </w:tr>
      <w:tr>
        <w:trPr>
          <w:trHeight w:val="366" w:hRule="exact"/>
        </w:trPr>
        <w:tc>
          <w:tcPr>
            <w:tcW w:w="4310" w:type="dxa"/>
            <w:shd w:val="clear" w:color="auto" w:fill="386AB3"/>
          </w:tcPr>
          <w:p>
            <w:pPr>
              <w:pStyle w:val="TableParagraph"/>
              <w:spacing w:before="79"/>
              <w:ind w:left="52"/>
              <w:rPr>
                <w:i/>
                <w:sz w:val="16"/>
              </w:rPr>
            </w:pPr>
            <w:r>
              <w:rPr>
                <w:i/>
                <w:color w:val="FFFFFF"/>
                <w:w w:val="85"/>
                <w:sz w:val="16"/>
              </w:rPr>
              <w:t>Operating margin</w:t>
            </w:r>
          </w:p>
        </w:tc>
        <w:tc>
          <w:tcPr>
            <w:tcW w:w="1738" w:type="dxa"/>
            <w:shd w:val="clear" w:color="auto" w:fill="386AB3"/>
          </w:tcPr>
          <w:p>
            <w:pPr>
              <w:pStyle w:val="TableParagraph"/>
              <w:spacing w:before="109"/>
              <w:ind w:right="296"/>
              <w:jc w:val="right"/>
              <w:rPr>
                <w:sz w:val="16"/>
              </w:rPr>
            </w:pPr>
            <w:r>
              <w:rPr>
                <w:color w:val="FFFFFF"/>
                <w:w w:val="90"/>
                <w:sz w:val="16"/>
              </w:rPr>
              <w:t>8. 1%</w:t>
            </w:r>
          </w:p>
        </w:tc>
        <w:tc>
          <w:tcPr>
            <w:tcW w:w="1836" w:type="dxa"/>
            <w:shd w:val="clear" w:color="auto" w:fill="386AB3"/>
          </w:tcPr>
          <w:p>
            <w:pPr>
              <w:pStyle w:val="TableParagraph"/>
              <w:spacing w:before="109"/>
              <w:ind w:right="309"/>
              <w:jc w:val="right"/>
              <w:rPr>
                <w:sz w:val="16"/>
              </w:rPr>
            </w:pPr>
            <w:r>
              <w:rPr>
                <w:color w:val="FFFFFF"/>
                <w:w w:val="85"/>
                <w:sz w:val="16"/>
              </w:rPr>
              <w:t>7.6%</w:t>
            </w:r>
          </w:p>
        </w:tc>
        <w:tc>
          <w:tcPr>
            <w:tcW w:w="1150" w:type="dxa"/>
            <w:shd w:val="clear" w:color="auto" w:fill="386AB3"/>
          </w:tcPr>
          <w:p>
            <w:pPr>
              <w:pStyle w:val="TableParagraph"/>
              <w:spacing w:before="109"/>
              <w:ind w:right="48"/>
              <w:jc w:val="right"/>
              <w:rPr>
                <w:sz w:val="12"/>
              </w:rPr>
            </w:pPr>
            <w:r>
              <w:rPr>
                <w:color w:val="FFFFFF"/>
                <w:w w:val="85"/>
                <w:sz w:val="16"/>
              </w:rPr>
              <w:t>0.5 </w:t>
            </w:r>
            <w:r>
              <w:rPr>
                <w:color w:val="FFFFFF"/>
                <w:w w:val="85"/>
                <w:sz w:val="12"/>
              </w:rPr>
              <w:t>pts.</w:t>
            </w:r>
          </w:p>
        </w:tc>
      </w:tr>
      <w:tr>
        <w:trPr>
          <w:trHeight w:val="340" w:hRule="exact"/>
        </w:trPr>
        <w:tc>
          <w:tcPr>
            <w:tcW w:w="4310" w:type="dxa"/>
            <w:shd w:val="clear" w:color="auto" w:fill="6F8CC7"/>
          </w:tcPr>
          <w:p>
            <w:pPr>
              <w:pStyle w:val="TableParagraph"/>
              <w:spacing w:before="68"/>
              <w:ind w:left="52"/>
              <w:rPr>
                <w:i/>
                <w:sz w:val="16"/>
              </w:rPr>
            </w:pPr>
            <w:r>
              <w:rPr>
                <w:i/>
                <w:color w:val="FFFFFF"/>
                <w:w w:val="85"/>
                <w:sz w:val="16"/>
              </w:rPr>
              <w:t>Net income</w:t>
            </w:r>
          </w:p>
        </w:tc>
        <w:tc>
          <w:tcPr>
            <w:tcW w:w="1738" w:type="dxa"/>
            <w:shd w:val="clear" w:color="auto" w:fill="002D6A"/>
          </w:tcPr>
          <w:p>
            <w:pPr>
              <w:pStyle w:val="TableParagraph"/>
              <w:spacing w:before="98"/>
              <w:ind w:left="927"/>
              <w:rPr>
                <w:sz w:val="16"/>
              </w:rPr>
            </w:pPr>
            <w:r>
              <w:rPr>
                <w:color w:val="FFFFFF"/>
                <w:w w:val="95"/>
                <w:sz w:val="16"/>
              </w:rPr>
              <w:t>$442</w:t>
            </w:r>
            <w:r>
              <w:rPr>
                <w:color w:val="FFFFFF"/>
                <w:sz w:val="16"/>
              </w:rPr>
              <w:t> </w:t>
            </w:r>
          </w:p>
        </w:tc>
        <w:tc>
          <w:tcPr>
            <w:tcW w:w="1836" w:type="dxa"/>
            <w:shd w:val="clear" w:color="auto" w:fill="6F8CC7"/>
          </w:tcPr>
          <w:p>
            <w:pPr>
              <w:pStyle w:val="TableParagraph"/>
              <w:spacing w:before="98"/>
              <w:ind w:right="400"/>
              <w:jc w:val="right"/>
              <w:rPr>
                <w:sz w:val="16"/>
              </w:rPr>
            </w:pPr>
            <w:r>
              <w:rPr>
                <w:color w:val="FFFFFF"/>
                <w:w w:val="90"/>
                <w:sz w:val="16"/>
              </w:rPr>
              <w:t>$ 241</w:t>
            </w:r>
            <w:r>
              <w:rPr>
                <w:color w:val="FFFFFF"/>
                <w:sz w:val="16"/>
              </w:rPr>
              <w:t> </w:t>
            </w:r>
          </w:p>
        </w:tc>
        <w:tc>
          <w:tcPr>
            <w:tcW w:w="1150" w:type="dxa"/>
            <w:shd w:val="clear" w:color="auto" w:fill="002D6A"/>
          </w:tcPr>
          <w:p>
            <w:pPr>
              <w:pStyle w:val="TableParagraph"/>
              <w:spacing w:before="96"/>
              <w:ind w:right="124"/>
              <w:jc w:val="right"/>
              <w:rPr>
                <w:sz w:val="16"/>
              </w:rPr>
            </w:pPr>
            <w:r>
              <w:rPr>
                <w:color w:val="FFFFFF"/>
                <w:w w:val="85"/>
                <w:sz w:val="16"/>
              </w:rPr>
              <w:t>83.4 %</w:t>
            </w:r>
          </w:p>
        </w:tc>
      </w:tr>
      <w:tr>
        <w:trPr>
          <w:trHeight w:val="366" w:hRule="exact"/>
        </w:trPr>
        <w:tc>
          <w:tcPr>
            <w:tcW w:w="4310" w:type="dxa"/>
            <w:shd w:val="clear" w:color="auto" w:fill="386AB3"/>
          </w:tcPr>
          <w:p>
            <w:pPr>
              <w:pStyle w:val="TableParagraph"/>
              <w:spacing w:before="88"/>
              <w:ind w:left="52"/>
              <w:rPr>
                <w:i/>
                <w:sz w:val="16"/>
              </w:rPr>
            </w:pPr>
            <w:r>
              <w:rPr>
                <w:i/>
                <w:color w:val="FFFFFF"/>
                <w:w w:val="85"/>
                <w:sz w:val="16"/>
              </w:rPr>
              <w:t>Net margin</w:t>
            </w:r>
          </w:p>
        </w:tc>
        <w:tc>
          <w:tcPr>
            <w:tcW w:w="1738" w:type="dxa"/>
            <w:shd w:val="clear" w:color="auto" w:fill="386AB3"/>
          </w:tcPr>
          <w:p>
            <w:pPr>
              <w:pStyle w:val="TableParagraph"/>
              <w:spacing w:before="113"/>
              <w:ind w:right="294"/>
              <w:jc w:val="right"/>
              <w:rPr>
                <w:sz w:val="16"/>
              </w:rPr>
            </w:pPr>
            <w:r>
              <w:rPr>
                <w:color w:val="FFFFFF"/>
                <w:w w:val="90"/>
                <w:sz w:val="16"/>
              </w:rPr>
              <w:t>7.4 %</w:t>
            </w:r>
          </w:p>
        </w:tc>
        <w:tc>
          <w:tcPr>
            <w:tcW w:w="1836" w:type="dxa"/>
            <w:shd w:val="clear" w:color="auto" w:fill="386AB3"/>
          </w:tcPr>
          <w:p>
            <w:pPr>
              <w:pStyle w:val="TableParagraph"/>
              <w:spacing w:before="113"/>
              <w:ind w:right="283"/>
              <w:jc w:val="right"/>
              <w:rPr>
                <w:sz w:val="16"/>
              </w:rPr>
            </w:pPr>
            <w:r>
              <w:rPr>
                <w:color w:val="FFFFFF"/>
                <w:w w:val="90"/>
                <w:sz w:val="16"/>
              </w:rPr>
              <w:t>4.4 %</w:t>
            </w:r>
            <w:r>
              <w:rPr>
                <w:color w:val="FFFFFF"/>
                <w:sz w:val="16"/>
              </w:rPr>
              <w:t> </w:t>
            </w:r>
          </w:p>
        </w:tc>
        <w:tc>
          <w:tcPr>
            <w:tcW w:w="1150" w:type="dxa"/>
            <w:shd w:val="clear" w:color="auto" w:fill="386AB3"/>
          </w:tcPr>
          <w:p>
            <w:pPr>
              <w:pStyle w:val="TableParagraph"/>
              <w:spacing w:before="113"/>
              <w:ind w:right="63"/>
              <w:jc w:val="right"/>
              <w:rPr>
                <w:sz w:val="12"/>
              </w:rPr>
            </w:pPr>
            <w:r>
              <w:rPr>
                <w:color w:val="FFFFFF"/>
                <w:w w:val="85"/>
                <w:sz w:val="16"/>
              </w:rPr>
              <w:t>3.0</w:t>
            </w:r>
            <w:r>
              <w:rPr>
                <w:color w:val="FFFFFF"/>
                <w:w w:val="85"/>
                <w:sz w:val="12"/>
              </w:rPr>
              <w:t>pts.</w:t>
            </w:r>
          </w:p>
        </w:tc>
      </w:tr>
      <w:tr>
        <w:trPr>
          <w:trHeight w:val="340" w:hRule="exact"/>
        </w:trPr>
        <w:tc>
          <w:tcPr>
            <w:tcW w:w="4310" w:type="dxa"/>
            <w:shd w:val="clear" w:color="auto" w:fill="6F8CC7"/>
          </w:tcPr>
          <w:p>
            <w:pPr>
              <w:pStyle w:val="TableParagraph"/>
              <w:spacing w:before="82"/>
              <w:ind w:left="52"/>
              <w:rPr>
                <w:i/>
                <w:sz w:val="16"/>
              </w:rPr>
            </w:pPr>
            <w:r>
              <w:rPr>
                <w:i/>
                <w:color w:val="FFFFFF"/>
                <w:w w:val="90"/>
                <w:sz w:val="16"/>
              </w:rPr>
              <w:t>Net income per share – basic</w:t>
            </w:r>
          </w:p>
        </w:tc>
        <w:tc>
          <w:tcPr>
            <w:tcW w:w="1738" w:type="dxa"/>
            <w:shd w:val="clear" w:color="auto" w:fill="002D6A"/>
          </w:tcPr>
          <w:p>
            <w:pPr>
              <w:pStyle w:val="TableParagraph"/>
              <w:spacing w:before="88"/>
              <w:ind w:left="977"/>
              <w:rPr>
                <w:sz w:val="16"/>
              </w:rPr>
            </w:pPr>
            <w:r>
              <w:rPr>
                <w:color w:val="FFFFFF"/>
                <w:w w:val="95"/>
                <w:sz w:val="16"/>
              </w:rPr>
              <w:t>$.56</w:t>
            </w:r>
            <w:r>
              <w:rPr>
                <w:color w:val="FFFFFF"/>
                <w:sz w:val="16"/>
              </w:rPr>
              <w:t> </w:t>
            </w:r>
          </w:p>
        </w:tc>
        <w:tc>
          <w:tcPr>
            <w:tcW w:w="1836" w:type="dxa"/>
            <w:shd w:val="clear" w:color="auto" w:fill="6F8CC7"/>
          </w:tcPr>
          <w:p>
            <w:pPr>
              <w:pStyle w:val="TableParagraph"/>
              <w:spacing w:before="88"/>
              <w:ind w:right="424"/>
              <w:jc w:val="right"/>
              <w:rPr>
                <w:sz w:val="16"/>
              </w:rPr>
            </w:pPr>
            <w:r>
              <w:rPr>
                <w:color w:val="FFFFFF"/>
                <w:w w:val="90"/>
                <w:sz w:val="16"/>
              </w:rPr>
              <w:t>$. 31</w:t>
            </w:r>
          </w:p>
        </w:tc>
        <w:tc>
          <w:tcPr>
            <w:tcW w:w="1150" w:type="dxa"/>
            <w:shd w:val="clear" w:color="auto" w:fill="002D6A"/>
          </w:tcPr>
          <w:p>
            <w:pPr>
              <w:pStyle w:val="TableParagraph"/>
              <w:spacing w:before="94"/>
              <w:ind w:right="124"/>
              <w:jc w:val="right"/>
              <w:rPr>
                <w:sz w:val="16"/>
              </w:rPr>
            </w:pPr>
            <w:r>
              <w:rPr>
                <w:color w:val="FFFFFF"/>
                <w:w w:val="85"/>
                <w:sz w:val="16"/>
              </w:rPr>
              <w:t>80.6%</w:t>
            </w:r>
          </w:p>
        </w:tc>
      </w:tr>
      <w:tr>
        <w:trPr>
          <w:trHeight w:val="366" w:hRule="exact"/>
        </w:trPr>
        <w:tc>
          <w:tcPr>
            <w:tcW w:w="4310" w:type="dxa"/>
            <w:shd w:val="clear" w:color="auto" w:fill="386AB3"/>
          </w:tcPr>
          <w:p>
            <w:pPr>
              <w:pStyle w:val="TableParagraph"/>
              <w:spacing w:before="88"/>
              <w:ind w:left="52"/>
              <w:rPr>
                <w:i/>
                <w:sz w:val="16"/>
              </w:rPr>
            </w:pPr>
            <w:r>
              <w:rPr>
                <w:i/>
                <w:color w:val="FFFFFF"/>
                <w:w w:val="90"/>
                <w:sz w:val="16"/>
              </w:rPr>
              <w:t>Net income per share – diluted</w:t>
            </w:r>
          </w:p>
        </w:tc>
        <w:tc>
          <w:tcPr>
            <w:tcW w:w="1738" w:type="dxa"/>
            <w:shd w:val="clear" w:color="auto" w:fill="386AB3"/>
          </w:tcPr>
          <w:p>
            <w:pPr>
              <w:pStyle w:val="TableParagraph"/>
              <w:spacing w:before="123"/>
              <w:ind w:left="970"/>
              <w:rPr>
                <w:sz w:val="16"/>
              </w:rPr>
            </w:pPr>
            <w:r>
              <w:rPr>
                <w:color w:val="FFFFFF"/>
                <w:w w:val="95"/>
                <w:sz w:val="16"/>
              </w:rPr>
              <w:t>$.54</w:t>
            </w:r>
            <w:r>
              <w:rPr>
                <w:color w:val="FFFFFF"/>
                <w:sz w:val="16"/>
              </w:rPr>
              <w:t> </w:t>
            </w:r>
          </w:p>
        </w:tc>
        <w:tc>
          <w:tcPr>
            <w:tcW w:w="1836" w:type="dxa"/>
            <w:shd w:val="clear" w:color="auto" w:fill="386AB3"/>
          </w:tcPr>
          <w:p>
            <w:pPr>
              <w:pStyle w:val="TableParagraph"/>
              <w:spacing w:before="123"/>
              <w:ind w:right="442"/>
              <w:jc w:val="right"/>
              <w:rPr>
                <w:sz w:val="16"/>
              </w:rPr>
            </w:pPr>
            <w:r>
              <w:rPr>
                <w:color w:val="FFFFFF"/>
                <w:w w:val="85"/>
                <w:sz w:val="16"/>
              </w:rPr>
              <w:t>$.30</w:t>
            </w:r>
          </w:p>
        </w:tc>
        <w:tc>
          <w:tcPr>
            <w:tcW w:w="1150" w:type="dxa"/>
            <w:shd w:val="clear" w:color="auto" w:fill="386AB3"/>
          </w:tcPr>
          <w:p>
            <w:pPr>
              <w:pStyle w:val="TableParagraph"/>
              <w:spacing w:before="122"/>
              <w:ind w:right="120"/>
              <w:jc w:val="right"/>
              <w:rPr>
                <w:sz w:val="16"/>
              </w:rPr>
            </w:pPr>
            <w:r>
              <w:rPr>
                <w:color w:val="FFFFFF"/>
                <w:w w:val="85"/>
                <w:sz w:val="16"/>
              </w:rPr>
              <w:t>80.0%</w:t>
            </w:r>
          </w:p>
        </w:tc>
      </w:tr>
      <w:tr>
        <w:trPr>
          <w:trHeight w:val="340" w:hRule="exact"/>
        </w:trPr>
        <w:tc>
          <w:tcPr>
            <w:tcW w:w="4310" w:type="dxa"/>
            <w:shd w:val="clear" w:color="auto" w:fill="6F8CC7"/>
          </w:tcPr>
          <w:p>
            <w:pPr>
              <w:pStyle w:val="TableParagraph"/>
              <w:spacing w:before="69"/>
              <w:ind w:left="52"/>
              <w:rPr>
                <w:i/>
                <w:sz w:val="16"/>
              </w:rPr>
            </w:pPr>
            <w:r>
              <w:rPr>
                <w:i/>
                <w:color w:val="FFFFFF"/>
                <w:w w:val="85"/>
                <w:sz w:val="16"/>
              </w:rPr>
              <w:t>Stockholders’ equity</w:t>
            </w:r>
          </w:p>
        </w:tc>
        <w:tc>
          <w:tcPr>
            <w:tcW w:w="1738" w:type="dxa"/>
            <w:shd w:val="clear" w:color="auto" w:fill="002D6A"/>
          </w:tcPr>
          <w:p>
            <w:pPr>
              <w:pStyle w:val="TableParagraph"/>
              <w:spacing w:before="84"/>
              <w:ind w:left="762"/>
              <w:rPr>
                <w:sz w:val="16"/>
              </w:rPr>
            </w:pPr>
            <w:r>
              <w:rPr>
                <w:color w:val="FFFFFF"/>
                <w:w w:val="95"/>
                <w:sz w:val="16"/>
              </w:rPr>
              <w:t>$5,052</w:t>
            </w:r>
            <w:r>
              <w:rPr>
                <w:color w:val="FFFFFF"/>
                <w:sz w:val="16"/>
              </w:rPr>
              <w:t> </w:t>
            </w:r>
          </w:p>
        </w:tc>
        <w:tc>
          <w:tcPr>
            <w:tcW w:w="1836" w:type="dxa"/>
            <w:shd w:val="clear" w:color="auto" w:fill="6F8CC7"/>
          </w:tcPr>
          <w:p>
            <w:pPr>
              <w:pStyle w:val="TableParagraph"/>
              <w:spacing w:before="86"/>
              <w:ind w:right="423"/>
              <w:jc w:val="right"/>
              <w:rPr>
                <w:sz w:val="16"/>
              </w:rPr>
            </w:pPr>
            <w:r>
              <w:rPr>
                <w:color w:val="FFFFFF"/>
                <w:w w:val="90"/>
                <w:sz w:val="16"/>
              </w:rPr>
              <w:t>$4 ,422</w:t>
            </w:r>
            <w:r>
              <w:rPr>
                <w:color w:val="FFFFFF"/>
                <w:sz w:val="16"/>
              </w:rPr>
              <w:t> </w:t>
            </w:r>
          </w:p>
        </w:tc>
        <w:tc>
          <w:tcPr>
            <w:tcW w:w="1150" w:type="dxa"/>
            <w:shd w:val="clear" w:color="auto" w:fill="002D6A"/>
          </w:tcPr>
          <w:p>
            <w:pPr>
              <w:pStyle w:val="TableParagraph"/>
              <w:spacing w:before="84"/>
              <w:ind w:right="127"/>
              <w:jc w:val="right"/>
              <w:rPr>
                <w:sz w:val="16"/>
              </w:rPr>
            </w:pPr>
            <w:r>
              <w:rPr>
                <w:color w:val="FFFFFF"/>
                <w:w w:val="85"/>
                <w:sz w:val="16"/>
              </w:rPr>
              <w:t>14.2 %</w:t>
            </w:r>
          </w:p>
        </w:tc>
      </w:tr>
      <w:tr>
        <w:trPr>
          <w:trHeight w:val="366" w:hRule="exact"/>
        </w:trPr>
        <w:tc>
          <w:tcPr>
            <w:tcW w:w="4310" w:type="dxa"/>
            <w:shd w:val="clear" w:color="auto" w:fill="386AB3"/>
          </w:tcPr>
          <w:p>
            <w:pPr>
              <w:pStyle w:val="TableParagraph"/>
              <w:spacing w:before="83"/>
              <w:ind w:left="52"/>
              <w:rPr>
                <w:i/>
                <w:sz w:val="16"/>
              </w:rPr>
            </w:pPr>
            <w:r>
              <w:rPr>
                <w:i/>
                <w:color w:val="FFFFFF"/>
                <w:w w:val="85"/>
                <w:sz w:val="16"/>
              </w:rPr>
              <w:t>Return on average stockholders’ equity</w:t>
            </w:r>
          </w:p>
        </w:tc>
        <w:tc>
          <w:tcPr>
            <w:tcW w:w="1738" w:type="dxa"/>
            <w:shd w:val="clear" w:color="auto" w:fill="386AB3"/>
          </w:tcPr>
          <w:p>
            <w:pPr>
              <w:pStyle w:val="TableParagraph"/>
              <w:spacing w:before="101"/>
              <w:ind w:right="267"/>
              <w:jc w:val="right"/>
              <w:rPr>
                <w:sz w:val="16"/>
              </w:rPr>
            </w:pPr>
            <w:r>
              <w:rPr>
                <w:color w:val="FFFFFF"/>
                <w:w w:val="90"/>
                <w:sz w:val="16"/>
              </w:rPr>
              <w:t>9.3 %</w:t>
            </w:r>
            <w:r>
              <w:rPr>
                <w:color w:val="FFFFFF"/>
                <w:sz w:val="16"/>
              </w:rPr>
              <w:t> </w:t>
            </w:r>
          </w:p>
        </w:tc>
        <w:tc>
          <w:tcPr>
            <w:tcW w:w="1836" w:type="dxa"/>
            <w:shd w:val="clear" w:color="auto" w:fill="386AB3"/>
          </w:tcPr>
          <w:p>
            <w:pPr>
              <w:pStyle w:val="TableParagraph"/>
              <w:spacing w:before="101"/>
              <w:ind w:right="294"/>
              <w:jc w:val="right"/>
              <w:rPr>
                <w:sz w:val="16"/>
              </w:rPr>
            </w:pPr>
            <w:r>
              <w:rPr>
                <w:color w:val="FFFFFF"/>
                <w:w w:val="95"/>
                <w:sz w:val="16"/>
              </w:rPr>
              <w:t>5 .7 %</w:t>
            </w:r>
          </w:p>
        </w:tc>
        <w:tc>
          <w:tcPr>
            <w:tcW w:w="1150" w:type="dxa"/>
            <w:shd w:val="clear" w:color="auto" w:fill="386AB3"/>
          </w:tcPr>
          <w:p>
            <w:pPr>
              <w:pStyle w:val="TableParagraph"/>
              <w:spacing w:before="103"/>
              <w:ind w:right="48"/>
              <w:jc w:val="right"/>
              <w:rPr>
                <w:sz w:val="12"/>
              </w:rPr>
            </w:pPr>
            <w:r>
              <w:rPr>
                <w:color w:val="FFFFFF"/>
                <w:w w:val="85"/>
                <w:sz w:val="16"/>
              </w:rPr>
              <w:t>3.6 </w:t>
            </w:r>
            <w:r>
              <w:rPr>
                <w:color w:val="FFFFFF"/>
                <w:w w:val="85"/>
                <w:sz w:val="12"/>
              </w:rPr>
              <w:t>pts.</w:t>
            </w:r>
          </w:p>
        </w:tc>
      </w:tr>
      <w:tr>
        <w:trPr>
          <w:trHeight w:val="340" w:hRule="exact"/>
        </w:trPr>
        <w:tc>
          <w:tcPr>
            <w:tcW w:w="4310" w:type="dxa"/>
            <w:shd w:val="clear" w:color="auto" w:fill="6F8CC7"/>
          </w:tcPr>
          <w:p>
            <w:pPr>
              <w:pStyle w:val="TableParagraph"/>
              <w:spacing w:before="65"/>
              <w:ind w:left="52"/>
              <w:rPr>
                <w:i/>
                <w:sz w:val="16"/>
              </w:rPr>
            </w:pPr>
            <w:r>
              <w:rPr>
                <w:i/>
                <w:color w:val="FFFFFF"/>
                <w:w w:val="85"/>
                <w:sz w:val="16"/>
              </w:rPr>
              <w:t>Stockholders’ equity per common share outstanding</w:t>
            </w:r>
          </w:p>
        </w:tc>
        <w:tc>
          <w:tcPr>
            <w:tcW w:w="1738" w:type="dxa"/>
            <w:shd w:val="clear" w:color="auto" w:fill="002D6A"/>
          </w:tcPr>
          <w:p>
            <w:pPr>
              <w:pStyle w:val="TableParagraph"/>
              <w:spacing w:before="87"/>
              <w:ind w:left="891"/>
              <w:rPr>
                <w:sz w:val="16"/>
              </w:rPr>
            </w:pPr>
            <w:r>
              <w:rPr>
                <w:color w:val="FFFFFF"/>
                <w:w w:val="90"/>
                <w:sz w:val="16"/>
              </w:rPr>
              <w:t>$6. 40</w:t>
            </w:r>
          </w:p>
        </w:tc>
        <w:tc>
          <w:tcPr>
            <w:tcW w:w="1836" w:type="dxa"/>
            <w:shd w:val="clear" w:color="auto" w:fill="6F8CC7"/>
          </w:tcPr>
          <w:p>
            <w:pPr>
              <w:pStyle w:val="TableParagraph"/>
              <w:spacing w:before="87"/>
              <w:ind w:right="439"/>
              <w:jc w:val="right"/>
              <w:rPr>
                <w:sz w:val="16"/>
              </w:rPr>
            </w:pPr>
            <w:r>
              <w:rPr>
                <w:color w:val="FFFFFF"/>
                <w:w w:val="85"/>
                <w:sz w:val="16"/>
              </w:rPr>
              <w:t>$5.69</w:t>
            </w:r>
          </w:p>
        </w:tc>
        <w:tc>
          <w:tcPr>
            <w:tcW w:w="1150" w:type="dxa"/>
            <w:shd w:val="clear" w:color="auto" w:fill="002D6A"/>
          </w:tcPr>
          <w:p>
            <w:pPr>
              <w:pStyle w:val="TableParagraph"/>
              <w:spacing w:before="86"/>
              <w:ind w:right="124"/>
              <w:jc w:val="right"/>
              <w:rPr>
                <w:sz w:val="16"/>
              </w:rPr>
            </w:pPr>
            <w:r>
              <w:rPr>
                <w:color w:val="FFFFFF"/>
                <w:w w:val="85"/>
                <w:sz w:val="16"/>
              </w:rPr>
              <w:t>12.5 %</w:t>
            </w:r>
          </w:p>
        </w:tc>
      </w:tr>
      <w:tr>
        <w:trPr>
          <w:trHeight w:val="366" w:hRule="exact"/>
        </w:trPr>
        <w:tc>
          <w:tcPr>
            <w:tcW w:w="4310" w:type="dxa"/>
            <w:shd w:val="clear" w:color="auto" w:fill="386AB3"/>
          </w:tcPr>
          <w:p>
            <w:pPr>
              <w:pStyle w:val="TableParagraph"/>
              <w:spacing w:before="89"/>
              <w:ind w:left="52"/>
              <w:rPr>
                <w:i/>
                <w:sz w:val="16"/>
              </w:rPr>
            </w:pPr>
            <w:r>
              <w:rPr>
                <w:i/>
                <w:color w:val="FFFFFF"/>
                <w:w w:val="85"/>
                <w:sz w:val="16"/>
              </w:rPr>
              <w:t>Revenue passengers carried</w:t>
            </w:r>
          </w:p>
        </w:tc>
        <w:tc>
          <w:tcPr>
            <w:tcW w:w="1738" w:type="dxa"/>
            <w:shd w:val="clear" w:color="auto" w:fill="386AB3"/>
          </w:tcPr>
          <w:p>
            <w:pPr>
              <w:pStyle w:val="TableParagraph"/>
              <w:spacing w:before="110"/>
              <w:ind w:left="429"/>
              <w:rPr>
                <w:sz w:val="16"/>
              </w:rPr>
            </w:pPr>
            <w:r>
              <w:rPr>
                <w:color w:val="FFFFFF"/>
                <w:w w:val="85"/>
                <w:sz w:val="16"/>
              </w:rPr>
              <w:t>65,673, 945</w:t>
            </w:r>
            <w:r>
              <w:rPr>
                <w:color w:val="FFFFFF"/>
                <w:sz w:val="16"/>
              </w:rPr>
              <w:t> </w:t>
            </w:r>
          </w:p>
        </w:tc>
        <w:tc>
          <w:tcPr>
            <w:tcW w:w="1836" w:type="dxa"/>
            <w:shd w:val="clear" w:color="auto" w:fill="386AB3"/>
          </w:tcPr>
          <w:p>
            <w:pPr>
              <w:pStyle w:val="TableParagraph"/>
              <w:spacing w:before="113"/>
              <w:ind w:left="493"/>
              <w:rPr>
                <w:sz w:val="16"/>
              </w:rPr>
            </w:pPr>
            <w:r>
              <w:rPr>
                <w:color w:val="FFFFFF"/>
                <w:w w:val="90"/>
                <w:sz w:val="16"/>
              </w:rPr>
              <w:t>63,045, 9 8 8</w:t>
            </w:r>
          </w:p>
        </w:tc>
        <w:tc>
          <w:tcPr>
            <w:tcW w:w="1150" w:type="dxa"/>
            <w:shd w:val="clear" w:color="auto" w:fill="386AB3"/>
          </w:tcPr>
          <w:p>
            <w:pPr>
              <w:pStyle w:val="TableParagraph"/>
              <w:spacing w:before="107"/>
              <w:ind w:right="128"/>
              <w:jc w:val="right"/>
              <w:rPr>
                <w:sz w:val="16"/>
              </w:rPr>
            </w:pPr>
            <w:r>
              <w:rPr>
                <w:color w:val="FFFFFF"/>
                <w:w w:val="85"/>
                <w:sz w:val="16"/>
              </w:rPr>
              <w:t>4.2%</w:t>
            </w:r>
          </w:p>
        </w:tc>
      </w:tr>
      <w:tr>
        <w:trPr>
          <w:trHeight w:val="340" w:hRule="exact"/>
        </w:trPr>
        <w:tc>
          <w:tcPr>
            <w:tcW w:w="4310" w:type="dxa"/>
            <w:shd w:val="clear" w:color="auto" w:fill="6F8CC7"/>
          </w:tcPr>
          <w:p>
            <w:pPr>
              <w:pStyle w:val="TableParagraph"/>
              <w:spacing w:before="70"/>
              <w:ind w:left="52"/>
              <w:rPr>
                <w:i/>
                <w:sz w:val="16"/>
              </w:rPr>
            </w:pPr>
            <w:r>
              <w:rPr>
                <w:i/>
                <w:color w:val="FFFFFF"/>
                <w:w w:val="85"/>
                <w:sz w:val="16"/>
              </w:rPr>
              <w:t>Revenue passenger miles {RPMs} (000s)</w:t>
            </w:r>
          </w:p>
        </w:tc>
        <w:tc>
          <w:tcPr>
            <w:tcW w:w="1738" w:type="dxa"/>
            <w:shd w:val="clear" w:color="auto" w:fill="002D6A"/>
          </w:tcPr>
          <w:p>
            <w:pPr>
              <w:pStyle w:val="TableParagraph"/>
              <w:spacing w:before="79"/>
              <w:ind w:left="436"/>
              <w:rPr>
                <w:sz w:val="16"/>
              </w:rPr>
            </w:pPr>
            <w:r>
              <w:rPr>
                <w:color w:val="FFFFFF"/>
                <w:w w:val="85"/>
                <w:sz w:val="16"/>
              </w:rPr>
              <w:t>47,943, 066</w:t>
            </w:r>
            <w:r>
              <w:rPr>
                <w:color w:val="FFFFFF"/>
                <w:sz w:val="16"/>
              </w:rPr>
              <w:t> </w:t>
            </w:r>
          </w:p>
        </w:tc>
        <w:tc>
          <w:tcPr>
            <w:tcW w:w="1836" w:type="dxa"/>
            <w:shd w:val="clear" w:color="auto" w:fill="6F8CC7"/>
          </w:tcPr>
          <w:p>
            <w:pPr>
              <w:pStyle w:val="TableParagraph"/>
              <w:spacing w:before="79"/>
              <w:ind w:left="492"/>
              <w:rPr>
                <w:sz w:val="16"/>
              </w:rPr>
            </w:pPr>
            <w:r>
              <w:rPr>
                <w:color w:val="FFFFFF"/>
                <w:w w:val="90"/>
                <w:sz w:val="16"/>
              </w:rPr>
              <w:t>45, 391, 903</w:t>
            </w:r>
            <w:r>
              <w:rPr>
                <w:color w:val="FFFFFF"/>
                <w:sz w:val="16"/>
              </w:rPr>
              <w:t> </w:t>
            </w:r>
          </w:p>
        </w:tc>
        <w:tc>
          <w:tcPr>
            <w:tcW w:w="1150" w:type="dxa"/>
            <w:shd w:val="clear" w:color="auto" w:fill="002D6A"/>
          </w:tcPr>
          <w:p>
            <w:pPr>
              <w:pStyle w:val="TableParagraph"/>
              <w:spacing w:before="80"/>
              <w:ind w:right="129"/>
              <w:jc w:val="right"/>
              <w:rPr>
                <w:sz w:val="16"/>
              </w:rPr>
            </w:pPr>
            <w:r>
              <w:rPr>
                <w:color w:val="FFFFFF"/>
                <w:w w:val="85"/>
                <w:sz w:val="16"/>
              </w:rPr>
              <w:t>5.6%</w:t>
            </w:r>
          </w:p>
        </w:tc>
      </w:tr>
      <w:tr>
        <w:trPr>
          <w:trHeight w:val="366" w:hRule="exact"/>
        </w:trPr>
        <w:tc>
          <w:tcPr>
            <w:tcW w:w="4310" w:type="dxa"/>
            <w:shd w:val="clear" w:color="auto" w:fill="386AB3"/>
          </w:tcPr>
          <w:p>
            <w:pPr>
              <w:pStyle w:val="TableParagraph"/>
              <w:spacing w:before="77"/>
              <w:ind w:left="52"/>
              <w:rPr>
                <w:i/>
                <w:sz w:val="16"/>
              </w:rPr>
            </w:pPr>
            <w:r>
              <w:rPr>
                <w:i/>
                <w:color w:val="FFFFFF"/>
                <w:w w:val="85"/>
                <w:sz w:val="16"/>
              </w:rPr>
              <w:t>Available seat miles {ASMs} (000s)</w:t>
            </w:r>
          </w:p>
        </w:tc>
        <w:tc>
          <w:tcPr>
            <w:tcW w:w="1738" w:type="dxa"/>
            <w:shd w:val="clear" w:color="auto" w:fill="386AB3"/>
          </w:tcPr>
          <w:p>
            <w:pPr>
              <w:pStyle w:val="TableParagraph"/>
              <w:spacing w:before="107"/>
              <w:ind w:left="433"/>
              <w:rPr>
                <w:sz w:val="16"/>
              </w:rPr>
            </w:pPr>
            <w:r>
              <w:rPr>
                <w:color w:val="FFFFFF"/>
                <w:w w:val="95"/>
                <w:sz w:val="16"/>
              </w:rPr>
              <w:t>71,790,425</w:t>
            </w:r>
            <w:r>
              <w:rPr>
                <w:color w:val="FFFFFF"/>
                <w:sz w:val="16"/>
              </w:rPr>
              <w:t> </w:t>
            </w:r>
          </w:p>
        </w:tc>
        <w:tc>
          <w:tcPr>
            <w:tcW w:w="1836" w:type="dxa"/>
            <w:shd w:val="clear" w:color="auto" w:fill="386AB3"/>
          </w:tcPr>
          <w:p>
            <w:pPr>
              <w:pStyle w:val="TableParagraph"/>
              <w:spacing w:before="104"/>
              <w:ind w:left="496"/>
              <w:rPr>
                <w:sz w:val="16"/>
              </w:rPr>
            </w:pPr>
            <w:r>
              <w:rPr>
                <w:color w:val="FFFFFF"/>
                <w:w w:val="85"/>
                <w:sz w:val="16"/>
              </w:rPr>
              <w:t>68, 886,546</w:t>
            </w:r>
            <w:r>
              <w:rPr>
                <w:color w:val="FFFFFF"/>
                <w:sz w:val="16"/>
              </w:rPr>
              <w:t> </w:t>
            </w:r>
          </w:p>
        </w:tc>
        <w:tc>
          <w:tcPr>
            <w:tcW w:w="1150" w:type="dxa"/>
            <w:shd w:val="clear" w:color="auto" w:fill="386AB3"/>
          </w:tcPr>
          <w:p>
            <w:pPr>
              <w:pStyle w:val="TableParagraph"/>
              <w:spacing w:before="108"/>
              <w:ind w:right="129"/>
              <w:jc w:val="right"/>
              <w:rPr>
                <w:sz w:val="16"/>
              </w:rPr>
            </w:pPr>
            <w:r>
              <w:rPr>
                <w:color w:val="FFFFFF"/>
                <w:w w:val="85"/>
                <w:sz w:val="16"/>
              </w:rPr>
              <w:t>4.2%</w:t>
            </w:r>
          </w:p>
        </w:tc>
      </w:tr>
      <w:tr>
        <w:trPr>
          <w:trHeight w:val="340" w:hRule="exact"/>
        </w:trPr>
        <w:tc>
          <w:tcPr>
            <w:tcW w:w="4310" w:type="dxa"/>
            <w:shd w:val="clear" w:color="auto" w:fill="6F8CC7"/>
          </w:tcPr>
          <w:p>
            <w:pPr>
              <w:pStyle w:val="TableParagraph"/>
              <w:spacing w:before="58"/>
              <w:ind w:left="52"/>
              <w:rPr>
                <w:i/>
                <w:sz w:val="16"/>
              </w:rPr>
            </w:pPr>
            <w:r>
              <w:rPr>
                <w:i/>
                <w:color w:val="FFFFFF"/>
                <w:w w:val="85"/>
                <w:sz w:val="16"/>
              </w:rPr>
              <w:t>Passenger load factor</w:t>
            </w:r>
          </w:p>
        </w:tc>
        <w:tc>
          <w:tcPr>
            <w:tcW w:w="1738" w:type="dxa"/>
            <w:shd w:val="clear" w:color="auto" w:fill="002D6A"/>
          </w:tcPr>
          <w:p>
            <w:pPr>
              <w:pStyle w:val="TableParagraph"/>
              <w:spacing w:before="94"/>
              <w:ind w:right="279"/>
              <w:jc w:val="right"/>
              <w:rPr>
                <w:sz w:val="16"/>
              </w:rPr>
            </w:pPr>
            <w:r>
              <w:rPr>
                <w:color w:val="FFFFFF"/>
                <w:w w:val="90"/>
                <w:sz w:val="16"/>
              </w:rPr>
              <w:t>6 6.8%</w:t>
            </w:r>
            <w:r>
              <w:rPr>
                <w:color w:val="FFFFFF"/>
                <w:sz w:val="16"/>
              </w:rPr>
              <w:t> </w:t>
            </w:r>
          </w:p>
        </w:tc>
        <w:tc>
          <w:tcPr>
            <w:tcW w:w="1836" w:type="dxa"/>
            <w:shd w:val="clear" w:color="auto" w:fill="6F8CC7"/>
          </w:tcPr>
          <w:p>
            <w:pPr>
              <w:pStyle w:val="TableParagraph"/>
              <w:spacing w:before="94"/>
              <w:ind w:right="286"/>
              <w:jc w:val="right"/>
              <w:rPr>
                <w:sz w:val="16"/>
              </w:rPr>
            </w:pPr>
            <w:r>
              <w:rPr>
                <w:color w:val="FFFFFF"/>
                <w:w w:val="85"/>
                <w:sz w:val="16"/>
              </w:rPr>
              <w:t>65.9%</w:t>
            </w:r>
            <w:r>
              <w:rPr>
                <w:color w:val="FFFFFF"/>
                <w:sz w:val="16"/>
              </w:rPr>
              <w:t> </w:t>
            </w:r>
          </w:p>
        </w:tc>
        <w:tc>
          <w:tcPr>
            <w:tcW w:w="1150" w:type="dxa"/>
            <w:shd w:val="clear" w:color="auto" w:fill="002D6A"/>
          </w:tcPr>
          <w:p>
            <w:pPr>
              <w:pStyle w:val="TableParagraph"/>
              <w:spacing w:before="89"/>
              <w:ind w:right="51"/>
              <w:jc w:val="right"/>
              <w:rPr>
                <w:sz w:val="12"/>
              </w:rPr>
            </w:pPr>
            <w:r>
              <w:rPr>
                <w:color w:val="FFFFFF"/>
                <w:w w:val="85"/>
                <w:sz w:val="16"/>
              </w:rPr>
              <w:t>0.9</w:t>
            </w:r>
            <w:r>
              <w:rPr>
                <w:color w:val="FFFFFF"/>
                <w:w w:val="85"/>
                <w:sz w:val="12"/>
              </w:rPr>
              <w:t>pts.</w:t>
            </w:r>
          </w:p>
        </w:tc>
      </w:tr>
      <w:tr>
        <w:trPr>
          <w:trHeight w:val="366" w:hRule="exact"/>
        </w:trPr>
        <w:tc>
          <w:tcPr>
            <w:tcW w:w="4310" w:type="dxa"/>
            <w:shd w:val="clear" w:color="auto" w:fill="386AB3"/>
          </w:tcPr>
          <w:p>
            <w:pPr>
              <w:pStyle w:val="TableParagraph"/>
              <w:spacing w:before="65"/>
              <w:ind w:left="52"/>
              <w:rPr>
                <w:i/>
                <w:sz w:val="16"/>
              </w:rPr>
            </w:pPr>
            <w:r>
              <w:rPr>
                <w:i/>
                <w:color w:val="FFFFFF"/>
                <w:w w:val="85"/>
                <w:sz w:val="16"/>
              </w:rPr>
              <w:t>Passenger revenue yield per RPM</w:t>
            </w:r>
          </w:p>
        </w:tc>
        <w:tc>
          <w:tcPr>
            <w:tcW w:w="1738" w:type="dxa"/>
            <w:shd w:val="clear" w:color="auto" w:fill="386AB3"/>
          </w:tcPr>
          <w:p>
            <w:pPr>
              <w:pStyle w:val="TableParagraph"/>
              <w:spacing w:before="117"/>
              <w:ind w:right="331"/>
              <w:jc w:val="right"/>
              <w:rPr>
                <w:sz w:val="16"/>
              </w:rPr>
            </w:pPr>
            <w:r>
              <w:rPr>
                <w:color w:val="FFFFFF"/>
                <w:w w:val="85"/>
                <w:sz w:val="16"/>
              </w:rPr>
              <w:t>11.97¢</w:t>
            </w:r>
            <w:r>
              <w:rPr>
                <w:color w:val="FFFFFF"/>
                <w:sz w:val="16"/>
              </w:rPr>
              <w:t> </w:t>
            </w:r>
          </w:p>
        </w:tc>
        <w:tc>
          <w:tcPr>
            <w:tcW w:w="1836" w:type="dxa"/>
            <w:shd w:val="clear" w:color="auto" w:fill="386AB3"/>
          </w:tcPr>
          <w:p>
            <w:pPr>
              <w:pStyle w:val="TableParagraph"/>
              <w:spacing w:before="117"/>
              <w:ind w:right="338"/>
              <w:jc w:val="right"/>
              <w:rPr>
                <w:sz w:val="16"/>
              </w:rPr>
            </w:pPr>
            <w:r>
              <w:rPr>
                <w:color w:val="FFFFFF"/>
                <w:w w:val="85"/>
                <w:sz w:val="16"/>
              </w:rPr>
              <w:t>11.77¢</w:t>
            </w:r>
            <w:r>
              <w:rPr>
                <w:color w:val="FFFFFF"/>
                <w:sz w:val="16"/>
              </w:rPr>
              <w:t> </w:t>
            </w:r>
          </w:p>
        </w:tc>
        <w:tc>
          <w:tcPr>
            <w:tcW w:w="1150" w:type="dxa"/>
            <w:shd w:val="clear" w:color="auto" w:fill="386AB3"/>
          </w:tcPr>
          <w:p>
            <w:pPr>
              <w:pStyle w:val="TableParagraph"/>
              <w:spacing w:before="118"/>
              <w:ind w:right="113"/>
              <w:jc w:val="right"/>
              <w:rPr>
                <w:sz w:val="16"/>
              </w:rPr>
            </w:pPr>
            <w:r>
              <w:rPr>
                <w:color w:val="FFFFFF"/>
                <w:w w:val="85"/>
                <w:sz w:val="16"/>
              </w:rPr>
              <w:t>1.7%</w:t>
            </w:r>
          </w:p>
        </w:tc>
      </w:tr>
      <w:tr>
        <w:trPr>
          <w:trHeight w:val="340" w:hRule="exact"/>
        </w:trPr>
        <w:tc>
          <w:tcPr>
            <w:tcW w:w="4310" w:type="dxa"/>
            <w:shd w:val="clear" w:color="auto" w:fill="6F8CC7"/>
          </w:tcPr>
          <w:p>
            <w:pPr>
              <w:pStyle w:val="TableParagraph"/>
              <w:spacing w:before="59"/>
              <w:ind w:left="52"/>
              <w:rPr>
                <w:i/>
                <w:sz w:val="16"/>
              </w:rPr>
            </w:pPr>
            <w:r>
              <w:rPr>
                <w:i/>
                <w:color w:val="FFFFFF"/>
                <w:w w:val="85"/>
                <w:sz w:val="16"/>
              </w:rPr>
              <w:t>Operating revenue yield per ASM</w:t>
            </w:r>
          </w:p>
        </w:tc>
        <w:tc>
          <w:tcPr>
            <w:tcW w:w="1738" w:type="dxa"/>
            <w:shd w:val="clear" w:color="auto" w:fill="002D6A"/>
          </w:tcPr>
          <w:p>
            <w:pPr>
              <w:pStyle w:val="TableParagraph"/>
              <w:spacing w:before="91"/>
              <w:ind w:right="344"/>
              <w:jc w:val="right"/>
              <w:rPr>
                <w:sz w:val="16"/>
              </w:rPr>
            </w:pPr>
            <w:r>
              <w:rPr>
                <w:color w:val="FFFFFF"/>
                <w:w w:val="90"/>
                <w:sz w:val="16"/>
              </w:rPr>
              <w:t>8.27 ¢</w:t>
            </w:r>
          </w:p>
        </w:tc>
        <w:tc>
          <w:tcPr>
            <w:tcW w:w="1836" w:type="dxa"/>
            <w:shd w:val="clear" w:color="auto" w:fill="6F8CC7"/>
          </w:tcPr>
          <w:p>
            <w:pPr>
              <w:pStyle w:val="TableParagraph"/>
              <w:spacing w:before="91"/>
              <w:ind w:right="346"/>
              <w:jc w:val="right"/>
              <w:rPr>
                <w:sz w:val="16"/>
              </w:rPr>
            </w:pPr>
            <w:r>
              <w:rPr>
                <w:color w:val="FFFFFF"/>
                <w:w w:val="90"/>
                <w:sz w:val="16"/>
              </w:rPr>
              <w:t>8.0 2 ¢</w:t>
            </w:r>
          </w:p>
        </w:tc>
        <w:tc>
          <w:tcPr>
            <w:tcW w:w="1150" w:type="dxa"/>
            <w:shd w:val="clear" w:color="auto" w:fill="002D6A"/>
          </w:tcPr>
          <w:p>
            <w:pPr>
              <w:pStyle w:val="TableParagraph"/>
              <w:spacing w:before="91"/>
              <w:ind w:right="130"/>
              <w:jc w:val="right"/>
              <w:rPr>
                <w:sz w:val="16"/>
              </w:rPr>
            </w:pPr>
            <w:r>
              <w:rPr>
                <w:color w:val="FFFFFF"/>
                <w:w w:val="85"/>
                <w:sz w:val="16"/>
              </w:rPr>
              <w:t>3.1%</w:t>
            </w:r>
          </w:p>
        </w:tc>
      </w:tr>
      <w:tr>
        <w:trPr>
          <w:trHeight w:val="366" w:hRule="exact"/>
        </w:trPr>
        <w:tc>
          <w:tcPr>
            <w:tcW w:w="4310" w:type="dxa"/>
            <w:shd w:val="clear" w:color="auto" w:fill="386AB3"/>
          </w:tcPr>
          <w:p>
            <w:pPr>
              <w:pStyle w:val="TableParagraph"/>
              <w:spacing w:before="79"/>
              <w:ind w:left="52"/>
              <w:rPr>
                <w:i/>
                <w:sz w:val="16"/>
              </w:rPr>
            </w:pPr>
            <w:r>
              <w:rPr>
                <w:i/>
                <w:color w:val="FFFFFF"/>
                <w:w w:val="85"/>
                <w:sz w:val="16"/>
              </w:rPr>
              <w:t>Operating expenses per ASM</w:t>
            </w:r>
          </w:p>
        </w:tc>
        <w:tc>
          <w:tcPr>
            <w:tcW w:w="1738" w:type="dxa"/>
            <w:shd w:val="clear" w:color="auto" w:fill="386AB3"/>
          </w:tcPr>
          <w:p>
            <w:pPr>
              <w:pStyle w:val="TableParagraph"/>
              <w:spacing w:before="111"/>
              <w:ind w:right="341"/>
              <w:jc w:val="right"/>
              <w:rPr>
                <w:sz w:val="16"/>
              </w:rPr>
            </w:pPr>
            <w:r>
              <w:rPr>
                <w:color w:val="FFFFFF"/>
                <w:w w:val="85"/>
                <w:sz w:val="16"/>
              </w:rPr>
              <w:t>7.60 ¢</w:t>
            </w:r>
            <w:r>
              <w:rPr>
                <w:color w:val="FFFFFF"/>
                <w:sz w:val="16"/>
              </w:rPr>
              <w:t> </w:t>
            </w:r>
          </w:p>
        </w:tc>
        <w:tc>
          <w:tcPr>
            <w:tcW w:w="1836" w:type="dxa"/>
            <w:shd w:val="clear" w:color="auto" w:fill="386AB3"/>
          </w:tcPr>
          <w:p>
            <w:pPr>
              <w:pStyle w:val="TableParagraph"/>
              <w:spacing w:before="111"/>
              <w:ind w:right="325"/>
              <w:jc w:val="right"/>
              <w:rPr>
                <w:sz w:val="16"/>
              </w:rPr>
            </w:pPr>
            <w:r>
              <w:rPr>
                <w:color w:val="FFFFFF"/>
                <w:w w:val="85"/>
                <w:sz w:val="16"/>
              </w:rPr>
              <w:t>7.41¢</w:t>
            </w:r>
            <w:r>
              <w:rPr>
                <w:color w:val="FFFFFF"/>
                <w:sz w:val="16"/>
              </w:rPr>
              <w:t> </w:t>
            </w:r>
          </w:p>
        </w:tc>
        <w:tc>
          <w:tcPr>
            <w:tcW w:w="1150" w:type="dxa"/>
            <w:shd w:val="clear" w:color="auto" w:fill="386AB3"/>
          </w:tcPr>
          <w:p>
            <w:pPr>
              <w:pStyle w:val="TableParagraph"/>
              <w:spacing w:before="112"/>
              <w:ind w:right="120"/>
              <w:jc w:val="right"/>
              <w:rPr>
                <w:sz w:val="16"/>
              </w:rPr>
            </w:pPr>
            <w:r>
              <w:rPr>
                <w:color w:val="FFFFFF"/>
                <w:w w:val="85"/>
                <w:sz w:val="16"/>
              </w:rPr>
              <w:t>2.6%</w:t>
            </w:r>
          </w:p>
        </w:tc>
      </w:tr>
      <w:tr>
        <w:trPr>
          <w:trHeight w:val="340" w:hRule="exact"/>
        </w:trPr>
        <w:tc>
          <w:tcPr>
            <w:tcW w:w="4310" w:type="dxa"/>
            <w:shd w:val="clear" w:color="auto" w:fill="6F8CC7"/>
          </w:tcPr>
          <w:p>
            <w:pPr>
              <w:pStyle w:val="TableParagraph"/>
              <w:spacing w:before="72"/>
              <w:ind w:left="52"/>
              <w:rPr>
                <w:i/>
                <w:sz w:val="16"/>
              </w:rPr>
            </w:pPr>
            <w:r>
              <w:rPr>
                <w:i/>
                <w:color w:val="FFFFFF"/>
                <w:w w:val="90"/>
                <w:sz w:val="16"/>
              </w:rPr>
              <w:t>Size of fleet at yearend</w:t>
            </w:r>
          </w:p>
        </w:tc>
        <w:tc>
          <w:tcPr>
            <w:tcW w:w="1738" w:type="dxa"/>
            <w:shd w:val="clear" w:color="auto" w:fill="002D6A"/>
          </w:tcPr>
          <w:p>
            <w:pPr>
              <w:pStyle w:val="TableParagraph"/>
              <w:spacing w:before="95"/>
              <w:ind w:left="1037"/>
              <w:rPr>
                <w:sz w:val="16"/>
              </w:rPr>
            </w:pPr>
            <w:r>
              <w:rPr>
                <w:color w:val="FFFFFF"/>
                <w:w w:val="95"/>
                <w:sz w:val="16"/>
              </w:rPr>
              <w:t>388</w:t>
            </w:r>
          </w:p>
        </w:tc>
        <w:tc>
          <w:tcPr>
            <w:tcW w:w="1836" w:type="dxa"/>
            <w:shd w:val="clear" w:color="auto" w:fill="6F8CC7"/>
          </w:tcPr>
          <w:p>
            <w:pPr>
              <w:pStyle w:val="TableParagraph"/>
              <w:spacing w:before="89"/>
              <w:ind w:right="423"/>
              <w:jc w:val="right"/>
              <w:rPr>
                <w:sz w:val="16"/>
              </w:rPr>
            </w:pPr>
            <w:r>
              <w:rPr>
                <w:color w:val="FFFFFF"/>
                <w:w w:val="85"/>
                <w:sz w:val="16"/>
              </w:rPr>
              <w:t>375</w:t>
            </w:r>
            <w:r>
              <w:rPr>
                <w:color w:val="FFFFFF"/>
                <w:sz w:val="16"/>
              </w:rPr>
              <w:t> </w:t>
            </w:r>
          </w:p>
        </w:tc>
        <w:tc>
          <w:tcPr>
            <w:tcW w:w="1150" w:type="dxa"/>
            <w:shd w:val="clear" w:color="auto" w:fill="002D6A"/>
          </w:tcPr>
          <w:p>
            <w:pPr>
              <w:pStyle w:val="TableParagraph"/>
              <w:spacing w:before="94"/>
              <w:ind w:right="134"/>
              <w:jc w:val="right"/>
              <w:rPr>
                <w:sz w:val="16"/>
              </w:rPr>
            </w:pPr>
            <w:r>
              <w:rPr>
                <w:color w:val="FFFFFF"/>
                <w:w w:val="85"/>
                <w:sz w:val="16"/>
              </w:rPr>
              <w:t>3.5%</w:t>
            </w:r>
          </w:p>
        </w:tc>
      </w:tr>
      <w:tr>
        <w:trPr>
          <w:trHeight w:val="294" w:hRule="exact"/>
        </w:trPr>
        <w:tc>
          <w:tcPr>
            <w:tcW w:w="4310" w:type="dxa"/>
            <w:shd w:val="clear" w:color="auto" w:fill="386AB3"/>
          </w:tcPr>
          <w:p>
            <w:pPr>
              <w:pStyle w:val="TableParagraph"/>
              <w:spacing w:before="84"/>
              <w:ind w:left="52"/>
              <w:rPr>
                <w:i/>
                <w:sz w:val="16"/>
              </w:rPr>
            </w:pPr>
            <w:r>
              <w:rPr>
                <w:i/>
                <w:color w:val="FFFFFF"/>
                <w:w w:val="85"/>
                <w:sz w:val="16"/>
              </w:rPr>
              <w:t>Number of Employees at yearend</w:t>
            </w:r>
          </w:p>
        </w:tc>
        <w:tc>
          <w:tcPr>
            <w:tcW w:w="1738" w:type="dxa"/>
            <w:shd w:val="clear" w:color="auto" w:fill="386AB3"/>
          </w:tcPr>
          <w:p>
            <w:pPr>
              <w:pStyle w:val="TableParagraph"/>
              <w:spacing w:before="109"/>
              <w:ind w:left="757"/>
              <w:rPr>
                <w:sz w:val="16"/>
              </w:rPr>
            </w:pPr>
            <w:r>
              <w:rPr>
                <w:color w:val="FFFFFF"/>
                <w:w w:val="95"/>
                <w:sz w:val="16"/>
              </w:rPr>
              <w:t>32,847</w:t>
            </w:r>
            <w:r>
              <w:rPr>
                <w:color w:val="FFFFFF"/>
                <w:sz w:val="16"/>
              </w:rPr>
              <w:t> </w:t>
            </w:r>
          </w:p>
        </w:tc>
        <w:tc>
          <w:tcPr>
            <w:tcW w:w="1836" w:type="dxa"/>
            <w:shd w:val="clear" w:color="auto" w:fill="386AB3"/>
          </w:tcPr>
          <w:p>
            <w:pPr>
              <w:pStyle w:val="TableParagraph"/>
              <w:spacing w:before="109"/>
              <w:ind w:right="417"/>
              <w:jc w:val="right"/>
              <w:rPr>
                <w:sz w:val="16"/>
              </w:rPr>
            </w:pPr>
            <w:r>
              <w:rPr>
                <w:color w:val="FFFFFF"/>
                <w:w w:val="85"/>
                <w:sz w:val="16"/>
              </w:rPr>
              <w:t>33,705</w:t>
            </w:r>
            <w:r>
              <w:rPr>
                <w:color w:val="FFFFFF"/>
                <w:sz w:val="16"/>
              </w:rPr>
              <w:t> </w:t>
            </w:r>
          </w:p>
        </w:tc>
        <w:tc>
          <w:tcPr>
            <w:tcW w:w="1150" w:type="dxa"/>
            <w:shd w:val="clear" w:color="auto" w:fill="386AB3"/>
          </w:tcPr>
          <w:p>
            <w:pPr>
              <w:pStyle w:val="TableParagraph"/>
              <w:spacing w:before="109"/>
              <w:ind w:right="129"/>
              <w:jc w:val="right"/>
              <w:rPr>
                <w:sz w:val="16"/>
              </w:rPr>
            </w:pPr>
            <w:r>
              <w:rPr>
                <w:color w:val="FFFFFF"/>
                <w:w w:val="80"/>
                <w:sz w:val="16"/>
              </w:rPr>
              <w:t>(2.5)%</w:t>
            </w:r>
          </w:p>
        </w:tc>
      </w:tr>
    </w:tbl>
    <w:p>
      <w:pPr>
        <w:pStyle w:val="BodyText"/>
        <w:spacing w:before="3"/>
        <w:rPr>
          <w:rFonts w:ascii="Arial"/>
          <w:b/>
          <w:sz w:val="27"/>
        </w:rPr>
      </w:pPr>
      <w:r>
        <w:rPr/>
        <w:pict>
          <v:line style="position:absolute;mso-position-horizontal-relative:page;mso-position-vertical-relative:paragraph;z-index:1072;mso-wrap-distance-left:0;mso-wrap-distance-right:0" from="65pt,17.880543pt" to="547.519pt,17.880543pt" stroked="true" strokeweight=".5pt" strokecolor="#ffffff">
            <v:stroke dashstyle="solid"/>
            <w10:wrap type="topAndBottom"/>
          </v:line>
        </w:pict>
      </w:r>
    </w:p>
    <w:p>
      <w:pPr>
        <w:pStyle w:val="BodyText"/>
        <w:spacing w:before="7"/>
        <w:rPr>
          <w:rFonts w:ascii="Arial"/>
          <w:b/>
          <w:sz w:val="29"/>
        </w:rPr>
      </w:pPr>
    </w:p>
    <w:p>
      <w:pPr>
        <w:spacing w:line="386" w:lineRule="auto" w:before="94"/>
        <w:ind w:left="119" w:right="127" w:firstLine="0"/>
        <w:jc w:val="both"/>
        <w:rPr>
          <w:rFonts w:ascii="Book Antiqua" w:hAnsi="Book Antiqua"/>
          <w:sz w:val="17"/>
        </w:rPr>
      </w:pPr>
      <w:r>
        <w:rPr/>
        <w:pict>
          <v:rect style="position:absolute;margin-left:65.181999pt;margin-top:-103.636589pt;width:225.937pt;height:17.002pt;mso-position-horizontal-relative:page;mso-position-vertical-relative:paragraph;z-index:-236968" filled="true" fillcolor="#6f8cc7" stroked="false">
            <v:fill type="solid"/>
            <w10:wrap type="none"/>
          </v:rect>
        </w:pict>
      </w:r>
      <w:r>
        <w:rPr/>
        <w:pict>
          <v:rect style="position:absolute;margin-left:65.181999pt;margin-top:-68.314583pt;width:225.937pt;height:17.006pt;mso-position-horizontal-relative:page;mso-position-vertical-relative:paragraph;z-index:-236944" filled="true" fillcolor="#6f8cc7" stroked="false">
            <v:fill type="solid"/>
            <w10:wrap type="none"/>
          </v:rect>
        </w:pict>
      </w:r>
      <w:r>
        <w:rPr/>
        <w:pict>
          <v:rect style="position:absolute;margin-left:469.802002pt;margin-top:-68.314583pt;width:78.024pt;height:17.006pt;mso-position-horizontal-relative:page;mso-position-vertical-relative:paragraph;z-index:-236776" filled="true" fillcolor="#002d6a" stroked="false">
            <v:fill type="solid"/>
            <w10:wrap type="none"/>
          </v:rect>
        </w:pict>
      </w:r>
      <w:r>
        <w:rPr/>
        <w:pict>
          <v:rect style="position:absolute;margin-left:469.802002pt;margin-top:-103.636589pt;width:78.024pt;height:17.002pt;mso-position-horizontal-relative:page;mso-position-vertical-relative:paragraph;z-index:-236704" filled="true" fillcolor="#002d6a" stroked="false">
            <v:fill type="solid"/>
            <w10:wrap type="none"/>
          </v:rect>
        </w:pict>
      </w:r>
      <w:r>
        <w:rPr>
          <w:rFonts w:ascii="Book Antiqua" w:hAnsi="Book Antiqua"/>
          <w:color w:val="FFFFFF"/>
          <w:sz w:val="17"/>
        </w:rPr>
        <w:t>Southwest Airlines Co. is the nation’s low-fare, high Customer Satisfaction airline. We primarily serve short- and medium-haul city pairs, providing single-class air transportation which targets business and leisure travelers. The Company, incorporated in Texas, commenced Customer Service on June 18, 1971, with three Boeing 737 aircraft serving three Texas cities – Dallas, Houston, and San Antonio. At yearend 2003, Southwest operated 388 Boeing 737 aircraft and provided service to 59 airports in 30 states throughout the United States. Southwest has one of the lowest operating cost structures in the domestic airline industry and consistently offers the lowest and simplest fares. Southwest also has one of the best overall Customer Service records. LUV is our stock exchange symbol, selected to represent our home at Dallas Love Field, as well as the theme of our </w:t>
      </w:r>
      <w:r>
        <w:rPr>
          <w:rFonts w:ascii="Book Antiqua" w:hAnsi="Book Antiqua"/>
          <w:color w:val="FFFFFF"/>
          <w:w w:val="95"/>
          <w:sz w:val="17"/>
        </w:rPr>
        <w:t>Employee and Customer relationships.</w:t>
      </w:r>
    </w:p>
    <w:p>
      <w:pPr>
        <w:spacing w:after="0" w:line="386" w:lineRule="auto"/>
        <w:jc w:val="both"/>
        <w:rPr>
          <w:rFonts w:ascii="Book Antiqua" w:hAnsi="Book Antiqua"/>
          <w:sz w:val="17"/>
        </w:rPr>
        <w:sectPr>
          <w:type w:val="continuous"/>
          <w:pgSz w:w="12240" w:h="15840"/>
          <w:pgMar w:top="320" w:bottom="280" w:left="1140" w:right="1160"/>
        </w:sectPr>
      </w:pPr>
    </w:p>
    <w:p>
      <w:pPr>
        <w:pStyle w:val="BodyText"/>
        <w:rPr>
          <w:rFonts w:ascii="Book Antiqua"/>
          <w:sz w:val="20"/>
        </w:rPr>
      </w:pPr>
    </w:p>
    <w:p>
      <w:pPr>
        <w:pStyle w:val="BodyText"/>
        <w:rPr>
          <w:rFonts w:ascii="Book Antiqua"/>
          <w:sz w:val="20"/>
        </w:rPr>
      </w:pPr>
    </w:p>
    <w:p>
      <w:pPr>
        <w:pStyle w:val="BodyText"/>
        <w:rPr>
          <w:rFonts w:ascii="Book Antiqua"/>
          <w:sz w:val="20"/>
        </w:rPr>
      </w:pPr>
    </w:p>
    <w:p>
      <w:pPr>
        <w:pStyle w:val="BodyText"/>
        <w:spacing w:before="9"/>
        <w:rPr>
          <w:rFonts w:ascii="Book Antiqua"/>
          <w:sz w:val="14"/>
        </w:rPr>
      </w:pPr>
    </w:p>
    <w:p>
      <w:pPr>
        <w:tabs>
          <w:tab w:pos="3684" w:val="left" w:leader="none"/>
          <w:tab w:pos="7248" w:val="left" w:leader="none"/>
        </w:tabs>
        <w:spacing w:line="240" w:lineRule="auto"/>
        <w:ind w:left="120" w:right="0" w:firstLine="0"/>
        <w:rPr>
          <w:rFonts w:ascii="Book Antiqua"/>
          <w:sz w:val="20"/>
        </w:rPr>
      </w:pPr>
      <w:r>
        <w:rPr>
          <w:rFonts w:ascii="Book Antiqua"/>
          <w:sz w:val="20"/>
        </w:rPr>
        <w:pict>
          <v:group style="width:165.6pt;height:165.6pt;mso-position-horizontal-relative:char;mso-position-vertical-relative:line" coordorigin="0,0" coordsize="3312,3312">
            <v:rect style="position:absolute;left:0;top:0;width:3312;height:3312" filled="true" fillcolor="#d3d4d6" stroked="false">
              <v:fill type="solid"/>
            </v:rect>
          </v:group>
        </w:pict>
      </w:r>
      <w:r>
        <w:rPr>
          <w:rFonts w:ascii="Book Antiqua"/>
          <w:sz w:val="20"/>
        </w:rPr>
      </w:r>
      <w:r>
        <w:rPr>
          <w:rFonts w:ascii="Book Antiqua"/>
          <w:sz w:val="20"/>
        </w:rPr>
        <w:tab/>
      </w:r>
      <w:r>
        <w:rPr>
          <w:rFonts w:ascii="Book Antiqua"/>
          <w:sz w:val="20"/>
        </w:rPr>
        <w:pict>
          <v:shape style="width:165.6pt;height:165.6pt;mso-position-horizontal-relative:char;mso-position-vertical-relative:line" type="#_x0000_t202" filled="true" fillcolor="#ef3e23" stroked="false">
            <w10:anchorlock/>
            <v:textbox inset="0,0,0,0">
              <w:txbxContent>
                <w:p>
                  <w:pPr>
                    <w:pStyle w:val="BodyText"/>
                    <w:rPr>
                      <w:rFonts w:ascii="Book Antiqua"/>
                      <w:sz w:val="34"/>
                    </w:rPr>
                  </w:pPr>
                </w:p>
                <w:p>
                  <w:pPr>
                    <w:pStyle w:val="BodyText"/>
                    <w:rPr>
                      <w:rFonts w:ascii="Book Antiqua"/>
                      <w:sz w:val="34"/>
                    </w:rPr>
                  </w:pPr>
                </w:p>
                <w:p>
                  <w:pPr>
                    <w:pStyle w:val="BodyText"/>
                    <w:rPr>
                      <w:rFonts w:ascii="Book Antiqua"/>
                      <w:sz w:val="34"/>
                    </w:rPr>
                  </w:pPr>
                </w:p>
                <w:p>
                  <w:pPr>
                    <w:spacing w:before="227"/>
                    <w:ind w:left="681" w:right="0" w:firstLine="0"/>
                    <w:jc w:val="left"/>
                    <w:rPr>
                      <w:rFonts w:ascii="Book Antiqua"/>
                      <w:sz w:val="28"/>
                    </w:rPr>
                  </w:pPr>
                  <w:r>
                    <w:rPr>
                      <w:rFonts w:ascii="Book Antiqua"/>
                      <w:color w:val="FFFFFF"/>
                      <w:w w:val="105"/>
                      <w:sz w:val="28"/>
                    </w:rPr>
                    <w:t>F R E E D O M</w:t>
                  </w:r>
                  <w:r>
                    <w:rPr>
                      <w:rFonts w:ascii="Book Antiqua"/>
                      <w:color w:val="FFFFFF"/>
                      <w:sz w:val="28"/>
                    </w:rPr>
                    <w:t> </w:t>
                  </w:r>
                </w:p>
              </w:txbxContent>
            </v:textbox>
            <v:fill type="solid"/>
          </v:shape>
        </w:pict>
      </w:r>
      <w:r>
        <w:rPr>
          <w:rFonts w:ascii="Book Antiqua"/>
          <w:sz w:val="20"/>
        </w:rPr>
      </w:r>
      <w:r>
        <w:rPr>
          <w:rFonts w:ascii="Book Antiqua"/>
          <w:sz w:val="20"/>
        </w:rPr>
        <w:tab/>
      </w:r>
      <w:r>
        <w:rPr>
          <w:rFonts w:ascii="Book Antiqua"/>
          <w:sz w:val="20"/>
        </w:rPr>
        <w:pict>
          <v:group style="width:165.6pt;height:165.6pt;mso-position-horizontal-relative:char;mso-position-vertical-relative:line" coordorigin="0,0" coordsize="3312,3312">
            <v:rect style="position:absolute;left:0;top:0;width:3312;height:3312" filled="true" fillcolor="#d3d4d6" stroked="false">
              <v:fill type="solid"/>
            </v:rect>
          </v:group>
        </w:pict>
      </w:r>
      <w:r>
        <w:rPr>
          <w:rFonts w:ascii="Book Antiqua"/>
          <w:sz w:val="20"/>
        </w:rPr>
      </w:r>
    </w:p>
    <w:p>
      <w:pPr>
        <w:pStyle w:val="BodyText"/>
        <w:spacing w:before="1"/>
        <w:rPr>
          <w:rFonts w:ascii="Book Antiqua"/>
        </w:rPr>
      </w:pPr>
    </w:p>
    <w:p>
      <w:pPr>
        <w:spacing w:line="441" w:lineRule="auto" w:before="91"/>
        <w:ind w:left="119" w:right="105" w:firstLine="0"/>
        <w:jc w:val="both"/>
        <w:rPr>
          <w:rFonts w:ascii="Book Antiqua" w:hAnsi="Book Antiqua"/>
          <w:sz w:val="28"/>
        </w:rPr>
      </w:pPr>
      <w:r>
        <w:rPr>
          <w:rFonts w:ascii="Book Antiqua" w:hAnsi="Book Antiqua"/>
          <w:color w:val="231F20"/>
          <w:sz w:val="28"/>
        </w:rPr>
        <w:t>Americans</w:t>
      </w:r>
      <w:r>
        <w:rPr>
          <w:rFonts w:ascii="Book Antiqua" w:hAnsi="Book Antiqua"/>
          <w:color w:val="231F20"/>
          <w:spacing w:val="-30"/>
          <w:sz w:val="28"/>
        </w:rPr>
        <w:t> </w:t>
      </w:r>
      <w:r>
        <w:rPr>
          <w:rFonts w:ascii="Book Antiqua" w:hAnsi="Book Antiqua"/>
          <w:color w:val="231F20"/>
          <w:sz w:val="28"/>
        </w:rPr>
        <w:t>didn’t</w:t>
      </w:r>
      <w:r>
        <w:rPr>
          <w:rFonts w:ascii="Book Antiqua" w:hAnsi="Book Antiqua"/>
          <w:color w:val="231F20"/>
          <w:spacing w:val="-35"/>
          <w:sz w:val="28"/>
        </w:rPr>
        <w:t> </w:t>
      </w:r>
      <w:r>
        <w:rPr>
          <w:rFonts w:ascii="Book Antiqua" w:hAnsi="Book Antiqua"/>
          <w:color w:val="231F20"/>
          <w:sz w:val="28"/>
        </w:rPr>
        <w:t>just</w:t>
      </w:r>
      <w:r>
        <w:rPr>
          <w:rFonts w:ascii="Book Antiqua" w:hAnsi="Book Antiqua"/>
          <w:color w:val="231F20"/>
          <w:spacing w:val="-35"/>
          <w:sz w:val="28"/>
        </w:rPr>
        <w:t> </w:t>
      </w:r>
      <w:r>
        <w:rPr>
          <w:rFonts w:ascii="Book Antiqua" w:hAnsi="Book Antiqua"/>
          <w:color w:val="231F20"/>
          <w:sz w:val="28"/>
        </w:rPr>
        <w:t>invent</w:t>
      </w:r>
      <w:r>
        <w:rPr>
          <w:rFonts w:ascii="Book Antiqua" w:hAnsi="Book Antiqua"/>
          <w:color w:val="231F20"/>
          <w:spacing w:val="-35"/>
          <w:sz w:val="28"/>
        </w:rPr>
        <w:t> </w:t>
      </w:r>
      <w:r>
        <w:rPr>
          <w:rFonts w:ascii="Book Antiqua" w:hAnsi="Book Antiqua"/>
          <w:color w:val="231F20"/>
          <w:sz w:val="28"/>
        </w:rPr>
        <w:t>the</w:t>
      </w:r>
      <w:r>
        <w:rPr>
          <w:rFonts w:ascii="Book Antiqua" w:hAnsi="Book Antiqua"/>
          <w:color w:val="231F20"/>
          <w:spacing w:val="-30"/>
          <w:sz w:val="28"/>
        </w:rPr>
        <w:t> </w:t>
      </w:r>
      <w:r>
        <w:rPr>
          <w:rFonts w:ascii="Book Antiqua" w:hAnsi="Book Antiqua"/>
          <w:color w:val="231F20"/>
          <w:sz w:val="28"/>
        </w:rPr>
        <w:t>airplane,</w:t>
      </w:r>
      <w:r>
        <w:rPr>
          <w:rFonts w:ascii="Book Antiqua" w:hAnsi="Book Antiqua"/>
          <w:color w:val="231F20"/>
          <w:spacing w:val="-38"/>
          <w:sz w:val="28"/>
        </w:rPr>
        <w:t> </w:t>
      </w:r>
      <w:r>
        <w:rPr>
          <w:rFonts w:ascii="Book Antiqua" w:hAnsi="Book Antiqua"/>
          <w:color w:val="231F20"/>
          <w:spacing w:val="-4"/>
          <w:sz w:val="28"/>
        </w:rPr>
        <w:t>we</w:t>
      </w:r>
      <w:r>
        <w:rPr>
          <w:rFonts w:ascii="Book Antiqua" w:hAnsi="Book Antiqua"/>
          <w:color w:val="231F20"/>
          <w:spacing w:val="-30"/>
          <w:sz w:val="28"/>
        </w:rPr>
        <w:t> </w:t>
      </w:r>
      <w:r>
        <w:rPr>
          <w:rFonts w:ascii="Book Antiqua" w:hAnsi="Book Antiqua"/>
          <w:color w:val="231F20"/>
          <w:sz w:val="28"/>
        </w:rPr>
        <w:t>invented</w:t>
      </w:r>
      <w:r>
        <w:rPr>
          <w:rFonts w:ascii="Book Antiqua" w:hAnsi="Book Antiqua"/>
          <w:color w:val="231F20"/>
          <w:spacing w:val="-30"/>
          <w:sz w:val="28"/>
        </w:rPr>
        <w:t> </w:t>
      </w:r>
      <w:r>
        <w:rPr>
          <w:rFonts w:ascii="Book Antiqua" w:hAnsi="Book Antiqua"/>
          <w:color w:val="231F20"/>
          <w:sz w:val="28"/>
        </w:rPr>
        <w:t>the</w:t>
      </w:r>
      <w:r>
        <w:rPr>
          <w:rFonts w:ascii="Book Antiqua" w:hAnsi="Book Antiqua"/>
          <w:color w:val="231F20"/>
          <w:spacing w:val="-30"/>
          <w:sz w:val="28"/>
        </w:rPr>
        <w:t> </w:t>
      </w:r>
      <w:r>
        <w:rPr>
          <w:rFonts w:ascii="Book Antiqua" w:hAnsi="Book Antiqua"/>
          <w:color w:val="231F20"/>
          <w:sz w:val="28"/>
        </w:rPr>
        <w:t>airline</w:t>
      </w:r>
      <w:r>
        <w:rPr>
          <w:rFonts w:ascii="Book Antiqua" w:hAnsi="Book Antiqua"/>
          <w:color w:val="231F20"/>
          <w:spacing w:val="-30"/>
          <w:sz w:val="28"/>
        </w:rPr>
        <w:t> </w:t>
      </w:r>
      <w:r>
        <w:rPr>
          <w:rFonts w:ascii="Book Antiqua" w:hAnsi="Book Antiqua"/>
          <w:color w:val="231F20"/>
          <w:sz w:val="28"/>
        </w:rPr>
        <w:t>as</w:t>
      </w:r>
      <w:r>
        <w:rPr>
          <w:rFonts w:ascii="Book Antiqua" w:hAnsi="Book Antiqua"/>
          <w:color w:val="231F20"/>
          <w:spacing w:val="-34"/>
          <w:sz w:val="28"/>
        </w:rPr>
        <w:t> </w:t>
      </w:r>
      <w:r>
        <w:rPr>
          <w:rFonts w:ascii="Book Antiqua" w:hAnsi="Book Antiqua"/>
          <w:color w:val="231F20"/>
          <w:sz w:val="28"/>
        </w:rPr>
        <w:t>well.</w:t>
      </w:r>
      <w:r>
        <w:rPr>
          <w:rFonts w:ascii="Book Antiqua" w:hAnsi="Book Antiqua"/>
          <w:color w:val="231F20"/>
          <w:spacing w:val="-30"/>
          <w:sz w:val="28"/>
        </w:rPr>
        <w:t> </w:t>
      </w:r>
      <w:r>
        <w:rPr>
          <w:rFonts w:ascii="Book Antiqua" w:hAnsi="Book Antiqua"/>
          <w:color w:val="231F20"/>
          <w:sz w:val="28"/>
        </w:rPr>
        <w:t>Back</w:t>
      </w:r>
      <w:r>
        <w:rPr>
          <w:rFonts w:ascii="Book Antiqua" w:hAnsi="Book Antiqua"/>
          <w:color w:val="231F20"/>
          <w:spacing w:val="-35"/>
          <w:sz w:val="28"/>
        </w:rPr>
        <w:t> </w:t>
      </w:r>
      <w:r>
        <w:rPr>
          <w:rFonts w:ascii="Book Antiqua" w:hAnsi="Book Antiqua"/>
          <w:color w:val="231F20"/>
          <w:sz w:val="28"/>
        </w:rPr>
        <w:t>in</w:t>
      </w:r>
      <w:r>
        <w:rPr>
          <w:rFonts w:ascii="Book Antiqua" w:hAnsi="Book Antiqua"/>
          <w:color w:val="231F20"/>
          <w:spacing w:val="-30"/>
          <w:sz w:val="28"/>
        </w:rPr>
        <w:t> </w:t>
      </w:r>
      <w:r>
        <w:rPr>
          <w:rFonts w:ascii="Book Antiqua" w:hAnsi="Book Antiqua"/>
          <w:color w:val="231F20"/>
          <w:spacing w:val="-9"/>
          <w:sz w:val="28"/>
        </w:rPr>
        <w:t>1914,</w:t>
      </w:r>
      <w:r>
        <w:rPr>
          <w:rFonts w:ascii="Book Antiqua" w:hAnsi="Book Antiqua"/>
          <w:color w:val="231F20"/>
          <w:spacing w:val="-35"/>
          <w:sz w:val="28"/>
        </w:rPr>
        <w:t> </w:t>
      </w:r>
      <w:r>
        <w:rPr>
          <w:rFonts w:ascii="Book Antiqua" w:hAnsi="Book Antiqua"/>
          <w:color w:val="231F20"/>
          <w:sz w:val="28"/>
        </w:rPr>
        <w:t>a few</w:t>
      </w:r>
      <w:r>
        <w:rPr>
          <w:rFonts w:ascii="Book Antiqua" w:hAnsi="Book Antiqua"/>
          <w:color w:val="231F20"/>
          <w:spacing w:val="-20"/>
          <w:sz w:val="28"/>
        </w:rPr>
        <w:t> </w:t>
      </w:r>
      <w:r>
        <w:rPr>
          <w:rFonts w:ascii="Book Antiqua" w:hAnsi="Book Antiqua"/>
          <w:color w:val="231F20"/>
          <w:sz w:val="28"/>
        </w:rPr>
        <w:t>bold</w:t>
      </w:r>
      <w:r>
        <w:rPr>
          <w:rFonts w:ascii="Book Antiqua" w:hAnsi="Book Antiqua"/>
          <w:color w:val="231F20"/>
          <w:spacing w:val="-11"/>
          <w:sz w:val="28"/>
        </w:rPr>
        <w:t> </w:t>
      </w:r>
      <w:r>
        <w:rPr>
          <w:rFonts w:ascii="Book Antiqua" w:hAnsi="Book Antiqua"/>
          <w:color w:val="231F20"/>
          <w:sz w:val="28"/>
        </w:rPr>
        <w:t>travelers</w:t>
      </w:r>
      <w:r>
        <w:rPr>
          <w:rFonts w:ascii="Book Antiqua" w:hAnsi="Book Antiqua"/>
          <w:color w:val="231F20"/>
          <w:spacing w:val="-11"/>
          <w:sz w:val="28"/>
        </w:rPr>
        <w:t> </w:t>
      </w:r>
      <w:r>
        <w:rPr>
          <w:rFonts w:ascii="Book Antiqua" w:hAnsi="Book Antiqua"/>
          <w:color w:val="231F20"/>
          <w:sz w:val="28"/>
        </w:rPr>
        <w:t>f</w:t>
      </w:r>
      <w:r>
        <w:rPr>
          <w:rFonts w:ascii="Book Antiqua" w:hAnsi="Book Antiqua"/>
          <w:color w:val="231F20"/>
          <w:spacing w:val="-55"/>
          <w:sz w:val="28"/>
        </w:rPr>
        <w:t> </w:t>
      </w:r>
      <w:r>
        <w:rPr>
          <w:rFonts w:ascii="Book Antiqua" w:hAnsi="Book Antiqua"/>
          <w:color w:val="231F20"/>
          <w:sz w:val="28"/>
        </w:rPr>
        <w:t>lew</w:t>
      </w:r>
      <w:r>
        <w:rPr>
          <w:rFonts w:ascii="Book Antiqua" w:hAnsi="Book Antiqua"/>
          <w:color w:val="231F20"/>
          <w:spacing w:val="-20"/>
          <w:sz w:val="28"/>
        </w:rPr>
        <w:t> </w:t>
      </w:r>
      <w:r>
        <w:rPr>
          <w:rFonts w:ascii="Book Antiqua" w:hAnsi="Book Antiqua"/>
          <w:color w:val="231F20"/>
          <w:sz w:val="28"/>
        </w:rPr>
        <w:t>on</w:t>
      </w:r>
      <w:r>
        <w:rPr>
          <w:rFonts w:ascii="Book Antiqua" w:hAnsi="Book Antiqua"/>
          <w:color w:val="231F20"/>
          <w:spacing w:val="-11"/>
          <w:sz w:val="28"/>
        </w:rPr>
        <w:t> </w:t>
      </w:r>
      <w:r>
        <w:rPr>
          <w:rFonts w:ascii="Book Antiqua" w:hAnsi="Book Antiqua"/>
          <w:color w:val="231F20"/>
          <w:sz w:val="28"/>
        </w:rPr>
        <w:t>the</w:t>
      </w:r>
      <w:r>
        <w:rPr>
          <w:rFonts w:ascii="Book Antiqua" w:hAnsi="Book Antiqua"/>
          <w:color w:val="231F20"/>
          <w:spacing w:val="-21"/>
          <w:sz w:val="28"/>
        </w:rPr>
        <w:t> </w:t>
      </w:r>
      <w:r>
        <w:rPr>
          <w:rFonts w:ascii="Book Antiqua" w:hAnsi="Book Antiqua"/>
          <w:color w:val="231F20"/>
          <w:sz w:val="28"/>
        </w:rPr>
        <w:t>Airboat</w:t>
      </w:r>
      <w:r>
        <w:rPr>
          <w:rFonts w:ascii="Book Antiqua" w:hAnsi="Book Antiqua"/>
          <w:color w:val="231F20"/>
          <w:spacing w:val="-17"/>
          <w:sz w:val="28"/>
        </w:rPr>
        <w:t> </w:t>
      </w:r>
      <w:r>
        <w:rPr>
          <w:rFonts w:ascii="Book Antiqua" w:hAnsi="Book Antiqua"/>
          <w:color w:val="231F20"/>
          <w:sz w:val="28"/>
        </w:rPr>
        <w:t>Line</w:t>
      </w:r>
      <w:r>
        <w:rPr>
          <w:rFonts w:ascii="Book Antiqua" w:hAnsi="Book Antiqua"/>
          <w:color w:val="231F20"/>
          <w:spacing w:val="-11"/>
          <w:sz w:val="28"/>
        </w:rPr>
        <w:t> </w:t>
      </w:r>
      <w:r>
        <w:rPr>
          <w:rFonts w:ascii="Book Antiqua" w:hAnsi="Book Antiqua"/>
          <w:color w:val="231F20"/>
          <w:sz w:val="28"/>
        </w:rPr>
        <w:t>between</w:t>
      </w:r>
      <w:r>
        <w:rPr>
          <w:rFonts w:ascii="Book Antiqua" w:hAnsi="Book Antiqua"/>
          <w:color w:val="231F20"/>
          <w:spacing w:val="-21"/>
          <w:sz w:val="28"/>
        </w:rPr>
        <w:t> </w:t>
      </w:r>
      <w:r>
        <w:rPr>
          <w:rFonts w:ascii="Book Antiqua" w:hAnsi="Book Antiqua"/>
          <w:color w:val="231F20"/>
          <w:spacing w:val="-7"/>
          <w:sz w:val="28"/>
        </w:rPr>
        <w:t>Tampa</w:t>
      </w:r>
      <w:r>
        <w:rPr>
          <w:rFonts w:ascii="Book Antiqua" w:hAnsi="Book Antiqua"/>
          <w:color w:val="231F20"/>
          <w:spacing w:val="-11"/>
          <w:sz w:val="28"/>
        </w:rPr>
        <w:t> </w:t>
      </w:r>
      <w:r>
        <w:rPr>
          <w:rFonts w:ascii="Book Antiqua" w:hAnsi="Book Antiqua"/>
          <w:color w:val="231F20"/>
          <w:sz w:val="28"/>
        </w:rPr>
        <w:t>and</w:t>
      </w:r>
      <w:r>
        <w:rPr>
          <w:rFonts w:ascii="Book Antiqua" w:hAnsi="Book Antiqua"/>
          <w:color w:val="231F20"/>
          <w:spacing w:val="-11"/>
          <w:sz w:val="28"/>
        </w:rPr>
        <w:t> </w:t>
      </w:r>
      <w:r>
        <w:rPr>
          <w:rFonts w:ascii="Book Antiqua" w:hAnsi="Book Antiqua"/>
          <w:color w:val="231F20"/>
          <w:sz w:val="28"/>
        </w:rPr>
        <w:t>St.</w:t>
      </w:r>
      <w:r>
        <w:rPr>
          <w:rFonts w:ascii="Book Antiqua" w:hAnsi="Book Antiqua"/>
          <w:color w:val="231F20"/>
          <w:spacing w:val="-11"/>
          <w:sz w:val="28"/>
        </w:rPr>
        <w:t> </w:t>
      </w:r>
      <w:r>
        <w:rPr>
          <w:rFonts w:ascii="Book Antiqua" w:hAnsi="Book Antiqua"/>
          <w:color w:val="231F20"/>
          <w:sz w:val="28"/>
        </w:rPr>
        <w:t>Petersburg.</w:t>
      </w:r>
      <w:r>
        <w:rPr>
          <w:rFonts w:ascii="Book Antiqua" w:hAnsi="Book Antiqua"/>
          <w:color w:val="231F20"/>
          <w:spacing w:val="-21"/>
          <w:sz w:val="28"/>
        </w:rPr>
        <w:t> </w:t>
      </w:r>
      <w:r>
        <w:rPr>
          <w:rFonts w:ascii="Book Antiqua" w:hAnsi="Book Antiqua"/>
          <w:color w:val="231F20"/>
          <w:spacing w:val="-16"/>
          <w:sz w:val="28"/>
        </w:rPr>
        <w:t>Today, </w:t>
      </w:r>
      <w:r>
        <w:rPr>
          <w:rFonts w:ascii="Book Antiqua" w:hAnsi="Book Antiqua"/>
          <w:color w:val="231F20"/>
          <w:sz w:val="28"/>
        </w:rPr>
        <w:t>Southwest</w:t>
      </w:r>
      <w:r>
        <w:rPr>
          <w:rFonts w:ascii="Book Antiqua" w:hAnsi="Book Antiqua"/>
          <w:color w:val="231F20"/>
          <w:spacing w:val="-22"/>
          <w:sz w:val="28"/>
        </w:rPr>
        <w:t> </w:t>
      </w:r>
      <w:r>
        <w:rPr>
          <w:rFonts w:ascii="Book Antiqua" w:hAnsi="Book Antiqua"/>
          <w:color w:val="231F20"/>
          <w:sz w:val="28"/>
        </w:rPr>
        <w:t>Airlines</w:t>
      </w:r>
      <w:r>
        <w:rPr>
          <w:rFonts w:ascii="Book Antiqua" w:hAnsi="Book Antiqua"/>
          <w:color w:val="231F20"/>
          <w:spacing w:val="-5"/>
          <w:sz w:val="28"/>
        </w:rPr>
        <w:t> </w:t>
      </w:r>
      <w:r>
        <w:rPr>
          <w:rFonts w:ascii="Book Antiqua" w:hAnsi="Book Antiqua"/>
          <w:color w:val="231F20"/>
          <w:sz w:val="28"/>
        </w:rPr>
        <w:t>gives</w:t>
      </w:r>
      <w:r>
        <w:rPr>
          <w:rFonts w:ascii="Book Antiqua" w:hAnsi="Book Antiqua"/>
          <w:color w:val="231F20"/>
          <w:spacing w:val="-15"/>
          <w:sz w:val="28"/>
        </w:rPr>
        <w:t> </w:t>
      </w:r>
      <w:r>
        <w:rPr>
          <w:rFonts w:ascii="Book Antiqua" w:hAnsi="Book Antiqua"/>
          <w:color w:val="231F20"/>
          <w:sz w:val="28"/>
        </w:rPr>
        <w:t>Americans</w:t>
      </w:r>
      <w:r>
        <w:rPr>
          <w:rFonts w:ascii="Book Antiqua" w:hAnsi="Book Antiqua"/>
          <w:color w:val="231F20"/>
          <w:spacing w:val="-5"/>
          <w:sz w:val="28"/>
        </w:rPr>
        <w:t> </w:t>
      </w:r>
      <w:r>
        <w:rPr>
          <w:rFonts w:ascii="Book Antiqua" w:hAnsi="Book Antiqua"/>
          <w:color w:val="231F20"/>
          <w:sz w:val="28"/>
        </w:rPr>
        <w:t>the</w:t>
      </w:r>
      <w:r>
        <w:rPr>
          <w:rFonts w:ascii="Book Antiqua" w:hAnsi="Book Antiqua"/>
          <w:color w:val="231F20"/>
          <w:spacing w:val="-5"/>
          <w:sz w:val="28"/>
        </w:rPr>
        <w:t> </w:t>
      </w:r>
      <w:r>
        <w:rPr>
          <w:rFonts w:ascii="Book Antiqua" w:hAnsi="Book Antiqua"/>
          <w:color w:val="231F20"/>
          <w:sz w:val="28"/>
        </w:rPr>
        <w:t>freedom</w:t>
      </w:r>
      <w:r>
        <w:rPr>
          <w:rFonts w:ascii="Book Antiqua" w:hAnsi="Book Antiqua"/>
          <w:color w:val="231F20"/>
          <w:spacing w:val="-5"/>
          <w:sz w:val="28"/>
        </w:rPr>
        <w:t> </w:t>
      </w:r>
      <w:r>
        <w:rPr>
          <w:rFonts w:ascii="Book Antiqua" w:hAnsi="Book Antiqua"/>
          <w:color w:val="231F20"/>
          <w:sz w:val="28"/>
        </w:rPr>
        <w:t>to</w:t>
      </w:r>
      <w:r>
        <w:rPr>
          <w:rFonts w:ascii="Book Antiqua" w:hAnsi="Book Antiqua"/>
          <w:color w:val="231F20"/>
          <w:spacing w:val="-5"/>
          <w:sz w:val="28"/>
        </w:rPr>
        <w:t> </w:t>
      </w:r>
      <w:r>
        <w:rPr>
          <w:rFonts w:ascii="Book Antiqua" w:hAnsi="Book Antiqua"/>
          <w:color w:val="231F20"/>
          <w:sz w:val="28"/>
        </w:rPr>
        <w:t>f</w:t>
      </w:r>
      <w:r>
        <w:rPr>
          <w:rFonts w:ascii="Book Antiqua" w:hAnsi="Book Antiqua"/>
          <w:color w:val="231F20"/>
          <w:spacing w:val="-55"/>
          <w:sz w:val="28"/>
        </w:rPr>
        <w:t> </w:t>
      </w:r>
      <w:r>
        <w:rPr>
          <w:rFonts w:ascii="Book Antiqua" w:hAnsi="Book Antiqua"/>
          <w:color w:val="231F20"/>
          <w:sz w:val="28"/>
        </w:rPr>
        <w:t>ly</w:t>
      </w:r>
      <w:r>
        <w:rPr>
          <w:rFonts w:ascii="Book Antiqua" w:hAnsi="Book Antiqua"/>
          <w:color w:val="231F20"/>
          <w:spacing w:val="-14"/>
          <w:sz w:val="28"/>
        </w:rPr>
        <w:t> </w:t>
      </w:r>
      <w:r>
        <w:rPr>
          <w:rFonts w:ascii="Book Antiqua" w:hAnsi="Book Antiqua"/>
          <w:color w:val="231F20"/>
          <w:spacing w:val="3"/>
          <w:sz w:val="28"/>
        </w:rPr>
        <w:t>from</w:t>
      </w:r>
      <w:r>
        <w:rPr>
          <w:rFonts w:ascii="Book Antiqua" w:hAnsi="Book Antiqua"/>
          <w:color w:val="231F20"/>
          <w:spacing w:val="-5"/>
          <w:sz w:val="28"/>
        </w:rPr>
        <w:t> </w:t>
      </w:r>
      <w:r>
        <w:rPr>
          <w:rFonts w:ascii="Book Antiqua" w:hAnsi="Book Antiqua"/>
          <w:color w:val="231F20"/>
          <w:spacing w:val="2"/>
          <w:sz w:val="28"/>
        </w:rPr>
        <w:t>coast</w:t>
      </w:r>
      <w:r>
        <w:rPr>
          <w:rFonts w:ascii="Book Antiqua" w:hAnsi="Book Antiqua"/>
          <w:color w:val="231F20"/>
          <w:spacing w:val="-11"/>
          <w:sz w:val="28"/>
        </w:rPr>
        <w:t> </w:t>
      </w:r>
      <w:r>
        <w:rPr>
          <w:rFonts w:ascii="Book Antiqua" w:hAnsi="Book Antiqua"/>
          <w:color w:val="231F20"/>
          <w:sz w:val="28"/>
        </w:rPr>
        <w:t>to</w:t>
      </w:r>
      <w:r>
        <w:rPr>
          <w:rFonts w:ascii="Book Antiqua" w:hAnsi="Book Antiqua"/>
          <w:color w:val="231F20"/>
          <w:spacing w:val="-5"/>
          <w:sz w:val="28"/>
        </w:rPr>
        <w:t> </w:t>
      </w:r>
      <w:r>
        <w:rPr>
          <w:rFonts w:ascii="Book Antiqua" w:hAnsi="Book Antiqua"/>
          <w:color w:val="231F20"/>
          <w:sz w:val="28"/>
        </w:rPr>
        <w:t>coast,</w:t>
      </w:r>
      <w:r>
        <w:rPr>
          <w:rFonts w:ascii="Book Antiqua" w:hAnsi="Book Antiqua"/>
          <w:color w:val="231F20"/>
          <w:spacing w:val="-10"/>
          <w:sz w:val="28"/>
        </w:rPr>
        <w:t> </w:t>
      </w:r>
      <w:r>
        <w:rPr>
          <w:rFonts w:ascii="Book Antiqua" w:hAnsi="Book Antiqua"/>
          <w:color w:val="231F20"/>
          <w:sz w:val="28"/>
        </w:rPr>
        <w:t>including </w:t>
      </w:r>
      <w:r>
        <w:rPr>
          <w:rFonts w:ascii="Book Antiqua" w:hAnsi="Book Antiqua"/>
          <w:color w:val="231F20"/>
          <w:spacing w:val="-3"/>
          <w:sz w:val="28"/>
        </w:rPr>
        <w:t>Tampa/St. </w:t>
      </w:r>
      <w:r>
        <w:rPr>
          <w:rFonts w:ascii="Book Antiqua" w:hAnsi="Book Antiqua"/>
          <w:color w:val="231F20"/>
          <w:sz w:val="28"/>
        </w:rPr>
        <w:t>Petersburg. In </w:t>
      </w:r>
      <w:r>
        <w:rPr>
          <w:rFonts w:ascii="Book Antiqua" w:hAnsi="Book Antiqua"/>
          <w:color w:val="231F20"/>
          <w:spacing w:val="6"/>
          <w:sz w:val="28"/>
        </w:rPr>
        <w:t>February </w:t>
      </w:r>
      <w:r>
        <w:rPr>
          <w:rFonts w:ascii="Book Antiqua" w:hAnsi="Book Antiqua"/>
          <w:color w:val="231F20"/>
          <w:spacing w:val="3"/>
          <w:sz w:val="28"/>
        </w:rPr>
        <w:t>2003, Southwest was </w:t>
      </w:r>
      <w:r>
        <w:rPr>
          <w:rFonts w:ascii="Book Antiqua" w:hAnsi="Book Antiqua"/>
          <w:color w:val="231F20"/>
          <w:spacing w:val="6"/>
          <w:sz w:val="28"/>
        </w:rPr>
        <w:t>named </w:t>
      </w:r>
      <w:r>
        <w:rPr>
          <w:rFonts w:ascii="Book Antiqua" w:hAnsi="Book Antiqua"/>
          <w:color w:val="231F20"/>
          <w:spacing w:val="4"/>
          <w:sz w:val="28"/>
        </w:rPr>
        <w:t>the </w:t>
      </w:r>
      <w:r>
        <w:rPr>
          <w:rFonts w:ascii="Book Antiqua" w:hAnsi="Book Antiqua"/>
          <w:color w:val="231F20"/>
          <w:spacing w:val="3"/>
          <w:sz w:val="28"/>
        </w:rPr>
        <w:t>Most</w:t>
      </w:r>
      <w:r>
        <w:rPr>
          <w:rFonts w:ascii="Book Antiqua" w:hAnsi="Book Antiqua"/>
          <w:color w:val="231F20"/>
          <w:spacing w:val="-30"/>
          <w:sz w:val="28"/>
        </w:rPr>
        <w:t> </w:t>
      </w:r>
      <w:r>
        <w:rPr>
          <w:rFonts w:ascii="Book Antiqua" w:hAnsi="Book Antiqua"/>
          <w:color w:val="231F20"/>
          <w:spacing w:val="5"/>
          <w:sz w:val="28"/>
        </w:rPr>
        <w:t>Admired </w:t>
      </w:r>
      <w:r>
        <w:rPr>
          <w:rFonts w:ascii="Book Antiqua" w:hAnsi="Book Antiqua"/>
          <w:color w:val="231F20"/>
          <w:spacing w:val="6"/>
          <w:sz w:val="28"/>
        </w:rPr>
        <w:t>Airline</w:t>
      </w:r>
      <w:r>
        <w:rPr>
          <w:rFonts w:ascii="Book Antiqua" w:hAnsi="Book Antiqua"/>
          <w:color w:val="231F20"/>
          <w:spacing w:val="-14"/>
          <w:sz w:val="28"/>
        </w:rPr>
        <w:t> </w:t>
      </w:r>
      <w:r>
        <w:rPr>
          <w:rFonts w:ascii="Book Antiqua" w:hAnsi="Book Antiqua"/>
          <w:color w:val="231F20"/>
          <w:spacing w:val="5"/>
          <w:sz w:val="28"/>
        </w:rPr>
        <w:t>for</w:t>
      </w:r>
      <w:r>
        <w:rPr>
          <w:rFonts w:ascii="Book Antiqua" w:hAnsi="Book Antiqua"/>
          <w:color w:val="231F20"/>
          <w:spacing w:val="-22"/>
          <w:sz w:val="28"/>
        </w:rPr>
        <w:t> </w:t>
      </w:r>
      <w:r>
        <w:rPr>
          <w:rFonts w:ascii="Book Antiqua" w:hAnsi="Book Antiqua"/>
          <w:color w:val="231F20"/>
          <w:spacing w:val="3"/>
          <w:sz w:val="28"/>
        </w:rPr>
        <w:t>the</w:t>
      </w:r>
      <w:r>
        <w:rPr>
          <w:rFonts w:ascii="Book Antiqua" w:hAnsi="Book Antiqua"/>
          <w:color w:val="231F20"/>
          <w:spacing w:val="-14"/>
          <w:sz w:val="28"/>
        </w:rPr>
        <w:t> </w:t>
      </w:r>
      <w:r>
        <w:rPr>
          <w:rFonts w:ascii="Book Antiqua" w:hAnsi="Book Antiqua"/>
          <w:color w:val="231F20"/>
          <w:spacing w:val="6"/>
          <w:sz w:val="28"/>
        </w:rPr>
        <w:t>second</w:t>
      </w:r>
      <w:r>
        <w:rPr>
          <w:rFonts w:ascii="Book Antiqua" w:hAnsi="Book Antiqua"/>
          <w:color w:val="231F20"/>
          <w:spacing w:val="-14"/>
          <w:sz w:val="28"/>
        </w:rPr>
        <w:t> </w:t>
      </w:r>
      <w:r>
        <w:rPr>
          <w:rFonts w:ascii="Book Antiqua" w:hAnsi="Book Antiqua"/>
          <w:color w:val="231F20"/>
          <w:spacing w:val="7"/>
          <w:sz w:val="28"/>
        </w:rPr>
        <w:t>straight</w:t>
      </w:r>
      <w:r>
        <w:rPr>
          <w:rFonts w:ascii="Book Antiqua" w:hAnsi="Book Antiqua"/>
          <w:color w:val="231F20"/>
          <w:spacing w:val="-26"/>
          <w:sz w:val="28"/>
        </w:rPr>
        <w:t> </w:t>
      </w:r>
      <w:r>
        <w:rPr>
          <w:rFonts w:ascii="Book Antiqua" w:hAnsi="Book Antiqua"/>
          <w:color w:val="231F20"/>
          <w:spacing w:val="3"/>
          <w:sz w:val="28"/>
        </w:rPr>
        <w:t>year</w:t>
      </w:r>
      <w:r>
        <w:rPr>
          <w:rFonts w:ascii="Book Antiqua" w:hAnsi="Book Antiqua"/>
          <w:color w:val="231F20"/>
          <w:spacing w:val="-22"/>
          <w:sz w:val="28"/>
        </w:rPr>
        <w:t> </w:t>
      </w:r>
      <w:r>
        <w:rPr>
          <w:rFonts w:ascii="Book Antiqua" w:hAnsi="Book Antiqua"/>
          <w:color w:val="231F20"/>
          <w:spacing w:val="4"/>
          <w:sz w:val="28"/>
        </w:rPr>
        <w:t>in</w:t>
      </w:r>
      <w:r>
        <w:rPr>
          <w:rFonts w:ascii="Book Antiqua" w:hAnsi="Book Antiqua"/>
          <w:color w:val="231F20"/>
          <w:spacing w:val="-15"/>
          <w:sz w:val="28"/>
        </w:rPr>
        <w:t> </w:t>
      </w:r>
      <w:r>
        <w:rPr>
          <w:rFonts w:ascii="Book Antiqua" w:hAnsi="Book Antiqua"/>
          <w:i/>
          <w:color w:val="231F20"/>
          <w:spacing w:val="4"/>
          <w:sz w:val="28"/>
        </w:rPr>
        <w:t>FORTUNE</w:t>
      </w:r>
      <w:r>
        <w:rPr>
          <w:rFonts w:ascii="Book Antiqua" w:hAnsi="Book Antiqua"/>
          <w:i/>
          <w:color w:val="231F20"/>
          <w:spacing w:val="-15"/>
          <w:sz w:val="28"/>
        </w:rPr>
        <w:t> </w:t>
      </w:r>
      <w:r>
        <w:rPr>
          <w:rFonts w:ascii="Book Antiqua" w:hAnsi="Book Antiqua"/>
          <w:color w:val="231F20"/>
          <w:spacing w:val="6"/>
          <w:sz w:val="28"/>
        </w:rPr>
        <w:t>magazine.</w:t>
      </w:r>
      <w:r>
        <w:rPr>
          <w:rFonts w:ascii="Book Antiqua" w:hAnsi="Book Antiqua"/>
          <w:color w:val="231F20"/>
          <w:spacing w:val="-15"/>
          <w:sz w:val="28"/>
        </w:rPr>
        <w:t> </w:t>
      </w:r>
      <w:r>
        <w:rPr>
          <w:rFonts w:ascii="Book Antiqua" w:hAnsi="Book Antiqua"/>
          <w:color w:val="231F20"/>
          <w:spacing w:val="4"/>
          <w:sz w:val="28"/>
        </w:rPr>
        <w:t>In</w:t>
      </w:r>
      <w:r>
        <w:rPr>
          <w:rFonts w:ascii="Book Antiqua" w:hAnsi="Book Antiqua"/>
          <w:color w:val="231F20"/>
          <w:spacing w:val="-15"/>
          <w:sz w:val="28"/>
        </w:rPr>
        <w:t> </w:t>
      </w:r>
      <w:r>
        <w:rPr>
          <w:rFonts w:ascii="Book Antiqua" w:hAnsi="Book Antiqua"/>
          <w:color w:val="231F20"/>
          <w:spacing w:val="3"/>
          <w:sz w:val="28"/>
        </w:rPr>
        <w:t>June,</w:t>
      </w:r>
      <w:r>
        <w:rPr>
          <w:rFonts w:ascii="Book Antiqua" w:hAnsi="Book Antiqua"/>
          <w:color w:val="231F20"/>
          <w:spacing w:val="-24"/>
          <w:sz w:val="28"/>
        </w:rPr>
        <w:t> </w:t>
      </w:r>
      <w:r>
        <w:rPr>
          <w:rFonts w:ascii="Book Antiqua" w:hAnsi="Book Antiqua"/>
          <w:color w:val="231F20"/>
          <w:spacing w:val="-4"/>
          <w:sz w:val="28"/>
        </w:rPr>
        <w:t>we</w:t>
      </w:r>
      <w:r>
        <w:rPr>
          <w:rFonts w:ascii="Book Antiqua" w:hAnsi="Book Antiqua"/>
          <w:color w:val="231F20"/>
          <w:spacing w:val="-15"/>
          <w:sz w:val="28"/>
        </w:rPr>
        <w:t> </w:t>
      </w:r>
      <w:r>
        <w:rPr>
          <w:rFonts w:ascii="Book Antiqua" w:hAnsi="Book Antiqua"/>
          <w:color w:val="231F20"/>
          <w:spacing w:val="7"/>
          <w:sz w:val="28"/>
        </w:rPr>
        <w:t>announced </w:t>
      </w:r>
      <w:r>
        <w:rPr>
          <w:rFonts w:ascii="Book Antiqua" w:hAnsi="Book Antiqua"/>
          <w:color w:val="231F20"/>
          <w:spacing w:val="6"/>
          <w:sz w:val="28"/>
        </w:rPr>
        <w:t>that</w:t>
      </w:r>
      <w:r>
        <w:rPr>
          <w:rFonts w:ascii="Book Antiqua" w:hAnsi="Book Antiqua"/>
          <w:color w:val="231F20"/>
          <w:spacing w:val="-21"/>
          <w:sz w:val="28"/>
        </w:rPr>
        <w:t> </w:t>
      </w:r>
      <w:r>
        <w:rPr>
          <w:rFonts w:ascii="Book Antiqua" w:hAnsi="Book Antiqua"/>
          <w:color w:val="231F20"/>
          <w:spacing w:val="4"/>
          <w:sz w:val="28"/>
        </w:rPr>
        <w:t>our</w:t>
      </w:r>
      <w:r>
        <w:rPr>
          <w:rFonts w:ascii="Book Antiqua" w:hAnsi="Book Antiqua"/>
          <w:color w:val="231F20"/>
          <w:spacing w:val="-24"/>
          <w:sz w:val="28"/>
        </w:rPr>
        <w:t> </w:t>
      </w:r>
      <w:r>
        <w:rPr>
          <w:rFonts w:ascii="Book Antiqua" w:hAnsi="Book Antiqua"/>
          <w:color w:val="231F20"/>
          <w:spacing w:val="6"/>
          <w:sz w:val="28"/>
        </w:rPr>
        <w:t>current</w:t>
      </w:r>
      <w:r>
        <w:rPr>
          <w:rFonts w:ascii="Book Antiqua" w:hAnsi="Book Antiqua"/>
          <w:color w:val="231F20"/>
          <w:spacing w:val="-21"/>
          <w:sz w:val="28"/>
        </w:rPr>
        <w:t> </w:t>
      </w:r>
      <w:r>
        <w:rPr>
          <w:rFonts w:ascii="Book Antiqua" w:hAnsi="Book Antiqua"/>
          <w:color w:val="231F20"/>
          <w:spacing w:val="3"/>
          <w:sz w:val="28"/>
        </w:rPr>
        <w:t>and</w:t>
      </w:r>
      <w:r>
        <w:rPr>
          <w:rFonts w:ascii="Book Antiqua" w:hAnsi="Book Antiqua"/>
          <w:color w:val="231F20"/>
          <w:spacing w:val="-16"/>
          <w:sz w:val="28"/>
        </w:rPr>
        <w:t> </w:t>
      </w:r>
      <w:r>
        <w:rPr>
          <w:rFonts w:ascii="Book Antiqua" w:hAnsi="Book Antiqua"/>
          <w:color w:val="231F20"/>
          <w:spacing w:val="6"/>
          <w:sz w:val="28"/>
        </w:rPr>
        <w:t>future</w:t>
      </w:r>
      <w:r>
        <w:rPr>
          <w:rFonts w:ascii="Book Antiqua" w:hAnsi="Book Antiqua"/>
          <w:color w:val="231F20"/>
          <w:spacing w:val="-16"/>
          <w:sz w:val="28"/>
        </w:rPr>
        <w:t> </w:t>
      </w:r>
      <w:r>
        <w:rPr>
          <w:rFonts w:ascii="Book Antiqua" w:hAnsi="Book Antiqua"/>
          <w:color w:val="231F20"/>
          <w:sz w:val="28"/>
        </w:rPr>
        <w:t>f</w:t>
      </w:r>
      <w:r>
        <w:rPr>
          <w:rFonts w:ascii="Book Antiqua" w:hAnsi="Book Antiqua"/>
          <w:color w:val="231F20"/>
          <w:spacing w:val="-49"/>
          <w:sz w:val="28"/>
        </w:rPr>
        <w:t> </w:t>
      </w:r>
      <w:r>
        <w:rPr>
          <w:rFonts w:ascii="Book Antiqua" w:hAnsi="Book Antiqua"/>
          <w:color w:val="231F20"/>
          <w:spacing w:val="3"/>
          <w:sz w:val="28"/>
        </w:rPr>
        <w:t>leet</w:t>
      </w:r>
      <w:r>
        <w:rPr>
          <w:rFonts w:ascii="Book Antiqua" w:hAnsi="Book Antiqua"/>
          <w:color w:val="231F20"/>
          <w:spacing w:val="-21"/>
          <w:sz w:val="28"/>
        </w:rPr>
        <w:t> </w:t>
      </w:r>
      <w:r>
        <w:rPr>
          <w:rFonts w:ascii="Book Antiqua" w:hAnsi="Book Antiqua"/>
          <w:color w:val="231F20"/>
          <w:spacing w:val="4"/>
          <w:sz w:val="28"/>
        </w:rPr>
        <w:t>of</w:t>
      </w:r>
      <w:r>
        <w:rPr>
          <w:rFonts w:ascii="Book Antiqua" w:hAnsi="Book Antiqua"/>
          <w:color w:val="231F20"/>
          <w:spacing w:val="-16"/>
          <w:sz w:val="28"/>
        </w:rPr>
        <w:t> </w:t>
      </w:r>
      <w:r>
        <w:rPr>
          <w:rFonts w:ascii="Book Antiqua" w:hAnsi="Book Antiqua"/>
          <w:color w:val="231F20"/>
          <w:sz w:val="28"/>
        </w:rPr>
        <w:t>Boeing</w:t>
      </w:r>
      <w:r>
        <w:rPr>
          <w:rFonts w:ascii="Book Antiqua" w:hAnsi="Book Antiqua"/>
          <w:color w:val="231F20"/>
          <w:spacing w:val="-21"/>
          <w:sz w:val="28"/>
        </w:rPr>
        <w:t> </w:t>
      </w:r>
      <w:r>
        <w:rPr>
          <w:rFonts w:ascii="Book Antiqua" w:hAnsi="Book Antiqua"/>
          <w:color w:val="231F20"/>
          <w:spacing w:val="-7"/>
          <w:sz w:val="28"/>
        </w:rPr>
        <w:t>737-700s</w:t>
      </w:r>
      <w:r>
        <w:rPr>
          <w:rFonts w:ascii="Book Antiqua" w:hAnsi="Book Antiqua"/>
          <w:color w:val="231F20"/>
          <w:spacing w:val="-25"/>
          <w:sz w:val="28"/>
        </w:rPr>
        <w:t> </w:t>
      </w:r>
      <w:r>
        <w:rPr>
          <w:rFonts w:ascii="Book Antiqua" w:hAnsi="Book Antiqua"/>
          <w:color w:val="231F20"/>
          <w:sz w:val="28"/>
        </w:rPr>
        <w:t>will</w:t>
      </w:r>
      <w:r>
        <w:rPr>
          <w:rFonts w:ascii="Book Antiqua" w:hAnsi="Book Antiqua"/>
          <w:color w:val="231F20"/>
          <w:spacing w:val="-21"/>
          <w:sz w:val="28"/>
        </w:rPr>
        <w:t> </w:t>
      </w:r>
      <w:r>
        <w:rPr>
          <w:rFonts w:ascii="Book Antiqua" w:hAnsi="Book Antiqua"/>
          <w:color w:val="231F20"/>
          <w:sz w:val="28"/>
        </w:rPr>
        <w:t>be</w:t>
      </w:r>
      <w:r>
        <w:rPr>
          <w:rFonts w:ascii="Book Antiqua" w:hAnsi="Book Antiqua"/>
          <w:color w:val="231F20"/>
          <w:spacing w:val="-21"/>
          <w:sz w:val="28"/>
        </w:rPr>
        <w:t> </w:t>
      </w:r>
      <w:r>
        <w:rPr>
          <w:rFonts w:ascii="Book Antiqua" w:hAnsi="Book Antiqua"/>
          <w:color w:val="231F20"/>
          <w:spacing w:val="3"/>
          <w:sz w:val="28"/>
        </w:rPr>
        <w:t>outfitted</w:t>
      </w:r>
      <w:r>
        <w:rPr>
          <w:rFonts w:ascii="Book Antiqua" w:hAnsi="Book Antiqua"/>
          <w:color w:val="231F20"/>
          <w:spacing w:val="-25"/>
          <w:sz w:val="28"/>
        </w:rPr>
        <w:t> </w:t>
      </w:r>
      <w:r>
        <w:rPr>
          <w:rFonts w:ascii="Book Antiqua" w:hAnsi="Book Antiqua"/>
          <w:color w:val="231F20"/>
          <w:sz w:val="28"/>
        </w:rPr>
        <w:t>with</w:t>
      </w:r>
      <w:r>
        <w:rPr>
          <w:rFonts w:ascii="Book Antiqua" w:hAnsi="Book Antiqua"/>
          <w:color w:val="231F20"/>
          <w:spacing w:val="-21"/>
          <w:sz w:val="28"/>
        </w:rPr>
        <w:t> </w:t>
      </w:r>
      <w:r>
        <w:rPr>
          <w:rFonts w:ascii="Book Antiqua" w:hAnsi="Book Antiqua"/>
          <w:color w:val="231F20"/>
          <w:spacing w:val="2"/>
          <w:sz w:val="28"/>
        </w:rPr>
        <w:t>fuel-saving, performance-enhancing</w:t>
      </w:r>
      <w:r>
        <w:rPr>
          <w:rFonts w:ascii="Book Antiqua" w:hAnsi="Book Antiqua"/>
          <w:color w:val="231F20"/>
          <w:spacing w:val="-13"/>
          <w:sz w:val="28"/>
        </w:rPr>
        <w:t> </w:t>
      </w:r>
      <w:r>
        <w:rPr>
          <w:rFonts w:ascii="Book Antiqua" w:hAnsi="Book Antiqua"/>
          <w:color w:val="231F20"/>
          <w:sz w:val="28"/>
        </w:rPr>
        <w:t>Blended</w:t>
      </w:r>
      <w:r>
        <w:rPr>
          <w:rFonts w:ascii="Book Antiqua" w:hAnsi="Book Antiqua"/>
          <w:color w:val="231F20"/>
          <w:spacing w:val="-21"/>
          <w:sz w:val="28"/>
        </w:rPr>
        <w:t> </w:t>
      </w:r>
      <w:r>
        <w:rPr>
          <w:rFonts w:ascii="Book Antiqua" w:hAnsi="Book Antiqua"/>
          <w:color w:val="231F20"/>
          <w:sz w:val="28"/>
        </w:rPr>
        <w:t>Winglets.</w:t>
      </w:r>
      <w:r>
        <w:rPr>
          <w:rFonts w:ascii="Book Antiqua" w:hAnsi="Book Antiqua"/>
          <w:color w:val="231F20"/>
          <w:spacing w:val="-13"/>
          <w:sz w:val="28"/>
        </w:rPr>
        <w:t> </w:t>
      </w:r>
      <w:r>
        <w:rPr>
          <w:rFonts w:ascii="Book Antiqua" w:hAnsi="Book Antiqua"/>
          <w:color w:val="231F20"/>
          <w:sz w:val="28"/>
        </w:rPr>
        <w:t>In</w:t>
      </w:r>
      <w:r>
        <w:rPr>
          <w:rFonts w:ascii="Book Antiqua" w:hAnsi="Book Antiqua"/>
          <w:color w:val="231F20"/>
          <w:spacing w:val="-21"/>
          <w:sz w:val="28"/>
        </w:rPr>
        <w:t> </w:t>
      </w:r>
      <w:r>
        <w:rPr>
          <w:rFonts w:ascii="Book Antiqua" w:hAnsi="Book Antiqua"/>
          <w:color w:val="231F20"/>
          <w:sz w:val="28"/>
        </w:rPr>
        <w:t>August,</w:t>
      </w:r>
      <w:r>
        <w:rPr>
          <w:rFonts w:ascii="Book Antiqua" w:hAnsi="Book Antiqua"/>
          <w:color w:val="231F20"/>
          <w:spacing w:val="-17"/>
          <w:sz w:val="28"/>
        </w:rPr>
        <w:t> </w:t>
      </w:r>
      <w:r>
        <w:rPr>
          <w:rFonts w:ascii="Book Antiqua" w:hAnsi="Book Antiqua"/>
          <w:color w:val="231F20"/>
          <w:spacing w:val="4"/>
          <w:sz w:val="28"/>
        </w:rPr>
        <w:t>the</w:t>
      </w:r>
      <w:r>
        <w:rPr>
          <w:rFonts w:ascii="Book Antiqua" w:hAnsi="Book Antiqua"/>
          <w:color w:val="231F20"/>
          <w:spacing w:val="-7"/>
          <w:sz w:val="28"/>
        </w:rPr>
        <w:t> </w:t>
      </w:r>
      <w:r>
        <w:rPr>
          <w:rFonts w:ascii="Book Antiqua" w:hAnsi="Book Antiqua"/>
          <w:color w:val="231F20"/>
          <w:spacing w:val="7"/>
          <w:sz w:val="28"/>
        </w:rPr>
        <w:t>Bureau</w:t>
      </w:r>
      <w:r>
        <w:rPr>
          <w:rFonts w:ascii="Book Antiqua" w:hAnsi="Book Antiqua"/>
          <w:color w:val="231F20"/>
          <w:spacing w:val="-7"/>
          <w:sz w:val="28"/>
        </w:rPr>
        <w:t> </w:t>
      </w:r>
      <w:r>
        <w:rPr>
          <w:rFonts w:ascii="Book Antiqua" w:hAnsi="Book Antiqua"/>
          <w:color w:val="231F20"/>
          <w:spacing w:val="4"/>
          <w:sz w:val="28"/>
        </w:rPr>
        <w:t>of</w:t>
      </w:r>
      <w:r>
        <w:rPr>
          <w:rFonts w:ascii="Book Antiqua" w:hAnsi="Book Antiqua"/>
          <w:color w:val="231F20"/>
          <w:spacing w:val="-15"/>
          <w:sz w:val="28"/>
        </w:rPr>
        <w:t> </w:t>
      </w:r>
      <w:r>
        <w:rPr>
          <w:rFonts w:ascii="Book Antiqua" w:hAnsi="Book Antiqua"/>
          <w:color w:val="231F20"/>
          <w:spacing w:val="6"/>
          <w:sz w:val="28"/>
        </w:rPr>
        <w:t>Transportation </w:t>
      </w:r>
      <w:r>
        <w:rPr>
          <w:rFonts w:ascii="Book Antiqua" w:hAnsi="Book Antiqua"/>
          <w:color w:val="231F20"/>
          <w:spacing w:val="10"/>
          <w:w w:val="95"/>
          <w:sz w:val="28"/>
        </w:rPr>
        <w:t>Statistics </w:t>
      </w:r>
      <w:r>
        <w:rPr>
          <w:rFonts w:ascii="Book Antiqua" w:hAnsi="Book Antiqua"/>
          <w:color w:val="231F20"/>
          <w:spacing w:val="8"/>
          <w:w w:val="95"/>
          <w:sz w:val="28"/>
        </w:rPr>
        <w:t>announced that </w:t>
      </w:r>
      <w:r>
        <w:rPr>
          <w:rFonts w:ascii="Book Antiqua" w:hAnsi="Book Antiqua"/>
          <w:color w:val="231F20"/>
          <w:spacing w:val="6"/>
          <w:w w:val="95"/>
          <w:sz w:val="28"/>
        </w:rPr>
        <w:t>Southwest </w:t>
      </w:r>
      <w:r>
        <w:rPr>
          <w:rFonts w:ascii="Book Antiqua" w:hAnsi="Book Antiqua"/>
          <w:color w:val="231F20"/>
          <w:spacing w:val="9"/>
          <w:w w:val="95"/>
          <w:sz w:val="28"/>
        </w:rPr>
        <w:t>carried </w:t>
      </w:r>
      <w:r>
        <w:rPr>
          <w:rFonts w:ascii="Book Antiqua" w:hAnsi="Book Antiqua"/>
          <w:color w:val="231F20"/>
          <w:spacing w:val="7"/>
          <w:w w:val="95"/>
          <w:sz w:val="28"/>
        </w:rPr>
        <w:t>more </w:t>
      </w:r>
      <w:r>
        <w:rPr>
          <w:rFonts w:ascii="Book Antiqua" w:hAnsi="Book Antiqua"/>
          <w:color w:val="231F20"/>
          <w:spacing w:val="8"/>
          <w:w w:val="95"/>
          <w:sz w:val="28"/>
        </w:rPr>
        <w:t>domestic </w:t>
      </w:r>
      <w:r>
        <w:rPr>
          <w:rFonts w:ascii="Book Antiqua" w:hAnsi="Book Antiqua"/>
          <w:color w:val="231F20"/>
          <w:spacing w:val="10"/>
          <w:w w:val="95"/>
          <w:sz w:val="28"/>
        </w:rPr>
        <w:t>originating </w:t>
      </w:r>
      <w:r>
        <w:rPr>
          <w:rFonts w:ascii="Book Antiqua" w:hAnsi="Book Antiqua"/>
          <w:color w:val="231F20"/>
          <w:spacing w:val="4"/>
          <w:w w:val="95"/>
          <w:sz w:val="28"/>
        </w:rPr>
        <w:t>passengers </w:t>
      </w:r>
      <w:r>
        <w:rPr>
          <w:rFonts w:ascii="Book Antiqua" w:hAnsi="Book Antiqua"/>
          <w:color w:val="231F20"/>
          <w:spacing w:val="5"/>
          <w:sz w:val="28"/>
        </w:rPr>
        <w:t>in</w:t>
      </w:r>
      <w:r>
        <w:rPr>
          <w:rFonts w:ascii="Book Antiqua" w:hAnsi="Book Antiqua"/>
          <w:color w:val="231F20"/>
          <w:spacing w:val="-31"/>
          <w:sz w:val="28"/>
        </w:rPr>
        <w:t> </w:t>
      </w:r>
      <w:r>
        <w:rPr>
          <w:rFonts w:ascii="Book Antiqua" w:hAnsi="Book Antiqua"/>
          <w:color w:val="231F20"/>
          <w:spacing w:val="7"/>
          <w:sz w:val="28"/>
        </w:rPr>
        <w:t>May</w:t>
      </w:r>
      <w:r>
        <w:rPr>
          <w:rFonts w:ascii="Book Antiqua" w:hAnsi="Book Antiqua"/>
          <w:color w:val="231F20"/>
          <w:spacing w:val="-37"/>
          <w:sz w:val="28"/>
        </w:rPr>
        <w:t> </w:t>
      </w:r>
      <w:r>
        <w:rPr>
          <w:rFonts w:ascii="Book Antiqua" w:hAnsi="Book Antiqua"/>
          <w:color w:val="231F20"/>
          <w:spacing w:val="3"/>
          <w:sz w:val="28"/>
        </w:rPr>
        <w:t>than</w:t>
      </w:r>
      <w:r>
        <w:rPr>
          <w:rFonts w:ascii="Book Antiqua" w:hAnsi="Book Antiqua"/>
          <w:color w:val="231F20"/>
          <w:spacing w:val="-37"/>
          <w:sz w:val="28"/>
        </w:rPr>
        <w:t> </w:t>
      </w:r>
      <w:r>
        <w:rPr>
          <w:rFonts w:ascii="Book Antiqua" w:hAnsi="Book Antiqua"/>
          <w:color w:val="231F20"/>
          <w:sz w:val="28"/>
        </w:rPr>
        <w:t>any</w:t>
      </w:r>
      <w:r>
        <w:rPr>
          <w:rFonts w:ascii="Book Antiqua" w:hAnsi="Book Antiqua"/>
          <w:color w:val="231F20"/>
          <w:spacing w:val="-43"/>
          <w:sz w:val="28"/>
        </w:rPr>
        <w:t> </w:t>
      </w:r>
      <w:r>
        <w:rPr>
          <w:rFonts w:ascii="Book Antiqua" w:hAnsi="Book Antiqua"/>
          <w:color w:val="231F20"/>
          <w:spacing w:val="3"/>
          <w:sz w:val="28"/>
        </w:rPr>
        <w:t>other</w:t>
      </w:r>
      <w:r>
        <w:rPr>
          <w:rFonts w:ascii="Book Antiqua" w:hAnsi="Book Antiqua"/>
          <w:color w:val="231F20"/>
          <w:spacing w:val="-43"/>
          <w:sz w:val="28"/>
        </w:rPr>
        <w:t> </w:t>
      </w:r>
      <w:r>
        <w:rPr>
          <w:rFonts w:ascii="Book Antiqua" w:hAnsi="Book Antiqua"/>
          <w:color w:val="231F20"/>
          <w:sz w:val="28"/>
        </w:rPr>
        <w:t>airline,</w:t>
      </w:r>
      <w:r>
        <w:rPr>
          <w:rFonts w:ascii="Book Antiqua" w:hAnsi="Book Antiqua"/>
          <w:color w:val="231F20"/>
          <w:spacing w:val="-40"/>
          <w:sz w:val="28"/>
        </w:rPr>
        <w:t> </w:t>
      </w:r>
      <w:r>
        <w:rPr>
          <w:rFonts w:ascii="Book Antiqua" w:hAnsi="Book Antiqua"/>
          <w:color w:val="231F20"/>
          <w:spacing w:val="3"/>
          <w:sz w:val="28"/>
        </w:rPr>
        <w:t>marking</w:t>
      </w:r>
      <w:r>
        <w:rPr>
          <w:rFonts w:ascii="Book Antiqua" w:hAnsi="Book Antiqua"/>
          <w:color w:val="231F20"/>
          <w:spacing w:val="-37"/>
          <w:sz w:val="28"/>
        </w:rPr>
        <w:t> </w:t>
      </w:r>
      <w:r>
        <w:rPr>
          <w:rFonts w:ascii="Book Antiqua" w:hAnsi="Book Antiqua"/>
          <w:color w:val="231F20"/>
          <w:spacing w:val="2"/>
          <w:sz w:val="28"/>
        </w:rPr>
        <w:t>the</w:t>
      </w:r>
      <w:r>
        <w:rPr>
          <w:rFonts w:ascii="Book Antiqua" w:hAnsi="Book Antiqua"/>
          <w:color w:val="231F20"/>
          <w:spacing w:val="-37"/>
          <w:sz w:val="28"/>
        </w:rPr>
        <w:t> </w:t>
      </w:r>
      <w:r>
        <w:rPr>
          <w:rFonts w:ascii="Book Antiqua" w:hAnsi="Book Antiqua"/>
          <w:color w:val="231F20"/>
          <w:spacing w:val="6"/>
          <w:sz w:val="28"/>
        </w:rPr>
        <w:t>first</w:t>
      </w:r>
      <w:r>
        <w:rPr>
          <w:rFonts w:ascii="Book Antiqua" w:hAnsi="Book Antiqua"/>
          <w:color w:val="231F20"/>
          <w:spacing w:val="-41"/>
          <w:sz w:val="28"/>
        </w:rPr>
        <w:t> </w:t>
      </w:r>
      <w:r>
        <w:rPr>
          <w:rFonts w:ascii="Book Antiqua" w:hAnsi="Book Antiqua"/>
          <w:color w:val="231F20"/>
          <w:spacing w:val="3"/>
          <w:sz w:val="28"/>
        </w:rPr>
        <w:t>time</w:t>
      </w:r>
      <w:r>
        <w:rPr>
          <w:rFonts w:ascii="Book Antiqua" w:hAnsi="Book Antiqua"/>
          <w:color w:val="231F20"/>
          <w:spacing w:val="-37"/>
          <w:sz w:val="28"/>
        </w:rPr>
        <w:t> </w:t>
      </w:r>
      <w:r>
        <w:rPr>
          <w:rFonts w:ascii="Book Antiqua" w:hAnsi="Book Antiqua"/>
          <w:color w:val="231F20"/>
          <w:sz w:val="28"/>
        </w:rPr>
        <w:t>a</w:t>
      </w:r>
      <w:r>
        <w:rPr>
          <w:rFonts w:ascii="Book Antiqua" w:hAnsi="Book Antiqua"/>
          <w:color w:val="231F20"/>
          <w:spacing w:val="-37"/>
          <w:sz w:val="28"/>
        </w:rPr>
        <w:t> </w:t>
      </w:r>
      <w:r>
        <w:rPr>
          <w:rFonts w:ascii="Book Antiqua" w:hAnsi="Book Antiqua"/>
          <w:color w:val="231F20"/>
          <w:spacing w:val="2"/>
          <w:sz w:val="28"/>
        </w:rPr>
        <w:t>low-fare</w:t>
      </w:r>
      <w:r>
        <w:rPr>
          <w:rFonts w:ascii="Book Antiqua" w:hAnsi="Book Antiqua"/>
          <w:color w:val="231F20"/>
          <w:spacing w:val="-37"/>
          <w:sz w:val="28"/>
        </w:rPr>
        <w:t> </w:t>
      </w:r>
      <w:r>
        <w:rPr>
          <w:rFonts w:ascii="Book Antiqua" w:hAnsi="Book Antiqua"/>
          <w:color w:val="231F20"/>
          <w:spacing w:val="2"/>
          <w:sz w:val="28"/>
        </w:rPr>
        <w:t>airline</w:t>
      </w:r>
      <w:r>
        <w:rPr>
          <w:rFonts w:ascii="Book Antiqua" w:hAnsi="Book Antiqua"/>
          <w:color w:val="231F20"/>
          <w:spacing w:val="-37"/>
          <w:sz w:val="28"/>
        </w:rPr>
        <w:t> </w:t>
      </w:r>
      <w:r>
        <w:rPr>
          <w:rFonts w:ascii="Book Antiqua" w:hAnsi="Book Antiqua"/>
          <w:color w:val="231F20"/>
          <w:spacing w:val="2"/>
          <w:sz w:val="28"/>
        </w:rPr>
        <w:t>has</w:t>
      </w:r>
      <w:r>
        <w:rPr>
          <w:rFonts w:ascii="Book Antiqua" w:hAnsi="Book Antiqua"/>
          <w:color w:val="231F20"/>
          <w:spacing w:val="-37"/>
          <w:sz w:val="28"/>
        </w:rPr>
        <w:t> </w:t>
      </w:r>
      <w:r>
        <w:rPr>
          <w:rFonts w:ascii="Book Antiqua" w:hAnsi="Book Antiqua"/>
          <w:color w:val="231F20"/>
          <w:sz w:val="28"/>
        </w:rPr>
        <w:t>topped</w:t>
      </w:r>
      <w:r>
        <w:rPr>
          <w:rFonts w:ascii="Book Antiqua" w:hAnsi="Book Antiqua"/>
          <w:color w:val="231F20"/>
          <w:spacing w:val="-39"/>
          <w:sz w:val="28"/>
        </w:rPr>
        <w:t> </w:t>
      </w:r>
      <w:r>
        <w:rPr>
          <w:rFonts w:ascii="Book Antiqua" w:hAnsi="Book Antiqua"/>
          <w:color w:val="231F20"/>
          <w:spacing w:val="4"/>
          <w:sz w:val="28"/>
        </w:rPr>
        <w:t>those </w:t>
      </w:r>
      <w:r>
        <w:rPr>
          <w:rFonts w:ascii="Book Antiqua" w:hAnsi="Book Antiqua"/>
          <w:color w:val="231F20"/>
          <w:spacing w:val="3"/>
          <w:sz w:val="28"/>
        </w:rPr>
        <w:t>monthly</w:t>
      </w:r>
      <w:r>
        <w:rPr>
          <w:rFonts w:ascii="Book Antiqua" w:hAnsi="Book Antiqua"/>
          <w:color w:val="231F20"/>
          <w:spacing w:val="-23"/>
          <w:sz w:val="28"/>
        </w:rPr>
        <w:t> </w:t>
      </w:r>
      <w:r>
        <w:rPr>
          <w:rFonts w:ascii="Book Antiqua" w:hAnsi="Book Antiqua"/>
          <w:color w:val="231F20"/>
          <w:spacing w:val="3"/>
          <w:sz w:val="28"/>
        </w:rPr>
        <w:t>rankings.</w:t>
      </w:r>
      <w:r>
        <w:rPr>
          <w:rFonts w:ascii="Book Antiqua" w:hAnsi="Book Antiqua"/>
          <w:color w:val="231F20"/>
          <w:spacing w:val="-16"/>
          <w:sz w:val="28"/>
        </w:rPr>
        <w:t> </w:t>
      </w:r>
      <w:r>
        <w:rPr>
          <w:rFonts w:ascii="Book Antiqua" w:hAnsi="Book Antiqua"/>
          <w:color w:val="231F20"/>
          <w:sz w:val="28"/>
        </w:rPr>
        <w:t>In</w:t>
      </w:r>
      <w:r>
        <w:rPr>
          <w:rFonts w:ascii="Book Antiqua" w:hAnsi="Book Antiqua"/>
          <w:color w:val="231F20"/>
          <w:spacing w:val="-16"/>
          <w:sz w:val="28"/>
        </w:rPr>
        <w:t> </w:t>
      </w:r>
      <w:r>
        <w:rPr>
          <w:rFonts w:ascii="Book Antiqua" w:hAnsi="Book Antiqua"/>
          <w:color w:val="231F20"/>
          <w:spacing w:val="2"/>
          <w:sz w:val="28"/>
        </w:rPr>
        <w:t>October</w:t>
      </w:r>
      <w:r>
        <w:rPr>
          <w:rFonts w:ascii="Book Antiqua" w:hAnsi="Book Antiqua"/>
          <w:color w:val="231F20"/>
          <w:spacing w:val="-23"/>
          <w:sz w:val="28"/>
        </w:rPr>
        <w:t> </w:t>
      </w:r>
      <w:r>
        <w:rPr>
          <w:rFonts w:ascii="Book Antiqua" w:hAnsi="Book Antiqua"/>
          <w:color w:val="231F20"/>
          <w:spacing w:val="2"/>
          <w:sz w:val="28"/>
        </w:rPr>
        <w:t>2003,</w:t>
      </w:r>
      <w:r>
        <w:rPr>
          <w:rFonts w:ascii="Book Antiqua" w:hAnsi="Book Antiqua"/>
          <w:color w:val="231F20"/>
          <w:spacing w:val="-24"/>
          <w:sz w:val="28"/>
        </w:rPr>
        <w:t> </w:t>
      </w:r>
      <w:r>
        <w:rPr>
          <w:rFonts w:ascii="Book Antiqua" w:hAnsi="Book Antiqua"/>
          <w:color w:val="231F20"/>
          <w:spacing w:val="-3"/>
          <w:sz w:val="28"/>
        </w:rPr>
        <w:t>we</w:t>
      </w:r>
      <w:r>
        <w:rPr>
          <w:rFonts w:ascii="Book Antiqua" w:hAnsi="Book Antiqua"/>
          <w:color w:val="231F20"/>
          <w:spacing w:val="-16"/>
          <w:sz w:val="28"/>
        </w:rPr>
        <w:t> </w:t>
      </w:r>
      <w:r>
        <w:rPr>
          <w:rFonts w:ascii="Book Antiqua" w:hAnsi="Book Antiqua"/>
          <w:color w:val="231F20"/>
          <w:spacing w:val="3"/>
          <w:sz w:val="28"/>
        </w:rPr>
        <w:t>announced</w:t>
      </w:r>
      <w:r>
        <w:rPr>
          <w:rFonts w:ascii="Book Antiqua" w:hAnsi="Book Antiqua"/>
          <w:color w:val="231F20"/>
          <w:spacing w:val="-16"/>
          <w:sz w:val="28"/>
        </w:rPr>
        <w:t> </w:t>
      </w:r>
      <w:r>
        <w:rPr>
          <w:rFonts w:ascii="Book Antiqua" w:hAnsi="Book Antiqua"/>
          <w:color w:val="231F20"/>
          <w:spacing w:val="4"/>
          <w:sz w:val="28"/>
        </w:rPr>
        <w:t>service,</w:t>
      </w:r>
      <w:r>
        <w:rPr>
          <w:rFonts w:ascii="Book Antiqua" w:hAnsi="Book Antiqua"/>
          <w:color w:val="231F20"/>
          <w:spacing w:val="-20"/>
          <w:sz w:val="28"/>
        </w:rPr>
        <w:t> </w:t>
      </w:r>
      <w:r>
        <w:rPr>
          <w:rFonts w:ascii="Book Antiqua" w:hAnsi="Book Antiqua"/>
          <w:color w:val="231F20"/>
          <w:sz w:val="28"/>
        </w:rPr>
        <w:t>beginning</w:t>
      </w:r>
      <w:r>
        <w:rPr>
          <w:rFonts w:ascii="Book Antiqua" w:hAnsi="Book Antiqua"/>
          <w:color w:val="231F20"/>
          <w:spacing w:val="-18"/>
          <w:sz w:val="28"/>
        </w:rPr>
        <w:t> </w:t>
      </w:r>
      <w:r>
        <w:rPr>
          <w:rFonts w:ascii="Book Antiqua" w:hAnsi="Book Antiqua"/>
          <w:color w:val="231F20"/>
          <w:sz w:val="28"/>
        </w:rPr>
        <w:t>in</w:t>
      </w:r>
      <w:r>
        <w:rPr>
          <w:rFonts w:ascii="Book Antiqua" w:hAnsi="Book Antiqua"/>
          <w:color w:val="231F20"/>
          <w:spacing w:val="-18"/>
          <w:sz w:val="28"/>
        </w:rPr>
        <w:t> </w:t>
      </w:r>
      <w:r>
        <w:rPr>
          <w:rFonts w:ascii="Book Antiqua" w:hAnsi="Book Antiqua"/>
          <w:color w:val="231F20"/>
          <w:sz w:val="28"/>
        </w:rPr>
        <w:t>May</w:t>
      </w:r>
      <w:r>
        <w:rPr>
          <w:rFonts w:ascii="Book Antiqua" w:hAnsi="Book Antiqua"/>
          <w:color w:val="231F20"/>
          <w:spacing w:val="-27"/>
          <w:sz w:val="28"/>
        </w:rPr>
        <w:t> </w:t>
      </w:r>
      <w:r>
        <w:rPr>
          <w:rFonts w:ascii="Book Antiqua" w:hAnsi="Book Antiqua"/>
          <w:color w:val="231F20"/>
          <w:sz w:val="28"/>
        </w:rPr>
        <w:t>2004,</w:t>
      </w:r>
      <w:r>
        <w:rPr>
          <w:rFonts w:ascii="Book Antiqua" w:hAnsi="Book Antiqua"/>
          <w:color w:val="231F20"/>
          <w:spacing w:val="-23"/>
          <w:sz w:val="28"/>
        </w:rPr>
        <w:t> </w:t>
      </w:r>
      <w:r>
        <w:rPr>
          <w:rFonts w:ascii="Book Antiqua" w:hAnsi="Book Antiqua"/>
          <w:color w:val="231F20"/>
          <w:spacing w:val="4"/>
          <w:sz w:val="28"/>
        </w:rPr>
        <w:t>to </w:t>
      </w:r>
      <w:r>
        <w:rPr>
          <w:rFonts w:ascii="Book Antiqua" w:hAnsi="Book Antiqua"/>
          <w:color w:val="231F20"/>
          <w:w w:val="95"/>
          <w:sz w:val="28"/>
        </w:rPr>
        <w:t>Philadelphia,</w:t>
      </w:r>
      <w:r>
        <w:rPr>
          <w:rFonts w:ascii="Book Antiqua" w:hAnsi="Book Antiqua"/>
          <w:color w:val="231F20"/>
          <w:spacing w:val="-21"/>
          <w:w w:val="95"/>
          <w:sz w:val="28"/>
        </w:rPr>
        <w:t> </w:t>
      </w:r>
      <w:r>
        <w:rPr>
          <w:rFonts w:ascii="Book Antiqua" w:hAnsi="Book Antiqua"/>
          <w:color w:val="231F20"/>
          <w:w w:val="95"/>
          <w:sz w:val="28"/>
        </w:rPr>
        <w:t>the</w:t>
      </w:r>
      <w:r>
        <w:rPr>
          <w:rFonts w:ascii="Book Antiqua" w:hAnsi="Book Antiqua"/>
          <w:color w:val="231F20"/>
          <w:spacing w:val="-13"/>
          <w:w w:val="95"/>
          <w:sz w:val="28"/>
        </w:rPr>
        <w:t> </w:t>
      </w:r>
      <w:r>
        <w:rPr>
          <w:rFonts w:ascii="Book Antiqua" w:hAnsi="Book Antiqua"/>
          <w:color w:val="231F20"/>
          <w:w w:val="95"/>
          <w:sz w:val="28"/>
        </w:rPr>
        <w:t>city</w:t>
      </w:r>
      <w:r>
        <w:rPr>
          <w:rFonts w:ascii="Book Antiqua" w:hAnsi="Book Antiqua"/>
          <w:color w:val="231F20"/>
          <w:spacing w:val="-23"/>
          <w:w w:val="95"/>
          <w:sz w:val="28"/>
        </w:rPr>
        <w:t> </w:t>
      </w:r>
      <w:r>
        <w:rPr>
          <w:rFonts w:ascii="Book Antiqua" w:hAnsi="Book Antiqua"/>
          <w:color w:val="231F20"/>
          <w:spacing w:val="3"/>
          <w:w w:val="95"/>
          <w:sz w:val="28"/>
        </w:rPr>
        <w:t>that</w:t>
      </w:r>
      <w:r>
        <w:rPr>
          <w:rFonts w:ascii="Book Antiqua" w:hAnsi="Book Antiqua"/>
          <w:color w:val="231F20"/>
          <w:spacing w:val="-17"/>
          <w:w w:val="95"/>
          <w:sz w:val="28"/>
        </w:rPr>
        <w:t> </w:t>
      </w:r>
      <w:r>
        <w:rPr>
          <w:rFonts w:ascii="Book Antiqua" w:hAnsi="Book Antiqua"/>
          <w:color w:val="231F20"/>
          <w:w w:val="95"/>
          <w:sz w:val="28"/>
        </w:rPr>
        <w:t>freedom</w:t>
      </w:r>
      <w:r>
        <w:rPr>
          <w:rFonts w:ascii="Book Antiqua" w:hAnsi="Book Antiqua"/>
          <w:color w:val="231F20"/>
          <w:spacing w:val="-20"/>
          <w:w w:val="95"/>
          <w:sz w:val="28"/>
        </w:rPr>
        <w:t> </w:t>
      </w:r>
      <w:r>
        <w:rPr>
          <w:rFonts w:ascii="Book Antiqua" w:hAnsi="Book Antiqua"/>
          <w:color w:val="231F20"/>
          <w:w w:val="95"/>
          <w:sz w:val="28"/>
        </w:rPr>
        <w:t>built.</w:t>
      </w:r>
      <w:r>
        <w:rPr>
          <w:rFonts w:ascii="Book Antiqua" w:hAnsi="Book Antiqua"/>
          <w:color w:val="231F20"/>
          <w:spacing w:val="-27"/>
          <w:w w:val="95"/>
          <w:sz w:val="28"/>
        </w:rPr>
        <w:t> </w:t>
      </w:r>
      <w:r>
        <w:rPr>
          <w:rFonts w:ascii="Book Antiqua" w:hAnsi="Book Antiqua"/>
          <w:color w:val="231F20"/>
          <w:w w:val="95"/>
          <w:sz w:val="28"/>
        </w:rPr>
        <w:t>As</w:t>
      </w:r>
      <w:r>
        <w:rPr>
          <w:rFonts w:ascii="Book Antiqua" w:hAnsi="Book Antiqua"/>
          <w:color w:val="231F20"/>
          <w:spacing w:val="-23"/>
          <w:w w:val="95"/>
          <w:sz w:val="28"/>
        </w:rPr>
        <w:t> </w:t>
      </w:r>
      <w:r>
        <w:rPr>
          <w:rFonts w:ascii="Book Antiqua" w:hAnsi="Book Antiqua"/>
          <w:color w:val="231F20"/>
          <w:spacing w:val="-6"/>
          <w:w w:val="95"/>
          <w:sz w:val="28"/>
        </w:rPr>
        <w:t>we</w:t>
      </w:r>
      <w:r>
        <w:rPr>
          <w:rFonts w:ascii="Book Antiqua" w:hAnsi="Book Antiqua"/>
          <w:color w:val="231F20"/>
          <w:spacing w:val="-18"/>
          <w:w w:val="95"/>
          <w:sz w:val="28"/>
        </w:rPr>
        <w:t> </w:t>
      </w:r>
      <w:r>
        <w:rPr>
          <w:rFonts w:ascii="Book Antiqua" w:hAnsi="Book Antiqua"/>
          <w:color w:val="231F20"/>
          <w:spacing w:val="-3"/>
          <w:w w:val="95"/>
          <w:sz w:val="28"/>
        </w:rPr>
        <w:t>look</w:t>
      </w:r>
      <w:r>
        <w:rPr>
          <w:rFonts w:ascii="Book Antiqua" w:hAnsi="Book Antiqua"/>
          <w:color w:val="231F20"/>
          <w:spacing w:val="-26"/>
          <w:w w:val="95"/>
          <w:sz w:val="28"/>
        </w:rPr>
        <w:t> </w:t>
      </w:r>
      <w:r>
        <w:rPr>
          <w:rFonts w:ascii="Book Antiqua" w:hAnsi="Book Antiqua"/>
          <w:color w:val="231F20"/>
          <w:w w:val="95"/>
          <w:sz w:val="28"/>
        </w:rPr>
        <w:t>back</w:t>
      </w:r>
      <w:r>
        <w:rPr>
          <w:rFonts w:ascii="Book Antiqua" w:hAnsi="Book Antiqua"/>
          <w:color w:val="231F20"/>
          <w:spacing w:val="-26"/>
          <w:w w:val="95"/>
          <w:sz w:val="28"/>
        </w:rPr>
        <w:t> </w:t>
      </w:r>
      <w:r>
        <w:rPr>
          <w:rFonts w:ascii="Book Antiqua" w:hAnsi="Book Antiqua"/>
          <w:color w:val="231F20"/>
          <w:w w:val="95"/>
          <w:sz w:val="28"/>
        </w:rPr>
        <w:t>on</w:t>
      </w:r>
      <w:r>
        <w:rPr>
          <w:rFonts w:ascii="Book Antiqua" w:hAnsi="Book Antiqua"/>
          <w:color w:val="231F20"/>
          <w:spacing w:val="-18"/>
          <w:w w:val="95"/>
          <w:sz w:val="28"/>
        </w:rPr>
        <w:t> </w:t>
      </w:r>
      <w:r>
        <w:rPr>
          <w:rFonts w:ascii="Book Antiqua" w:hAnsi="Book Antiqua"/>
          <w:color w:val="231F20"/>
          <w:spacing w:val="-3"/>
          <w:w w:val="95"/>
          <w:sz w:val="28"/>
        </w:rPr>
        <w:t>our</w:t>
      </w:r>
      <w:r>
        <w:rPr>
          <w:rFonts w:ascii="Book Antiqua" w:hAnsi="Book Antiqua"/>
          <w:color w:val="231F20"/>
          <w:spacing w:val="-30"/>
          <w:w w:val="95"/>
          <w:sz w:val="28"/>
        </w:rPr>
        <w:t> </w:t>
      </w:r>
      <w:r>
        <w:rPr>
          <w:rFonts w:ascii="Book Antiqua" w:hAnsi="Book Antiqua"/>
          <w:color w:val="231F20"/>
          <w:spacing w:val="-7"/>
          <w:w w:val="95"/>
          <w:sz w:val="28"/>
        </w:rPr>
        <w:t>31st</w:t>
      </w:r>
      <w:r>
        <w:rPr>
          <w:rFonts w:ascii="Book Antiqua" w:hAnsi="Book Antiqua"/>
          <w:color w:val="231F20"/>
          <w:spacing w:val="-25"/>
          <w:w w:val="95"/>
          <w:sz w:val="28"/>
        </w:rPr>
        <w:t> </w:t>
      </w:r>
      <w:r>
        <w:rPr>
          <w:rFonts w:ascii="Book Antiqua" w:hAnsi="Book Antiqua"/>
          <w:color w:val="231F20"/>
          <w:spacing w:val="-3"/>
          <w:w w:val="95"/>
          <w:sz w:val="28"/>
        </w:rPr>
        <w:t>consecutive</w:t>
      </w:r>
      <w:r>
        <w:rPr>
          <w:rFonts w:ascii="Book Antiqua" w:hAnsi="Book Antiqua"/>
          <w:color w:val="231F20"/>
          <w:spacing w:val="-18"/>
          <w:w w:val="95"/>
          <w:sz w:val="28"/>
        </w:rPr>
        <w:t> </w:t>
      </w:r>
      <w:r>
        <w:rPr>
          <w:rFonts w:ascii="Book Antiqua" w:hAnsi="Book Antiqua"/>
          <w:color w:val="231F20"/>
          <w:w w:val="95"/>
          <w:sz w:val="28"/>
        </w:rPr>
        <w:t>profitable </w:t>
      </w:r>
      <w:r>
        <w:rPr>
          <w:rFonts w:ascii="Book Antiqua" w:hAnsi="Book Antiqua"/>
          <w:color w:val="231F20"/>
          <w:sz w:val="28"/>
        </w:rPr>
        <w:t>year,</w:t>
      </w:r>
      <w:r>
        <w:rPr>
          <w:rFonts w:ascii="Book Antiqua" w:hAnsi="Book Antiqua"/>
          <w:color w:val="231F20"/>
          <w:spacing w:val="-32"/>
          <w:sz w:val="28"/>
        </w:rPr>
        <w:t> </w:t>
      </w:r>
      <w:r>
        <w:rPr>
          <w:rFonts w:ascii="Book Antiqua" w:hAnsi="Book Antiqua"/>
          <w:color w:val="231F20"/>
          <w:spacing w:val="-5"/>
          <w:sz w:val="28"/>
        </w:rPr>
        <w:t>we</w:t>
      </w:r>
      <w:r>
        <w:rPr>
          <w:rFonts w:ascii="Book Antiqua" w:hAnsi="Book Antiqua"/>
          <w:color w:val="231F20"/>
          <w:spacing w:val="-23"/>
          <w:sz w:val="28"/>
        </w:rPr>
        <w:t> </w:t>
      </w:r>
      <w:r>
        <w:rPr>
          <w:rFonts w:ascii="Book Antiqua" w:hAnsi="Book Antiqua"/>
          <w:color w:val="231F20"/>
          <w:spacing w:val="3"/>
          <w:sz w:val="28"/>
        </w:rPr>
        <w:t>are</w:t>
      </w:r>
      <w:r>
        <w:rPr>
          <w:rFonts w:ascii="Book Antiqua" w:hAnsi="Book Antiqua"/>
          <w:color w:val="231F20"/>
          <w:spacing w:val="-23"/>
          <w:sz w:val="28"/>
        </w:rPr>
        <w:t> </w:t>
      </w:r>
      <w:r>
        <w:rPr>
          <w:rFonts w:ascii="Book Antiqua" w:hAnsi="Book Antiqua"/>
          <w:color w:val="231F20"/>
          <w:spacing w:val="2"/>
          <w:sz w:val="28"/>
        </w:rPr>
        <w:t>once</w:t>
      </w:r>
      <w:r>
        <w:rPr>
          <w:rFonts w:ascii="Book Antiqua" w:hAnsi="Book Antiqua"/>
          <w:color w:val="231F20"/>
          <w:spacing w:val="-23"/>
          <w:sz w:val="28"/>
        </w:rPr>
        <w:t> </w:t>
      </w:r>
      <w:r>
        <w:rPr>
          <w:rFonts w:ascii="Book Antiqua" w:hAnsi="Book Antiqua"/>
          <w:color w:val="231F20"/>
          <w:spacing w:val="5"/>
          <w:sz w:val="28"/>
        </w:rPr>
        <w:t>again</w:t>
      </w:r>
      <w:r>
        <w:rPr>
          <w:rFonts w:ascii="Book Antiqua" w:hAnsi="Book Antiqua"/>
          <w:color w:val="231F20"/>
          <w:spacing w:val="-23"/>
          <w:sz w:val="28"/>
        </w:rPr>
        <w:t> </w:t>
      </w:r>
      <w:r>
        <w:rPr>
          <w:rFonts w:ascii="Book Antiqua" w:hAnsi="Book Antiqua"/>
          <w:color w:val="231F20"/>
          <w:spacing w:val="5"/>
          <w:sz w:val="28"/>
        </w:rPr>
        <w:t>proud</w:t>
      </w:r>
      <w:r>
        <w:rPr>
          <w:rFonts w:ascii="Book Antiqua" w:hAnsi="Book Antiqua"/>
          <w:color w:val="231F20"/>
          <w:spacing w:val="-23"/>
          <w:sz w:val="28"/>
        </w:rPr>
        <w:t> </w:t>
      </w:r>
      <w:r>
        <w:rPr>
          <w:rFonts w:ascii="Book Antiqua" w:hAnsi="Book Antiqua"/>
          <w:color w:val="231F20"/>
          <w:sz w:val="28"/>
        </w:rPr>
        <w:t>to</w:t>
      </w:r>
      <w:r>
        <w:rPr>
          <w:rFonts w:ascii="Book Antiqua" w:hAnsi="Book Antiqua"/>
          <w:color w:val="231F20"/>
          <w:spacing w:val="-23"/>
          <w:sz w:val="28"/>
        </w:rPr>
        <w:t> </w:t>
      </w:r>
      <w:r>
        <w:rPr>
          <w:rFonts w:ascii="Book Antiqua" w:hAnsi="Book Antiqua"/>
          <w:color w:val="231F20"/>
          <w:spacing w:val="-5"/>
          <w:sz w:val="28"/>
        </w:rPr>
        <w:t>say,</w:t>
      </w:r>
      <w:r>
        <w:rPr>
          <w:rFonts w:ascii="Book Antiqua" w:hAnsi="Book Antiqua"/>
          <w:color w:val="231F20"/>
          <w:spacing w:val="-37"/>
          <w:sz w:val="28"/>
        </w:rPr>
        <w:t> </w:t>
      </w:r>
      <w:r>
        <w:rPr>
          <w:rFonts w:ascii="Book Antiqua" w:hAnsi="Book Antiqua"/>
          <w:color w:val="231F20"/>
          <w:spacing w:val="-9"/>
          <w:sz w:val="28"/>
        </w:rPr>
        <w:t>“You</w:t>
      </w:r>
      <w:r>
        <w:rPr>
          <w:rFonts w:ascii="Book Antiqua" w:hAnsi="Book Antiqua"/>
          <w:color w:val="231F20"/>
          <w:spacing w:val="-23"/>
          <w:sz w:val="28"/>
        </w:rPr>
        <w:t> </w:t>
      </w:r>
      <w:r>
        <w:rPr>
          <w:rFonts w:ascii="Book Antiqua" w:hAnsi="Book Antiqua"/>
          <w:color w:val="231F20"/>
          <w:spacing w:val="2"/>
          <w:sz w:val="28"/>
        </w:rPr>
        <w:t>are</w:t>
      </w:r>
      <w:r>
        <w:rPr>
          <w:rFonts w:ascii="Book Antiqua" w:hAnsi="Book Antiqua"/>
          <w:color w:val="231F20"/>
          <w:spacing w:val="-23"/>
          <w:sz w:val="28"/>
        </w:rPr>
        <w:t> </w:t>
      </w:r>
      <w:r>
        <w:rPr>
          <w:rFonts w:ascii="Book Antiqua" w:hAnsi="Book Antiqua"/>
          <w:color w:val="231F20"/>
          <w:sz w:val="28"/>
        </w:rPr>
        <w:t>now</w:t>
      </w:r>
      <w:r>
        <w:rPr>
          <w:rFonts w:ascii="Book Antiqua" w:hAnsi="Book Antiqua"/>
          <w:color w:val="231F20"/>
          <w:spacing w:val="-31"/>
          <w:sz w:val="28"/>
        </w:rPr>
        <w:t> </w:t>
      </w:r>
      <w:r>
        <w:rPr>
          <w:rFonts w:ascii="Book Antiqua" w:hAnsi="Book Antiqua"/>
          <w:color w:val="231F20"/>
          <w:spacing w:val="5"/>
          <w:sz w:val="28"/>
        </w:rPr>
        <w:t>free</w:t>
      </w:r>
      <w:r>
        <w:rPr>
          <w:rFonts w:ascii="Book Antiqua" w:hAnsi="Book Antiqua"/>
          <w:color w:val="231F20"/>
          <w:spacing w:val="-23"/>
          <w:sz w:val="28"/>
        </w:rPr>
        <w:t> </w:t>
      </w:r>
      <w:r>
        <w:rPr>
          <w:rFonts w:ascii="Book Antiqua" w:hAnsi="Book Antiqua"/>
          <w:color w:val="231F20"/>
          <w:sz w:val="28"/>
        </w:rPr>
        <w:t>to</w:t>
      </w:r>
      <w:r>
        <w:rPr>
          <w:rFonts w:ascii="Book Antiqua" w:hAnsi="Book Antiqua"/>
          <w:color w:val="231F20"/>
          <w:spacing w:val="-23"/>
          <w:sz w:val="28"/>
        </w:rPr>
        <w:t> </w:t>
      </w:r>
      <w:r>
        <w:rPr>
          <w:rFonts w:ascii="Book Antiqua" w:hAnsi="Book Antiqua"/>
          <w:color w:val="231F20"/>
          <w:spacing w:val="-3"/>
          <w:sz w:val="28"/>
        </w:rPr>
        <w:t>move</w:t>
      </w:r>
      <w:r>
        <w:rPr>
          <w:rFonts w:ascii="Book Antiqua" w:hAnsi="Book Antiqua"/>
          <w:color w:val="231F20"/>
          <w:spacing w:val="-23"/>
          <w:sz w:val="28"/>
        </w:rPr>
        <w:t> </w:t>
      </w:r>
      <w:r>
        <w:rPr>
          <w:rFonts w:ascii="Book Antiqua" w:hAnsi="Book Antiqua"/>
          <w:color w:val="231F20"/>
          <w:spacing w:val="4"/>
          <w:sz w:val="28"/>
        </w:rPr>
        <w:t>about</w:t>
      </w:r>
      <w:r>
        <w:rPr>
          <w:rFonts w:ascii="Book Antiqua" w:hAnsi="Book Antiqua"/>
          <w:color w:val="231F20"/>
          <w:spacing w:val="-28"/>
          <w:sz w:val="28"/>
        </w:rPr>
        <w:t> </w:t>
      </w:r>
      <w:r>
        <w:rPr>
          <w:rFonts w:ascii="Book Antiqua" w:hAnsi="Book Antiqua"/>
          <w:color w:val="231F20"/>
          <w:spacing w:val="2"/>
          <w:sz w:val="28"/>
        </w:rPr>
        <w:t>the</w:t>
      </w:r>
      <w:r>
        <w:rPr>
          <w:rFonts w:ascii="Book Antiqua" w:hAnsi="Book Antiqua"/>
          <w:color w:val="231F20"/>
          <w:spacing w:val="-23"/>
          <w:sz w:val="28"/>
        </w:rPr>
        <w:t> </w:t>
      </w:r>
      <w:r>
        <w:rPr>
          <w:rFonts w:ascii="Book Antiqua" w:hAnsi="Book Antiqua"/>
          <w:color w:val="231F20"/>
          <w:sz w:val="28"/>
        </w:rPr>
        <w:t>country.™”</w:t>
      </w:r>
    </w:p>
    <w:p>
      <w:pPr>
        <w:spacing w:after="0" w:line="441" w:lineRule="auto"/>
        <w:jc w:val="both"/>
        <w:rPr>
          <w:rFonts w:ascii="Book Antiqua" w:hAnsi="Book Antiqua"/>
          <w:sz w:val="28"/>
        </w:rPr>
        <w:sectPr>
          <w:pgSz w:w="12240" w:h="15840"/>
          <w:pgMar w:top="1500" w:bottom="280" w:left="780" w:right="780"/>
        </w:sectPr>
      </w:pPr>
    </w:p>
    <w:p>
      <w:pPr>
        <w:tabs>
          <w:tab w:pos="492" w:val="left" w:leader="none"/>
        </w:tabs>
        <w:spacing w:before="77"/>
        <w:ind w:left="117" w:right="0" w:firstLine="0"/>
        <w:jc w:val="left"/>
        <w:rPr>
          <w:rFonts w:ascii="Arial"/>
          <w:sz w:val="12"/>
        </w:rPr>
      </w:pPr>
      <w:r>
        <w:rPr/>
        <w:pict>
          <v:line style="position:absolute;mso-position-horizontal-relative:page;mso-position-vertical-relative:paragraph;z-index:-236368" from="36.605202pt,1.004097pt" to="36.605202pt,19.004097pt" stroked="true" strokeweight=".5pt" strokecolor="#231f20">
            <v:stroke dashstyle="solid"/>
            <w10:wrap type="none"/>
          </v:line>
        </w:pict>
      </w:r>
      <w:r>
        <w:rPr/>
        <w:drawing>
          <wp:anchor distT="0" distB="0" distL="0" distR="0" allowOverlap="1" layoutInCell="1" locked="0" behindDoc="0" simplePos="0" relativeHeight="2056">
            <wp:simplePos x="0" y="0"/>
            <wp:positionH relativeFrom="page">
              <wp:posOffset>2161648</wp:posOffset>
            </wp:positionH>
            <wp:positionV relativeFrom="paragraph">
              <wp:posOffset>28620</wp:posOffset>
            </wp:positionV>
            <wp:extent cx="370521" cy="153417"/>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70521" cy="153417"/>
                    </a:xfrm>
                    <a:prstGeom prst="rect">
                      <a:avLst/>
                    </a:prstGeom>
                  </pic:spPr>
                </pic:pic>
              </a:graphicData>
            </a:graphic>
          </wp:anchor>
        </w:drawing>
      </w:r>
      <w:bookmarkStart w:name="Letter to Shareholders" w:id="2"/>
      <w:bookmarkEnd w:id="2"/>
      <w:r>
        <w:rPr/>
      </w:r>
      <w:r>
        <w:rPr>
          <w:rFonts w:ascii="Arial"/>
          <w:color w:val="231F20"/>
          <w:w w:val="95"/>
          <w:sz w:val="14"/>
        </w:rPr>
        <w:t>2</w:t>
        <w:tab/>
      </w:r>
      <w:r>
        <w:rPr>
          <w:rFonts w:ascii="Arial"/>
          <w:color w:val="231F20"/>
          <w:spacing w:val="9"/>
          <w:w w:val="90"/>
          <w:position w:val="1"/>
          <w:sz w:val="12"/>
        </w:rPr>
        <w:t>Southwest</w:t>
      </w:r>
      <w:r>
        <w:rPr>
          <w:rFonts w:ascii="Arial"/>
          <w:color w:val="231F20"/>
          <w:spacing w:val="-9"/>
          <w:w w:val="90"/>
          <w:position w:val="1"/>
          <w:sz w:val="12"/>
        </w:rPr>
        <w:t> </w:t>
      </w:r>
      <w:r>
        <w:rPr>
          <w:rFonts w:ascii="Arial"/>
          <w:color w:val="231F20"/>
          <w:spacing w:val="9"/>
          <w:w w:val="90"/>
          <w:position w:val="1"/>
          <w:sz w:val="12"/>
        </w:rPr>
        <w:t>Airlines</w:t>
      </w:r>
      <w:r>
        <w:rPr>
          <w:rFonts w:ascii="Arial"/>
          <w:color w:val="231F20"/>
          <w:spacing w:val="-7"/>
          <w:w w:val="90"/>
          <w:position w:val="1"/>
          <w:sz w:val="12"/>
        </w:rPr>
        <w:t> </w:t>
      </w:r>
      <w:r>
        <w:rPr>
          <w:rFonts w:ascii="Arial"/>
          <w:color w:val="231F20"/>
          <w:spacing w:val="7"/>
          <w:w w:val="90"/>
          <w:position w:val="1"/>
          <w:sz w:val="12"/>
        </w:rPr>
        <w:t>Co.</w:t>
      </w:r>
      <w:r>
        <w:rPr>
          <w:rFonts w:ascii="Arial"/>
          <w:color w:val="231F20"/>
          <w:spacing w:val="-9"/>
          <w:w w:val="90"/>
          <w:position w:val="1"/>
          <w:sz w:val="12"/>
        </w:rPr>
        <w:t> </w:t>
      </w:r>
      <w:r>
        <w:rPr>
          <w:rFonts w:ascii="Arial"/>
          <w:color w:val="231F20"/>
          <w:spacing w:val="8"/>
          <w:w w:val="90"/>
          <w:position w:val="1"/>
          <w:sz w:val="12"/>
        </w:rPr>
        <w:t>2003</w:t>
      </w:r>
      <w:r>
        <w:rPr>
          <w:rFonts w:ascii="Arial"/>
          <w:color w:val="231F20"/>
          <w:spacing w:val="-9"/>
          <w:w w:val="90"/>
          <w:position w:val="1"/>
          <w:sz w:val="12"/>
        </w:rPr>
        <w:t> </w:t>
      </w:r>
      <w:r>
        <w:rPr>
          <w:rFonts w:ascii="Arial"/>
          <w:color w:val="231F20"/>
          <w:spacing w:val="9"/>
          <w:w w:val="90"/>
          <w:position w:val="1"/>
          <w:sz w:val="12"/>
        </w:rPr>
        <w:t>Annual</w:t>
      </w:r>
      <w:r>
        <w:rPr>
          <w:rFonts w:ascii="Arial"/>
          <w:color w:val="231F20"/>
          <w:spacing w:val="-7"/>
          <w:w w:val="90"/>
          <w:position w:val="1"/>
          <w:sz w:val="12"/>
        </w:rPr>
        <w:t> </w:t>
      </w:r>
      <w:r>
        <w:rPr>
          <w:rFonts w:ascii="Arial"/>
          <w:color w:val="231F20"/>
          <w:spacing w:val="9"/>
          <w:w w:val="90"/>
          <w:position w:val="1"/>
          <w:sz w:val="12"/>
        </w:rPr>
        <w:t>Report</w:t>
      </w:r>
      <w:r>
        <w:rPr>
          <w:rFonts w:ascii="Arial"/>
          <w:color w:val="231F20"/>
          <w:spacing w:val="-22"/>
          <w:position w:val="1"/>
          <w:sz w:val="12"/>
        </w:rPr>
        <w:t> </w:t>
      </w:r>
    </w:p>
    <w:p>
      <w:pPr>
        <w:pStyle w:val="BodyText"/>
        <w:rPr>
          <w:rFonts w:ascii="Arial"/>
          <w:sz w:val="20"/>
        </w:rPr>
      </w:pPr>
    </w:p>
    <w:p>
      <w:pPr>
        <w:pStyle w:val="BodyText"/>
        <w:rPr>
          <w:rFonts w:ascii="Arial"/>
          <w:sz w:val="20"/>
        </w:rPr>
      </w:pPr>
    </w:p>
    <w:p>
      <w:pPr>
        <w:pStyle w:val="BodyText"/>
        <w:rPr>
          <w:rFonts w:ascii="Arial"/>
        </w:rPr>
      </w:pPr>
    </w:p>
    <w:p>
      <w:pPr>
        <w:spacing w:after="0"/>
        <w:rPr>
          <w:rFonts w:ascii="Arial"/>
        </w:rPr>
        <w:sectPr>
          <w:pgSz w:w="12240" w:h="15840"/>
          <w:pgMar w:top="280" w:bottom="280" w:left="420" w:right="780"/>
        </w:sectPr>
      </w:pPr>
    </w:p>
    <w:p>
      <w:pPr>
        <w:spacing w:before="94"/>
        <w:ind w:left="480" w:right="0" w:firstLine="0"/>
        <w:jc w:val="left"/>
        <w:rPr>
          <w:rFonts w:ascii="Book Antiqua"/>
          <w:sz w:val="16"/>
        </w:rPr>
      </w:pPr>
      <w:r>
        <w:rPr>
          <w:rFonts w:ascii="Book Antiqua"/>
          <w:color w:val="231F20"/>
          <w:sz w:val="16"/>
        </w:rPr>
        <w:t>To  Our Shareholders:</w:t>
      </w:r>
    </w:p>
    <w:p>
      <w:pPr>
        <w:pStyle w:val="BodyText"/>
        <w:spacing w:before="8"/>
        <w:rPr>
          <w:rFonts w:ascii="Book Antiqua"/>
          <w:sz w:val="17"/>
        </w:rPr>
      </w:pPr>
    </w:p>
    <w:p>
      <w:pPr>
        <w:spacing w:line="321" w:lineRule="auto" w:before="0"/>
        <w:ind w:left="480" w:right="0" w:firstLine="360"/>
        <w:jc w:val="left"/>
        <w:rPr>
          <w:rFonts w:ascii="Book Antiqua" w:hAnsi="Book Antiqua"/>
          <w:sz w:val="17"/>
        </w:rPr>
      </w:pPr>
      <w:r>
        <w:rPr>
          <w:rFonts w:ascii="Book Antiqua" w:hAnsi="Book Antiqua"/>
          <w:color w:val="231F20"/>
          <w:sz w:val="17"/>
        </w:rPr>
        <w:t>Just as promised in our 2002 Annual Report, in the year 2003 </w:t>
      </w:r>
      <w:r>
        <w:rPr>
          <w:rFonts w:ascii="Book Antiqua" w:hAnsi="Book Antiqua"/>
          <w:color w:val="231F20"/>
          <w:w w:val="95"/>
          <w:sz w:val="17"/>
        </w:rPr>
        <w:t>Southwest Airlines kept “MOVING AHEAD.”</w:t>
      </w:r>
    </w:p>
    <w:p>
      <w:pPr>
        <w:spacing w:before="0"/>
        <w:ind w:left="840" w:right="0" w:firstLine="0"/>
        <w:jc w:val="left"/>
        <w:rPr>
          <w:rFonts w:ascii="Book Antiqua"/>
          <w:sz w:val="17"/>
        </w:rPr>
      </w:pPr>
      <w:r>
        <w:rPr>
          <w:rFonts w:ascii="Book Antiqua"/>
          <w:color w:val="231F20"/>
          <w:sz w:val="17"/>
        </w:rPr>
        <w:t>While the airline industry, as a whole, reported more than</w:t>
      </w:r>
    </w:p>
    <w:p>
      <w:pPr>
        <w:spacing w:before="72"/>
        <w:ind w:left="480" w:right="0" w:firstLine="0"/>
        <w:jc w:val="left"/>
        <w:rPr>
          <w:rFonts w:ascii="Book Antiqua"/>
          <w:sz w:val="17"/>
        </w:rPr>
      </w:pPr>
      <w:r>
        <w:rPr>
          <w:rFonts w:ascii="Book Antiqua"/>
          <w:color w:val="231F20"/>
          <w:sz w:val="17"/>
        </w:rPr>
        <w:t>$5 billion (excluding special items) in 2003 losses:</w:t>
      </w:r>
    </w:p>
    <w:p>
      <w:pPr>
        <w:pStyle w:val="BodyText"/>
        <w:spacing w:before="5"/>
        <w:rPr>
          <w:rFonts w:ascii="Book Antiqua"/>
          <w:sz w:val="17"/>
        </w:rPr>
      </w:pPr>
    </w:p>
    <w:p>
      <w:pPr>
        <w:pStyle w:val="ListParagraph"/>
        <w:numPr>
          <w:ilvl w:val="0"/>
          <w:numId w:val="1"/>
        </w:numPr>
        <w:tabs>
          <w:tab w:pos="661" w:val="left" w:leader="none"/>
        </w:tabs>
        <w:spacing w:line="321" w:lineRule="auto" w:before="0" w:after="0"/>
        <w:ind w:left="660" w:right="0" w:hanging="180"/>
        <w:jc w:val="both"/>
        <w:rPr>
          <w:rFonts w:ascii="Book Antiqua"/>
          <w:sz w:val="17"/>
        </w:rPr>
      </w:pPr>
      <w:r>
        <w:rPr>
          <w:rFonts w:ascii="Book Antiqua"/>
          <w:color w:val="231F20"/>
          <w:sz w:val="17"/>
        </w:rPr>
        <w:t>Southwest</w:t>
      </w:r>
      <w:r>
        <w:rPr>
          <w:rFonts w:ascii="Book Antiqua"/>
          <w:color w:val="231F20"/>
          <w:spacing w:val="-6"/>
          <w:sz w:val="17"/>
        </w:rPr>
        <w:t> </w:t>
      </w:r>
      <w:r>
        <w:rPr>
          <w:rFonts w:ascii="Book Antiqua"/>
          <w:color w:val="231F20"/>
          <w:spacing w:val="2"/>
          <w:sz w:val="17"/>
        </w:rPr>
        <w:t>produced</w:t>
      </w:r>
      <w:r>
        <w:rPr>
          <w:rFonts w:ascii="Book Antiqua"/>
          <w:color w:val="231F20"/>
          <w:spacing w:val="-3"/>
          <w:sz w:val="17"/>
        </w:rPr>
        <w:t> </w:t>
      </w:r>
      <w:r>
        <w:rPr>
          <w:rFonts w:ascii="Book Antiqua"/>
          <w:color w:val="231F20"/>
          <w:sz w:val="17"/>
        </w:rPr>
        <w:t>its</w:t>
      </w:r>
      <w:r>
        <w:rPr>
          <w:rFonts w:ascii="Book Antiqua"/>
          <w:color w:val="231F20"/>
          <w:spacing w:val="-3"/>
          <w:sz w:val="17"/>
        </w:rPr>
        <w:t> </w:t>
      </w:r>
      <w:r>
        <w:rPr>
          <w:rFonts w:ascii="Book Antiqua"/>
          <w:color w:val="231F20"/>
          <w:sz w:val="17"/>
        </w:rPr>
        <w:t>31st</w:t>
      </w:r>
      <w:r>
        <w:rPr>
          <w:rFonts w:ascii="Book Antiqua"/>
          <w:color w:val="231F20"/>
          <w:spacing w:val="-6"/>
          <w:sz w:val="17"/>
        </w:rPr>
        <w:t> </w:t>
      </w:r>
      <w:r>
        <w:rPr>
          <w:rFonts w:ascii="Book Antiqua"/>
          <w:color w:val="231F20"/>
          <w:spacing w:val="2"/>
          <w:sz w:val="17"/>
        </w:rPr>
        <w:t>consecutive</w:t>
      </w:r>
      <w:r>
        <w:rPr>
          <w:rFonts w:ascii="Book Antiqua"/>
          <w:color w:val="231F20"/>
          <w:spacing w:val="-7"/>
          <w:sz w:val="17"/>
        </w:rPr>
        <w:t> </w:t>
      </w:r>
      <w:r>
        <w:rPr>
          <w:rFonts w:ascii="Book Antiqua"/>
          <w:color w:val="231F20"/>
          <w:sz w:val="17"/>
        </w:rPr>
        <w:t>year</w:t>
      </w:r>
      <w:r>
        <w:rPr>
          <w:rFonts w:ascii="Book Antiqua"/>
          <w:color w:val="231F20"/>
          <w:spacing w:val="-8"/>
          <w:sz w:val="17"/>
        </w:rPr>
        <w:t> </w:t>
      </w:r>
      <w:r>
        <w:rPr>
          <w:rFonts w:ascii="Book Antiqua"/>
          <w:color w:val="231F20"/>
          <w:sz w:val="17"/>
        </w:rPr>
        <w:t>of</w:t>
      </w:r>
      <w:r>
        <w:rPr>
          <w:rFonts w:ascii="Book Antiqua"/>
          <w:color w:val="231F20"/>
          <w:spacing w:val="-3"/>
          <w:sz w:val="17"/>
        </w:rPr>
        <w:t> </w:t>
      </w:r>
      <w:r>
        <w:rPr>
          <w:rFonts w:ascii="Book Antiqua"/>
          <w:color w:val="231F20"/>
          <w:spacing w:val="2"/>
          <w:sz w:val="17"/>
        </w:rPr>
        <w:t>profitability,</w:t>
      </w:r>
      <w:r>
        <w:rPr>
          <w:rFonts w:ascii="Book Antiqua"/>
          <w:color w:val="231F20"/>
          <w:spacing w:val="-6"/>
          <w:sz w:val="17"/>
        </w:rPr>
        <w:t> </w:t>
      </w:r>
      <w:r>
        <w:rPr>
          <w:rFonts w:ascii="Book Antiqua"/>
          <w:color w:val="231F20"/>
          <w:spacing w:val="3"/>
          <w:sz w:val="17"/>
        </w:rPr>
        <w:t>an </w:t>
      </w:r>
      <w:r>
        <w:rPr>
          <w:rFonts w:ascii="Book Antiqua"/>
          <w:color w:val="231F20"/>
          <w:spacing w:val="2"/>
          <w:sz w:val="17"/>
        </w:rPr>
        <w:t>airline</w:t>
      </w:r>
      <w:r>
        <w:rPr>
          <w:rFonts w:ascii="Book Antiqua"/>
          <w:color w:val="231F20"/>
          <w:spacing w:val="-13"/>
          <w:sz w:val="17"/>
        </w:rPr>
        <w:t> </w:t>
      </w:r>
      <w:r>
        <w:rPr>
          <w:rFonts w:ascii="Book Antiqua"/>
          <w:color w:val="231F20"/>
          <w:spacing w:val="6"/>
          <w:sz w:val="17"/>
        </w:rPr>
        <w:t>industry</w:t>
      </w:r>
      <w:r>
        <w:rPr>
          <w:rFonts w:ascii="Book Antiqua"/>
          <w:color w:val="231F20"/>
          <w:spacing w:val="-14"/>
          <w:sz w:val="17"/>
        </w:rPr>
        <w:t> </w:t>
      </w:r>
      <w:r>
        <w:rPr>
          <w:rFonts w:ascii="Book Antiqua"/>
          <w:color w:val="231F20"/>
          <w:spacing w:val="5"/>
          <w:sz w:val="17"/>
        </w:rPr>
        <w:t>record</w:t>
      </w:r>
      <w:r>
        <w:rPr>
          <w:rFonts w:ascii="Book Antiqua"/>
          <w:color w:val="231F20"/>
          <w:spacing w:val="-10"/>
          <w:sz w:val="17"/>
        </w:rPr>
        <w:t> </w:t>
      </w:r>
      <w:r>
        <w:rPr>
          <w:rFonts w:ascii="Book Antiqua"/>
          <w:color w:val="231F20"/>
          <w:spacing w:val="5"/>
          <w:sz w:val="17"/>
        </w:rPr>
        <w:t>that</w:t>
      </w:r>
      <w:r>
        <w:rPr>
          <w:rFonts w:ascii="Book Antiqua"/>
          <w:color w:val="231F20"/>
          <w:spacing w:val="-13"/>
          <w:sz w:val="17"/>
        </w:rPr>
        <w:t> </w:t>
      </w:r>
      <w:r>
        <w:rPr>
          <w:rFonts w:ascii="Book Antiqua"/>
          <w:color w:val="231F20"/>
          <w:spacing w:val="4"/>
          <w:sz w:val="17"/>
        </w:rPr>
        <w:t>has</w:t>
      </w:r>
      <w:r>
        <w:rPr>
          <w:rFonts w:ascii="Book Antiqua"/>
          <w:color w:val="231F20"/>
          <w:spacing w:val="-10"/>
          <w:sz w:val="17"/>
        </w:rPr>
        <w:t> </w:t>
      </w:r>
      <w:r>
        <w:rPr>
          <w:rFonts w:ascii="Book Antiqua"/>
          <w:color w:val="231F20"/>
          <w:spacing w:val="5"/>
          <w:sz w:val="17"/>
        </w:rPr>
        <w:t>also</w:t>
      </w:r>
      <w:r>
        <w:rPr>
          <w:rFonts w:ascii="Book Antiqua"/>
          <w:color w:val="231F20"/>
          <w:spacing w:val="-10"/>
          <w:sz w:val="17"/>
        </w:rPr>
        <w:t> </w:t>
      </w:r>
      <w:r>
        <w:rPr>
          <w:rFonts w:ascii="Book Antiqua"/>
          <w:color w:val="231F20"/>
          <w:spacing w:val="6"/>
          <w:sz w:val="17"/>
        </w:rPr>
        <w:t>generated</w:t>
      </w:r>
      <w:r>
        <w:rPr>
          <w:rFonts w:ascii="Book Antiqua"/>
          <w:color w:val="231F20"/>
          <w:spacing w:val="-10"/>
          <w:sz w:val="17"/>
        </w:rPr>
        <w:t> </w:t>
      </w:r>
      <w:r>
        <w:rPr>
          <w:rFonts w:ascii="Book Antiqua"/>
          <w:color w:val="231F20"/>
          <w:spacing w:val="7"/>
          <w:sz w:val="17"/>
        </w:rPr>
        <w:t>unprecedented </w:t>
      </w:r>
      <w:r>
        <w:rPr>
          <w:rFonts w:ascii="Book Antiqua"/>
          <w:color w:val="231F20"/>
          <w:spacing w:val="5"/>
          <w:w w:val="95"/>
          <w:sz w:val="17"/>
        </w:rPr>
        <w:t>airline</w:t>
      </w:r>
      <w:r>
        <w:rPr>
          <w:rFonts w:ascii="Book Antiqua"/>
          <w:color w:val="231F20"/>
          <w:spacing w:val="-3"/>
          <w:w w:val="95"/>
          <w:sz w:val="17"/>
        </w:rPr>
        <w:t> </w:t>
      </w:r>
      <w:r>
        <w:rPr>
          <w:rFonts w:ascii="Book Antiqua"/>
          <w:color w:val="231F20"/>
          <w:spacing w:val="4"/>
          <w:w w:val="95"/>
          <w:sz w:val="17"/>
        </w:rPr>
        <w:t>industry</w:t>
      </w:r>
      <w:r>
        <w:rPr>
          <w:rFonts w:ascii="Book Antiqua"/>
          <w:color w:val="231F20"/>
          <w:spacing w:val="-11"/>
          <w:w w:val="95"/>
          <w:sz w:val="17"/>
        </w:rPr>
        <w:t> </w:t>
      </w:r>
      <w:r>
        <w:rPr>
          <w:rFonts w:ascii="Book Antiqua"/>
          <w:color w:val="231F20"/>
          <w:spacing w:val="3"/>
          <w:w w:val="95"/>
          <w:sz w:val="17"/>
        </w:rPr>
        <w:t>job</w:t>
      </w:r>
      <w:r>
        <w:rPr>
          <w:rFonts w:ascii="Book Antiqua"/>
          <w:color w:val="231F20"/>
          <w:spacing w:val="-4"/>
          <w:w w:val="95"/>
          <w:sz w:val="17"/>
        </w:rPr>
        <w:t> </w:t>
      </w:r>
      <w:r>
        <w:rPr>
          <w:rFonts w:ascii="Book Antiqua"/>
          <w:color w:val="231F20"/>
          <w:spacing w:val="4"/>
          <w:w w:val="95"/>
          <w:sz w:val="17"/>
        </w:rPr>
        <w:t>security</w:t>
      </w:r>
      <w:r>
        <w:rPr>
          <w:rFonts w:ascii="Book Antiqua"/>
          <w:color w:val="231F20"/>
          <w:spacing w:val="-11"/>
          <w:w w:val="95"/>
          <w:sz w:val="17"/>
        </w:rPr>
        <w:t> </w:t>
      </w:r>
      <w:r>
        <w:rPr>
          <w:rFonts w:ascii="Book Antiqua"/>
          <w:color w:val="231F20"/>
          <w:spacing w:val="3"/>
          <w:w w:val="95"/>
          <w:sz w:val="17"/>
        </w:rPr>
        <w:t>and</w:t>
      </w:r>
      <w:r>
        <w:rPr>
          <w:rFonts w:ascii="Book Antiqua"/>
          <w:color w:val="231F20"/>
          <w:spacing w:val="-4"/>
          <w:w w:val="95"/>
          <w:sz w:val="17"/>
        </w:rPr>
        <w:t> </w:t>
      </w:r>
      <w:r>
        <w:rPr>
          <w:rFonts w:ascii="Book Antiqua"/>
          <w:color w:val="231F20"/>
          <w:spacing w:val="4"/>
          <w:w w:val="95"/>
          <w:sz w:val="17"/>
        </w:rPr>
        <w:t>exceptional</w:t>
      </w:r>
      <w:r>
        <w:rPr>
          <w:rFonts w:ascii="Book Antiqua"/>
          <w:color w:val="231F20"/>
          <w:spacing w:val="-4"/>
          <w:w w:val="95"/>
          <w:sz w:val="17"/>
        </w:rPr>
        <w:t> </w:t>
      </w:r>
      <w:r>
        <w:rPr>
          <w:rFonts w:ascii="Book Antiqua"/>
          <w:color w:val="231F20"/>
          <w:spacing w:val="5"/>
          <w:w w:val="95"/>
          <w:sz w:val="17"/>
        </w:rPr>
        <w:t>Profitsharing</w:t>
      </w:r>
      <w:r>
        <w:rPr>
          <w:rFonts w:ascii="Book Antiqua"/>
          <w:color w:val="231F20"/>
          <w:spacing w:val="-4"/>
          <w:w w:val="95"/>
          <w:sz w:val="17"/>
        </w:rPr>
        <w:t> </w:t>
      </w:r>
      <w:r>
        <w:rPr>
          <w:rFonts w:ascii="Book Antiqua"/>
          <w:color w:val="231F20"/>
          <w:spacing w:val="3"/>
          <w:w w:val="95"/>
          <w:sz w:val="17"/>
        </w:rPr>
        <w:t>for</w:t>
      </w:r>
      <w:r>
        <w:rPr>
          <w:rFonts w:ascii="Book Antiqua"/>
          <w:color w:val="231F20"/>
          <w:spacing w:val="-11"/>
          <w:w w:val="95"/>
          <w:sz w:val="17"/>
        </w:rPr>
        <w:t> </w:t>
      </w:r>
      <w:r>
        <w:rPr>
          <w:rFonts w:ascii="Book Antiqua"/>
          <w:color w:val="231F20"/>
          <w:spacing w:val="5"/>
          <w:w w:val="95"/>
          <w:sz w:val="17"/>
        </w:rPr>
        <w:t>our </w:t>
      </w:r>
      <w:r>
        <w:rPr>
          <w:rFonts w:ascii="Book Antiqua"/>
          <w:color w:val="231F20"/>
          <w:spacing w:val="4"/>
          <w:w w:val="95"/>
          <w:sz w:val="17"/>
        </w:rPr>
        <w:t>marvelous </w:t>
      </w:r>
      <w:r>
        <w:rPr>
          <w:rFonts w:ascii="Book Antiqua"/>
          <w:color w:val="231F20"/>
          <w:spacing w:val="3"/>
          <w:w w:val="95"/>
          <w:sz w:val="17"/>
        </w:rPr>
        <w:t>Employees, </w:t>
      </w:r>
      <w:r>
        <w:rPr>
          <w:rFonts w:ascii="Book Antiqua"/>
          <w:color w:val="231F20"/>
          <w:spacing w:val="2"/>
          <w:w w:val="95"/>
          <w:sz w:val="17"/>
        </w:rPr>
        <w:t>as well as </w:t>
      </w:r>
      <w:r>
        <w:rPr>
          <w:rFonts w:ascii="Book Antiqua"/>
          <w:color w:val="231F20"/>
          <w:spacing w:val="4"/>
          <w:w w:val="95"/>
          <w:sz w:val="17"/>
        </w:rPr>
        <w:t>exceptional </w:t>
      </w:r>
      <w:r>
        <w:rPr>
          <w:rFonts w:ascii="Book Antiqua"/>
          <w:color w:val="231F20"/>
          <w:spacing w:val="3"/>
          <w:w w:val="95"/>
          <w:sz w:val="17"/>
        </w:rPr>
        <w:t>investment </w:t>
      </w:r>
      <w:r>
        <w:rPr>
          <w:rFonts w:ascii="Book Antiqua"/>
          <w:color w:val="231F20"/>
          <w:spacing w:val="5"/>
          <w:w w:val="95"/>
          <w:sz w:val="17"/>
        </w:rPr>
        <w:t>returns </w:t>
      </w:r>
      <w:r>
        <w:rPr>
          <w:rFonts w:ascii="Book Antiqua"/>
          <w:color w:val="231F20"/>
          <w:spacing w:val="3"/>
          <w:w w:val="95"/>
          <w:sz w:val="17"/>
        </w:rPr>
        <w:t>for our </w:t>
      </w:r>
      <w:r>
        <w:rPr>
          <w:rFonts w:ascii="Book Antiqua"/>
          <w:color w:val="231F20"/>
          <w:spacing w:val="4"/>
          <w:w w:val="95"/>
          <w:sz w:val="17"/>
        </w:rPr>
        <w:t>Shareholders, including</w:t>
      </w:r>
      <w:r>
        <w:rPr>
          <w:rFonts w:ascii="Book Antiqua"/>
          <w:color w:val="231F20"/>
          <w:spacing w:val="-6"/>
          <w:w w:val="95"/>
          <w:sz w:val="17"/>
        </w:rPr>
        <w:t> </w:t>
      </w:r>
      <w:r>
        <w:rPr>
          <w:rFonts w:ascii="Book Antiqua"/>
          <w:color w:val="231F20"/>
          <w:spacing w:val="4"/>
          <w:w w:val="95"/>
          <w:sz w:val="17"/>
        </w:rPr>
        <w:t>Employee-Shareholders.</w:t>
      </w:r>
    </w:p>
    <w:p>
      <w:pPr>
        <w:pStyle w:val="ListParagraph"/>
        <w:numPr>
          <w:ilvl w:val="0"/>
          <w:numId w:val="1"/>
        </w:numPr>
        <w:tabs>
          <w:tab w:pos="665" w:val="left" w:leader="none"/>
        </w:tabs>
        <w:spacing w:line="321" w:lineRule="auto" w:before="144" w:after="0"/>
        <w:ind w:left="665" w:right="3" w:hanging="185"/>
        <w:jc w:val="both"/>
        <w:rPr>
          <w:rFonts w:ascii="Book Antiqua" w:hAnsi="Book Antiqua"/>
          <w:sz w:val="17"/>
        </w:rPr>
      </w:pPr>
      <w:r>
        <w:rPr>
          <w:rFonts w:ascii="Book Antiqua" w:hAnsi="Book Antiqua"/>
          <w:color w:val="231F20"/>
          <w:spacing w:val="2"/>
          <w:sz w:val="17"/>
        </w:rPr>
        <w:t>Southwest’s</w:t>
      </w:r>
      <w:r>
        <w:rPr>
          <w:rFonts w:ascii="Book Antiqua" w:hAnsi="Book Antiqua"/>
          <w:color w:val="231F20"/>
          <w:spacing w:val="-11"/>
          <w:sz w:val="17"/>
        </w:rPr>
        <w:t> </w:t>
      </w:r>
      <w:r>
        <w:rPr>
          <w:rFonts w:ascii="Book Antiqua" w:hAnsi="Book Antiqua"/>
          <w:color w:val="231F20"/>
          <w:spacing w:val="4"/>
          <w:sz w:val="17"/>
        </w:rPr>
        <w:t>annual</w:t>
      </w:r>
      <w:r>
        <w:rPr>
          <w:rFonts w:ascii="Book Antiqua" w:hAnsi="Book Antiqua"/>
          <w:color w:val="231F20"/>
          <w:spacing w:val="-11"/>
          <w:sz w:val="17"/>
        </w:rPr>
        <w:t> </w:t>
      </w:r>
      <w:r>
        <w:rPr>
          <w:rFonts w:ascii="Book Antiqua" w:hAnsi="Book Antiqua"/>
          <w:color w:val="231F20"/>
          <w:spacing w:val="5"/>
          <w:sz w:val="17"/>
        </w:rPr>
        <w:t>profits</w:t>
      </w:r>
      <w:r>
        <w:rPr>
          <w:rFonts w:ascii="Book Antiqua" w:hAnsi="Book Antiqua"/>
          <w:color w:val="231F20"/>
          <w:spacing w:val="-11"/>
          <w:sz w:val="17"/>
        </w:rPr>
        <w:t> </w:t>
      </w:r>
      <w:r>
        <w:rPr>
          <w:rFonts w:ascii="Book Antiqua" w:hAnsi="Book Antiqua"/>
          <w:color w:val="231F20"/>
          <w:spacing w:val="4"/>
          <w:sz w:val="17"/>
        </w:rPr>
        <w:t>increased</w:t>
      </w:r>
      <w:r>
        <w:rPr>
          <w:rFonts w:ascii="Book Antiqua" w:hAnsi="Book Antiqua"/>
          <w:color w:val="231F20"/>
          <w:spacing w:val="-11"/>
          <w:sz w:val="17"/>
        </w:rPr>
        <w:t> </w:t>
      </w:r>
      <w:r>
        <w:rPr>
          <w:rFonts w:ascii="Book Antiqua" w:hAnsi="Book Antiqua"/>
          <w:color w:val="231F20"/>
          <w:spacing w:val="3"/>
          <w:sz w:val="17"/>
        </w:rPr>
        <w:t>from</w:t>
      </w:r>
      <w:r>
        <w:rPr>
          <w:rFonts w:ascii="Book Antiqua" w:hAnsi="Book Antiqua"/>
          <w:color w:val="231F20"/>
          <w:spacing w:val="-11"/>
          <w:sz w:val="17"/>
        </w:rPr>
        <w:t> </w:t>
      </w:r>
      <w:r>
        <w:rPr>
          <w:rFonts w:ascii="Book Antiqua" w:hAnsi="Book Antiqua"/>
          <w:color w:val="231F20"/>
          <w:sz w:val="17"/>
        </w:rPr>
        <w:t>$198</w:t>
      </w:r>
      <w:r>
        <w:rPr>
          <w:rFonts w:ascii="Book Antiqua" w:hAnsi="Book Antiqua"/>
          <w:color w:val="231F20"/>
          <w:spacing w:val="-11"/>
          <w:sz w:val="17"/>
        </w:rPr>
        <w:t> </w:t>
      </w:r>
      <w:r>
        <w:rPr>
          <w:rFonts w:ascii="Book Antiqua" w:hAnsi="Book Antiqua"/>
          <w:color w:val="231F20"/>
          <w:spacing w:val="4"/>
          <w:sz w:val="17"/>
        </w:rPr>
        <w:t>million</w:t>
      </w:r>
      <w:r>
        <w:rPr>
          <w:rFonts w:ascii="Book Antiqua" w:hAnsi="Book Antiqua"/>
          <w:color w:val="231F20"/>
          <w:spacing w:val="-11"/>
          <w:sz w:val="17"/>
        </w:rPr>
        <w:t> </w:t>
      </w:r>
      <w:r>
        <w:rPr>
          <w:rFonts w:ascii="Book Antiqua" w:hAnsi="Book Antiqua"/>
          <w:color w:val="231F20"/>
          <w:spacing w:val="2"/>
          <w:sz w:val="17"/>
        </w:rPr>
        <w:t>in</w:t>
      </w:r>
      <w:r>
        <w:rPr>
          <w:rFonts w:ascii="Book Antiqua" w:hAnsi="Book Antiqua"/>
          <w:color w:val="231F20"/>
          <w:spacing w:val="-11"/>
          <w:sz w:val="17"/>
        </w:rPr>
        <w:t> </w:t>
      </w:r>
      <w:r>
        <w:rPr>
          <w:rFonts w:ascii="Book Antiqua" w:hAnsi="Book Antiqua"/>
          <w:color w:val="231F20"/>
          <w:spacing w:val="5"/>
          <w:sz w:val="17"/>
        </w:rPr>
        <w:t>2002, </w:t>
      </w:r>
      <w:r>
        <w:rPr>
          <w:rFonts w:ascii="Book Antiqua" w:hAnsi="Book Antiqua"/>
          <w:color w:val="231F20"/>
          <w:spacing w:val="2"/>
          <w:sz w:val="17"/>
        </w:rPr>
        <w:t>excluding</w:t>
      </w:r>
      <w:r>
        <w:rPr>
          <w:rFonts w:ascii="Book Antiqua" w:hAnsi="Book Antiqua"/>
          <w:color w:val="231F20"/>
          <w:spacing w:val="-19"/>
          <w:sz w:val="17"/>
        </w:rPr>
        <w:t> </w:t>
      </w:r>
      <w:r>
        <w:rPr>
          <w:rFonts w:ascii="Book Antiqua" w:hAnsi="Book Antiqua"/>
          <w:color w:val="231F20"/>
          <w:spacing w:val="2"/>
          <w:sz w:val="17"/>
        </w:rPr>
        <w:t>special</w:t>
      </w:r>
      <w:r>
        <w:rPr>
          <w:rFonts w:ascii="Book Antiqua" w:hAnsi="Book Antiqua"/>
          <w:color w:val="231F20"/>
          <w:spacing w:val="-19"/>
          <w:sz w:val="17"/>
        </w:rPr>
        <w:t> </w:t>
      </w:r>
      <w:r>
        <w:rPr>
          <w:rFonts w:ascii="Book Antiqua" w:hAnsi="Book Antiqua"/>
          <w:color w:val="231F20"/>
          <w:spacing w:val="2"/>
          <w:sz w:val="17"/>
        </w:rPr>
        <w:t>items</w:t>
      </w:r>
      <w:r>
        <w:rPr>
          <w:rFonts w:ascii="Book Antiqua" w:hAnsi="Book Antiqua"/>
          <w:color w:val="231F20"/>
          <w:spacing w:val="-19"/>
          <w:sz w:val="17"/>
        </w:rPr>
        <w:t> </w:t>
      </w:r>
      <w:r>
        <w:rPr>
          <w:rFonts w:ascii="Book Antiqua" w:hAnsi="Book Antiqua"/>
          <w:color w:val="231F20"/>
          <w:sz w:val="17"/>
        </w:rPr>
        <w:t>($241</w:t>
      </w:r>
      <w:r>
        <w:rPr>
          <w:rFonts w:ascii="Book Antiqua" w:hAnsi="Book Antiqua"/>
          <w:color w:val="231F20"/>
          <w:spacing w:val="-24"/>
          <w:sz w:val="17"/>
        </w:rPr>
        <w:t> </w:t>
      </w:r>
      <w:r>
        <w:rPr>
          <w:rFonts w:ascii="Book Antiqua" w:hAnsi="Book Antiqua"/>
          <w:color w:val="231F20"/>
          <w:spacing w:val="2"/>
          <w:sz w:val="17"/>
        </w:rPr>
        <w:t>million,</w:t>
      </w:r>
      <w:r>
        <w:rPr>
          <w:rFonts w:ascii="Book Antiqua" w:hAnsi="Book Antiqua"/>
          <w:color w:val="231F20"/>
          <w:spacing w:val="-22"/>
          <w:sz w:val="17"/>
        </w:rPr>
        <w:t> </w:t>
      </w:r>
      <w:r>
        <w:rPr>
          <w:rFonts w:ascii="Book Antiqua" w:hAnsi="Book Antiqua"/>
          <w:color w:val="231F20"/>
          <w:spacing w:val="2"/>
          <w:sz w:val="17"/>
        </w:rPr>
        <w:t>including</w:t>
      </w:r>
      <w:r>
        <w:rPr>
          <w:rFonts w:ascii="Book Antiqua" w:hAnsi="Book Antiqua"/>
          <w:color w:val="231F20"/>
          <w:spacing w:val="-19"/>
          <w:sz w:val="17"/>
        </w:rPr>
        <w:t> </w:t>
      </w:r>
      <w:r>
        <w:rPr>
          <w:rFonts w:ascii="Book Antiqua" w:hAnsi="Book Antiqua"/>
          <w:color w:val="231F20"/>
          <w:spacing w:val="2"/>
          <w:sz w:val="17"/>
        </w:rPr>
        <w:t>special</w:t>
      </w:r>
      <w:r>
        <w:rPr>
          <w:rFonts w:ascii="Book Antiqua" w:hAnsi="Book Antiqua"/>
          <w:color w:val="231F20"/>
          <w:spacing w:val="-19"/>
          <w:sz w:val="17"/>
        </w:rPr>
        <w:t> </w:t>
      </w:r>
      <w:r>
        <w:rPr>
          <w:rFonts w:ascii="Book Antiqua" w:hAnsi="Book Antiqua"/>
          <w:color w:val="231F20"/>
          <w:spacing w:val="3"/>
          <w:sz w:val="17"/>
        </w:rPr>
        <w:t>items),</w:t>
      </w:r>
      <w:r>
        <w:rPr>
          <w:rFonts w:ascii="Book Antiqua" w:hAnsi="Book Antiqua"/>
          <w:color w:val="231F20"/>
          <w:spacing w:val="-21"/>
          <w:sz w:val="17"/>
        </w:rPr>
        <w:t> </w:t>
      </w:r>
      <w:r>
        <w:rPr>
          <w:rFonts w:ascii="Book Antiqua" w:hAnsi="Book Antiqua"/>
          <w:color w:val="231F20"/>
          <w:spacing w:val="3"/>
          <w:sz w:val="17"/>
        </w:rPr>
        <w:t>to</w:t>
      </w:r>
    </w:p>
    <w:p>
      <w:pPr>
        <w:spacing w:line="321" w:lineRule="auto" w:before="0"/>
        <w:ind w:left="665" w:right="7" w:firstLine="0"/>
        <w:jc w:val="both"/>
        <w:rPr>
          <w:rFonts w:ascii="Book Antiqua"/>
          <w:sz w:val="17"/>
        </w:rPr>
      </w:pPr>
      <w:r>
        <w:rPr>
          <w:rFonts w:ascii="Book Antiqua"/>
          <w:color w:val="231F20"/>
          <w:w w:val="95"/>
          <w:sz w:val="17"/>
        </w:rPr>
        <w:t>$298 million, excluding special items ($442 million including special items, such as industrywide government war relief grants).</w:t>
      </w:r>
    </w:p>
    <w:p>
      <w:pPr>
        <w:pStyle w:val="ListParagraph"/>
        <w:numPr>
          <w:ilvl w:val="0"/>
          <w:numId w:val="1"/>
        </w:numPr>
        <w:tabs>
          <w:tab w:pos="665" w:val="left" w:leader="none"/>
        </w:tabs>
        <w:spacing w:line="321" w:lineRule="auto" w:before="144" w:after="0"/>
        <w:ind w:left="665" w:right="3" w:hanging="185"/>
        <w:jc w:val="both"/>
        <w:rPr>
          <w:rFonts w:ascii="Book Antiqua"/>
          <w:sz w:val="17"/>
        </w:rPr>
      </w:pPr>
      <w:r>
        <w:rPr>
          <w:rFonts w:ascii="Book Antiqua"/>
          <w:color w:val="231F20"/>
          <w:spacing w:val="2"/>
          <w:sz w:val="17"/>
        </w:rPr>
        <w:t>Southwest </w:t>
      </w:r>
      <w:r>
        <w:rPr>
          <w:rFonts w:ascii="Book Antiqua"/>
          <w:color w:val="231F20"/>
          <w:spacing w:val="4"/>
          <w:sz w:val="17"/>
        </w:rPr>
        <w:t>expanded </w:t>
      </w:r>
      <w:r>
        <w:rPr>
          <w:rFonts w:ascii="Book Antiqua"/>
          <w:color w:val="231F20"/>
          <w:spacing w:val="3"/>
          <w:sz w:val="17"/>
        </w:rPr>
        <w:t>its </w:t>
      </w:r>
      <w:r>
        <w:rPr>
          <w:rFonts w:ascii="Book Antiqua"/>
          <w:color w:val="231F20"/>
          <w:sz w:val="17"/>
        </w:rPr>
        <w:t>f </w:t>
      </w:r>
      <w:r>
        <w:rPr>
          <w:rFonts w:ascii="Book Antiqua"/>
          <w:color w:val="231F20"/>
          <w:spacing w:val="3"/>
          <w:sz w:val="17"/>
        </w:rPr>
        <w:t>leet </w:t>
      </w:r>
      <w:r>
        <w:rPr>
          <w:rFonts w:ascii="Book Antiqua"/>
          <w:color w:val="231F20"/>
          <w:sz w:val="17"/>
        </w:rPr>
        <w:t>by a </w:t>
      </w:r>
      <w:r>
        <w:rPr>
          <w:rFonts w:ascii="Book Antiqua"/>
          <w:color w:val="231F20"/>
          <w:spacing w:val="3"/>
          <w:sz w:val="17"/>
        </w:rPr>
        <w:t>net </w:t>
      </w:r>
      <w:r>
        <w:rPr>
          <w:rFonts w:ascii="Book Antiqua"/>
          <w:color w:val="231F20"/>
          <w:spacing w:val="2"/>
          <w:sz w:val="17"/>
        </w:rPr>
        <w:t>of </w:t>
      </w:r>
      <w:r>
        <w:rPr>
          <w:rFonts w:ascii="Book Antiqua"/>
          <w:color w:val="231F20"/>
          <w:sz w:val="17"/>
        </w:rPr>
        <w:t>13 </w:t>
      </w:r>
      <w:r>
        <w:rPr>
          <w:rFonts w:ascii="Book Antiqua"/>
          <w:color w:val="231F20"/>
          <w:spacing w:val="3"/>
          <w:sz w:val="17"/>
        </w:rPr>
        <w:t>new </w:t>
      </w:r>
      <w:r>
        <w:rPr>
          <w:rFonts w:ascii="Book Antiqua"/>
          <w:color w:val="231F20"/>
          <w:sz w:val="17"/>
        </w:rPr>
        <w:t>737-700s </w:t>
      </w:r>
      <w:r>
        <w:rPr>
          <w:rFonts w:ascii="Book Antiqua"/>
          <w:color w:val="231F20"/>
          <w:spacing w:val="5"/>
          <w:sz w:val="17"/>
        </w:rPr>
        <w:t>and </w:t>
      </w:r>
      <w:r>
        <w:rPr>
          <w:rFonts w:ascii="Book Antiqua"/>
          <w:color w:val="231F20"/>
          <w:spacing w:val="4"/>
          <w:sz w:val="17"/>
        </w:rPr>
        <w:t>increased</w:t>
      </w:r>
      <w:r>
        <w:rPr>
          <w:rFonts w:ascii="Book Antiqua"/>
          <w:color w:val="231F20"/>
          <w:spacing w:val="-19"/>
          <w:sz w:val="17"/>
        </w:rPr>
        <w:t> </w:t>
      </w:r>
      <w:r>
        <w:rPr>
          <w:rFonts w:ascii="Book Antiqua"/>
          <w:color w:val="231F20"/>
          <w:spacing w:val="3"/>
          <w:sz w:val="17"/>
        </w:rPr>
        <w:t>our</w:t>
      </w:r>
      <w:r>
        <w:rPr>
          <w:rFonts w:ascii="Book Antiqua"/>
          <w:color w:val="231F20"/>
          <w:spacing w:val="-27"/>
          <w:sz w:val="17"/>
        </w:rPr>
        <w:t> </w:t>
      </w:r>
      <w:r>
        <w:rPr>
          <w:rFonts w:ascii="Book Antiqua"/>
          <w:color w:val="231F20"/>
          <w:spacing w:val="3"/>
          <w:sz w:val="17"/>
        </w:rPr>
        <w:t>Available</w:t>
      </w:r>
      <w:r>
        <w:rPr>
          <w:rFonts w:ascii="Book Antiqua"/>
          <w:color w:val="231F20"/>
          <w:spacing w:val="-19"/>
          <w:sz w:val="17"/>
        </w:rPr>
        <w:t> </w:t>
      </w:r>
      <w:r>
        <w:rPr>
          <w:rFonts w:ascii="Book Antiqua"/>
          <w:color w:val="231F20"/>
          <w:spacing w:val="3"/>
          <w:sz w:val="17"/>
        </w:rPr>
        <w:t>Seat</w:t>
      </w:r>
      <w:r>
        <w:rPr>
          <w:rFonts w:ascii="Book Antiqua"/>
          <w:color w:val="231F20"/>
          <w:spacing w:val="-21"/>
          <w:sz w:val="17"/>
        </w:rPr>
        <w:t> </w:t>
      </w:r>
      <w:r>
        <w:rPr>
          <w:rFonts w:ascii="Book Antiqua"/>
          <w:color w:val="231F20"/>
          <w:spacing w:val="4"/>
          <w:sz w:val="17"/>
        </w:rPr>
        <w:t>Miles</w:t>
      </w:r>
      <w:r>
        <w:rPr>
          <w:rFonts w:ascii="Book Antiqua"/>
          <w:color w:val="231F20"/>
          <w:spacing w:val="-19"/>
          <w:sz w:val="17"/>
        </w:rPr>
        <w:t> </w:t>
      </w:r>
      <w:r>
        <w:rPr>
          <w:rFonts w:ascii="Book Antiqua"/>
          <w:color w:val="231F20"/>
          <w:sz w:val="17"/>
        </w:rPr>
        <w:t>by</w:t>
      </w:r>
      <w:r>
        <w:rPr>
          <w:rFonts w:ascii="Book Antiqua"/>
          <w:color w:val="231F20"/>
          <w:spacing w:val="-23"/>
          <w:sz w:val="17"/>
        </w:rPr>
        <w:t> </w:t>
      </w:r>
      <w:r>
        <w:rPr>
          <w:rFonts w:ascii="Book Antiqua"/>
          <w:color w:val="231F20"/>
          <w:spacing w:val="3"/>
          <w:sz w:val="17"/>
        </w:rPr>
        <w:t>4.2</w:t>
      </w:r>
      <w:r>
        <w:rPr>
          <w:rFonts w:ascii="Book Antiqua"/>
          <w:color w:val="231F20"/>
          <w:spacing w:val="-21"/>
          <w:sz w:val="17"/>
        </w:rPr>
        <w:t> </w:t>
      </w:r>
      <w:r>
        <w:rPr>
          <w:rFonts w:ascii="Book Antiqua"/>
          <w:color w:val="231F20"/>
          <w:spacing w:val="5"/>
          <w:sz w:val="17"/>
        </w:rPr>
        <w:t>percent.</w:t>
      </w:r>
    </w:p>
    <w:p>
      <w:pPr>
        <w:pStyle w:val="ListParagraph"/>
        <w:numPr>
          <w:ilvl w:val="0"/>
          <w:numId w:val="1"/>
        </w:numPr>
        <w:tabs>
          <w:tab w:pos="665" w:val="left" w:leader="none"/>
        </w:tabs>
        <w:spacing w:line="321" w:lineRule="auto" w:before="144" w:after="0"/>
        <w:ind w:left="665" w:right="0" w:hanging="185"/>
        <w:jc w:val="both"/>
        <w:rPr>
          <w:rFonts w:ascii="Book Antiqua"/>
          <w:sz w:val="17"/>
        </w:rPr>
      </w:pPr>
      <w:r>
        <w:rPr>
          <w:rFonts w:ascii="Book Antiqua"/>
          <w:color w:val="231F20"/>
          <w:spacing w:val="2"/>
          <w:sz w:val="17"/>
        </w:rPr>
        <w:t>Southwest</w:t>
      </w:r>
      <w:r>
        <w:rPr>
          <w:rFonts w:ascii="Book Antiqua"/>
          <w:color w:val="231F20"/>
          <w:spacing w:val="-21"/>
          <w:sz w:val="17"/>
        </w:rPr>
        <w:t> </w:t>
      </w:r>
      <w:r>
        <w:rPr>
          <w:rFonts w:ascii="Book Antiqua"/>
          <w:color w:val="231F20"/>
          <w:spacing w:val="4"/>
          <w:sz w:val="17"/>
        </w:rPr>
        <w:t>continued</w:t>
      </w:r>
      <w:r>
        <w:rPr>
          <w:rFonts w:ascii="Book Antiqua"/>
          <w:color w:val="231F20"/>
          <w:spacing w:val="-19"/>
          <w:sz w:val="17"/>
        </w:rPr>
        <w:t> </w:t>
      </w:r>
      <w:r>
        <w:rPr>
          <w:rFonts w:ascii="Book Antiqua"/>
          <w:color w:val="231F20"/>
          <w:spacing w:val="2"/>
          <w:sz w:val="17"/>
        </w:rPr>
        <w:t>to</w:t>
      </w:r>
      <w:r>
        <w:rPr>
          <w:rFonts w:ascii="Book Antiqua"/>
          <w:color w:val="231F20"/>
          <w:spacing w:val="-19"/>
          <w:sz w:val="17"/>
        </w:rPr>
        <w:t> </w:t>
      </w:r>
      <w:r>
        <w:rPr>
          <w:rFonts w:ascii="Book Antiqua"/>
          <w:color w:val="231F20"/>
          <w:spacing w:val="4"/>
          <w:sz w:val="17"/>
        </w:rPr>
        <w:t>equip</w:t>
      </w:r>
      <w:r>
        <w:rPr>
          <w:rFonts w:ascii="Book Antiqua"/>
          <w:color w:val="231F20"/>
          <w:spacing w:val="-19"/>
          <w:sz w:val="17"/>
        </w:rPr>
        <w:t> </w:t>
      </w:r>
      <w:r>
        <w:rPr>
          <w:rFonts w:ascii="Book Antiqua"/>
          <w:color w:val="231F20"/>
          <w:spacing w:val="3"/>
          <w:sz w:val="17"/>
        </w:rPr>
        <w:t>our</w:t>
      </w:r>
      <w:r>
        <w:rPr>
          <w:rFonts w:ascii="Book Antiqua"/>
          <w:color w:val="231F20"/>
          <w:spacing w:val="-23"/>
          <w:sz w:val="17"/>
        </w:rPr>
        <w:t> </w:t>
      </w:r>
      <w:r>
        <w:rPr>
          <w:rFonts w:ascii="Book Antiqua"/>
          <w:color w:val="231F20"/>
          <w:spacing w:val="3"/>
          <w:sz w:val="17"/>
        </w:rPr>
        <w:t>new</w:t>
      </w:r>
      <w:r>
        <w:rPr>
          <w:rFonts w:ascii="Book Antiqua"/>
          <w:color w:val="231F20"/>
          <w:spacing w:val="-22"/>
          <w:sz w:val="17"/>
        </w:rPr>
        <w:t> </w:t>
      </w:r>
      <w:r>
        <w:rPr>
          <w:rFonts w:ascii="Book Antiqua"/>
          <w:color w:val="231F20"/>
          <w:spacing w:val="4"/>
          <w:sz w:val="17"/>
        </w:rPr>
        <w:t>aircraft</w:t>
      </w:r>
      <w:r>
        <w:rPr>
          <w:rFonts w:ascii="Book Antiqua"/>
          <w:color w:val="231F20"/>
          <w:spacing w:val="-21"/>
          <w:sz w:val="17"/>
        </w:rPr>
        <w:t> </w:t>
      </w:r>
      <w:r>
        <w:rPr>
          <w:rFonts w:ascii="Book Antiqua"/>
          <w:color w:val="231F20"/>
          <w:spacing w:val="4"/>
          <w:sz w:val="17"/>
        </w:rPr>
        <w:t>deliveries,</w:t>
      </w:r>
      <w:r>
        <w:rPr>
          <w:rFonts w:ascii="Book Antiqua"/>
          <w:color w:val="231F20"/>
          <w:spacing w:val="-21"/>
          <w:sz w:val="17"/>
        </w:rPr>
        <w:t> </w:t>
      </w:r>
      <w:r>
        <w:rPr>
          <w:rFonts w:ascii="Book Antiqua"/>
          <w:color w:val="231F20"/>
          <w:spacing w:val="3"/>
          <w:sz w:val="17"/>
        </w:rPr>
        <w:t>and</w:t>
      </w:r>
      <w:r>
        <w:rPr>
          <w:rFonts w:ascii="Book Antiqua"/>
          <w:color w:val="231F20"/>
          <w:spacing w:val="-19"/>
          <w:sz w:val="17"/>
        </w:rPr>
        <w:t> </w:t>
      </w:r>
      <w:r>
        <w:rPr>
          <w:rFonts w:ascii="Book Antiqua"/>
          <w:color w:val="231F20"/>
          <w:spacing w:val="5"/>
          <w:sz w:val="17"/>
        </w:rPr>
        <w:t>to </w:t>
      </w:r>
      <w:r>
        <w:rPr>
          <w:rFonts w:ascii="Book Antiqua"/>
          <w:color w:val="231F20"/>
          <w:spacing w:val="4"/>
          <w:sz w:val="17"/>
        </w:rPr>
        <w:t>refurbish</w:t>
      </w:r>
      <w:r>
        <w:rPr>
          <w:rFonts w:ascii="Book Antiqua"/>
          <w:color w:val="231F20"/>
          <w:spacing w:val="3"/>
          <w:sz w:val="17"/>
        </w:rPr>
        <w:t> our</w:t>
      </w:r>
      <w:r>
        <w:rPr>
          <w:rFonts w:ascii="Book Antiqua"/>
          <w:color w:val="231F20"/>
          <w:spacing w:val="-2"/>
          <w:sz w:val="17"/>
        </w:rPr>
        <w:t> </w:t>
      </w:r>
      <w:r>
        <w:rPr>
          <w:rFonts w:ascii="Book Antiqua"/>
          <w:color w:val="231F20"/>
          <w:spacing w:val="4"/>
          <w:sz w:val="17"/>
        </w:rPr>
        <w:t>existing</w:t>
      </w:r>
      <w:r>
        <w:rPr>
          <w:rFonts w:ascii="Book Antiqua"/>
          <w:color w:val="231F20"/>
          <w:spacing w:val="3"/>
          <w:sz w:val="17"/>
        </w:rPr>
        <w:t> </w:t>
      </w:r>
      <w:r>
        <w:rPr>
          <w:rFonts w:ascii="Book Antiqua"/>
          <w:color w:val="231F20"/>
          <w:sz w:val="17"/>
        </w:rPr>
        <w:t>f</w:t>
      </w:r>
      <w:r>
        <w:rPr>
          <w:rFonts w:ascii="Book Antiqua"/>
          <w:color w:val="231F20"/>
          <w:spacing w:val="-31"/>
          <w:sz w:val="17"/>
        </w:rPr>
        <w:t> </w:t>
      </w:r>
      <w:r>
        <w:rPr>
          <w:rFonts w:ascii="Book Antiqua"/>
          <w:color w:val="231F20"/>
          <w:spacing w:val="4"/>
          <w:sz w:val="17"/>
        </w:rPr>
        <w:t>leet,</w:t>
      </w:r>
      <w:r>
        <w:rPr>
          <w:rFonts w:ascii="Book Antiqua"/>
          <w:color w:val="231F20"/>
          <w:spacing w:val="-2"/>
          <w:sz w:val="17"/>
        </w:rPr>
        <w:t> </w:t>
      </w:r>
      <w:r>
        <w:rPr>
          <w:rFonts w:ascii="Book Antiqua"/>
          <w:color w:val="231F20"/>
          <w:spacing w:val="3"/>
          <w:sz w:val="17"/>
        </w:rPr>
        <w:t>with our</w:t>
      </w:r>
      <w:r>
        <w:rPr>
          <w:rFonts w:ascii="Book Antiqua"/>
          <w:color w:val="231F20"/>
          <w:spacing w:val="-2"/>
          <w:sz w:val="17"/>
        </w:rPr>
        <w:t> </w:t>
      </w:r>
      <w:r>
        <w:rPr>
          <w:rFonts w:ascii="Book Antiqua"/>
          <w:color w:val="231F20"/>
          <w:spacing w:val="4"/>
          <w:sz w:val="17"/>
        </w:rPr>
        <w:t>fresh</w:t>
      </w:r>
      <w:r>
        <w:rPr>
          <w:rFonts w:ascii="Book Antiqua"/>
          <w:color w:val="231F20"/>
          <w:spacing w:val="3"/>
          <w:sz w:val="17"/>
        </w:rPr>
        <w:t> and most</w:t>
      </w:r>
      <w:r>
        <w:rPr>
          <w:rFonts w:ascii="Book Antiqua"/>
          <w:color w:val="231F20"/>
          <w:sz w:val="17"/>
        </w:rPr>
        <w:t> </w:t>
      </w:r>
      <w:r>
        <w:rPr>
          <w:rFonts w:ascii="Book Antiqua"/>
          <w:color w:val="231F20"/>
          <w:spacing w:val="3"/>
          <w:sz w:val="17"/>
        </w:rPr>
        <w:t>attractive </w:t>
      </w:r>
      <w:r>
        <w:rPr>
          <w:rFonts w:ascii="Book Antiqua"/>
          <w:color w:val="231F20"/>
          <w:spacing w:val="2"/>
          <w:sz w:val="17"/>
        </w:rPr>
        <w:t>Canyon</w:t>
      </w:r>
      <w:r>
        <w:rPr>
          <w:rFonts w:ascii="Book Antiqua"/>
          <w:color w:val="231F20"/>
          <w:spacing w:val="-8"/>
          <w:sz w:val="17"/>
        </w:rPr>
        <w:t> </w:t>
      </w:r>
      <w:r>
        <w:rPr>
          <w:rFonts w:ascii="Book Antiqua"/>
          <w:color w:val="231F20"/>
          <w:spacing w:val="3"/>
          <w:sz w:val="17"/>
        </w:rPr>
        <w:t>Blue</w:t>
      </w:r>
      <w:r>
        <w:rPr>
          <w:rFonts w:ascii="Book Antiqua"/>
          <w:color w:val="231F20"/>
          <w:spacing w:val="-8"/>
          <w:sz w:val="17"/>
        </w:rPr>
        <w:t> </w:t>
      </w:r>
      <w:r>
        <w:rPr>
          <w:rFonts w:ascii="Book Antiqua"/>
          <w:color w:val="231F20"/>
          <w:spacing w:val="4"/>
          <w:sz w:val="17"/>
        </w:rPr>
        <w:t>aircraft</w:t>
      </w:r>
      <w:r>
        <w:rPr>
          <w:rFonts w:ascii="Book Antiqua"/>
          <w:color w:val="231F20"/>
          <w:spacing w:val="-12"/>
          <w:sz w:val="17"/>
        </w:rPr>
        <w:t> </w:t>
      </w:r>
      <w:r>
        <w:rPr>
          <w:rFonts w:ascii="Book Antiqua"/>
          <w:color w:val="231F20"/>
          <w:spacing w:val="4"/>
          <w:sz w:val="17"/>
        </w:rPr>
        <w:t>livery;</w:t>
      </w:r>
      <w:r>
        <w:rPr>
          <w:rFonts w:ascii="Book Antiqua"/>
          <w:color w:val="231F20"/>
          <w:spacing w:val="-8"/>
          <w:sz w:val="17"/>
        </w:rPr>
        <w:t> </w:t>
      </w:r>
      <w:r>
        <w:rPr>
          <w:rFonts w:ascii="Book Antiqua"/>
          <w:color w:val="231F20"/>
          <w:spacing w:val="3"/>
          <w:sz w:val="17"/>
        </w:rPr>
        <w:t>all</w:t>
      </w:r>
      <w:r>
        <w:rPr>
          <w:rFonts w:ascii="Book Antiqua"/>
          <w:color w:val="231F20"/>
          <w:spacing w:val="-8"/>
          <w:sz w:val="17"/>
        </w:rPr>
        <w:t> </w:t>
      </w:r>
      <w:r>
        <w:rPr>
          <w:rFonts w:ascii="Book Antiqua"/>
          <w:color w:val="231F20"/>
          <w:spacing w:val="4"/>
          <w:sz w:val="17"/>
        </w:rPr>
        <w:t>leather</w:t>
      </w:r>
      <w:r>
        <w:rPr>
          <w:rFonts w:ascii="Book Antiqua"/>
          <w:color w:val="231F20"/>
          <w:spacing w:val="-14"/>
          <w:sz w:val="17"/>
        </w:rPr>
        <w:t> </w:t>
      </w:r>
      <w:r>
        <w:rPr>
          <w:rFonts w:ascii="Book Antiqua"/>
          <w:color w:val="231F20"/>
          <w:spacing w:val="4"/>
          <w:sz w:val="17"/>
        </w:rPr>
        <w:t>interiors</w:t>
      </w:r>
      <w:r>
        <w:rPr>
          <w:rFonts w:ascii="Book Antiqua"/>
          <w:color w:val="231F20"/>
          <w:spacing w:val="-8"/>
          <w:sz w:val="17"/>
        </w:rPr>
        <w:t> </w:t>
      </w:r>
      <w:r>
        <w:rPr>
          <w:rFonts w:ascii="Book Antiqua"/>
          <w:color w:val="231F20"/>
          <w:spacing w:val="2"/>
          <w:sz w:val="17"/>
        </w:rPr>
        <w:t>in</w:t>
      </w:r>
      <w:r>
        <w:rPr>
          <w:rFonts w:ascii="Book Antiqua"/>
          <w:color w:val="231F20"/>
          <w:spacing w:val="-8"/>
          <w:sz w:val="17"/>
        </w:rPr>
        <w:t> </w:t>
      </w:r>
      <w:r>
        <w:rPr>
          <w:rFonts w:ascii="Book Antiqua"/>
          <w:color w:val="231F20"/>
          <w:spacing w:val="2"/>
          <w:sz w:val="17"/>
        </w:rPr>
        <w:t>Canyon</w:t>
      </w:r>
      <w:r>
        <w:rPr>
          <w:rFonts w:ascii="Book Antiqua"/>
          <w:color w:val="231F20"/>
          <w:spacing w:val="-8"/>
          <w:sz w:val="17"/>
        </w:rPr>
        <w:t> </w:t>
      </w:r>
      <w:r>
        <w:rPr>
          <w:rFonts w:ascii="Book Antiqua"/>
          <w:color w:val="231F20"/>
          <w:spacing w:val="5"/>
          <w:sz w:val="17"/>
        </w:rPr>
        <w:t>Blue </w:t>
      </w:r>
      <w:r>
        <w:rPr>
          <w:rFonts w:ascii="Book Antiqua"/>
          <w:color w:val="231F20"/>
          <w:spacing w:val="3"/>
          <w:sz w:val="17"/>
        </w:rPr>
        <w:t>and </w:t>
      </w:r>
      <w:r>
        <w:rPr>
          <w:rFonts w:ascii="Book Antiqua"/>
          <w:color w:val="231F20"/>
          <w:spacing w:val="4"/>
          <w:sz w:val="17"/>
        </w:rPr>
        <w:t>Saddle </w:t>
      </w:r>
      <w:r>
        <w:rPr>
          <w:rFonts w:ascii="Book Antiqua"/>
          <w:color w:val="231F20"/>
          <w:sz w:val="17"/>
        </w:rPr>
        <w:t>Tan; </w:t>
      </w:r>
      <w:r>
        <w:rPr>
          <w:rFonts w:ascii="Book Antiqua"/>
          <w:color w:val="231F20"/>
          <w:spacing w:val="3"/>
          <w:sz w:val="17"/>
        </w:rPr>
        <w:t>new </w:t>
      </w:r>
      <w:r>
        <w:rPr>
          <w:rFonts w:ascii="Book Antiqua"/>
          <w:color w:val="231F20"/>
          <w:spacing w:val="4"/>
          <w:sz w:val="17"/>
        </w:rPr>
        <w:t>design seats </w:t>
      </w:r>
      <w:r>
        <w:rPr>
          <w:rFonts w:ascii="Book Antiqua"/>
          <w:color w:val="231F20"/>
          <w:spacing w:val="5"/>
          <w:sz w:val="17"/>
        </w:rPr>
        <w:t>affording </w:t>
      </w:r>
      <w:r>
        <w:rPr>
          <w:rFonts w:ascii="Book Antiqua"/>
          <w:color w:val="231F20"/>
          <w:spacing w:val="4"/>
          <w:sz w:val="17"/>
        </w:rPr>
        <w:t>superb </w:t>
      </w:r>
      <w:r>
        <w:rPr>
          <w:rFonts w:ascii="Book Antiqua"/>
          <w:color w:val="231F20"/>
          <w:spacing w:val="5"/>
          <w:sz w:val="17"/>
        </w:rPr>
        <w:t>personal </w:t>
      </w:r>
      <w:r>
        <w:rPr>
          <w:rFonts w:ascii="Book Antiqua"/>
          <w:color w:val="231F20"/>
          <w:spacing w:val="4"/>
          <w:w w:val="95"/>
          <w:sz w:val="17"/>
        </w:rPr>
        <w:t>comfort; </w:t>
      </w:r>
      <w:r>
        <w:rPr>
          <w:rFonts w:ascii="Book Antiqua"/>
          <w:color w:val="231F20"/>
          <w:spacing w:val="3"/>
          <w:w w:val="95"/>
          <w:sz w:val="17"/>
        </w:rPr>
        <w:t>and </w:t>
      </w:r>
      <w:r>
        <w:rPr>
          <w:rFonts w:ascii="Book Antiqua"/>
          <w:color w:val="231F20"/>
          <w:spacing w:val="4"/>
          <w:w w:val="95"/>
          <w:sz w:val="17"/>
        </w:rPr>
        <w:t>aesthetic Blended Winglets, which </w:t>
      </w:r>
      <w:r>
        <w:rPr>
          <w:rFonts w:ascii="Book Antiqua"/>
          <w:color w:val="231F20"/>
          <w:spacing w:val="2"/>
          <w:w w:val="95"/>
          <w:sz w:val="17"/>
        </w:rPr>
        <w:t>improve </w:t>
      </w:r>
      <w:r>
        <w:rPr>
          <w:rFonts w:ascii="Book Antiqua"/>
          <w:color w:val="231F20"/>
          <w:spacing w:val="4"/>
          <w:w w:val="95"/>
          <w:sz w:val="17"/>
        </w:rPr>
        <w:t>aircraft </w:t>
      </w:r>
      <w:r>
        <w:rPr>
          <w:rFonts w:ascii="Book Antiqua"/>
          <w:color w:val="231F20"/>
          <w:spacing w:val="9"/>
          <w:sz w:val="17"/>
        </w:rPr>
        <w:t>performance</w:t>
      </w:r>
      <w:r>
        <w:rPr>
          <w:rFonts w:ascii="Book Antiqua"/>
          <w:color w:val="231F20"/>
          <w:sz w:val="17"/>
        </w:rPr>
        <w:t> </w:t>
      </w:r>
      <w:r>
        <w:rPr>
          <w:rFonts w:ascii="Book Antiqua"/>
          <w:color w:val="231F20"/>
          <w:spacing w:val="2"/>
          <w:sz w:val="17"/>
        </w:rPr>
        <w:t>by</w:t>
      </w:r>
      <w:r>
        <w:rPr>
          <w:rFonts w:ascii="Book Antiqua"/>
          <w:color w:val="231F20"/>
          <w:spacing w:val="-4"/>
          <w:sz w:val="17"/>
        </w:rPr>
        <w:t> </w:t>
      </w:r>
      <w:r>
        <w:rPr>
          <w:rFonts w:ascii="Book Antiqua"/>
          <w:color w:val="231F20"/>
          <w:spacing w:val="8"/>
          <w:sz w:val="17"/>
        </w:rPr>
        <w:t>extending</w:t>
      </w:r>
      <w:r>
        <w:rPr>
          <w:rFonts w:ascii="Book Antiqua"/>
          <w:color w:val="231F20"/>
          <w:sz w:val="17"/>
        </w:rPr>
        <w:t> </w:t>
      </w:r>
      <w:r>
        <w:rPr>
          <w:rFonts w:ascii="Book Antiqua"/>
          <w:color w:val="231F20"/>
          <w:spacing w:val="8"/>
          <w:sz w:val="17"/>
        </w:rPr>
        <w:t>range,</w:t>
      </w:r>
      <w:r>
        <w:rPr>
          <w:rFonts w:ascii="Book Antiqua"/>
          <w:color w:val="231F20"/>
          <w:spacing w:val="-2"/>
          <w:sz w:val="17"/>
        </w:rPr>
        <w:t> </w:t>
      </w:r>
      <w:r>
        <w:rPr>
          <w:rFonts w:ascii="Book Antiqua"/>
          <w:color w:val="231F20"/>
          <w:spacing w:val="8"/>
          <w:sz w:val="17"/>
        </w:rPr>
        <w:t>saving</w:t>
      </w:r>
      <w:r>
        <w:rPr>
          <w:rFonts w:ascii="Book Antiqua"/>
          <w:color w:val="231F20"/>
          <w:sz w:val="17"/>
        </w:rPr>
        <w:t> </w:t>
      </w:r>
      <w:r>
        <w:rPr>
          <w:rFonts w:ascii="Book Antiqua"/>
          <w:color w:val="231F20"/>
          <w:spacing w:val="8"/>
          <w:sz w:val="17"/>
        </w:rPr>
        <w:t>fuel,</w:t>
      </w:r>
      <w:r>
        <w:rPr>
          <w:rFonts w:ascii="Book Antiqua"/>
          <w:color w:val="231F20"/>
          <w:spacing w:val="-2"/>
          <w:sz w:val="17"/>
        </w:rPr>
        <w:t> </w:t>
      </w:r>
      <w:r>
        <w:rPr>
          <w:rFonts w:ascii="Book Antiqua"/>
          <w:color w:val="231F20"/>
          <w:spacing w:val="6"/>
          <w:sz w:val="17"/>
        </w:rPr>
        <w:t>and</w:t>
      </w:r>
      <w:r>
        <w:rPr>
          <w:rFonts w:ascii="Book Antiqua"/>
          <w:color w:val="231F20"/>
          <w:sz w:val="17"/>
        </w:rPr>
        <w:t> </w:t>
      </w:r>
      <w:r>
        <w:rPr>
          <w:rFonts w:ascii="Book Antiqua"/>
          <w:color w:val="231F20"/>
          <w:spacing w:val="10"/>
          <w:sz w:val="17"/>
        </w:rPr>
        <w:t>reducing </w:t>
      </w:r>
      <w:r>
        <w:rPr>
          <w:rFonts w:ascii="Book Antiqua"/>
          <w:color w:val="231F20"/>
          <w:spacing w:val="4"/>
          <w:w w:val="95"/>
          <w:sz w:val="17"/>
        </w:rPr>
        <w:t>engine maintenance costs </w:t>
      </w:r>
      <w:r>
        <w:rPr>
          <w:rFonts w:ascii="Book Antiqua"/>
          <w:color w:val="231F20"/>
          <w:spacing w:val="3"/>
          <w:w w:val="95"/>
          <w:sz w:val="17"/>
        </w:rPr>
        <w:t>and </w:t>
      </w:r>
      <w:r>
        <w:rPr>
          <w:rFonts w:ascii="Book Antiqua"/>
          <w:color w:val="231F20"/>
          <w:spacing w:val="4"/>
          <w:w w:val="95"/>
          <w:sz w:val="17"/>
        </w:rPr>
        <w:t>takeoff</w:t>
      </w:r>
      <w:r>
        <w:rPr>
          <w:rFonts w:ascii="Book Antiqua"/>
          <w:color w:val="231F20"/>
          <w:spacing w:val="34"/>
          <w:w w:val="95"/>
          <w:sz w:val="17"/>
        </w:rPr>
        <w:t> </w:t>
      </w:r>
      <w:r>
        <w:rPr>
          <w:rFonts w:ascii="Book Antiqua"/>
          <w:color w:val="231F20"/>
          <w:spacing w:val="5"/>
          <w:w w:val="95"/>
          <w:sz w:val="17"/>
        </w:rPr>
        <w:t>noise.</w:t>
      </w:r>
    </w:p>
    <w:p>
      <w:pPr>
        <w:pStyle w:val="ListParagraph"/>
        <w:numPr>
          <w:ilvl w:val="0"/>
          <w:numId w:val="1"/>
        </w:numPr>
        <w:tabs>
          <w:tab w:pos="665" w:val="left" w:leader="none"/>
        </w:tabs>
        <w:spacing w:line="321" w:lineRule="auto" w:before="144" w:after="0"/>
        <w:ind w:left="665" w:right="0" w:hanging="185"/>
        <w:jc w:val="both"/>
        <w:rPr>
          <w:rFonts w:ascii="Book Antiqua"/>
          <w:sz w:val="17"/>
        </w:rPr>
      </w:pPr>
      <w:r>
        <w:rPr>
          <w:rFonts w:ascii="Book Antiqua"/>
          <w:color w:val="231F20"/>
          <w:sz w:val="17"/>
        </w:rPr>
        <w:t>Southwest</w:t>
      </w:r>
      <w:r>
        <w:rPr>
          <w:rFonts w:ascii="Book Antiqua"/>
          <w:color w:val="231F20"/>
          <w:spacing w:val="-8"/>
          <w:sz w:val="17"/>
        </w:rPr>
        <w:t> </w:t>
      </w:r>
      <w:r>
        <w:rPr>
          <w:rFonts w:ascii="Book Antiqua"/>
          <w:color w:val="231F20"/>
          <w:sz w:val="17"/>
        </w:rPr>
        <w:t>retained</w:t>
      </w:r>
      <w:r>
        <w:rPr>
          <w:rFonts w:ascii="Book Antiqua"/>
          <w:color w:val="231F20"/>
          <w:spacing w:val="-5"/>
          <w:sz w:val="17"/>
        </w:rPr>
        <w:t> </w:t>
      </w:r>
      <w:r>
        <w:rPr>
          <w:rFonts w:ascii="Book Antiqua"/>
          <w:color w:val="231F20"/>
          <w:sz w:val="17"/>
        </w:rPr>
        <w:t>its</w:t>
      </w:r>
      <w:r>
        <w:rPr>
          <w:rFonts w:ascii="Book Antiqua"/>
          <w:color w:val="231F20"/>
          <w:spacing w:val="-5"/>
          <w:sz w:val="17"/>
        </w:rPr>
        <w:t> </w:t>
      </w:r>
      <w:r>
        <w:rPr>
          <w:rFonts w:ascii="Book Antiqua"/>
          <w:color w:val="231F20"/>
          <w:sz w:val="17"/>
        </w:rPr>
        <w:t>leadership</w:t>
      </w:r>
      <w:r>
        <w:rPr>
          <w:rFonts w:ascii="Book Antiqua"/>
          <w:color w:val="231F20"/>
          <w:spacing w:val="-5"/>
          <w:sz w:val="17"/>
        </w:rPr>
        <w:t> </w:t>
      </w:r>
      <w:r>
        <w:rPr>
          <w:rFonts w:ascii="Book Antiqua"/>
          <w:color w:val="231F20"/>
          <w:sz w:val="17"/>
        </w:rPr>
        <w:t>in</w:t>
      </w:r>
      <w:r>
        <w:rPr>
          <w:rFonts w:ascii="Book Antiqua"/>
          <w:color w:val="231F20"/>
          <w:spacing w:val="-5"/>
          <w:sz w:val="17"/>
        </w:rPr>
        <w:t> </w:t>
      </w:r>
      <w:r>
        <w:rPr>
          <w:rFonts w:ascii="Book Antiqua"/>
          <w:color w:val="231F20"/>
          <w:sz w:val="17"/>
        </w:rPr>
        <w:t>Customer</w:t>
      </w:r>
      <w:r>
        <w:rPr>
          <w:rFonts w:ascii="Book Antiqua"/>
          <w:color w:val="231F20"/>
          <w:spacing w:val="-10"/>
          <w:sz w:val="17"/>
        </w:rPr>
        <w:t> </w:t>
      </w:r>
      <w:r>
        <w:rPr>
          <w:rFonts w:ascii="Book Antiqua"/>
          <w:color w:val="231F20"/>
          <w:sz w:val="17"/>
        </w:rPr>
        <w:t>Satisfaction,</w:t>
      </w:r>
      <w:r>
        <w:rPr>
          <w:rFonts w:ascii="Book Antiqua"/>
          <w:color w:val="231F20"/>
          <w:spacing w:val="-8"/>
          <w:sz w:val="17"/>
        </w:rPr>
        <w:t> </w:t>
      </w:r>
      <w:r>
        <w:rPr>
          <w:rFonts w:ascii="Book Antiqua"/>
          <w:color w:val="231F20"/>
          <w:sz w:val="17"/>
        </w:rPr>
        <w:t>again receiving</w:t>
      </w:r>
      <w:r>
        <w:rPr>
          <w:rFonts w:ascii="Book Antiqua"/>
          <w:color w:val="231F20"/>
          <w:spacing w:val="-7"/>
          <w:sz w:val="17"/>
        </w:rPr>
        <w:t> </w:t>
      </w:r>
      <w:r>
        <w:rPr>
          <w:rFonts w:ascii="Book Antiqua"/>
          <w:color w:val="231F20"/>
          <w:sz w:val="17"/>
        </w:rPr>
        <w:t>the</w:t>
      </w:r>
      <w:r>
        <w:rPr>
          <w:rFonts w:ascii="Book Antiqua"/>
          <w:color w:val="231F20"/>
          <w:spacing w:val="-7"/>
          <w:sz w:val="17"/>
        </w:rPr>
        <w:t> </w:t>
      </w:r>
      <w:r>
        <w:rPr>
          <w:rFonts w:ascii="Book Antiqua"/>
          <w:color w:val="231F20"/>
          <w:sz w:val="17"/>
        </w:rPr>
        <w:t>fewest</w:t>
      </w:r>
      <w:r>
        <w:rPr>
          <w:rFonts w:ascii="Book Antiqua"/>
          <w:color w:val="231F20"/>
          <w:spacing w:val="-10"/>
          <w:sz w:val="17"/>
        </w:rPr>
        <w:t> </w:t>
      </w:r>
      <w:r>
        <w:rPr>
          <w:rFonts w:ascii="Book Antiqua"/>
          <w:color w:val="231F20"/>
          <w:sz w:val="17"/>
        </w:rPr>
        <w:t>Customer</w:t>
      </w:r>
      <w:r>
        <w:rPr>
          <w:rFonts w:ascii="Book Antiqua"/>
          <w:color w:val="231F20"/>
          <w:spacing w:val="-13"/>
          <w:sz w:val="17"/>
        </w:rPr>
        <w:t> </w:t>
      </w:r>
      <w:r>
        <w:rPr>
          <w:rFonts w:ascii="Book Antiqua"/>
          <w:color w:val="231F20"/>
          <w:sz w:val="17"/>
        </w:rPr>
        <w:t>complaints</w:t>
      </w:r>
      <w:r>
        <w:rPr>
          <w:rFonts w:ascii="Book Antiqua"/>
          <w:color w:val="231F20"/>
          <w:spacing w:val="-7"/>
          <w:sz w:val="17"/>
        </w:rPr>
        <w:t> </w:t>
      </w:r>
      <w:r>
        <w:rPr>
          <w:rFonts w:ascii="Book Antiqua"/>
          <w:color w:val="231F20"/>
          <w:sz w:val="17"/>
        </w:rPr>
        <w:t>per</w:t>
      </w:r>
      <w:r>
        <w:rPr>
          <w:rFonts w:ascii="Book Antiqua"/>
          <w:color w:val="231F20"/>
          <w:spacing w:val="-13"/>
          <w:sz w:val="17"/>
        </w:rPr>
        <w:t> </w:t>
      </w:r>
      <w:r>
        <w:rPr>
          <w:rFonts w:ascii="Book Antiqua"/>
          <w:color w:val="231F20"/>
          <w:sz w:val="17"/>
        </w:rPr>
        <w:t>100,000</w:t>
      </w:r>
      <w:r>
        <w:rPr>
          <w:rFonts w:ascii="Book Antiqua"/>
          <w:color w:val="231F20"/>
          <w:spacing w:val="-7"/>
          <w:sz w:val="17"/>
        </w:rPr>
        <w:t> </w:t>
      </w:r>
      <w:r>
        <w:rPr>
          <w:rFonts w:ascii="Book Antiqua"/>
          <w:color w:val="231F20"/>
          <w:sz w:val="17"/>
        </w:rPr>
        <w:t>Customers </w:t>
      </w:r>
      <w:r>
        <w:rPr>
          <w:rFonts w:ascii="Book Antiqua"/>
          <w:color w:val="231F20"/>
          <w:spacing w:val="6"/>
          <w:sz w:val="17"/>
        </w:rPr>
        <w:t>carried, </w:t>
      </w:r>
      <w:r>
        <w:rPr>
          <w:rFonts w:ascii="Book Antiqua"/>
          <w:color w:val="231F20"/>
          <w:spacing w:val="3"/>
          <w:sz w:val="17"/>
        </w:rPr>
        <w:t>as </w:t>
      </w:r>
      <w:r>
        <w:rPr>
          <w:rFonts w:ascii="Book Antiqua"/>
          <w:color w:val="231F20"/>
          <w:spacing w:val="4"/>
          <w:sz w:val="17"/>
        </w:rPr>
        <w:t>ref </w:t>
      </w:r>
      <w:r>
        <w:rPr>
          <w:rFonts w:ascii="Book Antiqua"/>
          <w:color w:val="231F20"/>
          <w:spacing w:val="5"/>
          <w:sz w:val="17"/>
        </w:rPr>
        <w:t>lected </w:t>
      </w:r>
      <w:r>
        <w:rPr>
          <w:rFonts w:ascii="Book Antiqua"/>
          <w:color w:val="231F20"/>
          <w:spacing w:val="3"/>
          <w:sz w:val="17"/>
        </w:rPr>
        <w:t>in </w:t>
      </w:r>
      <w:r>
        <w:rPr>
          <w:rFonts w:ascii="Book Antiqua"/>
          <w:color w:val="231F20"/>
          <w:spacing w:val="4"/>
          <w:sz w:val="17"/>
        </w:rPr>
        <w:t>DOT </w:t>
      </w:r>
      <w:r>
        <w:rPr>
          <w:rFonts w:ascii="Book Antiqua"/>
          <w:color w:val="231F20"/>
          <w:spacing w:val="6"/>
          <w:sz w:val="17"/>
        </w:rPr>
        <w:t>statistics compiled </w:t>
      </w:r>
      <w:r>
        <w:rPr>
          <w:rFonts w:ascii="Book Antiqua"/>
          <w:color w:val="231F20"/>
          <w:spacing w:val="5"/>
          <w:sz w:val="17"/>
        </w:rPr>
        <w:t>from</w:t>
      </w:r>
      <w:r>
        <w:rPr>
          <w:rFonts w:ascii="Book Antiqua"/>
          <w:color w:val="231F20"/>
          <w:spacing w:val="-18"/>
          <w:sz w:val="17"/>
        </w:rPr>
        <w:t> </w:t>
      </w:r>
      <w:r>
        <w:rPr>
          <w:rFonts w:ascii="Book Antiqua"/>
          <w:color w:val="231F20"/>
          <w:spacing w:val="7"/>
          <w:sz w:val="17"/>
        </w:rPr>
        <w:t>reports </w:t>
      </w:r>
      <w:r>
        <w:rPr>
          <w:rFonts w:ascii="Book Antiqua"/>
          <w:color w:val="231F20"/>
          <w:sz w:val="17"/>
        </w:rPr>
        <w:t>furnished</w:t>
      </w:r>
      <w:r>
        <w:rPr>
          <w:rFonts w:ascii="Book Antiqua"/>
          <w:color w:val="231F20"/>
          <w:spacing w:val="-15"/>
          <w:sz w:val="17"/>
        </w:rPr>
        <w:t> </w:t>
      </w:r>
      <w:r>
        <w:rPr>
          <w:rFonts w:ascii="Book Antiqua"/>
          <w:color w:val="231F20"/>
          <w:spacing w:val="2"/>
          <w:sz w:val="17"/>
        </w:rPr>
        <w:t>to</w:t>
      </w:r>
      <w:r>
        <w:rPr>
          <w:rFonts w:ascii="Book Antiqua"/>
          <w:color w:val="231F20"/>
          <w:spacing w:val="-13"/>
          <w:sz w:val="17"/>
        </w:rPr>
        <w:t> </w:t>
      </w:r>
      <w:r>
        <w:rPr>
          <w:rFonts w:ascii="Book Antiqua"/>
          <w:color w:val="231F20"/>
          <w:spacing w:val="3"/>
          <w:sz w:val="17"/>
        </w:rPr>
        <w:t>DOT</w:t>
      </w:r>
      <w:r>
        <w:rPr>
          <w:rFonts w:ascii="Book Antiqua"/>
          <w:color w:val="231F20"/>
          <w:spacing w:val="-19"/>
          <w:sz w:val="17"/>
        </w:rPr>
        <w:t> </w:t>
      </w:r>
      <w:r>
        <w:rPr>
          <w:rFonts w:ascii="Book Antiqua"/>
          <w:color w:val="231F20"/>
          <w:sz w:val="17"/>
        </w:rPr>
        <w:t>by</w:t>
      </w:r>
      <w:r>
        <w:rPr>
          <w:rFonts w:ascii="Book Antiqua"/>
          <w:color w:val="231F20"/>
          <w:spacing w:val="-17"/>
          <w:sz w:val="17"/>
        </w:rPr>
        <w:t> </w:t>
      </w:r>
      <w:r>
        <w:rPr>
          <w:rFonts w:ascii="Book Antiqua"/>
          <w:color w:val="231F20"/>
          <w:sz w:val="17"/>
        </w:rPr>
        <w:t>the</w:t>
      </w:r>
      <w:r>
        <w:rPr>
          <w:rFonts w:ascii="Book Antiqua"/>
          <w:color w:val="231F20"/>
          <w:spacing w:val="-13"/>
          <w:sz w:val="17"/>
        </w:rPr>
        <w:t> </w:t>
      </w:r>
      <w:r>
        <w:rPr>
          <w:rFonts w:ascii="Book Antiqua"/>
          <w:color w:val="231F20"/>
          <w:spacing w:val="4"/>
          <w:sz w:val="17"/>
        </w:rPr>
        <w:t>largest</w:t>
      </w:r>
      <w:r>
        <w:rPr>
          <w:rFonts w:ascii="Book Antiqua"/>
          <w:color w:val="231F20"/>
          <w:spacing w:val="-16"/>
          <w:sz w:val="17"/>
        </w:rPr>
        <w:t> </w:t>
      </w:r>
      <w:r>
        <w:rPr>
          <w:rFonts w:ascii="Book Antiqua"/>
          <w:color w:val="231F20"/>
          <w:spacing w:val="3"/>
          <w:sz w:val="17"/>
        </w:rPr>
        <w:t>domestic</w:t>
      </w:r>
      <w:r>
        <w:rPr>
          <w:rFonts w:ascii="Book Antiqua"/>
          <w:color w:val="231F20"/>
          <w:spacing w:val="-13"/>
          <w:sz w:val="17"/>
        </w:rPr>
        <w:t> </w:t>
      </w:r>
      <w:r>
        <w:rPr>
          <w:rFonts w:ascii="Book Antiqua"/>
          <w:color w:val="231F20"/>
          <w:spacing w:val="3"/>
          <w:sz w:val="17"/>
        </w:rPr>
        <w:t>air</w:t>
      </w:r>
      <w:r>
        <w:rPr>
          <w:rFonts w:ascii="Book Antiqua"/>
          <w:color w:val="231F20"/>
          <w:spacing w:val="-18"/>
          <w:sz w:val="17"/>
        </w:rPr>
        <w:t> </w:t>
      </w:r>
      <w:r>
        <w:rPr>
          <w:rFonts w:ascii="Book Antiqua"/>
          <w:color w:val="231F20"/>
          <w:spacing w:val="5"/>
          <w:sz w:val="17"/>
        </w:rPr>
        <w:t>carriers.</w:t>
      </w:r>
    </w:p>
    <w:p>
      <w:pPr>
        <w:pStyle w:val="ListParagraph"/>
        <w:numPr>
          <w:ilvl w:val="0"/>
          <w:numId w:val="1"/>
        </w:numPr>
        <w:tabs>
          <w:tab w:pos="668" w:val="left" w:leader="none"/>
        </w:tabs>
        <w:spacing w:line="321" w:lineRule="auto" w:before="144" w:after="0"/>
        <w:ind w:left="667" w:right="3" w:hanging="187"/>
        <w:jc w:val="both"/>
        <w:rPr>
          <w:rFonts w:ascii="Book Antiqua" w:hAnsi="Book Antiqua"/>
          <w:sz w:val="17"/>
        </w:rPr>
      </w:pPr>
      <w:r>
        <w:rPr>
          <w:rFonts w:ascii="Book Antiqua" w:hAnsi="Book Antiqua"/>
          <w:color w:val="231F20"/>
          <w:spacing w:val="2"/>
          <w:sz w:val="17"/>
        </w:rPr>
        <w:t>Southwest </w:t>
      </w:r>
      <w:r>
        <w:rPr>
          <w:rFonts w:ascii="Book Antiqua" w:hAnsi="Book Antiqua"/>
          <w:color w:val="231F20"/>
          <w:spacing w:val="3"/>
          <w:sz w:val="17"/>
        </w:rPr>
        <w:t>was </w:t>
      </w:r>
      <w:r>
        <w:rPr>
          <w:rFonts w:ascii="Book Antiqua" w:hAnsi="Book Antiqua"/>
          <w:color w:val="231F20"/>
          <w:spacing w:val="4"/>
          <w:sz w:val="17"/>
        </w:rPr>
        <w:t>selected: </w:t>
      </w:r>
      <w:r>
        <w:rPr>
          <w:rFonts w:ascii="Book Antiqua" w:hAnsi="Book Antiqua"/>
          <w:color w:val="231F20"/>
          <w:spacing w:val="2"/>
          <w:sz w:val="17"/>
        </w:rPr>
        <w:t>In </w:t>
      </w:r>
      <w:r>
        <w:rPr>
          <w:rFonts w:ascii="Book Antiqua" w:hAnsi="Book Antiqua"/>
          <w:i/>
          <w:color w:val="231F20"/>
          <w:spacing w:val="3"/>
          <w:sz w:val="17"/>
        </w:rPr>
        <w:t>FORTUNE </w:t>
      </w:r>
      <w:r>
        <w:rPr>
          <w:rFonts w:ascii="Book Antiqua" w:hAnsi="Book Antiqua"/>
          <w:color w:val="231F20"/>
          <w:spacing w:val="4"/>
          <w:sz w:val="17"/>
        </w:rPr>
        <w:t>magazine, </w:t>
      </w:r>
      <w:r>
        <w:rPr>
          <w:rFonts w:ascii="Book Antiqua" w:hAnsi="Book Antiqua"/>
          <w:color w:val="231F20"/>
          <w:spacing w:val="2"/>
          <w:sz w:val="17"/>
        </w:rPr>
        <w:t>as one </w:t>
      </w:r>
      <w:r>
        <w:rPr>
          <w:rFonts w:ascii="Book Antiqua" w:hAnsi="Book Antiqua"/>
          <w:color w:val="231F20"/>
          <w:spacing w:val="5"/>
          <w:sz w:val="17"/>
        </w:rPr>
        <w:t>of  </w:t>
      </w:r>
      <w:r>
        <w:rPr>
          <w:rFonts w:ascii="Book Antiqua" w:hAnsi="Book Antiqua"/>
          <w:color w:val="231F20"/>
          <w:spacing w:val="3"/>
          <w:sz w:val="17"/>
        </w:rPr>
        <w:t>our nation’s Most Admired </w:t>
      </w:r>
      <w:r>
        <w:rPr>
          <w:rFonts w:ascii="Book Antiqua" w:hAnsi="Book Antiqua"/>
          <w:color w:val="231F20"/>
          <w:spacing w:val="4"/>
          <w:sz w:val="17"/>
        </w:rPr>
        <w:t>Companies </w:t>
      </w:r>
      <w:r>
        <w:rPr>
          <w:rFonts w:ascii="Book Antiqua" w:hAnsi="Book Antiqua"/>
          <w:color w:val="231F20"/>
          <w:w w:val="95"/>
          <w:sz w:val="17"/>
        </w:rPr>
        <w:t>• </w:t>
      </w:r>
      <w:r>
        <w:rPr>
          <w:rFonts w:ascii="Book Antiqua" w:hAnsi="Book Antiqua"/>
          <w:color w:val="231F20"/>
          <w:spacing w:val="2"/>
          <w:sz w:val="17"/>
        </w:rPr>
        <w:t>In </w:t>
      </w:r>
      <w:r>
        <w:rPr>
          <w:rFonts w:ascii="Book Antiqua" w:hAnsi="Book Antiqua"/>
          <w:i/>
          <w:color w:val="231F20"/>
          <w:spacing w:val="4"/>
          <w:sz w:val="17"/>
        </w:rPr>
        <w:t>Business </w:t>
      </w:r>
      <w:r>
        <w:rPr>
          <w:rFonts w:ascii="Book Antiqua" w:hAnsi="Book Antiqua"/>
          <w:i/>
          <w:color w:val="231F20"/>
          <w:spacing w:val="5"/>
          <w:sz w:val="17"/>
        </w:rPr>
        <w:t>Ethics </w:t>
      </w:r>
      <w:r>
        <w:rPr>
          <w:rFonts w:ascii="Book Antiqua" w:hAnsi="Book Antiqua"/>
          <w:color w:val="231F20"/>
          <w:spacing w:val="3"/>
          <w:sz w:val="17"/>
        </w:rPr>
        <w:t>magazine’s</w:t>
      </w:r>
      <w:r>
        <w:rPr>
          <w:rFonts w:ascii="Book Antiqua" w:hAnsi="Book Antiqua"/>
          <w:color w:val="231F20"/>
          <w:spacing w:val="-17"/>
          <w:sz w:val="17"/>
        </w:rPr>
        <w:t> </w:t>
      </w:r>
      <w:r>
        <w:rPr>
          <w:rFonts w:ascii="Book Antiqua" w:hAnsi="Book Antiqua"/>
          <w:color w:val="231F20"/>
          <w:sz w:val="17"/>
        </w:rPr>
        <w:t>listing</w:t>
      </w:r>
      <w:r>
        <w:rPr>
          <w:rFonts w:ascii="Book Antiqua" w:hAnsi="Book Antiqua"/>
          <w:color w:val="231F20"/>
          <w:spacing w:val="-20"/>
          <w:sz w:val="17"/>
        </w:rPr>
        <w:t> </w:t>
      </w:r>
      <w:r>
        <w:rPr>
          <w:rFonts w:ascii="Book Antiqua" w:hAnsi="Book Antiqua"/>
          <w:color w:val="231F20"/>
          <w:sz w:val="17"/>
        </w:rPr>
        <w:t>of</w:t>
      </w:r>
      <w:r>
        <w:rPr>
          <w:rFonts w:ascii="Book Antiqua" w:hAnsi="Book Antiqua"/>
          <w:color w:val="231F20"/>
          <w:spacing w:val="-20"/>
          <w:sz w:val="17"/>
        </w:rPr>
        <w:t> </w:t>
      </w:r>
      <w:r>
        <w:rPr>
          <w:rFonts w:ascii="Book Antiqua" w:hAnsi="Book Antiqua"/>
          <w:color w:val="231F20"/>
          <w:sz w:val="17"/>
        </w:rPr>
        <w:t>the</w:t>
      </w:r>
      <w:r>
        <w:rPr>
          <w:rFonts w:ascii="Book Antiqua" w:hAnsi="Book Antiqua"/>
          <w:color w:val="231F20"/>
          <w:spacing w:val="-24"/>
          <w:sz w:val="17"/>
        </w:rPr>
        <w:t> </w:t>
      </w:r>
      <w:r>
        <w:rPr>
          <w:rFonts w:ascii="Book Antiqua" w:hAnsi="Book Antiqua"/>
          <w:color w:val="231F20"/>
          <w:spacing w:val="-3"/>
          <w:sz w:val="17"/>
        </w:rPr>
        <w:t>“100</w:t>
      </w:r>
      <w:r>
        <w:rPr>
          <w:rFonts w:ascii="Book Antiqua" w:hAnsi="Book Antiqua"/>
          <w:color w:val="231F20"/>
          <w:spacing w:val="-20"/>
          <w:sz w:val="17"/>
        </w:rPr>
        <w:t> </w:t>
      </w:r>
      <w:r>
        <w:rPr>
          <w:rFonts w:ascii="Book Antiqua" w:hAnsi="Book Antiqua"/>
          <w:color w:val="231F20"/>
          <w:sz w:val="17"/>
        </w:rPr>
        <w:t>Best</w:t>
      </w:r>
      <w:r>
        <w:rPr>
          <w:rFonts w:ascii="Book Antiqua" w:hAnsi="Book Antiqua"/>
          <w:color w:val="231F20"/>
          <w:spacing w:val="-22"/>
          <w:sz w:val="17"/>
        </w:rPr>
        <w:t> </w:t>
      </w:r>
      <w:r>
        <w:rPr>
          <w:rFonts w:ascii="Book Antiqua" w:hAnsi="Book Antiqua"/>
          <w:color w:val="231F20"/>
          <w:sz w:val="17"/>
        </w:rPr>
        <w:t>Corporate</w:t>
      </w:r>
      <w:r>
        <w:rPr>
          <w:rFonts w:ascii="Book Antiqua" w:hAnsi="Book Antiqua"/>
          <w:color w:val="231F20"/>
          <w:spacing w:val="-20"/>
          <w:sz w:val="17"/>
        </w:rPr>
        <w:t> </w:t>
      </w:r>
      <w:r>
        <w:rPr>
          <w:rFonts w:ascii="Book Antiqua" w:hAnsi="Book Antiqua"/>
          <w:color w:val="231F20"/>
          <w:sz w:val="17"/>
        </w:rPr>
        <w:t>Citizens”</w:t>
      </w:r>
      <w:r>
        <w:rPr>
          <w:rFonts w:ascii="Book Antiqua" w:hAnsi="Book Antiqua"/>
          <w:color w:val="231F20"/>
          <w:spacing w:val="-24"/>
          <w:sz w:val="17"/>
        </w:rPr>
        <w:t> </w:t>
      </w:r>
      <w:r>
        <w:rPr>
          <w:rFonts w:ascii="Book Antiqua" w:hAnsi="Book Antiqua"/>
          <w:color w:val="231F20"/>
          <w:sz w:val="17"/>
        </w:rPr>
        <w:t>in</w:t>
      </w:r>
      <w:r>
        <w:rPr>
          <w:rFonts w:ascii="Book Antiqua" w:hAnsi="Book Antiqua"/>
          <w:color w:val="231F20"/>
          <w:spacing w:val="-24"/>
          <w:sz w:val="17"/>
        </w:rPr>
        <w:t> </w:t>
      </w:r>
      <w:r>
        <w:rPr>
          <w:rFonts w:ascii="Book Antiqua" w:hAnsi="Book Antiqua"/>
          <w:color w:val="231F20"/>
          <w:sz w:val="17"/>
        </w:rPr>
        <w:t>America</w:t>
      </w:r>
    </w:p>
    <w:p>
      <w:pPr>
        <w:pStyle w:val="ListParagraph"/>
        <w:numPr>
          <w:ilvl w:val="1"/>
          <w:numId w:val="1"/>
        </w:numPr>
        <w:tabs>
          <w:tab w:pos="850" w:val="left" w:leader="none"/>
        </w:tabs>
        <w:spacing w:line="321" w:lineRule="auto" w:before="0" w:after="0"/>
        <w:ind w:left="667" w:right="0" w:firstLine="0"/>
        <w:jc w:val="both"/>
        <w:rPr>
          <w:rFonts w:ascii="Book Antiqua" w:hAnsi="Book Antiqua"/>
          <w:i/>
          <w:sz w:val="17"/>
        </w:rPr>
      </w:pPr>
      <w:r>
        <w:rPr>
          <w:rFonts w:ascii="Book Antiqua" w:hAnsi="Book Antiqua"/>
          <w:color w:val="231F20"/>
          <w:spacing w:val="2"/>
          <w:sz w:val="17"/>
        </w:rPr>
        <w:t>In </w:t>
      </w:r>
      <w:r>
        <w:rPr>
          <w:rFonts w:ascii="Book Antiqua" w:hAnsi="Book Antiqua"/>
          <w:i/>
          <w:color w:val="231F20"/>
          <w:spacing w:val="2"/>
          <w:sz w:val="17"/>
        </w:rPr>
        <w:t>HISPANIC </w:t>
      </w:r>
      <w:r>
        <w:rPr>
          <w:rFonts w:ascii="Book Antiqua" w:hAnsi="Book Antiqua"/>
          <w:color w:val="231F20"/>
          <w:spacing w:val="6"/>
          <w:sz w:val="17"/>
        </w:rPr>
        <w:t>magazine’s listing </w:t>
      </w:r>
      <w:r>
        <w:rPr>
          <w:rFonts w:ascii="Book Antiqua" w:hAnsi="Book Antiqua"/>
          <w:color w:val="231F20"/>
          <w:spacing w:val="4"/>
          <w:sz w:val="17"/>
        </w:rPr>
        <w:t>of </w:t>
      </w:r>
      <w:r>
        <w:rPr>
          <w:rFonts w:ascii="Book Antiqua" w:hAnsi="Book Antiqua"/>
          <w:color w:val="231F20"/>
          <w:spacing w:val="3"/>
          <w:sz w:val="17"/>
        </w:rPr>
        <w:t>the </w:t>
      </w:r>
      <w:r>
        <w:rPr>
          <w:rFonts w:ascii="Book Antiqua" w:hAnsi="Book Antiqua"/>
          <w:color w:val="231F20"/>
          <w:spacing w:val="6"/>
          <w:sz w:val="17"/>
        </w:rPr>
        <w:t>“2003 </w:t>
      </w:r>
      <w:r>
        <w:rPr>
          <w:rFonts w:ascii="Book Antiqua" w:hAnsi="Book Antiqua"/>
          <w:color w:val="231F20"/>
          <w:spacing w:val="8"/>
          <w:sz w:val="17"/>
        </w:rPr>
        <w:t>Hispanic </w:t>
      </w:r>
      <w:r>
        <w:rPr>
          <w:rFonts w:ascii="Book Antiqua" w:hAnsi="Book Antiqua"/>
          <w:color w:val="231F20"/>
          <w:spacing w:val="4"/>
          <w:sz w:val="17"/>
        </w:rPr>
        <w:t>Corporate </w:t>
      </w:r>
      <w:r>
        <w:rPr>
          <w:rFonts w:ascii="Book Antiqua" w:hAnsi="Book Antiqua"/>
          <w:color w:val="231F20"/>
          <w:sz w:val="17"/>
        </w:rPr>
        <w:t>100” </w:t>
      </w:r>
      <w:r>
        <w:rPr>
          <w:rFonts w:ascii="Book Antiqua" w:hAnsi="Book Antiqua"/>
          <w:color w:val="231F20"/>
          <w:w w:val="95"/>
          <w:sz w:val="17"/>
        </w:rPr>
        <w:t>• </w:t>
      </w:r>
      <w:r>
        <w:rPr>
          <w:rFonts w:ascii="Book Antiqua" w:hAnsi="Book Antiqua"/>
          <w:color w:val="231F20"/>
          <w:spacing w:val="3"/>
          <w:sz w:val="17"/>
        </w:rPr>
        <w:t>The </w:t>
      </w:r>
      <w:r>
        <w:rPr>
          <w:rFonts w:ascii="Book Antiqua" w:hAnsi="Book Antiqua"/>
          <w:color w:val="231F20"/>
          <w:spacing w:val="4"/>
          <w:sz w:val="17"/>
        </w:rPr>
        <w:t>“Best </w:t>
      </w:r>
      <w:r>
        <w:rPr>
          <w:rFonts w:ascii="Book Antiqua" w:hAnsi="Book Antiqua"/>
          <w:color w:val="231F20"/>
          <w:spacing w:val="2"/>
          <w:sz w:val="17"/>
        </w:rPr>
        <w:t>Low </w:t>
      </w:r>
      <w:r>
        <w:rPr>
          <w:rFonts w:ascii="Book Antiqua" w:hAnsi="Book Antiqua"/>
          <w:color w:val="231F20"/>
          <w:spacing w:val="3"/>
          <w:sz w:val="17"/>
        </w:rPr>
        <w:t>Cost </w:t>
      </w:r>
      <w:r>
        <w:rPr>
          <w:rFonts w:ascii="Book Antiqua" w:hAnsi="Book Antiqua"/>
          <w:color w:val="231F20"/>
          <w:spacing w:val="4"/>
          <w:sz w:val="17"/>
        </w:rPr>
        <w:t>Airline” </w:t>
      </w:r>
      <w:r>
        <w:rPr>
          <w:rFonts w:ascii="Book Antiqua" w:hAnsi="Book Antiqua"/>
          <w:color w:val="231F20"/>
          <w:spacing w:val="2"/>
          <w:sz w:val="17"/>
        </w:rPr>
        <w:t>at </w:t>
      </w:r>
      <w:r>
        <w:rPr>
          <w:rFonts w:ascii="Book Antiqua" w:hAnsi="Book Antiqua"/>
          <w:color w:val="231F20"/>
          <w:spacing w:val="3"/>
          <w:sz w:val="17"/>
        </w:rPr>
        <w:t>the </w:t>
      </w:r>
      <w:r>
        <w:rPr>
          <w:rFonts w:ascii="Book Antiqua" w:hAnsi="Book Antiqua"/>
          <w:color w:val="231F20"/>
          <w:spacing w:val="5"/>
          <w:sz w:val="17"/>
        </w:rPr>
        <w:t>2003 </w:t>
      </w:r>
      <w:r>
        <w:rPr>
          <w:rFonts w:ascii="Book Antiqua" w:hAnsi="Book Antiqua"/>
          <w:i/>
          <w:color w:val="231F20"/>
          <w:spacing w:val="4"/>
          <w:sz w:val="17"/>
        </w:rPr>
        <w:t>Official</w:t>
      </w:r>
      <w:r>
        <w:rPr>
          <w:rFonts w:ascii="Book Antiqua" w:hAnsi="Book Antiqua"/>
          <w:i/>
          <w:color w:val="231F20"/>
          <w:spacing w:val="-21"/>
          <w:sz w:val="17"/>
        </w:rPr>
        <w:t> </w:t>
      </w:r>
      <w:r>
        <w:rPr>
          <w:rFonts w:ascii="Book Antiqua" w:hAnsi="Book Antiqua"/>
          <w:i/>
          <w:color w:val="231F20"/>
          <w:spacing w:val="4"/>
          <w:sz w:val="17"/>
        </w:rPr>
        <w:t>Airline</w:t>
      </w:r>
      <w:r>
        <w:rPr>
          <w:rFonts w:ascii="Book Antiqua" w:hAnsi="Book Antiqua"/>
          <w:i/>
          <w:color w:val="231F20"/>
          <w:spacing w:val="-18"/>
          <w:sz w:val="17"/>
        </w:rPr>
        <w:t> </w:t>
      </w:r>
      <w:r>
        <w:rPr>
          <w:rFonts w:ascii="Book Antiqua" w:hAnsi="Book Antiqua"/>
          <w:i/>
          <w:color w:val="231F20"/>
          <w:spacing w:val="4"/>
          <w:sz w:val="17"/>
        </w:rPr>
        <w:t>Guide</w:t>
      </w:r>
      <w:r>
        <w:rPr>
          <w:rFonts w:ascii="Book Antiqua" w:hAnsi="Book Antiqua"/>
          <w:i/>
          <w:color w:val="231F20"/>
          <w:spacing w:val="-22"/>
          <w:sz w:val="17"/>
        </w:rPr>
        <w:t> </w:t>
      </w:r>
      <w:r>
        <w:rPr>
          <w:rFonts w:ascii="Book Antiqua" w:hAnsi="Book Antiqua"/>
          <w:color w:val="231F20"/>
          <w:spacing w:val="3"/>
          <w:sz w:val="17"/>
        </w:rPr>
        <w:t>Airline</w:t>
      </w:r>
      <w:r>
        <w:rPr>
          <w:rFonts w:ascii="Book Antiqua" w:hAnsi="Book Antiqua"/>
          <w:color w:val="231F20"/>
          <w:spacing w:val="-16"/>
          <w:sz w:val="17"/>
        </w:rPr>
        <w:t> </w:t>
      </w:r>
      <w:r>
        <w:rPr>
          <w:rFonts w:ascii="Book Antiqua" w:hAnsi="Book Antiqua"/>
          <w:color w:val="231F20"/>
          <w:spacing w:val="2"/>
          <w:sz w:val="17"/>
        </w:rPr>
        <w:t>of</w:t>
      </w:r>
      <w:r>
        <w:rPr>
          <w:rFonts w:ascii="Book Antiqua" w:hAnsi="Book Antiqua"/>
          <w:color w:val="231F20"/>
          <w:spacing w:val="-16"/>
          <w:sz w:val="17"/>
        </w:rPr>
        <w:t> </w:t>
      </w:r>
      <w:r>
        <w:rPr>
          <w:rFonts w:ascii="Book Antiqua" w:hAnsi="Book Antiqua"/>
          <w:color w:val="231F20"/>
          <w:sz w:val="17"/>
        </w:rPr>
        <w:t>the</w:t>
      </w:r>
      <w:r>
        <w:rPr>
          <w:rFonts w:ascii="Book Antiqua" w:hAnsi="Book Antiqua"/>
          <w:color w:val="231F20"/>
          <w:spacing w:val="-22"/>
          <w:sz w:val="17"/>
        </w:rPr>
        <w:t> </w:t>
      </w:r>
      <w:r>
        <w:rPr>
          <w:rFonts w:ascii="Book Antiqua" w:hAnsi="Book Antiqua"/>
          <w:color w:val="231F20"/>
          <w:spacing w:val="-4"/>
          <w:sz w:val="17"/>
        </w:rPr>
        <w:t>Year</w:t>
      </w:r>
      <w:r>
        <w:rPr>
          <w:rFonts w:ascii="Book Antiqua" w:hAnsi="Book Antiqua"/>
          <w:color w:val="231F20"/>
          <w:spacing w:val="-21"/>
          <w:sz w:val="17"/>
        </w:rPr>
        <w:t> </w:t>
      </w:r>
      <w:r>
        <w:rPr>
          <w:rFonts w:ascii="Book Antiqua" w:hAnsi="Book Antiqua"/>
          <w:color w:val="231F20"/>
          <w:spacing w:val="4"/>
          <w:sz w:val="17"/>
        </w:rPr>
        <w:t>awards</w:t>
      </w:r>
      <w:r>
        <w:rPr>
          <w:rFonts w:ascii="Book Antiqua" w:hAnsi="Book Antiqua"/>
          <w:color w:val="231F20"/>
          <w:spacing w:val="-16"/>
          <w:sz w:val="17"/>
        </w:rPr>
        <w:t> </w:t>
      </w:r>
      <w:r>
        <w:rPr>
          <w:rFonts w:ascii="Book Antiqua" w:hAnsi="Book Antiqua"/>
          <w:color w:val="231F20"/>
          <w:w w:val="95"/>
          <w:sz w:val="17"/>
        </w:rPr>
        <w:t>•</w:t>
      </w:r>
      <w:r>
        <w:rPr>
          <w:rFonts w:ascii="Book Antiqua" w:hAnsi="Book Antiqua"/>
          <w:color w:val="231F20"/>
          <w:spacing w:val="-14"/>
          <w:w w:val="95"/>
          <w:sz w:val="17"/>
        </w:rPr>
        <w:t> </w:t>
      </w:r>
      <w:r>
        <w:rPr>
          <w:rFonts w:ascii="Book Antiqua" w:hAnsi="Book Antiqua"/>
          <w:color w:val="231F20"/>
          <w:sz w:val="17"/>
        </w:rPr>
        <w:t>By</w:t>
      </w:r>
      <w:r>
        <w:rPr>
          <w:rFonts w:ascii="Book Antiqua" w:hAnsi="Book Antiqua"/>
          <w:color w:val="231F20"/>
          <w:spacing w:val="-21"/>
          <w:sz w:val="17"/>
        </w:rPr>
        <w:t> </w:t>
      </w:r>
      <w:r>
        <w:rPr>
          <w:rFonts w:ascii="Book Antiqua" w:hAnsi="Book Antiqua"/>
          <w:i/>
          <w:color w:val="231F20"/>
          <w:spacing w:val="3"/>
          <w:sz w:val="17"/>
        </w:rPr>
        <w:t>Air</w:t>
      </w:r>
      <w:r>
        <w:rPr>
          <w:rFonts w:ascii="Book Antiqua" w:hAnsi="Book Antiqua"/>
          <w:i/>
          <w:color w:val="231F20"/>
          <w:spacing w:val="-28"/>
          <w:sz w:val="17"/>
        </w:rPr>
        <w:t> </w:t>
      </w:r>
      <w:r>
        <w:rPr>
          <w:rFonts w:ascii="Book Antiqua" w:hAnsi="Book Antiqua"/>
          <w:i/>
          <w:color w:val="231F20"/>
          <w:spacing w:val="2"/>
          <w:sz w:val="17"/>
        </w:rPr>
        <w:t>Transport </w:t>
      </w:r>
      <w:r>
        <w:rPr>
          <w:rFonts w:ascii="Book Antiqua" w:hAnsi="Book Antiqua"/>
          <w:i/>
          <w:color w:val="231F20"/>
          <w:sz w:val="17"/>
        </w:rPr>
        <w:t>World  </w:t>
      </w:r>
      <w:r>
        <w:rPr>
          <w:rFonts w:ascii="Book Antiqua" w:hAnsi="Book Antiqua"/>
          <w:color w:val="231F20"/>
          <w:spacing w:val="2"/>
          <w:sz w:val="17"/>
        </w:rPr>
        <w:t>magazine  </w:t>
      </w:r>
      <w:r>
        <w:rPr>
          <w:rFonts w:ascii="Book Antiqua" w:hAnsi="Book Antiqua"/>
          <w:color w:val="231F20"/>
          <w:sz w:val="17"/>
        </w:rPr>
        <w:t>as  its “Airline  of  the </w:t>
      </w:r>
      <w:r>
        <w:rPr>
          <w:rFonts w:ascii="Book Antiqua" w:hAnsi="Book Antiqua"/>
          <w:color w:val="231F20"/>
          <w:spacing w:val="-3"/>
          <w:sz w:val="17"/>
        </w:rPr>
        <w:t>Year”  </w:t>
      </w:r>
      <w:r>
        <w:rPr>
          <w:rFonts w:ascii="Book Antiqua" w:hAnsi="Book Antiqua"/>
          <w:color w:val="231F20"/>
          <w:w w:val="95"/>
          <w:sz w:val="17"/>
        </w:rPr>
        <w:t>•  </w:t>
      </w:r>
      <w:r>
        <w:rPr>
          <w:rFonts w:ascii="Book Antiqua" w:hAnsi="Book Antiqua"/>
          <w:color w:val="231F20"/>
          <w:sz w:val="17"/>
        </w:rPr>
        <w:t>By </w:t>
      </w:r>
      <w:r>
        <w:rPr>
          <w:rFonts w:ascii="Book Antiqua" w:hAnsi="Book Antiqua"/>
          <w:i/>
          <w:color w:val="231F20"/>
          <w:spacing w:val="2"/>
          <w:sz w:val="17"/>
        </w:rPr>
        <w:t>Inside </w:t>
      </w:r>
      <w:r>
        <w:rPr>
          <w:rFonts w:ascii="Book Antiqua" w:hAnsi="Book Antiqua"/>
          <w:i/>
          <w:color w:val="231F20"/>
          <w:spacing w:val="10"/>
          <w:sz w:val="17"/>
        </w:rPr>
        <w:t> </w:t>
      </w:r>
      <w:r>
        <w:rPr>
          <w:rFonts w:ascii="Book Antiqua" w:hAnsi="Book Antiqua"/>
          <w:i/>
          <w:color w:val="231F20"/>
          <w:spacing w:val="2"/>
          <w:sz w:val="17"/>
        </w:rPr>
        <w:t>Flyer</w:t>
      </w:r>
    </w:p>
    <w:p>
      <w:pPr>
        <w:spacing w:line="350" w:lineRule="auto" w:before="97"/>
        <w:ind w:left="496" w:right="103" w:firstLine="0"/>
        <w:jc w:val="both"/>
        <w:rPr>
          <w:rFonts w:ascii="Book Antiqua" w:hAnsi="Book Antiqua"/>
          <w:sz w:val="17"/>
        </w:rPr>
      </w:pPr>
      <w:r>
        <w:rPr/>
        <w:br w:type="column"/>
      </w:r>
      <w:r>
        <w:rPr>
          <w:rFonts w:ascii="Book Antiqua" w:hAnsi="Book Antiqua"/>
          <w:color w:val="231F20"/>
          <w:sz w:val="17"/>
        </w:rPr>
        <w:t>magazine as having the Best Customer Service, Best Bonus Promotion, and Best Award Redemption of any frequent f lyer program (Southwest’s Rapid Rewards) </w:t>
      </w:r>
      <w:r>
        <w:rPr>
          <w:rFonts w:ascii="Book Antiqua" w:hAnsi="Book Antiqua"/>
          <w:color w:val="231F20"/>
          <w:w w:val="95"/>
          <w:sz w:val="17"/>
        </w:rPr>
        <w:t>• </w:t>
      </w:r>
      <w:r>
        <w:rPr>
          <w:rFonts w:ascii="Book Antiqua" w:hAnsi="Book Antiqua"/>
          <w:color w:val="231F20"/>
          <w:sz w:val="17"/>
        </w:rPr>
        <w:t>As featured airline in the A&amp;E Network series </w:t>
      </w:r>
      <w:r>
        <w:rPr>
          <w:rFonts w:ascii="Book Antiqua" w:hAnsi="Book Antiqua"/>
          <w:i/>
          <w:color w:val="231F20"/>
          <w:sz w:val="17"/>
        </w:rPr>
        <w:t>AIRLINE </w:t>
      </w:r>
      <w:r>
        <w:rPr>
          <w:rFonts w:ascii="Book Antiqua" w:hAnsi="Book Antiqua"/>
          <w:color w:val="231F20"/>
          <w:w w:val="95"/>
          <w:sz w:val="17"/>
        </w:rPr>
        <w:t>• </w:t>
      </w:r>
      <w:r>
        <w:rPr>
          <w:rFonts w:ascii="Book Antiqua" w:hAnsi="Book Antiqua"/>
          <w:color w:val="231F20"/>
          <w:sz w:val="17"/>
        </w:rPr>
        <w:t>For </w:t>
      </w:r>
      <w:r>
        <w:rPr>
          <w:rFonts w:ascii="Book Antiqua" w:hAnsi="Book Antiqua"/>
          <w:i/>
          <w:color w:val="231F20"/>
          <w:sz w:val="17"/>
        </w:rPr>
        <w:t>Global Finance </w:t>
      </w:r>
      <w:r>
        <w:rPr>
          <w:rFonts w:ascii="Book Antiqua" w:hAnsi="Book Antiqua"/>
          <w:color w:val="231F20"/>
          <w:sz w:val="17"/>
        </w:rPr>
        <w:t>magazine’s “Experts’ List of the World’s Most Socially </w:t>
      </w:r>
      <w:r>
        <w:rPr>
          <w:rFonts w:ascii="Book Antiqua" w:hAnsi="Book Antiqua"/>
          <w:color w:val="231F20"/>
          <w:w w:val="95"/>
          <w:sz w:val="17"/>
        </w:rPr>
        <w:t>Responsible Companies.”</w:t>
      </w:r>
    </w:p>
    <w:p>
      <w:pPr>
        <w:spacing w:line="350" w:lineRule="auto" w:before="169"/>
        <w:ind w:left="308" w:right="104" w:firstLine="360"/>
        <w:jc w:val="both"/>
        <w:rPr>
          <w:rFonts w:ascii="Book Antiqua" w:hAnsi="Book Antiqua"/>
          <w:sz w:val="17"/>
        </w:rPr>
      </w:pPr>
      <w:r>
        <w:rPr>
          <w:rFonts w:ascii="Book Antiqua" w:hAnsi="Book Antiqua"/>
          <w:color w:val="231F20"/>
          <w:sz w:val="17"/>
        </w:rPr>
        <w:t>We </w:t>
      </w:r>
      <w:r>
        <w:rPr>
          <w:rFonts w:ascii="Book Antiqua" w:hAnsi="Book Antiqua"/>
          <w:color w:val="231F20"/>
          <w:spacing w:val="9"/>
          <w:sz w:val="17"/>
        </w:rPr>
        <w:t>intend </w:t>
      </w:r>
      <w:r>
        <w:rPr>
          <w:rFonts w:ascii="Book Antiqua" w:hAnsi="Book Antiqua"/>
          <w:color w:val="231F20"/>
          <w:spacing w:val="5"/>
          <w:sz w:val="17"/>
        </w:rPr>
        <w:t>to </w:t>
      </w:r>
      <w:r>
        <w:rPr>
          <w:rFonts w:ascii="Book Antiqua" w:hAnsi="Book Antiqua"/>
          <w:color w:val="231F20"/>
          <w:spacing w:val="7"/>
          <w:sz w:val="17"/>
        </w:rPr>
        <w:t>keep </w:t>
      </w:r>
      <w:r>
        <w:rPr>
          <w:rFonts w:ascii="Book Antiqua" w:hAnsi="Book Antiqua"/>
          <w:color w:val="231F20"/>
          <w:spacing w:val="8"/>
          <w:sz w:val="17"/>
        </w:rPr>
        <w:t>“MOVING </w:t>
      </w:r>
      <w:r>
        <w:rPr>
          <w:rFonts w:ascii="Book Antiqua" w:hAnsi="Book Antiqua"/>
          <w:color w:val="231F20"/>
          <w:spacing w:val="8"/>
          <w:sz w:val="17"/>
          <w:u w:val="single" w:color="231F20"/>
        </w:rPr>
        <w:t>FURTHER </w:t>
      </w:r>
      <w:r>
        <w:rPr>
          <w:rFonts w:ascii="Book Antiqua" w:hAnsi="Book Antiqua"/>
          <w:color w:val="231F20"/>
          <w:spacing w:val="9"/>
          <w:sz w:val="17"/>
        </w:rPr>
        <w:t>AHEAD” </w:t>
      </w:r>
      <w:r>
        <w:rPr>
          <w:rFonts w:ascii="Book Antiqua" w:hAnsi="Book Antiqua"/>
          <w:color w:val="231F20"/>
          <w:spacing w:val="11"/>
          <w:sz w:val="17"/>
        </w:rPr>
        <w:t>in </w:t>
      </w:r>
      <w:r>
        <w:rPr>
          <w:rFonts w:ascii="Book Antiqua" w:hAnsi="Book Antiqua"/>
          <w:color w:val="231F20"/>
          <w:spacing w:val="3"/>
          <w:sz w:val="17"/>
        </w:rPr>
        <w:t>2004, </w:t>
      </w:r>
      <w:r>
        <w:rPr>
          <w:rFonts w:ascii="Book Antiqua" w:hAnsi="Book Antiqua"/>
          <w:color w:val="231F20"/>
          <w:spacing w:val="4"/>
          <w:sz w:val="17"/>
        </w:rPr>
        <w:t>expanding </w:t>
      </w:r>
      <w:r>
        <w:rPr>
          <w:rFonts w:ascii="Book Antiqua" w:hAnsi="Book Antiqua"/>
          <w:color w:val="231F20"/>
          <w:spacing w:val="3"/>
          <w:sz w:val="17"/>
        </w:rPr>
        <w:t>our </w:t>
      </w:r>
      <w:r>
        <w:rPr>
          <w:rFonts w:ascii="Book Antiqua" w:hAnsi="Book Antiqua"/>
          <w:color w:val="231F20"/>
          <w:sz w:val="17"/>
        </w:rPr>
        <w:t>f </w:t>
      </w:r>
      <w:r>
        <w:rPr>
          <w:rFonts w:ascii="Book Antiqua" w:hAnsi="Book Antiqua"/>
          <w:color w:val="231F20"/>
          <w:spacing w:val="3"/>
          <w:sz w:val="17"/>
        </w:rPr>
        <w:t>leet </w:t>
      </w:r>
      <w:r>
        <w:rPr>
          <w:rFonts w:ascii="Book Antiqua" w:hAnsi="Book Antiqua"/>
          <w:color w:val="231F20"/>
          <w:sz w:val="17"/>
        </w:rPr>
        <w:t>by a </w:t>
      </w:r>
      <w:r>
        <w:rPr>
          <w:rFonts w:ascii="Book Antiqua" w:hAnsi="Book Antiqua"/>
          <w:color w:val="231F20"/>
          <w:spacing w:val="3"/>
          <w:sz w:val="17"/>
        </w:rPr>
        <w:t>net </w:t>
      </w:r>
      <w:r>
        <w:rPr>
          <w:rFonts w:ascii="Book Antiqua" w:hAnsi="Book Antiqua"/>
          <w:color w:val="231F20"/>
          <w:spacing w:val="2"/>
          <w:sz w:val="17"/>
        </w:rPr>
        <w:t>of </w:t>
      </w:r>
      <w:r>
        <w:rPr>
          <w:rFonts w:ascii="Book Antiqua" w:hAnsi="Book Antiqua"/>
          <w:color w:val="231F20"/>
          <w:sz w:val="17"/>
        </w:rPr>
        <w:t>29 </w:t>
      </w:r>
      <w:r>
        <w:rPr>
          <w:rFonts w:ascii="Book Antiqua" w:hAnsi="Book Antiqua"/>
          <w:color w:val="231F20"/>
          <w:spacing w:val="3"/>
          <w:sz w:val="17"/>
        </w:rPr>
        <w:t>new </w:t>
      </w:r>
      <w:r>
        <w:rPr>
          <w:rFonts w:ascii="Book Antiqua" w:hAnsi="Book Antiqua"/>
          <w:color w:val="231F20"/>
          <w:sz w:val="17"/>
        </w:rPr>
        <w:t>737-700s </w:t>
      </w:r>
      <w:r>
        <w:rPr>
          <w:rFonts w:ascii="Book Antiqua" w:hAnsi="Book Antiqua"/>
          <w:color w:val="231F20"/>
          <w:spacing w:val="3"/>
          <w:sz w:val="17"/>
        </w:rPr>
        <w:t>and </w:t>
      </w:r>
      <w:r>
        <w:rPr>
          <w:rFonts w:ascii="Book Antiqua" w:hAnsi="Book Antiqua"/>
          <w:color w:val="231F20"/>
          <w:spacing w:val="5"/>
          <w:sz w:val="17"/>
        </w:rPr>
        <w:t>our </w:t>
      </w:r>
      <w:r>
        <w:rPr>
          <w:rFonts w:ascii="Book Antiqua" w:hAnsi="Book Antiqua"/>
          <w:color w:val="231F20"/>
          <w:spacing w:val="2"/>
          <w:sz w:val="17"/>
        </w:rPr>
        <w:t>Available </w:t>
      </w:r>
      <w:r>
        <w:rPr>
          <w:rFonts w:ascii="Book Antiqua" w:hAnsi="Book Antiqua"/>
          <w:color w:val="231F20"/>
          <w:spacing w:val="3"/>
          <w:sz w:val="17"/>
        </w:rPr>
        <w:t>Seat </w:t>
      </w:r>
      <w:r>
        <w:rPr>
          <w:rFonts w:ascii="Book Antiqua" w:hAnsi="Book Antiqua"/>
          <w:color w:val="231F20"/>
          <w:spacing w:val="7"/>
          <w:sz w:val="17"/>
        </w:rPr>
        <w:t>Miles </w:t>
      </w:r>
      <w:r>
        <w:rPr>
          <w:rFonts w:ascii="Book Antiqua" w:hAnsi="Book Antiqua"/>
          <w:color w:val="231F20"/>
          <w:spacing w:val="3"/>
          <w:sz w:val="17"/>
        </w:rPr>
        <w:t>by </w:t>
      </w:r>
      <w:r>
        <w:rPr>
          <w:rFonts w:ascii="Book Antiqua" w:hAnsi="Book Antiqua"/>
          <w:color w:val="231F20"/>
          <w:spacing w:val="9"/>
          <w:sz w:val="17"/>
        </w:rPr>
        <w:t>almost eight </w:t>
      </w:r>
      <w:r>
        <w:rPr>
          <w:rFonts w:ascii="Book Antiqua" w:hAnsi="Book Antiqua"/>
          <w:color w:val="231F20"/>
          <w:spacing w:val="10"/>
          <w:sz w:val="17"/>
        </w:rPr>
        <w:t>percent, </w:t>
      </w:r>
      <w:r>
        <w:rPr>
          <w:rFonts w:ascii="Book Antiqua" w:hAnsi="Book Antiqua"/>
          <w:color w:val="231F20"/>
          <w:spacing w:val="9"/>
          <w:sz w:val="17"/>
        </w:rPr>
        <w:t>while </w:t>
      </w:r>
      <w:r>
        <w:rPr>
          <w:rFonts w:ascii="Book Antiqua" w:hAnsi="Book Antiqua"/>
          <w:color w:val="231F20"/>
          <w:spacing w:val="12"/>
          <w:sz w:val="17"/>
        </w:rPr>
        <w:t>utilizing </w:t>
      </w:r>
      <w:r>
        <w:rPr>
          <w:rFonts w:ascii="Book Antiqua" w:hAnsi="Book Antiqua"/>
          <w:color w:val="231F20"/>
          <w:spacing w:val="8"/>
          <w:sz w:val="17"/>
        </w:rPr>
        <w:t>our</w:t>
      </w:r>
      <w:r>
        <w:rPr>
          <w:rFonts w:ascii="Book Antiqua" w:hAnsi="Book Antiqua"/>
          <w:color w:val="231F20"/>
          <w:spacing w:val="-16"/>
          <w:sz w:val="17"/>
        </w:rPr>
        <w:t> </w:t>
      </w:r>
      <w:r>
        <w:rPr>
          <w:rFonts w:ascii="Book Antiqua" w:hAnsi="Book Antiqua"/>
          <w:color w:val="231F20"/>
          <w:spacing w:val="11"/>
          <w:sz w:val="17"/>
        </w:rPr>
        <w:t>proportionally</w:t>
      </w:r>
      <w:r>
        <w:rPr>
          <w:rFonts w:ascii="Book Antiqua" w:hAnsi="Book Antiqua"/>
          <w:color w:val="231F20"/>
          <w:spacing w:val="-17"/>
          <w:sz w:val="17"/>
        </w:rPr>
        <w:t> </w:t>
      </w:r>
      <w:r>
        <w:rPr>
          <w:rFonts w:ascii="Book Antiqua" w:hAnsi="Book Antiqua"/>
          <w:color w:val="231F20"/>
          <w:spacing w:val="6"/>
          <w:sz w:val="17"/>
        </w:rPr>
        <w:t>unsurpassed</w:t>
      </w:r>
      <w:r>
        <w:rPr>
          <w:rFonts w:ascii="Book Antiqua" w:hAnsi="Book Antiqua"/>
          <w:color w:val="231F20"/>
          <w:spacing w:val="-17"/>
          <w:sz w:val="17"/>
        </w:rPr>
        <w:t> </w:t>
      </w:r>
      <w:r>
        <w:rPr>
          <w:rFonts w:ascii="Book Antiqua" w:hAnsi="Book Antiqua"/>
          <w:color w:val="231F20"/>
          <w:spacing w:val="5"/>
          <w:sz w:val="17"/>
        </w:rPr>
        <w:t>financial</w:t>
      </w:r>
      <w:r>
        <w:rPr>
          <w:rFonts w:ascii="Book Antiqua" w:hAnsi="Book Antiqua"/>
          <w:color w:val="231F20"/>
          <w:spacing w:val="-17"/>
          <w:sz w:val="17"/>
        </w:rPr>
        <w:t> </w:t>
      </w:r>
      <w:r>
        <w:rPr>
          <w:rFonts w:ascii="Book Antiqua" w:hAnsi="Book Antiqua"/>
          <w:color w:val="231F20"/>
          <w:spacing w:val="4"/>
          <w:sz w:val="17"/>
        </w:rPr>
        <w:t>strength</w:t>
      </w:r>
      <w:r>
        <w:rPr>
          <w:rFonts w:ascii="Book Antiqua" w:hAnsi="Book Antiqua"/>
          <w:color w:val="231F20"/>
          <w:spacing w:val="-17"/>
          <w:sz w:val="17"/>
        </w:rPr>
        <w:t> </w:t>
      </w:r>
      <w:r>
        <w:rPr>
          <w:rFonts w:ascii="Book Antiqua" w:hAnsi="Book Antiqua"/>
          <w:color w:val="231F20"/>
          <w:spacing w:val="2"/>
          <w:sz w:val="17"/>
        </w:rPr>
        <w:t>($1.87</w:t>
      </w:r>
      <w:r>
        <w:rPr>
          <w:rFonts w:ascii="Book Antiqua" w:hAnsi="Book Antiqua"/>
          <w:color w:val="231F20"/>
          <w:spacing w:val="-21"/>
          <w:sz w:val="17"/>
        </w:rPr>
        <w:t> </w:t>
      </w:r>
      <w:r>
        <w:rPr>
          <w:rFonts w:ascii="Book Antiqua" w:hAnsi="Book Antiqua"/>
          <w:color w:val="231F20"/>
          <w:spacing w:val="5"/>
          <w:sz w:val="17"/>
        </w:rPr>
        <w:t>billion </w:t>
      </w:r>
      <w:r>
        <w:rPr>
          <w:rFonts w:ascii="Book Antiqua" w:hAnsi="Book Antiqua"/>
          <w:color w:val="231F20"/>
          <w:spacing w:val="2"/>
          <w:sz w:val="17"/>
        </w:rPr>
        <w:t>in </w:t>
      </w:r>
      <w:r>
        <w:rPr>
          <w:rFonts w:ascii="Book Antiqua" w:hAnsi="Book Antiqua"/>
          <w:color w:val="231F20"/>
          <w:spacing w:val="3"/>
          <w:sz w:val="17"/>
        </w:rPr>
        <w:t>cash and </w:t>
      </w:r>
      <w:r>
        <w:rPr>
          <w:rFonts w:ascii="Book Antiqua" w:hAnsi="Book Antiqua"/>
          <w:color w:val="231F20"/>
          <w:spacing w:val="2"/>
          <w:sz w:val="17"/>
        </w:rPr>
        <w:t>an </w:t>
      </w:r>
      <w:r>
        <w:rPr>
          <w:rFonts w:ascii="Book Antiqua" w:hAnsi="Book Antiqua"/>
          <w:color w:val="231F20"/>
          <w:spacing w:val="4"/>
          <w:sz w:val="17"/>
        </w:rPr>
        <w:t>unsecured </w:t>
      </w:r>
      <w:r>
        <w:rPr>
          <w:rFonts w:ascii="Book Antiqua" w:hAnsi="Book Antiqua"/>
          <w:color w:val="231F20"/>
          <w:spacing w:val="3"/>
          <w:sz w:val="17"/>
        </w:rPr>
        <w:t>revolving </w:t>
      </w:r>
      <w:r>
        <w:rPr>
          <w:rFonts w:ascii="Book Antiqua" w:hAnsi="Book Antiqua"/>
          <w:color w:val="231F20"/>
          <w:spacing w:val="4"/>
          <w:sz w:val="17"/>
        </w:rPr>
        <w:t>credit </w:t>
      </w:r>
      <w:r>
        <w:rPr>
          <w:rFonts w:ascii="Book Antiqua" w:hAnsi="Book Antiqua"/>
          <w:color w:val="231F20"/>
          <w:spacing w:val="3"/>
          <w:sz w:val="17"/>
        </w:rPr>
        <w:t>line </w:t>
      </w:r>
      <w:r>
        <w:rPr>
          <w:rFonts w:ascii="Book Antiqua" w:hAnsi="Book Antiqua"/>
          <w:color w:val="231F20"/>
          <w:spacing w:val="2"/>
          <w:sz w:val="17"/>
        </w:rPr>
        <w:t>of </w:t>
      </w:r>
      <w:r>
        <w:rPr>
          <w:rFonts w:ascii="Book Antiqua" w:hAnsi="Book Antiqua"/>
          <w:color w:val="231F20"/>
          <w:sz w:val="17"/>
        </w:rPr>
        <w:t>$575 </w:t>
      </w:r>
      <w:r>
        <w:rPr>
          <w:rFonts w:ascii="Book Antiqua" w:hAnsi="Book Antiqua"/>
          <w:color w:val="231F20"/>
          <w:spacing w:val="4"/>
          <w:sz w:val="17"/>
        </w:rPr>
        <w:t>million </w:t>
      </w:r>
      <w:r>
        <w:rPr>
          <w:rFonts w:ascii="Book Antiqua" w:hAnsi="Book Antiqua"/>
          <w:color w:val="231F20"/>
          <w:spacing w:val="5"/>
          <w:sz w:val="17"/>
        </w:rPr>
        <w:t>at </w:t>
      </w:r>
      <w:r>
        <w:rPr>
          <w:rFonts w:ascii="Book Antiqua" w:hAnsi="Book Antiqua"/>
          <w:color w:val="231F20"/>
          <w:spacing w:val="3"/>
          <w:sz w:val="17"/>
        </w:rPr>
        <w:t>yearend</w:t>
      </w:r>
      <w:r>
        <w:rPr>
          <w:rFonts w:ascii="Book Antiqua" w:hAnsi="Book Antiqua"/>
          <w:color w:val="231F20"/>
          <w:spacing w:val="-22"/>
          <w:sz w:val="17"/>
        </w:rPr>
        <w:t> </w:t>
      </w:r>
      <w:r>
        <w:rPr>
          <w:rFonts w:ascii="Book Antiqua" w:hAnsi="Book Antiqua"/>
          <w:color w:val="231F20"/>
          <w:spacing w:val="5"/>
          <w:sz w:val="17"/>
        </w:rPr>
        <w:t>2003),</w:t>
      </w:r>
      <w:r>
        <w:rPr>
          <w:rFonts w:ascii="Book Antiqua" w:hAnsi="Book Antiqua"/>
          <w:color w:val="231F20"/>
          <w:spacing w:val="-24"/>
          <w:sz w:val="17"/>
        </w:rPr>
        <w:t> </w:t>
      </w:r>
      <w:r>
        <w:rPr>
          <w:rFonts w:ascii="Book Antiqua" w:hAnsi="Book Antiqua"/>
          <w:color w:val="231F20"/>
          <w:spacing w:val="4"/>
          <w:sz w:val="17"/>
        </w:rPr>
        <w:t>continued</w:t>
      </w:r>
      <w:r>
        <w:rPr>
          <w:rFonts w:ascii="Book Antiqua" w:hAnsi="Book Antiqua"/>
          <w:color w:val="231F20"/>
          <w:spacing w:val="-22"/>
          <w:sz w:val="17"/>
        </w:rPr>
        <w:t> </w:t>
      </w:r>
      <w:r>
        <w:rPr>
          <w:rFonts w:ascii="Book Antiqua" w:hAnsi="Book Antiqua"/>
          <w:color w:val="231F20"/>
          <w:sz w:val="17"/>
        </w:rPr>
        <w:t>low</w:t>
      </w:r>
      <w:r>
        <w:rPr>
          <w:rFonts w:ascii="Book Antiqua" w:hAnsi="Book Antiqua"/>
          <w:color w:val="231F20"/>
          <w:spacing w:val="-25"/>
          <w:sz w:val="17"/>
        </w:rPr>
        <w:t> </w:t>
      </w:r>
      <w:r>
        <w:rPr>
          <w:rFonts w:ascii="Book Antiqua" w:hAnsi="Book Antiqua"/>
          <w:color w:val="231F20"/>
          <w:spacing w:val="4"/>
          <w:sz w:val="17"/>
        </w:rPr>
        <w:t>costs</w:t>
      </w:r>
      <w:r>
        <w:rPr>
          <w:rFonts w:ascii="Book Antiqua" w:hAnsi="Book Antiqua"/>
          <w:color w:val="231F20"/>
          <w:spacing w:val="-22"/>
          <w:sz w:val="17"/>
        </w:rPr>
        <w:t> </w:t>
      </w:r>
      <w:r>
        <w:rPr>
          <w:rFonts w:ascii="Book Antiqua" w:hAnsi="Book Antiqua"/>
          <w:color w:val="231F20"/>
          <w:spacing w:val="3"/>
          <w:sz w:val="17"/>
        </w:rPr>
        <w:t>per</w:t>
      </w:r>
      <w:r>
        <w:rPr>
          <w:rFonts w:ascii="Book Antiqua" w:hAnsi="Book Antiqua"/>
          <w:color w:val="231F20"/>
          <w:spacing w:val="-30"/>
          <w:sz w:val="17"/>
        </w:rPr>
        <w:t> </w:t>
      </w:r>
      <w:r>
        <w:rPr>
          <w:rFonts w:ascii="Book Antiqua" w:hAnsi="Book Antiqua"/>
          <w:color w:val="231F20"/>
          <w:sz w:val="17"/>
        </w:rPr>
        <w:t>Available</w:t>
      </w:r>
      <w:r>
        <w:rPr>
          <w:rFonts w:ascii="Book Antiqua" w:hAnsi="Book Antiqua"/>
          <w:color w:val="231F20"/>
          <w:spacing w:val="-22"/>
          <w:sz w:val="17"/>
        </w:rPr>
        <w:t> </w:t>
      </w:r>
      <w:r>
        <w:rPr>
          <w:rFonts w:ascii="Book Antiqua" w:hAnsi="Book Antiqua"/>
          <w:color w:val="231F20"/>
          <w:spacing w:val="3"/>
          <w:sz w:val="17"/>
        </w:rPr>
        <w:t>Seat</w:t>
      </w:r>
      <w:r>
        <w:rPr>
          <w:rFonts w:ascii="Book Antiqua" w:hAnsi="Book Antiqua"/>
          <w:color w:val="231F20"/>
          <w:spacing w:val="-24"/>
          <w:sz w:val="17"/>
        </w:rPr>
        <w:t> </w:t>
      </w:r>
      <w:r>
        <w:rPr>
          <w:rFonts w:ascii="Book Antiqua" w:hAnsi="Book Antiqua"/>
          <w:color w:val="231F20"/>
          <w:spacing w:val="4"/>
          <w:sz w:val="17"/>
        </w:rPr>
        <w:t>Mile,</w:t>
      </w:r>
      <w:r>
        <w:rPr>
          <w:rFonts w:ascii="Book Antiqua" w:hAnsi="Book Antiqua"/>
          <w:color w:val="231F20"/>
          <w:spacing w:val="-24"/>
          <w:sz w:val="17"/>
        </w:rPr>
        <w:t> </w:t>
      </w:r>
      <w:r>
        <w:rPr>
          <w:rFonts w:ascii="Book Antiqua" w:hAnsi="Book Antiqua"/>
          <w:color w:val="231F20"/>
          <w:spacing w:val="5"/>
          <w:sz w:val="17"/>
        </w:rPr>
        <w:t>leading </w:t>
      </w:r>
      <w:r>
        <w:rPr>
          <w:rFonts w:ascii="Book Antiqua" w:hAnsi="Book Antiqua"/>
          <w:color w:val="231F20"/>
          <w:spacing w:val="4"/>
          <w:sz w:val="17"/>
        </w:rPr>
        <w:t>Customer Satisfaction record, </w:t>
      </w:r>
      <w:r>
        <w:rPr>
          <w:rFonts w:ascii="Book Antiqua" w:hAnsi="Book Antiqua"/>
          <w:color w:val="231F20"/>
          <w:spacing w:val="3"/>
          <w:sz w:val="17"/>
        </w:rPr>
        <w:t>and </w:t>
      </w:r>
      <w:r>
        <w:rPr>
          <w:rFonts w:ascii="Book Antiqua" w:hAnsi="Book Antiqua"/>
          <w:color w:val="231F20"/>
          <w:spacing w:val="4"/>
          <w:sz w:val="17"/>
        </w:rPr>
        <w:t>superb </w:t>
      </w:r>
      <w:r>
        <w:rPr>
          <w:rFonts w:ascii="Book Antiqua" w:hAnsi="Book Antiqua"/>
          <w:color w:val="231F20"/>
          <w:spacing w:val="3"/>
          <w:sz w:val="17"/>
        </w:rPr>
        <w:t>Employee </w:t>
      </w:r>
      <w:r>
        <w:rPr>
          <w:rFonts w:ascii="Book Antiqua" w:hAnsi="Book Antiqua"/>
          <w:color w:val="231F20"/>
          <w:spacing w:val="4"/>
          <w:sz w:val="17"/>
        </w:rPr>
        <w:t>esprit </w:t>
      </w:r>
      <w:r>
        <w:rPr>
          <w:rFonts w:ascii="Book Antiqua" w:hAnsi="Book Antiqua"/>
          <w:color w:val="231F20"/>
          <w:spacing w:val="5"/>
          <w:sz w:val="17"/>
        </w:rPr>
        <w:t>de </w:t>
      </w:r>
      <w:r>
        <w:rPr>
          <w:rFonts w:ascii="Book Antiqua" w:hAnsi="Book Antiqua"/>
          <w:color w:val="231F20"/>
          <w:spacing w:val="4"/>
          <w:sz w:val="17"/>
        </w:rPr>
        <w:t>corps </w:t>
      </w:r>
      <w:r>
        <w:rPr>
          <w:rFonts w:ascii="Book Antiqua" w:hAnsi="Book Antiqua"/>
          <w:color w:val="231F20"/>
          <w:spacing w:val="2"/>
          <w:sz w:val="17"/>
        </w:rPr>
        <w:t>to </w:t>
      </w:r>
      <w:r>
        <w:rPr>
          <w:rFonts w:ascii="Book Antiqua" w:hAnsi="Book Antiqua"/>
          <w:color w:val="231F20"/>
          <w:spacing w:val="4"/>
          <w:sz w:val="17"/>
        </w:rPr>
        <w:t>prevail </w:t>
      </w:r>
      <w:r>
        <w:rPr>
          <w:rFonts w:ascii="Book Antiqua" w:hAnsi="Book Antiqua"/>
          <w:color w:val="231F20"/>
          <w:sz w:val="17"/>
        </w:rPr>
        <w:t>over </w:t>
      </w:r>
      <w:r>
        <w:rPr>
          <w:rFonts w:ascii="Book Antiqua" w:hAnsi="Book Antiqua"/>
          <w:color w:val="231F20"/>
          <w:spacing w:val="3"/>
          <w:sz w:val="17"/>
        </w:rPr>
        <w:t>the 2004 </w:t>
      </w:r>
      <w:r>
        <w:rPr>
          <w:rFonts w:ascii="Book Antiqua" w:hAnsi="Book Antiqua"/>
          <w:color w:val="231F20"/>
          <w:spacing w:val="4"/>
          <w:sz w:val="17"/>
        </w:rPr>
        <w:t>uncertainties </w:t>
      </w:r>
      <w:r>
        <w:rPr>
          <w:rFonts w:ascii="Book Antiqua" w:hAnsi="Book Antiqua"/>
          <w:color w:val="231F20"/>
          <w:spacing w:val="3"/>
          <w:sz w:val="17"/>
        </w:rPr>
        <w:t>with </w:t>
      </w:r>
      <w:r>
        <w:rPr>
          <w:rFonts w:ascii="Book Antiqua" w:hAnsi="Book Antiqua"/>
          <w:color w:val="231F20"/>
          <w:spacing w:val="4"/>
          <w:sz w:val="17"/>
        </w:rPr>
        <w:t>respect </w:t>
      </w:r>
      <w:r>
        <w:rPr>
          <w:rFonts w:ascii="Book Antiqua" w:hAnsi="Book Antiqua"/>
          <w:color w:val="231F20"/>
          <w:spacing w:val="3"/>
          <w:sz w:val="17"/>
        </w:rPr>
        <w:t>to: </w:t>
      </w:r>
      <w:r>
        <w:rPr>
          <w:rFonts w:ascii="Book Antiqua" w:hAnsi="Book Antiqua"/>
          <w:color w:val="231F20"/>
          <w:spacing w:val="5"/>
          <w:sz w:val="17"/>
        </w:rPr>
        <w:t>fuel </w:t>
      </w:r>
      <w:r>
        <w:rPr>
          <w:rFonts w:ascii="Book Antiqua" w:hAnsi="Book Antiqua"/>
          <w:color w:val="231F20"/>
          <w:spacing w:val="4"/>
          <w:sz w:val="17"/>
        </w:rPr>
        <w:t>price</w:t>
      </w:r>
      <w:r>
        <w:rPr>
          <w:rFonts w:ascii="Book Antiqua" w:hAnsi="Book Antiqua"/>
          <w:color w:val="231F20"/>
          <w:spacing w:val="-12"/>
          <w:sz w:val="17"/>
        </w:rPr>
        <w:t> </w:t>
      </w:r>
      <w:r>
        <w:rPr>
          <w:rFonts w:ascii="Book Antiqua" w:hAnsi="Book Antiqua"/>
          <w:color w:val="231F20"/>
          <w:spacing w:val="2"/>
          <w:sz w:val="17"/>
        </w:rPr>
        <w:t>levels</w:t>
      </w:r>
      <w:r>
        <w:rPr>
          <w:rFonts w:ascii="Book Antiqua" w:hAnsi="Book Antiqua"/>
          <w:color w:val="231F20"/>
          <w:spacing w:val="-12"/>
          <w:sz w:val="17"/>
        </w:rPr>
        <w:t> </w:t>
      </w:r>
      <w:r>
        <w:rPr>
          <w:rFonts w:ascii="Book Antiqua" w:hAnsi="Book Antiqua"/>
          <w:color w:val="231F20"/>
          <w:sz w:val="17"/>
        </w:rPr>
        <w:t>(we</w:t>
      </w:r>
      <w:r>
        <w:rPr>
          <w:rFonts w:ascii="Book Antiqua" w:hAnsi="Book Antiqua"/>
          <w:color w:val="231F20"/>
          <w:spacing w:val="-12"/>
          <w:sz w:val="17"/>
        </w:rPr>
        <w:t> </w:t>
      </w:r>
      <w:r>
        <w:rPr>
          <w:rFonts w:ascii="Book Antiqua" w:hAnsi="Book Antiqua"/>
          <w:color w:val="231F20"/>
          <w:spacing w:val="3"/>
          <w:sz w:val="17"/>
        </w:rPr>
        <w:t>are</w:t>
      </w:r>
      <w:r>
        <w:rPr>
          <w:rFonts w:ascii="Book Antiqua" w:hAnsi="Book Antiqua"/>
          <w:color w:val="231F20"/>
          <w:spacing w:val="-12"/>
          <w:sz w:val="17"/>
        </w:rPr>
        <w:t> </w:t>
      </w:r>
      <w:r>
        <w:rPr>
          <w:rFonts w:ascii="Book Antiqua" w:hAnsi="Book Antiqua"/>
          <w:color w:val="231F20"/>
          <w:sz w:val="17"/>
        </w:rPr>
        <w:t>over</w:t>
      </w:r>
      <w:r>
        <w:rPr>
          <w:rFonts w:ascii="Book Antiqua" w:hAnsi="Book Antiqua"/>
          <w:color w:val="231F20"/>
          <w:spacing w:val="-17"/>
          <w:sz w:val="17"/>
        </w:rPr>
        <w:t> </w:t>
      </w:r>
      <w:r>
        <w:rPr>
          <w:rFonts w:ascii="Book Antiqua" w:hAnsi="Book Antiqua"/>
          <w:color w:val="231F20"/>
          <w:sz w:val="17"/>
        </w:rPr>
        <w:t>80</w:t>
      </w:r>
      <w:r>
        <w:rPr>
          <w:rFonts w:ascii="Book Antiqua" w:hAnsi="Book Antiqua"/>
          <w:color w:val="231F20"/>
          <w:spacing w:val="-12"/>
          <w:sz w:val="17"/>
        </w:rPr>
        <w:t> </w:t>
      </w:r>
      <w:r>
        <w:rPr>
          <w:rFonts w:ascii="Book Antiqua" w:hAnsi="Book Antiqua"/>
          <w:color w:val="231F20"/>
          <w:spacing w:val="3"/>
          <w:sz w:val="17"/>
        </w:rPr>
        <w:t>percent</w:t>
      </w:r>
      <w:r>
        <w:rPr>
          <w:rFonts w:ascii="Book Antiqua" w:hAnsi="Book Antiqua"/>
          <w:color w:val="231F20"/>
          <w:spacing w:val="-15"/>
          <w:sz w:val="17"/>
        </w:rPr>
        <w:t> </w:t>
      </w:r>
      <w:r>
        <w:rPr>
          <w:rFonts w:ascii="Book Antiqua" w:hAnsi="Book Antiqua"/>
          <w:color w:val="231F20"/>
          <w:spacing w:val="4"/>
          <w:sz w:val="17"/>
        </w:rPr>
        <w:t>hedged</w:t>
      </w:r>
      <w:r>
        <w:rPr>
          <w:rFonts w:ascii="Book Antiqua" w:hAnsi="Book Antiqua"/>
          <w:color w:val="231F20"/>
          <w:spacing w:val="-12"/>
          <w:sz w:val="17"/>
        </w:rPr>
        <w:t> </w:t>
      </w:r>
      <w:r>
        <w:rPr>
          <w:rFonts w:ascii="Book Antiqua" w:hAnsi="Book Antiqua"/>
          <w:color w:val="231F20"/>
          <w:spacing w:val="3"/>
          <w:sz w:val="17"/>
        </w:rPr>
        <w:t>for</w:t>
      </w:r>
      <w:r>
        <w:rPr>
          <w:rFonts w:ascii="Book Antiqua" w:hAnsi="Book Antiqua"/>
          <w:color w:val="231F20"/>
          <w:spacing w:val="-17"/>
          <w:sz w:val="17"/>
        </w:rPr>
        <w:t> </w:t>
      </w:r>
      <w:r>
        <w:rPr>
          <w:rFonts w:ascii="Book Antiqua" w:hAnsi="Book Antiqua"/>
          <w:color w:val="231F20"/>
          <w:spacing w:val="3"/>
          <w:sz w:val="17"/>
        </w:rPr>
        <w:t>the</w:t>
      </w:r>
      <w:r>
        <w:rPr>
          <w:rFonts w:ascii="Book Antiqua" w:hAnsi="Book Antiqua"/>
          <w:color w:val="231F20"/>
          <w:spacing w:val="-17"/>
          <w:sz w:val="17"/>
        </w:rPr>
        <w:t> </w:t>
      </w:r>
      <w:r>
        <w:rPr>
          <w:rFonts w:ascii="Book Antiqua" w:hAnsi="Book Antiqua"/>
          <w:color w:val="231F20"/>
          <w:spacing w:val="2"/>
          <w:sz w:val="17"/>
        </w:rPr>
        <w:t>year</w:t>
      </w:r>
      <w:r>
        <w:rPr>
          <w:rFonts w:ascii="Book Antiqua" w:hAnsi="Book Antiqua"/>
          <w:color w:val="231F20"/>
          <w:spacing w:val="-20"/>
          <w:sz w:val="17"/>
        </w:rPr>
        <w:t> </w:t>
      </w:r>
      <w:r>
        <w:rPr>
          <w:rFonts w:ascii="Book Antiqua" w:hAnsi="Book Antiqua"/>
          <w:color w:val="231F20"/>
          <w:spacing w:val="3"/>
          <w:sz w:val="17"/>
        </w:rPr>
        <w:t>with</w:t>
      </w:r>
      <w:r>
        <w:rPr>
          <w:rFonts w:ascii="Book Antiqua" w:hAnsi="Book Antiqua"/>
          <w:color w:val="231F20"/>
          <w:spacing w:val="-13"/>
          <w:sz w:val="17"/>
        </w:rPr>
        <w:t> </w:t>
      </w:r>
      <w:r>
        <w:rPr>
          <w:rFonts w:ascii="Book Antiqua" w:hAnsi="Book Antiqua"/>
          <w:color w:val="231F20"/>
          <w:spacing w:val="5"/>
          <w:sz w:val="17"/>
        </w:rPr>
        <w:t>prices </w:t>
      </w:r>
      <w:r>
        <w:rPr>
          <w:rFonts w:ascii="Book Antiqua" w:hAnsi="Book Antiqua"/>
          <w:color w:val="231F20"/>
          <w:spacing w:val="4"/>
          <w:sz w:val="17"/>
        </w:rPr>
        <w:t>capped </w:t>
      </w:r>
      <w:r>
        <w:rPr>
          <w:rFonts w:ascii="Book Antiqua" w:hAnsi="Book Antiqua"/>
          <w:color w:val="231F20"/>
          <w:spacing w:val="2"/>
          <w:sz w:val="17"/>
        </w:rPr>
        <w:t>at </w:t>
      </w:r>
      <w:r>
        <w:rPr>
          <w:rFonts w:ascii="Book Antiqua" w:hAnsi="Book Antiqua"/>
          <w:color w:val="231F20"/>
          <w:spacing w:val="4"/>
          <w:sz w:val="17"/>
        </w:rPr>
        <w:t>approximately </w:t>
      </w:r>
      <w:r>
        <w:rPr>
          <w:rFonts w:ascii="Book Antiqua" w:hAnsi="Book Antiqua"/>
          <w:color w:val="231F20"/>
          <w:sz w:val="17"/>
        </w:rPr>
        <w:t>$24 </w:t>
      </w:r>
      <w:r>
        <w:rPr>
          <w:rFonts w:ascii="Book Antiqua" w:hAnsi="Book Antiqua"/>
          <w:color w:val="231F20"/>
          <w:spacing w:val="2"/>
          <w:sz w:val="17"/>
        </w:rPr>
        <w:t>per </w:t>
      </w:r>
      <w:r>
        <w:rPr>
          <w:rFonts w:ascii="Book Antiqua" w:hAnsi="Book Antiqua"/>
          <w:color w:val="231F20"/>
          <w:spacing w:val="4"/>
          <w:sz w:val="17"/>
        </w:rPr>
        <w:t>barrel </w:t>
      </w:r>
      <w:r>
        <w:rPr>
          <w:rFonts w:ascii="Book Antiqua" w:hAnsi="Book Antiqua"/>
          <w:color w:val="231F20"/>
          <w:spacing w:val="2"/>
          <w:sz w:val="17"/>
        </w:rPr>
        <w:t>of </w:t>
      </w:r>
      <w:r>
        <w:rPr>
          <w:rFonts w:ascii="Book Antiqua" w:hAnsi="Book Antiqua"/>
          <w:color w:val="231F20"/>
          <w:spacing w:val="4"/>
          <w:sz w:val="17"/>
        </w:rPr>
        <w:t>crude oil); </w:t>
      </w:r>
      <w:r>
        <w:rPr>
          <w:rFonts w:ascii="Book Antiqua" w:hAnsi="Book Antiqua"/>
          <w:color w:val="231F20"/>
          <w:spacing w:val="3"/>
          <w:sz w:val="17"/>
        </w:rPr>
        <w:t>the rate</w:t>
      </w:r>
      <w:r>
        <w:rPr>
          <w:rFonts w:ascii="Book Antiqua" w:hAnsi="Book Antiqua"/>
          <w:color w:val="231F20"/>
          <w:spacing w:val="36"/>
          <w:sz w:val="17"/>
        </w:rPr>
        <w:t> </w:t>
      </w:r>
      <w:r>
        <w:rPr>
          <w:rFonts w:ascii="Book Antiqua" w:hAnsi="Book Antiqua"/>
          <w:color w:val="231F20"/>
          <w:spacing w:val="5"/>
          <w:sz w:val="17"/>
        </w:rPr>
        <w:t>of</w:t>
      </w:r>
    </w:p>
    <w:p>
      <w:pPr>
        <w:spacing w:line="350" w:lineRule="auto" w:before="0"/>
        <w:ind w:left="308" w:right="111" w:firstLine="0"/>
        <w:jc w:val="both"/>
        <w:rPr>
          <w:rFonts w:ascii="Book Antiqua"/>
          <w:sz w:val="17"/>
        </w:rPr>
      </w:pPr>
      <w:r>
        <w:rPr>
          <w:rFonts w:ascii="Book Antiqua"/>
          <w:color w:val="231F20"/>
          <w:sz w:val="17"/>
        </w:rPr>
        <w:t>U.S. economic recovery and attendant expansion of Customer </w:t>
      </w:r>
      <w:r>
        <w:rPr>
          <w:rFonts w:ascii="Book Antiqua"/>
          <w:color w:val="231F20"/>
          <w:w w:val="95"/>
          <w:sz w:val="17"/>
        </w:rPr>
        <w:t>demand; a potential substantial expansion in capacity by competitive </w:t>
      </w:r>
      <w:r>
        <w:rPr>
          <w:rFonts w:ascii="Book Antiqua"/>
          <w:color w:val="231F20"/>
          <w:sz w:val="17"/>
        </w:rPr>
        <w:t>air carriers; and any exogenous events adversely affecting the </w:t>
      </w:r>
      <w:r>
        <w:rPr>
          <w:rFonts w:ascii="Book Antiqua"/>
          <w:color w:val="231F20"/>
          <w:w w:val="95"/>
          <w:sz w:val="17"/>
        </w:rPr>
        <w:t>domestic airline industry.</w:t>
      </w:r>
    </w:p>
    <w:p>
      <w:pPr>
        <w:spacing w:line="350" w:lineRule="auto" w:before="0"/>
        <w:ind w:left="308" w:right="106" w:firstLine="360"/>
        <w:jc w:val="both"/>
        <w:rPr>
          <w:rFonts w:ascii="Book Antiqua" w:hAnsi="Book Antiqua"/>
          <w:sz w:val="17"/>
        </w:rPr>
      </w:pPr>
      <w:r>
        <w:rPr>
          <w:rFonts w:ascii="Book Antiqua" w:hAnsi="Book Antiqua"/>
          <w:color w:val="231F20"/>
          <w:spacing w:val="2"/>
          <w:sz w:val="17"/>
        </w:rPr>
        <w:t>In</w:t>
      </w:r>
      <w:r>
        <w:rPr>
          <w:rFonts w:ascii="Book Antiqua" w:hAnsi="Book Antiqua"/>
          <w:color w:val="231F20"/>
          <w:spacing w:val="-14"/>
          <w:sz w:val="17"/>
        </w:rPr>
        <w:t> </w:t>
      </w:r>
      <w:r>
        <w:rPr>
          <w:rFonts w:ascii="Book Antiqua" w:hAnsi="Book Antiqua"/>
          <w:color w:val="231F20"/>
          <w:spacing w:val="3"/>
          <w:sz w:val="17"/>
        </w:rPr>
        <w:t>May</w:t>
      </w:r>
      <w:r>
        <w:rPr>
          <w:rFonts w:ascii="Book Antiqua" w:hAnsi="Book Antiqua"/>
          <w:color w:val="231F20"/>
          <w:spacing w:val="-18"/>
          <w:sz w:val="17"/>
        </w:rPr>
        <w:t> </w:t>
      </w:r>
      <w:r>
        <w:rPr>
          <w:rFonts w:ascii="Book Antiqua" w:hAnsi="Book Antiqua"/>
          <w:color w:val="231F20"/>
          <w:spacing w:val="2"/>
          <w:sz w:val="17"/>
        </w:rPr>
        <w:t>of</w:t>
      </w:r>
      <w:r>
        <w:rPr>
          <w:rFonts w:ascii="Book Antiqua" w:hAnsi="Book Antiqua"/>
          <w:color w:val="231F20"/>
          <w:spacing w:val="-14"/>
          <w:sz w:val="17"/>
        </w:rPr>
        <w:t> </w:t>
      </w:r>
      <w:r>
        <w:rPr>
          <w:rFonts w:ascii="Book Antiqua" w:hAnsi="Book Antiqua"/>
          <w:color w:val="231F20"/>
          <w:spacing w:val="4"/>
          <w:sz w:val="17"/>
        </w:rPr>
        <w:t>2004,</w:t>
      </w:r>
      <w:r>
        <w:rPr>
          <w:rFonts w:ascii="Book Antiqua" w:hAnsi="Book Antiqua"/>
          <w:color w:val="231F20"/>
          <w:spacing w:val="-19"/>
          <w:sz w:val="17"/>
        </w:rPr>
        <w:t> </w:t>
      </w:r>
      <w:r>
        <w:rPr>
          <w:rFonts w:ascii="Book Antiqua" w:hAnsi="Book Antiqua"/>
          <w:color w:val="231F20"/>
          <w:sz w:val="17"/>
        </w:rPr>
        <w:t>we</w:t>
      </w:r>
      <w:r>
        <w:rPr>
          <w:rFonts w:ascii="Book Antiqua" w:hAnsi="Book Antiqua"/>
          <w:color w:val="231F20"/>
          <w:spacing w:val="-16"/>
          <w:sz w:val="17"/>
        </w:rPr>
        <w:t> </w:t>
      </w:r>
      <w:r>
        <w:rPr>
          <w:rFonts w:ascii="Book Antiqua" w:hAnsi="Book Antiqua"/>
          <w:color w:val="231F20"/>
          <w:spacing w:val="3"/>
          <w:sz w:val="17"/>
        </w:rPr>
        <w:t>will</w:t>
      </w:r>
      <w:r>
        <w:rPr>
          <w:rFonts w:ascii="Book Antiqua" w:hAnsi="Book Antiqua"/>
          <w:color w:val="231F20"/>
          <w:spacing w:val="-14"/>
          <w:sz w:val="17"/>
        </w:rPr>
        <w:t> </w:t>
      </w:r>
      <w:r>
        <w:rPr>
          <w:rFonts w:ascii="Book Antiqua" w:hAnsi="Book Antiqua"/>
          <w:color w:val="231F20"/>
          <w:spacing w:val="4"/>
          <w:sz w:val="17"/>
        </w:rPr>
        <w:t>commence</w:t>
      </w:r>
      <w:r>
        <w:rPr>
          <w:rFonts w:ascii="Book Antiqua" w:hAnsi="Book Antiqua"/>
          <w:color w:val="231F20"/>
          <w:spacing w:val="-14"/>
          <w:sz w:val="17"/>
        </w:rPr>
        <w:t> </w:t>
      </w:r>
      <w:r>
        <w:rPr>
          <w:rFonts w:ascii="Book Antiqua" w:hAnsi="Book Antiqua"/>
          <w:color w:val="231F20"/>
          <w:spacing w:val="3"/>
          <w:sz w:val="17"/>
        </w:rPr>
        <w:t>air</w:t>
      </w:r>
      <w:r>
        <w:rPr>
          <w:rFonts w:ascii="Book Antiqua" w:hAnsi="Book Antiqua"/>
          <w:color w:val="231F20"/>
          <w:spacing w:val="-18"/>
          <w:sz w:val="17"/>
        </w:rPr>
        <w:t> </w:t>
      </w:r>
      <w:r>
        <w:rPr>
          <w:rFonts w:ascii="Book Antiqua" w:hAnsi="Book Antiqua"/>
          <w:color w:val="231F20"/>
          <w:spacing w:val="4"/>
          <w:sz w:val="17"/>
        </w:rPr>
        <w:t>service</w:t>
      </w:r>
      <w:r>
        <w:rPr>
          <w:rFonts w:ascii="Book Antiqua" w:hAnsi="Book Antiqua"/>
          <w:color w:val="231F20"/>
          <w:spacing w:val="-14"/>
          <w:sz w:val="17"/>
        </w:rPr>
        <w:t> </w:t>
      </w:r>
      <w:r>
        <w:rPr>
          <w:rFonts w:ascii="Book Antiqua" w:hAnsi="Book Antiqua"/>
          <w:color w:val="231F20"/>
          <w:spacing w:val="2"/>
          <w:sz w:val="17"/>
        </w:rPr>
        <w:t>to</w:t>
      </w:r>
      <w:r>
        <w:rPr>
          <w:rFonts w:ascii="Book Antiqua" w:hAnsi="Book Antiqua"/>
          <w:color w:val="231F20"/>
          <w:spacing w:val="-14"/>
          <w:sz w:val="17"/>
        </w:rPr>
        <w:t> </w:t>
      </w:r>
      <w:r>
        <w:rPr>
          <w:rFonts w:ascii="Book Antiqua" w:hAnsi="Book Antiqua"/>
          <w:color w:val="231F20"/>
          <w:spacing w:val="5"/>
          <w:sz w:val="17"/>
        </w:rPr>
        <w:t>Philadelphia, </w:t>
      </w:r>
      <w:r>
        <w:rPr>
          <w:rFonts w:ascii="Book Antiqua" w:hAnsi="Book Antiqua"/>
          <w:color w:val="231F20"/>
          <w:spacing w:val="3"/>
          <w:sz w:val="17"/>
        </w:rPr>
        <w:t>the</w:t>
      </w:r>
      <w:r>
        <w:rPr>
          <w:rFonts w:ascii="Book Antiqua" w:hAnsi="Book Antiqua"/>
          <w:color w:val="231F20"/>
          <w:spacing w:val="-1"/>
          <w:sz w:val="17"/>
        </w:rPr>
        <w:t> </w:t>
      </w:r>
      <w:r>
        <w:rPr>
          <w:rFonts w:ascii="Book Antiqua" w:hAnsi="Book Antiqua"/>
          <w:color w:val="231F20"/>
          <w:sz w:val="17"/>
        </w:rPr>
        <w:t>largest</w:t>
      </w:r>
      <w:r>
        <w:rPr>
          <w:rFonts w:ascii="Book Antiqua" w:hAnsi="Book Antiqua"/>
          <w:color w:val="231F20"/>
          <w:spacing w:val="-7"/>
          <w:sz w:val="17"/>
        </w:rPr>
        <w:t> </w:t>
      </w:r>
      <w:r>
        <w:rPr>
          <w:rFonts w:ascii="Book Antiqua" w:hAnsi="Book Antiqua"/>
          <w:color w:val="231F20"/>
          <w:sz w:val="17"/>
        </w:rPr>
        <w:t>metropolitan</w:t>
      </w:r>
      <w:r>
        <w:rPr>
          <w:rFonts w:ascii="Book Antiqua" w:hAnsi="Book Antiqua"/>
          <w:color w:val="231F20"/>
          <w:spacing w:val="-3"/>
          <w:sz w:val="17"/>
        </w:rPr>
        <w:t> </w:t>
      </w:r>
      <w:r>
        <w:rPr>
          <w:rFonts w:ascii="Book Antiqua" w:hAnsi="Book Antiqua"/>
          <w:color w:val="231F20"/>
          <w:sz w:val="17"/>
        </w:rPr>
        <w:t>area</w:t>
      </w:r>
      <w:r>
        <w:rPr>
          <w:rFonts w:ascii="Book Antiqua" w:hAnsi="Book Antiqua"/>
          <w:color w:val="231F20"/>
          <w:spacing w:val="-3"/>
          <w:sz w:val="17"/>
        </w:rPr>
        <w:t> </w:t>
      </w:r>
      <w:r>
        <w:rPr>
          <w:rFonts w:ascii="Book Antiqua" w:hAnsi="Book Antiqua"/>
          <w:color w:val="231F20"/>
          <w:sz w:val="17"/>
        </w:rPr>
        <w:t>in</w:t>
      </w:r>
      <w:r>
        <w:rPr>
          <w:rFonts w:ascii="Book Antiqua" w:hAnsi="Book Antiqua"/>
          <w:color w:val="231F20"/>
          <w:spacing w:val="-3"/>
          <w:sz w:val="17"/>
        </w:rPr>
        <w:t> </w:t>
      </w:r>
      <w:r>
        <w:rPr>
          <w:rFonts w:ascii="Book Antiqua" w:hAnsi="Book Antiqua"/>
          <w:color w:val="231F20"/>
          <w:sz w:val="17"/>
        </w:rPr>
        <w:t>the</w:t>
      </w:r>
      <w:r>
        <w:rPr>
          <w:rFonts w:ascii="Book Antiqua" w:hAnsi="Book Antiqua"/>
          <w:color w:val="231F20"/>
          <w:spacing w:val="-3"/>
          <w:sz w:val="17"/>
        </w:rPr>
        <w:t> </w:t>
      </w:r>
      <w:r>
        <w:rPr>
          <w:rFonts w:ascii="Book Antiqua" w:hAnsi="Book Antiqua"/>
          <w:color w:val="231F20"/>
          <w:sz w:val="17"/>
        </w:rPr>
        <w:t>U.S.</w:t>
      </w:r>
      <w:r>
        <w:rPr>
          <w:rFonts w:ascii="Book Antiqua" w:hAnsi="Book Antiqua"/>
          <w:color w:val="231F20"/>
          <w:spacing w:val="-3"/>
          <w:sz w:val="17"/>
        </w:rPr>
        <w:t> </w:t>
      </w:r>
      <w:r>
        <w:rPr>
          <w:rFonts w:ascii="Book Antiqua" w:hAnsi="Book Antiqua"/>
          <w:color w:val="231F20"/>
          <w:sz w:val="17"/>
        </w:rPr>
        <w:t>not</w:t>
      </w:r>
      <w:r>
        <w:rPr>
          <w:rFonts w:ascii="Book Antiqua" w:hAnsi="Book Antiqua"/>
          <w:color w:val="231F20"/>
          <w:spacing w:val="-7"/>
          <w:sz w:val="17"/>
        </w:rPr>
        <w:t> </w:t>
      </w:r>
      <w:r>
        <w:rPr>
          <w:rFonts w:ascii="Book Antiqua" w:hAnsi="Book Antiqua"/>
          <w:color w:val="231F20"/>
          <w:sz w:val="17"/>
        </w:rPr>
        <w:t>now</w:t>
      </w:r>
      <w:r>
        <w:rPr>
          <w:rFonts w:ascii="Book Antiqua" w:hAnsi="Book Antiqua"/>
          <w:color w:val="231F20"/>
          <w:spacing w:val="-8"/>
          <w:sz w:val="17"/>
        </w:rPr>
        <w:t> </w:t>
      </w:r>
      <w:r>
        <w:rPr>
          <w:rFonts w:ascii="Book Antiqua" w:hAnsi="Book Antiqua"/>
          <w:color w:val="231F20"/>
          <w:sz w:val="17"/>
        </w:rPr>
        <w:t>served,</w:t>
      </w:r>
      <w:r>
        <w:rPr>
          <w:rFonts w:ascii="Book Antiqua" w:hAnsi="Book Antiqua"/>
          <w:color w:val="231F20"/>
          <w:spacing w:val="-6"/>
          <w:sz w:val="17"/>
        </w:rPr>
        <w:t> </w:t>
      </w:r>
      <w:r>
        <w:rPr>
          <w:rFonts w:ascii="Book Antiqua" w:hAnsi="Book Antiqua"/>
          <w:color w:val="231F20"/>
          <w:sz w:val="17"/>
        </w:rPr>
        <w:t>directly</w:t>
      </w:r>
      <w:r>
        <w:rPr>
          <w:rFonts w:ascii="Book Antiqua" w:hAnsi="Book Antiqua"/>
          <w:color w:val="231F20"/>
          <w:spacing w:val="-8"/>
          <w:sz w:val="17"/>
        </w:rPr>
        <w:t> </w:t>
      </w:r>
      <w:r>
        <w:rPr>
          <w:rFonts w:ascii="Book Antiqua" w:hAnsi="Book Antiqua"/>
          <w:color w:val="231F20"/>
          <w:sz w:val="17"/>
        </w:rPr>
        <w:t>or indirectly, by </w:t>
      </w:r>
      <w:r>
        <w:rPr>
          <w:rFonts w:ascii="Book Antiqua" w:hAnsi="Book Antiqua"/>
          <w:color w:val="231F20"/>
          <w:spacing w:val="3"/>
          <w:sz w:val="17"/>
        </w:rPr>
        <w:t>Southwest. </w:t>
      </w:r>
      <w:r>
        <w:rPr>
          <w:rFonts w:ascii="Book Antiqua" w:hAnsi="Book Antiqua"/>
          <w:color w:val="231F20"/>
          <w:spacing w:val="-9"/>
          <w:sz w:val="17"/>
        </w:rPr>
        <w:t>We </w:t>
      </w:r>
      <w:r>
        <w:rPr>
          <w:rFonts w:ascii="Book Antiqua" w:hAnsi="Book Antiqua"/>
          <w:color w:val="231F20"/>
          <w:spacing w:val="2"/>
          <w:sz w:val="17"/>
        </w:rPr>
        <w:t>have </w:t>
      </w:r>
      <w:r>
        <w:rPr>
          <w:rFonts w:ascii="Book Antiqua" w:hAnsi="Book Antiqua"/>
          <w:color w:val="231F20"/>
          <w:spacing w:val="3"/>
          <w:sz w:val="17"/>
        </w:rPr>
        <w:t>also </w:t>
      </w:r>
      <w:r>
        <w:rPr>
          <w:rFonts w:ascii="Book Antiqua" w:hAnsi="Book Antiqua"/>
          <w:color w:val="231F20"/>
          <w:spacing w:val="4"/>
          <w:sz w:val="17"/>
        </w:rPr>
        <w:t>announced </w:t>
      </w:r>
      <w:r>
        <w:rPr>
          <w:rFonts w:ascii="Book Antiqua" w:hAnsi="Book Antiqua"/>
          <w:color w:val="231F20"/>
          <w:spacing w:val="3"/>
          <w:sz w:val="17"/>
        </w:rPr>
        <w:t>that </w:t>
      </w:r>
      <w:r>
        <w:rPr>
          <w:rFonts w:ascii="Book Antiqua" w:hAnsi="Book Antiqua"/>
          <w:color w:val="231F20"/>
          <w:spacing w:val="2"/>
          <w:sz w:val="17"/>
        </w:rPr>
        <w:t>in </w:t>
      </w:r>
      <w:r>
        <w:rPr>
          <w:rFonts w:ascii="Book Antiqua" w:hAnsi="Book Antiqua"/>
          <w:color w:val="231F20"/>
          <w:spacing w:val="4"/>
          <w:sz w:val="17"/>
        </w:rPr>
        <w:t>light </w:t>
      </w:r>
      <w:r>
        <w:rPr>
          <w:rFonts w:ascii="Book Antiqua" w:hAnsi="Book Antiqua"/>
          <w:color w:val="231F20"/>
          <w:spacing w:val="5"/>
          <w:sz w:val="17"/>
        </w:rPr>
        <w:t>of </w:t>
      </w:r>
      <w:r>
        <w:rPr>
          <w:rFonts w:ascii="Book Antiqua" w:hAnsi="Book Antiqua"/>
          <w:color w:val="231F20"/>
          <w:spacing w:val="2"/>
          <w:w w:val="95"/>
          <w:sz w:val="17"/>
        </w:rPr>
        <w:t>Southwest’s </w:t>
      </w:r>
      <w:r>
        <w:rPr>
          <w:rFonts w:ascii="Book Antiqua" w:hAnsi="Book Antiqua"/>
          <w:color w:val="231F20"/>
          <w:spacing w:val="4"/>
          <w:w w:val="95"/>
          <w:sz w:val="17"/>
        </w:rPr>
        <w:t>strong </w:t>
      </w:r>
      <w:r>
        <w:rPr>
          <w:rFonts w:ascii="Book Antiqua" w:hAnsi="Book Antiqua"/>
          <w:color w:val="231F20"/>
          <w:spacing w:val="3"/>
          <w:w w:val="95"/>
          <w:sz w:val="17"/>
        </w:rPr>
        <w:t>cash </w:t>
      </w:r>
      <w:r>
        <w:rPr>
          <w:rFonts w:ascii="Book Antiqua" w:hAnsi="Book Antiqua"/>
          <w:color w:val="231F20"/>
          <w:spacing w:val="4"/>
          <w:w w:val="95"/>
          <w:sz w:val="17"/>
        </w:rPr>
        <w:t>position, </w:t>
      </w:r>
      <w:r>
        <w:rPr>
          <w:rFonts w:ascii="Book Antiqua" w:hAnsi="Book Antiqua"/>
          <w:color w:val="231F20"/>
          <w:spacing w:val="3"/>
          <w:w w:val="95"/>
          <w:sz w:val="17"/>
        </w:rPr>
        <w:t>investment-grade </w:t>
      </w:r>
      <w:r>
        <w:rPr>
          <w:rFonts w:ascii="Book Antiqua" w:hAnsi="Book Antiqua"/>
          <w:color w:val="231F20"/>
          <w:spacing w:val="4"/>
          <w:w w:val="95"/>
          <w:sz w:val="17"/>
        </w:rPr>
        <w:t>balance </w:t>
      </w:r>
      <w:r>
        <w:rPr>
          <w:rFonts w:ascii="Book Antiqua" w:hAnsi="Book Antiqua"/>
          <w:color w:val="231F20"/>
          <w:spacing w:val="5"/>
          <w:w w:val="95"/>
          <w:sz w:val="17"/>
        </w:rPr>
        <w:t>sheet, </w:t>
      </w:r>
      <w:r>
        <w:rPr>
          <w:rFonts w:ascii="Book Antiqua" w:hAnsi="Book Antiqua"/>
          <w:color w:val="231F20"/>
          <w:spacing w:val="3"/>
          <w:w w:val="95"/>
          <w:sz w:val="17"/>
        </w:rPr>
        <w:t>and </w:t>
      </w:r>
      <w:r>
        <w:rPr>
          <w:rFonts w:ascii="Book Antiqua" w:hAnsi="Book Antiqua"/>
          <w:color w:val="231F20"/>
          <w:spacing w:val="4"/>
          <w:w w:val="95"/>
          <w:sz w:val="17"/>
        </w:rPr>
        <w:t>desire </w:t>
      </w:r>
      <w:r>
        <w:rPr>
          <w:rFonts w:ascii="Book Antiqua" w:hAnsi="Book Antiqua"/>
          <w:color w:val="231F20"/>
          <w:spacing w:val="2"/>
          <w:w w:val="95"/>
          <w:sz w:val="17"/>
        </w:rPr>
        <w:t>to </w:t>
      </w:r>
      <w:r>
        <w:rPr>
          <w:rFonts w:ascii="Book Antiqua" w:hAnsi="Book Antiqua"/>
          <w:color w:val="231F20"/>
          <w:spacing w:val="4"/>
          <w:w w:val="95"/>
          <w:sz w:val="17"/>
        </w:rPr>
        <w:t>maximize Employee-Shareholder </w:t>
      </w:r>
      <w:r>
        <w:rPr>
          <w:rFonts w:ascii="Book Antiqua" w:hAnsi="Book Antiqua"/>
          <w:color w:val="231F20"/>
          <w:spacing w:val="3"/>
          <w:w w:val="95"/>
          <w:sz w:val="17"/>
        </w:rPr>
        <w:t>and </w:t>
      </w:r>
      <w:r>
        <w:rPr>
          <w:rFonts w:ascii="Book Antiqua" w:hAnsi="Book Antiqua"/>
          <w:color w:val="231F20"/>
          <w:spacing w:val="4"/>
          <w:w w:val="95"/>
          <w:sz w:val="17"/>
        </w:rPr>
        <w:t>non-Employee- Shareholder</w:t>
      </w:r>
      <w:r>
        <w:rPr>
          <w:rFonts w:ascii="Book Antiqua" w:hAnsi="Book Antiqua"/>
          <w:color w:val="231F20"/>
          <w:spacing w:val="-15"/>
          <w:w w:val="95"/>
          <w:sz w:val="17"/>
        </w:rPr>
        <w:t> </w:t>
      </w:r>
      <w:r>
        <w:rPr>
          <w:rFonts w:ascii="Book Antiqua" w:hAnsi="Book Antiqua"/>
          <w:color w:val="231F20"/>
          <w:spacing w:val="4"/>
          <w:w w:val="95"/>
          <w:sz w:val="17"/>
        </w:rPr>
        <w:t>value</w:t>
      </w:r>
      <w:r>
        <w:rPr>
          <w:rFonts w:ascii="Book Antiqua" w:hAnsi="Book Antiqua"/>
          <w:color w:val="231F20"/>
          <w:spacing w:val="-2"/>
          <w:w w:val="95"/>
          <w:sz w:val="17"/>
        </w:rPr>
        <w:t> </w:t>
      </w:r>
      <w:r>
        <w:rPr>
          <w:rFonts w:ascii="Book Antiqua" w:hAnsi="Book Antiqua"/>
          <w:color w:val="231F20"/>
          <w:spacing w:val="3"/>
          <w:w w:val="95"/>
          <w:sz w:val="17"/>
        </w:rPr>
        <w:t>that</w:t>
      </w:r>
      <w:r>
        <w:rPr>
          <w:rFonts w:ascii="Book Antiqua" w:hAnsi="Book Antiqua"/>
          <w:color w:val="231F20"/>
          <w:spacing w:val="-7"/>
          <w:w w:val="95"/>
          <w:sz w:val="17"/>
        </w:rPr>
        <w:t> </w:t>
      </w:r>
      <w:r>
        <w:rPr>
          <w:rFonts w:ascii="Book Antiqua" w:hAnsi="Book Antiqua"/>
          <w:color w:val="231F20"/>
          <w:spacing w:val="3"/>
          <w:w w:val="95"/>
          <w:sz w:val="17"/>
        </w:rPr>
        <w:t>Southwest</w:t>
      </w:r>
      <w:r>
        <w:rPr>
          <w:rFonts w:ascii="Book Antiqua" w:hAnsi="Book Antiqua"/>
          <w:color w:val="231F20"/>
          <w:spacing w:val="-7"/>
          <w:w w:val="95"/>
          <w:sz w:val="17"/>
        </w:rPr>
        <w:t> </w:t>
      </w:r>
      <w:r>
        <w:rPr>
          <w:rFonts w:ascii="Book Antiqua" w:hAnsi="Book Antiqua"/>
          <w:color w:val="231F20"/>
          <w:spacing w:val="4"/>
          <w:w w:val="95"/>
          <w:sz w:val="17"/>
        </w:rPr>
        <w:t>intends</w:t>
      </w:r>
      <w:r>
        <w:rPr>
          <w:rFonts w:ascii="Book Antiqua" w:hAnsi="Book Antiqua"/>
          <w:color w:val="231F20"/>
          <w:spacing w:val="-2"/>
          <w:w w:val="95"/>
          <w:sz w:val="17"/>
        </w:rPr>
        <w:t> </w:t>
      </w:r>
      <w:r>
        <w:rPr>
          <w:rFonts w:ascii="Book Antiqua" w:hAnsi="Book Antiqua"/>
          <w:color w:val="231F20"/>
          <w:spacing w:val="2"/>
          <w:w w:val="95"/>
          <w:sz w:val="17"/>
        </w:rPr>
        <w:t>to</w:t>
      </w:r>
      <w:r>
        <w:rPr>
          <w:rFonts w:ascii="Book Antiqua" w:hAnsi="Book Antiqua"/>
          <w:color w:val="231F20"/>
          <w:spacing w:val="-2"/>
          <w:w w:val="95"/>
          <w:sz w:val="17"/>
        </w:rPr>
        <w:t> </w:t>
      </w:r>
      <w:r>
        <w:rPr>
          <w:rFonts w:ascii="Book Antiqua" w:hAnsi="Book Antiqua"/>
          <w:color w:val="231F20"/>
          <w:spacing w:val="3"/>
          <w:w w:val="95"/>
          <w:sz w:val="17"/>
        </w:rPr>
        <w:t>use</w:t>
      </w:r>
      <w:r>
        <w:rPr>
          <w:rFonts w:ascii="Book Antiqua" w:hAnsi="Book Antiqua"/>
          <w:color w:val="231F20"/>
          <w:spacing w:val="-2"/>
          <w:w w:val="95"/>
          <w:sz w:val="17"/>
        </w:rPr>
        <w:t> </w:t>
      </w:r>
      <w:r>
        <w:rPr>
          <w:rFonts w:ascii="Book Antiqua" w:hAnsi="Book Antiqua"/>
          <w:color w:val="231F20"/>
          <w:spacing w:val="3"/>
          <w:w w:val="95"/>
          <w:sz w:val="17"/>
        </w:rPr>
        <w:t>the</w:t>
      </w:r>
      <w:r>
        <w:rPr>
          <w:rFonts w:ascii="Book Antiqua" w:hAnsi="Book Antiqua"/>
          <w:color w:val="231F20"/>
          <w:spacing w:val="-7"/>
          <w:w w:val="95"/>
          <w:sz w:val="17"/>
        </w:rPr>
        <w:t> </w:t>
      </w:r>
      <w:r>
        <w:rPr>
          <w:rFonts w:ascii="Book Antiqua" w:hAnsi="Book Antiqua"/>
          <w:color w:val="231F20"/>
          <w:spacing w:val="3"/>
          <w:w w:val="95"/>
          <w:sz w:val="17"/>
        </w:rPr>
        <w:t>very</w:t>
      </w:r>
      <w:r>
        <w:rPr>
          <w:rFonts w:ascii="Book Antiqua" w:hAnsi="Book Antiqua"/>
          <w:color w:val="231F20"/>
          <w:spacing w:val="-9"/>
          <w:w w:val="95"/>
          <w:sz w:val="17"/>
        </w:rPr>
        <w:t> </w:t>
      </w:r>
      <w:r>
        <w:rPr>
          <w:rFonts w:ascii="Book Antiqua" w:hAnsi="Book Antiqua"/>
          <w:color w:val="231F20"/>
          <w:spacing w:val="5"/>
          <w:w w:val="95"/>
          <w:sz w:val="17"/>
        </w:rPr>
        <w:t>significant </w:t>
      </w:r>
      <w:r>
        <w:rPr>
          <w:rFonts w:ascii="Book Antiqua" w:hAnsi="Book Antiqua"/>
          <w:color w:val="231F20"/>
          <w:spacing w:val="6"/>
          <w:sz w:val="17"/>
        </w:rPr>
        <w:t>present </w:t>
      </w:r>
      <w:r>
        <w:rPr>
          <w:rFonts w:ascii="Book Antiqua" w:hAnsi="Book Antiqua"/>
          <w:color w:val="231F20"/>
          <w:spacing w:val="5"/>
          <w:sz w:val="17"/>
        </w:rPr>
        <w:t>and </w:t>
      </w:r>
      <w:r>
        <w:rPr>
          <w:rFonts w:ascii="Book Antiqua" w:hAnsi="Book Antiqua"/>
          <w:color w:val="231F20"/>
          <w:spacing w:val="7"/>
          <w:sz w:val="17"/>
        </w:rPr>
        <w:t>anticipated proceeds </w:t>
      </w:r>
      <w:r>
        <w:rPr>
          <w:rFonts w:ascii="Book Antiqua" w:hAnsi="Book Antiqua"/>
          <w:color w:val="231F20"/>
          <w:spacing w:val="4"/>
          <w:sz w:val="17"/>
        </w:rPr>
        <w:t>from </w:t>
      </w:r>
      <w:r>
        <w:rPr>
          <w:rFonts w:ascii="Book Antiqua" w:hAnsi="Book Antiqua"/>
          <w:color w:val="231F20"/>
          <w:spacing w:val="5"/>
          <w:sz w:val="17"/>
        </w:rPr>
        <w:t>the </w:t>
      </w:r>
      <w:r>
        <w:rPr>
          <w:rFonts w:ascii="Book Antiqua" w:hAnsi="Book Antiqua"/>
          <w:color w:val="231F20"/>
          <w:spacing w:val="6"/>
          <w:sz w:val="17"/>
        </w:rPr>
        <w:t>exercise </w:t>
      </w:r>
      <w:r>
        <w:rPr>
          <w:rFonts w:ascii="Book Antiqua" w:hAnsi="Book Antiqua"/>
          <w:color w:val="231F20"/>
          <w:spacing w:val="4"/>
          <w:sz w:val="17"/>
        </w:rPr>
        <w:t>of </w:t>
      </w:r>
      <w:r>
        <w:rPr>
          <w:rFonts w:ascii="Book Antiqua" w:hAnsi="Book Antiqua"/>
          <w:color w:val="231F20"/>
          <w:spacing w:val="8"/>
          <w:sz w:val="17"/>
        </w:rPr>
        <w:t>our </w:t>
      </w:r>
      <w:r>
        <w:rPr>
          <w:rFonts w:ascii="Book Antiqua" w:hAnsi="Book Antiqua"/>
          <w:color w:val="231F20"/>
          <w:spacing w:val="4"/>
          <w:sz w:val="17"/>
        </w:rPr>
        <w:t>outstanding stock options </w:t>
      </w:r>
      <w:r>
        <w:rPr>
          <w:rFonts w:ascii="Book Antiqua" w:hAnsi="Book Antiqua"/>
          <w:color w:val="231F20"/>
          <w:spacing w:val="3"/>
          <w:sz w:val="17"/>
        </w:rPr>
        <w:t>for </w:t>
      </w:r>
      <w:r>
        <w:rPr>
          <w:rFonts w:ascii="Book Antiqua" w:hAnsi="Book Antiqua"/>
          <w:color w:val="231F20"/>
          <w:spacing w:val="2"/>
          <w:sz w:val="17"/>
        </w:rPr>
        <w:t>the </w:t>
      </w:r>
      <w:r>
        <w:rPr>
          <w:rFonts w:ascii="Book Antiqua" w:hAnsi="Book Antiqua"/>
          <w:color w:val="231F20"/>
          <w:spacing w:val="4"/>
          <w:sz w:val="17"/>
        </w:rPr>
        <w:t>repurchase, </w:t>
      </w:r>
      <w:r>
        <w:rPr>
          <w:rFonts w:ascii="Book Antiqua" w:hAnsi="Book Antiqua"/>
          <w:color w:val="231F20"/>
          <w:spacing w:val="3"/>
          <w:sz w:val="17"/>
        </w:rPr>
        <w:t>from time </w:t>
      </w:r>
      <w:r>
        <w:rPr>
          <w:rFonts w:ascii="Book Antiqua" w:hAnsi="Book Antiqua"/>
          <w:color w:val="231F20"/>
          <w:spacing w:val="2"/>
          <w:sz w:val="17"/>
        </w:rPr>
        <w:t>to </w:t>
      </w:r>
      <w:r>
        <w:rPr>
          <w:rFonts w:ascii="Book Antiqua" w:hAnsi="Book Antiqua"/>
          <w:color w:val="231F20"/>
          <w:spacing w:val="5"/>
          <w:sz w:val="17"/>
        </w:rPr>
        <w:t>time, </w:t>
      </w:r>
      <w:r>
        <w:rPr>
          <w:rFonts w:ascii="Book Antiqua" w:hAnsi="Book Antiqua"/>
          <w:color w:val="231F20"/>
          <w:spacing w:val="2"/>
          <w:sz w:val="17"/>
        </w:rPr>
        <w:t>of up to </w:t>
      </w:r>
      <w:r>
        <w:rPr>
          <w:rFonts w:ascii="Book Antiqua" w:hAnsi="Book Antiqua"/>
          <w:color w:val="231F20"/>
          <w:spacing w:val="3"/>
          <w:sz w:val="17"/>
        </w:rPr>
        <w:t>$300 </w:t>
      </w:r>
      <w:r>
        <w:rPr>
          <w:rFonts w:ascii="Book Antiqua" w:hAnsi="Book Antiqua"/>
          <w:color w:val="231F20"/>
          <w:spacing w:val="4"/>
          <w:sz w:val="17"/>
        </w:rPr>
        <w:t>million </w:t>
      </w:r>
      <w:r>
        <w:rPr>
          <w:rFonts w:ascii="Book Antiqua" w:hAnsi="Book Antiqua"/>
          <w:color w:val="231F20"/>
          <w:spacing w:val="2"/>
          <w:sz w:val="17"/>
        </w:rPr>
        <w:t>of </w:t>
      </w:r>
      <w:r>
        <w:rPr>
          <w:rFonts w:ascii="Book Antiqua" w:hAnsi="Book Antiqua"/>
          <w:color w:val="231F20"/>
          <w:spacing w:val="3"/>
          <w:sz w:val="17"/>
        </w:rPr>
        <w:t>our </w:t>
      </w:r>
      <w:r>
        <w:rPr>
          <w:rFonts w:ascii="Book Antiqua" w:hAnsi="Book Antiqua"/>
          <w:color w:val="231F20"/>
          <w:sz w:val="17"/>
        </w:rPr>
        <w:t>common </w:t>
      </w:r>
      <w:r>
        <w:rPr>
          <w:rFonts w:ascii="Book Antiqua" w:hAnsi="Book Antiqua"/>
          <w:color w:val="231F20"/>
          <w:spacing w:val="4"/>
          <w:sz w:val="17"/>
        </w:rPr>
        <w:t>stock </w:t>
      </w:r>
      <w:r>
        <w:rPr>
          <w:rFonts w:ascii="Book Antiqua" w:hAnsi="Book Antiqua"/>
          <w:color w:val="231F20"/>
          <w:spacing w:val="2"/>
          <w:sz w:val="17"/>
        </w:rPr>
        <w:t>in </w:t>
      </w:r>
      <w:r>
        <w:rPr>
          <w:rFonts w:ascii="Book Antiqua" w:hAnsi="Book Antiqua"/>
          <w:color w:val="231F20"/>
          <w:spacing w:val="3"/>
          <w:sz w:val="17"/>
        </w:rPr>
        <w:t>the open</w:t>
      </w:r>
      <w:r>
        <w:rPr>
          <w:rFonts w:ascii="Book Antiqua" w:hAnsi="Book Antiqua"/>
          <w:color w:val="231F20"/>
          <w:spacing w:val="13"/>
          <w:sz w:val="17"/>
        </w:rPr>
        <w:t> </w:t>
      </w:r>
      <w:r>
        <w:rPr>
          <w:rFonts w:ascii="Book Antiqua" w:hAnsi="Book Antiqua"/>
          <w:color w:val="231F20"/>
          <w:spacing w:val="4"/>
          <w:sz w:val="17"/>
        </w:rPr>
        <w:t>market.</w:t>
      </w:r>
    </w:p>
    <w:p>
      <w:pPr>
        <w:spacing w:line="350" w:lineRule="auto" w:before="0"/>
        <w:ind w:left="308" w:right="108" w:firstLine="360"/>
        <w:jc w:val="both"/>
        <w:rPr>
          <w:rFonts w:ascii="Book Antiqua"/>
          <w:sz w:val="17"/>
        </w:rPr>
      </w:pPr>
      <w:r>
        <w:rPr>
          <w:rFonts w:ascii="Book Antiqua"/>
          <w:color w:val="231F20"/>
          <w:sz w:val="17"/>
        </w:rPr>
        <w:t>For </w:t>
      </w:r>
      <w:r>
        <w:rPr>
          <w:rFonts w:ascii="Book Antiqua"/>
          <w:color w:val="231F20"/>
          <w:spacing w:val="6"/>
          <w:sz w:val="17"/>
        </w:rPr>
        <w:t>more than </w:t>
      </w:r>
      <w:r>
        <w:rPr>
          <w:rFonts w:ascii="Book Antiqua"/>
          <w:color w:val="231F20"/>
          <w:spacing w:val="5"/>
          <w:sz w:val="17"/>
        </w:rPr>
        <w:t>three </w:t>
      </w:r>
      <w:r>
        <w:rPr>
          <w:rFonts w:ascii="Book Antiqua"/>
          <w:color w:val="231F20"/>
          <w:spacing w:val="7"/>
          <w:sz w:val="17"/>
        </w:rPr>
        <w:t>decades, </w:t>
      </w:r>
      <w:r>
        <w:rPr>
          <w:rFonts w:ascii="Book Antiqua"/>
          <w:color w:val="231F20"/>
          <w:spacing w:val="5"/>
          <w:sz w:val="17"/>
        </w:rPr>
        <w:t>the </w:t>
      </w:r>
      <w:r>
        <w:rPr>
          <w:rFonts w:ascii="Book Antiqua"/>
          <w:color w:val="231F20"/>
          <w:spacing w:val="6"/>
          <w:sz w:val="17"/>
        </w:rPr>
        <w:t>wisdom, </w:t>
      </w:r>
      <w:r>
        <w:rPr>
          <w:rFonts w:ascii="Book Antiqua"/>
          <w:color w:val="231F20"/>
          <w:spacing w:val="8"/>
          <w:sz w:val="17"/>
        </w:rPr>
        <w:t>farsightedness, </w:t>
      </w:r>
      <w:r>
        <w:rPr>
          <w:rFonts w:ascii="Book Antiqua"/>
          <w:color w:val="231F20"/>
          <w:w w:val="95"/>
          <w:sz w:val="17"/>
        </w:rPr>
        <w:t>goodwill, and camaraderie of our People have produced a remarkable airline</w:t>
      </w:r>
      <w:r>
        <w:rPr>
          <w:rFonts w:ascii="Book Antiqua"/>
          <w:color w:val="231F20"/>
          <w:spacing w:val="-14"/>
          <w:w w:val="95"/>
          <w:sz w:val="17"/>
        </w:rPr>
        <w:t> </w:t>
      </w:r>
      <w:r>
        <w:rPr>
          <w:rFonts w:ascii="Book Antiqua"/>
          <w:color w:val="231F20"/>
          <w:w w:val="95"/>
          <w:sz w:val="17"/>
        </w:rPr>
        <w:t>providing</w:t>
      </w:r>
      <w:r>
        <w:rPr>
          <w:rFonts w:ascii="Book Antiqua"/>
          <w:color w:val="231F20"/>
          <w:spacing w:val="-14"/>
          <w:w w:val="95"/>
          <w:sz w:val="17"/>
        </w:rPr>
        <w:t> </w:t>
      </w:r>
      <w:r>
        <w:rPr>
          <w:rFonts w:ascii="Book Antiqua"/>
          <w:color w:val="231F20"/>
          <w:w w:val="95"/>
          <w:sz w:val="17"/>
        </w:rPr>
        <w:t>remarkable</w:t>
      </w:r>
      <w:r>
        <w:rPr>
          <w:rFonts w:ascii="Book Antiqua"/>
          <w:color w:val="231F20"/>
          <w:spacing w:val="-14"/>
          <w:w w:val="95"/>
          <w:sz w:val="17"/>
        </w:rPr>
        <w:t> </w:t>
      </w:r>
      <w:r>
        <w:rPr>
          <w:rFonts w:ascii="Book Antiqua"/>
          <w:color w:val="231F20"/>
          <w:w w:val="95"/>
          <w:sz w:val="17"/>
        </w:rPr>
        <w:t>psychic</w:t>
      </w:r>
      <w:r>
        <w:rPr>
          <w:rFonts w:ascii="Book Antiqua"/>
          <w:color w:val="231F20"/>
          <w:spacing w:val="-14"/>
          <w:w w:val="95"/>
          <w:sz w:val="17"/>
        </w:rPr>
        <w:t> </w:t>
      </w:r>
      <w:r>
        <w:rPr>
          <w:rFonts w:ascii="Book Antiqua"/>
          <w:color w:val="231F20"/>
          <w:w w:val="95"/>
          <w:sz w:val="17"/>
        </w:rPr>
        <w:t>and</w:t>
      </w:r>
      <w:r>
        <w:rPr>
          <w:rFonts w:ascii="Book Antiqua"/>
          <w:color w:val="231F20"/>
          <w:spacing w:val="-14"/>
          <w:w w:val="95"/>
          <w:sz w:val="17"/>
        </w:rPr>
        <w:t> </w:t>
      </w:r>
      <w:r>
        <w:rPr>
          <w:rFonts w:ascii="Book Antiqua"/>
          <w:color w:val="231F20"/>
          <w:w w:val="95"/>
          <w:sz w:val="17"/>
        </w:rPr>
        <w:t>financial</w:t>
      </w:r>
      <w:r>
        <w:rPr>
          <w:rFonts w:ascii="Book Antiqua"/>
          <w:color w:val="231F20"/>
          <w:spacing w:val="-14"/>
          <w:w w:val="95"/>
          <w:sz w:val="17"/>
        </w:rPr>
        <w:t> </w:t>
      </w:r>
      <w:r>
        <w:rPr>
          <w:rFonts w:ascii="Book Antiqua"/>
          <w:color w:val="231F20"/>
          <w:w w:val="95"/>
          <w:sz w:val="17"/>
        </w:rPr>
        <w:t>rewards</w:t>
      </w:r>
      <w:r>
        <w:rPr>
          <w:rFonts w:ascii="Book Antiqua"/>
          <w:color w:val="231F20"/>
          <w:spacing w:val="-14"/>
          <w:w w:val="95"/>
          <w:sz w:val="17"/>
        </w:rPr>
        <w:t> </w:t>
      </w:r>
      <w:r>
        <w:rPr>
          <w:rFonts w:ascii="Book Antiqua"/>
          <w:color w:val="231F20"/>
          <w:w w:val="95"/>
          <w:sz w:val="17"/>
        </w:rPr>
        <w:t>for</w:t>
      </w:r>
      <w:r>
        <w:rPr>
          <w:rFonts w:ascii="Book Antiqua"/>
          <w:color w:val="231F20"/>
          <w:spacing w:val="-20"/>
          <w:w w:val="95"/>
          <w:sz w:val="17"/>
        </w:rPr>
        <w:t> </w:t>
      </w:r>
      <w:r>
        <w:rPr>
          <w:rFonts w:ascii="Book Antiqua"/>
          <w:color w:val="231F20"/>
          <w:w w:val="95"/>
          <w:sz w:val="17"/>
        </w:rPr>
        <w:t>all</w:t>
      </w:r>
      <w:r>
        <w:rPr>
          <w:rFonts w:ascii="Book Antiqua"/>
          <w:color w:val="231F20"/>
          <w:spacing w:val="-14"/>
          <w:w w:val="95"/>
          <w:sz w:val="17"/>
        </w:rPr>
        <w:t> </w:t>
      </w:r>
      <w:r>
        <w:rPr>
          <w:rFonts w:ascii="Book Antiqua"/>
          <w:color w:val="231F20"/>
          <w:w w:val="95"/>
          <w:sz w:val="17"/>
        </w:rPr>
        <w:t>of</w:t>
      </w:r>
      <w:r>
        <w:rPr>
          <w:rFonts w:ascii="Book Antiqua"/>
          <w:color w:val="231F20"/>
          <w:spacing w:val="-14"/>
          <w:w w:val="95"/>
          <w:sz w:val="17"/>
        </w:rPr>
        <w:t> </w:t>
      </w:r>
      <w:r>
        <w:rPr>
          <w:rFonts w:ascii="Book Antiqua"/>
          <w:color w:val="231F20"/>
          <w:w w:val="95"/>
          <w:sz w:val="17"/>
        </w:rPr>
        <w:t>our Employees.</w:t>
      </w:r>
      <w:r>
        <w:rPr>
          <w:rFonts w:ascii="Book Antiqua"/>
          <w:color w:val="231F20"/>
          <w:spacing w:val="-13"/>
          <w:w w:val="95"/>
          <w:sz w:val="17"/>
        </w:rPr>
        <w:t> </w:t>
      </w:r>
      <w:r>
        <w:rPr>
          <w:rFonts w:ascii="Book Antiqua"/>
          <w:color w:val="231F20"/>
          <w:spacing w:val="-8"/>
          <w:w w:val="95"/>
          <w:sz w:val="17"/>
        </w:rPr>
        <w:t>We</w:t>
      </w:r>
      <w:r>
        <w:rPr>
          <w:rFonts w:ascii="Book Antiqua"/>
          <w:color w:val="231F20"/>
          <w:spacing w:val="-5"/>
          <w:w w:val="95"/>
          <w:sz w:val="17"/>
        </w:rPr>
        <w:t> </w:t>
      </w:r>
      <w:r>
        <w:rPr>
          <w:rFonts w:ascii="Book Antiqua"/>
          <w:color w:val="231F20"/>
          <w:w w:val="95"/>
          <w:sz w:val="17"/>
        </w:rPr>
        <w:t>thank</w:t>
      </w:r>
      <w:r>
        <w:rPr>
          <w:rFonts w:ascii="Book Antiqua"/>
          <w:color w:val="231F20"/>
          <w:spacing w:val="-9"/>
          <w:w w:val="95"/>
          <w:sz w:val="17"/>
        </w:rPr>
        <w:t> </w:t>
      </w:r>
      <w:r>
        <w:rPr>
          <w:rFonts w:ascii="Book Antiqua"/>
          <w:color w:val="231F20"/>
          <w:w w:val="95"/>
          <w:sz w:val="17"/>
        </w:rPr>
        <w:t>them</w:t>
      </w:r>
      <w:r>
        <w:rPr>
          <w:rFonts w:ascii="Book Antiqua"/>
          <w:color w:val="231F20"/>
          <w:spacing w:val="-5"/>
          <w:w w:val="95"/>
          <w:sz w:val="17"/>
        </w:rPr>
        <w:t> </w:t>
      </w:r>
      <w:r>
        <w:rPr>
          <w:rFonts w:ascii="Book Antiqua"/>
          <w:color w:val="231F20"/>
          <w:w w:val="95"/>
          <w:sz w:val="17"/>
        </w:rPr>
        <w:t>for</w:t>
      </w:r>
      <w:r>
        <w:rPr>
          <w:rFonts w:ascii="Book Antiqua"/>
          <w:color w:val="231F20"/>
          <w:spacing w:val="-11"/>
          <w:w w:val="95"/>
          <w:sz w:val="17"/>
        </w:rPr>
        <w:t> </w:t>
      </w:r>
      <w:r>
        <w:rPr>
          <w:rFonts w:ascii="Book Antiqua"/>
          <w:color w:val="231F20"/>
          <w:w w:val="95"/>
          <w:sz w:val="17"/>
        </w:rPr>
        <w:t>their</w:t>
      </w:r>
      <w:r>
        <w:rPr>
          <w:rFonts w:ascii="Book Antiqua"/>
          <w:color w:val="231F20"/>
          <w:spacing w:val="-11"/>
          <w:w w:val="95"/>
          <w:sz w:val="17"/>
        </w:rPr>
        <w:t> </w:t>
      </w:r>
      <w:r>
        <w:rPr>
          <w:rFonts w:ascii="Book Antiqua"/>
          <w:color w:val="231F20"/>
          <w:w w:val="95"/>
          <w:sz w:val="17"/>
        </w:rPr>
        <w:t>understanding</w:t>
      </w:r>
      <w:r>
        <w:rPr>
          <w:rFonts w:ascii="Book Antiqua"/>
          <w:color w:val="231F20"/>
          <w:spacing w:val="-5"/>
          <w:w w:val="95"/>
          <w:sz w:val="17"/>
        </w:rPr>
        <w:t> </w:t>
      </w:r>
      <w:r>
        <w:rPr>
          <w:rFonts w:ascii="Book Antiqua"/>
          <w:color w:val="231F20"/>
          <w:w w:val="95"/>
          <w:sz w:val="17"/>
        </w:rPr>
        <w:t>and</w:t>
      </w:r>
      <w:r>
        <w:rPr>
          <w:rFonts w:ascii="Book Antiqua"/>
          <w:color w:val="231F20"/>
          <w:spacing w:val="-5"/>
          <w:w w:val="95"/>
          <w:sz w:val="17"/>
        </w:rPr>
        <w:t> </w:t>
      </w:r>
      <w:r>
        <w:rPr>
          <w:rFonts w:ascii="Book Antiqua"/>
          <w:color w:val="231F20"/>
          <w:w w:val="95"/>
          <w:sz w:val="17"/>
        </w:rPr>
        <w:t>their</w:t>
      </w:r>
      <w:r>
        <w:rPr>
          <w:rFonts w:ascii="Book Antiqua"/>
          <w:color w:val="231F20"/>
          <w:spacing w:val="-11"/>
          <w:w w:val="95"/>
          <w:sz w:val="17"/>
        </w:rPr>
        <w:t> </w:t>
      </w:r>
      <w:r>
        <w:rPr>
          <w:rFonts w:ascii="Book Antiqua"/>
          <w:color w:val="231F20"/>
          <w:w w:val="95"/>
          <w:sz w:val="17"/>
        </w:rPr>
        <w:t>goodness, which</w:t>
      </w:r>
      <w:r>
        <w:rPr>
          <w:rFonts w:ascii="Book Antiqua"/>
          <w:color w:val="231F20"/>
          <w:spacing w:val="-6"/>
          <w:w w:val="95"/>
          <w:sz w:val="17"/>
        </w:rPr>
        <w:t> </w:t>
      </w:r>
      <w:r>
        <w:rPr>
          <w:rFonts w:ascii="Book Antiqua"/>
          <w:color w:val="231F20"/>
          <w:w w:val="95"/>
          <w:sz w:val="17"/>
        </w:rPr>
        <w:t>have</w:t>
      </w:r>
      <w:r>
        <w:rPr>
          <w:rFonts w:ascii="Book Antiqua"/>
          <w:color w:val="231F20"/>
          <w:spacing w:val="-6"/>
          <w:w w:val="95"/>
          <w:sz w:val="17"/>
        </w:rPr>
        <w:t> </w:t>
      </w:r>
      <w:r>
        <w:rPr>
          <w:rFonts w:ascii="Book Antiqua"/>
          <w:color w:val="231F20"/>
          <w:w w:val="95"/>
          <w:sz w:val="17"/>
        </w:rPr>
        <w:t>produced</w:t>
      </w:r>
      <w:r>
        <w:rPr>
          <w:rFonts w:ascii="Book Antiqua"/>
          <w:color w:val="231F20"/>
          <w:spacing w:val="-6"/>
          <w:w w:val="95"/>
          <w:sz w:val="17"/>
        </w:rPr>
        <w:t> </w:t>
      </w:r>
      <w:r>
        <w:rPr>
          <w:rFonts w:ascii="Book Antiqua"/>
          <w:color w:val="231F20"/>
          <w:w w:val="95"/>
          <w:sz w:val="17"/>
        </w:rPr>
        <w:t>greatness</w:t>
      </w:r>
      <w:r>
        <w:rPr>
          <w:rFonts w:ascii="Book Antiqua"/>
          <w:color w:val="231F20"/>
          <w:spacing w:val="-6"/>
          <w:w w:val="95"/>
          <w:sz w:val="17"/>
        </w:rPr>
        <w:t> </w:t>
      </w:r>
      <w:r>
        <w:rPr>
          <w:rFonts w:ascii="Book Antiqua"/>
          <w:color w:val="231F20"/>
          <w:w w:val="95"/>
          <w:sz w:val="17"/>
        </w:rPr>
        <w:t>for</w:t>
      </w:r>
      <w:r>
        <w:rPr>
          <w:rFonts w:ascii="Book Antiqua"/>
          <w:color w:val="231F20"/>
          <w:spacing w:val="-13"/>
          <w:w w:val="95"/>
          <w:sz w:val="17"/>
        </w:rPr>
        <w:t> </w:t>
      </w:r>
      <w:r>
        <w:rPr>
          <w:rFonts w:ascii="Book Antiqua"/>
          <w:color w:val="231F20"/>
          <w:w w:val="95"/>
          <w:sz w:val="17"/>
        </w:rPr>
        <w:t>Southwest</w:t>
      </w:r>
      <w:r>
        <w:rPr>
          <w:rFonts w:ascii="Book Antiqua"/>
          <w:color w:val="231F20"/>
          <w:spacing w:val="-10"/>
          <w:w w:val="95"/>
          <w:sz w:val="17"/>
        </w:rPr>
        <w:t> </w:t>
      </w:r>
      <w:r>
        <w:rPr>
          <w:rFonts w:ascii="Book Antiqua"/>
          <w:color w:val="231F20"/>
          <w:w w:val="95"/>
          <w:sz w:val="17"/>
        </w:rPr>
        <w:t>and</w:t>
      </w:r>
      <w:r>
        <w:rPr>
          <w:rFonts w:ascii="Book Antiqua"/>
          <w:color w:val="231F20"/>
          <w:spacing w:val="-6"/>
          <w:w w:val="95"/>
          <w:sz w:val="17"/>
        </w:rPr>
        <w:t> </w:t>
      </w:r>
      <w:r>
        <w:rPr>
          <w:rFonts w:ascii="Book Antiqua"/>
          <w:color w:val="231F20"/>
          <w:w w:val="95"/>
          <w:sz w:val="17"/>
        </w:rPr>
        <w:t>for</w:t>
      </w:r>
      <w:r>
        <w:rPr>
          <w:rFonts w:ascii="Book Antiqua"/>
          <w:color w:val="231F20"/>
          <w:spacing w:val="-13"/>
          <w:w w:val="95"/>
          <w:sz w:val="17"/>
        </w:rPr>
        <w:t> </w:t>
      </w:r>
      <w:r>
        <w:rPr>
          <w:rFonts w:ascii="Book Antiqua"/>
          <w:color w:val="231F20"/>
          <w:w w:val="95"/>
          <w:sz w:val="17"/>
        </w:rPr>
        <w:t>them.</w:t>
      </w:r>
    </w:p>
    <w:p>
      <w:pPr>
        <w:pStyle w:val="BodyText"/>
        <w:rPr>
          <w:rFonts w:ascii="Book Antiqua"/>
          <w:sz w:val="26"/>
        </w:rPr>
      </w:pPr>
    </w:p>
    <w:p>
      <w:pPr>
        <w:spacing w:line="319" w:lineRule="auto" w:before="0"/>
        <w:ind w:left="308" w:right="3912" w:firstLine="0"/>
        <w:jc w:val="left"/>
        <w:rPr>
          <w:rFonts w:ascii="Book Antiqua"/>
          <w:sz w:val="17"/>
        </w:rPr>
      </w:pPr>
      <w:r>
        <w:rPr>
          <w:rFonts w:ascii="Book Antiqua"/>
          <w:color w:val="231F20"/>
          <w:sz w:val="17"/>
        </w:rPr>
        <w:t>January 20, 2004 </w:t>
      </w:r>
      <w:r>
        <w:rPr>
          <w:rFonts w:ascii="Book Antiqua"/>
          <w:color w:val="231F20"/>
          <w:w w:val="95"/>
          <w:sz w:val="17"/>
        </w:rPr>
        <w:t>Most sincerely,</w:t>
      </w:r>
    </w:p>
    <w:p>
      <w:pPr>
        <w:spacing w:after="0" w:line="319" w:lineRule="auto"/>
        <w:jc w:val="left"/>
        <w:rPr>
          <w:rFonts w:ascii="Book Antiqua"/>
          <w:sz w:val="17"/>
        </w:rPr>
        <w:sectPr>
          <w:type w:val="continuous"/>
          <w:pgSz w:w="12240" w:h="15840"/>
          <w:pgMar w:top="320" w:bottom="280" w:left="420" w:right="780"/>
          <w:cols w:num="2" w:equalWidth="0">
            <w:col w:w="5532" w:space="40"/>
            <w:col w:w="5468"/>
          </w:cols>
        </w:sectPr>
      </w:pPr>
    </w:p>
    <w:p>
      <w:pPr>
        <w:tabs>
          <w:tab w:pos="2810" w:val="right" w:leader="none"/>
        </w:tabs>
        <w:spacing w:before="71"/>
        <w:ind w:left="0" w:right="117" w:firstLine="0"/>
        <w:jc w:val="right"/>
        <w:rPr>
          <w:rFonts w:ascii="Arial"/>
          <w:sz w:val="14"/>
        </w:rPr>
      </w:pPr>
      <w:r>
        <w:rPr/>
        <w:pict>
          <v:line style="position:absolute;mso-position-horizontal-relative:page;mso-position-vertical-relative:paragraph;z-index:-236032" from="575.045227pt,.704712pt" to="575.045227pt,18.704712pt" stroked="true" strokeweight=".5pt" strokecolor="#231f20">
            <v:stroke dashstyle="solid"/>
            <w10:wrap type="none"/>
          </v:line>
        </w:pict>
      </w:r>
      <w:r>
        <w:rPr/>
        <w:drawing>
          <wp:anchor distT="0" distB="0" distL="0" distR="0" allowOverlap="1" layoutInCell="1" locked="0" behindDoc="0" simplePos="0" relativeHeight="2392">
            <wp:simplePos x="0" y="0"/>
            <wp:positionH relativeFrom="page">
              <wp:posOffset>5233765</wp:posOffset>
            </wp:positionH>
            <wp:positionV relativeFrom="paragraph">
              <wp:posOffset>24801</wp:posOffset>
            </wp:positionV>
            <wp:extent cx="370521" cy="153417"/>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370521" cy="153417"/>
                    </a:xfrm>
                    <a:prstGeom prst="rect">
                      <a:avLst/>
                    </a:prstGeom>
                  </pic:spPr>
                </pic:pic>
              </a:graphicData>
            </a:graphic>
          </wp:anchor>
        </w:drawing>
      </w:r>
      <w:r>
        <w:rPr>
          <w:rFonts w:ascii="Arial"/>
          <w:color w:val="231F20"/>
          <w:spacing w:val="9"/>
          <w:w w:val="95"/>
          <w:position w:val="1"/>
          <w:sz w:val="12"/>
        </w:rPr>
        <w:t>Southwest</w:t>
      </w:r>
      <w:r>
        <w:rPr>
          <w:rFonts w:ascii="Arial"/>
          <w:color w:val="231F20"/>
          <w:spacing w:val="-3"/>
          <w:w w:val="95"/>
          <w:position w:val="1"/>
          <w:sz w:val="12"/>
        </w:rPr>
        <w:t> </w:t>
      </w:r>
      <w:r>
        <w:rPr>
          <w:rFonts w:ascii="Arial"/>
          <w:color w:val="231F20"/>
          <w:spacing w:val="9"/>
          <w:w w:val="95"/>
          <w:position w:val="1"/>
          <w:sz w:val="12"/>
        </w:rPr>
        <w:t>Airlines</w:t>
      </w:r>
      <w:r>
        <w:rPr>
          <w:rFonts w:ascii="Arial"/>
          <w:color w:val="231F20"/>
          <w:w w:val="95"/>
          <w:position w:val="1"/>
          <w:sz w:val="12"/>
        </w:rPr>
        <w:t> </w:t>
      </w:r>
      <w:r>
        <w:rPr>
          <w:rFonts w:ascii="Arial"/>
          <w:color w:val="231F20"/>
          <w:spacing w:val="7"/>
          <w:w w:val="95"/>
          <w:position w:val="1"/>
          <w:sz w:val="12"/>
        </w:rPr>
        <w:t>Co.</w:t>
      </w:r>
      <w:r>
        <w:rPr>
          <w:rFonts w:ascii="Arial"/>
          <w:color w:val="231F20"/>
          <w:spacing w:val="-3"/>
          <w:w w:val="95"/>
          <w:position w:val="1"/>
          <w:sz w:val="12"/>
        </w:rPr>
        <w:t> </w:t>
      </w:r>
      <w:r>
        <w:rPr>
          <w:rFonts w:ascii="Arial"/>
          <w:color w:val="231F20"/>
          <w:spacing w:val="8"/>
          <w:w w:val="95"/>
          <w:position w:val="1"/>
          <w:sz w:val="12"/>
        </w:rPr>
        <w:t>2003</w:t>
      </w:r>
      <w:r>
        <w:rPr>
          <w:rFonts w:ascii="Arial"/>
          <w:color w:val="231F20"/>
          <w:spacing w:val="-3"/>
          <w:w w:val="95"/>
          <w:position w:val="1"/>
          <w:sz w:val="12"/>
        </w:rPr>
        <w:t> </w:t>
      </w:r>
      <w:r>
        <w:rPr>
          <w:rFonts w:ascii="Arial"/>
          <w:color w:val="231F20"/>
          <w:spacing w:val="9"/>
          <w:w w:val="95"/>
          <w:position w:val="1"/>
          <w:sz w:val="12"/>
        </w:rPr>
        <w:t>Annual</w:t>
      </w:r>
      <w:r>
        <w:rPr>
          <w:rFonts w:ascii="Arial"/>
          <w:color w:val="231F20"/>
          <w:w w:val="95"/>
          <w:position w:val="1"/>
          <w:sz w:val="12"/>
        </w:rPr>
        <w:t> </w:t>
      </w:r>
      <w:r>
        <w:rPr>
          <w:rFonts w:ascii="Arial"/>
          <w:color w:val="231F20"/>
          <w:spacing w:val="11"/>
          <w:w w:val="95"/>
          <w:position w:val="1"/>
          <w:sz w:val="12"/>
        </w:rPr>
        <w:t>Report</w:t>
      </w:r>
      <w:r>
        <w:rPr>
          <w:rFonts w:ascii="Arial"/>
          <w:color w:val="231F20"/>
          <w:spacing w:val="11"/>
          <w:w w:val="95"/>
          <w:sz w:val="14"/>
        </w:rPr>
        <w:tab/>
      </w:r>
      <w:r>
        <w:rPr>
          <w:rFonts w:ascii="Arial"/>
          <w:color w:val="231F20"/>
          <w:w w:val="95"/>
          <w:sz w:val="14"/>
        </w:rPr>
        <w:t>3</w:t>
      </w:r>
    </w:p>
    <w:p>
      <w:pPr>
        <w:pStyle w:val="BodyText"/>
        <w:rPr>
          <w:rFonts w:ascii="Arial"/>
          <w:sz w:val="20"/>
        </w:rPr>
      </w:pPr>
    </w:p>
    <w:p>
      <w:pPr>
        <w:pStyle w:val="BodyText"/>
        <w:rPr>
          <w:rFonts w:ascii="Arial"/>
          <w:sz w:val="20"/>
        </w:rPr>
      </w:pPr>
    </w:p>
    <w:p>
      <w:pPr>
        <w:pStyle w:val="BodyText"/>
        <w:spacing w:before="11"/>
        <w:rPr>
          <w:rFonts w:ascii="Arial"/>
          <w:sz w:val="29"/>
        </w:rPr>
      </w:pPr>
      <w:r>
        <w:rPr/>
        <w:pict>
          <v:rect style="position:absolute;margin-left:45pt;margin-top:19.181862pt;width:165.6pt;height:165.6pt;mso-position-horizontal-relative:page;mso-position-vertical-relative:paragraph;z-index:2080;mso-wrap-distance-left:0;mso-wrap-distance-right:0" filled="true" fillcolor="#fcaf17" stroked="false">
            <v:fill type="solid"/>
            <w10:wrap type="topAndBottom"/>
          </v:rect>
        </w:pict>
      </w:r>
      <w:r>
        <w:rPr/>
        <w:pict>
          <v:group style="position:absolute;margin-left:222.453506pt;margin-top:19.181862pt;width:166.35pt;height:165.6pt;mso-position-horizontal-relative:page;mso-position-vertical-relative:paragraph;z-index:2128;mso-wrap-distance-left:0;mso-wrap-distance-right:0" coordorigin="4449,384" coordsize="3327,3312">
            <v:rect style="position:absolute;left:4464;top:384;width:3312;height:3312" filled="true" fillcolor="#d3d4d6" stroked="false">
              <v:fill type="solid"/>
            </v:rect>
            <v:shape style="position:absolute;left:4449;top:1522;width:2270;height:505" type="#_x0000_t75" stroked="false">
              <v:imagedata r:id="rId7" o:title=""/>
            </v:shape>
            <v:shape style="position:absolute;left:4464;top:384;width:3312;height:3312" type="#_x0000_t202" filled="false" stroked="false">
              <v:textbox inset="0,0,0,0">
                <w:txbxContent>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3"/>
                      <w:rPr>
                        <w:rFonts w:ascii="Arial"/>
                        <w:sz w:val="28"/>
                      </w:rPr>
                    </w:pPr>
                  </w:p>
                  <w:p>
                    <w:pPr>
                      <w:spacing w:line="273" w:lineRule="auto" w:before="0"/>
                      <w:ind w:left="175" w:right="1064" w:firstLine="0"/>
                      <w:jc w:val="left"/>
                      <w:rPr>
                        <w:rFonts w:ascii="Book Antiqua"/>
                        <w:sz w:val="17"/>
                      </w:rPr>
                    </w:pPr>
                    <w:r>
                      <w:rPr>
                        <w:rFonts w:ascii="Book Antiqua"/>
                        <w:color w:val="231F20"/>
                        <w:sz w:val="17"/>
                      </w:rPr>
                      <w:t>Herbert D. Kelleher, Chairman of the Board</w:t>
                    </w:r>
                  </w:p>
                  <w:p>
                    <w:pPr>
                      <w:spacing w:line="240" w:lineRule="auto" w:before="8"/>
                      <w:rPr>
                        <w:rFonts w:ascii="Arial"/>
                        <w:sz w:val="20"/>
                      </w:rPr>
                    </w:pPr>
                  </w:p>
                  <w:p>
                    <w:pPr>
                      <w:spacing w:line="273" w:lineRule="auto" w:before="0"/>
                      <w:ind w:left="175" w:right="832" w:firstLine="0"/>
                      <w:jc w:val="both"/>
                      <w:rPr>
                        <w:rFonts w:ascii="Book Antiqua" w:hAnsi="Book Antiqua"/>
                        <w:sz w:val="17"/>
                      </w:rPr>
                    </w:pPr>
                    <w:r>
                      <w:rPr>
                        <w:rFonts w:ascii="Book Antiqua" w:hAnsi="Book Antiqua"/>
                        <w:color w:val="231F20"/>
                        <w:sz w:val="17"/>
                      </w:rPr>
                      <w:t>Herb</w:t>
                    </w:r>
                    <w:r>
                      <w:rPr>
                        <w:rFonts w:ascii="Book Antiqua" w:hAnsi="Book Antiqua"/>
                        <w:color w:val="231F20"/>
                        <w:spacing w:val="-23"/>
                        <w:sz w:val="17"/>
                      </w:rPr>
                      <w:t> </w:t>
                    </w:r>
                    <w:r>
                      <w:rPr>
                        <w:rFonts w:ascii="Book Antiqua" w:hAnsi="Book Antiqua"/>
                        <w:color w:val="231F20"/>
                        <w:sz w:val="17"/>
                      </w:rPr>
                      <w:t>was</w:t>
                    </w:r>
                    <w:r>
                      <w:rPr>
                        <w:rFonts w:ascii="Book Antiqua" w:hAnsi="Book Antiqua"/>
                        <w:color w:val="231F20"/>
                        <w:spacing w:val="-21"/>
                        <w:sz w:val="17"/>
                      </w:rPr>
                      <w:t> </w:t>
                    </w:r>
                    <w:r>
                      <w:rPr>
                        <w:rFonts w:ascii="Book Antiqua" w:hAnsi="Book Antiqua"/>
                        <w:color w:val="231F20"/>
                        <w:sz w:val="17"/>
                      </w:rPr>
                      <w:t>named</w:t>
                    </w:r>
                    <w:r>
                      <w:rPr>
                        <w:rFonts w:ascii="Book Antiqua" w:hAnsi="Book Antiqua"/>
                        <w:color w:val="231F20"/>
                        <w:spacing w:val="-21"/>
                        <w:sz w:val="17"/>
                      </w:rPr>
                      <w:t> </w:t>
                    </w:r>
                    <w:r>
                      <w:rPr>
                        <w:rFonts w:ascii="Book Antiqua" w:hAnsi="Book Antiqua"/>
                        <w:color w:val="231F20"/>
                        <w:sz w:val="17"/>
                      </w:rPr>
                      <w:t>to</w:t>
                    </w:r>
                    <w:r>
                      <w:rPr>
                        <w:rFonts w:ascii="Book Antiqua" w:hAnsi="Book Antiqua"/>
                        <w:color w:val="231F20"/>
                        <w:spacing w:val="-21"/>
                        <w:sz w:val="17"/>
                      </w:rPr>
                      <w:t> </w:t>
                    </w:r>
                    <w:r>
                      <w:rPr>
                        <w:rFonts w:ascii="Book Antiqua" w:hAnsi="Book Antiqua"/>
                        <w:color w:val="231F20"/>
                        <w:sz w:val="17"/>
                      </w:rPr>
                      <w:t>Secretary</w:t>
                    </w:r>
                    <w:r>
                      <w:rPr>
                        <w:rFonts w:ascii="Book Antiqua" w:hAnsi="Book Antiqua"/>
                        <w:color w:val="231F20"/>
                        <w:spacing w:val="-25"/>
                        <w:sz w:val="17"/>
                      </w:rPr>
                      <w:t> </w:t>
                    </w:r>
                    <w:r>
                      <w:rPr>
                        <w:rFonts w:ascii="Book Antiqua" w:hAnsi="Book Antiqua"/>
                        <w:color w:val="231F20"/>
                        <w:sz w:val="17"/>
                      </w:rPr>
                      <w:t>of </w:t>
                    </w:r>
                    <w:r>
                      <w:rPr>
                        <w:rFonts w:ascii="Book Antiqua" w:hAnsi="Book Antiqua"/>
                        <w:color w:val="231F20"/>
                        <w:w w:val="95"/>
                        <w:sz w:val="17"/>
                      </w:rPr>
                      <w:t>Homeland Security </w:t>
                    </w:r>
                    <w:r>
                      <w:rPr>
                        <w:rFonts w:ascii="Book Antiqua" w:hAnsi="Book Antiqua"/>
                        <w:color w:val="231F20"/>
                        <w:spacing w:val="-7"/>
                        <w:w w:val="95"/>
                        <w:sz w:val="17"/>
                      </w:rPr>
                      <w:t>Tom</w:t>
                    </w:r>
                    <w:r>
                      <w:rPr>
                        <w:rFonts w:ascii="Book Antiqua" w:hAnsi="Book Antiqua"/>
                        <w:color w:val="231F20"/>
                        <w:spacing w:val="-11"/>
                        <w:w w:val="95"/>
                        <w:sz w:val="17"/>
                      </w:rPr>
                      <w:t> </w:t>
                    </w:r>
                    <w:r>
                      <w:rPr>
                        <w:rFonts w:ascii="Book Antiqua" w:hAnsi="Book Antiqua"/>
                        <w:color w:val="231F20"/>
                        <w:w w:val="95"/>
                        <w:sz w:val="17"/>
                      </w:rPr>
                      <w:t>Ridge’s advisory panel in</w:t>
                    </w:r>
                    <w:r>
                      <w:rPr>
                        <w:rFonts w:ascii="Book Antiqua" w:hAnsi="Book Antiqua"/>
                        <w:color w:val="231F20"/>
                        <w:spacing w:val="-17"/>
                        <w:w w:val="95"/>
                        <w:sz w:val="17"/>
                      </w:rPr>
                      <w:t> </w:t>
                    </w:r>
                    <w:r>
                      <w:rPr>
                        <w:rFonts w:ascii="Book Antiqua" w:hAnsi="Book Antiqua"/>
                        <w:color w:val="231F20"/>
                        <w:w w:val="95"/>
                        <w:sz w:val="17"/>
                      </w:rPr>
                      <w:t>2003.</w:t>
                    </w:r>
                  </w:p>
                </w:txbxContent>
              </v:textbox>
              <w10:wrap type="none"/>
            </v:shape>
            <w10:wrap type="topAndBottom"/>
          </v:group>
        </w:pict>
      </w:r>
      <w:r>
        <w:rPr/>
        <w:drawing>
          <wp:anchor distT="0" distB="0" distL="0" distR="0" allowOverlap="1" layoutInCell="1" locked="0" behindDoc="0" simplePos="0" relativeHeight="2152">
            <wp:simplePos x="0" y="0"/>
            <wp:positionH relativeFrom="page">
              <wp:posOffset>5097779</wp:posOffset>
            </wp:positionH>
            <wp:positionV relativeFrom="paragraph">
              <wp:posOffset>243609</wp:posOffset>
            </wp:positionV>
            <wp:extent cx="2100072" cy="2100072"/>
            <wp:effectExtent l="0" t="0" r="0" b="0"/>
            <wp:wrapTopAndBottom/>
            <wp:docPr id="5" name="image4.png" descr=""/>
            <wp:cNvGraphicFramePr>
              <a:graphicFrameLocks noChangeAspect="1"/>
            </wp:cNvGraphicFramePr>
            <a:graphic>
              <a:graphicData uri="http://schemas.openxmlformats.org/drawingml/2006/picture">
                <pic:pic>
                  <pic:nvPicPr>
                    <pic:cNvPr id="6" name="image4.png"/>
                    <pic:cNvPicPr/>
                  </pic:nvPicPr>
                  <pic:blipFill>
                    <a:blip r:embed="rId8" cstate="print"/>
                    <a:stretch>
                      <a:fillRect/>
                    </a:stretch>
                  </pic:blipFill>
                  <pic:spPr>
                    <a:xfrm>
                      <a:off x="0" y="0"/>
                      <a:ext cx="2100072" cy="2100072"/>
                    </a:xfrm>
                    <a:prstGeom prst="rect">
                      <a:avLst/>
                    </a:prstGeom>
                  </pic:spPr>
                </pic:pic>
              </a:graphicData>
            </a:graphic>
          </wp:anchor>
        </w:drawing>
      </w:r>
      <w:r>
        <w:rPr/>
        <w:pict>
          <v:group style="position:absolute;margin-left:44.433899pt;margin-top:197.381866pt;width:166.2pt;height:165.6pt;mso-position-horizontal-relative:page;mso-position-vertical-relative:paragraph;z-index:2200;mso-wrap-distance-left:0;mso-wrap-distance-right:0" coordorigin="889,3948" coordsize="3324,3312">
            <v:rect style="position:absolute;left:900;top:3948;width:3312;height:3312" filled="true" fillcolor="#d3d4d6" stroked="false">
              <v:fill type="solid"/>
            </v:rect>
            <v:shape style="position:absolute;left:889;top:4766;width:1990;height:1011" type="#_x0000_t75" stroked="false">
              <v:imagedata r:id="rId9" o:title=""/>
            </v:shape>
            <v:shape style="position:absolute;left:900;top:3948;width:3312;height:3312" type="#_x0000_t202" filled="false" stroked="false">
              <v:textbox inset="0,0,0,0">
                <w:txbxContent>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5"/>
                      <w:rPr>
                        <w:rFonts w:ascii="Arial"/>
                        <w:sz w:val="27"/>
                      </w:rPr>
                    </w:pPr>
                  </w:p>
                  <w:p>
                    <w:pPr>
                      <w:spacing w:before="0"/>
                      <w:ind w:left="183" w:right="0" w:firstLine="0"/>
                      <w:jc w:val="both"/>
                      <w:rPr>
                        <w:rFonts w:ascii="Book Antiqua"/>
                        <w:sz w:val="17"/>
                      </w:rPr>
                    </w:pPr>
                    <w:r>
                      <w:rPr>
                        <w:rFonts w:ascii="Book Antiqua"/>
                        <w:color w:val="231F20"/>
                        <w:sz w:val="17"/>
                      </w:rPr>
                      <w:t>James F. Parker,</w:t>
                    </w:r>
                  </w:p>
                  <w:p>
                    <w:pPr>
                      <w:spacing w:before="28"/>
                      <w:ind w:left="183" w:right="0" w:firstLine="0"/>
                      <w:jc w:val="both"/>
                      <w:rPr>
                        <w:rFonts w:ascii="Book Antiqua"/>
                        <w:sz w:val="17"/>
                      </w:rPr>
                    </w:pPr>
                    <w:r>
                      <w:rPr>
                        <w:rFonts w:ascii="Book Antiqua"/>
                        <w:color w:val="231F20"/>
                        <w:sz w:val="17"/>
                      </w:rPr>
                      <w:t>Vice Chairman &amp; CEO</w:t>
                    </w:r>
                  </w:p>
                  <w:p>
                    <w:pPr>
                      <w:spacing w:line="240" w:lineRule="auto" w:before="3"/>
                      <w:rPr>
                        <w:rFonts w:ascii="Arial"/>
                        <w:sz w:val="23"/>
                      </w:rPr>
                    </w:pPr>
                  </w:p>
                  <w:p>
                    <w:pPr>
                      <w:spacing w:line="273" w:lineRule="auto" w:before="0"/>
                      <w:ind w:left="183" w:right="232" w:firstLine="0"/>
                      <w:jc w:val="both"/>
                      <w:rPr>
                        <w:rFonts w:ascii="Book Antiqua" w:hAnsi="Book Antiqua"/>
                        <w:sz w:val="17"/>
                      </w:rPr>
                    </w:pPr>
                    <w:r>
                      <w:rPr>
                        <w:rFonts w:ascii="Book Antiqua" w:hAnsi="Book Antiqua"/>
                        <w:color w:val="231F20"/>
                        <w:sz w:val="17"/>
                      </w:rPr>
                      <w:t>Jim was named one of two “Business People of the Year” by </w:t>
                    </w:r>
                    <w:r>
                      <w:rPr>
                        <w:rFonts w:ascii="Book Antiqua" w:hAnsi="Book Antiqua"/>
                        <w:i/>
                        <w:color w:val="231F20"/>
                        <w:sz w:val="17"/>
                      </w:rPr>
                      <w:t>Dallas Business </w:t>
                    </w:r>
                    <w:r>
                      <w:rPr>
                        <w:rFonts w:ascii="Book Antiqua" w:hAnsi="Book Antiqua"/>
                        <w:i/>
                        <w:color w:val="231F20"/>
                        <w:sz w:val="17"/>
                      </w:rPr>
                      <w:t>Journal</w:t>
                    </w:r>
                    <w:r>
                      <w:rPr>
                        <w:rFonts w:ascii="Book Antiqua" w:hAnsi="Book Antiqua"/>
                        <w:color w:val="231F20"/>
                        <w:sz w:val="17"/>
                      </w:rPr>
                      <w:t>; the other was Colleen Barrett.</w:t>
                    </w:r>
                  </w:p>
                </w:txbxContent>
              </v:textbox>
              <w10:wrap type="none"/>
            </v:shape>
            <w10:wrap type="topAndBottom"/>
          </v:group>
        </w:pict>
      </w:r>
      <w:r>
        <w:rPr/>
        <w:drawing>
          <wp:anchor distT="0" distB="0" distL="0" distR="0" allowOverlap="1" layoutInCell="1" locked="0" behindDoc="0" simplePos="0" relativeHeight="2224">
            <wp:simplePos x="0" y="0"/>
            <wp:positionH relativeFrom="page">
              <wp:posOffset>2834639</wp:posOffset>
            </wp:positionH>
            <wp:positionV relativeFrom="paragraph">
              <wp:posOffset>2506749</wp:posOffset>
            </wp:positionV>
            <wp:extent cx="2100071" cy="2100072"/>
            <wp:effectExtent l="0" t="0" r="0" b="0"/>
            <wp:wrapTopAndBottom/>
            <wp:docPr id="7" name="image6.png" descr=""/>
            <wp:cNvGraphicFramePr>
              <a:graphicFrameLocks noChangeAspect="1"/>
            </wp:cNvGraphicFramePr>
            <a:graphic>
              <a:graphicData uri="http://schemas.openxmlformats.org/drawingml/2006/picture">
                <pic:pic>
                  <pic:nvPicPr>
                    <pic:cNvPr id="8" name="image6.png"/>
                    <pic:cNvPicPr/>
                  </pic:nvPicPr>
                  <pic:blipFill>
                    <a:blip r:embed="rId10" cstate="print"/>
                    <a:stretch>
                      <a:fillRect/>
                    </a:stretch>
                  </pic:blipFill>
                  <pic:spPr>
                    <a:xfrm>
                      <a:off x="0" y="0"/>
                      <a:ext cx="2100071" cy="2100072"/>
                    </a:xfrm>
                    <a:prstGeom prst="rect">
                      <a:avLst/>
                    </a:prstGeom>
                  </pic:spPr>
                </pic:pic>
              </a:graphicData>
            </a:graphic>
          </wp:anchor>
        </w:drawing>
      </w:r>
      <w:r>
        <w:rPr/>
        <w:pict>
          <v:rect style="position:absolute;margin-left:401.399994pt;margin-top:197.381866pt;width:165.6pt;height:165.6pt;mso-position-horizontal-relative:page;mso-position-vertical-relative:paragraph;z-index:2248;mso-wrap-distance-left:0;mso-wrap-distance-right:0" filled="true" fillcolor="#ef3e23" stroked="false">
            <v:fill type="solid"/>
            <w10:wrap type="topAndBottom"/>
          </v:rect>
        </w:pict>
      </w:r>
      <w:r>
        <w:rPr/>
        <w:pict>
          <v:rect style="position:absolute;margin-left:45pt;margin-top:376.157867pt;width:165.6pt;height:165.6pt;mso-position-horizontal-relative:page;mso-position-vertical-relative:paragraph;z-index:2272;mso-wrap-distance-left:0;mso-wrap-distance-right:0" filled="true" fillcolor="#386ab3" stroked="false">
            <v:fill type="solid"/>
            <w10:wrap type="topAndBottom"/>
          </v:rect>
        </w:pict>
      </w:r>
      <w:r>
        <w:rPr/>
        <w:pict>
          <v:group style="position:absolute;margin-left:223.199997pt;margin-top:376.157867pt;width:165.6pt;height:165.6pt;mso-position-horizontal-relative:page;mso-position-vertical-relative:paragraph;z-index:2320;mso-wrap-distance-left:0;mso-wrap-distance-right:0" coordorigin="4464,7523" coordsize="3312,3312">
            <v:rect style="position:absolute;left:4464;top:7523;width:3312;height:3312" filled="true" fillcolor="#d3d4d6" stroked="false">
              <v:fill type="solid"/>
            </v:rect>
            <v:shape style="position:absolute;left:4465;top:8469;width:1816;height:775" type="#_x0000_t75" stroked="false">
              <v:imagedata r:id="rId11" o:title=""/>
            </v:shape>
            <v:shape style="position:absolute;left:4464;top:7523;width:3312;height:3312" type="#_x0000_t202" filled="false" stroked="false">
              <v:textbox inset="0,0,0,0">
                <w:txbxContent>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3"/>
                      <w:rPr>
                        <w:rFonts w:ascii="Arial"/>
                        <w:sz w:val="27"/>
                      </w:rPr>
                    </w:pPr>
                  </w:p>
                  <w:p>
                    <w:pPr>
                      <w:spacing w:line="273" w:lineRule="auto" w:before="0"/>
                      <w:ind w:left="175" w:right="1064" w:firstLine="0"/>
                      <w:jc w:val="left"/>
                      <w:rPr>
                        <w:rFonts w:ascii="Book Antiqua"/>
                        <w:sz w:val="17"/>
                      </w:rPr>
                    </w:pPr>
                    <w:r>
                      <w:rPr>
                        <w:rFonts w:ascii="Book Antiqua"/>
                        <w:color w:val="231F20"/>
                        <w:sz w:val="17"/>
                      </w:rPr>
                      <w:t>Colleen C. Barrett,</w:t>
                    </w:r>
                    <w:r>
                      <w:rPr>
                        <w:rFonts w:ascii="Book Antiqua"/>
                        <w:color w:val="231F20"/>
                        <w:w w:val="93"/>
                        <w:sz w:val="17"/>
                      </w:rPr>
                      <w:t> </w:t>
                    </w:r>
                    <w:r>
                      <w:rPr>
                        <w:rFonts w:ascii="Book Antiqua"/>
                        <w:color w:val="231F20"/>
                        <w:sz w:val="17"/>
                      </w:rPr>
                      <w:t>President &amp; COO</w:t>
                    </w:r>
                  </w:p>
                  <w:p>
                    <w:pPr>
                      <w:spacing w:line="240" w:lineRule="auto" w:before="8"/>
                      <w:rPr>
                        <w:rFonts w:ascii="Arial"/>
                        <w:sz w:val="20"/>
                      </w:rPr>
                    </w:pPr>
                  </w:p>
                  <w:p>
                    <w:pPr>
                      <w:spacing w:before="0"/>
                      <w:ind w:left="175" w:right="0" w:firstLine="0"/>
                      <w:jc w:val="left"/>
                      <w:rPr>
                        <w:rFonts w:ascii="Book Antiqua"/>
                        <w:sz w:val="17"/>
                      </w:rPr>
                    </w:pPr>
                    <w:r>
                      <w:rPr>
                        <w:rFonts w:ascii="Book Antiqua"/>
                        <w:color w:val="231F20"/>
                        <w:sz w:val="17"/>
                      </w:rPr>
                      <w:t>Colleen was named one of the</w:t>
                    </w:r>
                  </w:p>
                  <w:p>
                    <w:pPr>
                      <w:spacing w:before="28"/>
                      <w:ind w:left="175" w:right="0" w:firstLine="0"/>
                      <w:jc w:val="left"/>
                      <w:rPr>
                        <w:rFonts w:ascii="Book Antiqua" w:hAnsi="Book Antiqua"/>
                        <w:sz w:val="17"/>
                      </w:rPr>
                    </w:pPr>
                    <w:r>
                      <w:rPr>
                        <w:rFonts w:ascii="Book Antiqua" w:hAnsi="Book Antiqua"/>
                        <w:color w:val="231F20"/>
                        <w:w w:val="95"/>
                        <w:sz w:val="17"/>
                      </w:rPr>
                      <w:t>“50 Most Powerful Women in Business” by</w:t>
                    </w:r>
                  </w:p>
                  <w:p>
                    <w:pPr>
                      <w:spacing w:before="28"/>
                      <w:ind w:left="175" w:right="0" w:firstLine="0"/>
                      <w:jc w:val="left"/>
                      <w:rPr>
                        <w:rFonts w:ascii="Book Antiqua"/>
                        <w:sz w:val="17"/>
                      </w:rPr>
                    </w:pPr>
                    <w:r>
                      <w:rPr>
                        <w:rFonts w:ascii="Book Antiqua"/>
                        <w:i/>
                        <w:color w:val="231F20"/>
                        <w:w w:val="95"/>
                        <w:sz w:val="17"/>
                      </w:rPr>
                      <w:t>FORTUNE </w:t>
                    </w:r>
                    <w:r>
                      <w:rPr>
                        <w:rFonts w:ascii="Book Antiqua"/>
                        <w:color w:val="231F20"/>
                        <w:w w:val="95"/>
                        <w:sz w:val="17"/>
                      </w:rPr>
                      <w:t>magazine two years running.</w:t>
                    </w:r>
                  </w:p>
                </w:txbxContent>
              </v:textbox>
              <w10:wrap type="none"/>
            </v:shape>
            <w10:wrap type="topAndBottom"/>
          </v:group>
        </w:pict>
      </w:r>
      <w:r>
        <w:rPr/>
        <w:drawing>
          <wp:anchor distT="0" distB="0" distL="0" distR="0" allowOverlap="1" layoutInCell="1" locked="0" behindDoc="0" simplePos="0" relativeHeight="2344">
            <wp:simplePos x="0" y="0"/>
            <wp:positionH relativeFrom="page">
              <wp:posOffset>5097779</wp:posOffset>
            </wp:positionH>
            <wp:positionV relativeFrom="paragraph">
              <wp:posOffset>4777204</wp:posOffset>
            </wp:positionV>
            <wp:extent cx="2100072" cy="2100072"/>
            <wp:effectExtent l="0" t="0" r="0" b="0"/>
            <wp:wrapTopAndBottom/>
            <wp:docPr id="9" name="image8.png" descr=""/>
            <wp:cNvGraphicFramePr>
              <a:graphicFrameLocks noChangeAspect="1"/>
            </wp:cNvGraphicFramePr>
            <a:graphic>
              <a:graphicData uri="http://schemas.openxmlformats.org/drawingml/2006/picture">
                <pic:pic>
                  <pic:nvPicPr>
                    <pic:cNvPr id="10" name="image8.png"/>
                    <pic:cNvPicPr/>
                  </pic:nvPicPr>
                  <pic:blipFill>
                    <a:blip r:embed="rId12" cstate="print"/>
                    <a:stretch>
                      <a:fillRect/>
                    </a:stretch>
                  </pic:blipFill>
                  <pic:spPr>
                    <a:xfrm>
                      <a:off x="0" y="0"/>
                      <a:ext cx="2100072" cy="2100072"/>
                    </a:xfrm>
                    <a:prstGeom prst="rect">
                      <a:avLst/>
                    </a:prstGeom>
                  </pic:spPr>
                </pic:pic>
              </a:graphicData>
            </a:graphic>
          </wp:anchor>
        </w:drawing>
      </w:r>
    </w:p>
    <w:p>
      <w:pPr>
        <w:pStyle w:val="BodyText"/>
        <w:rPr>
          <w:rFonts w:ascii="Arial"/>
          <w:sz w:val="16"/>
        </w:rPr>
      </w:pPr>
    </w:p>
    <w:p>
      <w:pPr>
        <w:pStyle w:val="BodyText"/>
        <w:rPr>
          <w:rFonts w:ascii="Arial"/>
          <w:sz w:val="17"/>
        </w:rPr>
      </w:pPr>
    </w:p>
    <w:p>
      <w:pPr>
        <w:spacing w:after="0"/>
        <w:rPr>
          <w:rFonts w:ascii="Arial"/>
          <w:sz w:val="17"/>
        </w:rPr>
        <w:sectPr>
          <w:pgSz w:w="12240" w:h="15840"/>
          <w:pgMar w:top="280" w:bottom="280" w:left="780" w:right="400"/>
        </w:sectPr>
      </w:pPr>
    </w:p>
    <w:p>
      <w:pPr>
        <w:tabs>
          <w:tab w:pos="532" w:val="left" w:leader="none"/>
        </w:tabs>
        <w:spacing w:before="77"/>
        <w:ind w:left="112" w:right="0" w:firstLine="0"/>
        <w:jc w:val="left"/>
        <w:rPr>
          <w:rFonts w:ascii="Arial"/>
          <w:sz w:val="12"/>
        </w:rPr>
      </w:pPr>
      <w:r>
        <w:rPr/>
        <w:pict>
          <v:line style="position:absolute;mso-position-horizontal-relative:page;mso-position-vertical-relative:paragraph;z-index:-235816" from="36.605202pt,1.004097pt" to="36.605202pt,19.004097pt" stroked="true" strokeweight=".5pt" strokecolor="#231f20">
            <v:stroke dashstyle="solid"/>
            <w10:wrap type="none"/>
          </v:line>
        </w:pict>
      </w:r>
      <w:r>
        <w:rPr/>
        <w:drawing>
          <wp:anchor distT="0" distB="0" distL="0" distR="0" allowOverlap="1" layoutInCell="1" locked="0" behindDoc="0" simplePos="0" relativeHeight="2608">
            <wp:simplePos x="0" y="0"/>
            <wp:positionH relativeFrom="page">
              <wp:posOffset>2161648</wp:posOffset>
            </wp:positionH>
            <wp:positionV relativeFrom="paragraph">
              <wp:posOffset>28620</wp:posOffset>
            </wp:positionV>
            <wp:extent cx="370521" cy="153417"/>
            <wp:effectExtent l="0" t="0" r="0" b="0"/>
            <wp:wrapNone/>
            <wp:docPr id="11" name="image1.png" descr=""/>
            <wp:cNvGraphicFramePr>
              <a:graphicFrameLocks noChangeAspect="1"/>
            </wp:cNvGraphicFramePr>
            <a:graphic>
              <a:graphicData uri="http://schemas.openxmlformats.org/drawingml/2006/picture">
                <pic:pic>
                  <pic:nvPicPr>
                    <pic:cNvPr id="12" name="image1.png"/>
                    <pic:cNvPicPr/>
                  </pic:nvPicPr>
                  <pic:blipFill>
                    <a:blip r:embed="rId5" cstate="print"/>
                    <a:stretch>
                      <a:fillRect/>
                    </a:stretch>
                  </pic:blipFill>
                  <pic:spPr>
                    <a:xfrm>
                      <a:off x="0" y="0"/>
                      <a:ext cx="370521" cy="153417"/>
                    </a:xfrm>
                    <a:prstGeom prst="rect">
                      <a:avLst/>
                    </a:prstGeom>
                  </pic:spPr>
                </pic:pic>
              </a:graphicData>
            </a:graphic>
          </wp:anchor>
        </w:drawing>
      </w:r>
      <w:bookmarkStart w:name="Narrative" w:id="3"/>
      <w:bookmarkEnd w:id="3"/>
      <w:r>
        <w:rPr/>
      </w:r>
      <w:r>
        <w:rPr>
          <w:rFonts w:ascii="Arial"/>
          <w:color w:val="231F20"/>
          <w:w w:val="95"/>
          <w:sz w:val="14"/>
        </w:rPr>
        <w:t>4</w:t>
        <w:tab/>
      </w:r>
      <w:r>
        <w:rPr>
          <w:rFonts w:ascii="Arial"/>
          <w:color w:val="231F20"/>
          <w:spacing w:val="9"/>
          <w:w w:val="90"/>
          <w:position w:val="1"/>
          <w:sz w:val="12"/>
        </w:rPr>
        <w:t>Southwest</w:t>
      </w:r>
      <w:r>
        <w:rPr>
          <w:rFonts w:ascii="Arial"/>
          <w:color w:val="231F20"/>
          <w:spacing w:val="-9"/>
          <w:w w:val="90"/>
          <w:position w:val="1"/>
          <w:sz w:val="12"/>
        </w:rPr>
        <w:t> </w:t>
      </w:r>
      <w:r>
        <w:rPr>
          <w:rFonts w:ascii="Arial"/>
          <w:color w:val="231F20"/>
          <w:spacing w:val="9"/>
          <w:w w:val="90"/>
          <w:position w:val="1"/>
          <w:sz w:val="12"/>
        </w:rPr>
        <w:t>Airlines</w:t>
      </w:r>
      <w:r>
        <w:rPr>
          <w:rFonts w:ascii="Arial"/>
          <w:color w:val="231F20"/>
          <w:spacing w:val="-7"/>
          <w:w w:val="90"/>
          <w:position w:val="1"/>
          <w:sz w:val="12"/>
        </w:rPr>
        <w:t> </w:t>
      </w:r>
      <w:r>
        <w:rPr>
          <w:rFonts w:ascii="Arial"/>
          <w:color w:val="231F20"/>
          <w:spacing w:val="7"/>
          <w:w w:val="90"/>
          <w:position w:val="1"/>
          <w:sz w:val="12"/>
        </w:rPr>
        <w:t>Co.</w:t>
      </w:r>
      <w:r>
        <w:rPr>
          <w:rFonts w:ascii="Arial"/>
          <w:color w:val="231F20"/>
          <w:spacing w:val="-9"/>
          <w:w w:val="90"/>
          <w:position w:val="1"/>
          <w:sz w:val="12"/>
        </w:rPr>
        <w:t> </w:t>
      </w:r>
      <w:r>
        <w:rPr>
          <w:rFonts w:ascii="Arial"/>
          <w:color w:val="231F20"/>
          <w:spacing w:val="8"/>
          <w:w w:val="90"/>
          <w:position w:val="1"/>
          <w:sz w:val="12"/>
        </w:rPr>
        <w:t>2003</w:t>
      </w:r>
      <w:r>
        <w:rPr>
          <w:rFonts w:ascii="Arial"/>
          <w:color w:val="231F20"/>
          <w:spacing w:val="-9"/>
          <w:w w:val="90"/>
          <w:position w:val="1"/>
          <w:sz w:val="12"/>
        </w:rPr>
        <w:t> </w:t>
      </w:r>
      <w:r>
        <w:rPr>
          <w:rFonts w:ascii="Arial"/>
          <w:color w:val="231F20"/>
          <w:spacing w:val="9"/>
          <w:w w:val="90"/>
          <w:position w:val="1"/>
          <w:sz w:val="12"/>
        </w:rPr>
        <w:t>Annual</w:t>
      </w:r>
      <w:r>
        <w:rPr>
          <w:rFonts w:ascii="Arial"/>
          <w:color w:val="231F20"/>
          <w:spacing w:val="-7"/>
          <w:w w:val="90"/>
          <w:position w:val="1"/>
          <w:sz w:val="12"/>
        </w:rPr>
        <w:t> </w:t>
      </w:r>
      <w:r>
        <w:rPr>
          <w:rFonts w:ascii="Arial"/>
          <w:color w:val="231F20"/>
          <w:spacing w:val="9"/>
          <w:w w:val="90"/>
          <w:position w:val="1"/>
          <w:sz w:val="12"/>
        </w:rPr>
        <w:t>Report</w:t>
      </w:r>
      <w:r>
        <w:rPr>
          <w:rFonts w:ascii="Arial"/>
          <w:color w:val="231F20"/>
          <w:spacing w:val="-22"/>
          <w:position w:val="1"/>
          <w:sz w:val="12"/>
        </w:rPr>
        <w:t> </w:t>
      </w:r>
    </w:p>
    <w:p>
      <w:pPr>
        <w:pStyle w:val="BodyText"/>
        <w:rPr>
          <w:rFonts w:ascii="Arial"/>
          <w:sz w:val="20"/>
        </w:rPr>
      </w:pPr>
    </w:p>
    <w:p>
      <w:pPr>
        <w:pStyle w:val="BodyText"/>
        <w:rPr>
          <w:rFonts w:ascii="Arial"/>
          <w:sz w:val="20"/>
        </w:rPr>
      </w:pPr>
    </w:p>
    <w:p>
      <w:pPr>
        <w:pStyle w:val="BodyText"/>
        <w:spacing w:before="6"/>
        <w:rPr>
          <w:rFonts w:ascii="Arial"/>
          <w:sz w:val="29"/>
        </w:rPr>
      </w:pPr>
      <w:r>
        <w:rPr/>
        <w:pict>
          <v:shape style="position:absolute;margin-left:45pt;margin-top:18.93523pt;width:165.6pt;height:165.6pt;mso-position-horizontal-relative:page;mso-position-vertical-relative:paragraph;z-index:2416;mso-wrap-distance-left:0;mso-wrap-distance-right:0" type="#_x0000_t202" filled="true" fillcolor="#fcaf17" stroked="false">
            <v:textbox inset="0,0,0,0">
              <w:txbxContent>
                <w:p>
                  <w:pPr>
                    <w:pStyle w:val="BodyText"/>
                    <w:rPr>
                      <w:rFonts w:ascii="Arial"/>
                      <w:sz w:val="32"/>
                    </w:rPr>
                  </w:pPr>
                </w:p>
                <w:p>
                  <w:pPr>
                    <w:pStyle w:val="BodyText"/>
                    <w:rPr>
                      <w:rFonts w:ascii="Arial"/>
                      <w:sz w:val="32"/>
                    </w:rPr>
                  </w:pPr>
                </w:p>
                <w:p>
                  <w:pPr>
                    <w:pStyle w:val="BodyText"/>
                    <w:rPr>
                      <w:rFonts w:ascii="Arial"/>
                      <w:sz w:val="32"/>
                    </w:rPr>
                  </w:pPr>
                </w:p>
                <w:p>
                  <w:pPr>
                    <w:pStyle w:val="BodyText"/>
                    <w:spacing w:before="7"/>
                    <w:rPr>
                      <w:rFonts w:ascii="Arial"/>
                      <w:sz w:val="34"/>
                    </w:rPr>
                  </w:pPr>
                </w:p>
                <w:p>
                  <w:pPr>
                    <w:spacing w:before="0"/>
                    <w:ind w:left="564" w:right="0" w:firstLine="0"/>
                    <w:jc w:val="left"/>
                    <w:rPr>
                      <w:rFonts w:ascii="Book Antiqua"/>
                      <w:sz w:val="26"/>
                    </w:rPr>
                  </w:pPr>
                  <w:r>
                    <w:rPr>
                      <w:rFonts w:ascii="Book Antiqua"/>
                      <w:color w:val="FFFFFF"/>
                      <w:sz w:val="26"/>
                    </w:rPr>
                    <w:t>S P R E A D I N G </w:t>
                  </w:r>
                </w:p>
              </w:txbxContent>
            </v:textbox>
            <v:fill type="solid"/>
            <w10:wrap type="topAndBottom"/>
          </v:shape>
        </w:pict>
      </w:r>
      <w:r>
        <w:rPr/>
        <w:drawing>
          <wp:anchor distT="0" distB="0" distL="0" distR="0" allowOverlap="1" layoutInCell="1" locked="0" behindDoc="0" simplePos="0" relativeHeight="2440">
            <wp:simplePos x="0" y="0"/>
            <wp:positionH relativeFrom="page">
              <wp:posOffset>2834639</wp:posOffset>
            </wp:positionH>
            <wp:positionV relativeFrom="paragraph">
              <wp:posOffset>240477</wp:posOffset>
            </wp:positionV>
            <wp:extent cx="2109692" cy="2109692"/>
            <wp:effectExtent l="0" t="0" r="0" b="0"/>
            <wp:wrapTopAndBottom/>
            <wp:docPr id="13" name="image9.png" descr=""/>
            <wp:cNvGraphicFramePr>
              <a:graphicFrameLocks noChangeAspect="1"/>
            </wp:cNvGraphicFramePr>
            <a:graphic>
              <a:graphicData uri="http://schemas.openxmlformats.org/drawingml/2006/picture">
                <pic:pic>
                  <pic:nvPicPr>
                    <pic:cNvPr id="14" name="image9.png"/>
                    <pic:cNvPicPr/>
                  </pic:nvPicPr>
                  <pic:blipFill>
                    <a:blip r:embed="rId13" cstate="print"/>
                    <a:stretch>
                      <a:fillRect/>
                    </a:stretch>
                  </pic:blipFill>
                  <pic:spPr>
                    <a:xfrm>
                      <a:off x="0" y="0"/>
                      <a:ext cx="2109692" cy="2109692"/>
                    </a:xfrm>
                    <a:prstGeom prst="rect">
                      <a:avLst/>
                    </a:prstGeom>
                  </pic:spPr>
                </pic:pic>
              </a:graphicData>
            </a:graphic>
          </wp:anchor>
        </w:drawing>
      </w:r>
      <w:r>
        <w:rPr/>
        <w:drawing>
          <wp:anchor distT="0" distB="0" distL="0" distR="0" allowOverlap="1" layoutInCell="1" locked="0" behindDoc="0" simplePos="0" relativeHeight="2464">
            <wp:simplePos x="0" y="0"/>
            <wp:positionH relativeFrom="page">
              <wp:posOffset>5097779</wp:posOffset>
            </wp:positionH>
            <wp:positionV relativeFrom="paragraph">
              <wp:posOffset>240908</wp:posOffset>
            </wp:positionV>
            <wp:extent cx="2109717" cy="2109692"/>
            <wp:effectExtent l="0" t="0" r="0" b="0"/>
            <wp:wrapTopAndBottom/>
            <wp:docPr id="15" name="image10.jpeg" descr=""/>
            <wp:cNvGraphicFramePr>
              <a:graphicFrameLocks noChangeAspect="1"/>
            </wp:cNvGraphicFramePr>
            <a:graphic>
              <a:graphicData uri="http://schemas.openxmlformats.org/drawingml/2006/picture">
                <pic:pic>
                  <pic:nvPicPr>
                    <pic:cNvPr id="16" name="image10.jpeg"/>
                    <pic:cNvPicPr/>
                  </pic:nvPicPr>
                  <pic:blipFill>
                    <a:blip r:embed="rId14" cstate="print"/>
                    <a:stretch>
                      <a:fillRect/>
                    </a:stretch>
                  </pic:blipFill>
                  <pic:spPr>
                    <a:xfrm>
                      <a:off x="0" y="0"/>
                      <a:ext cx="2109717" cy="2109692"/>
                    </a:xfrm>
                    <a:prstGeom prst="rect">
                      <a:avLst/>
                    </a:prstGeom>
                  </pic:spPr>
                </pic:pic>
              </a:graphicData>
            </a:graphic>
          </wp:anchor>
        </w:drawing>
      </w:r>
      <w:r>
        <w:rPr/>
        <w:drawing>
          <wp:anchor distT="0" distB="0" distL="0" distR="0" allowOverlap="1" layoutInCell="1" locked="0" behindDoc="0" simplePos="0" relativeHeight="2488">
            <wp:simplePos x="0" y="0"/>
            <wp:positionH relativeFrom="page">
              <wp:posOffset>571500</wp:posOffset>
            </wp:positionH>
            <wp:positionV relativeFrom="paragraph">
              <wp:posOffset>2503617</wp:posOffset>
            </wp:positionV>
            <wp:extent cx="6619792" cy="2100072"/>
            <wp:effectExtent l="0" t="0" r="0" b="0"/>
            <wp:wrapTopAndBottom/>
            <wp:docPr id="17" name="image11.jpeg" descr=""/>
            <wp:cNvGraphicFramePr>
              <a:graphicFrameLocks noChangeAspect="1"/>
            </wp:cNvGraphicFramePr>
            <a:graphic>
              <a:graphicData uri="http://schemas.openxmlformats.org/drawingml/2006/picture">
                <pic:pic>
                  <pic:nvPicPr>
                    <pic:cNvPr id="18" name="image11.jpeg"/>
                    <pic:cNvPicPr/>
                  </pic:nvPicPr>
                  <pic:blipFill>
                    <a:blip r:embed="rId15" cstate="print"/>
                    <a:stretch>
                      <a:fillRect/>
                    </a:stretch>
                  </pic:blipFill>
                  <pic:spPr>
                    <a:xfrm>
                      <a:off x="0" y="0"/>
                      <a:ext cx="6619792" cy="2100072"/>
                    </a:xfrm>
                    <a:prstGeom prst="rect">
                      <a:avLst/>
                    </a:prstGeom>
                  </pic:spPr>
                </pic:pic>
              </a:graphicData>
            </a:graphic>
          </wp:anchor>
        </w:drawing>
      </w:r>
      <w:r>
        <w:rPr/>
        <w:drawing>
          <wp:anchor distT="0" distB="0" distL="0" distR="0" allowOverlap="1" layoutInCell="1" locked="0" behindDoc="0" simplePos="0" relativeHeight="2512">
            <wp:simplePos x="0" y="0"/>
            <wp:positionH relativeFrom="page">
              <wp:posOffset>571500</wp:posOffset>
            </wp:positionH>
            <wp:positionV relativeFrom="paragraph">
              <wp:posOffset>4774072</wp:posOffset>
            </wp:positionV>
            <wp:extent cx="2110168" cy="2110168"/>
            <wp:effectExtent l="0" t="0" r="0" b="0"/>
            <wp:wrapTopAndBottom/>
            <wp:docPr id="19" name="image12.png" descr=""/>
            <wp:cNvGraphicFramePr>
              <a:graphicFrameLocks noChangeAspect="1"/>
            </wp:cNvGraphicFramePr>
            <a:graphic>
              <a:graphicData uri="http://schemas.openxmlformats.org/drawingml/2006/picture">
                <pic:pic>
                  <pic:nvPicPr>
                    <pic:cNvPr id="20" name="image12.png"/>
                    <pic:cNvPicPr/>
                  </pic:nvPicPr>
                  <pic:blipFill>
                    <a:blip r:embed="rId16" cstate="print"/>
                    <a:stretch>
                      <a:fillRect/>
                    </a:stretch>
                  </pic:blipFill>
                  <pic:spPr>
                    <a:xfrm>
                      <a:off x="0" y="0"/>
                      <a:ext cx="2110168" cy="2110168"/>
                    </a:xfrm>
                    <a:prstGeom prst="rect">
                      <a:avLst/>
                    </a:prstGeom>
                  </pic:spPr>
                </pic:pic>
              </a:graphicData>
            </a:graphic>
          </wp:anchor>
        </w:drawing>
      </w:r>
      <w:r>
        <w:rPr/>
        <w:pict>
          <v:shape style="position:absolute;margin-left:223.199997pt;margin-top:375.911224pt;width:165.6pt;height:165.6pt;mso-position-horizontal-relative:page;mso-position-vertical-relative:paragraph;z-index:2536;mso-wrap-distance-left:0;mso-wrap-distance-right:0" type="#_x0000_t202" filled="true" fillcolor="#ef3e23" stroked="false">
            <v:textbox inset="0,0,0,0">
              <w:txbxContent>
                <w:p>
                  <w:pPr>
                    <w:pStyle w:val="BodyText"/>
                    <w:rPr>
                      <w:rFonts w:ascii="Arial"/>
                      <w:sz w:val="32"/>
                    </w:rPr>
                  </w:pPr>
                </w:p>
                <w:p>
                  <w:pPr>
                    <w:pStyle w:val="BodyText"/>
                    <w:rPr>
                      <w:rFonts w:ascii="Arial"/>
                      <w:sz w:val="32"/>
                    </w:rPr>
                  </w:pPr>
                </w:p>
                <w:p>
                  <w:pPr>
                    <w:pStyle w:val="BodyText"/>
                    <w:rPr>
                      <w:rFonts w:ascii="Arial"/>
                      <w:sz w:val="32"/>
                    </w:rPr>
                  </w:pPr>
                </w:p>
                <w:p>
                  <w:pPr>
                    <w:pStyle w:val="BodyText"/>
                    <w:rPr>
                      <w:rFonts w:ascii="Arial"/>
                      <w:sz w:val="35"/>
                    </w:rPr>
                  </w:pPr>
                </w:p>
                <w:p>
                  <w:pPr>
                    <w:spacing w:before="0"/>
                    <w:ind w:left="571" w:right="0" w:firstLine="0"/>
                    <w:jc w:val="left"/>
                    <w:rPr>
                      <w:rFonts w:ascii="Book Antiqua"/>
                      <w:sz w:val="26"/>
                    </w:rPr>
                  </w:pPr>
                  <w:r>
                    <w:rPr>
                      <w:rFonts w:ascii="Book Antiqua"/>
                      <w:color w:val="FFFFFF"/>
                      <w:sz w:val="26"/>
                    </w:rPr>
                    <w:t>O U R   W I N G S </w:t>
                  </w:r>
                </w:p>
              </w:txbxContent>
            </v:textbox>
            <v:fill type="solid"/>
            <w10:wrap type="topAndBottom"/>
          </v:shape>
        </w:pict>
      </w:r>
      <w:r>
        <w:rPr/>
        <w:drawing>
          <wp:anchor distT="0" distB="0" distL="0" distR="0" allowOverlap="1" layoutInCell="1" locked="0" behindDoc="0" simplePos="0" relativeHeight="2560">
            <wp:simplePos x="0" y="0"/>
            <wp:positionH relativeFrom="page">
              <wp:posOffset>5097779</wp:posOffset>
            </wp:positionH>
            <wp:positionV relativeFrom="paragraph">
              <wp:posOffset>4774072</wp:posOffset>
            </wp:positionV>
            <wp:extent cx="2100072" cy="2100072"/>
            <wp:effectExtent l="0" t="0" r="0" b="0"/>
            <wp:wrapTopAndBottom/>
            <wp:docPr id="21" name="image13.png" descr=""/>
            <wp:cNvGraphicFramePr>
              <a:graphicFrameLocks noChangeAspect="1"/>
            </wp:cNvGraphicFramePr>
            <a:graphic>
              <a:graphicData uri="http://schemas.openxmlformats.org/drawingml/2006/picture">
                <pic:pic>
                  <pic:nvPicPr>
                    <pic:cNvPr id="22" name="image13.png"/>
                    <pic:cNvPicPr/>
                  </pic:nvPicPr>
                  <pic:blipFill>
                    <a:blip r:embed="rId17" cstate="print"/>
                    <a:stretch>
                      <a:fillRect/>
                    </a:stretch>
                  </pic:blipFill>
                  <pic:spPr>
                    <a:xfrm>
                      <a:off x="0" y="0"/>
                      <a:ext cx="2100072" cy="2100072"/>
                    </a:xfrm>
                    <a:prstGeom prst="rect">
                      <a:avLst/>
                    </a:prstGeom>
                  </pic:spPr>
                </pic:pic>
              </a:graphicData>
            </a:graphic>
          </wp:anchor>
        </w:drawing>
      </w:r>
    </w:p>
    <w:p>
      <w:pPr>
        <w:pStyle w:val="BodyText"/>
        <w:rPr>
          <w:rFonts w:ascii="Arial"/>
          <w:sz w:val="15"/>
        </w:rPr>
      </w:pPr>
    </w:p>
    <w:p>
      <w:pPr>
        <w:pStyle w:val="BodyText"/>
        <w:spacing w:before="4"/>
        <w:rPr>
          <w:rFonts w:ascii="Arial"/>
          <w:sz w:val="17"/>
        </w:rPr>
      </w:pPr>
    </w:p>
    <w:p>
      <w:pPr>
        <w:pStyle w:val="BodyText"/>
        <w:spacing w:before="4"/>
        <w:rPr>
          <w:rFonts w:ascii="Arial"/>
          <w:sz w:val="7"/>
        </w:rPr>
      </w:pPr>
    </w:p>
    <w:p>
      <w:pPr>
        <w:spacing w:line="319" w:lineRule="auto" w:before="94"/>
        <w:ind w:left="520" w:right="3671" w:firstLine="0"/>
        <w:jc w:val="both"/>
        <w:rPr>
          <w:rFonts w:ascii="Book Antiqua" w:hAnsi="Book Antiqua"/>
          <w:sz w:val="17"/>
        </w:rPr>
      </w:pPr>
      <w:r>
        <w:rPr>
          <w:rFonts w:ascii="Book Antiqua" w:hAnsi="Book Antiqua"/>
          <w:color w:val="231F20"/>
          <w:sz w:val="17"/>
        </w:rPr>
        <w:t>In</w:t>
      </w:r>
      <w:r>
        <w:rPr>
          <w:rFonts w:ascii="Book Antiqua" w:hAnsi="Book Antiqua"/>
          <w:color w:val="231F20"/>
          <w:spacing w:val="-22"/>
          <w:sz w:val="17"/>
        </w:rPr>
        <w:t> </w:t>
      </w:r>
      <w:r>
        <w:rPr>
          <w:rFonts w:ascii="Book Antiqua" w:hAnsi="Book Antiqua"/>
          <w:color w:val="231F20"/>
          <w:sz w:val="17"/>
        </w:rPr>
        <w:t>June</w:t>
      </w:r>
      <w:r>
        <w:rPr>
          <w:rFonts w:ascii="Book Antiqua" w:hAnsi="Book Antiqua"/>
          <w:color w:val="231F20"/>
          <w:spacing w:val="-22"/>
          <w:sz w:val="17"/>
        </w:rPr>
        <w:t> </w:t>
      </w:r>
      <w:r>
        <w:rPr>
          <w:rFonts w:ascii="Book Antiqua" w:hAnsi="Book Antiqua"/>
          <w:color w:val="231F20"/>
          <w:sz w:val="17"/>
        </w:rPr>
        <w:t>2003,</w:t>
      </w:r>
      <w:r>
        <w:rPr>
          <w:rFonts w:ascii="Book Antiqua" w:hAnsi="Book Antiqua"/>
          <w:color w:val="231F20"/>
          <w:spacing w:val="-25"/>
          <w:sz w:val="17"/>
        </w:rPr>
        <w:t> </w:t>
      </w:r>
      <w:r>
        <w:rPr>
          <w:rFonts w:ascii="Book Antiqua" w:hAnsi="Book Antiqua"/>
          <w:color w:val="231F20"/>
          <w:sz w:val="17"/>
        </w:rPr>
        <w:t>Southwest</w:t>
      </w:r>
      <w:r>
        <w:rPr>
          <w:rFonts w:ascii="Book Antiqua" w:hAnsi="Book Antiqua"/>
          <w:color w:val="231F20"/>
          <w:spacing w:val="-30"/>
          <w:sz w:val="17"/>
        </w:rPr>
        <w:t> </w:t>
      </w:r>
      <w:r>
        <w:rPr>
          <w:rFonts w:ascii="Book Antiqua" w:hAnsi="Book Antiqua"/>
          <w:color w:val="231F20"/>
          <w:sz w:val="17"/>
        </w:rPr>
        <w:t>Airlines</w:t>
      </w:r>
      <w:r>
        <w:rPr>
          <w:rFonts w:ascii="Book Antiqua" w:hAnsi="Book Antiqua"/>
          <w:color w:val="231F20"/>
          <w:spacing w:val="-22"/>
          <w:sz w:val="17"/>
        </w:rPr>
        <w:t> </w:t>
      </w:r>
      <w:r>
        <w:rPr>
          <w:rFonts w:ascii="Book Antiqua" w:hAnsi="Book Antiqua"/>
          <w:color w:val="231F20"/>
          <w:sz w:val="17"/>
        </w:rPr>
        <w:t>announced</w:t>
      </w:r>
      <w:r>
        <w:rPr>
          <w:rFonts w:ascii="Book Antiqua" w:hAnsi="Book Antiqua"/>
          <w:color w:val="231F20"/>
          <w:spacing w:val="-22"/>
          <w:sz w:val="17"/>
        </w:rPr>
        <w:t> </w:t>
      </w:r>
      <w:r>
        <w:rPr>
          <w:rFonts w:ascii="Book Antiqua" w:hAnsi="Book Antiqua"/>
          <w:color w:val="231F20"/>
          <w:sz w:val="17"/>
        </w:rPr>
        <w:t>that</w:t>
      </w:r>
      <w:r>
        <w:rPr>
          <w:rFonts w:ascii="Book Antiqua" w:hAnsi="Book Antiqua"/>
          <w:color w:val="231F20"/>
          <w:spacing w:val="-25"/>
          <w:sz w:val="17"/>
        </w:rPr>
        <w:t> </w:t>
      </w:r>
      <w:r>
        <w:rPr>
          <w:rFonts w:ascii="Book Antiqua" w:hAnsi="Book Antiqua"/>
          <w:color w:val="231F20"/>
          <w:sz w:val="17"/>
        </w:rPr>
        <w:t>our</w:t>
      </w:r>
      <w:r>
        <w:rPr>
          <w:rFonts w:ascii="Book Antiqua" w:hAnsi="Book Antiqua"/>
          <w:color w:val="231F20"/>
          <w:spacing w:val="-26"/>
          <w:sz w:val="17"/>
        </w:rPr>
        <w:t> </w:t>
      </w:r>
      <w:r>
        <w:rPr>
          <w:rFonts w:ascii="Book Antiqua" w:hAnsi="Book Antiqua"/>
          <w:color w:val="231F20"/>
          <w:sz w:val="17"/>
        </w:rPr>
        <w:t>current</w:t>
      </w:r>
      <w:r>
        <w:rPr>
          <w:rFonts w:ascii="Book Antiqua" w:hAnsi="Book Antiqua"/>
          <w:color w:val="231F20"/>
          <w:spacing w:val="-25"/>
          <w:sz w:val="17"/>
        </w:rPr>
        <w:t> </w:t>
      </w:r>
      <w:r>
        <w:rPr>
          <w:rFonts w:ascii="Book Antiqua" w:hAnsi="Book Antiqua"/>
          <w:color w:val="231F20"/>
          <w:sz w:val="17"/>
        </w:rPr>
        <w:t>and</w:t>
      </w:r>
      <w:r>
        <w:rPr>
          <w:rFonts w:ascii="Book Antiqua" w:hAnsi="Book Antiqua"/>
          <w:color w:val="231F20"/>
          <w:spacing w:val="-22"/>
          <w:sz w:val="17"/>
        </w:rPr>
        <w:t> </w:t>
      </w:r>
      <w:r>
        <w:rPr>
          <w:rFonts w:ascii="Book Antiqua" w:hAnsi="Book Antiqua"/>
          <w:color w:val="231F20"/>
          <w:sz w:val="17"/>
        </w:rPr>
        <w:t>future</w:t>
      </w:r>
      <w:r>
        <w:rPr>
          <w:rFonts w:ascii="Book Antiqua" w:hAnsi="Book Antiqua"/>
          <w:color w:val="231F20"/>
          <w:spacing w:val="-22"/>
          <w:sz w:val="17"/>
        </w:rPr>
        <w:t> </w:t>
      </w:r>
      <w:r>
        <w:rPr>
          <w:rFonts w:ascii="Book Antiqua" w:hAnsi="Book Antiqua"/>
          <w:color w:val="231F20"/>
          <w:sz w:val="17"/>
        </w:rPr>
        <w:t>f</w:t>
      </w:r>
      <w:r>
        <w:rPr>
          <w:rFonts w:ascii="Book Antiqua" w:hAnsi="Book Antiqua"/>
          <w:color w:val="231F20"/>
          <w:spacing w:val="-35"/>
          <w:sz w:val="17"/>
        </w:rPr>
        <w:t> </w:t>
      </w:r>
      <w:r>
        <w:rPr>
          <w:rFonts w:ascii="Book Antiqua" w:hAnsi="Book Antiqua"/>
          <w:color w:val="231F20"/>
          <w:sz w:val="17"/>
        </w:rPr>
        <w:t>leet</w:t>
      </w:r>
      <w:r>
        <w:rPr>
          <w:rFonts w:ascii="Book Antiqua" w:hAnsi="Book Antiqua"/>
          <w:color w:val="231F20"/>
          <w:spacing w:val="-25"/>
          <w:sz w:val="17"/>
        </w:rPr>
        <w:t> </w:t>
      </w:r>
      <w:r>
        <w:rPr>
          <w:rFonts w:ascii="Book Antiqua" w:hAnsi="Book Antiqua"/>
          <w:color w:val="231F20"/>
          <w:sz w:val="17"/>
        </w:rPr>
        <w:t>of</w:t>
      </w:r>
      <w:r>
        <w:rPr>
          <w:rFonts w:ascii="Book Antiqua" w:hAnsi="Book Antiqua"/>
          <w:color w:val="231F20"/>
          <w:spacing w:val="-22"/>
          <w:sz w:val="17"/>
        </w:rPr>
        <w:t> </w:t>
      </w:r>
      <w:r>
        <w:rPr>
          <w:rFonts w:ascii="Book Antiqua" w:hAnsi="Book Antiqua"/>
          <w:color w:val="231F20"/>
          <w:sz w:val="17"/>
        </w:rPr>
        <w:t>Boeing</w:t>
      </w:r>
      <w:r>
        <w:rPr>
          <w:rFonts w:ascii="Book Antiqua" w:hAnsi="Book Antiqua"/>
          <w:color w:val="231F20"/>
          <w:spacing w:val="-22"/>
          <w:sz w:val="17"/>
        </w:rPr>
        <w:t> </w:t>
      </w:r>
      <w:r>
        <w:rPr>
          <w:rFonts w:ascii="Book Antiqua" w:hAnsi="Book Antiqua"/>
          <w:color w:val="231F20"/>
          <w:spacing w:val="-4"/>
          <w:sz w:val="17"/>
        </w:rPr>
        <w:t>737-700s </w:t>
      </w:r>
      <w:r>
        <w:rPr>
          <w:rFonts w:ascii="Book Antiqua" w:hAnsi="Book Antiqua"/>
          <w:color w:val="231F20"/>
          <w:spacing w:val="3"/>
          <w:w w:val="95"/>
          <w:sz w:val="17"/>
        </w:rPr>
        <w:t>will </w:t>
      </w:r>
      <w:r>
        <w:rPr>
          <w:rFonts w:ascii="Book Antiqua" w:hAnsi="Book Antiqua"/>
          <w:color w:val="231F20"/>
          <w:spacing w:val="2"/>
          <w:w w:val="95"/>
          <w:sz w:val="17"/>
        </w:rPr>
        <w:t>be </w:t>
      </w:r>
      <w:r>
        <w:rPr>
          <w:rFonts w:ascii="Book Antiqua" w:hAnsi="Book Antiqua"/>
          <w:color w:val="231F20"/>
          <w:spacing w:val="5"/>
          <w:w w:val="95"/>
          <w:sz w:val="17"/>
        </w:rPr>
        <w:t>outfitted </w:t>
      </w:r>
      <w:r>
        <w:rPr>
          <w:rFonts w:ascii="Book Antiqua" w:hAnsi="Book Antiqua"/>
          <w:color w:val="231F20"/>
          <w:spacing w:val="3"/>
          <w:w w:val="95"/>
          <w:sz w:val="17"/>
        </w:rPr>
        <w:t>with </w:t>
      </w:r>
      <w:r>
        <w:rPr>
          <w:rFonts w:ascii="Book Antiqua" w:hAnsi="Book Antiqua"/>
          <w:color w:val="231F20"/>
          <w:spacing w:val="4"/>
          <w:w w:val="95"/>
          <w:sz w:val="17"/>
        </w:rPr>
        <w:t>fuel-saving, performance-enhancing Blended Winglets. </w:t>
      </w:r>
      <w:r>
        <w:rPr>
          <w:rFonts w:ascii="Book Antiqua" w:hAnsi="Book Antiqua"/>
          <w:color w:val="231F20"/>
          <w:spacing w:val="-5"/>
          <w:w w:val="95"/>
          <w:sz w:val="17"/>
        </w:rPr>
        <w:t>We </w:t>
      </w:r>
      <w:r>
        <w:rPr>
          <w:rFonts w:ascii="Book Antiqua" w:hAnsi="Book Antiqua"/>
          <w:color w:val="231F20"/>
          <w:spacing w:val="3"/>
          <w:w w:val="95"/>
          <w:sz w:val="17"/>
        </w:rPr>
        <w:t>unveiled </w:t>
      </w:r>
      <w:r>
        <w:rPr>
          <w:rFonts w:ascii="Book Antiqua" w:hAnsi="Book Antiqua"/>
          <w:color w:val="231F20"/>
          <w:spacing w:val="2"/>
          <w:w w:val="95"/>
          <w:sz w:val="17"/>
        </w:rPr>
        <w:t>the</w:t>
      </w:r>
      <w:r>
        <w:rPr>
          <w:rFonts w:ascii="Book Antiqua" w:hAnsi="Book Antiqua"/>
          <w:color w:val="231F20"/>
          <w:spacing w:val="-2"/>
          <w:w w:val="95"/>
          <w:sz w:val="17"/>
        </w:rPr>
        <w:t> </w:t>
      </w:r>
      <w:r>
        <w:rPr>
          <w:rFonts w:ascii="Book Antiqua" w:hAnsi="Book Antiqua"/>
          <w:color w:val="231F20"/>
          <w:w w:val="95"/>
          <w:sz w:val="17"/>
        </w:rPr>
        <w:t>f</w:t>
      </w:r>
      <w:r>
        <w:rPr>
          <w:rFonts w:ascii="Book Antiqua" w:hAnsi="Book Antiqua"/>
          <w:color w:val="231F20"/>
          <w:spacing w:val="-27"/>
          <w:w w:val="95"/>
          <w:sz w:val="17"/>
        </w:rPr>
        <w:t> </w:t>
      </w:r>
      <w:r>
        <w:rPr>
          <w:rFonts w:ascii="Book Antiqua" w:hAnsi="Book Antiqua"/>
          <w:color w:val="231F20"/>
          <w:spacing w:val="2"/>
          <w:w w:val="95"/>
          <w:sz w:val="17"/>
        </w:rPr>
        <w:t>leet’s</w:t>
      </w:r>
      <w:r>
        <w:rPr>
          <w:rFonts w:ascii="Book Antiqua" w:hAnsi="Book Antiqua"/>
          <w:color w:val="231F20"/>
          <w:spacing w:val="-2"/>
          <w:w w:val="95"/>
          <w:sz w:val="17"/>
        </w:rPr>
        <w:t> </w:t>
      </w:r>
      <w:r>
        <w:rPr>
          <w:rFonts w:ascii="Book Antiqua" w:hAnsi="Book Antiqua"/>
          <w:color w:val="231F20"/>
          <w:w w:val="95"/>
          <w:sz w:val="17"/>
        </w:rPr>
        <w:t>f</w:t>
      </w:r>
      <w:r>
        <w:rPr>
          <w:rFonts w:ascii="Book Antiqua" w:hAnsi="Book Antiqua"/>
          <w:color w:val="231F20"/>
          <w:spacing w:val="-30"/>
          <w:w w:val="95"/>
          <w:sz w:val="17"/>
        </w:rPr>
        <w:t> </w:t>
      </w:r>
      <w:r>
        <w:rPr>
          <w:rFonts w:ascii="Book Antiqua" w:hAnsi="Book Antiqua"/>
          <w:color w:val="231F20"/>
          <w:spacing w:val="3"/>
          <w:w w:val="95"/>
          <w:sz w:val="17"/>
        </w:rPr>
        <w:t>irst</w:t>
      </w:r>
      <w:r>
        <w:rPr>
          <w:rFonts w:ascii="Book Antiqua" w:hAnsi="Book Antiqua"/>
          <w:color w:val="231F20"/>
          <w:spacing w:val="-7"/>
          <w:w w:val="95"/>
          <w:sz w:val="17"/>
        </w:rPr>
        <w:t> </w:t>
      </w:r>
      <w:r>
        <w:rPr>
          <w:rFonts w:ascii="Book Antiqua" w:hAnsi="Book Antiqua"/>
          <w:color w:val="231F20"/>
          <w:spacing w:val="2"/>
          <w:w w:val="95"/>
          <w:sz w:val="17"/>
        </w:rPr>
        <w:t>jet</w:t>
      </w:r>
      <w:r>
        <w:rPr>
          <w:rFonts w:ascii="Book Antiqua" w:hAnsi="Book Antiqua"/>
          <w:color w:val="231F20"/>
          <w:spacing w:val="-10"/>
          <w:w w:val="95"/>
          <w:sz w:val="17"/>
        </w:rPr>
        <w:t> </w:t>
      </w:r>
      <w:r>
        <w:rPr>
          <w:rFonts w:ascii="Book Antiqua" w:hAnsi="Book Antiqua"/>
          <w:color w:val="231F20"/>
          <w:spacing w:val="3"/>
          <w:w w:val="95"/>
          <w:sz w:val="17"/>
        </w:rPr>
        <w:t>with</w:t>
      </w:r>
      <w:r>
        <w:rPr>
          <w:rFonts w:ascii="Book Antiqua" w:hAnsi="Book Antiqua"/>
          <w:color w:val="231F20"/>
          <w:spacing w:val="-6"/>
          <w:w w:val="95"/>
          <w:sz w:val="17"/>
        </w:rPr>
        <w:t> </w:t>
      </w:r>
      <w:r>
        <w:rPr>
          <w:rFonts w:ascii="Book Antiqua" w:hAnsi="Book Antiqua"/>
          <w:color w:val="231F20"/>
          <w:spacing w:val="3"/>
          <w:w w:val="95"/>
          <w:sz w:val="17"/>
        </w:rPr>
        <w:t>winglets</w:t>
      </w:r>
      <w:r>
        <w:rPr>
          <w:rFonts w:ascii="Book Antiqua" w:hAnsi="Book Antiqua"/>
          <w:color w:val="231F20"/>
          <w:spacing w:val="-2"/>
          <w:w w:val="95"/>
          <w:sz w:val="17"/>
        </w:rPr>
        <w:t> </w:t>
      </w:r>
      <w:r>
        <w:rPr>
          <w:rFonts w:ascii="Book Antiqua" w:hAnsi="Book Antiqua"/>
          <w:color w:val="231F20"/>
          <w:w w:val="95"/>
          <w:sz w:val="17"/>
        </w:rPr>
        <w:t>in</w:t>
      </w:r>
      <w:r>
        <w:rPr>
          <w:rFonts w:ascii="Book Antiqua" w:hAnsi="Book Antiqua"/>
          <w:color w:val="231F20"/>
          <w:spacing w:val="-2"/>
          <w:w w:val="95"/>
          <w:sz w:val="17"/>
        </w:rPr>
        <w:t> </w:t>
      </w:r>
      <w:r>
        <w:rPr>
          <w:rFonts w:ascii="Book Antiqua" w:hAnsi="Book Antiqua"/>
          <w:color w:val="231F20"/>
          <w:spacing w:val="3"/>
          <w:w w:val="95"/>
          <w:sz w:val="17"/>
        </w:rPr>
        <w:t>ceremonies</w:t>
      </w:r>
      <w:r>
        <w:rPr>
          <w:rFonts w:ascii="Book Antiqua" w:hAnsi="Book Antiqua"/>
          <w:color w:val="231F20"/>
          <w:spacing w:val="-2"/>
          <w:w w:val="95"/>
          <w:sz w:val="17"/>
        </w:rPr>
        <w:t> </w:t>
      </w:r>
      <w:r>
        <w:rPr>
          <w:rFonts w:ascii="Book Antiqua" w:hAnsi="Book Antiqua"/>
          <w:color w:val="231F20"/>
          <w:w w:val="95"/>
          <w:sz w:val="17"/>
        </w:rPr>
        <w:t>in</w:t>
      </w:r>
      <w:r>
        <w:rPr>
          <w:rFonts w:ascii="Book Antiqua" w:hAnsi="Book Antiqua"/>
          <w:color w:val="231F20"/>
          <w:spacing w:val="-11"/>
          <w:w w:val="95"/>
          <w:sz w:val="17"/>
        </w:rPr>
        <w:t> </w:t>
      </w:r>
      <w:r>
        <w:rPr>
          <w:rFonts w:ascii="Book Antiqua" w:hAnsi="Book Antiqua"/>
          <w:color w:val="231F20"/>
          <w:spacing w:val="2"/>
          <w:w w:val="95"/>
          <w:sz w:val="17"/>
        </w:rPr>
        <w:t>Austin,</w:t>
      </w:r>
      <w:r>
        <w:rPr>
          <w:rFonts w:ascii="Book Antiqua" w:hAnsi="Book Antiqua"/>
          <w:color w:val="231F20"/>
          <w:spacing w:val="-6"/>
          <w:w w:val="95"/>
          <w:sz w:val="17"/>
        </w:rPr>
        <w:t> </w:t>
      </w:r>
      <w:r>
        <w:rPr>
          <w:rFonts w:ascii="Book Antiqua" w:hAnsi="Book Antiqua"/>
          <w:color w:val="231F20"/>
          <w:spacing w:val="3"/>
          <w:w w:val="95"/>
          <w:sz w:val="17"/>
        </w:rPr>
        <w:t>Dallas,</w:t>
      </w:r>
      <w:r>
        <w:rPr>
          <w:rFonts w:ascii="Book Antiqua" w:hAnsi="Book Antiqua"/>
          <w:color w:val="231F20"/>
          <w:spacing w:val="-6"/>
          <w:w w:val="95"/>
          <w:sz w:val="17"/>
        </w:rPr>
        <w:t> </w:t>
      </w:r>
      <w:r>
        <w:rPr>
          <w:rFonts w:ascii="Book Antiqua" w:hAnsi="Book Antiqua"/>
          <w:color w:val="231F20"/>
          <w:spacing w:val="2"/>
          <w:w w:val="95"/>
          <w:sz w:val="17"/>
        </w:rPr>
        <w:t>and</w:t>
      </w:r>
      <w:r>
        <w:rPr>
          <w:rFonts w:ascii="Book Antiqua" w:hAnsi="Book Antiqua"/>
          <w:color w:val="231F20"/>
          <w:spacing w:val="-2"/>
          <w:w w:val="95"/>
          <w:sz w:val="17"/>
        </w:rPr>
        <w:t> </w:t>
      </w:r>
      <w:r>
        <w:rPr>
          <w:rFonts w:ascii="Book Antiqua" w:hAnsi="Book Antiqua"/>
          <w:color w:val="231F20"/>
          <w:spacing w:val="3"/>
          <w:w w:val="95"/>
          <w:sz w:val="17"/>
        </w:rPr>
        <w:t>Houston</w:t>
      </w:r>
      <w:r>
        <w:rPr>
          <w:rFonts w:ascii="Book Antiqua" w:hAnsi="Book Antiqua"/>
          <w:color w:val="231F20"/>
          <w:spacing w:val="-2"/>
          <w:w w:val="95"/>
          <w:sz w:val="17"/>
        </w:rPr>
        <w:t> </w:t>
      </w:r>
      <w:r>
        <w:rPr>
          <w:rFonts w:ascii="Book Antiqua" w:hAnsi="Book Antiqua"/>
          <w:color w:val="231F20"/>
          <w:w w:val="95"/>
          <w:sz w:val="17"/>
        </w:rPr>
        <w:t>—</w:t>
      </w:r>
      <w:r>
        <w:rPr>
          <w:rFonts w:ascii="Book Antiqua" w:hAnsi="Book Antiqua"/>
          <w:color w:val="231F20"/>
          <w:spacing w:val="-2"/>
          <w:w w:val="95"/>
          <w:sz w:val="17"/>
        </w:rPr>
        <w:t> </w:t>
      </w:r>
      <w:r>
        <w:rPr>
          <w:rFonts w:ascii="Book Antiqua" w:hAnsi="Book Antiqua"/>
          <w:color w:val="231F20"/>
          <w:spacing w:val="4"/>
          <w:w w:val="95"/>
          <w:sz w:val="17"/>
        </w:rPr>
        <w:t>representing </w:t>
      </w:r>
      <w:r>
        <w:rPr>
          <w:rFonts w:ascii="Book Antiqua" w:hAnsi="Book Antiqua"/>
          <w:color w:val="231F20"/>
          <w:spacing w:val="3"/>
          <w:sz w:val="17"/>
        </w:rPr>
        <w:t>our </w:t>
      </w:r>
      <w:r>
        <w:rPr>
          <w:rFonts w:ascii="Book Antiqua" w:hAnsi="Book Antiqua"/>
          <w:color w:val="231F20"/>
          <w:spacing w:val="4"/>
          <w:sz w:val="17"/>
        </w:rPr>
        <w:t>original </w:t>
      </w:r>
      <w:r>
        <w:rPr>
          <w:rFonts w:ascii="Book Antiqua" w:hAnsi="Book Antiqua"/>
          <w:color w:val="231F20"/>
          <w:sz w:val="17"/>
        </w:rPr>
        <w:t>“Texas </w:t>
      </w:r>
      <w:r>
        <w:rPr>
          <w:rFonts w:ascii="Book Antiqua" w:hAnsi="Book Antiqua"/>
          <w:color w:val="231F20"/>
          <w:spacing w:val="2"/>
          <w:sz w:val="17"/>
        </w:rPr>
        <w:t>Triangle” </w:t>
      </w:r>
      <w:r>
        <w:rPr>
          <w:rFonts w:ascii="Book Antiqua" w:hAnsi="Book Antiqua"/>
          <w:color w:val="231F20"/>
          <w:spacing w:val="4"/>
          <w:sz w:val="17"/>
        </w:rPr>
        <w:t>destinations </w:t>
      </w:r>
      <w:r>
        <w:rPr>
          <w:rFonts w:ascii="Book Antiqua" w:hAnsi="Book Antiqua"/>
          <w:color w:val="231F20"/>
          <w:spacing w:val="2"/>
          <w:sz w:val="17"/>
        </w:rPr>
        <w:t>in </w:t>
      </w:r>
      <w:r>
        <w:rPr>
          <w:rFonts w:ascii="Book Antiqua" w:hAnsi="Book Antiqua"/>
          <w:color w:val="231F20"/>
          <w:sz w:val="17"/>
        </w:rPr>
        <w:t>1971. </w:t>
      </w:r>
      <w:r>
        <w:rPr>
          <w:rFonts w:ascii="Book Antiqua" w:hAnsi="Book Antiqua"/>
          <w:color w:val="231F20"/>
          <w:spacing w:val="4"/>
          <w:sz w:val="17"/>
        </w:rPr>
        <w:t>These sleek, colorful appendages </w:t>
      </w:r>
      <w:r>
        <w:rPr>
          <w:rFonts w:ascii="Book Antiqua" w:hAnsi="Book Antiqua"/>
          <w:color w:val="231F20"/>
          <w:spacing w:val="5"/>
          <w:sz w:val="17"/>
        </w:rPr>
        <w:t>on </w:t>
      </w:r>
      <w:r>
        <w:rPr>
          <w:rFonts w:ascii="Book Antiqua" w:hAnsi="Book Antiqua"/>
          <w:color w:val="231F20"/>
          <w:spacing w:val="3"/>
          <w:sz w:val="17"/>
        </w:rPr>
        <w:t>the</w:t>
      </w:r>
      <w:r>
        <w:rPr>
          <w:rFonts w:ascii="Book Antiqua" w:hAnsi="Book Antiqua"/>
          <w:color w:val="231F20"/>
          <w:spacing w:val="-2"/>
          <w:sz w:val="17"/>
        </w:rPr>
        <w:t> </w:t>
      </w:r>
      <w:r>
        <w:rPr>
          <w:rFonts w:ascii="Book Antiqua" w:hAnsi="Book Antiqua"/>
          <w:color w:val="231F20"/>
          <w:spacing w:val="4"/>
          <w:sz w:val="17"/>
        </w:rPr>
        <w:t>wings</w:t>
      </w:r>
      <w:r>
        <w:rPr>
          <w:rFonts w:ascii="Book Antiqua" w:hAnsi="Book Antiqua"/>
          <w:color w:val="231F20"/>
          <w:spacing w:val="1"/>
          <w:sz w:val="17"/>
        </w:rPr>
        <w:t> </w:t>
      </w:r>
      <w:r>
        <w:rPr>
          <w:rFonts w:ascii="Book Antiqua" w:hAnsi="Book Antiqua"/>
          <w:color w:val="231F20"/>
          <w:spacing w:val="2"/>
          <w:sz w:val="17"/>
        </w:rPr>
        <w:t>of</w:t>
      </w:r>
      <w:r>
        <w:rPr>
          <w:rFonts w:ascii="Book Antiqua" w:hAnsi="Book Antiqua"/>
          <w:color w:val="231F20"/>
          <w:spacing w:val="1"/>
          <w:sz w:val="17"/>
        </w:rPr>
        <w:t> </w:t>
      </w:r>
      <w:r>
        <w:rPr>
          <w:rFonts w:ascii="Book Antiqua" w:hAnsi="Book Antiqua"/>
          <w:color w:val="231F20"/>
          <w:spacing w:val="3"/>
          <w:sz w:val="17"/>
        </w:rPr>
        <w:t>our</w:t>
      </w:r>
      <w:r>
        <w:rPr>
          <w:rFonts w:ascii="Book Antiqua" w:hAnsi="Book Antiqua"/>
          <w:color w:val="231F20"/>
          <w:spacing w:val="-5"/>
          <w:sz w:val="17"/>
        </w:rPr>
        <w:t> </w:t>
      </w:r>
      <w:r>
        <w:rPr>
          <w:rFonts w:ascii="Book Antiqua" w:hAnsi="Book Antiqua"/>
          <w:color w:val="231F20"/>
          <w:spacing w:val="4"/>
          <w:sz w:val="17"/>
        </w:rPr>
        <w:t>handsome</w:t>
      </w:r>
      <w:r>
        <w:rPr>
          <w:rFonts w:ascii="Book Antiqua" w:hAnsi="Book Antiqua"/>
          <w:color w:val="231F20"/>
          <w:spacing w:val="1"/>
          <w:sz w:val="17"/>
        </w:rPr>
        <w:t> </w:t>
      </w:r>
      <w:r>
        <w:rPr>
          <w:rFonts w:ascii="Book Antiqua" w:hAnsi="Book Antiqua"/>
          <w:color w:val="231F20"/>
          <w:spacing w:val="2"/>
          <w:sz w:val="17"/>
        </w:rPr>
        <w:t>Canyon</w:t>
      </w:r>
      <w:r>
        <w:rPr>
          <w:rFonts w:ascii="Book Antiqua" w:hAnsi="Book Antiqua"/>
          <w:color w:val="231F20"/>
          <w:spacing w:val="1"/>
          <w:sz w:val="17"/>
        </w:rPr>
        <w:t> </w:t>
      </w:r>
      <w:r>
        <w:rPr>
          <w:rFonts w:ascii="Book Antiqua" w:hAnsi="Book Antiqua"/>
          <w:color w:val="231F20"/>
          <w:spacing w:val="3"/>
          <w:sz w:val="17"/>
        </w:rPr>
        <w:t>Blue</w:t>
      </w:r>
      <w:r>
        <w:rPr>
          <w:rFonts w:ascii="Book Antiqua" w:hAnsi="Book Antiqua"/>
          <w:color w:val="231F20"/>
          <w:spacing w:val="1"/>
          <w:sz w:val="17"/>
        </w:rPr>
        <w:t> </w:t>
      </w:r>
      <w:r>
        <w:rPr>
          <w:rFonts w:ascii="Book Antiqua" w:hAnsi="Book Antiqua"/>
          <w:color w:val="231F20"/>
          <w:spacing w:val="3"/>
          <w:sz w:val="17"/>
        </w:rPr>
        <w:t>jets</w:t>
      </w:r>
      <w:r>
        <w:rPr>
          <w:rFonts w:ascii="Book Antiqua" w:hAnsi="Book Antiqua"/>
          <w:color w:val="231F20"/>
          <w:spacing w:val="1"/>
          <w:sz w:val="17"/>
        </w:rPr>
        <w:t> </w:t>
      </w:r>
      <w:r>
        <w:rPr>
          <w:rFonts w:ascii="Book Antiqua" w:hAnsi="Book Antiqua"/>
          <w:color w:val="231F20"/>
          <w:spacing w:val="2"/>
          <w:sz w:val="17"/>
        </w:rPr>
        <w:t>give</w:t>
      </w:r>
      <w:r>
        <w:rPr>
          <w:rFonts w:ascii="Book Antiqua" w:hAnsi="Book Antiqua"/>
          <w:color w:val="231F20"/>
          <w:spacing w:val="1"/>
          <w:sz w:val="17"/>
        </w:rPr>
        <w:t> </w:t>
      </w:r>
      <w:r>
        <w:rPr>
          <w:rFonts w:ascii="Book Antiqua" w:hAnsi="Book Antiqua"/>
          <w:color w:val="231F20"/>
          <w:spacing w:val="3"/>
          <w:sz w:val="17"/>
        </w:rPr>
        <w:t>the</w:t>
      </w:r>
      <w:r>
        <w:rPr>
          <w:rFonts w:ascii="Book Antiqua" w:hAnsi="Book Antiqua"/>
          <w:color w:val="231F20"/>
          <w:spacing w:val="1"/>
          <w:sz w:val="17"/>
        </w:rPr>
        <w:t> </w:t>
      </w:r>
      <w:r>
        <w:rPr>
          <w:rFonts w:ascii="Book Antiqua" w:hAnsi="Book Antiqua"/>
          <w:color w:val="231F20"/>
          <w:sz w:val="17"/>
        </w:rPr>
        <w:t>f</w:t>
      </w:r>
      <w:r>
        <w:rPr>
          <w:rFonts w:ascii="Book Antiqua" w:hAnsi="Book Antiqua"/>
          <w:color w:val="231F20"/>
          <w:spacing w:val="-30"/>
          <w:sz w:val="17"/>
        </w:rPr>
        <w:t> </w:t>
      </w:r>
      <w:r>
        <w:rPr>
          <w:rFonts w:ascii="Book Antiqua" w:hAnsi="Book Antiqua"/>
          <w:color w:val="231F20"/>
          <w:spacing w:val="3"/>
          <w:sz w:val="17"/>
        </w:rPr>
        <w:t>leet</w:t>
      </w:r>
      <w:r>
        <w:rPr>
          <w:rFonts w:ascii="Book Antiqua" w:hAnsi="Book Antiqua"/>
          <w:color w:val="231F20"/>
          <w:spacing w:val="-3"/>
          <w:sz w:val="17"/>
        </w:rPr>
        <w:t> </w:t>
      </w:r>
      <w:r>
        <w:rPr>
          <w:rFonts w:ascii="Book Antiqua" w:hAnsi="Book Antiqua"/>
          <w:color w:val="231F20"/>
          <w:sz w:val="17"/>
        </w:rPr>
        <w:t>a</w:t>
      </w:r>
      <w:r>
        <w:rPr>
          <w:rFonts w:ascii="Book Antiqua" w:hAnsi="Book Antiqua"/>
          <w:color w:val="231F20"/>
          <w:spacing w:val="1"/>
          <w:sz w:val="17"/>
        </w:rPr>
        <w:t> </w:t>
      </w:r>
      <w:r>
        <w:rPr>
          <w:rFonts w:ascii="Book Antiqua" w:hAnsi="Book Antiqua"/>
          <w:color w:val="231F20"/>
          <w:spacing w:val="4"/>
          <w:sz w:val="17"/>
        </w:rPr>
        <w:t>distinctive,</w:t>
      </w:r>
      <w:r>
        <w:rPr>
          <w:rFonts w:ascii="Book Antiqua" w:hAnsi="Book Antiqua"/>
          <w:color w:val="231F20"/>
          <w:spacing w:val="-3"/>
          <w:sz w:val="17"/>
        </w:rPr>
        <w:t> </w:t>
      </w:r>
      <w:r>
        <w:rPr>
          <w:rFonts w:ascii="Book Antiqua" w:hAnsi="Book Antiqua"/>
          <w:color w:val="231F20"/>
          <w:spacing w:val="5"/>
          <w:sz w:val="17"/>
        </w:rPr>
        <w:t>technologically </w:t>
      </w:r>
      <w:r>
        <w:rPr>
          <w:rFonts w:ascii="Book Antiqua" w:hAnsi="Book Antiqua"/>
          <w:color w:val="231F20"/>
          <w:spacing w:val="4"/>
          <w:w w:val="95"/>
          <w:sz w:val="17"/>
        </w:rPr>
        <w:t>advanced </w:t>
      </w:r>
      <w:r>
        <w:rPr>
          <w:rFonts w:ascii="Book Antiqua" w:hAnsi="Book Antiqua"/>
          <w:color w:val="231F20"/>
          <w:spacing w:val="3"/>
          <w:w w:val="95"/>
          <w:sz w:val="17"/>
        </w:rPr>
        <w:t>look and</w:t>
      </w:r>
      <w:r>
        <w:rPr>
          <w:rFonts w:ascii="Book Antiqua" w:hAnsi="Book Antiqua"/>
          <w:color w:val="231F20"/>
          <w:spacing w:val="6"/>
          <w:w w:val="95"/>
          <w:sz w:val="17"/>
        </w:rPr>
        <w:t> </w:t>
      </w:r>
      <w:r>
        <w:rPr>
          <w:rFonts w:ascii="Book Antiqua" w:hAnsi="Book Antiqua"/>
          <w:color w:val="231F20"/>
          <w:spacing w:val="5"/>
          <w:w w:val="95"/>
          <w:sz w:val="17"/>
        </w:rPr>
        <w:t>feel.</w:t>
      </w:r>
    </w:p>
    <w:p>
      <w:pPr>
        <w:spacing w:after="0" w:line="319" w:lineRule="auto"/>
        <w:jc w:val="both"/>
        <w:rPr>
          <w:rFonts w:ascii="Book Antiqua" w:hAnsi="Book Antiqua"/>
          <w:sz w:val="17"/>
        </w:rPr>
        <w:sectPr>
          <w:pgSz w:w="12240" w:h="15840"/>
          <w:pgMar w:top="280" w:bottom="280" w:left="380" w:right="800"/>
        </w:sectPr>
      </w:pPr>
    </w:p>
    <w:p>
      <w:pPr>
        <w:tabs>
          <w:tab w:pos="2810" w:val="right" w:leader="none"/>
        </w:tabs>
        <w:spacing w:before="71"/>
        <w:ind w:left="0" w:right="117" w:firstLine="0"/>
        <w:jc w:val="right"/>
        <w:rPr>
          <w:rFonts w:ascii="Arial"/>
          <w:sz w:val="14"/>
        </w:rPr>
      </w:pPr>
      <w:r>
        <w:rPr/>
        <w:pict>
          <v:line style="position:absolute;mso-position-horizontal-relative:page;mso-position-vertical-relative:paragraph;z-index:-235768" from="575.045227pt,.704712pt" to="575.045227pt,18.704712pt" stroked="true" strokeweight=".5pt" strokecolor="#231f20">
            <v:stroke dashstyle="solid"/>
            <w10:wrap type="none"/>
          </v:line>
        </w:pict>
      </w:r>
      <w:r>
        <w:rPr/>
        <w:drawing>
          <wp:anchor distT="0" distB="0" distL="0" distR="0" allowOverlap="1" layoutInCell="1" locked="0" behindDoc="0" simplePos="0" relativeHeight="2656">
            <wp:simplePos x="0" y="0"/>
            <wp:positionH relativeFrom="page">
              <wp:posOffset>5233765</wp:posOffset>
            </wp:positionH>
            <wp:positionV relativeFrom="paragraph">
              <wp:posOffset>24801</wp:posOffset>
            </wp:positionV>
            <wp:extent cx="370521" cy="153417"/>
            <wp:effectExtent l="0" t="0" r="0" b="0"/>
            <wp:wrapNone/>
            <wp:docPr id="23" name="image2.png" descr=""/>
            <wp:cNvGraphicFramePr>
              <a:graphicFrameLocks noChangeAspect="1"/>
            </wp:cNvGraphicFramePr>
            <a:graphic>
              <a:graphicData uri="http://schemas.openxmlformats.org/drawingml/2006/picture">
                <pic:pic>
                  <pic:nvPicPr>
                    <pic:cNvPr id="24" name="image2.png"/>
                    <pic:cNvPicPr/>
                  </pic:nvPicPr>
                  <pic:blipFill>
                    <a:blip r:embed="rId6" cstate="print"/>
                    <a:stretch>
                      <a:fillRect/>
                    </a:stretch>
                  </pic:blipFill>
                  <pic:spPr>
                    <a:xfrm>
                      <a:off x="0" y="0"/>
                      <a:ext cx="370521" cy="153417"/>
                    </a:xfrm>
                    <a:prstGeom prst="rect">
                      <a:avLst/>
                    </a:prstGeom>
                  </pic:spPr>
                </pic:pic>
              </a:graphicData>
            </a:graphic>
          </wp:anchor>
        </w:drawing>
      </w:r>
      <w:bookmarkStart w:name="Overview" w:id="4"/>
      <w:bookmarkEnd w:id="4"/>
      <w:r>
        <w:rPr/>
      </w:r>
      <w:bookmarkStart w:name="Low Costs" w:id="5"/>
      <w:bookmarkEnd w:id="5"/>
      <w:r>
        <w:rPr/>
      </w:r>
      <w:r>
        <w:rPr>
          <w:rFonts w:ascii="Arial"/>
          <w:color w:val="231F20"/>
          <w:spacing w:val="9"/>
          <w:w w:val="95"/>
          <w:position w:val="1"/>
          <w:sz w:val="12"/>
        </w:rPr>
        <w:t>Southwest</w:t>
      </w:r>
      <w:r>
        <w:rPr>
          <w:rFonts w:ascii="Arial"/>
          <w:color w:val="231F20"/>
          <w:spacing w:val="-3"/>
          <w:w w:val="95"/>
          <w:position w:val="1"/>
          <w:sz w:val="12"/>
        </w:rPr>
        <w:t> </w:t>
      </w:r>
      <w:r>
        <w:rPr>
          <w:rFonts w:ascii="Arial"/>
          <w:color w:val="231F20"/>
          <w:spacing w:val="9"/>
          <w:w w:val="95"/>
          <w:position w:val="1"/>
          <w:sz w:val="12"/>
        </w:rPr>
        <w:t>Airlines</w:t>
      </w:r>
      <w:r>
        <w:rPr>
          <w:rFonts w:ascii="Arial"/>
          <w:color w:val="231F20"/>
          <w:w w:val="95"/>
          <w:position w:val="1"/>
          <w:sz w:val="12"/>
        </w:rPr>
        <w:t> </w:t>
      </w:r>
      <w:r>
        <w:rPr>
          <w:rFonts w:ascii="Arial"/>
          <w:color w:val="231F20"/>
          <w:spacing w:val="7"/>
          <w:w w:val="95"/>
          <w:position w:val="1"/>
          <w:sz w:val="12"/>
        </w:rPr>
        <w:t>Co.</w:t>
      </w:r>
      <w:r>
        <w:rPr>
          <w:rFonts w:ascii="Arial"/>
          <w:color w:val="231F20"/>
          <w:spacing w:val="-3"/>
          <w:w w:val="95"/>
          <w:position w:val="1"/>
          <w:sz w:val="12"/>
        </w:rPr>
        <w:t> </w:t>
      </w:r>
      <w:r>
        <w:rPr>
          <w:rFonts w:ascii="Arial"/>
          <w:color w:val="231F20"/>
          <w:spacing w:val="8"/>
          <w:w w:val="95"/>
          <w:position w:val="1"/>
          <w:sz w:val="12"/>
        </w:rPr>
        <w:t>2003</w:t>
      </w:r>
      <w:r>
        <w:rPr>
          <w:rFonts w:ascii="Arial"/>
          <w:color w:val="231F20"/>
          <w:spacing w:val="-3"/>
          <w:w w:val="95"/>
          <w:position w:val="1"/>
          <w:sz w:val="12"/>
        </w:rPr>
        <w:t> </w:t>
      </w:r>
      <w:r>
        <w:rPr>
          <w:rFonts w:ascii="Arial"/>
          <w:color w:val="231F20"/>
          <w:spacing w:val="9"/>
          <w:w w:val="95"/>
          <w:position w:val="1"/>
          <w:sz w:val="12"/>
        </w:rPr>
        <w:t>Annual</w:t>
      </w:r>
      <w:r>
        <w:rPr>
          <w:rFonts w:ascii="Arial"/>
          <w:color w:val="231F20"/>
          <w:w w:val="95"/>
          <w:position w:val="1"/>
          <w:sz w:val="12"/>
        </w:rPr>
        <w:t> </w:t>
      </w:r>
      <w:r>
        <w:rPr>
          <w:rFonts w:ascii="Arial"/>
          <w:color w:val="231F20"/>
          <w:spacing w:val="11"/>
          <w:w w:val="95"/>
          <w:position w:val="1"/>
          <w:sz w:val="12"/>
        </w:rPr>
        <w:t>Report</w:t>
      </w:r>
      <w:r>
        <w:rPr>
          <w:rFonts w:ascii="Arial"/>
          <w:color w:val="231F20"/>
          <w:spacing w:val="11"/>
          <w:w w:val="95"/>
          <w:sz w:val="14"/>
        </w:rPr>
        <w:tab/>
      </w:r>
      <w:r>
        <w:rPr>
          <w:rFonts w:ascii="Arial"/>
          <w:color w:val="231F20"/>
          <w:w w:val="95"/>
          <w:sz w:val="14"/>
        </w:rPr>
        <w:t>5</w:t>
      </w:r>
    </w:p>
    <w:p>
      <w:pPr>
        <w:spacing w:after="0"/>
        <w:jc w:val="right"/>
        <w:rPr>
          <w:rFonts w:ascii="Arial"/>
          <w:sz w:val="14"/>
        </w:rPr>
        <w:sectPr>
          <w:pgSz w:w="12240" w:h="15840"/>
          <w:pgMar w:top="280" w:bottom="280" w:left="780" w:right="400"/>
        </w:sectPr>
      </w:pPr>
    </w:p>
    <w:p>
      <w:pPr>
        <w:pStyle w:val="BodyText"/>
        <w:rPr>
          <w:rFonts w:ascii="Arial"/>
          <w:sz w:val="20"/>
        </w:rPr>
      </w:pPr>
    </w:p>
    <w:p>
      <w:pPr>
        <w:pStyle w:val="BodyText"/>
        <w:rPr>
          <w:rFonts w:ascii="Arial"/>
          <w:sz w:val="20"/>
        </w:rPr>
      </w:pPr>
    </w:p>
    <w:p>
      <w:pPr>
        <w:pStyle w:val="BodyText"/>
        <w:rPr>
          <w:rFonts w:ascii="Arial"/>
          <w:sz w:val="29"/>
        </w:rPr>
      </w:pPr>
    </w:p>
    <w:p>
      <w:pPr>
        <w:spacing w:line="326" w:lineRule="auto" w:before="1"/>
        <w:ind w:left="120" w:right="0" w:firstLine="360"/>
        <w:jc w:val="both"/>
        <w:rPr>
          <w:rFonts w:ascii="Book Antiqua"/>
          <w:sz w:val="17"/>
        </w:rPr>
      </w:pPr>
      <w:r>
        <w:rPr>
          <w:rFonts w:ascii="Book Antiqua"/>
          <w:color w:val="231F20"/>
          <w:spacing w:val="3"/>
          <w:sz w:val="17"/>
        </w:rPr>
        <w:t>2003</w:t>
      </w:r>
      <w:r>
        <w:rPr>
          <w:rFonts w:ascii="Book Antiqua"/>
          <w:color w:val="231F20"/>
          <w:spacing w:val="-21"/>
          <w:sz w:val="17"/>
        </w:rPr>
        <w:t> </w:t>
      </w:r>
      <w:r>
        <w:rPr>
          <w:rFonts w:ascii="Book Antiqua"/>
          <w:color w:val="231F20"/>
          <w:sz w:val="17"/>
        </w:rPr>
        <w:t>proved</w:t>
      </w:r>
      <w:r>
        <w:rPr>
          <w:rFonts w:ascii="Book Antiqua"/>
          <w:color w:val="231F20"/>
          <w:spacing w:val="-18"/>
          <w:sz w:val="17"/>
        </w:rPr>
        <w:t> </w:t>
      </w:r>
      <w:r>
        <w:rPr>
          <w:rFonts w:ascii="Book Antiqua"/>
          <w:color w:val="231F20"/>
          <w:sz w:val="17"/>
        </w:rPr>
        <w:t>to</w:t>
      </w:r>
      <w:r>
        <w:rPr>
          <w:rFonts w:ascii="Book Antiqua"/>
          <w:color w:val="231F20"/>
          <w:spacing w:val="-18"/>
          <w:sz w:val="17"/>
        </w:rPr>
        <w:t> </w:t>
      </w:r>
      <w:r>
        <w:rPr>
          <w:rFonts w:ascii="Book Antiqua"/>
          <w:color w:val="231F20"/>
          <w:sz w:val="17"/>
        </w:rPr>
        <w:t>be</w:t>
      </w:r>
      <w:r>
        <w:rPr>
          <w:rFonts w:ascii="Book Antiqua"/>
          <w:color w:val="231F20"/>
          <w:spacing w:val="-18"/>
          <w:sz w:val="17"/>
        </w:rPr>
        <w:t> </w:t>
      </w:r>
      <w:r>
        <w:rPr>
          <w:rFonts w:ascii="Book Antiqua"/>
          <w:color w:val="231F20"/>
          <w:spacing w:val="3"/>
          <w:sz w:val="17"/>
        </w:rPr>
        <w:t>another</w:t>
      </w:r>
      <w:r>
        <w:rPr>
          <w:rFonts w:ascii="Book Antiqua"/>
          <w:color w:val="231F20"/>
          <w:spacing w:val="-23"/>
          <w:sz w:val="17"/>
        </w:rPr>
        <w:t> </w:t>
      </w:r>
      <w:r>
        <w:rPr>
          <w:rFonts w:ascii="Book Antiqua"/>
          <w:color w:val="231F20"/>
          <w:spacing w:val="3"/>
          <w:sz w:val="17"/>
        </w:rPr>
        <w:t>perilous</w:t>
      </w:r>
      <w:r>
        <w:rPr>
          <w:rFonts w:ascii="Book Antiqua"/>
          <w:color w:val="231F20"/>
          <w:spacing w:val="-22"/>
          <w:sz w:val="17"/>
        </w:rPr>
        <w:t> </w:t>
      </w:r>
      <w:r>
        <w:rPr>
          <w:rFonts w:ascii="Book Antiqua"/>
          <w:color w:val="231F20"/>
          <w:sz w:val="17"/>
        </w:rPr>
        <w:t>year</w:t>
      </w:r>
      <w:r>
        <w:rPr>
          <w:rFonts w:ascii="Book Antiqua"/>
          <w:color w:val="231F20"/>
          <w:spacing w:val="-23"/>
          <w:sz w:val="17"/>
        </w:rPr>
        <w:t> </w:t>
      </w:r>
      <w:r>
        <w:rPr>
          <w:rFonts w:ascii="Book Antiqua"/>
          <w:color w:val="231F20"/>
          <w:spacing w:val="2"/>
          <w:sz w:val="17"/>
        </w:rPr>
        <w:t>for</w:t>
      </w:r>
      <w:r>
        <w:rPr>
          <w:rFonts w:ascii="Book Antiqua"/>
          <w:color w:val="231F20"/>
          <w:spacing w:val="-23"/>
          <w:sz w:val="17"/>
        </w:rPr>
        <w:t> </w:t>
      </w:r>
      <w:r>
        <w:rPr>
          <w:rFonts w:ascii="Book Antiqua"/>
          <w:color w:val="231F20"/>
          <w:spacing w:val="2"/>
          <w:sz w:val="17"/>
        </w:rPr>
        <w:t>the</w:t>
      </w:r>
      <w:r>
        <w:rPr>
          <w:rFonts w:ascii="Book Antiqua"/>
          <w:color w:val="231F20"/>
          <w:spacing w:val="-18"/>
          <w:sz w:val="17"/>
        </w:rPr>
        <w:t> </w:t>
      </w:r>
      <w:r>
        <w:rPr>
          <w:rFonts w:ascii="Book Antiqua"/>
          <w:color w:val="231F20"/>
          <w:spacing w:val="2"/>
          <w:sz w:val="17"/>
        </w:rPr>
        <w:t>airline</w:t>
      </w:r>
      <w:r>
        <w:rPr>
          <w:rFonts w:ascii="Book Antiqua"/>
          <w:color w:val="231F20"/>
          <w:spacing w:val="-18"/>
          <w:sz w:val="17"/>
        </w:rPr>
        <w:t> </w:t>
      </w:r>
      <w:r>
        <w:rPr>
          <w:rFonts w:ascii="Book Antiqua"/>
          <w:color w:val="231F20"/>
          <w:spacing w:val="2"/>
          <w:sz w:val="17"/>
        </w:rPr>
        <w:t>industry. </w:t>
      </w:r>
      <w:r>
        <w:rPr>
          <w:rFonts w:ascii="Book Antiqua"/>
          <w:color w:val="231F20"/>
          <w:spacing w:val="3"/>
          <w:sz w:val="17"/>
        </w:rPr>
        <w:t>With the Iraq </w:t>
      </w:r>
      <w:r>
        <w:rPr>
          <w:rFonts w:ascii="Book Antiqua"/>
          <w:color w:val="231F20"/>
          <w:sz w:val="17"/>
        </w:rPr>
        <w:t>war, </w:t>
      </w:r>
      <w:r>
        <w:rPr>
          <w:rFonts w:ascii="Book Antiqua"/>
          <w:color w:val="231F20"/>
          <w:spacing w:val="3"/>
          <w:sz w:val="17"/>
        </w:rPr>
        <w:t>severe </w:t>
      </w:r>
      <w:r>
        <w:rPr>
          <w:rFonts w:ascii="Book Antiqua"/>
          <w:color w:val="231F20"/>
          <w:spacing w:val="4"/>
          <w:sz w:val="17"/>
        </w:rPr>
        <w:t>acute respiratory syndrome (SARS), </w:t>
      </w:r>
      <w:r>
        <w:rPr>
          <w:rFonts w:ascii="Book Antiqua"/>
          <w:color w:val="231F20"/>
          <w:sz w:val="17"/>
        </w:rPr>
        <w:t>a </w:t>
      </w:r>
      <w:r>
        <w:rPr>
          <w:rFonts w:ascii="Book Antiqua"/>
          <w:color w:val="231F20"/>
          <w:spacing w:val="2"/>
          <w:sz w:val="17"/>
        </w:rPr>
        <w:t>weak</w:t>
      </w:r>
      <w:r>
        <w:rPr>
          <w:rFonts w:ascii="Book Antiqua"/>
          <w:color w:val="231F20"/>
          <w:spacing w:val="-21"/>
          <w:sz w:val="17"/>
        </w:rPr>
        <w:t> </w:t>
      </w:r>
      <w:r>
        <w:rPr>
          <w:rFonts w:ascii="Book Antiqua"/>
          <w:color w:val="231F20"/>
          <w:spacing w:val="2"/>
          <w:sz w:val="17"/>
        </w:rPr>
        <w:t>economy,</w:t>
      </w:r>
      <w:r>
        <w:rPr>
          <w:rFonts w:ascii="Book Antiqua"/>
          <w:color w:val="231F20"/>
          <w:spacing w:val="-21"/>
          <w:sz w:val="17"/>
        </w:rPr>
        <w:t> </w:t>
      </w:r>
      <w:r>
        <w:rPr>
          <w:rFonts w:ascii="Book Antiqua"/>
          <w:color w:val="231F20"/>
          <w:spacing w:val="3"/>
          <w:sz w:val="17"/>
        </w:rPr>
        <w:t>high</w:t>
      </w:r>
      <w:r>
        <w:rPr>
          <w:rFonts w:ascii="Book Antiqua"/>
          <w:color w:val="231F20"/>
          <w:spacing w:val="-19"/>
          <w:sz w:val="17"/>
        </w:rPr>
        <w:t> </w:t>
      </w:r>
      <w:r>
        <w:rPr>
          <w:rFonts w:ascii="Book Antiqua"/>
          <w:color w:val="231F20"/>
          <w:spacing w:val="5"/>
          <w:sz w:val="17"/>
        </w:rPr>
        <w:t>energy</w:t>
      </w:r>
      <w:r>
        <w:rPr>
          <w:rFonts w:ascii="Book Antiqua"/>
          <w:color w:val="231F20"/>
          <w:spacing w:val="-22"/>
          <w:sz w:val="17"/>
        </w:rPr>
        <w:t> </w:t>
      </w:r>
      <w:r>
        <w:rPr>
          <w:rFonts w:ascii="Book Antiqua"/>
          <w:color w:val="231F20"/>
          <w:spacing w:val="4"/>
          <w:sz w:val="17"/>
        </w:rPr>
        <w:t>costs,</w:t>
      </w:r>
      <w:r>
        <w:rPr>
          <w:rFonts w:ascii="Book Antiqua"/>
          <w:color w:val="231F20"/>
          <w:spacing w:val="-21"/>
          <w:sz w:val="17"/>
        </w:rPr>
        <w:t> </w:t>
      </w:r>
      <w:r>
        <w:rPr>
          <w:rFonts w:ascii="Book Antiqua"/>
          <w:color w:val="231F20"/>
          <w:spacing w:val="3"/>
          <w:sz w:val="17"/>
        </w:rPr>
        <w:t>and</w:t>
      </w:r>
      <w:r>
        <w:rPr>
          <w:rFonts w:ascii="Book Antiqua"/>
          <w:color w:val="231F20"/>
          <w:spacing w:val="-19"/>
          <w:sz w:val="17"/>
        </w:rPr>
        <w:t> </w:t>
      </w:r>
      <w:r>
        <w:rPr>
          <w:rFonts w:ascii="Book Antiqua"/>
          <w:color w:val="231F20"/>
          <w:spacing w:val="4"/>
          <w:sz w:val="17"/>
        </w:rPr>
        <w:t>terrorism-related</w:t>
      </w:r>
      <w:r>
        <w:rPr>
          <w:rFonts w:ascii="Book Antiqua"/>
          <w:color w:val="231F20"/>
          <w:spacing w:val="-19"/>
          <w:sz w:val="17"/>
        </w:rPr>
        <w:t> </w:t>
      </w:r>
      <w:r>
        <w:rPr>
          <w:rFonts w:ascii="Book Antiqua"/>
          <w:color w:val="231F20"/>
          <w:spacing w:val="5"/>
          <w:sz w:val="17"/>
        </w:rPr>
        <w:t>concerns, </w:t>
      </w:r>
      <w:r>
        <w:rPr>
          <w:rFonts w:ascii="Book Antiqua"/>
          <w:color w:val="231F20"/>
          <w:spacing w:val="3"/>
          <w:sz w:val="17"/>
        </w:rPr>
        <w:t>the</w:t>
      </w:r>
      <w:r>
        <w:rPr>
          <w:rFonts w:ascii="Book Antiqua"/>
          <w:color w:val="231F20"/>
          <w:spacing w:val="-14"/>
          <w:sz w:val="17"/>
        </w:rPr>
        <w:t> </w:t>
      </w:r>
      <w:r>
        <w:rPr>
          <w:rFonts w:ascii="Book Antiqua"/>
          <w:color w:val="231F20"/>
          <w:spacing w:val="4"/>
          <w:sz w:val="17"/>
        </w:rPr>
        <w:t>major</w:t>
      </w:r>
      <w:r>
        <w:rPr>
          <w:rFonts w:ascii="Book Antiqua"/>
          <w:color w:val="231F20"/>
          <w:spacing w:val="-19"/>
          <w:sz w:val="17"/>
        </w:rPr>
        <w:t> </w:t>
      </w:r>
      <w:r>
        <w:rPr>
          <w:rFonts w:ascii="Book Antiqua"/>
          <w:color w:val="231F20"/>
          <w:spacing w:val="3"/>
          <w:sz w:val="17"/>
        </w:rPr>
        <w:t>airlines</w:t>
      </w:r>
      <w:r>
        <w:rPr>
          <w:rFonts w:ascii="Book Antiqua"/>
          <w:color w:val="231F20"/>
          <w:spacing w:val="-14"/>
          <w:sz w:val="17"/>
        </w:rPr>
        <w:t> </w:t>
      </w:r>
      <w:r>
        <w:rPr>
          <w:rFonts w:ascii="Book Antiqua"/>
          <w:color w:val="231F20"/>
          <w:spacing w:val="4"/>
          <w:sz w:val="17"/>
        </w:rPr>
        <w:t>continue</w:t>
      </w:r>
      <w:r>
        <w:rPr>
          <w:rFonts w:ascii="Book Antiqua"/>
          <w:color w:val="231F20"/>
          <w:spacing w:val="-14"/>
          <w:sz w:val="17"/>
        </w:rPr>
        <w:t> </w:t>
      </w:r>
      <w:r>
        <w:rPr>
          <w:rFonts w:ascii="Book Antiqua"/>
          <w:color w:val="231F20"/>
          <w:spacing w:val="2"/>
          <w:sz w:val="17"/>
        </w:rPr>
        <w:t>to</w:t>
      </w:r>
      <w:r>
        <w:rPr>
          <w:rFonts w:ascii="Book Antiqua"/>
          <w:color w:val="231F20"/>
          <w:spacing w:val="-14"/>
          <w:sz w:val="17"/>
        </w:rPr>
        <w:t> </w:t>
      </w:r>
      <w:r>
        <w:rPr>
          <w:rFonts w:ascii="Book Antiqua"/>
          <w:color w:val="231F20"/>
          <w:spacing w:val="4"/>
          <w:sz w:val="17"/>
        </w:rPr>
        <w:t>report</w:t>
      </w:r>
      <w:r>
        <w:rPr>
          <w:rFonts w:ascii="Book Antiqua"/>
          <w:color w:val="231F20"/>
          <w:spacing w:val="-17"/>
          <w:sz w:val="17"/>
        </w:rPr>
        <w:t> </w:t>
      </w:r>
      <w:r>
        <w:rPr>
          <w:rFonts w:ascii="Book Antiqua"/>
          <w:color w:val="231F20"/>
          <w:spacing w:val="4"/>
          <w:sz w:val="17"/>
        </w:rPr>
        <w:t>billions</w:t>
      </w:r>
      <w:r>
        <w:rPr>
          <w:rFonts w:ascii="Book Antiqua"/>
          <w:color w:val="231F20"/>
          <w:spacing w:val="-14"/>
          <w:sz w:val="17"/>
        </w:rPr>
        <w:t> </w:t>
      </w:r>
      <w:r>
        <w:rPr>
          <w:rFonts w:ascii="Book Antiqua"/>
          <w:color w:val="231F20"/>
          <w:spacing w:val="2"/>
          <w:sz w:val="17"/>
        </w:rPr>
        <w:t>in</w:t>
      </w:r>
      <w:r>
        <w:rPr>
          <w:rFonts w:ascii="Book Antiqua"/>
          <w:color w:val="231F20"/>
          <w:spacing w:val="-14"/>
          <w:sz w:val="17"/>
        </w:rPr>
        <w:t> </w:t>
      </w:r>
      <w:r>
        <w:rPr>
          <w:rFonts w:ascii="Book Antiqua"/>
          <w:color w:val="231F20"/>
          <w:spacing w:val="4"/>
          <w:sz w:val="17"/>
        </w:rPr>
        <w:t>losses</w:t>
      </w:r>
      <w:r>
        <w:rPr>
          <w:rFonts w:ascii="Book Antiqua"/>
          <w:color w:val="231F20"/>
          <w:spacing w:val="-14"/>
          <w:sz w:val="17"/>
        </w:rPr>
        <w:t> </w:t>
      </w:r>
      <w:r>
        <w:rPr>
          <w:rFonts w:ascii="Book Antiqua"/>
          <w:color w:val="231F20"/>
          <w:spacing w:val="3"/>
          <w:sz w:val="17"/>
        </w:rPr>
        <w:t>and</w:t>
      </w:r>
      <w:r>
        <w:rPr>
          <w:rFonts w:ascii="Book Antiqua"/>
          <w:color w:val="231F20"/>
          <w:spacing w:val="-14"/>
          <w:sz w:val="17"/>
        </w:rPr>
        <w:t> </w:t>
      </w:r>
      <w:r>
        <w:rPr>
          <w:rFonts w:ascii="Book Antiqua"/>
          <w:color w:val="231F20"/>
          <w:spacing w:val="5"/>
          <w:sz w:val="17"/>
        </w:rPr>
        <w:t>struggle </w:t>
      </w:r>
      <w:r>
        <w:rPr>
          <w:rFonts w:ascii="Book Antiqua"/>
          <w:color w:val="231F20"/>
          <w:spacing w:val="3"/>
          <w:sz w:val="17"/>
        </w:rPr>
        <w:t>for </w:t>
      </w:r>
      <w:r>
        <w:rPr>
          <w:rFonts w:ascii="Book Antiqua"/>
          <w:color w:val="231F20"/>
          <w:spacing w:val="4"/>
          <w:sz w:val="17"/>
        </w:rPr>
        <w:t>survival. Since September </w:t>
      </w:r>
      <w:r>
        <w:rPr>
          <w:rFonts w:ascii="Book Antiqua"/>
          <w:color w:val="231F20"/>
          <w:sz w:val="17"/>
        </w:rPr>
        <w:t>11, 2001, </w:t>
      </w:r>
      <w:r>
        <w:rPr>
          <w:rFonts w:ascii="Book Antiqua"/>
          <w:color w:val="231F20"/>
          <w:spacing w:val="4"/>
          <w:sz w:val="17"/>
        </w:rPr>
        <w:t>major </w:t>
      </w:r>
      <w:r>
        <w:rPr>
          <w:rFonts w:ascii="Book Antiqua"/>
          <w:color w:val="231F20"/>
          <w:spacing w:val="3"/>
          <w:sz w:val="17"/>
        </w:rPr>
        <w:t>airlines </w:t>
      </w:r>
      <w:r>
        <w:rPr>
          <w:rFonts w:ascii="Book Antiqua"/>
          <w:color w:val="231F20"/>
          <w:spacing w:val="2"/>
          <w:sz w:val="17"/>
        </w:rPr>
        <w:t>have </w:t>
      </w:r>
      <w:r>
        <w:rPr>
          <w:rFonts w:ascii="Book Antiqua"/>
          <w:color w:val="231F20"/>
          <w:spacing w:val="5"/>
          <w:sz w:val="17"/>
        </w:rPr>
        <w:t>cut </w:t>
      </w:r>
      <w:r>
        <w:rPr>
          <w:rFonts w:ascii="Book Antiqua"/>
          <w:color w:val="231F20"/>
          <w:spacing w:val="3"/>
          <w:sz w:val="17"/>
        </w:rPr>
        <w:t>capacity,</w:t>
      </w:r>
      <w:r>
        <w:rPr>
          <w:rFonts w:ascii="Book Antiqua"/>
          <w:color w:val="231F20"/>
          <w:spacing w:val="-10"/>
          <w:sz w:val="17"/>
        </w:rPr>
        <w:t> </w:t>
      </w:r>
      <w:r>
        <w:rPr>
          <w:rFonts w:ascii="Book Antiqua"/>
          <w:color w:val="231F20"/>
          <w:spacing w:val="11"/>
          <w:sz w:val="17"/>
        </w:rPr>
        <w:t>slashed</w:t>
      </w:r>
      <w:r>
        <w:rPr>
          <w:rFonts w:ascii="Book Antiqua"/>
          <w:color w:val="231F20"/>
          <w:spacing w:val="4"/>
          <w:sz w:val="17"/>
        </w:rPr>
        <w:t> </w:t>
      </w:r>
      <w:r>
        <w:rPr>
          <w:rFonts w:ascii="Book Antiqua"/>
          <w:color w:val="231F20"/>
          <w:spacing w:val="10"/>
          <w:sz w:val="17"/>
        </w:rPr>
        <w:t>jobs,</w:t>
      </w:r>
      <w:r>
        <w:rPr>
          <w:rFonts w:ascii="Book Antiqua"/>
          <w:color w:val="231F20"/>
          <w:spacing w:val="1"/>
          <w:sz w:val="17"/>
        </w:rPr>
        <w:t> </w:t>
      </w:r>
      <w:r>
        <w:rPr>
          <w:rFonts w:ascii="Book Antiqua"/>
          <w:color w:val="231F20"/>
          <w:spacing w:val="8"/>
          <w:sz w:val="17"/>
        </w:rPr>
        <w:t>and</w:t>
      </w:r>
      <w:r>
        <w:rPr>
          <w:rFonts w:ascii="Book Antiqua"/>
          <w:color w:val="231F20"/>
          <w:spacing w:val="4"/>
          <w:sz w:val="17"/>
        </w:rPr>
        <w:t> </w:t>
      </w:r>
      <w:r>
        <w:rPr>
          <w:rFonts w:ascii="Book Antiqua"/>
          <w:color w:val="231F20"/>
          <w:spacing w:val="11"/>
          <w:sz w:val="17"/>
        </w:rPr>
        <w:t>scrambled</w:t>
      </w:r>
      <w:r>
        <w:rPr>
          <w:rFonts w:ascii="Book Antiqua"/>
          <w:color w:val="231F20"/>
          <w:spacing w:val="4"/>
          <w:sz w:val="17"/>
        </w:rPr>
        <w:t> </w:t>
      </w:r>
      <w:r>
        <w:rPr>
          <w:rFonts w:ascii="Book Antiqua"/>
          <w:color w:val="231F20"/>
          <w:spacing w:val="6"/>
          <w:sz w:val="17"/>
        </w:rPr>
        <w:t>to</w:t>
      </w:r>
      <w:r>
        <w:rPr>
          <w:rFonts w:ascii="Book Antiqua"/>
          <w:color w:val="231F20"/>
          <w:spacing w:val="4"/>
          <w:sz w:val="17"/>
        </w:rPr>
        <w:t> </w:t>
      </w:r>
      <w:r>
        <w:rPr>
          <w:rFonts w:ascii="Book Antiqua"/>
          <w:color w:val="231F20"/>
          <w:spacing w:val="10"/>
          <w:sz w:val="17"/>
        </w:rPr>
        <w:t>reduce</w:t>
      </w:r>
      <w:r>
        <w:rPr>
          <w:rFonts w:ascii="Book Antiqua"/>
          <w:color w:val="231F20"/>
          <w:spacing w:val="4"/>
          <w:sz w:val="17"/>
        </w:rPr>
        <w:t> </w:t>
      </w:r>
      <w:r>
        <w:rPr>
          <w:rFonts w:ascii="Book Antiqua"/>
          <w:color w:val="231F20"/>
          <w:spacing w:val="10"/>
          <w:sz w:val="17"/>
        </w:rPr>
        <w:t>their</w:t>
      </w:r>
      <w:r>
        <w:rPr>
          <w:rFonts w:ascii="Book Antiqua"/>
          <w:color w:val="231F20"/>
          <w:spacing w:val="-2"/>
          <w:sz w:val="17"/>
        </w:rPr>
        <w:t> </w:t>
      </w:r>
      <w:r>
        <w:rPr>
          <w:rFonts w:ascii="Book Antiqua"/>
          <w:color w:val="231F20"/>
          <w:spacing w:val="10"/>
          <w:sz w:val="17"/>
        </w:rPr>
        <w:t>costs</w:t>
      </w:r>
      <w:r>
        <w:rPr>
          <w:rFonts w:ascii="Book Antiqua"/>
          <w:color w:val="231F20"/>
          <w:spacing w:val="4"/>
          <w:sz w:val="17"/>
        </w:rPr>
        <w:t> </w:t>
      </w:r>
      <w:r>
        <w:rPr>
          <w:rFonts w:ascii="Book Antiqua"/>
          <w:color w:val="231F20"/>
          <w:spacing w:val="13"/>
          <w:sz w:val="17"/>
        </w:rPr>
        <w:t>to </w:t>
      </w:r>
      <w:r>
        <w:rPr>
          <w:rFonts w:ascii="Book Antiqua"/>
          <w:color w:val="231F20"/>
          <w:spacing w:val="9"/>
          <w:sz w:val="17"/>
        </w:rPr>
        <w:t>avoid </w:t>
      </w:r>
      <w:r>
        <w:rPr>
          <w:rFonts w:ascii="Book Antiqua"/>
          <w:color w:val="231F20"/>
          <w:spacing w:val="4"/>
          <w:sz w:val="17"/>
        </w:rPr>
        <w:t>bankruptcy </w:t>
      </w:r>
      <w:r>
        <w:rPr>
          <w:rFonts w:ascii="Book Antiqua"/>
          <w:color w:val="231F20"/>
          <w:spacing w:val="3"/>
          <w:sz w:val="17"/>
        </w:rPr>
        <w:t>and </w:t>
      </w:r>
      <w:r>
        <w:rPr>
          <w:rFonts w:ascii="Book Antiqua"/>
          <w:color w:val="231F20"/>
          <w:spacing w:val="4"/>
          <w:sz w:val="17"/>
        </w:rPr>
        <w:t>compete </w:t>
      </w:r>
      <w:r>
        <w:rPr>
          <w:rFonts w:ascii="Book Antiqua"/>
          <w:color w:val="231F20"/>
          <w:spacing w:val="2"/>
          <w:sz w:val="17"/>
        </w:rPr>
        <w:t>in an </w:t>
      </w:r>
      <w:r>
        <w:rPr>
          <w:rFonts w:ascii="Book Antiqua"/>
          <w:color w:val="231F20"/>
          <w:spacing w:val="4"/>
          <w:sz w:val="17"/>
        </w:rPr>
        <w:t>industry </w:t>
      </w:r>
      <w:r>
        <w:rPr>
          <w:rFonts w:ascii="Book Antiqua"/>
          <w:color w:val="231F20"/>
          <w:spacing w:val="3"/>
          <w:sz w:val="17"/>
        </w:rPr>
        <w:t>that </w:t>
      </w:r>
      <w:r>
        <w:rPr>
          <w:rFonts w:ascii="Book Antiqua"/>
          <w:color w:val="231F20"/>
          <w:spacing w:val="2"/>
          <w:sz w:val="17"/>
        </w:rPr>
        <w:t>is </w:t>
      </w:r>
      <w:r>
        <w:rPr>
          <w:rFonts w:ascii="Book Antiqua"/>
          <w:color w:val="231F20"/>
          <w:spacing w:val="4"/>
          <w:sz w:val="17"/>
        </w:rPr>
        <w:t>forever changed.</w:t>
      </w:r>
      <w:r>
        <w:rPr>
          <w:rFonts w:ascii="Book Antiqua"/>
          <w:color w:val="231F20"/>
          <w:spacing w:val="-23"/>
          <w:sz w:val="17"/>
        </w:rPr>
        <w:t> </w:t>
      </w:r>
      <w:r>
        <w:rPr>
          <w:rFonts w:ascii="Book Antiqua"/>
          <w:color w:val="231F20"/>
          <w:spacing w:val="-4"/>
          <w:sz w:val="17"/>
        </w:rPr>
        <w:t>Two</w:t>
      </w:r>
      <w:r>
        <w:rPr>
          <w:rFonts w:ascii="Book Antiqua"/>
          <w:color w:val="231F20"/>
          <w:spacing w:val="-15"/>
          <w:sz w:val="17"/>
        </w:rPr>
        <w:t> </w:t>
      </w:r>
      <w:r>
        <w:rPr>
          <w:rFonts w:ascii="Book Antiqua"/>
          <w:color w:val="231F20"/>
          <w:spacing w:val="8"/>
          <w:sz w:val="17"/>
        </w:rPr>
        <w:t>major</w:t>
      </w:r>
      <w:r>
        <w:rPr>
          <w:rFonts w:ascii="Book Antiqua"/>
          <w:color w:val="231F20"/>
          <w:spacing w:val="-18"/>
          <w:sz w:val="17"/>
        </w:rPr>
        <w:t> </w:t>
      </w:r>
      <w:r>
        <w:rPr>
          <w:rFonts w:ascii="Book Antiqua"/>
          <w:color w:val="231F20"/>
          <w:spacing w:val="8"/>
          <w:sz w:val="17"/>
        </w:rPr>
        <w:t>airlines</w:t>
      </w:r>
      <w:r>
        <w:rPr>
          <w:rFonts w:ascii="Book Antiqua"/>
          <w:color w:val="231F20"/>
          <w:spacing w:val="-14"/>
          <w:sz w:val="17"/>
        </w:rPr>
        <w:t> </w:t>
      </w:r>
      <w:r>
        <w:rPr>
          <w:rFonts w:ascii="Book Antiqua"/>
          <w:color w:val="231F20"/>
          <w:spacing w:val="6"/>
          <w:sz w:val="17"/>
        </w:rPr>
        <w:t>have</w:t>
      </w:r>
      <w:r>
        <w:rPr>
          <w:rFonts w:ascii="Book Antiqua"/>
          <w:color w:val="231F20"/>
          <w:spacing w:val="-14"/>
          <w:sz w:val="17"/>
        </w:rPr>
        <w:t> </w:t>
      </w:r>
      <w:r>
        <w:rPr>
          <w:rFonts w:ascii="Book Antiqua"/>
          <w:color w:val="231F20"/>
          <w:spacing w:val="8"/>
          <w:sz w:val="17"/>
        </w:rPr>
        <w:t>already</w:t>
      </w:r>
      <w:r>
        <w:rPr>
          <w:rFonts w:ascii="Book Antiqua"/>
          <w:color w:val="231F20"/>
          <w:spacing w:val="-17"/>
          <w:sz w:val="17"/>
        </w:rPr>
        <w:t> </w:t>
      </w:r>
      <w:r>
        <w:rPr>
          <w:rFonts w:ascii="Book Antiqua"/>
          <w:color w:val="231F20"/>
          <w:sz w:val="17"/>
        </w:rPr>
        <w:t>f</w:t>
      </w:r>
      <w:r>
        <w:rPr>
          <w:rFonts w:ascii="Book Antiqua"/>
          <w:color w:val="231F20"/>
          <w:spacing w:val="-35"/>
          <w:sz w:val="17"/>
        </w:rPr>
        <w:t> </w:t>
      </w:r>
      <w:r>
        <w:rPr>
          <w:rFonts w:ascii="Book Antiqua"/>
          <w:color w:val="231F20"/>
          <w:spacing w:val="7"/>
          <w:sz w:val="17"/>
        </w:rPr>
        <w:t>iled</w:t>
      </w:r>
      <w:r>
        <w:rPr>
          <w:rFonts w:ascii="Book Antiqua"/>
          <w:color w:val="231F20"/>
          <w:spacing w:val="-14"/>
          <w:sz w:val="17"/>
        </w:rPr>
        <w:t> </w:t>
      </w:r>
      <w:r>
        <w:rPr>
          <w:rFonts w:ascii="Book Antiqua"/>
          <w:color w:val="231F20"/>
          <w:spacing w:val="8"/>
          <w:sz w:val="17"/>
        </w:rPr>
        <w:t>bankruptcy,</w:t>
      </w:r>
      <w:r>
        <w:rPr>
          <w:rFonts w:ascii="Book Antiqua"/>
          <w:color w:val="231F20"/>
          <w:spacing w:val="-16"/>
          <w:sz w:val="17"/>
        </w:rPr>
        <w:t> </w:t>
      </w:r>
      <w:r>
        <w:rPr>
          <w:rFonts w:ascii="Book Antiqua"/>
          <w:color w:val="231F20"/>
          <w:spacing w:val="10"/>
          <w:sz w:val="17"/>
        </w:rPr>
        <w:t>and </w:t>
      </w:r>
      <w:r>
        <w:rPr>
          <w:rFonts w:ascii="Book Antiqua"/>
          <w:color w:val="231F20"/>
          <w:spacing w:val="8"/>
          <w:w w:val="95"/>
          <w:sz w:val="17"/>
        </w:rPr>
        <w:t>other </w:t>
      </w:r>
      <w:r>
        <w:rPr>
          <w:rFonts w:ascii="Book Antiqua"/>
          <w:color w:val="231F20"/>
          <w:spacing w:val="5"/>
          <w:w w:val="95"/>
          <w:sz w:val="17"/>
        </w:rPr>
        <w:t>smaller </w:t>
      </w:r>
      <w:r>
        <w:rPr>
          <w:rFonts w:ascii="Book Antiqua"/>
          <w:color w:val="231F20"/>
          <w:spacing w:val="4"/>
          <w:w w:val="95"/>
          <w:sz w:val="17"/>
        </w:rPr>
        <w:t>carriers </w:t>
      </w:r>
      <w:r>
        <w:rPr>
          <w:rFonts w:ascii="Book Antiqua"/>
          <w:color w:val="231F20"/>
          <w:spacing w:val="2"/>
          <w:w w:val="95"/>
          <w:sz w:val="17"/>
        </w:rPr>
        <w:t>have </w:t>
      </w:r>
      <w:r>
        <w:rPr>
          <w:rFonts w:ascii="Book Antiqua"/>
          <w:color w:val="231F20"/>
          <w:spacing w:val="4"/>
          <w:w w:val="95"/>
          <w:sz w:val="17"/>
        </w:rPr>
        <w:t>ceased operations</w:t>
      </w:r>
      <w:r>
        <w:rPr>
          <w:rFonts w:ascii="Book Antiqua"/>
          <w:color w:val="231F20"/>
          <w:spacing w:val="12"/>
          <w:w w:val="95"/>
          <w:sz w:val="17"/>
        </w:rPr>
        <w:t> </w:t>
      </w:r>
      <w:r>
        <w:rPr>
          <w:rFonts w:ascii="Book Antiqua"/>
          <w:color w:val="231F20"/>
          <w:spacing w:val="3"/>
          <w:w w:val="95"/>
          <w:sz w:val="17"/>
        </w:rPr>
        <w:t>entirely.</w:t>
      </w:r>
    </w:p>
    <w:p>
      <w:pPr>
        <w:spacing w:line="326" w:lineRule="auto" w:before="0"/>
        <w:ind w:left="120" w:right="1" w:firstLine="360"/>
        <w:jc w:val="both"/>
        <w:rPr>
          <w:rFonts w:ascii="Book Antiqua"/>
          <w:sz w:val="17"/>
        </w:rPr>
      </w:pPr>
      <w:r>
        <w:rPr>
          <w:rFonts w:ascii="Book Antiqua"/>
          <w:color w:val="231F20"/>
          <w:spacing w:val="5"/>
          <w:sz w:val="17"/>
        </w:rPr>
        <w:t>As </w:t>
      </w:r>
      <w:r>
        <w:rPr>
          <w:rFonts w:ascii="Book Antiqua"/>
          <w:color w:val="231F20"/>
          <w:sz w:val="17"/>
        </w:rPr>
        <w:t>a </w:t>
      </w:r>
      <w:r>
        <w:rPr>
          <w:rFonts w:ascii="Book Antiqua"/>
          <w:color w:val="231F20"/>
          <w:spacing w:val="9"/>
          <w:sz w:val="17"/>
        </w:rPr>
        <w:t>result </w:t>
      </w:r>
      <w:r>
        <w:rPr>
          <w:rFonts w:ascii="Book Antiqua"/>
          <w:color w:val="231F20"/>
          <w:spacing w:val="5"/>
          <w:sz w:val="17"/>
        </w:rPr>
        <w:t>of </w:t>
      </w:r>
      <w:r>
        <w:rPr>
          <w:rFonts w:ascii="Book Antiqua"/>
          <w:color w:val="231F20"/>
          <w:spacing w:val="7"/>
          <w:sz w:val="17"/>
        </w:rPr>
        <w:t>the </w:t>
      </w:r>
      <w:r>
        <w:rPr>
          <w:rFonts w:ascii="Book Antiqua"/>
          <w:color w:val="231F20"/>
          <w:spacing w:val="8"/>
          <w:sz w:val="17"/>
        </w:rPr>
        <w:t>dire </w:t>
      </w:r>
      <w:r>
        <w:rPr>
          <w:rFonts w:ascii="Book Antiqua"/>
          <w:color w:val="231F20"/>
          <w:sz w:val="17"/>
        </w:rPr>
        <w:t>f </w:t>
      </w:r>
      <w:r>
        <w:rPr>
          <w:rFonts w:ascii="Book Antiqua"/>
          <w:color w:val="231F20"/>
          <w:spacing w:val="9"/>
          <w:sz w:val="17"/>
        </w:rPr>
        <w:t>inancial condition </w:t>
      </w:r>
      <w:r>
        <w:rPr>
          <w:rFonts w:ascii="Book Antiqua"/>
          <w:color w:val="231F20"/>
          <w:spacing w:val="5"/>
          <w:sz w:val="17"/>
        </w:rPr>
        <w:t>of </w:t>
      </w:r>
      <w:r>
        <w:rPr>
          <w:rFonts w:ascii="Book Antiqua"/>
          <w:color w:val="231F20"/>
          <w:spacing w:val="7"/>
          <w:sz w:val="17"/>
        </w:rPr>
        <w:t>our </w:t>
      </w:r>
      <w:r>
        <w:rPr>
          <w:rFonts w:ascii="Book Antiqua"/>
          <w:color w:val="231F20"/>
          <w:spacing w:val="11"/>
          <w:sz w:val="17"/>
        </w:rPr>
        <w:t>major</w:t>
      </w:r>
      <w:r>
        <w:rPr>
          <w:rFonts w:ascii="Book Antiqua"/>
          <w:color w:val="231F20"/>
          <w:spacing w:val="64"/>
          <w:sz w:val="17"/>
        </w:rPr>
        <w:t> </w:t>
      </w:r>
      <w:r>
        <w:rPr>
          <w:rFonts w:ascii="Book Antiqua"/>
          <w:color w:val="231F20"/>
          <w:spacing w:val="3"/>
          <w:sz w:val="17"/>
        </w:rPr>
        <w:t>airline</w:t>
      </w:r>
      <w:r>
        <w:rPr>
          <w:rFonts w:ascii="Book Antiqua"/>
          <w:color w:val="231F20"/>
          <w:spacing w:val="-23"/>
          <w:sz w:val="17"/>
        </w:rPr>
        <w:t> </w:t>
      </w:r>
      <w:r>
        <w:rPr>
          <w:rFonts w:ascii="Book Antiqua"/>
          <w:color w:val="231F20"/>
          <w:spacing w:val="4"/>
          <w:sz w:val="17"/>
        </w:rPr>
        <w:t>competitors,</w:t>
      </w:r>
      <w:r>
        <w:rPr>
          <w:rFonts w:ascii="Book Antiqua"/>
          <w:color w:val="231F20"/>
          <w:spacing w:val="-25"/>
          <w:sz w:val="17"/>
        </w:rPr>
        <w:t> </w:t>
      </w:r>
      <w:r>
        <w:rPr>
          <w:rFonts w:ascii="Book Antiqua"/>
          <w:color w:val="231F20"/>
          <w:spacing w:val="4"/>
          <w:sz w:val="17"/>
        </w:rPr>
        <w:t>exacerbated</w:t>
      </w:r>
      <w:r>
        <w:rPr>
          <w:rFonts w:ascii="Book Antiqua"/>
          <w:color w:val="231F20"/>
          <w:spacing w:val="-23"/>
          <w:sz w:val="17"/>
        </w:rPr>
        <w:t> </w:t>
      </w:r>
      <w:r>
        <w:rPr>
          <w:rFonts w:ascii="Book Antiqua"/>
          <w:color w:val="231F20"/>
          <w:sz w:val="17"/>
        </w:rPr>
        <w:t>by</w:t>
      </w:r>
      <w:r>
        <w:rPr>
          <w:rFonts w:ascii="Book Antiqua"/>
          <w:color w:val="231F20"/>
          <w:spacing w:val="-26"/>
          <w:sz w:val="17"/>
        </w:rPr>
        <w:t> </w:t>
      </w:r>
      <w:r>
        <w:rPr>
          <w:rFonts w:ascii="Book Antiqua"/>
          <w:color w:val="231F20"/>
          <w:spacing w:val="3"/>
          <w:sz w:val="17"/>
        </w:rPr>
        <w:t>the</w:t>
      </w:r>
      <w:r>
        <w:rPr>
          <w:rFonts w:ascii="Book Antiqua"/>
          <w:color w:val="231F20"/>
          <w:spacing w:val="-24"/>
          <w:sz w:val="17"/>
        </w:rPr>
        <w:t> </w:t>
      </w:r>
      <w:r>
        <w:rPr>
          <w:rFonts w:ascii="Book Antiqua"/>
          <w:color w:val="231F20"/>
          <w:spacing w:val="3"/>
          <w:sz w:val="17"/>
        </w:rPr>
        <w:t>war</w:t>
      </w:r>
      <w:r>
        <w:rPr>
          <w:rFonts w:ascii="Book Antiqua"/>
          <w:color w:val="231F20"/>
          <w:spacing w:val="-26"/>
          <w:sz w:val="17"/>
        </w:rPr>
        <w:t> </w:t>
      </w:r>
      <w:r>
        <w:rPr>
          <w:rFonts w:ascii="Book Antiqua"/>
          <w:color w:val="231F20"/>
          <w:spacing w:val="2"/>
          <w:sz w:val="17"/>
        </w:rPr>
        <w:t>in</w:t>
      </w:r>
      <w:r>
        <w:rPr>
          <w:rFonts w:ascii="Book Antiqua"/>
          <w:color w:val="231F20"/>
          <w:spacing w:val="-23"/>
          <w:sz w:val="17"/>
        </w:rPr>
        <w:t> </w:t>
      </w:r>
      <w:r>
        <w:rPr>
          <w:rFonts w:ascii="Book Antiqua"/>
          <w:color w:val="231F20"/>
          <w:spacing w:val="4"/>
          <w:sz w:val="17"/>
        </w:rPr>
        <w:t>Iraq,</w:t>
      </w:r>
      <w:r>
        <w:rPr>
          <w:rFonts w:ascii="Book Antiqua"/>
          <w:color w:val="231F20"/>
          <w:spacing w:val="-25"/>
          <w:sz w:val="17"/>
        </w:rPr>
        <w:t> </w:t>
      </w:r>
      <w:r>
        <w:rPr>
          <w:rFonts w:ascii="Book Antiqua"/>
          <w:color w:val="231F20"/>
          <w:spacing w:val="3"/>
          <w:sz w:val="17"/>
        </w:rPr>
        <w:t>the</w:t>
      </w:r>
      <w:r>
        <w:rPr>
          <w:rFonts w:ascii="Book Antiqua"/>
          <w:color w:val="231F20"/>
          <w:spacing w:val="-23"/>
          <w:sz w:val="17"/>
        </w:rPr>
        <w:t> </w:t>
      </w:r>
      <w:r>
        <w:rPr>
          <w:rFonts w:ascii="Book Antiqua"/>
          <w:color w:val="231F20"/>
          <w:spacing w:val="3"/>
          <w:sz w:val="17"/>
        </w:rPr>
        <w:t>government </w:t>
      </w:r>
      <w:r>
        <w:rPr>
          <w:rFonts w:ascii="Book Antiqua"/>
          <w:color w:val="231F20"/>
          <w:spacing w:val="7"/>
          <w:sz w:val="17"/>
        </w:rPr>
        <w:t>provided </w:t>
      </w:r>
      <w:r>
        <w:rPr>
          <w:rFonts w:ascii="Book Antiqua"/>
          <w:color w:val="231F20"/>
          <w:spacing w:val="8"/>
          <w:sz w:val="17"/>
        </w:rPr>
        <w:t>substantial </w:t>
      </w:r>
      <w:r>
        <w:rPr>
          <w:rFonts w:ascii="Book Antiqua"/>
          <w:color w:val="231F20"/>
          <w:spacing w:val="6"/>
          <w:sz w:val="17"/>
        </w:rPr>
        <w:t>cash </w:t>
      </w:r>
      <w:r>
        <w:rPr>
          <w:rFonts w:ascii="Book Antiqua"/>
          <w:color w:val="231F20"/>
          <w:spacing w:val="7"/>
          <w:sz w:val="17"/>
        </w:rPr>
        <w:t>payments </w:t>
      </w:r>
      <w:r>
        <w:rPr>
          <w:rFonts w:ascii="Book Antiqua"/>
          <w:color w:val="231F20"/>
          <w:spacing w:val="4"/>
          <w:sz w:val="17"/>
        </w:rPr>
        <w:t>to </w:t>
      </w:r>
      <w:r>
        <w:rPr>
          <w:rFonts w:ascii="Book Antiqua"/>
          <w:color w:val="231F20"/>
          <w:spacing w:val="6"/>
          <w:sz w:val="17"/>
        </w:rPr>
        <w:t>the </w:t>
      </w:r>
      <w:r>
        <w:rPr>
          <w:rFonts w:ascii="Book Antiqua"/>
          <w:color w:val="231F20"/>
          <w:spacing w:val="7"/>
          <w:sz w:val="17"/>
        </w:rPr>
        <w:t>airline </w:t>
      </w:r>
      <w:r>
        <w:rPr>
          <w:rFonts w:ascii="Book Antiqua"/>
          <w:color w:val="231F20"/>
          <w:spacing w:val="8"/>
          <w:sz w:val="17"/>
        </w:rPr>
        <w:t>industry </w:t>
      </w:r>
      <w:r>
        <w:rPr>
          <w:rFonts w:ascii="Book Antiqua"/>
          <w:color w:val="231F20"/>
          <w:spacing w:val="7"/>
          <w:sz w:val="17"/>
        </w:rPr>
        <w:t>under </w:t>
      </w:r>
      <w:r>
        <w:rPr>
          <w:rFonts w:ascii="Book Antiqua"/>
          <w:color w:val="231F20"/>
          <w:spacing w:val="6"/>
          <w:sz w:val="17"/>
        </w:rPr>
        <w:t>the </w:t>
      </w:r>
      <w:r>
        <w:rPr>
          <w:rFonts w:ascii="Book Antiqua"/>
          <w:color w:val="231F20"/>
          <w:spacing w:val="8"/>
          <w:sz w:val="17"/>
        </w:rPr>
        <w:t>Emergency </w:t>
      </w:r>
      <w:r>
        <w:rPr>
          <w:rFonts w:ascii="Book Antiqua"/>
          <w:color w:val="231F20"/>
          <w:spacing w:val="6"/>
          <w:sz w:val="17"/>
        </w:rPr>
        <w:t>Wartime </w:t>
      </w:r>
      <w:r>
        <w:rPr>
          <w:rFonts w:ascii="Book Antiqua"/>
          <w:color w:val="231F20"/>
          <w:spacing w:val="8"/>
          <w:sz w:val="17"/>
        </w:rPr>
        <w:t>Supplemental </w:t>
      </w:r>
      <w:r>
        <w:rPr>
          <w:rFonts w:ascii="Book Antiqua"/>
          <w:color w:val="231F20"/>
          <w:spacing w:val="9"/>
          <w:sz w:val="17"/>
        </w:rPr>
        <w:t>Appropriations </w:t>
      </w:r>
      <w:r>
        <w:rPr>
          <w:rFonts w:ascii="Book Antiqua"/>
          <w:color w:val="231F20"/>
          <w:spacing w:val="5"/>
          <w:sz w:val="17"/>
        </w:rPr>
        <w:t>Act.</w:t>
      </w:r>
      <w:r>
        <w:rPr>
          <w:rFonts w:ascii="Book Antiqua"/>
          <w:color w:val="231F20"/>
          <w:spacing w:val="-15"/>
          <w:sz w:val="17"/>
        </w:rPr>
        <w:t> </w:t>
      </w:r>
      <w:r>
        <w:rPr>
          <w:rFonts w:ascii="Book Antiqua"/>
          <w:color w:val="231F20"/>
          <w:spacing w:val="6"/>
          <w:sz w:val="17"/>
        </w:rPr>
        <w:t>The</w:t>
      </w:r>
      <w:r>
        <w:rPr>
          <w:rFonts w:ascii="Book Antiqua"/>
          <w:color w:val="231F20"/>
          <w:spacing w:val="-10"/>
          <w:sz w:val="17"/>
        </w:rPr>
        <w:t> </w:t>
      </w:r>
      <w:r>
        <w:rPr>
          <w:rFonts w:ascii="Book Antiqua"/>
          <w:color w:val="231F20"/>
          <w:spacing w:val="7"/>
          <w:sz w:val="17"/>
        </w:rPr>
        <w:t>government</w:t>
      </w:r>
      <w:r>
        <w:rPr>
          <w:rFonts w:ascii="Book Antiqua"/>
          <w:color w:val="231F20"/>
          <w:spacing w:val="-13"/>
          <w:sz w:val="17"/>
        </w:rPr>
        <w:t> </w:t>
      </w:r>
      <w:r>
        <w:rPr>
          <w:rFonts w:ascii="Book Antiqua"/>
          <w:color w:val="231F20"/>
          <w:spacing w:val="6"/>
          <w:sz w:val="17"/>
        </w:rPr>
        <w:t>also</w:t>
      </w:r>
      <w:r>
        <w:rPr>
          <w:rFonts w:ascii="Book Antiqua"/>
          <w:color w:val="231F20"/>
          <w:spacing w:val="-12"/>
          <w:sz w:val="17"/>
        </w:rPr>
        <w:t> </w:t>
      </w:r>
      <w:r>
        <w:rPr>
          <w:rFonts w:ascii="Book Antiqua"/>
          <w:color w:val="231F20"/>
          <w:spacing w:val="6"/>
          <w:sz w:val="17"/>
        </w:rPr>
        <w:t>waived</w:t>
      </w:r>
      <w:r>
        <w:rPr>
          <w:rFonts w:ascii="Book Antiqua"/>
          <w:color w:val="231F20"/>
          <w:spacing w:val="-10"/>
          <w:sz w:val="17"/>
        </w:rPr>
        <w:t> </w:t>
      </w:r>
      <w:r>
        <w:rPr>
          <w:rFonts w:ascii="Book Antiqua"/>
          <w:color w:val="231F20"/>
          <w:spacing w:val="6"/>
          <w:sz w:val="17"/>
        </w:rPr>
        <w:t>the</w:t>
      </w:r>
      <w:r>
        <w:rPr>
          <w:rFonts w:ascii="Book Antiqua"/>
          <w:color w:val="231F20"/>
          <w:spacing w:val="-10"/>
          <w:sz w:val="17"/>
        </w:rPr>
        <w:t> </w:t>
      </w:r>
      <w:r>
        <w:rPr>
          <w:rFonts w:ascii="Book Antiqua"/>
          <w:color w:val="231F20"/>
          <w:spacing w:val="8"/>
          <w:sz w:val="17"/>
        </w:rPr>
        <w:t>requirement</w:t>
      </w:r>
      <w:r>
        <w:rPr>
          <w:rFonts w:ascii="Book Antiqua"/>
          <w:color w:val="231F20"/>
          <w:spacing w:val="-13"/>
          <w:sz w:val="17"/>
        </w:rPr>
        <w:t> </w:t>
      </w:r>
      <w:r>
        <w:rPr>
          <w:rFonts w:ascii="Book Antiqua"/>
          <w:color w:val="231F20"/>
          <w:spacing w:val="6"/>
          <w:sz w:val="17"/>
        </w:rPr>
        <w:t>that</w:t>
      </w:r>
      <w:r>
        <w:rPr>
          <w:rFonts w:ascii="Book Antiqua"/>
          <w:color w:val="231F20"/>
          <w:spacing w:val="-13"/>
          <w:sz w:val="17"/>
        </w:rPr>
        <w:t> </w:t>
      </w:r>
      <w:r>
        <w:rPr>
          <w:rFonts w:ascii="Book Antiqua"/>
          <w:color w:val="231F20"/>
          <w:spacing w:val="9"/>
          <w:sz w:val="17"/>
        </w:rPr>
        <w:t>security </w:t>
      </w:r>
      <w:r>
        <w:rPr>
          <w:rFonts w:ascii="Book Antiqua"/>
          <w:color w:val="231F20"/>
          <w:spacing w:val="8"/>
          <w:sz w:val="17"/>
        </w:rPr>
        <w:t>fees </w:t>
      </w:r>
      <w:r>
        <w:rPr>
          <w:rFonts w:ascii="Book Antiqua"/>
          <w:color w:val="231F20"/>
          <w:spacing w:val="5"/>
          <w:sz w:val="17"/>
        </w:rPr>
        <w:t>be </w:t>
      </w:r>
      <w:r>
        <w:rPr>
          <w:rFonts w:ascii="Book Antiqua"/>
          <w:color w:val="231F20"/>
          <w:spacing w:val="9"/>
          <w:sz w:val="17"/>
        </w:rPr>
        <w:t>collected </w:t>
      </w:r>
      <w:r>
        <w:rPr>
          <w:rFonts w:ascii="Book Antiqua"/>
          <w:color w:val="231F20"/>
          <w:spacing w:val="5"/>
          <w:sz w:val="17"/>
        </w:rPr>
        <w:t>on </w:t>
      </w:r>
      <w:r>
        <w:rPr>
          <w:rFonts w:ascii="Book Antiqua"/>
          <w:color w:val="231F20"/>
          <w:spacing w:val="9"/>
          <w:sz w:val="17"/>
        </w:rPr>
        <w:t>airline </w:t>
      </w:r>
      <w:r>
        <w:rPr>
          <w:rFonts w:ascii="Book Antiqua"/>
          <w:color w:val="231F20"/>
          <w:spacing w:val="8"/>
          <w:sz w:val="17"/>
        </w:rPr>
        <w:t>tickets </w:t>
      </w:r>
      <w:r>
        <w:rPr>
          <w:rFonts w:ascii="Book Antiqua"/>
          <w:color w:val="231F20"/>
          <w:spacing w:val="9"/>
          <w:sz w:val="17"/>
        </w:rPr>
        <w:t>issued </w:t>
      </w:r>
      <w:r>
        <w:rPr>
          <w:rFonts w:ascii="Book Antiqua"/>
          <w:color w:val="231F20"/>
          <w:spacing w:val="8"/>
          <w:sz w:val="17"/>
        </w:rPr>
        <w:t>from June </w:t>
      </w:r>
      <w:r>
        <w:rPr>
          <w:rFonts w:ascii="Book Antiqua"/>
          <w:color w:val="231F20"/>
          <w:sz w:val="17"/>
        </w:rPr>
        <w:t>1 </w:t>
      </w:r>
      <w:r>
        <w:rPr>
          <w:rFonts w:ascii="Book Antiqua"/>
          <w:color w:val="231F20"/>
          <w:spacing w:val="11"/>
          <w:sz w:val="17"/>
        </w:rPr>
        <w:t>to</w:t>
      </w:r>
      <w:r>
        <w:rPr>
          <w:rFonts w:ascii="Book Antiqua"/>
          <w:color w:val="231F20"/>
          <w:spacing w:val="64"/>
          <w:sz w:val="17"/>
        </w:rPr>
        <w:t> </w:t>
      </w:r>
      <w:r>
        <w:rPr>
          <w:rFonts w:ascii="Book Antiqua"/>
          <w:color w:val="231F20"/>
          <w:spacing w:val="8"/>
          <w:sz w:val="17"/>
        </w:rPr>
        <w:t>September </w:t>
      </w:r>
      <w:r>
        <w:rPr>
          <w:rFonts w:ascii="Book Antiqua"/>
          <w:color w:val="231F20"/>
          <w:spacing w:val="6"/>
          <w:sz w:val="17"/>
        </w:rPr>
        <w:t>30,</w:t>
      </w:r>
      <w:r>
        <w:rPr>
          <w:rFonts w:ascii="Book Antiqua"/>
          <w:color w:val="231F20"/>
          <w:spacing w:val="-30"/>
          <w:sz w:val="17"/>
        </w:rPr>
        <w:t> </w:t>
      </w:r>
      <w:r>
        <w:rPr>
          <w:rFonts w:ascii="Book Antiqua"/>
          <w:color w:val="231F20"/>
          <w:spacing w:val="9"/>
          <w:sz w:val="17"/>
        </w:rPr>
        <w:t>2003.</w:t>
      </w:r>
    </w:p>
    <w:p>
      <w:pPr>
        <w:spacing w:line="326" w:lineRule="auto" w:before="0"/>
        <w:ind w:left="120" w:right="1" w:firstLine="360"/>
        <w:jc w:val="both"/>
        <w:rPr>
          <w:rFonts w:ascii="Book Antiqua" w:hAnsi="Book Antiqua"/>
          <w:sz w:val="17"/>
        </w:rPr>
      </w:pPr>
      <w:r>
        <w:rPr>
          <w:rFonts w:ascii="Book Antiqua" w:hAnsi="Book Antiqua"/>
          <w:color w:val="231F20"/>
          <w:sz w:val="17"/>
        </w:rPr>
        <w:t>Despite these diff icult challenges, we reported our 31st consecutive annual profit in 2003 because of our low operating costs and superb People. Southwest’s long profitability record is unmatched in the airline industry, and we are also the only major airline to post a profit in every quarter following the September 11 terrorist attacks. While the airline industry, as a whole, reported losses for the third straight year in 2003, our prof its were up significantly from 2002, even excluding the favorable impact from the $271 million federal grant.</w:t>
      </w:r>
    </w:p>
    <w:p>
      <w:pPr>
        <w:spacing w:line="326" w:lineRule="auto" w:before="0"/>
        <w:ind w:left="120" w:right="1" w:firstLine="360"/>
        <w:jc w:val="both"/>
        <w:rPr>
          <w:rFonts w:ascii="Book Antiqua" w:hAnsi="Book Antiqua"/>
          <w:sz w:val="17"/>
        </w:rPr>
      </w:pPr>
      <w:r>
        <w:rPr>
          <w:rFonts w:ascii="Book Antiqua" w:hAnsi="Book Antiqua"/>
          <w:color w:val="231F20"/>
          <w:sz w:val="17"/>
        </w:rPr>
        <w:t>Because we were f inancially prepared, we were able to persevere through these difficult times and build a stronger Southwest. Instead of significant capacity reductions, Southwest invested in our future. We took care of our People, providing pay rate increases and Profitsharing rather than furloughs and wage </w:t>
      </w:r>
      <w:r>
        <w:rPr>
          <w:rFonts w:ascii="Book Antiqua" w:hAnsi="Book Antiqua"/>
          <w:color w:val="231F20"/>
          <w:w w:val="95"/>
          <w:sz w:val="17"/>
        </w:rPr>
        <w:t>concessions. We added airplanes, expanded airports, and invested in facilities, equipment, and automation to enhance our Customers’ experience and prepare us for future growth.</w:t>
      </w:r>
    </w:p>
    <w:p>
      <w:pPr>
        <w:spacing w:line="326" w:lineRule="auto" w:before="0"/>
        <w:ind w:left="120" w:right="6" w:firstLine="360"/>
        <w:jc w:val="both"/>
        <w:rPr>
          <w:rFonts w:ascii="Book Antiqua"/>
          <w:sz w:val="17"/>
        </w:rPr>
      </w:pPr>
      <w:r>
        <w:rPr>
          <w:rFonts w:ascii="Book Antiqua"/>
          <w:color w:val="231F20"/>
          <w:spacing w:val="4"/>
          <w:sz w:val="17"/>
        </w:rPr>
        <w:t>Although </w:t>
      </w:r>
      <w:r>
        <w:rPr>
          <w:rFonts w:ascii="Book Antiqua"/>
          <w:color w:val="231F20"/>
          <w:sz w:val="17"/>
        </w:rPr>
        <w:t>we </w:t>
      </w:r>
      <w:r>
        <w:rPr>
          <w:rFonts w:ascii="Book Antiqua"/>
          <w:color w:val="231F20"/>
          <w:spacing w:val="4"/>
          <w:sz w:val="17"/>
        </w:rPr>
        <w:t>cannot predict </w:t>
      </w:r>
      <w:r>
        <w:rPr>
          <w:rFonts w:ascii="Book Antiqua"/>
          <w:color w:val="231F20"/>
          <w:spacing w:val="3"/>
          <w:sz w:val="17"/>
        </w:rPr>
        <w:t>what </w:t>
      </w:r>
      <w:r>
        <w:rPr>
          <w:rFonts w:ascii="Book Antiqua"/>
          <w:color w:val="231F20"/>
          <w:spacing w:val="4"/>
          <w:sz w:val="17"/>
        </w:rPr>
        <w:t>external, </w:t>
      </w:r>
      <w:r>
        <w:rPr>
          <w:rFonts w:ascii="Book Antiqua"/>
          <w:color w:val="231F20"/>
          <w:spacing w:val="5"/>
          <w:sz w:val="17"/>
        </w:rPr>
        <w:t>uncontrollable </w:t>
      </w:r>
      <w:r>
        <w:rPr>
          <w:rFonts w:ascii="Book Antiqua"/>
          <w:color w:val="231F20"/>
          <w:sz w:val="17"/>
        </w:rPr>
        <w:t>events</w:t>
      </w:r>
      <w:r>
        <w:rPr>
          <w:rFonts w:ascii="Book Antiqua"/>
          <w:color w:val="231F20"/>
          <w:spacing w:val="-9"/>
          <w:sz w:val="17"/>
        </w:rPr>
        <w:t> </w:t>
      </w:r>
      <w:r>
        <w:rPr>
          <w:rFonts w:ascii="Book Antiqua"/>
          <w:color w:val="231F20"/>
          <w:spacing w:val="2"/>
          <w:sz w:val="17"/>
        </w:rPr>
        <w:t>could</w:t>
      </w:r>
      <w:r>
        <w:rPr>
          <w:rFonts w:ascii="Book Antiqua"/>
          <w:color w:val="231F20"/>
          <w:spacing w:val="-9"/>
          <w:sz w:val="17"/>
        </w:rPr>
        <w:t> </w:t>
      </w:r>
      <w:r>
        <w:rPr>
          <w:rFonts w:ascii="Book Antiqua"/>
          <w:color w:val="231F20"/>
          <w:spacing w:val="2"/>
          <w:sz w:val="17"/>
        </w:rPr>
        <w:t>impact</w:t>
      </w:r>
      <w:r>
        <w:rPr>
          <w:rFonts w:ascii="Book Antiqua"/>
          <w:color w:val="231F20"/>
          <w:spacing w:val="-13"/>
          <w:sz w:val="17"/>
        </w:rPr>
        <w:t> </w:t>
      </w:r>
      <w:r>
        <w:rPr>
          <w:rFonts w:ascii="Book Antiqua"/>
          <w:color w:val="231F20"/>
          <w:sz w:val="17"/>
        </w:rPr>
        <w:t>us</w:t>
      </w:r>
      <w:r>
        <w:rPr>
          <w:rFonts w:ascii="Book Antiqua"/>
          <w:color w:val="231F20"/>
          <w:spacing w:val="-9"/>
          <w:sz w:val="17"/>
        </w:rPr>
        <w:t> </w:t>
      </w:r>
      <w:r>
        <w:rPr>
          <w:rFonts w:ascii="Book Antiqua"/>
          <w:color w:val="231F20"/>
          <w:sz w:val="17"/>
        </w:rPr>
        <w:t>in</w:t>
      </w:r>
      <w:r>
        <w:rPr>
          <w:rFonts w:ascii="Book Antiqua"/>
          <w:color w:val="231F20"/>
          <w:spacing w:val="-9"/>
          <w:sz w:val="17"/>
        </w:rPr>
        <w:t> </w:t>
      </w:r>
      <w:r>
        <w:rPr>
          <w:rFonts w:ascii="Book Antiqua"/>
          <w:color w:val="231F20"/>
          <w:spacing w:val="2"/>
          <w:sz w:val="17"/>
        </w:rPr>
        <w:t>2004,</w:t>
      </w:r>
      <w:r>
        <w:rPr>
          <w:rFonts w:ascii="Book Antiqua"/>
          <w:color w:val="231F20"/>
          <w:spacing w:val="-13"/>
          <w:sz w:val="17"/>
        </w:rPr>
        <w:t> </w:t>
      </w:r>
      <w:r>
        <w:rPr>
          <w:rFonts w:ascii="Book Antiqua"/>
          <w:color w:val="231F20"/>
          <w:sz w:val="17"/>
        </w:rPr>
        <w:t>it</w:t>
      </w:r>
      <w:r>
        <w:rPr>
          <w:rFonts w:ascii="Book Antiqua"/>
          <w:color w:val="231F20"/>
          <w:spacing w:val="-13"/>
          <w:sz w:val="17"/>
        </w:rPr>
        <w:t> </w:t>
      </w:r>
      <w:r>
        <w:rPr>
          <w:rFonts w:ascii="Book Antiqua"/>
          <w:color w:val="231F20"/>
          <w:spacing w:val="2"/>
          <w:sz w:val="17"/>
        </w:rPr>
        <w:t>seems</w:t>
      </w:r>
      <w:r>
        <w:rPr>
          <w:rFonts w:ascii="Book Antiqua"/>
          <w:color w:val="231F20"/>
          <w:spacing w:val="-9"/>
          <w:sz w:val="17"/>
        </w:rPr>
        <w:t> </w:t>
      </w:r>
      <w:r>
        <w:rPr>
          <w:rFonts w:ascii="Book Antiqua"/>
          <w:color w:val="231F20"/>
          <w:spacing w:val="2"/>
          <w:sz w:val="17"/>
        </w:rPr>
        <w:t>that</w:t>
      </w:r>
      <w:r>
        <w:rPr>
          <w:rFonts w:ascii="Book Antiqua"/>
          <w:color w:val="231F20"/>
          <w:spacing w:val="-13"/>
          <w:sz w:val="17"/>
        </w:rPr>
        <w:t> </w:t>
      </w:r>
      <w:r>
        <w:rPr>
          <w:rFonts w:ascii="Book Antiqua"/>
          <w:color w:val="231F20"/>
          <w:sz w:val="17"/>
        </w:rPr>
        <w:t>the</w:t>
      </w:r>
      <w:r>
        <w:rPr>
          <w:rFonts w:ascii="Book Antiqua"/>
          <w:color w:val="231F20"/>
          <w:spacing w:val="-12"/>
          <w:sz w:val="17"/>
        </w:rPr>
        <w:t> </w:t>
      </w:r>
      <w:r>
        <w:rPr>
          <w:rFonts w:ascii="Book Antiqua"/>
          <w:color w:val="231F20"/>
          <w:sz w:val="17"/>
        </w:rPr>
        <w:t>worst</w:t>
      </w:r>
      <w:r>
        <w:rPr>
          <w:rFonts w:ascii="Book Antiqua"/>
          <w:color w:val="231F20"/>
          <w:spacing w:val="-13"/>
          <w:sz w:val="17"/>
        </w:rPr>
        <w:t> </w:t>
      </w:r>
      <w:r>
        <w:rPr>
          <w:rFonts w:ascii="Book Antiqua"/>
          <w:color w:val="231F20"/>
          <w:spacing w:val="2"/>
          <w:sz w:val="17"/>
        </w:rPr>
        <w:t>could</w:t>
      </w:r>
      <w:r>
        <w:rPr>
          <w:rFonts w:ascii="Book Antiqua"/>
          <w:color w:val="231F20"/>
          <w:spacing w:val="-9"/>
          <w:sz w:val="17"/>
        </w:rPr>
        <w:t> </w:t>
      </w:r>
      <w:r>
        <w:rPr>
          <w:rFonts w:ascii="Book Antiqua"/>
          <w:color w:val="231F20"/>
          <w:spacing w:val="4"/>
          <w:sz w:val="17"/>
        </w:rPr>
        <w:t>finally </w:t>
      </w:r>
      <w:r>
        <w:rPr>
          <w:rFonts w:ascii="Book Antiqua"/>
          <w:color w:val="231F20"/>
          <w:spacing w:val="2"/>
          <w:sz w:val="17"/>
        </w:rPr>
        <w:t>be</w:t>
      </w:r>
      <w:r>
        <w:rPr>
          <w:rFonts w:ascii="Book Antiqua"/>
          <w:color w:val="231F20"/>
          <w:spacing w:val="-3"/>
          <w:sz w:val="17"/>
        </w:rPr>
        <w:t> </w:t>
      </w:r>
      <w:r>
        <w:rPr>
          <w:rFonts w:ascii="Book Antiqua"/>
          <w:color w:val="231F20"/>
          <w:spacing w:val="4"/>
          <w:sz w:val="17"/>
        </w:rPr>
        <w:t>behind</w:t>
      </w:r>
      <w:r>
        <w:rPr>
          <w:rFonts w:ascii="Book Antiqua"/>
          <w:color w:val="231F20"/>
          <w:spacing w:val="-3"/>
          <w:sz w:val="17"/>
        </w:rPr>
        <w:t> </w:t>
      </w:r>
      <w:r>
        <w:rPr>
          <w:rFonts w:ascii="Book Antiqua"/>
          <w:color w:val="231F20"/>
          <w:spacing w:val="3"/>
          <w:sz w:val="17"/>
        </w:rPr>
        <w:t>us.</w:t>
      </w:r>
      <w:r>
        <w:rPr>
          <w:rFonts w:ascii="Book Antiqua"/>
          <w:color w:val="231F20"/>
          <w:spacing w:val="-9"/>
          <w:sz w:val="17"/>
        </w:rPr>
        <w:t> </w:t>
      </w:r>
      <w:r>
        <w:rPr>
          <w:rFonts w:ascii="Book Antiqua"/>
          <w:color w:val="231F20"/>
          <w:spacing w:val="3"/>
          <w:sz w:val="17"/>
        </w:rPr>
        <w:t>The</w:t>
      </w:r>
      <w:r>
        <w:rPr>
          <w:rFonts w:ascii="Book Antiqua"/>
          <w:color w:val="231F20"/>
          <w:spacing w:val="-3"/>
          <w:sz w:val="17"/>
        </w:rPr>
        <w:t> </w:t>
      </w:r>
      <w:r>
        <w:rPr>
          <w:rFonts w:ascii="Book Antiqua"/>
          <w:color w:val="231F20"/>
          <w:spacing w:val="3"/>
          <w:sz w:val="17"/>
        </w:rPr>
        <w:t>downward</w:t>
      </w:r>
      <w:r>
        <w:rPr>
          <w:rFonts w:ascii="Book Antiqua"/>
          <w:color w:val="231F20"/>
          <w:spacing w:val="-3"/>
          <w:sz w:val="17"/>
        </w:rPr>
        <w:t> </w:t>
      </w:r>
      <w:r>
        <w:rPr>
          <w:rFonts w:ascii="Book Antiqua"/>
          <w:color w:val="231F20"/>
          <w:spacing w:val="3"/>
          <w:sz w:val="17"/>
        </w:rPr>
        <w:t>revenue</w:t>
      </w:r>
      <w:r>
        <w:rPr>
          <w:rFonts w:ascii="Book Antiqua"/>
          <w:color w:val="231F20"/>
          <w:spacing w:val="-3"/>
          <w:sz w:val="17"/>
        </w:rPr>
        <w:t> </w:t>
      </w:r>
      <w:r>
        <w:rPr>
          <w:rFonts w:ascii="Book Antiqua"/>
          <w:color w:val="231F20"/>
          <w:spacing w:val="4"/>
          <w:sz w:val="17"/>
        </w:rPr>
        <w:t>trends</w:t>
      </w:r>
      <w:r>
        <w:rPr>
          <w:rFonts w:ascii="Book Antiqua"/>
          <w:color w:val="231F20"/>
          <w:spacing w:val="-3"/>
          <w:sz w:val="17"/>
        </w:rPr>
        <w:t> </w:t>
      </w:r>
      <w:r>
        <w:rPr>
          <w:rFonts w:ascii="Book Antiqua"/>
          <w:color w:val="231F20"/>
          <w:spacing w:val="4"/>
          <w:sz w:val="17"/>
        </w:rPr>
        <w:t>prior</w:t>
      </w:r>
      <w:r>
        <w:rPr>
          <w:rFonts w:ascii="Book Antiqua"/>
          <w:color w:val="231F20"/>
          <w:spacing w:val="-8"/>
          <w:sz w:val="17"/>
        </w:rPr>
        <w:t> </w:t>
      </w:r>
      <w:r>
        <w:rPr>
          <w:rFonts w:ascii="Book Antiqua"/>
          <w:color w:val="231F20"/>
          <w:spacing w:val="2"/>
          <w:sz w:val="17"/>
        </w:rPr>
        <w:t>to</w:t>
      </w:r>
      <w:r>
        <w:rPr>
          <w:rFonts w:ascii="Book Antiqua"/>
          <w:color w:val="231F20"/>
          <w:spacing w:val="-3"/>
          <w:sz w:val="17"/>
        </w:rPr>
        <w:t> </w:t>
      </w:r>
      <w:r>
        <w:rPr>
          <w:rFonts w:ascii="Book Antiqua"/>
          <w:color w:val="231F20"/>
          <w:spacing w:val="3"/>
          <w:sz w:val="17"/>
        </w:rPr>
        <w:t>and</w:t>
      </w:r>
      <w:r>
        <w:rPr>
          <w:rFonts w:ascii="Book Antiqua"/>
          <w:color w:val="231F20"/>
          <w:spacing w:val="-3"/>
          <w:sz w:val="17"/>
        </w:rPr>
        <w:t> </w:t>
      </w:r>
      <w:r>
        <w:rPr>
          <w:rFonts w:ascii="Book Antiqua"/>
          <w:color w:val="231F20"/>
          <w:spacing w:val="5"/>
          <w:sz w:val="17"/>
        </w:rPr>
        <w:t>shortly </w:t>
      </w:r>
      <w:r>
        <w:rPr>
          <w:rFonts w:ascii="Book Antiqua"/>
          <w:color w:val="231F20"/>
          <w:spacing w:val="4"/>
          <w:sz w:val="17"/>
        </w:rPr>
        <w:t>following</w:t>
      </w:r>
      <w:r>
        <w:rPr>
          <w:rFonts w:ascii="Book Antiqua"/>
          <w:color w:val="231F20"/>
          <w:spacing w:val="-14"/>
          <w:sz w:val="17"/>
        </w:rPr>
        <w:t> </w:t>
      </w:r>
      <w:r>
        <w:rPr>
          <w:rFonts w:ascii="Book Antiqua"/>
          <w:color w:val="231F20"/>
          <w:spacing w:val="3"/>
          <w:sz w:val="17"/>
        </w:rPr>
        <w:t>the</w:t>
      </w:r>
      <w:r>
        <w:rPr>
          <w:rFonts w:ascii="Book Antiqua"/>
          <w:color w:val="231F20"/>
          <w:spacing w:val="-14"/>
          <w:sz w:val="17"/>
        </w:rPr>
        <w:t> </w:t>
      </w:r>
      <w:r>
        <w:rPr>
          <w:rFonts w:ascii="Book Antiqua"/>
          <w:color w:val="231F20"/>
          <w:spacing w:val="3"/>
          <w:sz w:val="17"/>
        </w:rPr>
        <w:t>Iraq</w:t>
      </w:r>
      <w:r>
        <w:rPr>
          <w:rFonts w:ascii="Book Antiqua"/>
          <w:color w:val="231F20"/>
          <w:spacing w:val="-16"/>
          <w:sz w:val="17"/>
        </w:rPr>
        <w:t> </w:t>
      </w:r>
      <w:r>
        <w:rPr>
          <w:rFonts w:ascii="Book Antiqua"/>
          <w:color w:val="231F20"/>
          <w:spacing w:val="3"/>
          <w:sz w:val="17"/>
        </w:rPr>
        <w:t>war</w:t>
      </w:r>
      <w:r>
        <w:rPr>
          <w:rFonts w:ascii="Book Antiqua"/>
          <w:color w:val="231F20"/>
          <w:spacing w:val="-17"/>
          <w:sz w:val="17"/>
        </w:rPr>
        <w:t> </w:t>
      </w:r>
      <w:r>
        <w:rPr>
          <w:rFonts w:ascii="Book Antiqua"/>
          <w:color w:val="231F20"/>
          <w:spacing w:val="2"/>
          <w:sz w:val="17"/>
        </w:rPr>
        <w:t>have</w:t>
      </w:r>
      <w:r>
        <w:rPr>
          <w:rFonts w:ascii="Book Antiqua"/>
          <w:color w:val="231F20"/>
          <w:spacing w:val="-14"/>
          <w:sz w:val="17"/>
        </w:rPr>
        <w:t> </w:t>
      </w:r>
      <w:r>
        <w:rPr>
          <w:rFonts w:ascii="Book Antiqua"/>
          <w:color w:val="231F20"/>
          <w:spacing w:val="3"/>
          <w:sz w:val="17"/>
        </w:rPr>
        <w:t>improved,</w:t>
      </w:r>
      <w:r>
        <w:rPr>
          <w:rFonts w:ascii="Book Antiqua"/>
          <w:color w:val="231F20"/>
          <w:spacing w:val="-16"/>
          <w:sz w:val="17"/>
        </w:rPr>
        <w:t> </w:t>
      </w:r>
      <w:r>
        <w:rPr>
          <w:rFonts w:ascii="Book Antiqua"/>
          <w:color w:val="231F20"/>
          <w:spacing w:val="4"/>
          <w:sz w:val="17"/>
        </w:rPr>
        <w:t>albeit</w:t>
      </w:r>
      <w:r>
        <w:rPr>
          <w:rFonts w:ascii="Book Antiqua"/>
          <w:color w:val="231F20"/>
          <w:spacing w:val="-16"/>
          <w:sz w:val="17"/>
        </w:rPr>
        <w:t> </w:t>
      </w:r>
      <w:r>
        <w:rPr>
          <w:rFonts w:ascii="Book Antiqua"/>
          <w:color w:val="231F20"/>
          <w:spacing w:val="3"/>
          <w:sz w:val="17"/>
        </w:rPr>
        <w:t>gradually.</w:t>
      </w:r>
      <w:r>
        <w:rPr>
          <w:rFonts w:ascii="Book Antiqua"/>
          <w:color w:val="231F20"/>
          <w:spacing w:val="-18"/>
          <w:sz w:val="17"/>
        </w:rPr>
        <w:t> </w:t>
      </w:r>
      <w:r>
        <w:rPr>
          <w:rFonts w:ascii="Book Antiqua"/>
          <w:color w:val="231F20"/>
          <w:spacing w:val="5"/>
          <w:sz w:val="17"/>
        </w:rPr>
        <w:t>Although</w:t>
      </w:r>
    </w:p>
    <w:p>
      <w:pPr>
        <w:pStyle w:val="BodyText"/>
        <w:rPr>
          <w:rFonts w:ascii="Book Antiqua"/>
          <w:sz w:val="20"/>
        </w:rPr>
      </w:pPr>
      <w:r>
        <w:rPr/>
        <w:br w:type="column"/>
      </w:r>
      <w:r>
        <w:rPr>
          <w:rFonts w:ascii="Book Antiqua"/>
          <w:sz w:val="20"/>
        </w:rPr>
      </w:r>
    </w:p>
    <w:p>
      <w:pPr>
        <w:pStyle w:val="BodyText"/>
        <w:rPr>
          <w:rFonts w:ascii="Book Antiqua"/>
          <w:sz w:val="20"/>
        </w:rPr>
      </w:pPr>
    </w:p>
    <w:p>
      <w:pPr>
        <w:pStyle w:val="BodyText"/>
        <w:spacing w:before="11"/>
        <w:rPr>
          <w:rFonts w:ascii="Book Antiqua"/>
          <w:sz w:val="23"/>
        </w:rPr>
      </w:pPr>
    </w:p>
    <w:p>
      <w:pPr>
        <w:spacing w:line="321" w:lineRule="auto" w:before="0"/>
        <w:ind w:left="120" w:right="484" w:firstLine="0"/>
        <w:jc w:val="both"/>
        <w:rPr>
          <w:rFonts w:ascii="Book Antiqua"/>
          <w:sz w:val="17"/>
        </w:rPr>
      </w:pPr>
      <w:r>
        <w:rPr>
          <w:rFonts w:ascii="Book Antiqua"/>
          <w:color w:val="231F20"/>
          <w:sz w:val="17"/>
        </w:rPr>
        <w:t>the industry has planned for significant capacity increases in 2004, we are conf ident in our future and believe we are uniquely </w:t>
      </w:r>
      <w:r>
        <w:rPr>
          <w:rFonts w:ascii="Book Antiqua"/>
          <w:color w:val="231F20"/>
          <w:w w:val="95"/>
          <w:sz w:val="17"/>
        </w:rPr>
        <w:t>positioned for growth.</w:t>
      </w:r>
    </w:p>
    <w:p>
      <w:pPr>
        <w:pStyle w:val="BodyText"/>
        <w:spacing w:before="6"/>
        <w:rPr>
          <w:rFonts w:ascii="Book Antiqua"/>
          <w:sz w:val="23"/>
        </w:rPr>
      </w:pPr>
    </w:p>
    <w:p>
      <w:pPr>
        <w:spacing w:before="0"/>
        <w:ind w:left="120" w:right="0" w:firstLine="0"/>
        <w:jc w:val="both"/>
        <w:rPr>
          <w:rFonts w:ascii="Book Antiqua"/>
          <w:sz w:val="16"/>
        </w:rPr>
      </w:pPr>
      <w:r>
        <w:rPr>
          <w:rFonts w:ascii="Book Antiqua"/>
          <w:color w:val="231F20"/>
          <w:sz w:val="16"/>
        </w:rPr>
        <w:t>Low Costs</w:t>
      </w:r>
    </w:p>
    <w:p>
      <w:pPr>
        <w:pStyle w:val="BodyText"/>
        <w:spacing w:before="6"/>
        <w:rPr>
          <w:rFonts w:ascii="Book Antiqua"/>
          <w:sz w:val="17"/>
        </w:rPr>
      </w:pPr>
    </w:p>
    <w:p>
      <w:pPr>
        <w:spacing w:line="321" w:lineRule="auto" w:before="0"/>
        <w:ind w:left="120" w:right="491" w:firstLine="360"/>
        <w:jc w:val="both"/>
        <w:rPr>
          <w:rFonts w:ascii="Book Antiqua" w:hAnsi="Book Antiqua"/>
          <w:sz w:val="17"/>
        </w:rPr>
      </w:pPr>
      <w:r>
        <w:rPr>
          <w:rFonts w:ascii="Book Antiqua" w:hAnsi="Book Antiqua"/>
          <w:color w:val="231F20"/>
          <w:w w:val="95"/>
          <w:sz w:val="17"/>
        </w:rPr>
        <w:t>Historically, Southwest has enjoyed a significant cost advantage compared to the “legacy” carriers. That advantage has been somewhat </w:t>
      </w:r>
      <w:r>
        <w:rPr>
          <w:rFonts w:ascii="Book Antiqua" w:hAnsi="Book Antiqua"/>
          <w:color w:val="231F20"/>
          <w:sz w:val="17"/>
        </w:rPr>
        <w:t>diminished as those carriers have reduced their labor costs and </w:t>
      </w:r>
      <w:r>
        <w:rPr>
          <w:rFonts w:ascii="Book Antiqua" w:hAnsi="Book Antiqua"/>
          <w:color w:val="231F20"/>
          <w:w w:val="95"/>
          <w:sz w:val="17"/>
        </w:rPr>
        <w:t>improved their work rules through either voluntary concessions or </w:t>
      </w:r>
      <w:r>
        <w:rPr>
          <w:rFonts w:ascii="Book Antiqua" w:hAnsi="Book Antiqua"/>
          <w:color w:val="231F20"/>
          <w:sz w:val="17"/>
        </w:rPr>
        <w:t>the bankruptcy process. In addition, there are now a number of new, rapidly growing carriers with costs roughly comparable to </w:t>
      </w:r>
      <w:r>
        <w:rPr>
          <w:rFonts w:ascii="Book Antiqua" w:hAnsi="Book Antiqua"/>
          <w:color w:val="231F20"/>
          <w:w w:val="95"/>
          <w:sz w:val="17"/>
        </w:rPr>
        <w:t>those of Southwest Airlines.</w:t>
      </w:r>
    </w:p>
    <w:p>
      <w:pPr>
        <w:spacing w:line="321" w:lineRule="auto" w:before="0"/>
        <w:ind w:left="120" w:right="489" w:firstLine="360"/>
        <w:jc w:val="both"/>
        <w:rPr>
          <w:rFonts w:ascii="Book Antiqua"/>
          <w:sz w:val="17"/>
        </w:rPr>
      </w:pPr>
      <w:r>
        <w:rPr>
          <w:rFonts w:ascii="Book Antiqua"/>
          <w:color w:val="231F20"/>
          <w:spacing w:val="3"/>
          <w:sz w:val="17"/>
        </w:rPr>
        <w:t>The</w:t>
      </w:r>
      <w:r>
        <w:rPr>
          <w:rFonts w:ascii="Book Antiqua"/>
          <w:color w:val="231F20"/>
          <w:spacing w:val="-17"/>
          <w:sz w:val="17"/>
        </w:rPr>
        <w:t> </w:t>
      </w:r>
      <w:r>
        <w:rPr>
          <w:rFonts w:ascii="Book Antiqua"/>
          <w:color w:val="231F20"/>
          <w:spacing w:val="3"/>
          <w:sz w:val="17"/>
        </w:rPr>
        <w:t>Employees</w:t>
      </w:r>
      <w:r>
        <w:rPr>
          <w:rFonts w:ascii="Book Antiqua"/>
          <w:color w:val="231F20"/>
          <w:spacing w:val="-17"/>
          <w:sz w:val="17"/>
        </w:rPr>
        <w:t> </w:t>
      </w:r>
      <w:r>
        <w:rPr>
          <w:rFonts w:ascii="Book Antiqua"/>
          <w:color w:val="231F20"/>
          <w:spacing w:val="2"/>
          <w:sz w:val="17"/>
        </w:rPr>
        <w:t>of</w:t>
      </w:r>
      <w:r>
        <w:rPr>
          <w:rFonts w:ascii="Book Antiqua"/>
          <w:color w:val="231F20"/>
          <w:spacing w:val="-17"/>
          <w:sz w:val="17"/>
        </w:rPr>
        <w:t> </w:t>
      </w:r>
      <w:r>
        <w:rPr>
          <w:rFonts w:ascii="Book Antiqua"/>
          <w:color w:val="231F20"/>
          <w:spacing w:val="3"/>
          <w:sz w:val="17"/>
        </w:rPr>
        <w:t>Southwest</w:t>
      </w:r>
      <w:r>
        <w:rPr>
          <w:rFonts w:ascii="Book Antiqua"/>
          <w:color w:val="231F20"/>
          <w:spacing w:val="-20"/>
          <w:sz w:val="17"/>
        </w:rPr>
        <w:t> </w:t>
      </w:r>
      <w:r>
        <w:rPr>
          <w:rFonts w:ascii="Book Antiqua"/>
          <w:color w:val="231F20"/>
          <w:spacing w:val="2"/>
          <w:sz w:val="17"/>
        </w:rPr>
        <w:t>have</w:t>
      </w:r>
      <w:r>
        <w:rPr>
          <w:rFonts w:ascii="Book Antiqua"/>
          <w:color w:val="231F20"/>
          <w:spacing w:val="-17"/>
          <w:sz w:val="17"/>
        </w:rPr>
        <w:t> </w:t>
      </w:r>
      <w:r>
        <w:rPr>
          <w:rFonts w:ascii="Book Antiqua"/>
          <w:color w:val="231F20"/>
          <w:spacing w:val="4"/>
          <w:sz w:val="17"/>
        </w:rPr>
        <w:t>always</w:t>
      </w:r>
      <w:r>
        <w:rPr>
          <w:rFonts w:ascii="Book Antiqua"/>
          <w:color w:val="231F20"/>
          <w:spacing w:val="-17"/>
          <w:sz w:val="17"/>
        </w:rPr>
        <w:t> </w:t>
      </w:r>
      <w:r>
        <w:rPr>
          <w:rFonts w:ascii="Book Antiqua"/>
          <w:color w:val="231F20"/>
          <w:spacing w:val="4"/>
          <w:sz w:val="17"/>
        </w:rPr>
        <w:t>understood</w:t>
      </w:r>
      <w:r>
        <w:rPr>
          <w:rFonts w:ascii="Book Antiqua"/>
          <w:color w:val="231F20"/>
          <w:spacing w:val="-17"/>
          <w:sz w:val="17"/>
        </w:rPr>
        <w:t> </w:t>
      </w:r>
      <w:r>
        <w:rPr>
          <w:rFonts w:ascii="Book Antiqua"/>
          <w:color w:val="231F20"/>
          <w:spacing w:val="3"/>
          <w:sz w:val="17"/>
        </w:rPr>
        <w:t>that</w:t>
      </w:r>
      <w:r>
        <w:rPr>
          <w:rFonts w:ascii="Book Antiqua"/>
          <w:color w:val="231F20"/>
          <w:spacing w:val="-22"/>
          <w:sz w:val="17"/>
        </w:rPr>
        <w:t> </w:t>
      </w:r>
      <w:r>
        <w:rPr>
          <w:rFonts w:ascii="Book Antiqua"/>
          <w:color w:val="231F20"/>
          <w:sz w:val="17"/>
        </w:rPr>
        <w:t>we </w:t>
      </w:r>
      <w:r>
        <w:rPr>
          <w:rFonts w:ascii="Book Antiqua"/>
          <w:color w:val="231F20"/>
          <w:spacing w:val="3"/>
          <w:sz w:val="17"/>
        </w:rPr>
        <w:t>are</w:t>
      </w:r>
      <w:r>
        <w:rPr>
          <w:rFonts w:ascii="Book Antiqua"/>
          <w:color w:val="231F20"/>
          <w:spacing w:val="-18"/>
          <w:sz w:val="17"/>
        </w:rPr>
        <w:t> </w:t>
      </w:r>
      <w:r>
        <w:rPr>
          <w:rFonts w:ascii="Book Antiqua"/>
          <w:color w:val="231F20"/>
          <w:spacing w:val="5"/>
          <w:sz w:val="17"/>
        </w:rPr>
        <w:t>profitable,</w:t>
      </w:r>
      <w:r>
        <w:rPr>
          <w:rFonts w:ascii="Book Antiqua"/>
          <w:color w:val="231F20"/>
          <w:spacing w:val="-20"/>
          <w:sz w:val="17"/>
        </w:rPr>
        <w:t> </w:t>
      </w:r>
      <w:r>
        <w:rPr>
          <w:rFonts w:ascii="Book Antiqua"/>
          <w:color w:val="231F20"/>
          <w:spacing w:val="3"/>
          <w:sz w:val="17"/>
        </w:rPr>
        <w:t>growing,</w:t>
      </w:r>
      <w:r>
        <w:rPr>
          <w:rFonts w:ascii="Book Antiqua"/>
          <w:color w:val="231F20"/>
          <w:spacing w:val="-20"/>
          <w:sz w:val="17"/>
        </w:rPr>
        <w:t> </w:t>
      </w:r>
      <w:r>
        <w:rPr>
          <w:rFonts w:ascii="Book Antiqua"/>
          <w:color w:val="231F20"/>
          <w:spacing w:val="3"/>
          <w:sz w:val="17"/>
        </w:rPr>
        <w:t>and</w:t>
      </w:r>
      <w:r>
        <w:rPr>
          <w:rFonts w:ascii="Book Antiqua"/>
          <w:color w:val="231F20"/>
          <w:spacing w:val="-18"/>
          <w:sz w:val="17"/>
        </w:rPr>
        <w:t> </w:t>
      </w:r>
      <w:r>
        <w:rPr>
          <w:rFonts w:ascii="Book Antiqua"/>
          <w:color w:val="231F20"/>
          <w:spacing w:val="4"/>
          <w:sz w:val="17"/>
        </w:rPr>
        <w:t>successful</w:t>
      </w:r>
      <w:r>
        <w:rPr>
          <w:rFonts w:ascii="Book Antiqua"/>
          <w:color w:val="231F20"/>
          <w:spacing w:val="-18"/>
          <w:sz w:val="17"/>
        </w:rPr>
        <w:t> </w:t>
      </w:r>
      <w:r>
        <w:rPr>
          <w:rFonts w:ascii="Book Antiqua"/>
          <w:color w:val="231F20"/>
          <w:spacing w:val="4"/>
          <w:sz w:val="17"/>
        </w:rPr>
        <w:t>because</w:t>
      </w:r>
      <w:r>
        <w:rPr>
          <w:rFonts w:ascii="Book Antiqua"/>
          <w:color w:val="231F20"/>
          <w:spacing w:val="-18"/>
          <w:sz w:val="17"/>
        </w:rPr>
        <w:t> </w:t>
      </w:r>
      <w:r>
        <w:rPr>
          <w:rFonts w:ascii="Book Antiqua"/>
          <w:color w:val="231F20"/>
          <w:spacing w:val="2"/>
          <w:sz w:val="17"/>
        </w:rPr>
        <w:t>of</w:t>
      </w:r>
      <w:r>
        <w:rPr>
          <w:rFonts w:ascii="Book Antiqua"/>
          <w:color w:val="231F20"/>
          <w:spacing w:val="-18"/>
          <w:sz w:val="17"/>
        </w:rPr>
        <w:t> </w:t>
      </w:r>
      <w:r>
        <w:rPr>
          <w:rFonts w:ascii="Book Antiqua"/>
          <w:color w:val="231F20"/>
          <w:spacing w:val="3"/>
          <w:sz w:val="17"/>
        </w:rPr>
        <w:t>our</w:t>
      </w:r>
      <w:r>
        <w:rPr>
          <w:rFonts w:ascii="Book Antiqua"/>
          <w:color w:val="231F20"/>
          <w:spacing w:val="-22"/>
          <w:sz w:val="17"/>
        </w:rPr>
        <w:t> </w:t>
      </w:r>
      <w:r>
        <w:rPr>
          <w:rFonts w:ascii="Book Antiqua"/>
          <w:color w:val="231F20"/>
          <w:spacing w:val="4"/>
          <w:sz w:val="17"/>
        </w:rPr>
        <w:t>competitive </w:t>
      </w:r>
      <w:r>
        <w:rPr>
          <w:rFonts w:ascii="Book Antiqua"/>
          <w:color w:val="231F20"/>
          <w:spacing w:val="3"/>
          <w:sz w:val="17"/>
        </w:rPr>
        <w:t>cost</w:t>
      </w:r>
      <w:r>
        <w:rPr>
          <w:rFonts w:ascii="Book Antiqua"/>
          <w:color w:val="231F20"/>
          <w:spacing w:val="-27"/>
          <w:sz w:val="17"/>
        </w:rPr>
        <w:t> </w:t>
      </w:r>
      <w:r>
        <w:rPr>
          <w:rFonts w:ascii="Book Antiqua"/>
          <w:color w:val="231F20"/>
          <w:spacing w:val="4"/>
          <w:sz w:val="17"/>
        </w:rPr>
        <w:t>advantage.</w:t>
      </w:r>
      <w:r>
        <w:rPr>
          <w:rFonts w:ascii="Book Antiqua"/>
          <w:color w:val="231F20"/>
          <w:spacing w:val="-28"/>
          <w:sz w:val="17"/>
        </w:rPr>
        <w:t> </w:t>
      </w:r>
      <w:r>
        <w:rPr>
          <w:rFonts w:ascii="Book Antiqua"/>
          <w:color w:val="231F20"/>
          <w:spacing w:val="4"/>
          <w:sz w:val="17"/>
        </w:rPr>
        <w:t>Although</w:t>
      </w:r>
      <w:r>
        <w:rPr>
          <w:rFonts w:ascii="Book Antiqua"/>
          <w:color w:val="231F20"/>
          <w:spacing w:val="-24"/>
          <w:sz w:val="17"/>
        </w:rPr>
        <w:t> </w:t>
      </w:r>
      <w:r>
        <w:rPr>
          <w:rFonts w:ascii="Book Antiqua"/>
          <w:color w:val="231F20"/>
          <w:spacing w:val="3"/>
          <w:sz w:val="17"/>
        </w:rPr>
        <w:t>our</w:t>
      </w:r>
      <w:r>
        <w:rPr>
          <w:rFonts w:ascii="Book Antiqua"/>
          <w:color w:val="231F20"/>
          <w:spacing w:val="-28"/>
          <w:sz w:val="17"/>
        </w:rPr>
        <w:t> </w:t>
      </w:r>
      <w:r>
        <w:rPr>
          <w:rFonts w:ascii="Book Antiqua"/>
          <w:color w:val="231F20"/>
          <w:spacing w:val="4"/>
          <w:sz w:val="17"/>
        </w:rPr>
        <w:t>costs</w:t>
      </w:r>
      <w:r>
        <w:rPr>
          <w:rFonts w:ascii="Book Antiqua"/>
          <w:color w:val="231F20"/>
          <w:spacing w:val="-24"/>
          <w:sz w:val="17"/>
        </w:rPr>
        <w:t> </w:t>
      </w:r>
      <w:r>
        <w:rPr>
          <w:rFonts w:ascii="Book Antiqua"/>
          <w:color w:val="231F20"/>
          <w:spacing w:val="4"/>
          <w:sz w:val="17"/>
        </w:rPr>
        <w:t>remain</w:t>
      </w:r>
      <w:r>
        <w:rPr>
          <w:rFonts w:ascii="Book Antiqua"/>
          <w:color w:val="231F20"/>
          <w:spacing w:val="-24"/>
          <w:sz w:val="17"/>
        </w:rPr>
        <w:t> </w:t>
      </w:r>
      <w:r>
        <w:rPr>
          <w:rFonts w:ascii="Book Antiqua"/>
          <w:color w:val="231F20"/>
          <w:sz w:val="17"/>
        </w:rPr>
        <w:t>low,</w:t>
      </w:r>
      <w:r>
        <w:rPr>
          <w:rFonts w:ascii="Book Antiqua"/>
          <w:color w:val="231F20"/>
          <w:spacing w:val="-28"/>
          <w:sz w:val="17"/>
        </w:rPr>
        <w:t> </w:t>
      </w:r>
      <w:r>
        <w:rPr>
          <w:rFonts w:ascii="Book Antiqua"/>
          <w:color w:val="231F20"/>
          <w:sz w:val="17"/>
        </w:rPr>
        <w:t>we</w:t>
      </w:r>
      <w:r>
        <w:rPr>
          <w:rFonts w:ascii="Book Antiqua"/>
          <w:color w:val="231F20"/>
          <w:spacing w:val="-24"/>
          <w:sz w:val="17"/>
        </w:rPr>
        <w:t> </w:t>
      </w:r>
      <w:r>
        <w:rPr>
          <w:rFonts w:ascii="Book Antiqua"/>
          <w:color w:val="231F20"/>
          <w:spacing w:val="3"/>
          <w:sz w:val="17"/>
        </w:rPr>
        <w:t>are</w:t>
      </w:r>
      <w:r>
        <w:rPr>
          <w:rFonts w:ascii="Book Antiqua"/>
          <w:color w:val="231F20"/>
          <w:spacing w:val="-24"/>
          <w:sz w:val="17"/>
        </w:rPr>
        <w:t> </w:t>
      </w:r>
      <w:r>
        <w:rPr>
          <w:rFonts w:ascii="Book Antiqua"/>
          <w:color w:val="231F20"/>
          <w:spacing w:val="3"/>
          <w:sz w:val="17"/>
        </w:rPr>
        <w:t>not</w:t>
      </w:r>
      <w:r>
        <w:rPr>
          <w:rFonts w:ascii="Book Antiqua"/>
          <w:color w:val="231F20"/>
          <w:spacing w:val="-27"/>
          <w:sz w:val="17"/>
        </w:rPr>
        <w:t> </w:t>
      </w:r>
      <w:r>
        <w:rPr>
          <w:rFonts w:ascii="Book Antiqua"/>
          <w:color w:val="231F20"/>
          <w:spacing w:val="6"/>
          <w:sz w:val="17"/>
        </w:rPr>
        <w:t>satisfied </w:t>
      </w:r>
      <w:r>
        <w:rPr>
          <w:rFonts w:ascii="Book Antiqua"/>
          <w:color w:val="231F20"/>
          <w:spacing w:val="3"/>
          <w:sz w:val="17"/>
        </w:rPr>
        <w:t>with the inf </w:t>
      </w:r>
      <w:r>
        <w:rPr>
          <w:rFonts w:ascii="Book Antiqua"/>
          <w:color w:val="231F20"/>
          <w:spacing w:val="4"/>
          <w:sz w:val="17"/>
        </w:rPr>
        <w:t>lation </w:t>
      </w:r>
      <w:r>
        <w:rPr>
          <w:rFonts w:ascii="Book Antiqua"/>
          <w:color w:val="231F20"/>
          <w:sz w:val="17"/>
        </w:rPr>
        <w:t>we </w:t>
      </w:r>
      <w:r>
        <w:rPr>
          <w:rFonts w:ascii="Book Antiqua"/>
          <w:color w:val="231F20"/>
          <w:spacing w:val="4"/>
          <w:sz w:val="17"/>
        </w:rPr>
        <w:t>began </w:t>
      </w:r>
      <w:r>
        <w:rPr>
          <w:rFonts w:ascii="Book Antiqua"/>
          <w:color w:val="231F20"/>
          <w:spacing w:val="2"/>
          <w:sz w:val="17"/>
        </w:rPr>
        <w:t>to </w:t>
      </w:r>
      <w:r>
        <w:rPr>
          <w:rFonts w:ascii="Book Antiqua"/>
          <w:color w:val="231F20"/>
          <w:spacing w:val="4"/>
          <w:sz w:val="17"/>
        </w:rPr>
        <w:t>experience </w:t>
      </w:r>
      <w:r>
        <w:rPr>
          <w:rFonts w:ascii="Book Antiqua"/>
          <w:color w:val="231F20"/>
          <w:spacing w:val="2"/>
          <w:sz w:val="17"/>
        </w:rPr>
        <w:t>in </w:t>
      </w:r>
      <w:r>
        <w:rPr>
          <w:rFonts w:ascii="Book Antiqua"/>
          <w:color w:val="231F20"/>
          <w:spacing w:val="3"/>
          <w:sz w:val="17"/>
        </w:rPr>
        <w:t>our cost </w:t>
      </w:r>
      <w:r>
        <w:rPr>
          <w:rFonts w:ascii="Book Antiqua"/>
          <w:color w:val="231F20"/>
          <w:spacing w:val="5"/>
          <w:sz w:val="17"/>
        </w:rPr>
        <w:t>structure </w:t>
      </w:r>
      <w:r>
        <w:rPr>
          <w:rFonts w:ascii="Book Antiqua"/>
          <w:color w:val="231F20"/>
          <w:spacing w:val="4"/>
          <w:w w:val="95"/>
          <w:sz w:val="17"/>
        </w:rPr>
        <w:t>during</w:t>
      </w:r>
      <w:r>
        <w:rPr>
          <w:rFonts w:ascii="Book Antiqua"/>
          <w:color w:val="231F20"/>
          <w:spacing w:val="-1"/>
          <w:w w:val="95"/>
          <w:sz w:val="17"/>
        </w:rPr>
        <w:t> </w:t>
      </w:r>
      <w:r>
        <w:rPr>
          <w:rFonts w:ascii="Book Antiqua"/>
          <w:color w:val="231F20"/>
          <w:spacing w:val="4"/>
          <w:w w:val="95"/>
          <w:sz w:val="17"/>
        </w:rPr>
        <w:t>second</w:t>
      </w:r>
      <w:r>
        <w:rPr>
          <w:rFonts w:ascii="Book Antiqua"/>
          <w:color w:val="231F20"/>
          <w:spacing w:val="-1"/>
          <w:w w:val="95"/>
          <w:sz w:val="17"/>
        </w:rPr>
        <w:t> </w:t>
      </w:r>
      <w:r>
        <w:rPr>
          <w:rFonts w:ascii="Book Antiqua"/>
          <w:color w:val="231F20"/>
          <w:spacing w:val="3"/>
          <w:w w:val="95"/>
          <w:sz w:val="17"/>
        </w:rPr>
        <w:t>half</w:t>
      </w:r>
      <w:r>
        <w:rPr>
          <w:rFonts w:ascii="Book Antiqua"/>
          <w:color w:val="231F20"/>
          <w:spacing w:val="-1"/>
          <w:w w:val="95"/>
          <w:sz w:val="17"/>
        </w:rPr>
        <w:t> </w:t>
      </w:r>
      <w:r>
        <w:rPr>
          <w:rFonts w:ascii="Book Antiqua"/>
          <w:color w:val="231F20"/>
          <w:spacing w:val="3"/>
          <w:w w:val="95"/>
          <w:sz w:val="17"/>
        </w:rPr>
        <w:t>2003</w:t>
      </w:r>
      <w:r>
        <w:rPr>
          <w:rFonts w:ascii="Book Antiqua"/>
          <w:color w:val="231F20"/>
          <w:spacing w:val="-6"/>
          <w:w w:val="95"/>
          <w:sz w:val="17"/>
        </w:rPr>
        <w:t> </w:t>
      </w:r>
      <w:r>
        <w:rPr>
          <w:rFonts w:ascii="Book Antiqua"/>
          <w:color w:val="231F20"/>
          <w:spacing w:val="3"/>
          <w:w w:val="95"/>
          <w:sz w:val="17"/>
        </w:rPr>
        <w:t>and</w:t>
      </w:r>
      <w:r>
        <w:rPr>
          <w:rFonts w:ascii="Book Antiqua"/>
          <w:color w:val="231F20"/>
          <w:spacing w:val="-1"/>
          <w:w w:val="95"/>
          <w:sz w:val="17"/>
        </w:rPr>
        <w:t> </w:t>
      </w:r>
      <w:r>
        <w:rPr>
          <w:rFonts w:ascii="Book Antiqua"/>
          <w:color w:val="231F20"/>
          <w:spacing w:val="3"/>
          <w:w w:val="95"/>
          <w:sz w:val="17"/>
        </w:rPr>
        <w:t>are</w:t>
      </w:r>
      <w:r>
        <w:rPr>
          <w:rFonts w:ascii="Book Antiqua"/>
          <w:color w:val="231F20"/>
          <w:spacing w:val="-1"/>
          <w:w w:val="95"/>
          <w:sz w:val="17"/>
        </w:rPr>
        <w:t> </w:t>
      </w:r>
      <w:r>
        <w:rPr>
          <w:rFonts w:ascii="Book Antiqua"/>
          <w:color w:val="231F20"/>
          <w:spacing w:val="4"/>
          <w:w w:val="95"/>
          <w:sz w:val="17"/>
        </w:rPr>
        <w:t>aggressively</w:t>
      </w:r>
      <w:r>
        <w:rPr>
          <w:rFonts w:ascii="Book Antiqua"/>
          <w:color w:val="231F20"/>
          <w:spacing w:val="-8"/>
          <w:w w:val="95"/>
          <w:sz w:val="17"/>
        </w:rPr>
        <w:t> </w:t>
      </w:r>
      <w:r>
        <w:rPr>
          <w:rFonts w:ascii="Book Antiqua"/>
          <w:color w:val="231F20"/>
          <w:spacing w:val="4"/>
          <w:w w:val="95"/>
          <w:sz w:val="17"/>
        </w:rPr>
        <w:t>implementing</w:t>
      </w:r>
      <w:r>
        <w:rPr>
          <w:rFonts w:ascii="Book Antiqua"/>
          <w:color w:val="231F20"/>
          <w:spacing w:val="-6"/>
          <w:w w:val="95"/>
          <w:sz w:val="17"/>
        </w:rPr>
        <w:t> </w:t>
      </w:r>
      <w:r>
        <w:rPr>
          <w:rFonts w:ascii="Book Antiqua"/>
          <w:color w:val="231F20"/>
          <w:spacing w:val="5"/>
          <w:w w:val="95"/>
          <w:sz w:val="17"/>
        </w:rPr>
        <w:t>various </w:t>
      </w:r>
      <w:r>
        <w:rPr>
          <w:rFonts w:ascii="Book Antiqua"/>
          <w:color w:val="231F20"/>
          <w:spacing w:val="4"/>
          <w:w w:val="95"/>
          <w:sz w:val="17"/>
        </w:rPr>
        <w:t>measures </w:t>
      </w:r>
      <w:r>
        <w:rPr>
          <w:rFonts w:ascii="Book Antiqua"/>
          <w:color w:val="231F20"/>
          <w:spacing w:val="2"/>
          <w:w w:val="95"/>
          <w:sz w:val="17"/>
        </w:rPr>
        <w:t>to improve </w:t>
      </w:r>
      <w:r>
        <w:rPr>
          <w:rFonts w:ascii="Book Antiqua"/>
          <w:color w:val="231F20"/>
          <w:spacing w:val="3"/>
          <w:w w:val="95"/>
          <w:sz w:val="17"/>
        </w:rPr>
        <w:t>our productivity. </w:t>
      </w:r>
      <w:r>
        <w:rPr>
          <w:rFonts w:ascii="Book Antiqua"/>
          <w:color w:val="231F20"/>
          <w:spacing w:val="4"/>
          <w:w w:val="95"/>
          <w:sz w:val="17"/>
        </w:rPr>
        <w:t>Effective December </w:t>
      </w:r>
      <w:r>
        <w:rPr>
          <w:rFonts w:ascii="Book Antiqua"/>
          <w:color w:val="231F20"/>
          <w:w w:val="95"/>
          <w:sz w:val="17"/>
        </w:rPr>
        <w:t>15,</w:t>
      </w:r>
      <w:r>
        <w:rPr>
          <w:rFonts w:ascii="Book Antiqua"/>
          <w:color w:val="231F20"/>
          <w:spacing w:val="-23"/>
          <w:w w:val="95"/>
          <w:sz w:val="17"/>
        </w:rPr>
        <w:t> </w:t>
      </w:r>
      <w:r>
        <w:rPr>
          <w:rFonts w:ascii="Book Antiqua"/>
          <w:color w:val="231F20"/>
          <w:spacing w:val="5"/>
          <w:w w:val="95"/>
          <w:sz w:val="17"/>
        </w:rPr>
        <w:t>2003, </w:t>
      </w:r>
      <w:r>
        <w:rPr>
          <w:rFonts w:ascii="Book Antiqua"/>
          <w:color w:val="231F20"/>
          <w:spacing w:val="5"/>
          <w:sz w:val="17"/>
        </w:rPr>
        <w:t>Southwest </w:t>
      </w:r>
      <w:r>
        <w:rPr>
          <w:rFonts w:ascii="Book Antiqua"/>
          <w:color w:val="231F20"/>
          <w:spacing w:val="4"/>
          <w:sz w:val="17"/>
        </w:rPr>
        <w:t>no </w:t>
      </w:r>
      <w:r>
        <w:rPr>
          <w:rFonts w:ascii="Book Antiqua"/>
          <w:color w:val="231F20"/>
          <w:spacing w:val="6"/>
          <w:sz w:val="17"/>
        </w:rPr>
        <w:t>longer pays </w:t>
      </w:r>
      <w:r>
        <w:rPr>
          <w:rFonts w:ascii="Book Antiqua"/>
          <w:color w:val="231F20"/>
          <w:sz w:val="17"/>
        </w:rPr>
        <w:t>a </w:t>
      </w:r>
      <w:r>
        <w:rPr>
          <w:rFonts w:ascii="Book Antiqua"/>
          <w:color w:val="231F20"/>
          <w:spacing w:val="7"/>
          <w:sz w:val="17"/>
        </w:rPr>
        <w:t>commission </w:t>
      </w:r>
      <w:r>
        <w:rPr>
          <w:rFonts w:ascii="Book Antiqua"/>
          <w:color w:val="231F20"/>
          <w:spacing w:val="4"/>
          <w:sz w:val="17"/>
        </w:rPr>
        <w:t>on </w:t>
      </w:r>
      <w:r>
        <w:rPr>
          <w:rFonts w:ascii="Book Antiqua"/>
          <w:color w:val="231F20"/>
          <w:sz w:val="17"/>
        </w:rPr>
        <w:t>f </w:t>
      </w:r>
      <w:r>
        <w:rPr>
          <w:rFonts w:ascii="Book Antiqua"/>
          <w:color w:val="231F20"/>
          <w:spacing w:val="6"/>
          <w:sz w:val="17"/>
        </w:rPr>
        <w:t>lights </w:t>
      </w:r>
      <w:r>
        <w:rPr>
          <w:rFonts w:ascii="Book Antiqua"/>
          <w:color w:val="231F20"/>
          <w:spacing w:val="5"/>
          <w:sz w:val="17"/>
        </w:rPr>
        <w:t>booked </w:t>
      </w:r>
      <w:r>
        <w:rPr>
          <w:rFonts w:ascii="Book Antiqua"/>
          <w:color w:val="231F20"/>
          <w:sz w:val="17"/>
        </w:rPr>
        <w:t>by </w:t>
      </w:r>
      <w:r>
        <w:rPr>
          <w:rFonts w:ascii="Book Antiqua"/>
          <w:color w:val="231F20"/>
          <w:spacing w:val="4"/>
          <w:sz w:val="17"/>
        </w:rPr>
        <w:t>traditional </w:t>
      </w:r>
      <w:r>
        <w:rPr>
          <w:rFonts w:ascii="Book Antiqua"/>
          <w:color w:val="231F20"/>
          <w:spacing w:val="3"/>
          <w:sz w:val="17"/>
        </w:rPr>
        <w:t>travel </w:t>
      </w:r>
      <w:r>
        <w:rPr>
          <w:rFonts w:ascii="Book Antiqua"/>
          <w:color w:val="231F20"/>
          <w:spacing w:val="4"/>
          <w:sz w:val="17"/>
        </w:rPr>
        <w:t>agencies, which </w:t>
      </w:r>
      <w:r>
        <w:rPr>
          <w:rFonts w:ascii="Book Antiqua"/>
          <w:color w:val="231F20"/>
          <w:spacing w:val="3"/>
          <w:sz w:val="17"/>
        </w:rPr>
        <w:t>will </w:t>
      </w:r>
      <w:r>
        <w:rPr>
          <w:rFonts w:ascii="Book Antiqua"/>
          <w:color w:val="231F20"/>
          <w:spacing w:val="4"/>
          <w:sz w:val="17"/>
        </w:rPr>
        <w:t>reduce operating costs </w:t>
      </w:r>
      <w:r>
        <w:rPr>
          <w:rFonts w:ascii="Book Antiqua"/>
          <w:color w:val="231F20"/>
          <w:sz w:val="17"/>
        </w:rPr>
        <w:t>by </w:t>
      </w:r>
      <w:r>
        <w:rPr>
          <w:rFonts w:ascii="Book Antiqua"/>
          <w:color w:val="231F20"/>
          <w:spacing w:val="6"/>
          <w:sz w:val="17"/>
        </w:rPr>
        <w:t>approximately </w:t>
      </w:r>
      <w:r>
        <w:rPr>
          <w:rFonts w:ascii="Book Antiqua"/>
          <w:color w:val="231F20"/>
          <w:spacing w:val="4"/>
          <w:sz w:val="17"/>
        </w:rPr>
        <w:t>$40 </w:t>
      </w:r>
      <w:r>
        <w:rPr>
          <w:rFonts w:ascii="Book Antiqua"/>
          <w:color w:val="231F20"/>
          <w:spacing w:val="6"/>
          <w:sz w:val="17"/>
        </w:rPr>
        <w:t>million </w:t>
      </w:r>
      <w:r>
        <w:rPr>
          <w:rFonts w:ascii="Book Antiqua"/>
          <w:color w:val="231F20"/>
          <w:spacing w:val="5"/>
          <w:sz w:val="17"/>
        </w:rPr>
        <w:t>annually. </w:t>
      </w:r>
      <w:r>
        <w:rPr>
          <w:rFonts w:ascii="Book Antiqua"/>
          <w:color w:val="231F20"/>
          <w:spacing w:val="3"/>
          <w:sz w:val="17"/>
        </w:rPr>
        <w:t>In </w:t>
      </w:r>
      <w:r>
        <w:rPr>
          <w:rFonts w:ascii="Book Antiqua"/>
          <w:color w:val="231F20"/>
          <w:spacing w:val="6"/>
          <w:sz w:val="17"/>
        </w:rPr>
        <w:t>February </w:t>
      </w:r>
      <w:r>
        <w:rPr>
          <w:rFonts w:ascii="Book Antiqua"/>
          <w:color w:val="231F20"/>
          <w:spacing w:val="5"/>
          <w:sz w:val="17"/>
        </w:rPr>
        <w:t>2004, </w:t>
      </w:r>
      <w:r>
        <w:rPr>
          <w:rFonts w:ascii="Book Antiqua"/>
          <w:color w:val="231F20"/>
          <w:sz w:val="17"/>
        </w:rPr>
        <w:t>we </w:t>
      </w:r>
      <w:r>
        <w:rPr>
          <w:rFonts w:ascii="Book Antiqua"/>
          <w:color w:val="231F20"/>
          <w:spacing w:val="7"/>
          <w:sz w:val="17"/>
        </w:rPr>
        <w:t>will consolidate </w:t>
      </w:r>
      <w:r>
        <w:rPr>
          <w:rFonts w:ascii="Book Antiqua"/>
          <w:color w:val="231F20"/>
          <w:spacing w:val="5"/>
          <w:sz w:val="17"/>
        </w:rPr>
        <w:t>our </w:t>
      </w:r>
      <w:r>
        <w:rPr>
          <w:rFonts w:ascii="Book Antiqua"/>
          <w:color w:val="231F20"/>
          <w:spacing w:val="7"/>
          <w:sz w:val="17"/>
        </w:rPr>
        <w:t>reservations operations </w:t>
      </w:r>
      <w:r>
        <w:rPr>
          <w:rFonts w:ascii="Book Antiqua"/>
          <w:color w:val="231F20"/>
          <w:spacing w:val="6"/>
          <w:sz w:val="17"/>
        </w:rPr>
        <w:t>from nine into </w:t>
      </w:r>
      <w:r>
        <w:rPr>
          <w:rFonts w:ascii="Book Antiqua"/>
          <w:color w:val="231F20"/>
          <w:spacing w:val="8"/>
          <w:sz w:val="17"/>
        </w:rPr>
        <w:t>six </w:t>
      </w:r>
      <w:r>
        <w:rPr>
          <w:rFonts w:ascii="Book Antiqua"/>
          <w:color w:val="231F20"/>
          <w:spacing w:val="6"/>
          <w:sz w:val="17"/>
        </w:rPr>
        <w:t>Reservations</w:t>
      </w:r>
      <w:r>
        <w:rPr>
          <w:rFonts w:ascii="Book Antiqua"/>
          <w:color w:val="231F20"/>
          <w:spacing w:val="-1"/>
          <w:sz w:val="17"/>
        </w:rPr>
        <w:t> </w:t>
      </w:r>
      <w:r>
        <w:rPr>
          <w:rFonts w:ascii="Book Antiqua"/>
          <w:color w:val="231F20"/>
          <w:spacing w:val="6"/>
          <w:sz w:val="17"/>
        </w:rPr>
        <w:t>Centers.</w:t>
      </w:r>
      <w:r>
        <w:rPr>
          <w:rFonts w:ascii="Book Antiqua"/>
          <w:color w:val="231F20"/>
          <w:spacing w:val="-8"/>
          <w:sz w:val="17"/>
        </w:rPr>
        <w:t> </w:t>
      </w:r>
      <w:r>
        <w:rPr>
          <w:rFonts w:ascii="Book Antiqua"/>
          <w:color w:val="231F20"/>
          <w:spacing w:val="-4"/>
          <w:sz w:val="17"/>
        </w:rPr>
        <w:t>We </w:t>
      </w:r>
      <w:r>
        <w:rPr>
          <w:rFonts w:ascii="Book Antiqua"/>
          <w:color w:val="231F20"/>
          <w:spacing w:val="5"/>
          <w:sz w:val="17"/>
        </w:rPr>
        <w:t>will</w:t>
      </w:r>
      <w:r>
        <w:rPr>
          <w:rFonts w:ascii="Book Antiqua"/>
          <w:color w:val="231F20"/>
          <w:spacing w:val="-1"/>
          <w:sz w:val="17"/>
        </w:rPr>
        <w:t> </w:t>
      </w:r>
      <w:r>
        <w:rPr>
          <w:rFonts w:ascii="Book Antiqua"/>
          <w:color w:val="231F20"/>
          <w:spacing w:val="5"/>
          <w:sz w:val="17"/>
        </w:rPr>
        <w:t>incur</w:t>
      </w:r>
      <w:r>
        <w:rPr>
          <w:rFonts w:ascii="Book Antiqua"/>
          <w:color w:val="231F20"/>
          <w:spacing w:val="-7"/>
          <w:sz w:val="17"/>
        </w:rPr>
        <w:t> </w:t>
      </w:r>
      <w:r>
        <w:rPr>
          <w:rFonts w:ascii="Book Antiqua"/>
          <w:color w:val="231F20"/>
          <w:spacing w:val="6"/>
          <w:sz w:val="17"/>
        </w:rPr>
        <w:t>restructuring</w:t>
      </w:r>
      <w:r>
        <w:rPr>
          <w:rFonts w:ascii="Book Antiqua"/>
          <w:color w:val="231F20"/>
          <w:spacing w:val="-1"/>
          <w:sz w:val="17"/>
        </w:rPr>
        <w:t> </w:t>
      </w:r>
      <w:r>
        <w:rPr>
          <w:rFonts w:ascii="Book Antiqua"/>
          <w:color w:val="231F20"/>
          <w:spacing w:val="6"/>
          <w:sz w:val="17"/>
        </w:rPr>
        <w:t>charges</w:t>
      </w:r>
      <w:r>
        <w:rPr>
          <w:rFonts w:ascii="Book Antiqua"/>
          <w:color w:val="231F20"/>
          <w:spacing w:val="-1"/>
          <w:sz w:val="17"/>
        </w:rPr>
        <w:t> </w:t>
      </w:r>
      <w:r>
        <w:rPr>
          <w:rFonts w:ascii="Book Antiqua"/>
          <w:color w:val="231F20"/>
          <w:spacing w:val="3"/>
          <w:sz w:val="17"/>
        </w:rPr>
        <w:t>of</w:t>
      </w:r>
      <w:r>
        <w:rPr>
          <w:rFonts w:ascii="Book Antiqua"/>
          <w:color w:val="231F20"/>
          <w:spacing w:val="-1"/>
          <w:sz w:val="17"/>
        </w:rPr>
        <w:t> </w:t>
      </w:r>
      <w:r>
        <w:rPr>
          <w:rFonts w:ascii="Book Antiqua"/>
          <w:color w:val="231F20"/>
          <w:spacing w:val="7"/>
          <w:sz w:val="17"/>
        </w:rPr>
        <w:t>an </w:t>
      </w:r>
      <w:r>
        <w:rPr>
          <w:rFonts w:ascii="Book Antiqua"/>
          <w:color w:val="231F20"/>
          <w:spacing w:val="4"/>
          <w:sz w:val="17"/>
        </w:rPr>
        <w:t>estimated</w:t>
      </w:r>
      <w:r>
        <w:rPr>
          <w:rFonts w:ascii="Book Antiqua"/>
          <w:color w:val="231F20"/>
          <w:spacing w:val="-15"/>
          <w:sz w:val="17"/>
        </w:rPr>
        <w:t> </w:t>
      </w:r>
      <w:r>
        <w:rPr>
          <w:rFonts w:ascii="Book Antiqua"/>
          <w:color w:val="231F20"/>
          <w:spacing w:val="3"/>
          <w:sz w:val="17"/>
        </w:rPr>
        <w:t>$20</w:t>
      </w:r>
      <w:r>
        <w:rPr>
          <w:rFonts w:ascii="Book Antiqua"/>
          <w:color w:val="231F20"/>
          <w:spacing w:val="-15"/>
          <w:sz w:val="17"/>
        </w:rPr>
        <w:t> </w:t>
      </w:r>
      <w:r>
        <w:rPr>
          <w:rFonts w:ascii="Book Antiqua"/>
          <w:color w:val="231F20"/>
          <w:spacing w:val="4"/>
          <w:sz w:val="17"/>
        </w:rPr>
        <w:t>million</w:t>
      </w:r>
      <w:r>
        <w:rPr>
          <w:rFonts w:ascii="Book Antiqua"/>
          <w:color w:val="231F20"/>
          <w:spacing w:val="-15"/>
          <w:sz w:val="17"/>
        </w:rPr>
        <w:t> </w:t>
      </w:r>
      <w:r>
        <w:rPr>
          <w:rFonts w:ascii="Book Antiqua"/>
          <w:color w:val="231F20"/>
          <w:spacing w:val="2"/>
          <w:sz w:val="17"/>
        </w:rPr>
        <w:t>in</w:t>
      </w:r>
      <w:r>
        <w:rPr>
          <w:rFonts w:ascii="Book Antiqua"/>
          <w:color w:val="231F20"/>
          <w:spacing w:val="-15"/>
          <w:sz w:val="17"/>
        </w:rPr>
        <w:t> </w:t>
      </w:r>
      <w:r>
        <w:rPr>
          <w:rFonts w:ascii="Book Antiqua"/>
          <w:color w:val="231F20"/>
          <w:sz w:val="17"/>
        </w:rPr>
        <w:t>f</w:t>
      </w:r>
      <w:r>
        <w:rPr>
          <w:rFonts w:ascii="Book Antiqua"/>
          <w:color w:val="231F20"/>
          <w:spacing w:val="-35"/>
          <w:sz w:val="17"/>
        </w:rPr>
        <w:t> </w:t>
      </w:r>
      <w:r>
        <w:rPr>
          <w:rFonts w:ascii="Book Antiqua"/>
          <w:color w:val="231F20"/>
          <w:spacing w:val="3"/>
          <w:sz w:val="17"/>
        </w:rPr>
        <w:t>irst</w:t>
      </w:r>
      <w:r>
        <w:rPr>
          <w:rFonts w:ascii="Book Antiqua"/>
          <w:color w:val="231F20"/>
          <w:spacing w:val="-19"/>
          <w:sz w:val="17"/>
        </w:rPr>
        <w:t> </w:t>
      </w:r>
      <w:r>
        <w:rPr>
          <w:rFonts w:ascii="Book Antiqua"/>
          <w:color w:val="231F20"/>
          <w:spacing w:val="4"/>
          <w:sz w:val="17"/>
        </w:rPr>
        <w:t>quarter</w:t>
      </w:r>
      <w:r>
        <w:rPr>
          <w:rFonts w:ascii="Book Antiqua"/>
          <w:color w:val="231F20"/>
          <w:spacing w:val="-20"/>
          <w:sz w:val="17"/>
        </w:rPr>
        <w:t> </w:t>
      </w:r>
      <w:r>
        <w:rPr>
          <w:rFonts w:ascii="Book Antiqua"/>
          <w:color w:val="231F20"/>
          <w:spacing w:val="3"/>
          <w:sz w:val="17"/>
        </w:rPr>
        <w:t>2004</w:t>
      </w:r>
      <w:r>
        <w:rPr>
          <w:rFonts w:ascii="Book Antiqua"/>
          <w:color w:val="231F20"/>
          <w:spacing w:val="-15"/>
          <w:sz w:val="17"/>
        </w:rPr>
        <w:t> </w:t>
      </w:r>
      <w:r>
        <w:rPr>
          <w:rFonts w:ascii="Book Antiqua"/>
          <w:color w:val="231F20"/>
          <w:spacing w:val="3"/>
          <w:sz w:val="17"/>
        </w:rPr>
        <w:t>and</w:t>
      </w:r>
      <w:r>
        <w:rPr>
          <w:rFonts w:ascii="Book Antiqua"/>
          <w:color w:val="231F20"/>
          <w:spacing w:val="-15"/>
          <w:sz w:val="17"/>
        </w:rPr>
        <w:t> </w:t>
      </w:r>
      <w:r>
        <w:rPr>
          <w:rFonts w:ascii="Book Antiqua"/>
          <w:color w:val="231F20"/>
          <w:spacing w:val="4"/>
          <w:sz w:val="17"/>
        </w:rPr>
        <w:t>expect</w:t>
      </w:r>
      <w:r>
        <w:rPr>
          <w:rFonts w:ascii="Book Antiqua"/>
          <w:color w:val="231F20"/>
          <w:spacing w:val="-19"/>
          <w:sz w:val="17"/>
        </w:rPr>
        <w:t> </w:t>
      </w:r>
      <w:r>
        <w:rPr>
          <w:rFonts w:ascii="Book Antiqua"/>
          <w:color w:val="231F20"/>
          <w:spacing w:val="4"/>
          <w:sz w:val="17"/>
        </w:rPr>
        <w:t>ongoing</w:t>
      </w:r>
      <w:r>
        <w:rPr>
          <w:rFonts w:ascii="Book Antiqua"/>
          <w:color w:val="231F20"/>
          <w:spacing w:val="-15"/>
          <w:sz w:val="17"/>
        </w:rPr>
        <w:t> </w:t>
      </w:r>
      <w:r>
        <w:rPr>
          <w:rFonts w:ascii="Book Antiqua"/>
          <w:color w:val="231F20"/>
          <w:spacing w:val="5"/>
          <w:sz w:val="17"/>
        </w:rPr>
        <w:t>cost </w:t>
      </w:r>
      <w:r>
        <w:rPr>
          <w:rFonts w:ascii="Book Antiqua"/>
          <w:color w:val="231F20"/>
          <w:spacing w:val="4"/>
          <w:sz w:val="17"/>
        </w:rPr>
        <w:t>savings </w:t>
      </w:r>
      <w:r>
        <w:rPr>
          <w:rFonts w:ascii="Book Antiqua"/>
          <w:color w:val="231F20"/>
          <w:spacing w:val="2"/>
          <w:sz w:val="17"/>
        </w:rPr>
        <w:t>to </w:t>
      </w:r>
      <w:r>
        <w:rPr>
          <w:rFonts w:ascii="Book Antiqua"/>
          <w:color w:val="231F20"/>
          <w:spacing w:val="3"/>
          <w:sz w:val="17"/>
        </w:rPr>
        <w:t>exceed that </w:t>
      </w:r>
      <w:r>
        <w:rPr>
          <w:rFonts w:ascii="Book Antiqua"/>
          <w:color w:val="231F20"/>
          <w:spacing w:val="4"/>
          <w:sz w:val="17"/>
        </w:rPr>
        <w:t>amount </w:t>
      </w:r>
      <w:r>
        <w:rPr>
          <w:rFonts w:ascii="Book Antiqua"/>
          <w:color w:val="231F20"/>
          <w:spacing w:val="3"/>
          <w:sz w:val="17"/>
        </w:rPr>
        <w:t>each </w:t>
      </w:r>
      <w:r>
        <w:rPr>
          <w:rFonts w:ascii="Book Antiqua"/>
          <w:color w:val="231F20"/>
          <w:sz w:val="17"/>
        </w:rPr>
        <w:t>year. </w:t>
      </w:r>
      <w:r>
        <w:rPr>
          <w:rFonts w:ascii="Book Antiqua"/>
          <w:color w:val="231F20"/>
          <w:spacing w:val="2"/>
          <w:sz w:val="17"/>
        </w:rPr>
        <w:t>As </w:t>
      </w:r>
      <w:r>
        <w:rPr>
          <w:rFonts w:ascii="Book Antiqua"/>
          <w:color w:val="231F20"/>
          <w:sz w:val="17"/>
        </w:rPr>
        <w:t>a </w:t>
      </w:r>
      <w:r>
        <w:rPr>
          <w:rFonts w:ascii="Book Antiqua"/>
          <w:color w:val="231F20"/>
          <w:spacing w:val="4"/>
          <w:sz w:val="17"/>
        </w:rPr>
        <w:t>result </w:t>
      </w:r>
      <w:r>
        <w:rPr>
          <w:rFonts w:ascii="Book Antiqua"/>
          <w:color w:val="231F20"/>
          <w:spacing w:val="2"/>
          <w:sz w:val="17"/>
        </w:rPr>
        <w:t>of </w:t>
      </w:r>
      <w:r>
        <w:rPr>
          <w:rFonts w:ascii="Book Antiqua"/>
          <w:color w:val="231F20"/>
          <w:spacing w:val="4"/>
          <w:sz w:val="17"/>
        </w:rPr>
        <w:t>these</w:t>
      </w:r>
      <w:r>
        <w:rPr>
          <w:rFonts w:ascii="Book Antiqua"/>
          <w:color w:val="231F20"/>
          <w:spacing w:val="-24"/>
          <w:sz w:val="17"/>
        </w:rPr>
        <w:t> </w:t>
      </w:r>
      <w:r>
        <w:rPr>
          <w:rFonts w:ascii="Book Antiqua"/>
          <w:color w:val="231F20"/>
          <w:spacing w:val="5"/>
          <w:sz w:val="17"/>
        </w:rPr>
        <w:t>and </w:t>
      </w:r>
      <w:r>
        <w:rPr>
          <w:rFonts w:ascii="Book Antiqua"/>
          <w:color w:val="231F20"/>
          <w:spacing w:val="2"/>
          <w:sz w:val="17"/>
        </w:rPr>
        <w:t>many </w:t>
      </w:r>
      <w:r>
        <w:rPr>
          <w:rFonts w:ascii="Book Antiqua"/>
          <w:color w:val="231F20"/>
          <w:spacing w:val="4"/>
          <w:sz w:val="17"/>
        </w:rPr>
        <w:t>other measures, </w:t>
      </w:r>
      <w:r>
        <w:rPr>
          <w:rFonts w:ascii="Book Antiqua"/>
          <w:color w:val="231F20"/>
          <w:spacing w:val="3"/>
          <w:sz w:val="17"/>
        </w:rPr>
        <w:t>cost </w:t>
      </w:r>
      <w:r>
        <w:rPr>
          <w:rFonts w:ascii="Book Antiqua"/>
          <w:color w:val="231F20"/>
          <w:spacing w:val="4"/>
          <w:sz w:val="17"/>
        </w:rPr>
        <w:t>pressures should </w:t>
      </w:r>
      <w:r>
        <w:rPr>
          <w:rFonts w:ascii="Book Antiqua"/>
          <w:color w:val="231F20"/>
          <w:spacing w:val="3"/>
          <w:sz w:val="17"/>
        </w:rPr>
        <w:t>ease </w:t>
      </w:r>
      <w:r>
        <w:rPr>
          <w:rFonts w:ascii="Book Antiqua"/>
          <w:color w:val="231F20"/>
          <w:spacing w:val="2"/>
          <w:sz w:val="17"/>
        </w:rPr>
        <w:t>in </w:t>
      </w:r>
      <w:r>
        <w:rPr>
          <w:rFonts w:ascii="Book Antiqua"/>
          <w:color w:val="231F20"/>
          <w:spacing w:val="4"/>
          <w:sz w:val="17"/>
        </w:rPr>
        <w:t>second </w:t>
      </w:r>
      <w:r>
        <w:rPr>
          <w:rFonts w:ascii="Book Antiqua"/>
          <w:color w:val="231F20"/>
          <w:spacing w:val="5"/>
          <w:sz w:val="17"/>
        </w:rPr>
        <w:t>half </w:t>
      </w:r>
      <w:r>
        <w:rPr>
          <w:rFonts w:ascii="Book Antiqua"/>
          <w:color w:val="231F20"/>
          <w:spacing w:val="4"/>
          <w:sz w:val="17"/>
        </w:rPr>
        <w:t>2004. </w:t>
      </w:r>
      <w:r>
        <w:rPr>
          <w:rFonts w:ascii="Book Antiqua"/>
          <w:color w:val="231F20"/>
          <w:spacing w:val="3"/>
          <w:sz w:val="17"/>
        </w:rPr>
        <w:t>Our Employees are </w:t>
      </w:r>
      <w:r>
        <w:rPr>
          <w:rFonts w:ascii="Book Antiqua"/>
          <w:color w:val="231F20"/>
          <w:spacing w:val="4"/>
          <w:sz w:val="17"/>
        </w:rPr>
        <w:t>motivated </w:t>
      </w:r>
      <w:r>
        <w:rPr>
          <w:rFonts w:ascii="Book Antiqua"/>
          <w:color w:val="231F20"/>
          <w:spacing w:val="3"/>
          <w:sz w:val="17"/>
        </w:rPr>
        <w:t>and innovative, and </w:t>
      </w:r>
      <w:r>
        <w:rPr>
          <w:rFonts w:ascii="Book Antiqua"/>
          <w:color w:val="231F20"/>
          <w:sz w:val="17"/>
        </w:rPr>
        <w:t>we </w:t>
      </w:r>
      <w:r>
        <w:rPr>
          <w:rFonts w:ascii="Book Antiqua"/>
          <w:color w:val="231F20"/>
          <w:spacing w:val="5"/>
          <w:sz w:val="17"/>
        </w:rPr>
        <w:t>are confident</w:t>
      </w:r>
      <w:r>
        <w:rPr>
          <w:rFonts w:ascii="Book Antiqua"/>
          <w:color w:val="231F20"/>
          <w:spacing w:val="-15"/>
          <w:sz w:val="17"/>
        </w:rPr>
        <w:t> </w:t>
      </w:r>
      <w:r>
        <w:rPr>
          <w:rFonts w:ascii="Book Antiqua"/>
          <w:color w:val="231F20"/>
          <w:spacing w:val="3"/>
          <w:sz w:val="17"/>
        </w:rPr>
        <w:t>that</w:t>
      </w:r>
      <w:r>
        <w:rPr>
          <w:rFonts w:ascii="Book Antiqua"/>
          <w:color w:val="231F20"/>
          <w:spacing w:val="-15"/>
          <w:sz w:val="17"/>
        </w:rPr>
        <w:t> </w:t>
      </w:r>
      <w:r>
        <w:rPr>
          <w:rFonts w:ascii="Book Antiqua"/>
          <w:color w:val="231F20"/>
          <w:spacing w:val="3"/>
          <w:sz w:val="17"/>
        </w:rPr>
        <w:t>our</w:t>
      </w:r>
      <w:r>
        <w:rPr>
          <w:rFonts w:ascii="Book Antiqua"/>
          <w:color w:val="231F20"/>
          <w:spacing w:val="-17"/>
          <w:sz w:val="17"/>
        </w:rPr>
        <w:t> </w:t>
      </w:r>
      <w:r>
        <w:rPr>
          <w:rFonts w:ascii="Book Antiqua"/>
          <w:color w:val="231F20"/>
          <w:spacing w:val="3"/>
          <w:sz w:val="17"/>
        </w:rPr>
        <w:t>People</w:t>
      </w:r>
      <w:r>
        <w:rPr>
          <w:rFonts w:ascii="Book Antiqua"/>
          <w:color w:val="231F20"/>
          <w:spacing w:val="-14"/>
          <w:sz w:val="17"/>
        </w:rPr>
        <w:t> </w:t>
      </w:r>
      <w:r>
        <w:rPr>
          <w:rFonts w:ascii="Book Antiqua"/>
          <w:color w:val="231F20"/>
          <w:spacing w:val="3"/>
          <w:sz w:val="17"/>
        </w:rPr>
        <w:t>will</w:t>
      </w:r>
      <w:r>
        <w:rPr>
          <w:rFonts w:ascii="Book Antiqua"/>
          <w:color w:val="231F20"/>
          <w:spacing w:val="-12"/>
          <w:sz w:val="17"/>
        </w:rPr>
        <w:t> </w:t>
      </w:r>
      <w:r>
        <w:rPr>
          <w:rFonts w:ascii="Book Antiqua"/>
          <w:color w:val="231F20"/>
          <w:spacing w:val="4"/>
          <w:sz w:val="17"/>
        </w:rPr>
        <w:t>continue</w:t>
      </w:r>
      <w:r>
        <w:rPr>
          <w:rFonts w:ascii="Book Antiqua"/>
          <w:color w:val="231F20"/>
          <w:spacing w:val="-12"/>
          <w:sz w:val="17"/>
        </w:rPr>
        <w:t> </w:t>
      </w:r>
      <w:r>
        <w:rPr>
          <w:rFonts w:ascii="Book Antiqua"/>
          <w:color w:val="231F20"/>
          <w:spacing w:val="2"/>
          <w:sz w:val="17"/>
        </w:rPr>
        <w:t>to</w:t>
      </w:r>
      <w:r>
        <w:rPr>
          <w:rFonts w:ascii="Book Antiqua"/>
          <w:color w:val="231F20"/>
          <w:spacing w:val="-12"/>
          <w:sz w:val="17"/>
        </w:rPr>
        <w:t> </w:t>
      </w:r>
      <w:r>
        <w:rPr>
          <w:rFonts w:ascii="Book Antiqua"/>
          <w:color w:val="231F20"/>
          <w:spacing w:val="6"/>
          <w:sz w:val="17"/>
        </w:rPr>
        <w:t>find</w:t>
      </w:r>
      <w:r>
        <w:rPr>
          <w:rFonts w:ascii="Book Antiqua"/>
          <w:color w:val="231F20"/>
          <w:spacing w:val="-12"/>
          <w:sz w:val="17"/>
        </w:rPr>
        <w:t> </w:t>
      </w:r>
      <w:r>
        <w:rPr>
          <w:rFonts w:ascii="Book Antiqua"/>
          <w:color w:val="231F20"/>
          <w:spacing w:val="3"/>
          <w:sz w:val="17"/>
        </w:rPr>
        <w:t>and</w:t>
      </w:r>
      <w:r>
        <w:rPr>
          <w:rFonts w:ascii="Book Antiqua"/>
          <w:color w:val="231F20"/>
          <w:spacing w:val="-12"/>
          <w:sz w:val="17"/>
        </w:rPr>
        <w:t> </w:t>
      </w:r>
      <w:r>
        <w:rPr>
          <w:rFonts w:ascii="Book Antiqua"/>
          <w:color w:val="231F20"/>
          <w:spacing w:val="4"/>
          <w:sz w:val="17"/>
        </w:rPr>
        <w:t>embrace</w:t>
      </w:r>
      <w:r>
        <w:rPr>
          <w:rFonts w:ascii="Book Antiqua"/>
          <w:color w:val="231F20"/>
          <w:spacing w:val="-12"/>
          <w:sz w:val="17"/>
        </w:rPr>
        <w:t> </w:t>
      </w:r>
      <w:r>
        <w:rPr>
          <w:rFonts w:ascii="Book Antiqua"/>
          <w:color w:val="231F20"/>
          <w:spacing w:val="5"/>
          <w:sz w:val="17"/>
        </w:rPr>
        <w:t>faster </w:t>
      </w:r>
      <w:r>
        <w:rPr>
          <w:rFonts w:ascii="Book Antiqua"/>
          <w:color w:val="231F20"/>
          <w:spacing w:val="3"/>
          <w:w w:val="95"/>
          <w:sz w:val="17"/>
        </w:rPr>
        <w:t>and </w:t>
      </w:r>
      <w:r>
        <w:rPr>
          <w:rFonts w:ascii="Book Antiqua"/>
          <w:color w:val="231F20"/>
          <w:spacing w:val="4"/>
          <w:w w:val="95"/>
          <w:sz w:val="17"/>
        </w:rPr>
        <w:t>better </w:t>
      </w:r>
      <w:r>
        <w:rPr>
          <w:rFonts w:ascii="Book Antiqua"/>
          <w:color w:val="231F20"/>
          <w:spacing w:val="3"/>
          <w:w w:val="95"/>
          <w:sz w:val="17"/>
        </w:rPr>
        <w:t>ways </w:t>
      </w:r>
      <w:r>
        <w:rPr>
          <w:rFonts w:ascii="Book Antiqua"/>
          <w:color w:val="231F20"/>
          <w:spacing w:val="2"/>
          <w:w w:val="95"/>
          <w:sz w:val="17"/>
        </w:rPr>
        <w:t>of </w:t>
      </w:r>
      <w:r>
        <w:rPr>
          <w:rFonts w:ascii="Book Antiqua"/>
          <w:color w:val="231F20"/>
          <w:spacing w:val="4"/>
          <w:w w:val="95"/>
          <w:sz w:val="17"/>
        </w:rPr>
        <w:t>running </w:t>
      </w:r>
      <w:r>
        <w:rPr>
          <w:rFonts w:ascii="Book Antiqua"/>
          <w:color w:val="231F20"/>
          <w:spacing w:val="3"/>
          <w:w w:val="95"/>
          <w:sz w:val="17"/>
        </w:rPr>
        <w:t>our</w:t>
      </w:r>
      <w:r>
        <w:rPr>
          <w:rFonts w:ascii="Book Antiqua"/>
          <w:color w:val="231F20"/>
          <w:spacing w:val="-15"/>
          <w:w w:val="95"/>
          <w:sz w:val="17"/>
        </w:rPr>
        <w:t> </w:t>
      </w:r>
      <w:r>
        <w:rPr>
          <w:rFonts w:ascii="Book Antiqua"/>
          <w:color w:val="231F20"/>
          <w:spacing w:val="5"/>
          <w:w w:val="95"/>
          <w:sz w:val="17"/>
        </w:rPr>
        <w:t>business.</w:t>
      </w:r>
    </w:p>
    <w:p>
      <w:pPr>
        <w:spacing w:line="321" w:lineRule="auto" w:before="0"/>
        <w:ind w:left="120" w:right="490" w:firstLine="360"/>
        <w:jc w:val="right"/>
        <w:rPr>
          <w:rFonts w:ascii="Book Antiqua" w:hAnsi="Book Antiqua"/>
          <w:sz w:val="17"/>
        </w:rPr>
      </w:pPr>
      <w:r>
        <w:rPr>
          <w:rFonts w:ascii="Book Antiqua" w:hAnsi="Book Antiqua"/>
          <w:color w:val="231F20"/>
          <w:spacing w:val="4"/>
          <w:sz w:val="17"/>
        </w:rPr>
        <w:t>While</w:t>
      </w:r>
      <w:r>
        <w:rPr>
          <w:rFonts w:ascii="Book Antiqua" w:hAnsi="Book Antiqua"/>
          <w:color w:val="231F20"/>
          <w:spacing w:val="-2"/>
          <w:sz w:val="17"/>
        </w:rPr>
        <w:t> </w:t>
      </w:r>
      <w:r>
        <w:rPr>
          <w:rFonts w:ascii="Book Antiqua" w:hAnsi="Book Antiqua"/>
          <w:color w:val="231F20"/>
          <w:sz w:val="17"/>
        </w:rPr>
        <w:t>a</w:t>
      </w:r>
      <w:r>
        <w:rPr>
          <w:rFonts w:ascii="Book Antiqua" w:hAnsi="Book Antiqua"/>
          <w:color w:val="231F20"/>
          <w:spacing w:val="-2"/>
          <w:sz w:val="17"/>
        </w:rPr>
        <w:t> </w:t>
      </w:r>
      <w:r>
        <w:rPr>
          <w:rFonts w:ascii="Book Antiqua" w:hAnsi="Book Antiqua"/>
          <w:color w:val="231F20"/>
          <w:spacing w:val="4"/>
          <w:sz w:val="17"/>
        </w:rPr>
        <w:t>lot</w:t>
      </w:r>
      <w:r>
        <w:rPr>
          <w:rFonts w:ascii="Book Antiqua" w:hAnsi="Book Antiqua"/>
          <w:color w:val="231F20"/>
          <w:spacing w:val="-6"/>
          <w:sz w:val="17"/>
        </w:rPr>
        <w:t> </w:t>
      </w:r>
      <w:r>
        <w:rPr>
          <w:rFonts w:ascii="Book Antiqua" w:hAnsi="Book Antiqua"/>
          <w:color w:val="231F20"/>
          <w:spacing w:val="3"/>
          <w:sz w:val="17"/>
        </w:rPr>
        <w:t>of</w:t>
      </w:r>
      <w:r>
        <w:rPr>
          <w:rFonts w:ascii="Book Antiqua" w:hAnsi="Book Antiqua"/>
          <w:color w:val="231F20"/>
          <w:spacing w:val="-2"/>
          <w:sz w:val="17"/>
        </w:rPr>
        <w:t> </w:t>
      </w:r>
      <w:r>
        <w:rPr>
          <w:rFonts w:ascii="Book Antiqua" w:hAnsi="Book Antiqua"/>
          <w:color w:val="231F20"/>
          <w:spacing w:val="5"/>
          <w:sz w:val="17"/>
        </w:rPr>
        <w:t>factors</w:t>
      </w:r>
      <w:r>
        <w:rPr>
          <w:rFonts w:ascii="Book Antiqua" w:hAnsi="Book Antiqua"/>
          <w:color w:val="231F20"/>
          <w:spacing w:val="-2"/>
          <w:sz w:val="17"/>
        </w:rPr>
        <w:t> </w:t>
      </w:r>
      <w:r>
        <w:rPr>
          <w:rFonts w:ascii="Book Antiqua" w:hAnsi="Book Antiqua"/>
          <w:color w:val="231F20"/>
          <w:spacing w:val="5"/>
          <w:sz w:val="17"/>
        </w:rPr>
        <w:t>contribute</w:t>
      </w:r>
      <w:r>
        <w:rPr>
          <w:rFonts w:ascii="Book Antiqua" w:hAnsi="Book Antiqua"/>
          <w:color w:val="231F20"/>
          <w:spacing w:val="-2"/>
          <w:sz w:val="17"/>
        </w:rPr>
        <w:t> </w:t>
      </w:r>
      <w:r>
        <w:rPr>
          <w:rFonts w:ascii="Book Antiqua" w:hAnsi="Book Antiqua"/>
          <w:color w:val="231F20"/>
          <w:spacing w:val="3"/>
          <w:sz w:val="17"/>
        </w:rPr>
        <w:t>to</w:t>
      </w:r>
      <w:r>
        <w:rPr>
          <w:rFonts w:ascii="Book Antiqua" w:hAnsi="Book Antiqua"/>
          <w:color w:val="231F20"/>
          <w:spacing w:val="-2"/>
          <w:sz w:val="17"/>
        </w:rPr>
        <w:t> </w:t>
      </w:r>
      <w:r>
        <w:rPr>
          <w:rFonts w:ascii="Book Antiqua" w:hAnsi="Book Antiqua"/>
          <w:color w:val="231F20"/>
          <w:spacing w:val="4"/>
          <w:sz w:val="17"/>
        </w:rPr>
        <w:t>Southwest’s</w:t>
      </w:r>
      <w:r>
        <w:rPr>
          <w:rFonts w:ascii="Book Antiqua" w:hAnsi="Book Antiqua"/>
          <w:color w:val="231F20"/>
          <w:spacing w:val="-2"/>
          <w:sz w:val="17"/>
        </w:rPr>
        <w:t> </w:t>
      </w:r>
      <w:r>
        <w:rPr>
          <w:rFonts w:ascii="Book Antiqua" w:hAnsi="Book Antiqua"/>
          <w:color w:val="231F20"/>
          <w:spacing w:val="5"/>
          <w:sz w:val="17"/>
        </w:rPr>
        <w:t>historic</w:t>
      </w:r>
      <w:r>
        <w:rPr>
          <w:rFonts w:ascii="Book Antiqua" w:hAnsi="Book Antiqua"/>
          <w:color w:val="231F20"/>
          <w:spacing w:val="-2"/>
          <w:sz w:val="17"/>
        </w:rPr>
        <w:t> </w:t>
      </w:r>
      <w:r>
        <w:rPr>
          <w:rFonts w:ascii="Book Antiqua" w:hAnsi="Book Antiqua"/>
          <w:color w:val="231F20"/>
          <w:spacing w:val="2"/>
          <w:sz w:val="17"/>
        </w:rPr>
        <w:t>low</w:t>
      </w:r>
      <w:r>
        <w:rPr>
          <w:rFonts w:ascii="Book Antiqua" w:hAnsi="Book Antiqua"/>
          <w:color w:val="231F20"/>
          <w:w w:val="89"/>
          <w:sz w:val="17"/>
        </w:rPr>
        <w:t> </w:t>
      </w:r>
      <w:r>
        <w:rPr>
          <w:rFonts w:ascii="Book Antiqua" w:hAnsi="Book Antiqua"/>
          <w:color w:val="231F20"/>
          <w:spacing w:val="4"/>
          <w:w w:val="95"/>
          <w:sz w:val="17"/>
        </w:rPr>
        <w:t>cost</w:t>
      </w:r>
      <w:r>
        <w:rPr>
          <w:rFonts w:ascii="Book Antiqua" w:hAnsi="Book Antiqua"/>
          <w:color w:val="231F20"/>
          <w:spacing w:val="-9"/>
          <w:w w:val="95"/>
          <w:sz w:val="17"/>
        </w:rPr>
        <w:t> </w:t>
      </w:r>
      <w:r>
        <w:rPr>
          <w:rFonts w:ascii="Book Antiqua" w:hAnsi="Book Antiqua"/>
          <w:color w:val="231F20"/>
          <w:spacing w:val="3"/>
          <w:w w:val="95"/>
          <w:sz w:val="17"/>
        </w:rPr>
        <w:t>advantage,</w:t>
      </w:r>
      <w:r>
        <w:rPr>
          <w:rFonts w:ascii="Book Antiqua" w:hAnsi="Book Antiqua"/>
          <w:color w:val="231F20"/>
          <w:spacing w:val="-9"/>
          <w:w w:val="95"/>
          <w:sz w:val="17"/>
        </w:rPr>
        <w:t> </w:t>
      </w:r>
      <w:r>
        <w:rPr>
          <w:rFonts w:ascii="Book Antiqua" w:hAnsi="Book Antiqua"/>
          <w:color w:val="231F20"/>
          <w:spacing w:val="2"/>
          <w:w w:val="95"/>
          <w:sz w:val="17"/>
        </w:rPr>
        <w:t>the</w:t>
      </w:r>
      <w:r>
        <w:rPr>
          <w:rFonts w:ascii="Book Antiqua" w:hAnsi="Book Antiqua"/>
          <w:color w:val="231F20"/>
          <w:spacing w:val="-6"/>
          <w:w w:val="95"/>
          <w:sz w:val="17"/>
        </w:rPr>
        <w:t> </w:t>
      </w:r>
      <w:r>
        <w:rPr>
          <w:rFonts w:ascii="Book Antiqua" w:hAnsi="Book Antiqua"/>
          <w:color w:val="231F20"/>
          <w:spacing w:val="4"/>
          <w:w w:val="95"/>
          <w:sz w:val="17"/>
        </w:rPr>
        <w:t>primary</w:t>
      </w:r>
      <w:r>
        <w:rPr>
          <w:rFonts w:ascii="Book Antiqua" w:hAnsi="Book Antiqua"/>
          <w:color w:val="231F20"/>
          <w:spacing w:val="-12"/>
          <w:w w:val="95"/>
          <w:sz w:val="17"/>
        </w:rPr>
        <w:t> </w:t>
      </w:r>
      <w:r>
        <w:rPr>
          <w:rFonts w:ascii="Book Antiqua" w:hAnsi="Book Antiqua"/>
          <w:color w:val="231F20"/>
          <w:spacing w:val="2"/>
          <w:w w:val="95"/>
          <w:sz w:val="17"/>
        </w:rPr>
        <w:t>driver</w:t>
      </w:r>
      <w:r>
        <w:rPr>
          <w:rFonts w:ascii="Book Antiqua" w:hAnsi="Book Antiqua"/>
          <w:color w:val="231F20"/>
          <w:spacing w:val="-13"/>
          <w:w w:val="95"/>
          <w:sz w:val="17"/>
        </w:rPr>
        <w:t> </w:t>
      </w:r>
      <w:r>
        <w:rPr>
          <w:rFonts w:ascii="Book Antiqua" w:hAnsi="Book Antiqua"/>
          <w:color w:val="231F20"/>
          <w:w w:val="95"/>
          <w:sz w:val="17"/>
        </w:rPr>
        <w:t>is</w:t>
      </w:r>
      <w:r>
        <w:rPr>
          <w:rFonts w:ascii="Book Antiqua" w:hAnsi="Book Antiqua"/>
          <w:color w:val="231F20"/>
          <w:spacing w:val="-6"/>
          <w:w w:val="95"/>
          <w:sz w:val="17"/>
        </w:rPr>
        <w:t> </w:t>
      </w:r>
      <w:r>
        <w:rPr>
          <w:rFonts w:ascii="Book Antiqua" w:hAnsi="Book Antiqua"/>
          <w:color w:val="231F20"/>
          <w:spacing w:val="2"/>
          <w:w w:val="95"/>
          <w:sz w:val="17"/>
        </w:rPr>
        <w:t>the</w:t>
      </w:r>
      <w:r>
        <w:rPr>
          <w:rFonts w:ascii="Book Antiqua" w:hAnsi="Book Antiqua"/>
          <w:color w:val="231F20"/>
          <w:spacing w:val="-6"/>
          <w:w w:val="95"/>
          <w:sz w:val="17"/>
        </w:rPr>
        <w:t> </w:t>
      </w:r>
      <w:r>
        <w:rPr>
          <w:rFonts w:ascii="Book Antiqua" w:hAnsi="Book Antiqua"/>
          <w:color w:val="231F20"/>
          <w:spacing w:val="3"/>
          <w:w w:val="95"/>
          <w:sz w:val="17"/>
        </w:rPr>
        <w:t>productivity</w:t>
      </w:r>
      <w:r>
        <w:rPr>
          <w:rFonts w:ascii="Book Antiqua" w:hAnsi="Book Antiqua"/>
          <w:color w:val="231F20"/>
          <w:spacing w:val="-12"/>
          <w:w w:val="95"/>
          <w:sz w:val="17"/>
        </w:rPr>
        <w:t> </w:t>
      </w:r>
      <w:r>
        <w:rPr>
          <w:rFonts w:ascii="Book Antiqua" w:hAnsi="Book Antiqua"/>
          <w:color w:val="231F20"/>
          <w:spacing w:val="2"/>
          <w:w w:val="95"/>
          <w:sz w:val="17"/>
        </w:rPr>
        <w:t>and</w:t>
      </w:r>
      <w:r>
        <w:rPr>
          <w:rFonts w:ascii="Book Antiqua" w:hAnsi="Book Antiqua"/>
          <w:color w:val="231F20"/>
          <w:spacing w:val="-6"/>
          <w:w w:val="95"/>
          <w:sz w:val="17"/>
        </w:rPr>
        <w:t> </w:t>
      </w:r>
      <w:r>
        <w:rPr>
          <w:rFonts w:ascii="Book Antiqua" w:hAnsi="Book Antiqua"/>
          <w:color w:val="231F20"/>
          <w:spacing w:val="2"/>
          <w:w w:val="95"/>
          <w:sz w:val="17"/>
        </w:rPr>
        <w:t>Southwest</w:t>
      </w:r>
      <w:r>
        <w:rPr>
          <w:rFonts w:ascii="Book Antiqua" w:hAnsi="Book Antiqua"/>
          <w:color w:val="231F20"/>
          <w:spacing w:val="4"/>
          <w:w w:val="93"/>
          <w:sz w:val="17"/>
        </w:rPr>
        <w:t> </w:t>
      </w:r>
      <w:r>
        <w:rPr>
          <w:rFonts w:ascii="Book Antiqua" w:hAnsi="Book Antiqua"/>
          <w:color w:val="231F20"/>
          <w:spacing w:val="3"/>
          <w:sz w:val="17"/>
        </w:rPr>
        <w:t>Spirit</w:t>
      </w:r>
      <w:r>
        <w:rPr>
          <w:rFonts w:ascii="Book Antiqua" w:hAnsi="Book Antiqua"/>
          <w:color w:val="231F20"/>
          <w:spacing w:val="-15"/>
          <w:sz w:val="17"/>
        </w:rPr>
        <w:t> </w:t>
      </w:r>
      <w:r>
        <w:rPr>
          <w:rFonts w:ascii="Book Antiqua" w:hAnsi="Book Antiqua"/>
          <w:color w:val="231F20"/>
          <w:sz w:val="17"/>
        </w:rPr>
        <w:t>of</w:t>
      </w:r>
      <w:r>
        <w:rPr>
          <w:rFonts w:ascii="Book Antiqua" w:hAnsi="Book Antiqua"/>
          <w:color w:val="231F20"/>
          <w:spacing w:val="-12"/>
          <w:sz w:val="17"/>
        </w:rPr>
        <w:t> </w:t>
      </w:r>
      <w:r>
        <w:rPr>
          <w:rFonts w:ascii="Book Antiqua" w:hAnsi="Book Antiqua"/>
          <w:color w:val="231F20"/>
          <w:spacing w:val="2"/>
          <w:sz w:val="17"/>
        </w:rPr>
        <w:t>our</w:t>
      </w:r>
      <w:r>
        <w:rPr>
          <w:rFonts w:ascii="Book Antiqua" w:hAnsi="Book Antiqua"/>
          <w:color w:val="231F20"/>
          <w:spacing w:val="-17"/>
          <w:sz w:val="17"/>
        </w:rPr>
        <w:t> </w:t>
      </w:r>
      <w:r>
        <w:rPr>
          <w:rFonts w:ascii="Book Antiqua" w:hAnsi="Book Antiqua"/>
          <w:color w:val="231F20"/>
          <w:spacing w:val="2"/>
          <w:sz w:val="17"/>
        </w:rPr>
        <w:t>People.</w:t>
      </w:r>
      <w:r>
        <w:rPr>
          <w:rFonts w:ascii="Book Antiqua" w:hAnsi="Book Antiqua"/>
          <w:color w:val="231F20"/>
          <w:spacing w:val="-18"/>
          <w:sz w:val="17"/>
        </w:rPr>
        <w:t> </w:t>
      </w:r>
      <w:r>
        <w:rPr>
          <w:rFonts w:ascii="Book Antiqua" w:hAnsi="Book Antiqua"/>
          <w:color w:val="231F20"/>
          <w:spacing w:val="-5"/>
          <w:sz w:val="17"/>
        </w:rPr>
        <w:t>We</w:t>
      </w:r>
      <w:r>
        <w:rPr>
          <w:rFonts w:ascii="Book Antiqua" w:hAnsi="Book Antiqua"/>
          <w:color w:val="231F20"/>
          <w:spacing w:val="-12"/>
          <w:sz w:val="17"/>
        </w:rPr>
        <w:t> </w:t>
      </w:r>
      <w:r>
        <w:rPr>
          <w:rFonts w:ascii="Book Antiqua" w:hAnsi="Book Antiqua"/>
          <w:color w:val="231F20"/>
          <w:spacing w:val="2"/>
          <w:sz w:val="17"/>
        </w:rPr>
        <w:t>are</w:t>
      </w:r>
      <w:r>
        <w:rPr>
          <w:rFonts w:ascii="Book Antiqua" w:hAnsi="Book Antiqua"/>
          <w:color w:val="231F20"/>
          <w:spacing w:val="-12"/>
          <w:sz w:val="17"/>
        </w:rPr>
        <w:t> </w:t>
      </w:r>
      <w:r>
        <w:rPr>
          <w:rFonts w:ascii="Book Antiqua" w:hAnsi="Book Antiqua"/>
          <w:color w:val="231F20"/>
          <w:spacing w:val="2"/>
          <w:sz w:val="17"/>
        </w:rPr>
        <w:t>devoted</w:t>
      </w:r>
      <w:r>
        <w:rPr>
          <w:rFonts w:ascii="Book Antiqua" w:hAnsi="Book Antiqua"/>
          <w:color w:val="231F20"/>
          <w:spacing w:val="-12"/>
          <w:sz w:val="17"/>
        </w:rPr>
        <w:t> </w:t>
      </w:r>
      <w:r>
        <w:rPr>
          <w:rFonts w:ascii="Book Antiqua" w:hAnsi="Book Antiqua"/>
          <w:color w:val="231F20"/>
          <w:sz w:val="17"/>
        </w:rPr>
        <w:t>to</w:t>
      </w:r>
      <w:r>
        <w:rPr>
          <w:rFonts w:ascii="Book Antiqua" w:hAnsi="Book Antiqua"/>
          <w:color w:val="231F20"/>
          <w:spacing w:val="-12"/>
          <w:sz w:val="17"/>
        </w:rPr>
        <w:t> </w:t>
      </w:r>
      <w:r>
        <w:rPr>
          <w:rFonts w:ascii="Book Antiqua" w:hAnsi="Book Antiqua"/>
          <w:color w:val="231F20"/>
          <w:spacing w:val="2"/>
          <w:sz w:val="17"/>
        </w:rPr>
        <w:t>the</w:t>
      </w:r>
      <w:r>
        <w:rPr>
          <w:rFonts w:ascii="Book Antiqua" w:hAnsi="Book Antiqua"/>
          <w:color w:val="231F20"/>
          <w:spacing w:val="-12"/>
          <w:sz w:val="17"/>
        </w:rPr>
        <w:t> </w:t>
      </w:r>
      <w:r>
        <w:rPr>
          <w:rFonts w:ascii="Book Antiqua" w:hAnsi="Book Antiqua"/>
          <w:color w:val="231F20"/>
          <w:spacing w:val="3"/>
          <w:sz w:val="17"/>
        </w:rPr>
        <w:t>low-fare,</w:t>
      </w:r>
      <w:r>
        <w:rPr>
          <w:rFonts w:ascii="Book Antiqua" w:hAnsi="Book Antiqua"/>
          <w:color w:val="231F20"/>
          <w:spacing w:val="-14"/>
          <w:sz w:val="17"/>
        </w:rPr>
        <w:t> </w:t>
      </w:r>
      <w:r>
        <w:rPr>
          <w:rFonts w:ascii="Book Antiqua" w:hAnsi="Book Antiqua"/>
          <w:color w:val="231F20"/>
          <w:spacing w:val="4"/>
          <w:sz w:val="17"/>
        </w:rPr>
        <w:t>point-to-point</w:t>
      </w:r>
      <w:r>
        <w:rPr>
          <w:rFonts w:ascii="Book Antiqua" w:hAnsi="Book Antiqua"/>
          <w:color w:val="231F20"/>
          <w:spacing w:val="4"/>
          <w:w w:val="94"/>
          <w:sz w:val="17"/>
        </w:rPr>
        <w:t> </w:t>
      </w:r>
      <w:r>
        <w:rPr>
          <w:rFonts w:ascii="Book Antiqua" w:hAnsi="Book Antiqua"/>
          <w:color w:val="231F20"/>
          <w:spacing w:val="4"/>
          <w:sz w:val="17"/>
        </w:rPr>
        <w:t>market niche and </w:t>
      </w:r>
      <w:r>
        <w:rPr>
          <w:rFonts w:ascii="Book Antiqua" w:hAnsi="Book Antiqua"/>
          <w:color w:val="231F20"/>
          <w:spacing w:val="3"/>
          <w:sz w:val="17"/>
        </w:rPr>
        <w:t>have </w:t>
      </w:r>
      <w:r>
        <w:rPr>
          <w:rFonts w:ascii="Book Antiqua" w:hAnsi="Book Antiqua"/>
          <w:color w:val="231F20"/>
          <w:sz w:val="17"/>
        </w:rPr>
        <w:t>a </w:t>
      </w:r>
      <w:r>
        <w:rPr>
          <w:rFonts w:ascii="Book Antiqua" w:hAnsi="Book Antiqua"/>
          <w:color w:val="231F20"/>
          <w:spacing w:val="5"/>
          <w:sz w:val="17"/>
        </w:rPr>
        <w:t>highly </w:t>
      </w:r>
      <w:r>
        <w:rPr>
          <w:rFonts w:ascii="Book Antiqua" w:hAnsi="Book Antiqua"/>
          <w:color w:val="231F20"/>
          <w:spacing w:val="6"/>
          <w:sz w:val="17"/>
        </w:rPr>
        <w:t>eff </w:t>
      </w:r>
      <w:r>
        <w:rPr>
          <w:rFonts w:ascii="Book Antiqua" w:hAnsi="Book Antiqua"/>
          <w:color w:val="231F20"/>
          <w:spacing w:val="5"/>
          <w:sz w:val="17"/>
        </w:rPr>
        <w:t>icient </w:t>
      </w:r>
      <w:r>
        <w:rPr>
          <w:rFonts w:ascii="Book Antiqua" w:hAnsi="Book Antiqua"/>
          <w:color w:val="231F20"/>
          <w:spacing w:val="4"/>
          <w:sz w:val="17"/>
        </w:rPr>
        <w:t>route</w:t>
      </w:r>
      <w:r>
        <w:rPr>
          <w:rFonts w:ascii="Book Antiqua" w:hAnsi="Book Antiqua"/>
          <w:color w:val="231F20"/>
          <w:spacing w:val="43"/>
          <w:sz w:val="17"/>
        </w:rPr>
        <w:t> </w:t>
      </w:r>
      <w:r>
        <w:rPr>
          <w:rFonts w:ascii="Book Antiqua" w:hAnsi="Book Antiqua"/>
          <w:color w:val="231F20"/>
          <w:spacing w:val="5"/>
          <w:sz w:val="17"/>
        </w:rPr>
        <w:t>structure.</w:t>
      </w:r>
      <w:r>
        <w:rPr>
          <w:rFonts w:ascii="Book Antiqua" w:hAnsi="Book Antiqua"/>
          <w:color w:val="231F20"/>
          <w:spacing w:val="13"/>
          <w:sz w:val="17"/>
        </w:rPr>
        <w:t> </w:t>
      </w:r>
      <w:r>
        <w:rPr>
          <w:rFonts w:ascii="Book Antiqua" w:hAnsi="Book Antiqua"/>
          <w:color w:val="231F20"/>
          <w:spacing w:val="6"/>
          <w:sz w:val="17"/>
        </w:rPr>
        <w:t>This</w:t>
      </w:r>
      <w:r>
        <w:rPr>
          <w:rFonts w:ascii="Book Antiqua" w:hAnsi="Book Antiqua"/>
          <w:color w:val="231F20"/>
          <w:spacing w:val="6"/>
          <w:w w:val="99"/>
          <w:sz w:val="17"/>
        </w:rPr>
        <w:t> </w:t>
      </w:r>
      <w:r>
        <w:rPr>
          <w:rFonts w:ascii="Book Antiqua" w:hAnsi="Book Antiqua"/>
          <w:color w:val="231F20"/>
          <w:sz w:val="17"/>
        </w:rPr>
        <w:t>market</w:t>
      </w:r>
      <w:r>
        <w:rPr>
          <w:rFonts w:ascii="Book Antiqua" w:hAnsi="Book Antiqua"/>
          <w:color w:val="231F20"/>
          <w:spacing w:val="-28"/>
          <w:sz w:val="17"/>
        </w:rPr>
        <w:t> </w:t>
      </w:r>
      <w:r>
        <w:rPr>
          <w:rFonts w:ascii="Book Antiqua" w:hAnsi="Book Antiqua"/>
          <w:color w:val="231F20"/>
          <w:sz w:val="17"/>
        </w:rPr>
        <w:t>focus</w:t>
      </w:r>
      <w:r>
        <w:rPr>
          <w:rFonts w:ascii="Book Antiqua" w:hAnsi="Book Antiqua"/>
          <w:color w:val="231F20"/>
          <w:spacing w:val="-25"/>
          <w:sz w:val="17"/>
        </w:rPr>
        <w:t> </w:t>
      </w:r>
      <w:r>
        <w:rPr>
          <w:rFonts w:ascii="Book Antiqua" w:hAnsi="Book Antiqua"/>
          <w:color w:val="231F20"/>
          <w:sz w:val="17"/>
        </w:rPr>
        <w:t>allows</w:t>
      </w:r>
      <w:r>
        <w:rPr>
          <w:rFonts w:ascii="Book Antiqua" w:hAnsi="Book Antiqua"/>
          <w:color w:val="231F20"/>
          <w:spacing w:val="-25"/>
          <w:sz w:val="17"/>
        </w:rPr>
        <w:t> </w:t>
      </w:r>
      <w:r>
        <w:rPr>
          <w:rFonts w:ascii="Book Antiqua" w:hAnsi="Book Antiqua"/>
          <w:color w:val="231F20"/>
          <w:sz w:val="17"/>
        </w:rPr>
        <w:t>us</w:t>
      </w:r>
      <w:r>
        <w:rPr>
          <w:rFonts w:ascii="Book Antiqua" w:hAnsi="Book Antiqua"/>
          <w:color w:val="231F20"/>
          <w:spacing w:val="-25"/>
          <w:sz w:val="17"/>
        </w:rPr>
        <w:t> </w:t>
      </w:r>
      <w:r>
        <w:rPr>
          <w:rFonts w:ascii="Book Antiqua" w:hAnsi="Book Antiqua"/>
          <w:color w:val="231F20"/>
          <w:sz w:val="17"/>
        </w:rPr>
        <w:t>to</w:t>
      </w:r>
      <w:r>
        <w:rPr>
          <w:rFonts w:ascii="Book Antiqua" w:hAnsi="Book Antiqua"/>
          <w:color w:val="231F20"/>
          <w:spacing w:val="-25"/>
          <w:sz w:val="17"/>
        </w:rPr>
        <w:t> </w:t>
      </w:r>
      <w:r>
        <w:rPr>
          <w:rFonts w:ascii="Book Antiqua" w:hAnsi="Book Antiqua"/>
          <w:color w:val="231F20"/>
          <w:sz w:val="17"/>
        </w:rPr>
        <w:t>operate</w:t>
      </w:r>
      <w:r>
        <w:rPr>
          <w:rFonts w:ascii="Book Antiqua" w:hAnsi="Book Antiqua"/>
          <w:color w:val="231F20"/>
          <w:spacing w:val="-25"/>
          <w:sz w:val="17"/>
        </w:rPr>
        <w:t> </w:t>
      </w:r>
      <w:r>
        <w:rPr>
          <w:rFonts w:ascii="Book Antiqua" w:hAnsi="Book Antiqua"/>
          <w:color w:val="231F20"/>
          <w:sz w:val="17"/>
        </w:rPr>
        <w:t>a</w:t>
      </w:r>
      <w:r>
        <w:rPr>
          <w:rFonts w:ascii="Book Antiqua" w:hAnsi="Book Antiqua"/>
          <w:color w:val="231F20"/>
          <w:spacing w:val="-25"/>
          <w:sz w:val="17"/>
        </w:rPr>
        <w:t> </w:t>
      </w:r>
      <w:r>
        <w:rPr>
          <w:rFonts w:ascii="Book Antiqua" w:hAnsi="Book Antiqua"/>
          <w:color w:val="231F20"/>
          <w:sz w:val="17"/>
        </w:rPr>
        <w:t>single</w:t>
      </w:r>
      <w:r>
        <w:rPr>
          <w:rFonts w:ascii="Book Antiqua" w:hAnsi="Book Antiqua"/>
          <w:color w:val="231F20"/>
          <w:spacing w:val="-25"/>
          <w:sz w:val="17"/>
        </w:rPr>
        <w:t> </w:t>
      </w:r>
      <w:r>
        <w:rPr>
          <w:rFonts w:ascii="Book Antiqua" w:hAnsi="Book Antiqua"/>
          <w:color w:val="231F20"/>
          <w:sz w:val="17"/>
        </w:rPr>
        <w:t>aircraft</w:t>
      </w:r>
      <w:r>
        <w:rPr>
          <w:rFonts w:ascii="Book Antiqua" w:hAnsi="Book Antiqua"/>
          <w:color w:val="231F20"/>
          <w:spacing w:val="-28"/>
          <w:sz w:val="17"/>
        </w:rPr>
        <w:t> </w:t>
      </w:r>
      <w:r>
        <w:rPr>
          <w:rFonts w:ascii="Book Antiqua" w:hAnsi="Book Antiqua"/>
          <w:color w:val="231F20"/>
          <w:sz w:val="17"/>
        </w:rPr>
        <w:t>type,</w:t>
      </w:r>
      <w:r>
        <w:rPr>
          <w:rFonts w:ascii="Book Antiqua" w:hAnsi="Book Antiqua"/>
          <w:color w:val="231F20"/>
          <w:spacing w:val="-27"/>
          <w:sz w:val="17"/>
        </w:rPr>
        <w:t> </w:t>
      </w:r>
      <w:r>
        <w:rPr>
          <w:rFonts w:ascii="Book Antiqua" w:hAnsi="Book Antiqua"/>
          <w:color w:val="231F20"/>
          <w:sz w:val="17"/>
        </w:rPr>
        <w:t>the</w:t>
      </w:r>
      <w:r>
        <w:rPr>
          <w:rFonts w:ascii="Book Antiqua" w:hAnsi="Book Antiqua"/>
          <w:color w:val="231F20"/>
          <w:spacing w:val="-25"/>
          <w:sz w:val="17"/>
        </w:rPr>
        <w:t> </w:t>
      </w:r>
      <w:r>
        <w:rPr>
          <w:rFonts w:ascii="Book Antiqua" w:hAnsi="Book Antiqua"/>
          <w:color w:val="231F20"/>
          <w:sz w:val="17"/>
        </w:rPr>
        <w:t>Boeing</w:t>
      </w:r>
      <w:r>
        <w:rPr>
          <w:rFonts w:ascii="Book Antiqua" w:hAnsi="Book Antiqua"/>
          <w:color w:val="231F20"/>
          <w:spacing w:val="-25"/>
          <w:sz w:val="17"/>
        </w:rPr>
        <w:t> </w:t>
      </w:r>
      <w:r>
        <w:rPr>
          <w:rFonts w:ascii="Book Antiqua" w:hAnsi="Book Antiqua"/>
          <w:color w:val="231F20"/>
          <w:spacing w:val="-5"/>
          <w:sz w:val="17"/>
        </w:rPr>
        <w:t>737.</w:t>
      </w:r>
      <w:r>
        <w:rPr>
          <w:rFonts w:ascii="Book Antiqua" w:hAnsi="Book Antiqua"/>
          <w:color w:val="231F20"/>
          <w:w w:val="83"/>
          <w:sz w:val="17"/>
        </w:rPr>
        <w:t> </w:t>
      </w:r>
      <w:r>
        <w:rPr>
          <w:rFonts w:ascii="Book Antiqua" w:hAnsi="Book Antiqua"/>
          <w:color w:val="231F20"/>
          <w:spacing w:val="4"/>
          <w:w w:val="95"/>
          <w:sz w:val="17"/>
        </w:rPr>
        <w:t>Commonality </w:t>
      </w:r>
      <w:r>
        <w:rPr>
          <w:rFonts w:ascii="Book Antiqua" w:hAnsi="Book Antiqua"/>
          <w:color w:val="231F20"/>
          <w:spacing w:val="2"/>
          <w:w w:val="95"/>
          <w:sz w:val="17"/>
        </w:rPr>
        <w:t>of </w:t>
      </w:r>
      <w:r>
        <w:rPr>
          <w:rFonts w:ascii="Book Antiqua" w:hAnsi="Book Antiqua"/>
          <w:color w:val="231F20"/>
          <w:w w:val="95"/>
          <w:sz w:val="17"/>
        </w:rPr>
        <w:t>f </w:t>
      </w:r>
      <w:r>
        <w:rPr>
          <w:rFonts w:ascii="Book Antiqua" w:hAnsi="Book Antiqua"/>
          <w:color w:val="231F20"/>
          <w:spacing w:val="3"/>
          <w:w w:val="95"/>
          <w:sz w:val="17"/>
        </w:rPr>
        <w:t>leet </w:t>
      </w:r>
      <w:r>
        <w:rPr>
          <w:rFonts w:ascii="Book Antiqua" w:hAnsi="Book Antiqua"/>
          <w:color w:val="231F20"/>
          <w:spacing w:val="5"/>
          <w:w w:val="95"/>
          <w:sz w:val="17"/>
        </w:rPr>
        <w:t>significantly simplifies </w:t>
      </w:r>
      <w:r>
        <w:rPr>
          <w:rFonts w:ascii="Book Antiqua" w:hAnsi="Book Antiqua"/>
          <w:color w:val="231F20"/>
          <w:spacing w:val="3"/>
          <w:w w:val="95"/>
          <w:sz w:val="17"/>
        </w:rPr>
        <w:t>our</w:t>
      </w:r>
      <w:r>
        <w:rPr>
          <w:rFonts w:ascii="Book Antiqua" w:hAnsi="Book Antiqua"/>
          <w:color w:val="231F20"/>
          <w:spacing w:val="44"/>
          <w:w w:val="95"/>
          <w:sz w:val="17"/>
        </w:rPr>
        <w:t> </w:t>
      </w:r>
      <w:r>
        <w:rPr>
          <w:rFonts w:ascii="Book Antiqua" w:hAnsi="Book Antiqua"/>
          <w:color w:val="231F20"/>
          <w:spacing w:val="5"/>
          <w:w w:val="95"/>
          <w:sz w:val="17"/>
        </w:rPr>
        <w:t>scheduling,</w:t>
      </w:r>
    </w:p>
    <w:p>
      <w:pPr>
        <w:spacing w:line="321" w:lineRule="auto" w:before="0"/>
        <w:ind w:left="120" w:right="492" w:firstLine="0"/>
        <w:jc w:val="both"/>
        <w:rPr>
          <w:rFonts w:ascii="Book Antiqua"/>
          <w:sz w:val="17"/>
        </w:rPr>
      </w:pPr>
      <w:r>
        <w:rPr>
          <w:rFonts w:ascii="Book Antiqua"/>
          <w:color w:val="231F20"/>
          <w:sz w:val="17"/>
        </w:rPr>
        <w:t>operations, and maintenance and, therefore, lowers cost. We consistently run an ontime operation, with few mishandled bags</w:t>
      </w:r>
    </w:p>
    <w:p>
      <w:pPr>
        <w:spacing w:after="0" w:line="321" w:lineRule="auto"/>
        <w:jc w:val="both"/>
        <w:rPr>
          <w:rFonts w:ascii="Book Antiqua"/>
          <w:sz w:val="17"/>
        </w:rPr>
        <w:sectPr>
          <w:type w:val="continuous"/>
          <w:pgSz w:w="12240" w:h="15840"/>
          <w:pgMar w:top="320" w:bottom="280" w:left="780" w:right="400"/>
          <w:cols w:num="2" w:equalWidth="0">
            <w:col w:w="5175" w:space="225"/>
            <w:col w:w="5660"/>
          </w:cols>
        </w:sectPr>
      </w:pPr>
    </w:p>
    <w:p>
      <w:pPr>
        <w:pStyle w:val="BodyText"/>
        <w:rPr>
          <w:rFonts w:ascii="Book Antiqua"/>
          <w:sz w:val="20"/>
        </w:rPr>
      </w:pPr>
    </w:p>
    <w:p>
      <w:pPr>
        <w:pStyle w:val="BodyText"/>
        <w:rPr>
          <w:rFonts w:ascii="Book Antiqua"/>
          <w:sz w:val="27"/>
        </w:rPr>
      </w:pPr>
    </w:p>
    <w:p>
      <w:pPr>
        <w:tabs>
          <w:tab w:pos="4082" w:val="left" w:leader="none"/>
          <w:tab w:pos="8072" w:val="left" w:leader="none"/>
        </w:tabs>
        <w:spacing w:line="240" w:lineRule="auto"/>
        <w:ind w:left="117" w:right="0" w:firstLine="0"/>
        <w:rPr>
          <w:rFonts w:ascii="Book Antiqua"/>
          <w:sz w:val="20"/>
        </w:rPr>
      </w:pPr>
      <w:r>
        <w:rPr>
          <w:rFonts w:ascii="Book Antiqua"/>
          <w:sz w:val="20"/>
        </w:rPr>
        <w:pict>
          <v:shape style="width:130.6pt;height:90.8pt;mso-position-horizontal-relative:char;mso-position-vertical-relative:line" type="#_x0000_t202" filled="false" stroked="false">
            <w10:anchorlock/>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448"/>
                    <w:gridCol w:w="420"/>
                    <w:gridCol w:w="420"/>
                    <w:gridCol w:w="420"/>
                    <w:gridCol w:w="420"/>
                    <w:gridCol w:w="469"/>
                  </w:tblGrid>
                  <w:tr>
                    <w:trPr>
                      <w:trHeight w:val="1579" w:hRule="exact"/>
                    </w:trPr>
                    <w:tc>
                      <w:tcPr>
                        <w:tcW w:w="448" w:type="dxa"/>
                        <w:tcBorders>
                          <w:top w:val="nil"/>
                          <w:right w:val="single" w:sz="4" w:space="0" w:color="BABCBE"/>
                        </w:tcBorders>
                      </w:tcPr>
                      <w:p>
                        <w:pPr>
                          <w:pStyle w:val="TableParagraph"/>
                          <w:rPr>
                            <w:rFonts w:ascii="Book Antiqua"/>
                            <w:sz w:val="14"/>
                          </w:rPr>
                        </w:pPr>
                      </w:p>
                      <w:p>
                        <w:pPr>
                          <w:pStyle w:val="TableParagraph"/>
                          <w:spacing w:before="8"/>
                          <w:rPr>
                            <w:rFonts w:ascii="Book Antiqua"/>
                            <w:sz w:val="12"/>
                          </w:rPr>
                        </w:pPr>
                      </w:p>
                      <w:p>
                        <w:pPr>
                          <w:pStyle w:val="TableParagraph"/>
                          <w:spacing w:before="1"/>
                          <w:ind w:left="29" w:right="29"/>
                          <w:jc w:val="center"/>
                          <w:rPr>
                            <w:sz w:val="12"/>
                          </w:rPr>
                        </w:pPr>
                        <w:r>
                          <w:rPr>
                            <w:color w:val="231F20"/>
                            <w:sz w:val="12"/>
                          </w:rPr>
                          <w:t>8.96¢</w:t>
                        </w:r>
                      </w:p>
                    </w:tc>
                    <w:tc>
                      <w:tcPr>
                        <w:tcW w:w="420" w:type="dxa"/>
                        <w:tcBorders>
                          <w:top w:val="nil"/>
                          <w:left w:val="single" w:sz="4" w:space="0" w:color="BABCBE"/>
                          <w:right w:val="single" w:sz="4" w:space="0" w:color="BABCBE"/>
                        </w:tcBorders>
                      </w:tcPr>
                      <w:p>
                        <w:pPr>
                          <w:pStyle w:val="TableParagraph"/>
                          <w:spacing w:before="5"/>
                          <w:rPr>
                            <w:rFonts w:ascii="Book Antiqua"/>
                            <w:sz w:val="15"/>
                          </w:rPr>
                        </w:pPr>
                      </w:p>
                      <w:p>
                        <w:pPr>
                          <w:pStyle w:val="TableParagraph"/>
                          <w:ind w:left="10" w:right="6"/>
                          <w:jc w:val="center"/>
                          <w:rPr>
                            <w:sz w:val="12"/>
                          </w:rPr>
                        </w:pPr>
                        <w:r>
                          <w:rPr>
                            <w:color w:val="231F20"/>
                            <w:sz w:val="12"/>
                          </w:rPr>
                          <w:t>9.43¢</w:t>
                        </w:r>
                      </w:p>
                    </w:tc>
                    <w:tc>
                      <w:tcPr>
                        <w:tcW w:w="420" w:type="dxa"/>
                        <w:tcBorders>
                          <w:top w:val="nil"/>
                          <w:left w:val="single" w:sz="4" w:space="0" w:color="BABCBE"/>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spacing w:before="10"/>
                          <w:rPr>
                            <w:rFonts w:ascii="Book Antiqua"/>
                            <w:sz w:val="12"/>
                          </w:rPr>
                        </w:pPr>
                      </w:p>
                      <w:p>
                        <w:pPr>
                          <w:pStyle w:val="TableParagraph"/>
                          <w:ind w:left="10" w:right="2"/>
                          <w:jc w:val="center"/>
                          <w:rPr>
                            <w:sz w:val="12"/>
                          </w:rPr>
                        </w:pPr>
                        <w:r>
                          <w:rPr>
                            <w:color w:val="231F20"/>
                            <w:sz w:val="12"/>
                          </w:rPr>
                          <w:t>8.51¢</w:t>
                        </w:r>
                      </w:p>
                    </w:tc>
                    <w:tc>
                      <w:tcPr>
                        <w:tcW w:w="420" w:type="dxa"/>
                        <w:tcBorders>
                          <w:top w:val="nil"/>
                          <w:left w:val="single" w:sz="4" w:space="0" w:color="BABCBE"/>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spacing w:before="7"/>
                          <w:rPr>
                            <w:rFonts w:ascii="Book Antiqua"/>
                            <w:sz w:val="19"/>
                          </w:rPr>
                        </w:pPr>
                      </w:p>
                      <w:p>
                        <w:pPr>
                          <w:pStyle w:val="TableParagraph"/>
                          <w:ind w:left="56"/>
                          <w:rPr>
                            <w:sz w:val="12"/>
                          </w:rPr>
                        </w:pPr>
                        <w:r>
                          <w:rPr>
                            <w:color w:val="231F20"/>
                            <w:sz w:val="12"/>
                          </w:rPr>
                          <w:t>8.02¢</w:t>
                        </w:r>
                      </w:p>
                    </w:tc>
                    <w:tc>
                      <w:tcPr>
                        <w:tcW w:w="420" w:type="dxa"/>
                        <w:tcBorders>
                          <w:top w:val="nil"/>
                          <w:left w:val="single" w:sz="4" w:space="0" w:color="BABCBE"/>
                        </w:tcBorders>
                      </w:tcPr>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spacing w:before="2"/>
                          <w:rPr>
                            <w:rFonts w:ascii="Book Antiqua"/>
                            <w:sz w:val="10"/>
                          </w:rPr>
                        </w:pPr>
                      </w:p>
                      <w:p>
                        <w:pPr>
                          <w:pStyle w:val="TableParagraph"/>
                          <w:ind w:left="32" w:right="15"/>
                          <w:jc w:val="center"/>
                          <w:rPr>
                            <w:sz w:val="12"/>
                          </w:rPr>
                        </w:pPr>
                        <w:r>
                          <w:rPr>
                            <w:color w:val="231F20"/>
                            <w:sz w:val="12"/>
                          </w:rPr>
                          <w:t>8.27¢</w:t>
                        </w:r>
                      </w:p>
                    </w:tc>
                    <w:tc>
                      <w:tcPr>
                        <w:tcW w:w="469" w:type="dxa"/>
                        <w:tcBorders>
                          <w:top w:val="nil"/>
                        </w:tcBorders>
                      </w:tcPr>
                      <w:p>
                        <w:pPr>
                          <w:pStyle w:val="TableParagraph"/>
                          <w:spacing w:before="107"/>
                          <w:ind w:left="110"/>
                          <w:rPr>
                            <w:sz w:val="12"/>
                          </w:rPr>
                        </w:pPr>
                        <w:r>
                          <w:rPr>
                            <w:color w:val="231F20"/>
                            <w:sz w:val="12"/>
                          </w:rPr>
                          <w:t>9.5¢</w:t>
                        </w:r>
                      </w:p>
                      <w:p>
                        <w:pPr>
                          <w:pStyle w:val="TableParagraph"/>
                          <w:spacing w:before="111"/>
                          <w:ind w:left="110"/>
                          <w:rPr>
                            <w:sz w:val="12"/>
                          </w:rPr>
                        </w:pPr>
                        <w:r>
                          <w:rPr>
                            <w:color w:val="231F20"/>
                            <w:sz w:val="12"/>
                          </w:rPr>
                          <w:t>9.0¢</w:t>
                        </w:r>
                      </w:p>
                      <w:p>
                        <w:pPr>
                          <w:pStyle w:val="TableParagraph"/>
                          <w:spacing w:before="111"/>
                          <w:ind w:left="110"/>
                          <w:rPr>
                            <w:sz w:val="12"/>
                          </w:rPr>
                        </w:pPr>
                        <w:r>
                          <w:rPr>
                            <w:color w:val="231F20"/>
                            <w:sz w:val="12"/>
                          </w:rPr>
                          <w:t>8.5¢</w:t>
                        </w:r>
                      </w:p>
                      <w:p>
                        <w:pPr>
                          <w:pStyle w:val="TableParagraph"/>
                          <w:spacing w:before="111"/>
                          <w:ind w:left="110"/>
                          <w:rPr>
                            <w:sz w:val="12"/>
                          </w:rPr>
                        </w:pPr>
                        <w:r>
                          <w:rPr>
                            <w:color w:val="231F20"/>
                            <w:sz w:val="12"/>
                          </w:rPr>
                          <w:t>8.0¢</w:t>
                        </w:r>
                      </w:p>
                      <w:p>
                        <w:pPr>
                          <w:pStyle w:val="TableParagraph"/>
                          <w:spacing w:before="111"/>
                          <w:ind w:left="110"/>
                          <w:rPr>
                            <w:sz w:val="12"/>
                          </w:rPr>
                        </w:pPr>
                        <w:r>
                          <w:rPr>
                            <w:color w:val="231F20"/>
                            <w:sz w:val="12"/>
                          </w:rPr>
                          <w:t>7.5¢</w:t>
                        </w:r>
                      </w:p>
                      <w:p>
                        <w:pPr>
                          <w:pStyle w:val="TableParagraph"/>
                          <w:spacing w:before="111"/>
                          <w:ind w:left="110"/>
                          <w:rPr>
                            <w:sz w:val="12"/>
                          </w:rPr>
                        </w:pPr>
                        <w:r>
                          <w:rPr>
                            <w:color w:val="231F20"/>
                            <w:sz w:val="12"/>
                          </w:rPr>
                          <w:t>7.0¢</w:t>
                        </w:r>
                      </w:p>
                    </w:tc>
                  </w:tr>
                  <w:tr>
                    <w:trPr>
                      <w:trHeight w:val="226" w:hRule="exact"/>
                    </w:trPr>
                    <w:tc>
                      <w:tcPr>
                        <w:tcW w:w="448" w:type="dxa"/>
                        <w:tcBorders>
                          <w:right w:val="single" w:sz="4" w:space="0" w:color="BABCBE"/>
                        </w:tcBorders>
                        <w:shd w:val="clear" w:color="auto" w:fill="DBDCDE"/>
                      </w:tcPr>
                      <w:p>
                        <w:pPr>
                          <w:pStyle w:val="TableParagraph"/>
                          <w:spacing w:before="42"/>
                          <w:ind w:left="30" w:right="29"/>
                          <w:jc w:val="center"/>
                          <w:rPr>
                            <w:sz w:val="12"/>
                          </w:rPr>
                        </w:pPr>
                        <w:r>
                          <w:rPr>
                            <w:color w:val="231F20"/>
                            <w:sz w:val="12"/>
                          </w:rPr>
                          <w:t>1999</w:t>
                        </w:r>
                      </w:p>
                    </w:tc>
                    <w:tc>
                      <w:tcPr>
                        <w:tcW w:w="420" w:type="dxa"/>
                        <w:tcBorders>
                          <w:left w:val="single" w:sz="4" w:space="0" w:color="BABCBE"/>
                          <w:right w:val="single" w:sz="4" w:space="0" w:color="BABCBE"/>
                        </w:tcBorders>
                        <w:shd w:val="clear" w:color="auto" w:fill="DBDCDE"/>
                      </w:tcPr>
                      <w:p>
                        <w:pPr>
                          <w:pStyle w:val="TableParagraph"/>
                          <w:spacing w:before="42"/>
                          <w:ind w:left="10" w:right="7"/>
                          <w:jc w:val="center"/>
                          <w:rPr>
                            <w:sz w:val="12"/>
                          </w:rPr>
                        </w:pPr>
                        <w:r>
                          <w:rPr>
                            <w:color w:val="231F20"/>
                            <w:sz w:val="12"/>
                          </w:rPr>
                          <w:t>2000</w:t>
                        </w:r>
                      </w:p>
                    </w:tc>
                    <w:tc>
                      <w:tcPr>
                        <w:tcW w:w="420" w:type="dxa"/>
                        <w:tcBorders>
                          <w:left w:val="single" w:sz="4" w:space="0" w:color="BABCBE"/>
                          <w:right w:val="single" w:sz="4" w:space="0" w:color="BABCBE"/>
                        </w:tcBorders>
                        <w:shd w:val="clear" w:color="auto" w:fill="DBDCDE"/>
                      </w:tcPr>
                      <w:p>
                        <w:pPr>
                          <w:pStyle w:val="TableParagraph"/>
                          <w:spacing w:before="42"/>
                          <w:ind w:left="10" w:right="10"/>
                          <w:jc w:val="center"/>
                          <w:rPr>
                            <w:sz w:val="12"/>
                          </w:rPr>
                        </w:pPr>
                        <w:r>
                          <w:rPr>
                            <w:color w:val="231F20"/>
                            <w:sz w:val="12"/>
                          </w:rPr>
                          <w:t>2001</w:t>
                        </w:r>
                      </w:p>
                    </w:tc>
                    <w:tc>
                      <w:tcPr>
                        <w:tcW w:w="420" w:type="dxa"/>
                        <w:tcBorders>
                          <w:left w:val="single" w:sz="4" w:space="0" w:color="BABCBE"/>
                          <w:right w:val="single" w:sz="4" w:space="0" w:color="BABCBE"/>
                        </w:tcBorders>
                        <w:shd w:val="clear" w:color="auto" w:fill="DBDCDE"/>
                      </w:tcPr>
                      <w:p>
                        <w:pPr>
                          <w:pStyle w:val="TableParagraph"/>
                          <w:spacing w:before="42"/>
                          <w:ind w:left="74"/>
                          <w:rPr>
                            <w:sz w:val="12"/>
                          </w:rPr>
                        </w:pPr>
                        <w:r>
                          <w:rPr>
                            <w:color w:val="231F20"/>
                            <w:sz w:val="12"/>
                          </w:rPr>
                          <w:t>2002</w:t>
                        </w:r>
                      </w:p>
                    </w:tc>
                    <w:tc>
                      <w:tcPr>
                        <w:tcW w:w="420" w:type="dxa"/>
                        <w:tcBorders>
                          <w:left w:val="single" w:sz="4" w:space="0" w:color="BABCBE"/>
                        </w:tcBorders>
                        <w:shd w:val="clear" w:color="auto" w:fill="DBDCDE"/>
                      </w:tcPr>
                      <w:p>
                        <w:pPr>
                          <w:pStyle w:val="TableParagraph"/>
                          <w:spacing w:before="42"/>
                          <w:ind w:left="10" w:right="12"/>
                          <w:jc w:val="center"/>
                          <w:rPr>
                            <w:sz w:val="12"/>
                          </w:rPr>
                        </w:pPr>
                        <w:r>
                          <w:rPr>
                            <w:color w:val="231F20"/>
                            <w:sz w:val="12"/>
                          </w:rPr>
                          <w:t>2003</w:t>
                        </w:r>
                      </w:p>
                    </w:tc>
                    <w:tc>
                      <w:tcPr>
                        <w:tcW w:w="469" w:type="dxa"/>
                        <w:tcBorders>
                          <w:bottom w:val="nil"/>
                          <w:right w:val="nil"/>
                        </w:tcBorders>
                      </w:tcPr>
                      <w:p>
                        <w:pPr/>
                      </w:p>
                    </w:tc>
                  </w:tr>
                </w:tbl>
                <w:p>
                  <w:pPr>
                    <w:pStyle w:val="BodyText"/>
                  </w:pPr>
                </w:p>
              </w:txbxContent>
            </v:textbox>
          </v:shape>
        </w:pict>
      </w:r>
      <w:r>
        <w:rPr>
          <w:rFonts w:ascii="Book Antiqua"/>
          <w:sz w:val="20"/>
        </w:rPr>
      </w:r>
      <w:r>
        <w:rPr>
          <w:rFonts w:ascii="Book Antiqua"/>
          <w:sz w:val="20"/>
        </w:rPr>
        <w:tab/>
      </w:r>
      <w:r>
        <w:rPr>
          <w:rFonts w:ascii="Book Antiqua"/>
          <w:sz w:val="20"/>
        </w:rPr>
        <w:pict>
          <v:shape style="width:130.6pt;height:90.8pt;mso-position-horizontal-relative:char;mso-position-vertical-relative:line" type="#_x0000_t202" filled="false" stroked="false">
            <w10:anchorlock/>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448"/>
                    <w:gridCol w:w="420"/>
                    <w:gridCol w:w="420"/>
                    <w:gridCol w:w="420"/>
                    <w:gridCol w:w="420"/>
                    <w:gridCol w:w="469"/>
                  </w:tblGrid>
                  <w:tr>
                    <w:trPr>
                      <w:trHeight w:val="1579" w:hRule="exact"/>
                    </w:trPr>
                    <w:tc>
                      <w:tcPr>
                        <w:tcW w:w="448" w:type="dxa"/>
                        <w:tcBorders>
                          <w:top w:val="nil"/>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spacing w:before="11"/>
                          <w:rPr>
                            <w:rFonts w:ascii="Book Antiqua"/>
                            <w:sz w:val="17"/>
                          </w:rPr>
                        </w:pPr>
                      </w:p>
                      <w:p>
                        <w:pPr>
                          <w:pStyle w:val="TableParagraph"/>
                          <w:ind w:left="29" w:right="29"/>
                          <w:jc w:val="center"/>
                          <w:rPr>
                            <w:sz w:val="12"/>
                          </w:rPr>
                        </w:pPr>
                        <w:r>
                          <w:rPr>
                            <w:color w:val="231F20"/>
                            <w:sz w:val="12"/>
                          </w:rPr>
                          <w:t>7.48¢</w:t>
                        </w:r>
                      </w:p>
                    </w:tc>
                    <w:tc>
                      <w:tcPr>
                        <w:tcW w:w="420" w:type="dxa"/>
                        <w:tcBorders>
                          <w:top w:val="nil"/>
                          <w:left w:val="single" w:sz="4" w:space="0" w:color="BABCBE"/>
                          <w:right w:val="single" w:sz="4" w:space="0" w:color="BABCBE"/>
                        </w:tcBorders>
                      </w:tcPr>
                      <w:p>
                        <w:pPr>
                          <w:pStyle w:val="TableParagraph"/>
                          <w:spacing w:before="10"/>
                          <w:rPr>
                            <w:rFonts w:ascii="Book Antiqua"/>
                            <w:sz w:val="10"/>
                          </w:rPr>
                        </w:pPr>
                      </w:p>
                      <w:p>
                        <w:pPr>
                          <w:pStyle w:val="TableParagraph"/>
                          <w:ind w:left="67"/>
                          <w:rPr>
                            <w:sz w:val="12"/>
                          </w:rPr>
                        </w:pPr>
                        <w:r>
                          <w:rPr>
                            <w:color w:val="231F20"/>
                            <w:sz w:val="12"/>
                          </w:rPr>
                          <w:t>7.73¢</w:t>
                        </w:r>
                      </w:p>
                    </w:tc>
                    <w:tc>
                      <w:tcPr>
                        <w:tcW w:w="420" w:type="dxa"/>
                        <w:tcBorders>
                          <w:top w:val="nil"/>
                          <w:left w:val="single" w:sz="4" w:space="0" w:color="BABCBE"/>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spacing w:before="93"/>
                          <w:ind w:left="48" w:right="20"/>
                          <w:jc w:val="center"/>
                          <w:rPr>
                            <w:sz w:val="12"/>
                          </w:rPr>
                        </w:pPr>
                        <w:r>
                          <w:rPr>
                            <w:color w:val="231F20"/>
                            <w:sz w:val="12"/>
                          </w:rPr>
                          <w:t>7.54¢</w:t>
                        </w:r>
                      </w:p>
                    </w:tc>
                    <w:tc>
                      <w:tcPr>
                        <w:tcW w:w="420" w:type="dxa"/>
                        <w:tcBorders>
                          <w:top w:val="nil"/>
                          <w:left w:val="single" w:sz="4" w:space="0" w:color="BABCBE"/>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spacing w:before="8"/>
                          <w:rPr>
                            <w:rFonts w:ascii="Book Antiqua"/>
                            <w:sz w:val="20"/>
                          </w:rPr>
                        </w:pPr>
                      </w:p>
                      <w:p>
                        <w:pPr>
                          <w:pStyle w:val="TableParagraph"/>
                          <w:spacing w:before="1"/>
                          <w:ind w:left="31" w:right="38"/>
                          <w:jc w:val="center"/>
                          <w:rPr>
                            <w:sz w:val="12"/>
                          </w:rPr>
                        </w:pPr>
                        <w:r>
                          <w:rPr>
                            <w:color w:val="231F20"/>
                            <w:sz w:val="12"/>
                          </w:rPr>
                          <w:t>7.41¢</w:t>
                        </w:r>
                      </w:p>
                    </w:tc>
                    <w:tc>
                      <w:tcPr>
                        <w:tcW w:w="420" w:type="dxa"/>
                        <w:tcBorders>
                          <w:top w:val="nil"/>
                          <w:left w:val="single" w:sz="4" w:space="0" w:color="BABCBE"/>
                        </w:tcBorders>
                      </w:tcPr>
                      <w:p>
                        <w:pPr>
                          <w:pStyle w:val="TableParagraph"/>
                          <w:rPr>
                            <w:rFonts w:ascii="Book Antiqua"/>
                            <w:sz w:val="14"/>
                          </w:rPr>
                        </w:pPr>
                      </w:p>
                      <w:p>
                        <w:pPr>
                          <w:pStyle w:val="TableParagraph"/>
                          <w:rPr>
                            <w:rFonts w:ascii="Book Antiqua"/>
                            <w:sz w:val="14"/>
                          </w:rPr>
                        </w:pPr>
                      </w:p>
                      <w:p>
                        <w:pPr>
                          <w:pStyle w:val="TableParagraph"/>
                          <w:ind w:left="10" w:right="14"/>
                          <w:jc w:val="center"/>
                          <w:rPr>
                            <w:sz w:val="12"/>
                          </w:rPr>
                        </w:pPr>
                        <w:r>
                          <w:rPr>
                            <w:color w:val="231F20"/>
                            <w:sz w:val="12"/>
                          </w:rPr>
                          <w:t>7.60¢</w:t>
                        </w:r>
                      </w:p>
                    </w:tc>
                    <w:tc>
                      <w:tcPr>
                        <w:tcW w:w="469" w:type="dxa"/>
                        <w:tcBorders>
                          <w:top w:val="nil"/>
                        </w:tcBorders>
                      </w:tcPr>
                      <w:p>
                        <w:pPr>
                          <w:pStyle w:val="TableParagraph"/>
                          <w:spacing w:before="2"/>
                          <w:rPr>
                            <w:rFonts w:ascii="Book Antiqua"/>
                            <w:sz w:val="10"/>
                          </w:rPr>
                        </w:pPr>
                      </w:p>
                      <w:p>
                        <w:pPr>
                          <w:pStyle w:val="TableParagraph"/>
                          <w:ind w:left="116"/>
                          <w:rPr>
                            <w:sz w:val="12"/>
                          </w:rPr>
                        </w:pPr>
                        <w:r>
                          <w:rPr>
                            <w:color w:val="231F20"/>
                            <w:sz w:val="12"/>
                          </w:rPr>
                          <w:t>7.8¢</w:t>
                        </w:r>
                      </w:p>
                      <w:p>
                        <w:pPr>
                          <w:pStyle w:val="TableParagraph"/>
                          <w:spacing w:before="2"/>
                          <w:rPr>
                            <w:rFonts w:ascii="Book Antiqua"/>
                            <w:sz w:val="12"/>
                          </w:rPr>
                        </w:pPr>
                      </w:p>
                      <w:p>
                        <w:pPr>
                          <w:pStyle w:val="TableParagraph"/>
                          <w:spacing w:before="1"/>
                          <w:ind w:left="116"/>
                          <w:rPr>
                            <w:sz w:val="12"/>
                          </w:rPr>
                        </w:pPr>
                        <w:r>
                          <w:rPr>
                            <w:color w:val="231F20"/>
                            <w:sz w:val="12"/>
                          </w:rPr>
                          <w:t>7.6¢</w:t>
                        </w:r>
                      </w:p>
                      <w:p>
                        <w:pPr>
                          <w:pStyle w:val="TableParagraph"/>
                          <w:spacing w:before="3"/>
                          <w:rPr>
                            <w:rFonts w:ascii="Book Antiqua"/>
                            <w:sz w:val="12"/>
                          </w:rPr>
                        </w:pPr>
                      </w:p>
                      <w:p>
                        <w:pPr>
                          <w:pStyle w:val="TableParagraph"/>
                          <w:ind w:left="116"/>
                          <w:rPr>
                            <w:sz w:val="12"/>
                          </w:rPr>
                        </w:pPr>
                        <w:r>
                          <w:rPr>
                            <w:color w:val="231F20"/>
                            <w:sz w:val="12"/>
                          </w:rPr>
                          <w:t>7.4¢</w:t>
                        </w:r>
                      </w:p>
                      <w:p>
                        <w:pPr>
                          <w:pStyle w:val="TableParagraph"/>
                          <w:spacing w:before="2"/>
                          <w:rPr>
                            <w:rFonts w:ascii="Book Antiqua"/>
                            <w:sz w:val="12"/>
                          </w:rPr>
                        </w:pPr>
                      </w:p>
                      <w:p>
                        <w:pPr>
                          <w:pStyle w:val="TableParagraph"/>
                          <w:spacing w:before="1"/>
                          <w:ind w:left="116"/>
                          <w:rPr>
                            <w:sz w:val="12"/>
                          </w:rPr>
                        </w:pPr>
                        <w:r>
                          <w:rPr>
                            <w:color w:val="231F20"/>
                            <w:sz w:val="12"/>
                          </w:rPr>
                          <w:t>7.2¢</w:t>
                        </w:r>
                      </w:p>
                      <w:p>
                        <w:pPr>
                          <w:pStyle w:val="TableParagraph"/>
                          <w:spacing w:before="3"/>
                          <w:rPr>
                            <w:rFonts w:ascii="Book Antiqua"/>
                            <w:sz w:val="12"/>
                          </w:rPr>
                        </w:pPr>
                      </w:p>
                      <w:p>
                        <w:pPr>
                          <w:pStyle w:val="TableParagraph"/>
                          <w:ind w:left="116"/>
                          <w:rPr>
                            <w:sz w:val="12"/>
                          </w:rPr>
                        </w:pPr>
                        <w:r>
                          <w:rPr>
                            <w:color w:val="231F20"/>
                            <w:sz w:val="12"/>
                          </w:rPr>
                          <w:t>7.0¢</w:t>
                        </w:r>
                      </w:p>
                    </w:tc>
                  </w:tr>
                  <w:tr>
                    <w:trPr>
                      <w:trHeight w:val="226" w:hRule="exact"/>
                    </w:trPr>
                    <w:tc>
                      <w:tcPr>
                        <w:tcW w:w="448" w:type="dxa"/>
                        <w:tcBorders>
                          <w:right w:val="single" w:sz="4" w:space="0" w:color="BABCBE"/>
                        </w:tcBorders>
                        <w:shd w:val="clear" w:color="auto" w:fill="DBDCDE"/>
                      </w:tcPr>
                      <w:p>
                        <w:pPr>
                          <w:pStyle w:val="TableParagraph"/>
                          <w:spacing w:before="43"/>
                          <w:ind w:left="34" w:right="29"/>
                          <w:jc w:val="center"/>
                          <w:rPr>
                            <w:sz w:val="12"/>
                          </w:rPr>
                        </w:pPr>
                        <w:r>
                          <w:rPr>
                            <w:color w:val="231F20"/>
                            <w:sz w:val="12"/>
                          </w:rPr>
                          <w:t>1999</w:t>
                        </w:r>
                      </w:p>
                    </w:tc>
                    <w:tc>
                      <w:tcPr>
                        <w:tcW w:w="420" w:type="dxa"/>
                        <w:tcBorders>
                          <w:left w:val="single" w:sz="4" w:space="0" w:color="BABCBE"/>
                          <w:right w:val="single" w:sz="4" w:space="0" w:color="BABCBE"/>
                        </w:tcBorders>
                        <w:shd w:val="clear" w:color="auto" w:fill="DBDCDE"/>
                      </w:tcPr>
                      <w:p>
                        <w:pPr>
                          <w:pStyle w:val="TableParagraph"/>
                          <w:spacing w:before="43"/>
                          <w:ind w:left="67"/>
                          <w:rPr>
                            <w:sz w:val="12"/>
                          </w:rPr>
                        </w:pPr>
                        <w:r>
                          <w:rPr>
                            <w:color w:val="231F20"/>
                            <w:sz w:val="12"/>
                          </w:rPr>
                          <w:t>2000</w:t>
                        </w:r>
                      </w:p>
                    </w:tc>
                    <w:tc>
                      <w:tcPr>
                        <w:tcW w:w="420" w:type="dxa"/>
                        <w:tcBorders>
                          <w:left w:val="single" w:sz="4" w:space="0" w:color="BABCBE"/>
                          <w:right w:val="single" w:sz="4" w:space="0" w:color="BABCBE"/>
                        </w:tcBorders>
                        <w:shd w:val="clear" w:color="auto" w:fill="DBDCDE"/>
                      </w:tcPr>
                      <w:p>
                        <w:pPr>
                          <w:pStyle w:val="TableParagraph"/>
                          <w:spacing w:before="43"/>
                          <w:ind w:left="24" w:right="20"/>
                          <w:jc w:val="center"/>
                          <w:rPr>
                            <w:sz w:val="12"/>
                          </w:rPr>
                        </w:pPr>
                        <w:r>
                          <w:rPr>
                            <w:color w:val="231F20"/>
                            <w:sz w:val="12"/>
                          </w:rPr>
                          <w:t>2001</w:t>
                        </w:r>
                      </w:p>
                    </w:tc>
                    <w:tc>
                      <w:tcPr>
                        <w:tcW w:w="420" w:type="dxa"/>
                        <w:tcBorders>
                          <w:left w:val="single" w:sz="4" w:space="0" w:color="BABCBE"/>
                          <w:right w:val="single" w:sz="4" w:space="0" w:color="BABCBE"/>
                        </w:tcBorders>
                        <w:shd w:val="clear" w:color="auto" w:fill="DBDCDE"/>
                      </w:tcPr>
                      <w:p>
                        <w:pPr>
                          <w:pStyle w:val="TableParagraph"/>
                          <w:spacing w:before="43"/>
                          <w:ind w:left="29" w:right="38"/>
                          <w:jc w:val="center"/>
                          <w:rPr>
                            <w:sz w:val="12"/>
                          </w:rPr>
                        </w:pPr>
                        <w:r>
                          <w:rPr>
                            <w:color w:val="231F20"/>
                            <w:sz w:val="12"/>
                          </w:rPr>
                          <w:t>2002</w:t>
                        </w:r>
                      </w:p>
                    </w:tc>
                    <w:tc>
                      <w:tcPr>
                        <w:tcW w:w="420" w:type="dxa"/>
                        <w:tcBorders>
                          <w:left w:val="single" w:sz="4" w:space="0" w:color="BABCBE"/>
                        </w:tcBorders>
                        <w:shd w:val="clear" w:color="auto" w:fill="DBDCDE"/>
                      </w:tcPr>
                      <w:p>
                        <w:pPr>
                          <w:pStyle w:val="TableParagraph"/>
                          <w:spacing w:before="43"/>
                          <w:ind w:left="10" w:right="15"/>
                          <w:jc w:val="center"/>
                          <w:rPr>
                            <w:sz w:val="12"/>
                          </w:rPr>
                        </w:pPr>
                        <w:r>
                          <w:rPr>
                            <w:color w:val="231F20"/>
                            <w:sz w:val="12"/>
                          </w:rPr>
                          <w:t>2003</w:t>
                        </w:r>
                      </w:p>
                    </w:tc>
                    <w:tc>
                      <w:tcPr>
                        <w:tcW w:w="469" w:type="dxa"/>
                        <w:tcBorders>
                          <w:bottom w:val="nil"/>
                          <w:right w:val="nil"/>
                        </w:tcBorders>
                      </w:tcPr>
                      <w:p>
                        <w:pPr/>
                      </w:p>
                    </w:tc>
                  </w:tr>
                </w:tbl>
                <w:p>
                  <w:pPr>
                    <w:pStyle w:val="BodyText"/>
                  </w:pPr>
                </w:p>
              </w:txbxContent>
            </v:textbox>
          </v:shape>
        </w:pict>
      </w:r>
      <w:r>
        <w:rPr>
          <w:rFonts w:ascii="Book Antiqua"/>
          <w:sz w:val="20"/>
        </w:rPr>
      </w:r>
      <w:r>
        <w:rPr>
          <w:rFonts w:ascii="Book Antiqua"/>
          <w:sz w:val="20"/>
        </w:rPr>
        <w:tab/>
      </w:r>
      <w:r>
        <w:rPr>
          <w:rFonts w:ascii="Book Antiqua"/>
          <w:sz w:val="20"/>
        </w:rPr>
        <w:pict>
          <v:shape style="width:123.35pt;height:90.8pt;mso-position-horizontal-relative:char;mso-position-vertical-relative:line" type="#_x0000_t202" filled="false" stroked="false">
            <w10:anchorlock/>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448"/>
                    <w:gridCol w:w="420"/>
                    <w:gridCol w:w="420"/>
                    <w:gridCol w:w="420"/>
                    <w:gridCol w:w="420"/>
                    <w:gridCol w:w="324"/>
                  </w:tblGrid>
                  <w:tr>
                    <w:trPr>
                      <w:trHeight w:val="1579" w:hRule="exact"/>
                    </w:trPr>
                    <w:tc>
                      <w:tcPr>
                        <w:tcW w:w="448" w:type="dxa"/>
                        <w:tcBorders>
                          <w:top w:val="nil"/>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spacing w:before="4"/>
                          <w:rPr>
                            <w:rFonts w:ascii="Book Antiqua"/>
                            <w:sz w:val="19"/>
                          </w:rPr>
                        </w:pPr>
                      </w:p>
                      <w:p>
                        <w:pPr>
                          <w:pStyle w:val="TableParagraph"/>
                          <w:ind w:left="36" w:right="13"/>
                          <w:jc w:val="center"/>
                          <w:rPr>
                            <w:sz w:val="12"/>
                          </w:rPr>
                        </w:pPr>
                        <w:r>
                          <w:rPr>
                            <w:color w:val="231F20"/>
                            <w:w w:val="95"/>
                            <w:sz w:val="12"/>
                          </w:rPr>
                          <w:t>52,855</w:t>
                        </w:r>
                      </w:p>
                    </w:tc>
                    <w:tc>
                      <w:tcPr>
                        <w:tcW w:w="420" w:type="dxa"/>
                        <w:tcBorders>
                          <w:top w:val="nil"/>
                          <w:left w:val="single" w:sz="4" w:space="0" w:color="BABCBE"/>
                          <w:right w:val="single" w:sz="4" w:space="0" w:color="BABCBE"/>
                        </w:tcBorders>
                      </w:tcPr>
                      <w:p>
                        <w:pPr>
                          <w:pStyle w:val="TableParagraph"/>
                          <w:rPr>
                            <w:rFonts w:ascii="Book Antiqua"/>
                            <w:sz w:val="14"/>
                          </w:rPr>
                        </w:pPr>
                      </w:p>
                      <w:p>
                        <w:pPr>
                          <w:pStyle w:val="TableParagraph"/>
                          <w:spacing w:before="5"/>
                          <w:rPr>
                            <w:rFonts w:ascii="Book Antiqua"/>
                            <w:sz w:val="17"/>
                          </w:rPr>
                        </w:pPr>
                      </w:p>
                      <w:p>
                        <w:pPr>
                          <w:pStyle w:val="TableParagraph"/>
                          <w:ind w:left="32" w:right="7"/>
                          <w:jc w:val="center"/>
                          <w:rPr>
                            <w:sz w:val="12"/>
                          </w:rPr>
                        </w:pPr>
                        <w:r>
                          <w:rPr>
                            <w:color w:val="231F20"/>
                            <w:w w:val="90"/>
                            <w:sz w:val="12"/>
                          </w:rPr>
                          <w:t>59,910</w:t>
                        </w:r>
                      </w:p>
                    </w:tc>
                    <w:tc>
                      <w:tcPr>
                        <w:tcW w:w="420" w:type="dxa"/>
                        <w:tcBorders>
                          <w:top w:val="nil"/>
                          <w:left w:val="single" w:sz="4" w:space="0" w:color="BABCBE"/>
                          <w:right w:val="single" w:sz="4" w:space="0" w:color="BABCBE"/>
                        </w:tcBorders>
                      </w:tcPr>
                      <w:p>
                        <w:pPr>
                          <w:pStyle w:val="TableParagraph"/>
                          <w:spacing w:before="12"/>
                          <w:rPr>
                            <w:rFonts w:ascii="Book Antiqua"/>
                            <w:sz w:val="13"/>
                          </w:rPr>
                        </w:pPr>
                      </w:p>
                      <w:p>
                        <w:pPr>
                          <w:pStyle w:val="TableParagraph"/>
                          <w:ind w:left="43"/>
                          <w:rPr>
                            <w:sz w:val="12"/>
                          </w:rPr>
                        </w:pPr>
                        <w:r>
                          <w:rPr>
                            <w:color w:val="231F20"/>
                            <w:w w:val="95"/>
                            <w:sz w:val="12"/>
                          </w:rPr>
                          <w:t>65,295</w:t>
                        </w:r>
                      </w:p>
                    </w:tc>
                    <w:tc>
                      <w:tcPr>
                        <w:tcW w:w="420" w:type="dxa"/>
                        <w:tcBorders>
                          <w:top w:val="nil"/>
                          <w:left w:val="single" w:sz="4" w:space="0" w:color="BABCBE"/>
                          <w:right w:val="single" w:sz="4" w:space="0" w:color="BABCBE"/>
                        </w:tcBorders>
                      </w:tcPr>
                      <w:p>
                        <w:pPr>
                          <w:pStyle w:val="TableParagraph"/>
                          <w:spacing w:before="105"/>
                          <w:ind w:left="34"/>
                          <w:rPr>
                            <w:sz w:val="12"/>
                          </w:rPr>
                        </w:pPr>
                        <w:r>
                          <w:rPr>
                            <w:color w:val="231F20"/>
                            <w:w w:val="95"/>
                            <w:sz w:val="12"/>
                          </w:rPr>
                          <w:t>68,887</w:t>
                        </w:r>
                      </w:p>
                    </w:tc>
                    <w:tc>
                      <w:tcPr>
                        <w:tcW w:w="420" w:type="dxa"/>
                        <w:tcBorders>
                          <w:top w:val="nil"/>
                          <w:left w:val="single" w:sz="4" w:space="0" w:color="BABCBE"/>
                        </w:tcBorders>
                      </w:tcPr>
                      <w:p>
                        <w:pPr>
                          <w:pStyle w:val="TableParagraph"/>
                          <w:spacing w:before="26"/>
                          <w:ind w:left="16" w:right="5"/>
                          <w:jc w:val="center"/>
                          <w:rPr>
                            <w:sz w:val="12"/>
                          </w:rPr>
                        </w:pPr>
                        <w:r>
                          <w:rPr>
                            <w:color w:val="231F20"/>
                            <w:w w:val="95"/>
                            <w:sz w:val="12"/>
                          </w:rPr>
                          <w:t>71,790</w:t>
                        </w:r>
                      </w:p>
                    </w:tc>
                    <w:tc>
                      <w:tcPr>
                        <w:tcW w:w="324" w:type="dxa"/>
                        <w:tcBorders>
                          <w:top w:val="nil"/>
                        </w:tcBorders>
                      </w:tcPr>
                      <w:p>
                        <w:pPr>
                          <w:pStyle w:val="TableParagraph"/>
                          <w:spacing w:before="10"/>
                          <w:rPr>
                            <w:rFonts w:ascii="Book Antiqua"/>
                            <w:sz w:val="10"/>
                          </w:rPr>
                        </w:pPr>
                      </w:p>
                      <w:p>
                        <w:pPr>
                          <w:pStyle w:val="TableParagraph"/>
                          <w:ind w:left="90"/>
                          <w:rPr>
                            <w:sz w:val="12"/>
                          </w:rPr>
                        </w:pPr>
                        <w:r>
                          <w:rPr>
                            <w:color w:val="231F20"/>
                            <w:sz w:val="12"/>
                          </w:rPr>
                          <w:t>70</w:t>
                        </w:r>
                      </w:p>
                      <w:p>
                        <w:pPr>
                          <w:pStyle w:val="TableParagraph"/>
                          <w:spacing w:before="2"/>
                          <w:rPr>
                            <w:rFonts w:ascii="Book Antiqua"/>
                            <w:sz w:val="12"/>
                          </w:rPr>
                        </w:pPr>
                      </w:p>
                      <w:p>
                        <w:pPr>
                          <w:pStyle w:val="TableParagraph"/>
                          <w:ind w:left="90"/>
                          <w:rPr>
                            <w:sz w:val="12"/>
                          </w:rPr>
                        </w:pPr>
                        <w:r>
                          <w:rPr>
                            <w:color w:val="231F20"/>
                            <w:sz w:val="12"/>
                          </w:rPr>
                          <w:t>60</w:t>
                        </w:r>
                      </w:p>
                      <w:p>
                        <w:pPr>
                          <w:pStyle w:val="TableParagraph"/>
                          <w:spacing w:before="2"/>
                          <w:rPr>
                            <w:rFonts w:ascii="Book Antiqua"/>
                            <w:sz w:val="12"/>
                          </w:rPr>
                        </w:pPr>
                      </w:p>
                      <w:p>
                        <w:pPr>
                          <w:pStyle w:val="TableParagraph"/>
                          <w:ind w:left="90"/>
                          <w:rPr>
                            <w:sz w:val="12"/>
                          </w:rPr>
                        </w:pPr>
                        <w:r>
                          <w:rPr>
                            <w:color w:val="231F20"/>
                            <w:sz w:val="12"/>
                          </w:rPr>
                          <w:t>50</w:t>
                        </w:r>
                      </w:p>
                      <w:p>
                        <w:pPr>
                          <w:pStyle w:val="TableParagraph"/>
                          <w:spacing w:before="2"/>
                          <w:rPr>
                            <w:rFonts w:ascii="Book Antiqua"/>
                            <w:sz w:val="12"/>
                          </w:rPr>
                        </w:pPr>
                      </w:p>
                      <w:p>
                        <w:pPr>
                          <w:pStyle w:val="TableParagraph"/>
                          <w:ind w:left="90"/>
                          <w:rPr>
                            <w:sz w:val="12"/>
                          </w:rPr>
                        </w:pPr>
                        <w:r>
                          <w:rPr>
                            <w:color w:val="231F20"/>
                            <w:sz w:val="12"/>
                          </w:rPr>
                          <w:t>40</w:t>
                        </w:r>
                      </w:p>
                      <w:p>
                        <w:pPr>
                          <w:pStyle w:val="TableParagraph"/>
                          <w:spacing w:before="2"/>
                          <w:rPr>
                            <w:rFonts w:ascii="Book Antiqua"/>
                            <w:sz w:val="12"/>
                          </w:rPr>
                        </w:pPr>
                      </w:p>
                      <w:p>
                        <w:pPr>
                          <w:pStyle w:val="TableParagraph"/>
                          <w:ind w:left="90"/>
                          <w:rPr>
                            <w:sz w:val="12"/>
                          </w:rPr>
                        </w:pPr>
                        <w:r>
                          <w:rPr>
                            <w:color w:val="231F20"/>
                            <w:sz w:val="12"/>
                          </w:rPr>
                          <w:t>30</w:t>
                        </w:r>
                      </w:p>
                    </w:tc>
                  </w:tr>
                  <w:tr>
                    <w:trPr>
                      <w:trHeight w:val="226" w:hRule="exact"/>
                    </w:trPr>
                    <w:tc>
                      <w:tcPr>
                        <w:tcW w:w="448" w:type="dxa"/>
                        <w:tcBorders>
                          <w:right w:val="single" w:sz="4" w:space="0" w:color="BABCBE"/>
                        </w:tcBorders>
                        <w:shd w:val="clear" w:color="auto" w:fill="DBDCDE"/>
                      </w:tcPr>
                      <w:p>
                        <w:pPr>
                          <w:pStyle w:val="TableParagraph"/>
                          <w:spacing w:before="41"/>
                          <w:ind w:left="36" w:right="24"/>
                          <w:jc w:val="center"/>
                          <w:rPr>
                            <w:sz w:val="12"/>
                          </w:rPr>
                        </w:pPr>
                        <w:r>
                          <w:rPr>
                            <w:color w:val="231F20"/>
                            <w:sz w:val="12"/>
                          </w:rPr>
                          <w:t>1999</w:t>
                        </w:r>
                      </w:p>
                    </w:tc>
                    <w:tc>
                      <w:tcPr>
                        <w:tcW w:w="420" w:type="dxa"/>
                        <w:tcBorders>
                          <w:left w:val="single" w:sz="4" w:space="0" w:color="BABCBE"/>
                          <w:right w:val="single" w:sz="4" w:space="0" w:color="BABCBE"/>
                        </w:tcBorders>
                        <w:shd w:val="clear" w:color="auto" w:fill="DBDCDE"/>
                      </w:tcPr>
                      <w:p>
                        <w:pPr>
                          <w:pStyle w:val="TableParagraph"/>
                          <w:spacing w:before="41"/>
                          <w:ind w:left="10" w:right="11"/>
                          <w:jc w:val="center"/>
                          <w:rPr>
                            <w:sz w:val="12"/>
                          </w:rPr>
                        </w:pPr>
                        <w:r>
                          <w:rPr>
                            <w:color w:val="231F20"/>
                            <w:sz w:val="12"/>
                          </w:rPr>
                          <w:t>2000</w:t>
                        </w:r>
                      </w:p>
                    </w:tc>
                    <w:tc>
                      <w:tcPr>
                        <w:tcW w:w="420" w:type="dxa"/>
                        <w:tcBorders>
                          <w:left w:val="single" w:sz="4" w:space="0" w:color="BABCBE"/>
                          <w:right w:val="single" w:sz="4" w:space="0" w:color="BABCBE"/>
                        </w:tcBorders>
                        <w:shd w:val="clear" w:color="auto" w:fill="DBDCDE"/>
                      </w:tcPr>
                      <w:p>
                        <w:pPr>
                          <w:pStyle w:val="TableParagraph"/>
                          <w:spacing w:before="41"/>
                          <w:ind w:left="95"/>
                          <w:rPr>
                            <w:sz w:val="12"/>
                          </w:rPr>
                        </w:pPr>
                        <w:r>
                          <w:rPr>
                            <w:color w:val="231F20"/>
                            <w:sz w:val="12"/>
                          </w:rPr>
                          <w:t>2001</w:t>
                        </w:r>
                      </w:p>
                    </w:tc>
                    <w:tc>
                      <w:tcPr>
                        <w:tcW w:w="420" w:type="dxa"/>
                        <w:tcBorders>
                          <w:left w:val="single" w:sz="4" w:space="0" w:color="BABCBE"/>
                          <w:right w:val="single" w:sz="4" w:space="0" w:color="BABCBE"/>
                        </w:tcBorders>
                        <w:shd w:val="clear" w:color="auto" w:fill="DBDCDE"/>
                      </w:tcPr>
                      <w:p>
                        <w:pPr>
                          <w:pStyle w:val="TableParagraph"/>
                          <w:spacing w:before="41"/>
                          <w:ind w:left="87"/>
                          <w:rPr>
                            <w:sz w:val="12"/>
                          </w:rPr>
                        </w:pPr>
                        <w:r>
                          <w:rPr>
                            <w:color w:val="231F20"/>
                            <w:sz w:val="12"/>
                          </w:rPr>
                          <w:t>2002</w:t>
                        </w:r>
                      </w:p>
                    </w:tc>
                    <w:tc>
                      <w:tcPr>
                        <w:tcW w:w="420" w:type="dxa"/>
                        <w:tcBorders>
                          <w:left w:val="single" w:sz="4" w:space="0" w:color="BABCBE"/>
                        </w:tcBorders>
                        <w:shd w:val="clear" w:color="auto" w:fill="DBDCDE"/>
                      </w:tcPr>
                      <w:p>
                        <w:pPr>
                          <w:pStyle w:val="TableParagraph"/>
                          <w:spacing w:before="41"/>
                          <w:ind w:left="23" w:right="5"/>
                          <w:jc w:val="center"/>
                          <w:rPr>
                            <w:sz w:val="12"/>
                          </w:rPr>
                        </w:pPr>
                        <w:r>
                          <w:rPr>
                            <w:color w:val="231F20"/>
                            <w:sz w:val="12"/>
                          </w:rPr>
                          <w:t>2003</w:t>
                        </w:r>
                      </w:p>
                    </w:tc>
                    <w:tc>
                      <w:tcPr>
                        <w:tcW w:w="324" w:type="dxa"/>
                        <w:tcBorders>
                          <w:bottom w:val="nil"/>
                          <w:right w:val="nil"/>
                        </w:tcBorders>
                      </w:tcPr>
                      <w:p>
                        <w:pPr/>
                      </w:p>
                    </w:tc>
                  </w:tr>
                </w:tbl>
                <w:p>
                  <w:pPr>
                    <w:pStyle w:val="BodyText"/>
                  </w:pPr>
                </w:p>
              </w:txbxContent>
            </v:textbox>
          </v:shape>
        </w:pict>
      </w:r>
      <w:r>
        <w:rPr>
          <w:rFonts w:ascii="Book Antiqua"/>
          <w:sz w:val="20"/>
        </w:rPr>
      </w:r>
    </w:p>
    <w:p>
      <w:pPr>
        <w:pStyle w:val="BodyText"/>
        <w:spacing w:before="7"/>
        <w:rPr>
          <w:rFonts w:ascii="Book Antiqua"/>
          <w:sz w:val="5"/>
        </w:rPr>
      </w:pPr>
    </w:p>
    <w:p>
      <w:pPr>
        <w:spacing w:after="0"/>
        <w:rPr>
          <w:rFonts w:ascii="Book Antiqua"/>
          <w:sz w:val="5"/>
        </w:rPr>
        <w:sectPr>
          <w:type w:val="continuous"/>
          <w:pgSz w:w="12240" w:h="15840"/>
          <w:pgMar w:top="320" w:bottom="280" w:left="780" w:right="400"/>
        </w:sectPr>
      </w:pPr>
    </w:p>
    <w:p>
      <w:pPr>
        <w:spacing w:before="82"/>
        <w:ind w:left="128" w:right="0" w:firstLine="0"/>
        <w:jc w:val="left"/>
        <w:rPr>
          <w:rFonts w:ascii="Arial"/>
          <w:b/>
          <w:sz w:val="12"/>
        </w:rPr>
      </w:pPr>
      <w:r>
        <w:rPr/>
        <w:pict>
          <v:rect style="position:absolute;margin-left:137.311493pt;margin-top:-52.131168pt;width:7.2793pt;height:36.922400pt;mso-position-horizontal-relative:page;mso-position-vertical-relative:paragraph;z-index:-235720" filled="true" fillcolor="#386ab3" stroked="false">
            <v:fill type="solid"/>
            <w10:wrap type="none"/>
          </v:rect>
        </w:pict>
      </w:r>
      <w:r>
        <w:rPr/>
        <w:pict>
          <v:rect style="position:absolute;margin-left:52.639999pt;margin-top:-68.503166pt;width:7.2794pt;height:53.5815pt;mso-position-horizontal-relative:page;mso-position-vertical-relative:paragraph;z-index:-235696" filled="true" fillcolor="#386ab3" stroked="false">
            <v:fill type="solid"/>
            <w10:wrap type="none"/>
          </v:rect>
        </w:pict>
      </w:r>
      <w:r>
        <w:rPr/>
        <w:pict>
          <v:rect style="position:absolute;margin-left:74.325203pt;margin-top:-75.424072pt;width:7.2773pt;height:60.2876pt;mso-position-horizontal-relative:page;mso-position-vertical-relative:paragraph;z-index:-235672" filled="true" fillcolor="#386ab3" stroked="false">
            <v:fill type="solid"/>
            <w10:wrap type="none"/>
          </v:rect>
        </w:pict>
      </w:r>
      <w:r>
        <w:rPr/>
        <w:pict>
          <v:rect style="position:absolute;margin-left:95.465797pt;margin-top:-59.893867pt;width:7.2793pt;height:44.6851pt;mso-position-horizontal-relative:page;mso-position-vertical-relative:paragraph;z-index:-235648" filled="true" fillcolor="#386ab3" stroked="false">
            <v:fill type="solid"/>
            <w10:wrap type="none"/>
          </v:rect>
        </w:pict>
      </w:r>
      <w:r>
        <w:rPr/>
        <w:pict>
          <v:rect style="position:absolute;margin-left:116.056602pt;margin-top:-46.28157pt;width:7.2793pt;height:31.0728pt;mso-position-horizontal-relative:page;mso-position-vertical-relative:paragraph;z-index:-235624" filled="true" fillcolor="#386ab3" stroked="false">
            <v:fill type="solid"/>
            <w10:wrap type="none"/>
          </v:rect>
        </w:pict>
      </w:r>
      <w:r>
        <w:rPr/>
        <w:pict>
          <v:rect style="position:absolute;margin-left:335.321014pt;margin-top:-67.143166pt;width:7.279pt;height:51.9394pt;mso-position-horizontal-relative:page;mso-position-vertical-relative:paragraph;z-index:-235600" filled="true" fillcolor="#386ab3" stroked="false">
            <v:fill type="solid"/>
            <w10:wrap type="none"/>
          </v:rect>
        </w:pict>
      </w:r>
      <w:r>
        <w:rPr/>
        <w:pict>
          <v:rect style="position:absolute;margin-left:250.570007pt;margin-top:-57.344868pt;width:7.28pt;height:41.928200pt;mso-position-horizontal-relative:page;mso-position-vertical-relative:paragraph;z-index:-235576" filled="true" fillcolor="#386ab3" stroked="false">
            <v:fill type="solid"/>
            <w10:wrap type="none"/>
          </v:rect>
        </w:pict>
      </w:r>
      <w:r>
        <w:rPr/>
        <w:pict>
          <v:rect style="position:absolute;margin-left:272.350006pt;margin-top:-78.970871pt;width:7.278pt;height:63.8394pt;mso-position-horizontal-relative:page;mso-position-vertical-relative:paragraph;z-index:-235552" filled="true" fillcolor="#386ab3" stroked="false">
            <v:fill type="solid"/>
            <w10:wrap type="none"/>
          </v:rect>
        </w:pict>
      </w:r>
      <w:r>
        <w:rPr/>
        <w:pict>
          <v:rect style="position:absolute;margin-left:293.321014pt;margin-top:-63.06847pt;width:7.28pt;height:47.8647pt;mso-position-horizontal-relative:page;mso-position-vertical-relative:paragraph;z-index:-235528" filled="true" fillcolor="#386ab3" stroked="false">
            <v:fill type="solid"/>
            <w10:wrap type="none"/>
          </v:rect>
        </w:pict>
      </w:r>
      <w:r>
        <w:rPr/>
        <w:pict>
          <v:rect style="position:absolute;margin-left:314.415985pt;margin-top:-54.77557pt;width:7.279pt;height:39.571800pt;mso-position-horizontal-relative:page;mso-position-vertical-relative:paragraph;z-index:-235504" filled="true" fillcolor="#386ab3" stroked="false">
            <v:fill type="solid"/>
            <w10:wrap type="none"/>
          </v:rect>
        </w:pict>
      </w:r>
      <w:r>
        <w:rPr/>
        <w:pict>
          <v:rect style="position:absolute;margin-left:535.119995pt;margin-top:-83.55127pt;width:7.28pt;height:68.4678pt;mso-position-horizontal-relative:page;mso-position-vertical-relative:paragraph;z-index:-235480" filled="true" fillcolor="#386ab3" stroked="false">
            <v:fill type="solid"/>
            <w10:wrap type="none"/>
          </v:rect>
        </w:pict>
      </w:r>
      <w:r>
        <w:rPr/>
        <w:pict>
          <v:rect style="position:absolute;margin-left:450.643005pt;margin-top:-56.40427pt;width:7.279pt;height:41.1519pt;mso-position-horizontal-relative:page;mso-position-vertical-relative:paragraph;z-index:-235456" filled="true" fillcolor="#386ab3" stroked="false">
            <v:fill type="solid"/>
            <w10:wrap type="none"/>
          </v:rect>
        </w:pict>
      </w:r>
      <w:r>
        <w:rPr/>
        <w:pict>
          <v:rect style="position:absolute;margin-left:472.213989pt;margin-top:-65.460869pt;width:7.277pt;height:50.2085pt;mso-position-horizontal-relative:page;mso-position-vertical-relative:paragraph;z-index:-235432" filled="true" fillcolor="#386ab3" stroked="false">
            <v:fill type="solid"/>
            <w10:wrap type="none"/>
          </v:rect>
        </w:pict>
      </w:r>
      <w:r>
        <w:rPr/>
        <w:pict>
          <v:rect style="position:absolute;margin-left:493.852997pt;margin-top:-76.735771pt;width:7.279pt;height:61.4834pt;mso-position-horizontal-relative:page;mso-position-vertical-relative:paragraph;z-index:-235408" filled="true" fillcolor="#386ab3" stroked="false">
            <v:fill type="solid"/>
            <w10:wrap type="none"/>
          </v:rect>
        </w:pict>
      </w:r>
      <w:r>
        <w:rPr/>
        <w:pict>
          <v:rect style="position:absolute;margin-left:513.945007pt;margin-top:-79.592766pt;width:7.28pt;height:64.3404pt;mso-position-horizontal-relative:page;mso-position-vertical-relative:paragraph;z-index:-235384" filled="true" fillcolor="#386ab3" stroked="false">
            <v:fill type="solid"/>
            <w10:wrap type="none"/>
          </v:rect>
        </w:pict>
      </w:r>
      <w:r>
        <w:rPr>
          <w:rFonts w:ascii="Arial"/>
          <w:b/>
          <w:color w:val="231F20"/>
          <w:w w:val="85"/>
          <w:sz w:val="12"/>
        </w:rPr>
        <w:t>Operating Revenues Per Available Seat Mile</w:t>
      </w:r>
    </w:p>
    <w:p>
      <w:pPr>
        <w:spacing w:before="81"/>
        <w:ind w:left="128" w:right="0" w:firstLine="0"/>
        <w:jc w:val="left"/>
        <w:rPr>
          <w:rFonts w:ascii="Arial"/>
          <w:b/>
          <w:sz w:val="12"/>
        </w:rPr>
      </w:pPr>
      <w:r>
        <w:rPr/>
        <w:br w:type="column"/>
      </w:r>
      <w:r>
        <w:rPr>
          <w:rFonts w:ascii="Arial"/>
          <w:b/>
          <w:color w:val="231F20"/>
          <w:w w:val="85"/>
          <w:sz w:val="12"/>
        </w:rPr>
        <w:t>Operating Expenses Per Available Seat Mile</w:t>
      </w:r>
    </w:p>
    <w:p>
      <w:pPr>
        <w:spacing w:before="75"/>
        <w:ind w:left="128" w:right="0" w:firstLine="0"/>
        <w:jc w:val="left"/>
        <w:rPr>
          <w:rFonts w:ascii="Arial"/>
          <w:sz w:val="11"/>
        </w:rPr>
      </w:pPr>
      <w:r>
        <w:rPr/>
        <w:br w:type="column"/>
      </w:r>
      <w:r>
        <w:rPr>
          <w:rFonts w:ascii="Arial"/>
          <w:b/>
          <w:color w:val="231F20"/>
          <w:w w:val="90"/>
          <w:sz w:val="12"/>
        </w:rPr>
        <w:t>Available Seat Miles </w:t>
      </w:r>
      <w:r>
        <w:rPr>
          <w:rFonts w:ascii="Arial"/>
          <w:color w:val="231F20"/>
          <w:w w:val="90"/>
          <w:sz w:val="11"/>
        </w:rPr>
        <w:t>( in millions)</w:t>
      </w:r>
    </w:p>
    <w:p>
      <w:pPr>
        <w:spacing w:after="0"/>
        <w:jc w:val="left"/>
        <w:rPr>
          <w:rFonts w:ascii="Arial"/>
          <w:sz w:val="11"/>
        </w:rPr>
        <w:sectPr>
          <w:type w:val="continuous"/>
          <w:pgSz w:w="12240" w:h="15840"/>
          <w:pgMar w:top="320" w:bottom="280" w:left="780" w:right="400"/>
          <w:cols w:num="3" w:equalWidth="0">
            <w:col w:w="2508" w:space="1433"/>
            <w:col w:w="2498" w:space="1499"/>
            <w:col w:w="3122"/>
          </w:cols>
        </w:sectPr>
      </w:pPr>
    </w:p>
    <w:p>
      <w:pPr>
        <w:tabs>
          <w:tab w:pos="532" w:val="left" w:leader="none"/>
        </w:tabs>
        <w:spacing w:before="77"/>
        <w:ind w:left="112" w:right="0" w:firstLine="0"/>
        <w:jc w:val="left"/>
        <w:rPr>
          <w:rFonts w:ascii="Arial"/>
          <w:sz w:val="12"/>
        </w:rPr>
      </w:pPr>
      <w:r>
        <w:rPr/>
        <w:pict>
          <v:line style="position:absolute;mso-position-horizontal-relative:page;mso-position-vertical-relative:paragraph;z-index:-235240" from="36.605202pt,1.004097pt" to="36.605202pt,19.004097pt" stroked="true" strokeweight=".5pt" strokecolor="#231f20">
            <v:stroke dashstyle="solid"/>
            <w10:wrap type="none"/>
          </v:line>
        </w:pict>
      </w:r>
      <w:r>
        <w:rPr/>
        <w:drawing>
          <wp:anchor distT="0" distB="0" distL="0" distR="0" allowOverlap="1" layoutInCell="1" locked="0" behindDoc="0" simplePos="0" relativeHeight="3184">
            <wp:simplePos x="0" y="0"/>
            <wp:positionH relativeFrom="page">
              <wp:posOffset>2161648</wp:posOffset>
            </wp:positionH>
            <wp:positionV relativeFrom="paragraph">
              <wp:posOffset>28620</wp:posOffset>
            </wp:positionV>
            <wp:extent cx="370521" cy="153417"/>
            <wp:effectExtent l="0" t="0" r="0" b="0"/>
            <wp:wrapNone/>
            <wp:docPr id="25" name="image1.png" descr=""/>
            <wp:cNvGraphicFramePr>
              <a:graphicFrameLocks noChangeAspect="1"/>
            </wp:cNvGraphicFramePr>
            <a:graphic>
              <a:graphicData uri="http://schemas.openxmlformats.org/drawingml/2006/picture">
                <pic:pic>
                  <pic:nvPicPr>
                    <pic:cNvPr id="26" name="image1.png"/>
                    <pic:cNvPicPr/>
                  </pic:nvPicPr>
                  <pic:blipFill>
                    <a:blip r:embed="rId5" cstate="print"/>
                    <a:stretch>
                      <a:fillRect/>
                    </a:stretch>
                  </pic:blipFill>
                  <pic:spPr>
                    <a:xfrm>
                      <a:off x="0" y="0"/>
                      <a:ext cx="370521" cy="153417"/>
                    </a:xfrm>
                    <a:prstGeom prst="rect">
                      <a:avLst/>
                    </a:prstGeom>
                  </pic:spPr>
                </pic:pic>
              </a:graphicData>
            </a:graphic>
          </wp:anchor>
        </w:drawing>
      </w:r>
      <w:r>
        <w:rPr/>
        <w:drawing>
          <wp:anchor distT="0" distB="0" distL="0" distR="0" allowOverlap="1" layoutInCell="1" locked="0" behindDoc="0" simplePos="0" relativeHeight="3280">
            <wp:simplePos x="0" y="0"/>
            <wp:positionH relativeFrom="page">
              <wp:posOffset>5097779</wp:posOffset>
            </wp:positionH>
            <wp:positionV relativeFrom="page">
              <wp:posOffset>5394959</wp:posOffset>
            </wp:positionV>
            <wp:extent cx="2104980" cy="970121"/>
            <wp:effectExtent l="0" t="0" r="0" b="0"/>
            <wp:wrapNone/>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18" cstate="print"/>
                    <a:stretch>
                      <a:fillRect/>
                    </a:stretch>
                  </pic:blipFill>
                  <pic:spPr>
                    <a:xfrm>
                      <a:off x="0" y="0"/>
                      <a:ext cx="2104980" cy="970121"/>
                    </a:xfrm>
                    <a:prstGeom prst="rect">
                      <a:avLst/>
                    </a:prstGeom>
                  </pic:spPr>
                </pic:pic>
              </a:graphicData>
            </a:graphic>
          </wp:anchor>
        </w:drawing>
      </w:r>
      <w:r>
        <w:rPr>
          <w:rFonts w:ascii="Arial"/>
          <w:color w:val="231F20"/>
          <w:w w:val="95"/>
          <w:sz w:val="14"/>
        </w:rPr>
        <w:t>6</w:t>
        <w:tab/>
      </w:r>
      <w:r>
        <w:rPr>
          <w:rFonts w:ascii="Arial"/>
          <w:color w:val="231F20"/>
          <w:spacing w:val="9"/>
          <w:w w:val="90"/>
          <w:position w:val="1"/>
          <w:sz w:val="12"/>
        </w:rPr>
        <w:t>Southwest</w:t>
      </w:r>
      <w:r>
        <w:rPr>
          <w:rFonts w:ascii="Arial"/>
          <w:color w:val="231F20"/>
          <w:spacing w:val="-9"/>
          <w:w w:val="90"/>
          <w:position w:val="1"/>
          <w:sz w:val="12"/>
        </w:rPr>
        <w:t> </w:t>
      </w:r>
      <w:r>
        <w:rPr>
          <w:rFonts w:ascii="Arial"/>
          <w:color w:val="231F20"/>
          <w:spacing w:val="9"/>
          <w:w w:val="90"/>
          <w:position w:val="1"/>
          <w:sz w:val="12"/>
        </w:rPr>
        <w:t>Airlines</w:t>
      </w:r>
      <w:r>
        <w:rPr>
          <w:rFonts w:ascii="Arial"/>
          <w:color w:val="231F20"/>
          <w:spacing w:val="-7"/>
          <w:w w:val="90"/>
          <w:position w:val="1"/>
          <w:sz w:val="12"/>
        </w:rPr>
        <w:t> </w:t>
      </w:r>
      <w:r>
        <w:rPr>
          <w:rFonts w:ascii="Arial"/>
          <w:color w:val="231F20"/>
          <w:spacing w:val="7"/>
          <w:w w:val="90"/>
          <w:position w:val="1"/>
          <w:sz w:val="12"/>
        </w:rPr>
        <w:t>Co.</w:t>
      </w:r>
      <w:r>
        <w:rPr>
          <w:rFonts w:ascii="Arial"/>
          <w:color w:val="231F20"/>
          <w:spacing w:val="-9"/>
          <w:w w:val="90"/>
          <w:position w:val="1"/>
          <w:sz w:val="12"/>
        </w:rPr>
        <w:t> </w:t>
      </w:r>
      <w:r>
        <w:rPr>
          <w:rFonts w:ascii="Arial"/>
          <w:color w:val="231F20"/>
          <w:spacing w:val="8"/>
          <w:w w:val="90"/>
          <w:position w:val="1"/>
          <w:sz w:val="12"/>
        </w:rPr>
        <w:t>2003</w:t>
      </w:r>
      <w:r>
        <w:rPr>
          <w:rFonts w:ascii="Arial"/>
          <w:color w:val="231F20"/>
          <w:spacing w:val="-9"/>
          <w:w w:val="90"/>
          <w:position w:val="1"/>
          <w:sz w:val="12"/>
        </w:rPr>
        <w:t> </w:t>
      </w:r>
      <w:r>
        <w:rPr>
          <w:rFonts w:ascii="Arial"/>
          <w:color w:val="231F20"/>
          <w:spacing w:val="9"/>
          <w:w w:val="90"/>
          <w:position w:val="1"/>
          <w:sz w:val="12"/>
        </w:rPr>
        <w:t>Annual</w:t>
      </w:r>
      <w:r>
        <w:rPr>
          <w:rFonts w:ascii="Arial"/>
          <w:color w:val="231F20"/>
          <w:spacing w:val="-7"/>
          <w:w w:val="90"/>
          <w:position w:val="1"/>
          <w:sz w:val="12"/>
        </w:rPr>
        <w:t> </w:t>
      </w:r>
      <w:r>
        <w:rPr>
          <w:rFonts w:ascii="Arial"/>
          <w:color w:val="231F20"/>
          <w:spacing w:val="9"/>
          <w:w w:val="90"/>
          <w:position w:val="1"/>
          <w:sz w:val="12"/>
        </w:rPr>
        <w:t>Report</w:t>
      </w:r>
      <w:r>
        <w:rPr>
          <w:rFonts w:ascii="Arial"/>
          <w:color w:val="231F20"/>
          <w:spacing w:val="-22"/>
          <w:position w:val="1"/>
          <w:sz w:val="12"/>
        </w:rPr>
        <w:t> </w:t>
      </w:r>
    </w:p>
    <w:p>
      <w:pPr>
        <w:pStyle w:val="BodyText"/>
        <w:rPr>
          <w:rFonts w:ascii="Arial"/>
          <w:sz w:val="20"/>
        </w:rPr>
      </w:pPr>
    </w:p>
    <w:p>
      <w:pPr>
        <w:pStyle w:val="BodyText"/>
        <w:rPr>
          <w:rFonts w:ascii="Arial"/>
          <w:sz w:val="20"/>
        </w:rPr>
      </w:pPr>
    </w:p>
    <w:p>
      <w:pPr>
        <w:pStyle w:val="BodyText"/>
        <w:spacing w:before="6"/>
        <w:rPr>
          <w:rFonts w:ascii="Arial"/>
          <w:sz w:val="29"/>
        </w:rPr>
      </w:pPr>
      <w:r>
        <w:rPr/>
        <w:pict>
          <v:shape style="position:absolute;margin-left:45pt;margin-top:18.93523pt;width:165.6pt;height:165.6pt;mso-position-horizontal-relative:page;mso-position-vertical-relative:paragraph;z-index:3040;mso-wrap-distance-left:0;mso-wrap-distance-right:0" type="#_x0000_t202" filled="true" fillcolor="#386ab3" stroked="false">
            <v:textbox inset="0,0,0,0">
              <w:txbxContent>
                <w:p>
                  <w:pPr>
                    <w:pStyle w:val="BodyText"/>
                    <w:rPr>
                      <w:rFonts w:ascii="Arial"/>
                      <w:sz w:val="32"/>
                    </w:rPr>
                  </w:pPr>
                </w:p>
                <w:p>
                  <w:pPr>
                    <w:pStyle w:val="BodyText"/>
                    <w:rPr>
                      <w:rFonts w:ascii="Arial"/>
                      <w:sz w:val="32"/>
                    </w:rPr>
                  </w:pPr>
                </w:p>
                <w:p>
                  <w:pPr>
                    <w:pStyle w:val="BodyText"/>
                    <w:rPr>
                      <w:rFonts w:ascii="Arial"/>
                      <w:sz w:val="32"/>
                    </w:rPr>
                  </w:pPr>
                </w:p>
                <w:p>
                  <w:pPr>
                    <w:spacing w:line="312" w:lineRule="exact" w:before="230"/>
                    <w:ind w:left="909" w:right="631" w:hanging="114"/>
                    <w:jc w:val="left"/>
                    <w:rPr>
                      <w:rFonts w:ascii="Book Antiqua"/>
                      <w:sz w:val="26"/>
                    </w:rPr>
                  </w:pPr>
                  <w:r>
                    <w:rPr>
                      <w:rFonts w:ascii="Book Antiqua"/>
                      <w:color w:val="FFFFFF"/>
                      <w:sz w:val="26"/>
                    </w:rPr>
                    <w:t>C H I C A G O M I D W A Y</w:t>
                  </w:r>
                </w:p>
              </w:txbxContent>
            </v:textbox>
            <v:fill type="solid"/>
            <w10:wrap type="topAndBottom"/>
          </v:shape>
        </w:pict>
      </w:r>
      <w:r>
        <w:rPr/>
        <w:drawing>
          <wp:anchor distT="0" distB="0" distL="0" distR="0" allowOverlap="1" layoutInCell="1" locked="0" behindDoc="0" simplePos="0" relativeHeight="3064">
            <wp:simplePos x="0" y="0"/>
            <wp:positionH relativeFrom="page">
              <wp:posOffset>2834639</wp:posOffset>
            </wp:positionH>
            <wp:positionV relativeFrom="paragraph">
              <wp:posOffset>240477</wp:posOffset>
            </wp:positionV>
            <wp:extent cx="4359932" cy="2100072"/>
            <wp:effectExtent l="0" t="0" r="0" b="0"/>
            <wp:wrapTopAndBottom/>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19" cstate="print"/>
                    <a:stretch>
                      <a:fillRect/>
                    </a:stretch>
                  </pic:blipFill>
                  <pic:spPr>
                    <a:xfrm>
                      <a:off x="0" y="0"/>
                      <a:ext cx="4359932" cy="2100072"/>
                    </a:xfrm>
                    <a:prstGeom prst="rect">
                      <a:avLst/>
                    </a:prstGeom>
                  </pic:spPr>
                </pic:pic>
              </a:graphicData>
            </a:graphic>
          </wp:anchor>
        </w:drawing>
      </w:r>
      <w:r>
        <w:rPr/>
        <w:drawing>
          <wp:anchor distT="0" distB="0" distL="0" distR="0" allowOverlap="1" layoutInCell="1" locked="0" behindDoc="0" simplePos="0" relativeHeight="3088">
            <wp:simplePos x="0" y="0"/>
            <wp:positionH relativeFrom="page">
              <wp:posOffset>571500</wp:posOffset>
            </wp:positionH>
            <wp:positionV relativeFrom="paragraph">
              <wp:posOffset>2503622</wp:posOffset>
            </wp:positionV>
            <wp:extent cx="2109697" cy="2109692"/>
            <wp:effectExtent l="0" t="0" r="0" b="0"/>
            <wp:wrapTopAndBottom/>
            <wp:docPr id="31" name="image16.png" descr=""/>
            <wp:cNvGraphicFramePr>
              <a:graphicFrameLocks noChangeAspect="1"/>
            </wp:cNvGraphicFramePr>
            <a:graphic>
              <a:graphicData uri="http://schemas.openxmlformats.org/drawingml/2006/picture">
                <pic:pic>
                  <pic:nvPicPr>
                    <pic:cNvPr id="32" name="image16.png"/>
                    <pic:cNvPicPr/>
                  </pic:nvPicPr>
                  <pic:blipFill>
                    <a:blip r:embed="rId20" cstate="print"/>
                    <a:stretch>
                      <a:fillRect/>
                    </a:stretch>
                  </pic:blipFill>
                  <pic:spPr>
                    <a:xfrm>
                      <a:off x="0" y="0"/>
                      <a:ext cx="2109697" cy="2109692"/>
                    </a:xfrm>
                    <a:prstGeom prst="rect">
                      <a:avLst/>
                    </a:prstGeom>
                  </pic:spPr>
                </pic:pic>
              </a:graphicData>
            </a:graphic>
          </wp:anchor>
        </w:drawing>
      </w:r>
      <w:r>
        <w:rPr/>
        <w:drawing>
          <wp:anchor distT="0" distB="0" distL="0" distR="0" allowOverlap="1" layoutInCell="1" locked="0" behindDoc="0" simplePos="0" relativeHeight="3112">
            <wp:simplePos x="0" y="0"/>
            <wp:positionH relativeFrom="page">
              <wp:posOffset>2834639</wp:posOffset>
            </wp:positionH>
            <wp:positionV relativeFrom="paragraph">
              <wp:posOffset>2503617</wp:posOffset>
            </wp:positionV>
            <wp:extent cx="2105024" cy="2105025"/>
            <wp:effectExtent l="0" t="0" r="0" b="0"/>
            <wp:wrapTopAndBottom/>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21" cstate="print"/>
                    <a:stretch>
                      <a:fillRect/>
                    </a:stretch>
                  </pic:blipFill>
                  <pic:spPr>
                    <a:xfrm>
                      <a:off x="0" y="0"/>
                      <a:ext cx="2105024" cy="2105025"/>
                    </a:xfrm>
                    <a:prstGeom prst="rect">
                      <a:avLst/>
                    </a:prstGeom>
                  </pic:spPr>
                </pic:pic>
              </a:graphicData>
            </a:graphic>
          </wp:anchor>
        </w:drawing>
      </w:r>
      <w:r>
        <w:rPr/>
        <w:pict>
          <v:shape style="position:absolute;margin-left:401.399994pt;margin-top:197.135223pt;width:165.6pt;height:165.6pt;mso-position-horizontal-relative:page;mso-position-vertical-relative:paragraph;z-index:3136;mso-wrap-distance-left:0;mso-wrap-distance-right:0" type="#_x0000_t202" filled="true" fillcolor="#fcaf17" stroked="false">
            <v:textbox inset="0,0,0,0">
              <w:txbxContent>
                <w:p>
                  <w:pPr>
                    <w:pStyle w:val="BodyText"/>
                    <w:rPr>
                      <w:rFonts w:ascii="Arial"/>
                      <w:sz w:val="32"/>
                    </w:rPr>
                  </w:pPr>
                </w:p>
                <w:p>
                  <w:pPr>
                    <w:pStyle w:val="BodyText"/>
                    <w:rPr>
                      <w:rFonts w:ascii="Arial"/>
                      <w:sz w:val="32"/>
                    </w:rPr>
                  </w:pPr>
                </w:p>
                <w:p>
                  <w:pPr>
                    <w:pStyle w:val="BodyText"/>
                    <w:spacing w:before="6"/>
                    <w:rPr>
                      <w:rFonts w:ascii="Arial"/>
                      <w:sz w:val="39"/>
                    </w:rPr>
                  </w:pPr>
                </w:p>
                <w:p>
                  <w:pPr>
                    <w:spacing w:line="312" w:lineRule="exact" w:before="0"/>
                    <w:ind w:left="478" w:right="427" w:hanging="1"/>
                    <w:jc w:val="center"/>
                    <w:rPr>
                      <w:rFonts w:ascii="Book Antiqua"/>
                      <w:sz w:val="26"/>
                    </w:rPr>
                  </w:pPr>
                  <w:r>
                    <w:rPr>
                      <w:rFonts w:ascii="Book Antiqua"/>
                      <w:color w:val="FFFFFF"/>
                      <w:sz w:val="26"/>
                    </w:rPr>
                    <w:t>B A LTIMORE/ WA SHINGTON </w:t>
                  </w:r>
                </w:p>
                <w:p>
                  <w:pPr>
                    <w:spacing w:before="0"/>
                    <w:ind w:left="167" w:right="118" w:firstLine="0"/>
                    <w:jc w:val="center"/>
                    <w:rPr>
                      <w:rFonts w:ascii="Book Antiqua"/>
                      <w:sz w:val="26"/>
                    </w:rPr>
                  </w:pPr>
                  <w:r>
                    <w:rPr>
                      <w:rFonts w:ascii="Book Antiqua"/>
                      <w:color w:val="FFFFFF"/>
                      <w:spacing w:val="43"/>
                      <w:sz w:val="26"/>
                    </w:rPr>
                    <w:t>INTERN </w:t>
                  </w:r>
                  <w:r>
                    <w:rPr>
                      <w:rFonts w:ascii="Book Antiqua"/>
                      <w:color w:val="FFFFFF"/>
                      <w:sz w:val="26"/>
                    </w:rPr>
                    <w:t>A </w:t>
                  </w:r>
                  <w:r>
                    <w:rPr>
                      <w:rFonts w:ascii="Book Antiqua"/>
                      <w:color w:val="FFFFFF"/>
                      <w:spacing w:val="39"/>
                      <w:sz w:val="26"/>
                    </w:rPr>
                    <w:t>TION </w:t>
                  </w:r>
                  <w:r>
                    <w:rPr>
                      <w:rFonts w:ascii="Book Antiqua"/>
                      <w:color w:val="FFFFFF"/>
                      <w:spacing w:val="26"/>
                      <w:sz w:val="26"/>
                    </w:rPr>
                    <w:t>AL</w:t>
                  </w:r>
                  <w:r>
                    <w:rPr>
                      <w:rFonts w:ascii="Book Antiqua"/>
                      <w:color w:val="FFFFFF"/>
                      <w:spacing w:val="-13"/>
                      <w:sz w:val="26"/>
                    </w:rPr>
                    <w:t> </w:t>
                  </w:r>
                </w:p>
              </w:txbxContent>
            </v:textbox>
            <v:fill type="solid"/>
            <w10:wrap type="topAndBottom"/>
          </v:shape>
        </w:pict>
      </w:r>
    </w:p>
    <w:p>
      <w:pPr>
        <w:pStyle w:val="BodyText"/>
        <w:rPr>
          <w:rFonts w:ascii="Arial"/>
          <w:sz w:val="16"/>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4"/>
        <w:rPr>
          <w:rFonts w:ascii="Arial"/>
          <w:sz w:val="18"/>
        </w:rPr>
      </w:pPr>
    </w:p>
    <w:p>
      <w:pPr>
        <w:spacing w:line="319" w:lineRule="auto" w:before="94"/>
        <w:ind w:left="520" w:right="3649" w:firstLine="0"/>
        <w:jc w:val="both"/>
        <w:rPr>
          <w:rFonts w:ascii="Book Antiqua"/>
          <w:sz w:val="17"/>
        </w:rPr>
      </w:pPr>
      <w:r>
        <w:rPr/>
        <w:drawing>
          <wp:anchor distT="0" distB="0" distL="0" distR="0" allowOverlap="1" layoutInCell="1" locked="0" behindDoc="0" simplePos="0" relativeHeight="3208">
            <wp:simplePos x="0" y="0"/>
            <wp:positionH relativeFrom="page">
              <wp:posOffset>571500</wp:posOffset>
            </wp:positionH>
            <wp:positionV relativeFrom="paragraph">
              <wp:posOffset>-2182445</wp:posOffset>
            </wp:positionV>
            <wp:extent cx="2109692" cy="2109692"/>
            <wp:effectExtent l="0" t="0" r="0" b="0"/>
            <wp:wrapNone/>
            <wp:docPr id="35" name="image18.png" descr=""/>
            <wp:cNvGraphicFramePr>
              <a:graphicFrameLocks noChangeAspect="1"/>
            </wp:cNvGraphicFramePr>
            <a:graphic>
              <a:graphicData uri="http://schemas.openxmlformats.org/drawingml/2006/picture">
                <pic:pic>
                  <pic:nvPicPr>
                    <pic:cNvPr id="36" name="image18.png"/>
                    <pic:cNvPicPr/>
                  </pic:nvPicPr>
                  <pic:blipFill>
                    <a:blip r:embed="rId22" cstate="print"/>
                    <a:stretch>
                      <a:fillRect/>
                    </a:stretch>
                  </pic:blipFill>
                  <pic:spPr>
                    <a:xfrm>
                      <a:off x="0" y="0"/>
                      <a:ext cx="2109692" cy="2109692"/>
                    </a:xfrm>
                    <a:prstGeom prst="rect">
                      <a:avLst/>
                    </a:prstGeom>
                  </pic:spPr>
                </pic:pic>
              </a:graphicData>
            </a:graphic>
          </wp:anchor>
        </w:drawing>
      </w:r>
      <w:r>
        <w:rPr/>
        <w:drawing>
          <wp:anchor distT="0" distB="0" distL="0" distR="0" allowOverlap="1" layoutInCell="1" locked="0" behindDoc="0" simplePos="0" relativeHeight="3232">
            <wp:simplePos x="0" y="0"/>
            <wp:positionH relativeFrom="page">
              <wp:posOffset>5097779</wp:posOffset>
            </wp:positionH>
            <wp:positionV relativeFrom="paragraph">
              <wp:posOffset>-1048576</wp:posOffset>
            </wp:positionV>
            <wp:extent cx="960120" cy="969263"/>
            <wp:effectExtent l="0" t="0" r="0" b="0"/>
            <wp:wrapNone/>
            <wp:docPr id="37" name="image19.png" descr=""/>
            <wp:cNvGraphicFramePr>
              <a:graphicFrameLocks noChangeAspect="1"/>
            </wp:cNvGraphicFramePr>
            <a:graphic>
              <a:graphicData uri="http://schemas.openxmlformats.org/drawingml/2006/picture">
                <pic:pic>
                  <pic:nvPicPr>
                    <pic:cNvPr id="38" name="image19.png"/>
                    <pic:cNvPicPr/>
                  </pic:nvPicPr>
                  <pic:blipFill>
                    <a:blip r:embed="rId23" cstate="print"/>
                    <a:stretch>
                      <a:fillRect/>
                    </a:stretch>
                  </pic:blipFill>
                  <pic:spPr>
                    <a:xfrm>
                      <a:off x="0" y="0"/>
                      <a:ext cx="960120" cy="969263"/>
                    </a:xfrm>
                    <a:prstGeom prst="rect">
                      <a:avLst/>
                    </a:prstGeom>
                  </pic:spPr>
                </pic:pic>
              </a:graphicData>
            </a:graphic>
          </wp:anchor>
        </w:drawing>
      </w:r>
      <w:r>
        <w:rPr/>
        <w:drawing>
          <wp:anchor distT="0" distB="0" distL="0" distR="0" allowOverlap="1" layoutInCell="1" locked="0" behindDoc="0" simplePos="0" relativeHeight="3256">
            <wp:simplePos x="0" y="0"/>
            <wp:positionH relativeFrom="page">
              <wp:posOffset>6231635</wp:posOffset>
            </wp:positionH>
            <wp:positionV relativeFrom="paragraph">
              <wp:posOffset>-1048005</wp:posOffset>
            </wp:positionV>
            <wp:extent cx="969263" cy="969263"/>
            <wp:effectExtent l="0" t="0" r="0" b="0"/>
            <wp:wrapNone/>
            <wp:docPr id="39" name="image20.png" descr=""/>
            <wp:cNvGraphicFramePr>
              <a:graphicFrameLocks noChangeAspect="1"/>
            </wp:cNvGraphicFramePr>
            <a:graphic>
              <a:graphicData uri="http://schemas.openxmlformats.org/drawingml/2006/picture">
                <pic:pic>
                  <pic:nvPicPr>
                    <pic:cNvPr id="40" name="image20.png"/>
                    <pic:cNvPicPr/>
                  </pic:nvPicPr>
                  <pic:blipFill>
                    <a:blip r:embed="rId24" cstate="print"/>
                    <a:stretch>
                      <a:fillRect/>
                    </a:stretch>
                  </pic:blipFill>
                  <pic:spPr>
                    <a:xfrm>
                      <a:off x="0" y="0"/>
                      <a:ext cx="969263" cy="969263"/>
                    </a:xfrm>
                    <a:prstGeom prst="rect">
                      <a:avLst/>
                    </a:prstGeom>
                  </pic:spPr>
                </pic:pic>
              </a:graphicData>
            </a:graphic>
          </wp:anchor>
        </w:drawing>
      </w:r>
      <w:r>
        <w:rPr/>
        <w:pict>
          <v:shape style="position:absolute;margin-left:223.199997pt;margin-top:-171.846085pt;width:165.6pt;height:165.6pt;mso-position-horizontal-relative:page;mso-position-vertical-relative:paragraph;z-index:3304" type="#_x0000_t202" filled="true" fillcolor="#ef3e23" stroked="false">
            <v:textbox inset="0,0,0,0">
              <w:txbxContent>
                <w:p>
                  <w:pPr>
                    <w:pStyle w:val="BodyText"/>
                    <w:rPr>
                      <w:rFonts w:ascii="Book Antiqua"/>
                      <w:sz w:val="28"/>
                    </w:rPr>
                  </w:pPr>
                </w:p>
                <w:p>
                  <w:pPr>
                    <w:pStyle w:val="BodyText"/>
                    <w:rPr>
                      <w:rFonts w:ascii="Book Antiqua"/>
                      <w:sz w:val="28"/>
                    </w:rPr>
                  </w:pPr>
                </w:p>
                <w:p>
                  <w:pPr>
                    <w:pStyle w:val="BodyText"/>
                    <w:rPr>
                      <w:rFonts w:ascii="Book Antiqua"/>
                      <w:sz w:val="28"/>
                    </w:rPr>
                  </w:pPr>
                </w:p>
                <w:p>
                  <w:pPr>
                    <w:pStyle w:val="BodyText"/>
                    <w:spacing w:before="4"/>
                    <w:rPr>
                      <w:rFonts w:ascii="Book Antiqua"/>
                      <w:sz w:val="26"/>
                    </w:rPr>
                  </w:pPr>
                </w:p>
                <w:p>
                  <w:pPr>
                    <w:spacing w:line="288" w:lineRule="exact" w:before="0"/>
                    <w:ind w:left="1085" w:right="631" w:hanging="270"/>
                    <w:jc w:val="left"/>
                    <w:rPr>
                      <w:rFonts w:ascii="Book Antiqua"/>
                      <w:sz w:val="24"/>
                    </w:rPr>
                  </w:pPr>
                  <w:r>
                    <w:rPr>
                      <w:rFonts w:ascii="Book Antiqua"/>
                      <w:color w:val="FFFFFF"/>
                      <w:w w:val="105"/>
                      <w:sz w:val="24"/>
                    </w:rPr>
                    <w:t>H O U S T O N H O B B Y</w:t>
                  </w:r>
                </w:p>
              </w:txbxContent>
            </v:textbox>
            <v:fill type="solid"/>
            <w10:wrap type="none"/>
          </v:shape>
        </w:pict>
      </w:r>
      <w:r>
        <w:rPr>
          <w:rFonts w:ascii="Book Antiqua"/>
          <w:color w:val="231F20"/>
          <w:spacing w:val="2"/>
          <w:sz w:val="17"/>
        </w:rPr>
        <w:t>Recent </w:t>
      </w:r>
      <w:r>
        <w:rPr>
          <w:rFonts w:ascii="Book Antiqua"/>
          <w:color w:val="231F20"/>
          <w:spacing w:val="3"/>
          <w:sz w:val="17"/>
        </w:rPr>
        <w:t>renovations </w:t>
      </w:r>
      <w:r>
        <w:rPr>
          <w:rFonts w:ascii="Book Antiqua"/>
          <w:color w:val="231F20"/>
          <w:sz w:val="17"/>
        </w:rPr>
        <w:t>to </w:t>
      </w:r>
      <w:r>
        <w:rPr>
          <w:rFonts w:ascii="Book Antiqua"/>
          <w:color w:val="231F20"/>
          <w:spacing w:val="2"/>
          <w:sz w:val="17"/>
        </w:rPr>
        <w:t>our </w:t>
      </w:r>
      <w:r>
        <w:rPr>
          <w:rFonts w:ascii="Book Antiqua"/>
          <w:color w:val="231F20"/>
          <w:spacing w:val="3"/>
          <w:sz w:val="17"/>
        </w:rPr>
        <w:t>Chicago </w:t>
      </w:r>
      <w:r>
        <w:rPr>
          <w:rFonts w:ascii="Book Antiqua"/>
          <w:color w:val="231F20"/>
          <w:sz w:val="17"/>
        </w:rPr>
        <w:t>Midway, </w:t>
      </w:r>
      <w:r>
        <w:rPr>
          <w:rFonts w:ascii="Book Antiqua"/>
          <w:color w:val="231F20"/>
          <w:spacing w:val="3"/>
          <w:sz w:val="17"/>
        </w:rPr>
        <w:t>Baltimore/Washington International, </w:t>
      </w:r>
      <w:r>
        <w:rPr>
          <w:rFonts w:ascii="Book Antiqua"/>
          <w:color w:val="231F20"/>
          <w:spacing w:val="4"/>
          <w:sz w:val="17"/>
        </w:rPr>
        <w:t>and </w:t>
      </w:r>
      <w:r>
        <w:rPr>
          <w:rFonts w:ascii="Book Antiqua"/>
          <w:color w:val="231F20"/>
          <w:spacing w:val="2"/>
          <w:sz w:val="17"/>
        </w:rPr>
        <w:t>Houston </w:t>
      </w:r>
      <w:r>
        <w:rPr>
          <w:rFonts w:ascii="Book Antiqua"/>
          <w:color w:val="231F20"/>
          <w:sz w:val="17"/>
        </w:rPr>
        <w:t>Hobby </w:t>
      </w:r>
      <w:r>
        <w:rPr>
          <w:rFonts w:ascii="Book Antiqua"/>
          <w:color w:val="231F20"/>
          <w:spacing w:val="3"/>
          <w:sz w:val="17"/>
        </w:rPr>
        <w:t>airports </w:t>
      </w:r>
      <w:r>
        <w:rPr>
          <w:rFonts w:ascii="Book Antiqua"/>
          <w:color w:val="231F20"/>
          <w:sz w:val="17"/>
        </w:rPr>
        <w:t>have </w:t>
      </w:r>
      <w:r>
        <w:rPr>
          <w:rFonts w:ascii="Book Antiqua"/>
          <w:color w:val="231F20"/>
          <w:spacing w:val="2"/>
          <w:sz w:val="17"/>
        </w:rPr>
        <w:t>resulted </w:t>
      </w:r>
      <w:r>
        <w:rPr>
          <w:rFonts w:ascii="Book Antiqua"/>
          <w:color w:val="231F20"/>
          <w:sz w:val="17"/>
        </w:rPr>
        <w:t>in </w:t>
      </w:r>
      <w:r>
        <w:rPr>
          <w:rFonts w:ascii="Book Antiqua"/>
          <w:color w:val="231F20"/>
          <w:spacing w:val="2"/>
          <w:sz w:val="17"/>
        </w:rPr>
        <w:t>stunning </w:t>
      </w:r>
      <w:r>
        <w:rPr>
          <w:rFonts w:ascii="Book Antiqua"/>
          <w:color w:val="231F20"/>
          <w:sz w:val="17"/>
        </w:rPr>
        <w:t>new </w:t>
      </w:r>
      <w:r>
        <w:rPr>
          <w:rFonts w:ascii="Book Antiqua"/>
          <w:color w:val="231F20"/>
          <w:spacing w:val="2"/>
          <w:sz w:val="17"/>
        </w:rPr>
        <w:t>environments </w:t>
      </w:r>
      <w:r>
        <w:rPr>
          <w:rFonts w:ascii="Book Antiqua"/>
          <w:color w:val="231F20"/>
          <w:sz w:val="17"/>
        </w:rPr>
        <w:t>for our </w:t>
      </w:r>
      <w:r>
        <w:rPr>
          <w:rFonts w:ascii="Book Antiqua"/>
          <w:color w:val="231F20"/>
          <w:spacing w:val="3"/>
          <w:sz w:val="17"/>
        </w:rPr>
        <w:t>colorful </w:t>
      </w:r>
      <w:r>
        <w:rPr>
          <w:rFonts w:ascii="Book Antiqua"/>
          <w:color w:val="231F20"/>
          <w:sz w:val="17"/>
        </w:rPr>
        <w:t>Southwest</w:t>
      </w:r>
      <w:r>
        <w:rPr>
          <w:rFonts w:ascii="Book Antiqua"/>
          <w:color w:val="231F20"/>
          <w:spacing w:val="-10"/>
          <w:sz w:val="17"/>
        </w:rPr>
        <w:t> </w:t>
      </w:r>
      <w:r>
        <w:rPr>
          <w:rFonts w:ascii="Book Antiqua"/>
          <w:color w:val="231F20"/>
          <w:spacing w:val="2"/>
          <w:sz w:val="17"/>
        </w:rPr>
        <w:t>counters</w:t>
      </w:r>
      <w:r>
        <w:rPr>
          <w:rFonts w:ascii="Book Antiqua"/>
          <w:color w:val="231F20"/>
          <w:spacing w:val="-7"/>
          <w:sz w:val="17"/>
        </w:rPr>
        <w:t> </w:t>
      </w:r>
      <w:r>
        <w:rPr>
          <w:rFonts w:ascii="Book Antiqua"/>
          <w:color w:val="231F20"/>
          <w:sz w:val="17"/>
        </w:rPr>
        <w:t>and</w:t>
      </w:r>
      <w:r>
        <w:rPr>
          <w:rFonts w:ascii="Book Antiqua"/>
          <w:color w:val="231F20"/>
          <w:spacing w:val="-7"/>
          <w:sz w:val="17"/>
        </w:rPr>
        <w:t> </w:t>
      </w:r>
      <w:r>
        <w:rPr>
          <w:rFonts w:ascii="Book Antiqua"/>
          <w:color w:val="231F20"/>
          <w:spacing w:val="2"/>
          <w:sz w:val="17"/>
        </w:rPr>
        <w:t>gate</w:t>
      </w:r>
      <w:r>
        <w:rPr>
          <w:rFonts w:ascii="Book Antiqua"/>
          <w:color w:val="231F20"/>
          <w:spacing w:val="-7"/>
          <w:sz w:val="17"/>
        </w:rPr>
        <w:t> </w:t>
      </w:r>
      <w:r>
        <w:rPr>
          <w:rFonts w:ascii="Book Antiqua"/>
          <w:color w:val="231F20"/>
          <w:spacing w:val="2"/>
          <w:sz w:val="17"/>
        </w:rPr>
        <w:t>areas.</w:t>
      </w:r>
      <w:r>
        <w:rPr>
          <w:rFonts w:ascii="Book Antiqua"/>
          <w:color w:val="231F20"/>
          <w:spacing w:val="-7"/>
          <w:sz w:val="17"/>
        </w:rPr>
        <w:t> </w:t>
      </w:r>
      <w:r>
        <w:rPr>
          <w:rFonts w:ascii="Book Antiqua"/>
          <w:color w:val="231F20"/>
          <w:sz w:val="17"/>
        </w:rPr>
        <w:t>Not</w:t>
      </w:r>
      <w:r>
        <w:rPr>
          <w:rFonts w:ascii="Book Antiqua"/>
          <w:color w:val="231F20"/>
          <w:spacing w:val="-10"/>
          <w:sz w:val="17"/>
        </w:rPr>
        <w:t> </w:t>
      </w:r>
      <w:r>
        <w:rPr>
          <w:rFonts w:ascii="Book Antiqua"/>
          <w:color w:val="231F20"/>
          <w:spacing w:val="2"/>
          <w:sz w:val="17"/>
        </w:rPr>
        <w:t>only</w:t>
      </w:r>
      <w:r>
        <w:rPr>
          <w:rFonts w:ascii="Book Antiqua"/>
          <w:color w:val="231F20"/>
          <w:spacing w:val="-12"/>
          <w:sz w:val="17"/>
        </w:rPr>
        <w:t> </w:t>
      </w:r>
      <w:r>
        <w:rPr>
          <w:rFonts w:ascii="Book Antiqua"/>
          <w:color w:val="231F20"/>
          <w:sz w:val="17"/>
        </w:rPr>
        <w:t>are</w:t>
      </w:r>
      <w:r>
        <w:rPr>
          <w:rFonts w:ascii="Book Antiqua"/>
          <w:color w:val="231F20"/>
          <w:spacing w:val="-7"/>
          <w:sz w:val="17"/>
        </w:rPr>
        <w:t> </w:t>
      </w:r>
      <w:r>
        <w:rPr>
          <w:rFonts w:ascii="Book Antiqua"/>
          <w:color w:val="231F20"/>
          <w:spacing w:val="2"/>
          <w:sz w:val="17"/>
        </w:rPr>
        <w:t>these</w:t>
      </w:r>
      <w:r>
        <w:rPr>
          <w:rFonts w:ascii="Book Antiqua"/>
          <w:color w:val="231F20"/>
          <w:spacing w:val="-7"/>
          <w:sz w:val="17"/>
        </w:rPr>
        <w:t> </w:t>
      </w:r>
      <w:r>
        <w:rPr>
          <w:rFonts w:ascii="Book Antiqua"/>
          <w:color w:val="231F20"/>
          <w:sz w:val="17"/>
        </w:rPr>
        <w:t>downtown</w:t>
      </w:r>
      <w:r>
        <w:rPr>
          <w:rFonts w:ascii="Book Antiqua"/>
          <w:color w:val="231F20"/>
          <w:spacing w:val="-7"/>
          <w:sz w:val="17"/>
        </w:rPr>
        <w:t> </w:t>
      </w:r>
      <w:r>
        <w:rPr>
          <w:rFonts w:ascii="Book Antiqua"/>
          <w:color w:val="231F20"/>
          <w:spacing w:val="3"/>
          <w:sz w:val="17"/>
        </w:rPr>
        <w:t>airports</w:t>
      </w:r>
      <w:r>
        <w:rPr>
          <w:rFonts w:ascii="Book Antiqua"/>
          <w:color w:val="231F20"/>
          <w:spacing w:val="-7"/>
          <w:sz w:val="17"/>
        </w:rPr>
        <w:t> </w:t>
      </w:r>
      <w:r>
        <w:rPr>
          <w:rFonts w:ascii="Book Antiqua"/>
          <w:color w:val="231F20"/>
          <w:spacing w:val="2"/>
          <w:sz w:val="17"/>
        </w:rPr>
        <w:t>more</w:t>
      </w:r>
      <w:r>
        <w:rPr>
          <w:rFonts w:ascii="Book Antiqua"/>
          <w:color w:val="231F20"/>
          <w:spacing w:val="-7"/>
          <w:sz w:val="17"/>
        </w:rPr>
        <w:t> </w:t>
      </w:r>
      <w:r>
        <w:rPr>
          <w:rFonts w:ascii="Book Antiqua"/>
          <w:color w:val="231F20"/>
          <w:sz w:val="17"/>
        </w:rPr>
        <w:t>convenient </w:t>
      </w:r>
      <w:r>
        <w:rPr>
          <w:rFonts w:ascii="Book Antiqua"/>
          <w:color w:val="231F20"/>
          <w:spacing w:val="2"/>
          <w:sz w:val="17"/>
        </w:rPr>
        <w:t>than their </w:t>
      </w:r>
      <w:r>
        <w:rPr>
          <w:rFonts w:ascii="Book Antiqua"/>
          <w:color w:val="231F20"/>
          <w:sz w:val="17"/>
        </w:rPr>
        <w:t>big </w:t>
      </w:r>
      <w:r>
        <w:rPr>
          <w:rFonts w:ascii="Book Antiqua"/>
          <w:color w:val="231F20"/>
          <w:spacing w:val="3"/>
          <w:sz w:val="17"/>
        </w:rPr>
        <w:t>airport counterparts, </w:t>
      </w:r>
      <w:r>
        <w:rPr>
          <w:rFonts w:ascii="Book Antiqua"/>
          <w:color w:val="231F20"/>
          <w:spacing w:val="2"/>
          <w:sz w:val="17"/>
        </w:rPr>
        <w:t>they </w:t>
      </w:r>
      <w:r>
        <w:rPr>
          <w:rFonts w:ascii="Book Antiqua"/>
          <w:color w:val="231F20"/>
          <w:sz w:val="17"/>
        </w:rPr>
        <w:t>are now </w:t>
      </w:r>
      <w:r>
        <w:rPr>
          <w:rFonts w:ascii="Book Antiqua"/>
          <w:color w:val="231F20"/>
          <w:spacing w:val="2"/>
          <w:sz w:val="17"/>
        </w:rPr>
        <w:t>calm, </w:t>
      </w:r>
      <w:r>
        <w:rPr>
          <w:rFonts w:ascii="Book Antiqua"/>
          <w:color w:val="231F20"/>
          <w:spacing w:val="3"/>
          <w:sz w:val="17"/>
        </w:rPr>
        <w:t>comfortable, </w:t>
      </w:r>
      <w:r>
        <w:rPr>
          <w:rFonts w:ascii="Book Antiqua"/>
          <w:color w:val="231F20"/>
          <w:sz w:val="17"/>
        </w:rPr>
        <w:t>and traveler-friendly. Southwest</w:t>
      </w:r>
      <w:r>
        <w:rPr>
          <w:rFonts w:ascii="Book Antiqua"/>
          <w:color w:val="231F20"/>
          <w:spacing w:val="-16"/>
          <w:sz w:val="17"/>
        </w:rPr>
        <w:t> </w:t>
      </w:r>
      <w:r>
        <w:rPr>
          <w:rFonts w:ascii="Book Antiqua"/>
          <w:color w:val="231F20"/>
          <w:spacing w:val="3"/>
          <w:sz w:val="17"/>
        </w:rPr>
        <w:t>offers</w:t>
      </w:r>
      <w:r>
        <w:rPr>
          <w:rFonts w:ascii="Book Antiqua"/>
          <w:color w:val="231F20"/>
          <w:spacing w:val="-13"/>
          <w:sz w:val="17"/>
        </w:rPr>
        <w:t> </w:t>
      </w:r>
      <w:r>
        <w:rPr>
          <w:rFonts w:ascii="Book Antiqua"/>
          <w:color w:val="231F20"/>
          <w:sz w:val="17"/>
        </w:rPr>
        <w:t>our</w:t>
      </w:r>
      <w:r>
        <w:rPr>
          <w:rFonts w:ascii="Book Antiqua"/>
          <w:color w:val="231F20"/>
          <w:spacing w:val="-18"/>
          <w:sz w:val="17"/>
        </w:rPr>
        <w:t> </w:t>
      </w:r>
      <w:r>
        <w:rPr>
          <w:rFonts w:ascii="Book Antiqua"/>
          <w:color w:val="231F20"/>
          <w:spacing w:val="2"/>
          <w:sz w:val="17"/>
        </w:rPr>
        <w:t>Customers</w:t>
      </w:r>
      <w:r>
        <w:rPr>
          <w:rFonts w:ascii="Book Antiqua"/>
          <w:color w:val="231F20"/>
          <w:spacing w:val="-13"/>
          <w:sz w:val="17"/>
        </w:rPr>
        <w:t> </w:t>
      </w:r>
      <w:r>
        <w:rPr>
          <w:rFonts w:ascii="Book Antiqua"/>
          <w:color w:val="231F20"/>
          <w:sz w:val="17"/>
        </w:rPr>
        <w:t>a</w:t>
      </w:r>
      <w:r>
        <w:rPr>
          <w:rFonts w:ascii="Book Antiqua"/>
          <w:color w:val="231F20"/>
          <w:spacing w:val="-15"/>
          <w:sz w:val="17"/>
        </w:rPr>
        <w:t> </w:t>
      </w:r>
      <w:r>
        <w:rPr>
          <w:rFonts w:ascii="Book Antiqua"/>
          <w:color w:val="231F20"/>
          <w:sz w:val="17"/>
        </w:rPr>
        <w:t>welcome</w:t>
      </w:r>
      <w:r>
        <w:rPr>
          <w:rFonts w:ascii="Book Antiqua"/>
          <w:color w:val="231F20"/>
          <w:spacing w:val="-13"/>
          <w:sz w:val="17"/>
        </w:rPr>
        <w:t> </w:t>
      </w:r>
      <w:r>
        <w:rPr>
          <w:rFonts w:ascii="Book Antiqua"/>
          <w:color w:val="231F20"/>
          <w:spacing w:val="2"/>
          <w:sz w:val="17"/>
        </w:rPr>
        <w:t>oasis</w:t>
      </w:r>
      <w:r>
        <w:rPr>
          <w:rFonts w:ascii="Book Antiqua"/>
          <w:color w:val="231F20"/>
          <w:spacing w:val="-13"/>
          <w:sz w:val="17"/>
        </w:rPr>
        <w:t> </w:t>
      </w:r>
      <w:r>
        <w:rPr>
          <w:rFonts w:ascii="Book Antiqua"/>
          <w:color w:val="231F20"/>
          <w:spacing w:val="2"/>
          <w:sz w:val="17"/>
        </w:rPr>
        <w:t>from</w:t>
      </w:r>
      <w:r>
        <w:rPr>
          <w:rFonts w:ascii="Book Antiqua"/>
          <w:color w:val="231F20"/>
          <w:spacing w:val="-13"/>
          <w:sz w:val="17"/>
        </w:rPr>
        <w:t> </w:t>
      </w:r>
      <w:r>
        <w:rPr>
          <w:rFonts w:ascii="Book Antiqua"/>
          <w:color w:val="231F20"/>
          <w:sz w:val="17"/>
        </w:rPr>
        <w:t>a</w:t>
      </w:r>
      <w:r>
        <w:rPr>
          <w:rFonts w:ascii="Book Antiqua"/>
          <w:color w:val="231F20"/>
          <w:spacing w:val="-15"/>
          <w:sz w:val="17"/>
        </w:rPr>
        <w:t> </w:t>
      </w:r>
      <w:r>
        <w:rPr>
          <w:rFonts w:ascii="Book Antiqua"/>
          <w:color w:val="231F20"/>
          <w:sz w:val="17"/>
        </w:rPr>
        <w:t>workaday</w:t>
      </w:r>
      <w:r>
        <w:rPr>
          <w:rFonts w:ascii="Book Antiqua"/>
          <w:color w:val="231F20"/>
          <w:spacing w:val="-20"/>
          <w:sz w:val="17"/>
        </w:rPr>
        <w:t> </w:t>
      </w:r>
      <w:r>
        <w:rPr>
          <w:rFonts w:ascii="Book Antiqua"/>
          <w:color w:val="231F20"/>
          <w:sz w:val="17"/>
        </w:rPr>
        <w:t>world,</w:t>
      </w:r>
      <w:r>
        <w:rPr>
          <w:rFonts w:ascii="Book Antiqua"/>
          <w:color w:val="231F20"/>
          <w:spacing w:val="-16"/>
          <w:sz w:val="17"/>
        </w:rPr>
        <w:t> </w:t>
      </w:r>
      <w:r>
        <w:rPr>
          <w:rFonts w:ascii="Book Antiqua"/>
          <w:color w:val="231F20"/>
          <w:spacing w:val="2"/>
          <w:sz w:val="17"/>
        </w:rPr>
        <w:t>coast-to-coast</w:t>
      </w:r>
      <w:r>
        <w:rPr>
          <w:rFonts w:ascii="Book Antiqua"/>
          <w:color w:val="231F20"/>
          <w:spacing w:val="-16"/>
          <w:sz w:val="17"/>
        </w:rPr>
        <w:t> </w:t>
      </w:r>
      <w:r>
        <w:rPr>
          <w:rFonts w:ascii="Book Antiqua"/>
          <w:color w:val="231F20"/>
          <w:spacing w:val="3"/>
          <w:sz w:val="17"/>
        </w:rPr>
        <w:t>and </w:t>
      </w:r>
      <w:r>
        <w:rPr>
          <w:rFonts w:ascii="Book Antiqua"/>
          <w:color w:val="231F20"/>
          <w:spacing w:val="2"/>
          <w:sz w:val="17"/>
        </w:rPr>
        <w:t>border-to-border.</w:t>
      </w:r>
    </w:p>
    <w:p>
      <w:pPr>
        <w:spacing w:after="0" w:line="319" w:lineRule="auto"/>
        <w:jc w:val="both"/>
        <w:rPr>
          <w:rFonts w:ascii="Book Antiqua"/>
          <w:sz w:val="17"/>
        </w:rPr>
        <w:sectPr>
          <w:pgSz w:w="12240" w:h="15840"/>
          <w:pgMar w:top="280" w:bottom="280" w:left="380" w:right="800"/>
        </w:sectPr>
      </w:pPr>
    </w:p>
    <w:p>
      <w:pPr>
        <w:tabs>
          <w:tab w:pos="2810" w:val="right" w:leader="none"/>
        </w:tabs>
        <w:spacing w:before="71"/>
        <w:ind w:left="0" w:right="117" w:firstLine="0"/>
        <w:jc w:val="right"/>
        <w:rPr>
          <w:rFonts w:ascii="Arial"/>
          <w:sz w:val="14"/>
        </w:rPr>
      </w:pPr>
      <w:r>
        <w:rPr/>
        <w:pict>
          <v:line style="position:absolute;mso-position-horizontal-relative:page;mso-position-vertical-relative:paragraph;z-index:-235072" from="575.045227pt,.704712pt" to="575.045227pt,18.704712pt" stroked="true" strokeweight=".5pt" strokecolor="#231f20">
            <v:stroke dashstyle="solid"/>
            <w10:wrap type="none"/>
          </v:line>
        </w:pict>
      </w:r>
      <w:r>
        <w:rPr/>
        <w:drawing>
          <wp:anchor distT="0" distB="0" distL="0" distR="0" allowOverlap="1" layoutInCell="1" locked="0" behindDoc="0" simplePos="0" relativeHeight="3352">
            <wp:simplePos x="0" y="0"/>
            <wp:positionH relativeFrom="page">
              <wp:posOffset>5233765</wp:posOffset>
            </wp:positionH>
            <wp:positionV relativeFrom="paragraph">
              <wp:posOffset>24801</wp:posOffset>
            </wp:positionV>
            <wp:extent cx="370521" cy="153417"/>
            <wp:effectExtent l="0" t="0" r="0" b="0"/>
            <wp:wrapNone/>
            <wp:docPr id="41" name="image2.png" descr=""/>
            <wp:cNvGraphicFramePr>
              <a:graphicFrameLocks noChangeAspect="1"/>
            </wp:cNvGraphicFramePr>
            <a:graphic>
              <a:graphicData uri="http://schemas.openxmlformats.org/drawingml/2006/picture">
                <pic:pic>
                  <pic:nvPicPr>
                    <pic:cNvPr id="42" name="image2.png"/>
                    <pic:cNvPicPr/>
                  </pic:nvPicPr>
                  <pic:blipFill>
                    <a:blip r:embed="rId6" cstate="print"/>
                    <a:stretch>
                      <a:fillRect/>
                    </a:stretch>
                  </pic:blipFill>
                  <pic:spPr>
                    <a:xfrm>
                      <a:off x="0" y="0"/>
                      <a:ext cx="370521" cy="153417"/>
                    </a:xfrm>
                    <a:prstGeom prst="rect">
                      <a:avLst/>
                    </a:prstGeom>
                  </pic:spPr>
                </pic:pic>
              </a:graphicData>
            </a:graphic>
          </wp:anchor>
        </w:drawing>
      </w:r>
      <w:bookmarkStart w:name="Low Fares" w:id="6"/>
      <w:bookmarkEnd w:id="6"/>
      <w:r>
        <w:rPr/>
      </w:r>
      <w:bookmarkStart w:name="Legendary Customer Service" w:id="7"/>
      <w:bookmarkEnd w:id="7"/>
      <w:r>
        <w:rPr/>
      </w:r>
      <w:bookmarkStart w:name="Frequent Flights" w:id="8"/>
      <w:bookmarkEnd w:id="8"/>
      <w:r>
        <w:rPr/>
      </w:r>
      <w:r>
        <w:rPr>
          <w:rFonts w:ascii="Arial"/>
          <w:color w:val="231F20"/>
          <w:spacing w:val="9"/>
          <w:w w:val="95"/>
          <w:position w:val="1"/>
          <w:sz w:val="12"/>
        </w:rPr>
        <w:t>Southwest</w:t>
      </w:r>
      <w:r>
        <w:rPr>
          <w:rFonts w:ascii="Arial"/>
          <w:color w:val="231F20"/>
          <w:spacing w:val="-3"/>
          <w:w w:val="95"/>
          <w:position w:val="1"/>
          <w:sz w:val="12"/>
        </w:rPr>
        <w:t> </w:t>
      </w:r>
      <w:r>
        <w:rPr>
          <w:rFonts w:ascii="Arial"/>
          <w:color w:val="231F20"/>
          <w:spacing w:val="9"/>
          <w:w w:val="95"/>
          <w:position w:val="1"/>
          <w:sz w:val="12"/>
        </w:rPr>
        <w:t>Airlines</w:t>
      </w:r>
      <w:r>
        <w:rPr>
          <w:rFonts w:ascii="Arial"/>
          <w:color w:val="231F20"/>
          <w:w w:val="95"/>
          <w:position w:val="1"/>
          <w:sz w:val="12"/>
        </w:rPr>
        <w:t> </w:t>
      </w:r>
      <w:r>
        <w:rPr>
          <w:rFonts w:ascii="Arial"/>
          <w:color w:val="231F20"/>
          <w:spacing w:val="7"/>
          <w:w w:val="95"/>
          <w:position w:val="1"/>
          <w:sz w:val="12"/>
        </w:rPr>
        <w:t>Co.</w:t>
      </w:r>
      <w:r>
        <w:rPr>
          <w:rFonts w:ascii="Arial"/>
          <w:color w:val="231F20"/>
          <w:spacing w:val="-3"/>
          <w:w w:val="95"/>
          <w:position w:val="1"/>
          <w:sz w:val="12"/>
        </w:rPr>
        <w:t> </w:t>
      </w:r>
      <w:r>
        <w:rPr>
          <w:rFonts w:ascii="Arial"/>
          <w:color w:val="231F20"/>
          <w:spacing w:val="8"/>
          <w:w w:val="95"/>
          <w:position w:val="1"/>
          <w:sz w:val="12"/>
        </w:rPr>
        <w:t>2003</w:t>
      </w:r>
      <w:r>
        <w:rPr>
          <w:rFonts w:ascii="Arial"/>
          <w:color w:val="231F20"/>
          <w:spacing w:val="-3"/>
          <w:w w:val="95"/>
          <w:position w:val="1"/>
          <w:sz w:val="12"/>
        </w:rPr>
        <w:t> </w:t>
      </w:r>
      <w:r>
        <w:rPr>
          <w:rFonts w:ascii="Arial"/>
          <w:color w:val="231F20"/>
          <w:spacing w:val="9"/>
          <w:w w:val="95"/>
          <w:position w:val="1"/>
          <w:sz w:val="12"/>
        </w:rPr>
        <w:t>Annual</w:t>
      </w:r>
      <w:r>
        <w:rPr>
          <w:rFonts w:ascii="Arial"/>
          <w:color w:val="231F20"/>
          <w:w w:val="95"/>
          <w:position w:val="1"/>
          <w:sz w:val="12"/>
        </w:rPr>
        <w:t> </w:t>
      </w:r>
      <w:r>
        <w:rPr>
          <w:rFonts w:ascii="Arial"/>
          <w:color w:val="231F20"/>
          <w:spacing w:val="11"/>
          <w:w w:val="95"/>
          <w:position w:val="1"/>
          <w:sz w:val="12"/>
        </w:rPr>
        <w:t>Report</w:t>
      </w:r>
      <w:r>
        <w:rPr>
          <w:rFonts w:ascii="Arial"/>
          <w:color w:val="231F20"/>
          <w:spacing w:val="11"/>
          <w:w w:val="95"/>
          <w:sz w:val="14"/>
        </w:rPr>
        <w:tab/>
      </w:r>
      <w:r>
        <w:rPr>
          <w:rFonts w:ascii="Arial"/>
          <w:color w:val="231F20"/>
          <w:w w:val="95"/>
          <w:sz w:val="14"/>
        </w:rPr>
        <w:t>7</w:t>
      </w:r>
    </w:p>
    <w:p>
      <w:pPr>
        <w:spacing w:after="0"/>
        <w:jc w:val="right"/>
        <w:rPr>
          <w:rFonts w:ascii="Arial"/>
          <w:sz w:val="14"/>
        </w:rPr>
        <w:sectPr>
          <w:pgSz w:w="12240" w:h="15840"/>
          <w:pgMar w:top="280" w:bottom="280" w:left="780" w:right="400"/>
        </w:sectPr>
      </w:pPr>
    </w:p>
    <w:p>
      <w:pPr>
        <w:pStyle w:val="BodyText"/>
        <w:rPr>
          <w:rFonts w:ascii="Arial"/>
          <w:sz w:val="20"/>
        </w:rPr>
      </w:pPr>
    </w:p>
    <w:p>
      <w:pPr>
        <w:pStyle w:val="BodyText"/>
        <w:rPr>
          <w:rFonts w:ascii="Arial"/>
          <w:sz w:val="20"/>
        </w:rPr>
      </w:pPr>
    </w:p>
    <w:p>
      <w:pPr>
        <w:pStyle w:val="BodyText"/>
        <w:rPr>
          <w:rFonts w:ascii="Arial"/>
          <w:sz w:val="28"/>
        </w:rPr>
      </w:pPr>
    </w:p>
    <w:p>
      <w:pPr>
        <w:spacing w:line="321" w:lineRule="auto" w:before="0"/>
        <w:ind w:left="120" w:right="6" w:firstLine="0"/>
        <w:jc w:val="both"/>
        <w:rPr>
          <w:rFonts w:ascii="Book Antiqua" w:hAnsi="Book Antiqua"/>
          <w:sz w:val="17"/>
        </w:rPr>
      </w:pPr>
      <w:r>
        <w:rPr>
          <w:rFonts w:ascii="Book Antiqua" w:hAnsi="Book Antiqua"/>
          <w:color w:val="231F20"/>
          <w:spacing w:val="3"/>
          <w:sz w:val="17"/>
        </w:rPr>
        <w:t>and</w:t>
      </w:r>
      <w:r>
        <w:rPr>
          <w:rFonts w:ascii="Book Antiqua" w:hAnsi="Book Antiqua"/>
          <w:color w:val="231F20"/>
          <w:spacing w:val="-6"/>
          <w:sz w:val="17"/>
        </w:rPr>
        <w:t> </w:t>
      </w:r>
      <w:r>
        <w:rPr>
          <w:rFonts w:ascii="Book Antiqua" w:hAnsi="Book Antiqua"/>
          <w:color w:val="231F20"/>
          <w:spacing w:val="4"/>
          <w:sz w:val="17"/>
        </w:rPr>
        <w:t>cancellations.</w:t>
      </w:r>
      <w:r>
        <w:rPr>
          <w:rFonts w:ascii="Book Antiqua" w:hAnsi="Book Antiqua"/>
          <w:color w:val="231F20"/>
          <w:spacing w:val="-6"/>
          <w:sz w:val="17"/>
        </w:rPr>
        <w:t> </w:t>
      </w:r>
      <w:r>
        <w:rPr>
          <w:rFonts w:ascii="Book Antiqua" w:hAnsi="Book Antiqua"/>
          <w:color w:val="231F20"/>
          <w:spacing w:val="3"/>
          <w:sz w:val="17"/>
        </w:rPr>
        <w:t>Our</w:t>
      </w:r>
      <w:r>
        <w:rPr>
          <w:rFonts w:ascii="Book Antiqua" w:hAnsi="Book Antiqua"/>
          <w:color w:val="231F20"/>
          <w:spacing w:val="-11"/>
          <w:sz w:val="17"/>
        </w:rPr>
        <w:t> </w:t>
      </w:r>
      <w:r>
        <w:rPr>
          <w:rFonts w:ascii="Book Antiqua" w:hAnsi="Book Antiqua"/>
          <w:color w:val="231F20"/>
          <w:sz w:val="17"/>
        </w:rPr>
        <w:t>f</w:t>
      </w:r>
      <w:r>
        <w:rPr>
          <w:rFonts w:ascii="Book Antiqua" w:hAnsi="Book Antiqua"/>
          <w:color w:val="231F20"/>
          <w:spacing w:val="-34"/>
          <w:sz w:val="17"/>
        </w:rPr>
        <w:t> </w:t>
      </w:r>
      <w:r>
        <w:rPr>
          <w:rFonts w:ascii="Book Antiqua" w:hAnsi="Book Antiqua"/>
          <w:color w:val="231F20"/>
          <w:spacing w:val="3"/>
          <w:sz w:val="17"/>
        </w:rPr>
        <w:t>leet</w:t>
      </w:r>
      <w:r>
        <w:rPr>
          <w:rFonts w:ascii="Book Antiqua" w:hAnsi="Book Antiqua"/>
          <w:color w:val="231F20"/>
          <w:spacing w:val="-9"/>
          <w:sz w:val="17"/>
        </w:rPr>
        <w:t> </w:t>
      </w:r>
      <w:r>
        <w:rPr>
          <w:rFonts w:ascii="Book Antiqua" w:hAnsi="Book Antiqua"/>
          <w:color w:val="231F20"/>
          <w:spacing w:val="2"/>
          <w:sz w:val="17"/>
        </w:rPr>
        <w:t>is</w:t>
      </w:r>
      <w:r>
        <w:rPr>
          <w:rFonts w:ascii="Book Antiqua" w:hAnsi="Book Antiqua"/>
          <w:color w:val="231F20"/>
          <w:spacing w:val="-10"/>
          <w:sz w:val="17"/>
        </w:rPr>
        <w:t> </w:t>
      </w:r>
      <w:r>
        <w:rPr>
          <w:rFonts w:ascii="Book Antiqua" w:hAnsi="Book Antiqua"/>
          <w:color w:val="231F20"/>
          <w:spacing w:val="3"/>
          <w:sz w:val="17"/>
        </w:rPr>
        <w:t>young</w:t>
      </w:r>
      <w:r>
        <w:rPr>
          <w:rFonts w:ascii="Book Antiqua" w:hAnsi="Book Antiqua"/>
          <w:color w:val="231F20"/>
          <w:spacing w:val="-6"/>
          <w:sz w:val="17"/>
        </w:rPr>
        <w:t> </w:t>
      </w:r>
      <w:r>
        <w:rPr>
          <w:rFonts w:ascii="Book Antiqua" w:hAnsi="Book Antiqua"/>
          <w:color w:val="231F20"/>
          <w:spacing w:val="3"/>
          <w:sz w:val="17"/>
        </w:rPr>
        <w:t>and</w:t>
      </w:r>
      <w:r>
        <w:rPr>
          <w:rFonts w:ascii="Book Antiqua" w:hAnsi="Book Antiqua"/>
          <w:color w:val="231F20"/>
          <w:spacing w:val="-12"/>
          <w:sz w:val="17"/>
        </w:rPr>
        <w:t> </w:t>
      </w:r>
      <w:r>
        <w:rPr>
          <w:rFonts w:ascii="Book Antiqua" w:hAnsi="Book Antiqua"/>
          <w:color w:val="231F20"/>
          <w:spacing w:val="4"/>
          <w:sz w:val="17"/>
        </w:rPr>
        <w:t>well-maintained,</w:t>
      </w:r>
      <w:r>
        <w:rPr>
          <w:rFonts w:ascii="Book Antiqua" w:hAnsi="Book Antiqua"/>
          <w:color w:val="231F20"/>
          <w:spacing w:val="-15"/>
          <w:sz w:val="17"/>
        </w:rPr>
        <w:t> </w:t>
      </w:r>
      <w:r>
        <w:rPr>
          <w:rFonts w:ascii="Book Antiqua" w:hAnsi="Book Antiqua"/>
          <w:color w:val="231F20"/>
          <w:spacing w:val="5"/>
          <w:sz w:val="17"/>
        </w:rPr>
        <w:t>which </w:t>
      </w:r>
      <w:r>
        <w:rPr>
          <w:rFonts w:ascii="Book Antiqua" w:hAnsi="Book Antiqua"/>
          <w:color w:val="231F20"/>
          <w:spacing w:val="2"/>
          <w:w w:val="95"/>
          <w:sz w:val="17"/>
        </w:rPr>
        <w:t>also </w:t>
      </w:r>
      <w:r>
        <w:rPr>
          <w:rFonts w:ascii="Book Antiqua" w:hAnsi="Book Antiqua"/>
          <w:color w:val="231F20"/>
          <w:w w:val="95"/>
          <w:sz w:val="17"/>
        </w:rPr>
        <w:t>allows us to avoid excessive </w:t>
      </w:r>
      <w:r>
        <w:rPr>
          <w:rFonts w:ascii="Book Antiqua" w:hAnsi="Book Antiqua"/>
          <w:color w:val="231F20"/>
          <w:spacing w:val="2"/>
          <w:w w:val="95"/>
          <w:sz w:val="17"/>
        </w:rPr>
        <w:t>mechanical delays. Where </w:t>
      </w:r>
      <w:r>
        <w:rPr>
          <w:rFonts w:ascii="Book Antiqua" w:hAnsi="Book Antiqua"/>
          <w:color w:val="231F20"/>
          <w:spacing w:val="3"/>
          <w:w w:val="95"/>
          <w:sz w:val="17"/>
        </w:rPr>
        <w:t>available, </w:t>
      </w:r>
      <w:r>
        <w:rPr>
          <w:rFonts w:ascii="Book Antiqua" w:hAnsi="Book Antiqua"/>
          <w:color w:val="231F20"/>
          <w:w w:val="95"/>
          <w:sz w:val="17"/>
        </w:rPr>
        <w:t>we favor </w:t>
      </w:r>
      <w:r>
        <w:rPr>
          <w:rFonts w:ascii="Book Antiqua" w:hAnsi="Book Antiqua"/>
          <w:color w:val="231F20"/>
          <w:spacing w:val="2"/>
          <w:w w:val="95"/>
          <w:sz w:val="17"/>
        </w:rPr>
        <w:t>alternative </w:t>
      </w:r>
      <w:r>
        <w:rPr>
          <w:rFonts w:ascii="Book Antiqua" w:hAnsi="Book Antiqua"/>
          <w:color w:val="231F20"/>
          <w:spacing w:val="3"/>
          <w:w w:val="95"/>
          <w:sz w:val="17"/>
        </w:rPr>
        <w:t>airports </w:t>
      </w:r>
      <w:r>
        <w:rPr>
          <w:rFonts w:ascii="Book Antiqua" w:hAnsi="Book Antiqua"/>
          <w:color w:val="231F20"/>
          <w:w w:val="95"/>
          <w:sz w:val="17"/>
        </w:rPr>
        <w:t>in </w:t>
      </w:r>
      <w:r>
        <w:rPr>
          <w:rFonts w:ascii="Book Antiqua" w:hAnsi="Book Antiqua"/>
          <w:color w:val="231F20"/>
          <w:spacing w:val="2"/>
          <w:w w:val="95"/>
          <w:sz w:val="17"/>
        </w:rPr>
        <w:t>major </w:t>
      </w:r>
      <w:r>
        <w:rPr>
          <w:rFonts w:ascii="Book Antiqua" w:hAnsi="Book Antiqua"/>
          <w:color w:val="231F20"/>
          <w:w w:val="95"/>
          <w:sz w:val="17"/>
        </w:rPr>
        <w:t>U.S. </w:t>
      </w:r>
      <w:r>
        <w:rPr>
          <w:rFonts w:ascii="Book Antiqua" w:hAnsi="Book Antiqua"/>
          <w:color w:val="231F20"/>
          <w:spacing w:val="2"/>
          <w:w w:val="95"/>
          <w:sz w:val="17"/>
        </w:rPr>
        <w:t>cities, </w:t>
      </w:r>
      <w:r>
        <w:rPr>
          <w:rFonts w:ascii="Book Antiqua" w:hAnsi="Book Antiqua"/>
          <w:color w:val="231F20"/>
          <w:w w:val="95"/>
          <w:sz w:val="17"/>
        </w:rPr>
        <w:t>avoiding </w:t>
      </w:r>
      <w:r>
        <w:rPr>
          <w:rFonts w:ascii="Book Antiqua" w:hAnsi="Book Antiqua"/>
          <w:color w:val="231F20"/>
          <w:spacing w:val="3"/>
          <w:w w:val="95"/>
          <w:sz w:val="17"/>
        </w:rPr>
        <w:t>congestion </w:t>
      </w:r>
      <w:r>
        <w:rPr>
          <w:rFonts w:ascii="Book Antiqua" w:hAnsi="Book Antiqua"/>
          <w:color w:val="231F20"/>
          <w:spacing w:val="2"/>
          <w:sz w:val="17"/>
        </w:rPr>
        <w:t>in</w:t>
      </w:r>
      <w:r>
        <w:rPr>
          <w:rFonts w:ascii="Book Antiqua" w:hAnsi="Book Antiqua"/>
          <w:color w:val="231F20"/>
          <w:spacing w:val="-19"/>
          <w:sz w:val="17"/>
        </w:rPr>
        <w:t> </w:t>
      </w:r>
      <w:r>
        <w:rPr>
          <w:rFonts w:ascii="Book Antiqua" w:hAnsi="Book Antiqua"/>
          <w:color w:val="231F20"/>
          <w:spacing w:val="4"/>
          <w:sz w:val="17"/>
        </w:rPr>
        <w:t>competitors’</w:t>
      </w:r>
      <w:r>
        <w:rPr>
          <w:rFonts w:ascii="Book Antiqua" w:hAnsi="Book Antiqua"/>
          <w:color w:val="231F20"/>
          <w:spacing w:val="-24"/>
          <w:sz w:val="17"/>
        </w:rPr>
        <w:t> </w:t>
      </w:r>
      <w:r>
        <w:rPr>
          <w:rFonts w:ascii="Book Antiqua" w:hAnsi="Book Antiqua"/>
          <w:color w:val="231F20"/>
          <w:spacing w:val="4"/>
          <w:sz w:val="17"/>
        </w:rPr>
        <w:t>hubs,</w:t>
      </w:r>
      <w:r>
        <w:rPr>
          <w:rFonts w:ascii="Book Antiqua" w:hAnsi="Book Antiqua"/>
          <w:color w:val="231F20"/>
          <w:spacing w:val="-24"/>
          <w:sz w:val="17"/>
        </w:rPr>
        <w:t> </w:t>
      </w:r>
      <w:r>
        <w:rPr>
          <w:rFonts w:ascii="Book Antiqua" w:hAnsi="Book Antiqua"/>
          <w:color w:val="231F20"/>
          <w:spacing w:val="4"/>
          <w:sz w:val="17"/>
        </w:rPr>
        <w:t>which</w:t>
      </w:r>
      <w:r>
        <w:rPr>
          <w:rFonts w:ascii="Book Antiqua" w:hAnsi="Book Antiqua"/>
          <w:color w:val="231F20"/>
          <w:spacing w:val="-19"/>
          <w:sz w:val="17"/>
        </w:rPr>
        <w:t> </w:t>
      </w:r>
      <w:r>
        <w:rPr>
          <w:rFonts w:ascii="Book Antiqua" w:hAnsi="Book Antiqua"/>
          <w:color w:val="231F20"/>
          <w:spacing w:val="3"/>
          <w:sz w:val="17"/>
        </w:rPr>
        <w:t>keeps</w:t>
      </w:r>
      <w:r>
        <w:rPr>
          <w:rFonts w:ascii="Book Antiqua" w:hAnsi="Book Antiqua"/>
          <w:color w:val="231F20"/>
          <w:spacing w:val="-19"/>
          <w:sz w:val="17"/>
        </w:rPr>
        <w:t> </w:t>
      </w:r>
      <w:r>
        <w:rPr>
          <w:rFonts w:ascii="Book Antiqua" w:hAnsi="Book Antiqua"/>
          <w:color w:val="231F20"/>
          <w:spacing w:val="3"/>
          <w:sz w:val="17"/>
        </w:rPr>
        <w:t>our</w:t>
      </w:r>
      <w:r>
        <w:rPr>
          <w:rFonts w:ascii="Book Antiqua" w:hAnsi="Book Antiqua"/>
          <w:color w:val="231F20"/>
          <w:spacing w:val="-23"/>
          <w:sz w:val="17"/>
        </w:rPr>
        <w:t> </w:t>
      </w:r>
      <w:r>
        <w:rPr>
          <w:rFonts w:ascii="Book Antiqua" w:hAnsi="Book Antiqua"/>
          <w:color w:val="231F20"/>
          <w:spacing w:val="4"/>
          <w:sz w:val="17"/>
        </w:rPr>
        <w:t>planes</w:t>
      </w:r>
      <w:r>
        <w:rPr>
          <w:rFonts w:ascii="Book Antiqua" w:hAnsi="Book Antiqua"/>
          <w:color w:val="231F20"/>
          <w:spacing w:val="-19"/>
          <w:sz w:val="17"/>
        </w:rPr>
        <w:t> </w:t>
      </w:r>
      <w:r>
        <w:rPr>
          <w:rFonts w:ascii="Book Antiqua" w:hAnsi="Book Antiqua"/>
          <w:color w:val="231F20"/>
          <w:spacing w:val="5"/>
          <w:sz w:val="17"/>
        </w:rPr>
        <w:t>off</w:t>
      </w:r>
      <w:r>
        <w:rPr>
          <w:rFonts w:ascii="Book Antiqua" w:hAnsi="Book Antiqua"/>
          <w:color w:val="231F20"/>
          <w:spacing w:val="-19"/>
          <w:sz w:val="17"/>
        </w:rPr>
        <w:t> </w:t>
      </w:r>
      <w:r>
        <w:rPr>
          <w:rFonts w:ascii="Book Antiqua" w:hAnsi="Book Antiqua"/>
          <w:color w:val="231F20"/>
          <w:spacing w:val="3"/>
          <w:sz w:val="17"/>
        </w:rPr>
        <w:t>the</w:t>
      </w:r>
      <w:r>
        <w:rPr>
          <w:rFonts w:ascii="Book Antiqua" w:hAnsi="Book Antiqua"/>
          <w:color w:val="231F20"/>
          <w:spacing w:val="-19"/>
          <w:sz w:val="17"/>
        </w:rPr>
        <w:t> </w:t>
      </w:r>
      <w:r>
        <w:rPr>
          <w:rFonts w:ascii="Book Antiqua" w:hAnsi="Book Antiqua"/>
          <w:color w:val="231F20"/>
          <w:spacing w:val="4"/>
          <w:sz w:val="17"/>
        </w:rPr>
        <w:t>ground</w:t>
      </w:r>
      <w:r>
        <w:rPr>
          <w:rFonts w:ascii="Book Antiqua" w:hAnsi="Book Antiqua"/>
          <w:color w:val="231F20"/>
          <w:spacing w:val="-19"/>
          <w:sz w:val="17"/>
        </w:rPr>
        <w:t> </w:t>
      </w:r>
      <w:r>
        <w:rPr>
          <w:rFonts w:ascii="Book Antiqua" w:hAnsi="Book Antiqua"/>
          <w:color w:val="231F20"/>
          <w:spacing w:val="3"/>
          <w:sz w:val="17"/>
        </w:rPr>
        <w:t>and</w:t>
      </w:r>
      <w:r>
        <w:rPr>
          <w:rFonts w:ascii="Book Antiqua" w:hAnsi="Book Antiqua"/>
          <w:color w:val="231F20"/>
          <w:spacing w:val="-19"/>
          <w:sz w:val="17"/>
        </w:rPr>
        <w:t> </w:t>
      </w:r>
      <w:r>
        <w:rPr>
          <w:rFonts w:ascii="Book Antiqua" w:hAnsi="Book Antiqua"/>
          <w:color w:val="231F20"/>
          <w:spacing w:val="5"/>
          <w:sz w:val="17"/>
        </w:rPr>
        <w:t>in </w:t>
      </w:r>
      <w:r>
        <w:rPr>
          <w:rFonts w:ascii="Book Antiqua" w:hAnsi="Book Antiqua"/>
          <w:color w:val="231F20"/>
          <w:spacing w:val="3"/>
          <w:sz w:val="17"/>
        </w:rPr>
        <w:t>the</w:t>
      </w:r>
      <w:r>
        <w:rPr>
          <w:rFonts w:ascii="Book Antiqua" w:hAnsi="Book Antiqua"/>
          <w:color w:val="231F20"/>
          <w:spacing w:val="-14"/>
          <w:sz w:val="17"/>
        </w:rPr>
        <w:t> </w:t>
      </w:r>
      <w:r>
        <w:rPr>
          <w:rFonts w:ascii="Book Antiqua" w:hAnsi="Book Antiqua"/>
          <w:color w:val="231F20"/>
          <w:spacing w:val="3"/>
          <w:sz w:val="17"/>
        </w:rPr>
        <w:t>air</w:t>
      </w:r>
      <w:r>
        <w:rPr>
          <w:rFonts w:ascii="Book Antiqua" w:hAnsi="Book Antiqua"/>
          <w:color w:val="231F20"/>
          <w:spacing w:val="-20"/>
          <w:sz w:val="17"/>
        </w:rPr>
        <w:t> </w:t>
      </w:r>
      <w:r>
        <w:rPr>
          <w:rFonts w:ascii="Book Antiqua" w:hAnsi="Book Antiqua"/>
          <w:color w:val="231F20"/>
          <w:spacing w:val="4"/>
          <w:sz w:val="17"/>
        </w:rPr>
        <w:t>where</w:t>
      </w:r>
      <w:r>
        <w:rPr>
          <w:rFonts w:ascii="Book Antiqua" w:hAnsi="Book Antiqua"/>
          <w:color w:val="231F20"/>
          <w:spacing w:val="-14"/>
          <w:sz w:val="17"/>
        </w:rPr>
        <w:t> </w:t>
      </w:r>
      <w:r>
        <w:rPr>
          <w:rFonts w:ascii="Book Antiqua" w:hAnsi="Book Antiqua"/>
          <w:color w:val="231F20"/>
          <w:spacing w:val="3"/>
          <w:sz w:val="17"/>
        </w:rPr>
        <w:t>they</w:t>
      </w:r>
      <w:r>
        <w:rPr>
          <w:rFonts w:ascii="Book Antiqua" w:hAnsi="Book Antiqua"/>
          <w:color w:val="231F20"/>
          <w:spacing w:val="-18"/>
          <w:sz w:val="17"/>
        </w:rPr>
        <w:t> </w:t>
      </w:r>
      <w:r>
        <w:rPr>
          <w:rFonts w:ascii="Book Antiqua" w:hAnsi="Book Antiqua"/>
          <w:color w:val="231F20"/>
          <w:spacing w:val="3"/>
          <w:sz w:val="17"/>
        </w:rPr>
        <w:t>are</w:t>
      </w:r>
      <w:r>
        <w:rPr>
          <w:rFonts w:ascii="Book Antiqua" w:hAnsi="Book Antiqua"/>
          <w:color w:val="231F20"/>
          <w:spacing w:val="-14"/>
          <w:sz w:val="17"/>
        </w:rPr>
        <w:t> </w:t>
      </w:r>
      <w:r>
        <w:rPr>
          <w:rFonts w:ascii="Book Antiqua" w:hAnsi="Book Antiqua"/>
          <w:color w:val="231F20"/>
          <w:spacing w:val="4"/>
          <w:sz w:val="17"/>
        </w:rPr>
        <w:t>making</w:t>
      </w:r>
      <w:r>
        <w:rPr>
          <w:rFonts w:ascii="Book Antiqua" w:hAnsi="Book Antiqua"/>
          <w:color w:val="231F20"/>
          <w:spacing w:val="-14"/>
          <w:sz w:val="17"/>
        </w:rPr>
        <w:t> </w:t>
      </w:r>
      <w:r>
        <w:rPr>
          <w:rFonts w:ascii="Book Antiqua" w:hAnsi="Book Antiqua"/>
          <w:color w:val="231F20"/>
          <w:spacing w:val="2"/>
          <w:sz w:val="17"/>
        </w:rPr>
        <w:t>money.</w:t>
      </w:r>
    </w:p>
    <w:p>
      <w:pPr>
        <w:spacing w:line="321" w:lineRule="auto" w:before="0"/>
        <w:ind w:left="120" w:right="0" w:firstLine="360"/>
        <w:jc w:val="both"/>
        <w:rPr>
          <w:rFonts w:ascii="Book Antiqua" w:hAnsi="Book Antiqua"/>
          <w:sz w:val="17"/>
        </w:rPr>
      </w:pPr>
      <w:r>
        <w:rPr>
          <w:rFonts w:ascii="Book Antiqua" w:hAnsi="Book Antiqua"/>
          <w:color w:val="231F20"/>
          <w:spacing w:val="-5"/>
          <w:w w:val="95"/>
          <w:sz w:val="17"/>
        </w:rPr>
        <w:t>We</w:t>
      </w:r>
      <w:r>
        <w:rPr>
          <w:rFonts w:ascii="Book Antiqua" w:hAnsi="Book Antiqua"/>
          <w:color w:val="231F20"/>
          <w:w w:val="95"/>
          <w:sz w:val="17"/>
        </w:rPr>
        <w:t> </w:t>
      </w:r>
      <w:r>
        <w:rPr>
          <w:rFonts w:ascii="Book Antiqua" w:hAnsi="Book Antiqua"/>
          <w:color w:val="231F20"/>
          <w:spacing w:val="2"/>
          <w:w w:val="95"/>
          <w:sz w:val="17"/>
        </w:rPr>
        <w:t>have</w:t>
      </w:r>
      <w:r>
        <w:rPr>
          <w:rFonts w:ascii="Book Antiqua" w:hAnsi="Book Antiqua"/>
          <w:color w:val="231F20"/>
          <w:w w:val="95"/>
          <w:sz w:val="17"/>
        </w:rPr>
        <w:t> a</w:t>
      </w:r>
      <w:r>
        <w:rPr>
          <w:rFonts w:ascii="Book Antiqua" w:hAnsi="Book Antiqua"/>
          <w:color w:val="231F20"/>
          <w:spacing w:val="-5"/>
          <w:w w:val="95"/>
          <w:sz w:val="17"/>
        </w:rPr>
        <w:t> </w:t>
      </w:r>
      <w:r>
        <w:rPr>
          <w:rFonts w:ascii="Book Antiqua" w:hAnsi="Book Antiqua"/>
          <w:color w:val="231F20"/>
          <w:spacing w:val="3"/>
          <w:w w:val="95"/>
          <w:sz w:val="17"/>
        </w:rPr>
        <w:t>very</w:t>
      </w:r>
      <w:r>
        <w:rPr>
          <w:rFonts w:ascii="Book Antiqua" w:hAnsi="Book Antiqua"/>
          <w:color w:val="231F20"/>
          <w:spacing w:val="-8"/>
          <w:w w:val="95"/>
          <w:sz w:val="17"/>
        </w:rPr>
        <w:t> </w:t>
      </w:r>
      <w:r>
        <w:rPr>
          <w:rFonts w:ascii="Book Antiqua" w:hAnsi="Book Antiqua"/>
          <w:color w:val="231F20"/>
          <w:spacing w:val="4"/>
          <w:w w:val="95"/>
          <w:sz w:val="17"/>
        </w:rPr>
        <w:t>strong</w:t>
      </w:r>
      <w:r>
        <w:rPr>
          <w:rFonts w:ascii="Book Antiqua" w:hAnsi="Book Antiqua"/>
          <w:color w:val="231F20"/>
          <w:w w:val="95"/>
          <w:sz w:val="17"/>
        </w:rPr>
        <w:t> </w:t>
      </w:r>
      <w:r>
        <w:rPr>
          <w:rFonts w:ascii="Book Antiqua" w:hAnsi="Book Antiqua"/>
          <w:color w:val="231F20"/>
          <w:spacing w:val="3"/>
          <w:w w:val="95"/>
          <w:sz w:val="17"/>
        </w:rPr>
        <w:t>low-fare</w:t>
      </w:r>
      <w:r>
        <w:rPr>
          <w:rFonts w:ascii="Book Antiqua" w:hAnsi="Book Antiqua"/>
          <w:color w:val="231F20"/>
          <w:w w:val="95"/>
          <w:sz w:val="17"/>
        </w:rPr>
        <w:t> </w:t>
      </w:r>
      <w:r>
        <w:rPr>
          <w:rFonts w:ascii="Book Antiqua" w:hAnsi="Book Antiqua"/>
          <w:color w:val="231F20"/>
          <w:spacing w:val="4"/>
          <w:w w:val="95"/>
          <w:sz w:val="17"/>
        </w:rPr>
        <w:t>brand,</w:t>
      </w:r>
      <w:r>
        <w:rPr>
          <w:rFonts w:ascii="Book Antiqua" w:hAnsi="Book Antiqua"/>
          <w:color w:val="231F20"/>
          <w:spacing w:val="-9"/>
          <w:w w:val="95"/>
          <w:sz w:val="17"/>
        </w:rPr>
        <w:t> </w:t>
      </w:r>
      <w:r>
        <w:rPr>
          <w:rFonts w:ascii="Book Antiqua" w:hAnsi="Book Antiqua"/>
          <w:color w:val="231F20"/>
          <w:spacing w:val="4"/>
          <w:w w:val="95"/>
          <w:sz w:val="17"/>
        </w:rPr>
        <w:t>which</w:t>
      </w:r>
      <w:r>
        <w:rPr>
          <w:rFonts w:ascii="Book Antiqua" w:hAnsi="Book Antiqua"/>
          <w:color w:val="231F20"/>
          <w:w w:val="95"/>
          <w:sz w:val="17"/>
        </w:rPr>
        <w:t> </w:t>
      </w:r>
      <w:r>
        <w:rPr>
          <w:rFonts w:ascii="Book Antiqua" w:hAnsi="Book Antiqua"/>
          <w:color w:val="231F20"/>
          <w:spacing w:val="4"/>
          <w:w w:val="95"/>
          <w:sz w:val="17"/>
        </w:rPr>
        <w:t>draws</w:t>
      </w:r>
      <w:r>
        <w:rPr>
          <w:rFonts w:ascii="Book Antiqua" w:hAnsi="Book Antiqua"/>
          <w:color w:val="231F20"/>
          <w:w w:val="95"/>
          <w:sz w:val="17"/>
        </w:rPr>
        <w:t> </w:t>
      </w:r>
      <w:r>
        <w:rPr>
          <w:rFonts w:ascii="Book Antiqua" w:hAnsi="Book Antiqua"/>
          <w:color w:val="231F20"/>
          <w:spacing w:val="5"/>
          <w:w w:val="95"/>
          <w:sz w:val="17"/>
        </w:rPr>
        <w:t>Customers </w:t>
      </w:r>
      <w:r>
        <w:rPr>
          <w:rFonts w:ascii="Book Antiqua" w:hAnsi="Book Antiqua"/>
          <w:color w:val="231F20"/>
          <w:spacing w:val="2"/>
          <w:sz w:val="17"/>
        </w:rPr>
        <w:t>to us </w:t>
      </w:r>
      <w:r>
        <w:rPr>
          <w:rFonts w:ascii="Book Antiqua" w:hAnsi="Book Antiqua"/>
          <w:color w:val="231F20"/>
          <w:spacing w:val="4"/>
          <w:sz w:val="17"/>
        </w:rPr>
        <w:t>directly </w:t>
      </w:r>
      <w:r>
        <w:rPr>
          <w:rFonts w:ascii="Book Antiqua" w:hAnsi="Book Antiqua"/>
          <w:color w:val="231F20"/>
          <w:spacing w:val="3"/>
          <w:sz w:val="17"/>
        </w:rPr>
        <w:t>and </w:t>
      </w:r>
      <w:r>
        <w:rPr>
          <w:rFonts w:ascii="Book Antiqua" w:hAnsi="Book Antiqua"/>
          <w:color w:val="231F20"/>
          <w:spacing w:val="4"/>
          <w:sz w:val="17"/>
        </w:rPr>
        <w:t>results </w:t>
      </w:r>
      <w:r>
        <w:rPr>
          <w:rFonts w:ascii="Book Antiqua" w:hAnsi="Book Antiqua"/>
          <w:color w:val="231F20"/>
          <w:spacing w:val="2"/>
          <w:sz w:val="17"/>
        </w:rPr>
        <w:t>in </w:t>
      </w:r>
      <w:r>
        <w:rPr>
          <w:rFonts w:ascii="Book Antiqua" w:hAnsi="Book Antiqua"/>
          <w:color w:val="231F20"/>
          <w:spacing w:val="3"/>
          <w:sz w:val="17"/>
        </w:rPr>
        <w:t>very </w:t>
      </w:r>
      <w:r>
        <w:rPr>
          <w:rFonts w:ascii="Book Antiqua" w:hAnsi="Book Antiqua"/>
          <w:color w:val="231F20"/>
          <w:sz w:val="17"/>
        </w:rPr>
        <w:t>low </w:t>
      </w:r>
      <w:r>
        <w:rPr>
          <w:rFonts w:ascii="Book Antiqua" w:hAnsi="Book Antiqua"/>
          <w:color w:val="231F20"/>
          <w:spacing w:val="4"/>
          <w:sz w:val="17"/>
        </w:rPr>
        <w:t>distribution costs. </w:t>
      </w:r>
      <w:r>
        <w:rPr>
          <w:rFonts w:ascii="Book Antiqua" w:hAnsi="Book Antiqua"/>
          <w:color w:val="231F20"/>
          <w:spacing w:val="2"/>
          <w:sz w:val="17"/>
        </w:rPr>
        <w:t>In </w:t>
      </w:r>
      <w:r>
        <w:rPr>
          <w:rFonts w:ascii="Book Antiqua" w:hAnsi="Book Antiqua"/>
          <w:color w:val="231F20"/>
          <w:spacing w:val="5"/>
          <w:sz w:val="17"/>
        </w:rPr>
        <w:t>2003, approximately </w:t>
      </w:r>
      <w:r>
        <w:rPr>
          <w:rFonts w:ascii="Book Antiqua" w:hAnsi="Book Antiqua"/>
          <w:color w:val="231F20"/>
          <w:spacing w:val="3"/>
          <w:sz w:val="17"/>
        </w:rPr>
        <w:t>54 </w:t>
      </w:r>
      <w:r>
        <w:rPr>
          <w:rFonts w:ascii="Book Antiqua" w:hAnsi="Book Antiqua"/>
          <w:color w:val="231F20"/>
          <w:spacing w:val="5"/>
          <w:sz w:val="17"/>
        </w:rPr>
        <w:t>percent </w:t>
      </w:r>
      <w:r>
        <w:rPr>
          <w:rFonts w:ascii="Book Antiqua" w:hAnsi="Book Antiqua"/>
          <w:color w:val="231F20"/>
          <w:spacing w:val="3"/>
          <w:sz w:val="17"/>
        </w:rPr>
        <w:t>of </w:t>
      </w:r>
      <w:r>
        <w:rPr>
          <w:rFonts w:ascii="Book Antiqua" w:hAnsi="Book Antiqua"/>
          <w:color w:val="231F20"/>
          <w:spacing w:val="5"/>
          <w:sz w:val="17"/>
        </w:rPr>
        <w:t>passenger </w:t>
      </w:r>
      <w:r>
        <w:rPr>
          <w:rFonts w:ascii="Book Antiqua" w:hAnsi="Book Antiqua"/>
          <w:color w:val="231F20"/>
          <w:spacing w:val="4"/>
          <w:sz w:val="17"/>
        </w:rPr>
        <w:t>revenues </w:t>
      </w:r>
      <w:r>
        <w:rPr>
          <w:rFonts w:ascii="Book Antiqua" w:hAnsi="Book Antiqua"/>
          <w:color w:val="231F20"/>
          <w:spacing w:val="3"/>
          <w:sz w:val="17"/>
        </w:rPr>
        <w:t>were </w:t>
      </w:r>
      <w:r>
        <w:rPr>
          <w:rFonts w:ascii="Book Antiqua" w:hAnsi="Book Antiqua"/>
          <w:color w:val="231F20"/>
          <w:spacing w:val="5"/>
          <w:sz w:val="17"/>
        </w:rPr>
        <w:t>derived </w:t>
      </w:r>
      <w:r>
        <w:rPr>
          <w:rFonts w:ascii="Book Antiqua" w:hAnsi="Book Antiqua"/>
          <w:color w:val="231F20"/>
          <w:w w:val="95"/>
          <w:sz w:val="17"/>
        </w:rPr>
        <w:t>through</w:t>
      </w:r>
      <w:r>
        <w:rPr>
          <w:rFonts w:ascii="Book Antiqua" w:hAnsi="Book Antiqua"/>
          <w:color w:val="231F20"/>
          <w:spacing w:val="-4"/>
          <w:w w:val="95"/>
          <w:sz w:val="17"/>
        </w:rPr>
        <w:t> </w:t>
      </w:r>
      <w:r>
        <w:rPr>
          <w:rFonts w:ascii="Book Antiqua" w:hAnsi="Book Antiqua"/>
          <w:color w:val="231F20"/>
          <w:w w:val="95"/>
          <w:sz w:val="17"/>
        </w:rPr>
        <w:t>the</w:t>
      </w:r>
      <w:r>
        <w:rPr>
          <w:rFonts w:ascii="Book Antiqua" w:hAnsi="Book Antiqua"/>
          <w:color w:val="231F20"/>
          <w:spacing w:val="-4"/>
          <w:w w:val="95"/>
          <w:sz w:val="17"/>
        </w:rPr>
        <w:t> </w:t>
      </w:r>
      <w:r>
        <w:rPr>
          <w:rFonts w:ascii="Book Antiqua" w:hAnsi="Book Antiqua"/>
          <w:color w:val="231F20"/>
          <w:w w:val="95"/>
          <w:sz w:val="17"/>
        </w:rPr>
        <w:t>Company’s</w:t>
      </w:r>
      <w:r>
        <w:rPr>
          <w:rFonts w:ascii="Book Antiqua" w:hAnsi="Book Antiqua"/>
          <w:color w:val="231F20"/>
          <w:spacing w:val="-8"/>
          <w:w w:val="95"/>
          <w:sz w:val="17"/>
        </w:rPr>
        <w:t> </w:t>
      </w:r>
      <w:r>
        <w:rPr>
          <w:rFonts w:ascii="Book Antiqua" w:hAnsi="Book Antiqua"/>
          <w:color w:val="231F20"/>
          <w:w w:val="95"/>
          <w:sz w:val="17"/>
        </w:rPr>
        <w:t>web</w:t>
      </w:r>
      <w:r>
        <w:rPr>
          <w:rFonts w:ascii="Book Antiqua" w:hAnsi="Book Antiqua"/>
          <w:color w:val="231F20"/>
          <w:spacing w:val="-4"/>
          <w:w w:val="95"/>
          <w:sz w:val="17"/>
        </w:rPr>
        <w:t> </w:t>
      </w:r>
      <w:r>
        <w:rPr>
          <w:rFonts w:ascii="Book Antiqua" w:hAnsi="Book Antiqua"/>
          <w:color w:val="231F20"/>
          <w:w w:val="95"/>
          <w:sz w:val="17"/>
        </w:rPr>
        <w:t>site</w:t>
      </w:r>
      <w:r>
        <w:rPr>
          <w:rFonts w:ascii="Book Antiqua" w:hAnsi="Book Antiqua"/>
          <w:color w:val="231F20"/>
          <w:spacing w:val="-4"/>
          <w:w w:val="95"/>
          <w:sz w:val="17"/>
        </w:rPr>
        <w:t> </w:t>
      </w:r>
      <w:r>
        <w:rPr>
          <w:rFonts w:ascii="Book Antiqua" w:hAnsi="Book Antiqua"/>
          <w:color w:val="231F20"/>
          <w:w w:val="95"/>
          <w:sz w:val="17"/>
        </w:rPr>
        <w:t>at</w:t>
      </w:r>
      <w:r>
        <w:rPr>
          <w:rFonts w:ascii="Book Antiqua" w:hAnsi="Book Antiqua"/>
          <w:color w:val="231F20"/>
          <w:spacing w:val="-9"/>
          <w:w w:val="95"/>
          <w:sz w:val="17"/>
        </w:rPr>
        <w:t> </w:t>
      </w:r>
      <w:r>
        <w:rPr>
          <w:rFonts w:ascii="Book Antiqua" w:hAnsi="Book Antiqua"/>
          <w:color w:val="231F20"/>
          <w:w w:val="95"/>
          <w:sz w:val="17"/>
        </w:rPr>
        <w:t>southwest.com</w:t>
      </w:r>
      <w:r>
        <w:rPr>
          <w:rFonts w:ascii="Book Antiqua" w:hAnsi="Book Antiqua"/>
          <w:color w:val="231F20"/>
          <w:spacing w:val="-4"/>
          <w:w w:val="95"/>
          <w:sz w:val="17"/>
        </w:rPr>
        <w:t> </w:t>
      </w:r>
      <w:r>
        <w:rPr>
          <w:rFonts w:ascii="Book Antiqua" w:hAnsi="Book Antiqua"/>
          <w:color w:val="231F20"/>
          <w:w w:val="95"/>
          <w:sz w:val="17"/>
        </w:rPr>
        <w:t>and</w:t>
      </w:r>
      <w:r>
        <w:rPr>
          <w:rFonts w:ascii="Book Antiqua" w:hAnsi="Book Antiqua"/>
          <w:color w:val="231F20"/>
          <w:spacing w:val="-4"/>
          <w:w w:val="95"/>
          <w:sz w:val="17"/>
        </w:rPr>
        <w:t> </w:t>
      </w:r>
      <w:r>
        <w:rPr>
          <w:rFonts w:ascii="Book Antiqua" w:hAnsi="Book Antiqua"/>
          <w:color w:val="231F20"/>
          <w:w w:val="95"/>
          <w:sz w:val="17"/>
        </w:rPr>
        <w:t>only</w:t>
      </w:r>
      <w:r>
        <w:rPr>
          <w:rFonts w:ascii="Book Antiqua" w:hAnsi="Book Antiqua"/>
          <w:color w:val="231F20"/>
          <w:spacing w:val="-12"/>
          <w:w w:val="95"/>
          <w:sz w:val="17"/>
        </w:rPr>
        <w:t> </w:t>
      </w:r>
      <w:r>
        <w:rPr>
          <w:rFonts w:ascii="Book Antiqua" w:hAnsi="Book Antiqua"/>
          <w:color w:val="231F20"/>
          <w:spacing w:val="-5"/>
          <w:w w:val="95"/>
          <w:sz w:val="17"/>
        </w:rPr>
        <w:t>16</w:t>
      </w:r>
      <w:r>
        <w:rPr>
          <w:rFonts w:ascii="Book Antiqua" w:hAnsi="Book Antiqua"/>
          <w:color w:val="231F20"/>
          <w:spacing w:val="-4"/>
          <w:w w:val="95"/>
          <w:sz w:val="17"/>
        </w:rPr>
        <w:t> </w:t>
      </w:r>
      <w:r>
        <w:rPr>
          <w:rFonts w:ascii="Book Antiqua" w:hAnsi="Book Antiqua"/>
          <w:color w:val="231F20"/>
          <w:w w:val="95"/>
          <w:sz w:val="17"/>
        </w:rPr>
        <w:t>percent </w:t>
      </w:r>
      <w:r>
        <w:rPr>
          <w:rFonts w:ascii="Book Antiqua" w:hAnsi="Book Antiqua"/>
          <w:color w:val="231F20"/>
          <w:spacing w:val="2"/>
          <w:w w:val="95"/>
          <w:sz w:val="17"/>
        </w:rPr>
        <w:t>were</w:t>
      </w:r>
      <w:r>
        <w:rPr>
          <w:rFonts w:ascii="Book Antiqua" w:hAnsi="Book Antiqua"/>
          <w:color w:val="231F20"/>
          <w:spacing w:val="-5"/>
          <w:w w:val="95"/>
          <w:sz w:val="17"/>
        </w:rPr>
        <w:t> </w:t>
      </w:r>
      <w:r>
        <w:rPr>
          <w:rFonts w:ascii="Book Antiqua" w:hAnsi="Book Antiqua"/>
          <w:color w:val="231F20"/>
          <w:spacing w:val="3"/>
          <w:w w:val="95"/>
          <w:sz w:val="17"/>
        </w:rPr>
        <w:t>booked</w:t>
      </w:r>
      <w:r>
        <w:rPr>
          <w:rFonts w:ascii="Book Antiqua" w:hAnsi="Book Antiqua"/>
          <w:color w:val="231F20"/>
          <w:spacing w:val="-5"/>
          <w:w w:val="95"/>
          <w:sz w:val="17"/>
        </w:rPr>
        <w:t> </w:t>
      </w:r>
      <w:r>
        <w:rPr>
          <w:rFonts w:ascii="Book Antiqua" w:hAnsi="Book Antiqua"/>
          <w:color w:val="231F20"/>
          <w:spacing w:val="4"/>
          <w:w w:val="95"/>
          <w:sz w:val="17"/>
        </w:rPr>
        <w:t>through</w:t>
      </w:r>
      <w:r>
        <w:rPr>
          <w:rFonts w:ascii="Book Antiqua" w:hAnsi="Book Antiqua"/>
          <w:color w:val="231F20"/>
          <w:spacing w:val="-5"/>
          <w:w w:val="95"/>
          <w:sz w:val="17"/>
        </w:rPr>
        <w:t> </w:t>
      </w:r>
      <w:r>
        <w:rPr>
          <w:rFonts w:ascii="Book Antiqua" w:hAnsi="Book Antiqua"/>
          <w:color w:val="231F20"/>
          <w:spacing w:val="3"/>
          <w:w w:val="95"/>
          <w:sz w:val="17"/>
        </w:rPr>
        <w:t>travel</w:t>
      </w:r>
      <w:r>
        <w:rPr>
          <w:rFonts w:ascii="Book Antiqua" w:hAnsi="Book Antiqua"/>
          <w:color w:val="231F20"/>
          <w:spacing w:val="-5"/>
          <w:w w:val="95"/>
          <w:sz w:val="17"/>
        </w:rPr>
        <w:t> </w:t>
      </w:r>
      <w:r>
        <w:rPr>
          <w:rFonts w:ascii="Book Antiqua" w:hAnsi="Book Antiqua"/>
          <w:color w:val="231F20"/>
          <w:spacing w:val="4"/>
          <w:w w:val="95"/>
          <w:sz w:val="17"/>
        </w:rPr>
        <w:t>agents.</w:t>
      </w:r>
      <w:r>
        <w:rPr>
          <w:rFonts w:ascii="Book Antiqua" w:hAnsi="Book Antiqua"/>
          <w:color w:val="231F20"/>
          <w:spacing w:val="-5"/>
          <w:w w:val="95"/>
          <w:sz w:val="17"/>
        </w:rPr>
        <w:t> </w:t>
      </w:r>
      <w:r>
        <w:rPr>
          <w:rFonts w:ascii="Book Antiqua" w:hAnsi="Book Antiqua"/>
          <w:color w:val="231F20"/>
          <w:spacing w:val="4"/>
          <w:w w:val="95"/>
          <w:sz w:val="17"/>
        </w:rPr>
        <w:t>Going</w:t>
      </w:r>
      <w:r>
        <w:rPr>
          <w:rFonts w:ascii="Book Antiqua" w:hAnsi="Book Antiqua"/>
          <w:color w:val="231F20"/>
          <w:spacing w:val="-5"/>
          <w:w w:val="95"/>
          <w:sz w:val="17"/>
        </w:rPr>
        <w:t> </w:t>
      </w:r>
      <w:r>
        <w:rPr>
          <w:rFonts w:ascii="Book Antiqua" w:hAnsi="Book Antiqua"/>
          <w:color w:val="231F20"/>
          <w:spacing w:val="4"/>
          <w:w w:val="95"/>
          <w:sz w:val="17"/>
        </w:rPr>
        <w:t>forward,</w:t>
      </w:r>
      <w:r>
        <w:rPr>
          <w:rFonts w:ascii="Book Antiqua" w:hAnsi="Book Antiqua"/>
          <w:color w:val="231F20"/>
          <w:spacing w:val="-9"/>
          <w:w w:val="95"/>
          <w:sz w:val="17"/>
        </w:rPr>
        <w:t> </w:t>
      </w:r>
      <w:r>
        <w:rPr>
          <w:rFonts w:ascii="Book Antiqua" w:hAnsi="Book Antiqua"/>
          <w:color w:val="231F20"/>
          <w:spacing w:val="3"/>
          <w:w w:val="95"/>
          <w:sz w:val="17"/>
        </w:rPr>
        <w:t>our</w:t>
      </w:r>
      <w:r>
        <w:rPr>
          <w:rFonts w:ascii="Book Antiqua" w:hAnsi="Book Antiqua"/>
          <w:color w:val="231F20"/>
          <w:spacing w:val="-12"/>
          <w:w w:val="95"/>
          <w:sz w:val="17"/>
        </w:rPr>
        <w:t> </w:t>
      </w:r>
      <w:r>
        <w:rPr>
          <w:rFonts w:ascii="Book Antiqua" w:hAnsi="Book Antiqua"/>
          <w:color w:val="231F20"/>
          <w:spacing w:val="5"/>
          <w:w w:val="95"/>
          <w:sz w:val="17"/>
        </w:rPr>
        <w:t>distribution </w:t>
      </w:r>
      <w:r>
        <w:rPr>
          <w:rFonts w:ascii="Book Antiqua" w:hAnsi="Book Antiqua"/>
          <w:color w:val="231F20"/>
          <w:spacing w:val="3"/>
          <w:sz w:val="17"/>
        </w:rPr>
        <w:t>costs</w:t>
      </w:r>
      <w:r>
        <w:rPr>
          <w:rFonts w:ascii="Book Antiqua" w:hAnsi="Book Antiqua"/>
          <w:color w:val="231F20"/>
          <w:spacing w:val="-18"/>
          <w:sz w:val="17"/>
        </w:rPr>
        <w:t> </w:t>
      </w:r>
      <w:r>
        <w:rPr>
          <w:rFonts w:ascii="Book Antiqua" w:hAnsi="Book Antiqua"/>
          <w:color w:val="231F20"/>
          <w:spacing w:val="3"/>
          <w:sz w:val="17"/>
        </w:rPr>
        <w:t>will</w:t>
      </w:r>
      <w:r>
        <w:rPr>
          <w:rFonts w:ascii="Book Antiqua" w:hAnsi="Book Antiqua"/>
          <w:color w:val="231F20"/>
          <w:spacing w:val="-16"/>
          <w:sz w:val="17"/>
        </w:rPr>
        <w:t> </w:t>
      </w:r>
      <w:r>
        <w:rPr>
          <w:rFonts w:ascii="Book Antiqua" w:hAnsi="Book Antiqua"/>
          <w:color w:val="231F20"/>
          <w:sz w:val="17"/>
        </w:rPr>
        <w:t>be</w:t>
      </w:r>
      <w:r>
        <w:rPr>
          <w:rFonts w:ascii="Book Antiqua" w:hAnsi="Book Antiqua"/>
          <w:color w:val="231F20"/>
          <w:spacing w:val="-16"/>
          <w:sz w:val="17"/>
        </w:rPr>
        <w:t> </w:t>
      </w:r>
      <w:r>
        <w:rPr>
          <w:rFonts w:ascii="Book Antiqua" w:hAnsi="Book Antiqua"/>
          <w:color w:val="231F20"/>
          <w:sz w:val="17"/>
        </w:rPr>
        <w:t>even</w:t>
      </w:r>
      <w:r>
        <w:rPr>
          <w:rFonts w:ascii="Book Antiqua" w:hAnsi="Book Antiqua"/>
          <w:color w:val="231F20"/>
          <w:spacing w:val="-16"/>
          <w:sz w:val="17"/>
        </w:rPr>
        <w:t> </w:t>
      </w:r>
      <w:r>
        <w:rPr>
          <w:rFonts w:ascii="Book Antiqua" w:hAnsi="Book Antiqua"/>
          <w:color w:val="231F20"/>
          <w:sz w:val="17"/>
        </w:rPr>
        <w:t>lower</w:t>
      </w:r>
      <w:r>
        <w:rPr>
          <w:rFonts w:ascii="Book Antiqua" w:hAnsi="Book Antiqua"/>
          <w:color w:val="231F20"/>
          <w:spacing w:val="-21"/>
          <w:sz w:val="17"/>
        </w:rPr>
        <w:t> </w:t>
      </w:r>
      <w:r>
        <w:rPr>
          <w:rFonts w:ascii="Book Antiqua" w:hAnsi="Book Antiqua"/>
          <w:color w:val="231F20"/>
          <w:spacing w:val="2"/>
          <w:sz w:val="17"/>
        </w:rPr>
        <w:t>due</w:t>
      </w:r>
      <w:r>
        <w:rPr>
          <w:rFonts w:ascii="Book Antiqua" w:hAnsi="Book Antiqua"/>
          <w:color w:val="231F20"/>
          <w:spacing w:val="-16"/>
          <w:sz w:val="17"/>
        </w:rPr>
        <w:t> </w:t>
      </w:r>
      <w:r>
        <w:rPr>
          <w:rFonts w:ascii="Book Antiqua" w:hAnsi="Book Antiqua"/>
          <w:color w:val="231F20"/>
          <w:sz w:val="17"/>
        </w:rPr>
        <w:t>to</w:t>
      </w:r>
      <w:r>
        <w:rPr>
          <w:rFonts w:ascii="Book Antiqua" w:hAnsi="Book Antiqua"/>
          <w:color w:val="231F20"/>
          <w:spacing w:val="-16"/>
          <w:sz w:val="17"/>
        </w:rPr>
        <w:t> </w:t>
      </w:r>
      <w:r>
        <w:rPr>
          <w:rFonts w:ascii="Book Antiqua" w:hAnsi="Book Antiqua"/>
          <w:color w:val="231F20"/>
          <w:spacing w:val="2"/>
          <w:sz w:val="17"/>
        </w:rPr>
        <w:t>the</w:t>
      </w:r>
      <w:r>
        <w:rPr>
          <w:rFonts w:ascii="Book Antiqua" w:hAnsi="Book Antiqua"/>
          <w:color w:val="231F20"/>
          <w:spacing w:val="-16"/>
          <w:sz w:val="17"/>
        </w:rPr>
        <w:t> </w:t>
      </w:r>
      <w:r>
        <w:rPr>
          <w:rFonts w:ascii="Book Antiqua" w:hAnsi="Book Antiqua"/>
          <w:color w:val="231F20"/>
          <w:spacing w:val="3"/>
          <w:sz w:val="17"/>
        </w:rPr>
        <w:t>consolidation</w:t>
      </w:r>
      <w:r>
        <w:rPr>
          <w:rFonts w:ascii="Book Antiqua" w:hAnsi="Book Antiqua"/>
          <w:color w:val="231F20"/>
          <w:spacing w:val="-16"/>
          <w:sz w:val="17"/>
        </w:rPr>
        <w:t> </w:t>
      </w:r>
      <w:r>
        <w:rPr>
          <w:rFonts w:ascii="Book Antiqua" w:hAnsi="Book Antiqua"/>
          <w:color w:val="231F20"/>
          <w:sz w:val="17"/>
        </w:rPr>
        <w:t>of</w:t>
      </w:r>
      <w:r>
        <w:rPr>
          <w:rFonts w:ascii="Book Antiqua" w:hAnsi="Book Antiqua"/>
          <w:color w:val="231F20"/>
          <w:spacing w:val="-16"/>
          <w:sz w:val="17"/>
        </w:rPr>
        <w:t> </w:t>
      </w:r>
      <w:r>
        <w:rPr>
          <w:rFonts w:ascii="Book Antiqua" w:hAnsi="Book Antiqua"/>
          <w:color w:val="231F20"/>
          <w:spacing w:val="2"/>
          <w:sz w:val="17"/>
        </w:rPr>
        <w:t>our</w:t>
      </w:r>
      <w:r>
        <w:rPr>
          <w:rFonts w:ascii="Book Antiqua" w:hAnsi="Book Antiqua"/>
          <w:color w:val="231F20"/>
          <w:spacing w:val="-21"/>
          <w:sz w:val="17"/>
        </w:rPr>
        <w:t> </w:t>
      </w:r>
      <w:r>
        <w:rPr>
          <w:rFonts w:ascii="Book Antiqua" w:hAnsi="Book Antiqua"/>
          <w:color w:val="231F20"/>
          <w:spacing w:val="2"/>
          <w:sz w:val="17"/>
        </w:rPr>
        <w:t>reservations </w:t>
      </w:r>
      <w:r>
        <w:rPr>
          <w:rFonts w:ascii="Book Antiqua" w:hAnsi="Book Antiqua"/>
          <w:color w:val="231F20"/>
          <w:spacing w:val="11"/>
          <w:sz w:val="17"/>
        </w:rPr>
        <w:t>operations </w:t>
      </w:r>
      <w:r>
        <w:rPr>
          <w:rFonts w:ascii="Book Antiqua" w:hAnsi="Book Antiqua"/>
          <w:color w:val="231F20"/>
          <w:spacing w:val="8"/>
          <w:sz w:val="17"/>
        </w:rPr>
        <w:t>and the </w:t>
      </w:r>
      <w:r>
        <w:rPr>
          <w:rFonts w:ascii="Book Antiqua" w:hAnsi="Book Antiqua"/>
          <w:color w:val="231F20"/>
          <w:spacing w:val="11"/>
          <w:sz w:val="17"/>
        </w:rPr>
        <w:t>elimination </w:t>
      </w:r>
      <w:r>
        <w:rPr>
          <w:rFonts w:ascii="Book Antiqua" w:hAnsi="Book Antiqua"/>
          <w:color w:val="231F20"/>
          <w:spacing w:val="6"/>
          <w:sz w:val="17"/>
        </w:rPr>
        <w:t>of </w:t>
      </w:r>
      <w:r>
        <w:rPr>
          <w:rFonts w:ascii="Book Antiqua" w:hAnsi="Book Antiqua"/>
          <w:color w:val="231F20"/>
          <w:spacing w:val="11"/>
          <w:sz w:val="17"/>
        </w:rPr>
        <w:t>traditional </w:t>
      </w:r>
      <w:r>
        <w:rPr>
          <w:rFonts w:ascii="Book Antiqua" w:hAnsi="Book Antiqua"/>
          <w:color w:val="231F20"/>
          <w:spacing w:val="10"/>
          <w:sz w:val="17"/>
        </w:rPr>
        <w:t>travel </w:t>
      </w:r>
      <w:r>
        <w:rPr>
          <w:rFonts w:ascii="Book Antiqua" w:hAnsi="Book Antiqua"/>
          <w:color w:val="231F20"/>
          <w:spacing w:val="13"/>
          <w:sz w:val="17"/>
        </w:rPr>
        <w:t>agency </w:t>
      </w:r>
      <w:r>
        <w:rPr>
          <w:rFonts w:ascii="Book Antiqua" w:hAnsi="Book Antiqua"/>
          <w:color w:val="231F20"/>
          <w:spacing w:val="8"/>
          <w:sz w:val="17"/>
        </w:rPr>
        <w:t>commissions.</w:t>
      </w:r>
    </w:p>
    <w:p>
      <w:pPr>
        <w:spacing w:line="321" w:lineRule="auto" w:before="0"/>
        <w:ind w:left="120" w:right="2" w:firstLine="360"/>
        <w:jc w:val="both"/>
        <w:rPr>
          <w:rFonts w:ascii="Book Antiqua"/>
          <w:sz w:val="17"/>
        </w:rPr>
      </w:pPr>
      <w:r>
        <w:rPr>
          <w:rFonts w:ascii="Book Antiqua"/>
          <w:color w:val="231F20"/>
          <w:spacing w:val="3"/>
          <w:w w:val="95"/>
          <w:sz w:val="17"/>
        </w:rPr>
        <w:t>Southwest</w:t>
      </w:r>
      <w:r>
        <w:rPr>
          <w:rFonts w:ascii="Book Antiqua"/>
          <w:color w:val="231F20"/>
          <w:spacing w:val="-6"/>
          <w:w w:val="95"/>
          <w:sz w:val="17"/>
        </w:rPr>
        <w:t> </w:t>
      </w:r>
      <w:r>
        <w:rPr>
          <w:rFonts w:ascii="Book Antiqua"/>
          <w:color w:val="231F20"/>
          <w:spacing w:val="3"/>
          <w:w w:val="95"/>
          <w:sz w:val="17"/>
        </w:rPr>
        <w:t>also</w:t>
      </w:r>
      <w:r>
        <w:rPr>
          <w:rFonts w:ascii="Book Antiqua"/>
          <w:color w:val="231F20"/>
          <w:spacing w:val="-2"/>
          <w:w w:val="95"/>
          <w:sz w:val="17"/>
        </w:rPr>
        <w:t> </w:t>
      </w:r>
      <w:r>
        <w:rPr>
          <w:rFonts w:ascii="Book Antiqua"/>
          <w:color w:val="231F20"/>
          <w:spacing w:val="3"/>
          <w:w w:val="95"/>
          <w:sz w:val="17"/>
        </w:rPr>
        <w:t>has</w:t>
      </w:r>
      <w:r>
        <w:rPr>
          <w:rFonts w:ascii="Book Antiqua"/>
          <w:color w:val="231F20"/>
          <w:spacing w:val="-2"/>
          <w:w w:val="95"/>
          <w:sz w:val="17"/>
        </w:rPr>
        <w:t> </w:t>
      </w:r>
      <w:r>
        <w:rPr>
          <w:rFonts w:ascii="Book Antiqua"/>
          <w:color w:val="231F20"/>
          <w:w w:val="95"/>
          <w:sz w:val="17"/>
        </w:rPr>
        <w:t>a</w:t>
      </w:r>
      <w:r>
        <w:rPr>
          <w:rFonts w:ascii="Book Antiqua"/>
          <w:color w:val="231F20"/>
          <w:spacing w:val="-2"/>
          <w:w w:val="95"/>
          <w:sz w:val="17"/>
        </w:rPr>
        <w:t> </w:t>
      </w:r>
      <w:r>
        <w:rPr>
          <w:rFonts w:ascii="Book Antiqua"/>
          <w:color w:val="231F20"/>
          <w:spacing w:val="4"/>
          <w:w w:val="95"/>
          <w:sz w:val="17"/>
        </w:rPr>
        <w:t>successful</w:t>
      </w:r>
      <w:r>
        <w:rPr>
          <w:rFonts w:ascii="Book Antiqua"/>
          <w:color w:val="231F20"/>
          <w:spacing w:val="-2"/>
          <w:w w:val="95"/>
          <w:sz w:val="17"/>
        </w:rPr>
        <w:t> </w:t>
      </w:r>
      <w:r>
        <w:rPr>
          <w:rFonts w:ascii="Book Antiqua"/>
          <w:color w:val="231F20"/>
          <w:spacing w:val="4"/>
          <w:w w:val="95"/>
          <w:sz w:val="17"/>
        </w:rPr>
        <w:t>hedging</w:t>
      </w:r>
      <w:r>
        <w:rPr>
          <w:rFonts w:ascii="Book Antiqua"/>
          <w:color w:val="231F20"/>
          <w:spacing w:val="-2"/>
          <w:w w:val="95"/>
          <w:sz w:val="17"/>
        </w:rPr>
        <w:t> </w:t>
      </w:r>
      <w:r>
        <w:rPr>
          <w:rFonts w:ascii="Book Antiqua"/>
          <w:color w:val="231F20"/>
          <w:spacing w:val="4"/>
          <w:w w:val="95"/>
          <w:sz w:val="17"/>
        </w:rPr>
        <w:t>program,</w:t>
      </w:r>
      <w:r>
        <w:rPr>
          <w:rFonts w:ascii="Book Antiqua"/>
          <w:color w:val="231F20"/>
          <w:spacing w:val="-9"/>
          <w:w w:val="95"/>
          <w:sz w:val="17"/>
        </w:rPr>
        <w:t> </w:t>
      </w:r>
      <w:r>
        <w:rPr>
          <w:rFonts w:ascii="Book Antiqua"/>
          <w:color w:val="231F20"/>
          <w:spacing w:val="4"/>
          <w:w w:val="95"/>
          <w:sz w:val="17"/>
        </w:rPr>
        <w:t>which</w:t>
      </w:r>
      <w:r>
        <w:rPr>
          <w:rFonts w:ascii="Book Antiqua"/>
          <w:color w:val="231F20"/>
          <w:spacing w:val="-2"/>
          <w:w w:val="95"/>
          <w:sz w:val="17"/>
        </w:rPr>
        <w:t> </w:t>
      </w:r>
      <w:r>
        <w:rPr>
          <w:rFonts w:ascii="Book Antiqua"/>
          <w:color w:val="231F20"/>
          <w:spacing w:val="3"/>
          <w:w w:val="95"/>
          <w:sz w:val="17"/>
        </w:rPr>
        <w:t>saved </w:t>
      </w:r>
      <w:r>
        <w:rPr>
          <w:rFonts w:ascii="Book Antiqua"/>
          <w:color w:val="231F20"/>
          <w:spacing w:val="4"/>
          <w:sz w:val="17"/>
        </w:rPr>
        <w:t>us </w:t>
      </w:r>
      <w:r>
        <w:rPr>
          <w:rFonts w:ascii="Book Antiqua"/>
          <w:color w:val="231F20"/>
          <w:sz w:val="17"/>
        </w:rPr>
        <w:t>$171 </w:t>
      </w:r>
      <w:r>
        <w:rPr>
          <w:rFonts w:ascii="Book Antiqua"/>
          <w:color w:val="231F20"/>
          <w:spacing w:val="7"/>
          <w:sz w:val="17"/>
        </w:rPr>
        <w:t>million </w:t>
      </w:r>
      <w:r>
        <w:rPr>
          <w:rFonts w:ascii="Book Antiqua"/>
          <w:color w:val="231F20"/>
          <w:spacing w:val="4"/>
          <w:sz w:val="17"/>
        </w:rPr>
        <w:t>in </w:t>
      </w:r>
      <w:r>
        <w:rPr>
          <w:rFonts w:ascii="Book Antiqua"/>
          <w:color w:val="231F20"/>
          <w:spacing w:val="6"/>
          <w:sz w:val="17"/>
        </w:rPr>
        <w:t>jet fuel </w:t>
      </w:r>
      <w:r>
        <w:rPr>
          <w:rFonts w:ascii="Book Antiqua"/>
          <w:color w:val="231F20"/>
          <w:spacing w:val="7"/>
          <w:sz w:val="17"/>
        </w:rPr>
        <w:t>costs during 2003. </w:t>
      </w:r>
      <w:r>
        <w:rPr>
          <w:rFonts w:ascii="Book Antiqua"/>
          <w:color w:val="231F20"/>
          <w:spacing w:val="-3"/>
          <w:sz w:val="17"/>
        </w:rPr>
        <w:t>We </w:t>
      </w:r>
      <w:r>
        <w:rPr>
          <w:rFonts w:ascii="Book Antiqua"/>
          <w:color w:val="231F20"/>
          <w:spacing w:val="6"/>
          <w:sz w:val="17"/>
        </w:rPr>
        <w:t>are also </w:t>
      </w:r>
      <w:r>
        <w:rPr>
          <w:rFonts w:ascii="Book Antiqua"/>
          <w:color w:val="231F20"/>
          <w:spacing w:val="7"/>
          <w:sz w:val="17"/>
        </w:rPr>
        <w:t>well </w:t>
      </w:r>
      <w:r>
        <w:rPr>
          <w:rFonts w:ascii="Book Antiqua"/>
          <w:color w:val="231F20"/>
          <w:sz w:val="17"/>
        </w:rPr>
        <w:t>protected</w:t>
      </w:r>
      <w:r>
        <w:rPr>
          <w:rFonts w:ascii="Book Antiqua"/>
          <w:color w:val="231F20"/>
          <w:spacing w:val="-12"/>
          <w:sz w:val="17"/>
        </w:rPr>
        <w:t> </w:t>
      </w:r>
      <w:r>
        <w:rPr>
          <w:rFonts w:ascii="Book Antiqua"/>
          <w:color w:val="231F20"/>
          <w:sz w:val="17"/>
        </w:rPr>
        <w:t>in</w:t>
      </w:r>
      <w:r>
        <w:rPr>
          <w:rFonts w:ascii="Book Antiqua"/>
          <w:color w:val="231F20"/>
          <w:spacing w:val="-12"/>
          <w:sz w:val="17"/>
        </w:rPr>
        <w:t> </w:t>
      </w:r>
      <w:r>
        <w:rPr>
          <w:rFonts w:ascii="Book Antiqua"/>
          <w:color w:val="231F20"/>
          <w:sz w:val="17"/>
        </w:rPr>
        <w:t>2004</w:t>
      </w:r>
      <w:r>
        <w:rPr>
          <w:rFonts w:ascii="Book Antiqua"/>
          <w:color w:val="231F20"/>
          <w:spacing w:val="-12"/>
          <w:sz w:val="17"/>
        </w:rPr>
        <w:t> </w:t>
      </w:r>
      <w:r>
        <w:rPr>
          <w:rFonts w:ascii="Book Antiqua"/>
          <w:color w:val="231F20"/>
          <w:sz w:val="17"/>
        </w:rPr>
        <w:t>and</w:t>
      </w:r>
      <w:r>
        <w:rPr>
          <w:rFonts w:ascii="Book Antiqua"/>
          <w:color w:val="231F20"/>
          <w:spacing w:val="-12"/>
          <w:sz w:val="17"/>
        </w:rPr>
        <w:t> </w:t>
      </w:r>
      <w:r>
        <w:rPr>
          <w:rFonts w:ascii="Book Antiqua"/>
          <w:color w:val="231F20"/>
          <w:sz w:val="17"/>
        </w:rPr>
        <w:t>2005</w:t>
      </w:r>
      <w:r>
        <w:rPr>
          <w:rFonts w:ascii="Book Antiqua"/>
          <w:color w:val="231F20"/>
          <w:spacing w:val="-17"/>
          <w:sz w:val="17"/>
        </w:rPr>
        <w:t> </w:t>
      </w:r>
      <w:r>
        <w:rPr>
          <w:rFonts w:ascii="Book Antiqua"/>
          <w:color w:val="231F20"/>
          <w:sz w:val="17"/>
        </w:rPr>
        <w:t>with</w:t>
      </w:r>
      <w:r>
        <w:rPr>
          <w:rFonts w:ascii="Book Antiqua"/>
          <w:color w:val="231F20"/>
          <w:spacing w:val="-12"/>
          <w:sz w:val="17"/>
        </w:rPr>
        <w:t> </w:t>
      </w:r>
      <w:r>
        <w:rPr>
          <w:rFonts w:ascii="Book Antiqua"/>
          <w:color w:val="231F20"/>
          <w:sz w:val="17"/>
        </w:rPr>
        <w:t>over</w:t>
      </w:r>
      <w:r>
        <w:rPr>
          <w:rFonts w:ascii="Book Antiqua"/>
          <w:color w:val="231F20"/>
          <w:spacing w:val="-17"/>
          <w:sz w:val="17"/>
        </w:rPr>
        <w:t> </w:t>
      </w:r>
      <w:r>
        <w:rPr>
          <w:rFonts w:ascii="Book Antiqua"/>
          <w:color w:val="231F20"/>
          <w:sz w:val="17"/>
        </w:rPr>
        <w:t>80</w:t>
      </w:r>
      <w:r>
        <w:rPr>
          <w:rFonts w:ascii="Book Antiqua"/>
          <w:color w:val="231F20"/>
          <w:spacing w:val="-12"/>
          <w:sz w:val="17"/>
        </w:rPr>
        <w:t> </w:t>
      </w:r>
      <w:r>
        <w:rPr>
          <w:rFonts w:ascii="Book Antiqua"/>
          <w:color w:val="231F20"/>
          <w:sz w:val="17"/>
        </w:rPr>
        <w:t>and</w:t>
      </w:r>
      <w:r>
        <w:rPr>
          <w:rFonts w:ascii="Book Antiqua"/>
          <w:color w:val="231F20"/>
          <w:spacing w:val="-12"/>
          <w:sz w:val="17"/>
        </w:rPr>
        <w:t> </w:t>
      </w:r>
      <w:r>
        <w:rPr>
          <w:rFonts w:ascii="Book Antiqua"/>
          <w:color w:val="231F20"/>
          <w:sz w:val="17"/>
        </w:rPr>
        <w:t>70</w:t>
      </w:r>
      <w:r>
        <w:rPr>
          <w:rFonts w:ascii="Book Antiqua"/>
          <w:color w:val="231F20"/>
          <w:spacing w:val="-12"/>
          <w:sz w:val="17"/>
        </w:rPr>
        <w:t> </w:t>
      </w:r>
      <w:r>
        <w:rPr>
          <w:rFonts w:ascii="Book Antiqua"/>
          <w:color w:val="231F20"/>
          <w:sz w:val="17"/>
        </w:rPr>
        <w:t>percent,</w:t>
      </w:r>
      <w:r>
        <w:rPr>
          <w:rFonts w:ascii="Book Antiqua"/>
          <w:color w:val="231F20"/>
          <w:spacing w:val="-15"/>
          <w:sz w:val="17"/>
        </w:rPr>
        <w:t> </w:t>
      </w:r>
      <w:r>
        <w:rPr>
          <w:rFonts w:ascii="Book Antiqua"/>
          <w:color w:val="231F20"/>
          <w:sz w:val="17"/>
        </w:rPr>
        <w:t>respectively, of our anticipated fuel requirements hedged with prices capped at approximately</w:t>
      </w:r>
      <w:r>
        <w:rPr>
          <w:rFonts w:ascii="Book Antiqua"/>
          <w:color w:val="231F20"/>
          <w:spacing w:val="-20"/>
          <w:sz w:val="17"/>
        </w:rPr>
        <w:t> </w:t>
      </w:r>
      <w:r>
        <w:rPr>
          <w:rFonts w:ascii="Book Antiqua"/>
          <w:color w:val="231F20"/>
          <w:sz w:val="17"/>
        </w:rPr>
        <w:t>$24</w:t>
      </w:r>
      <w:r>
        <w:rPr>
          <w:rFonts w:ascii="Book Antiqua"/>
          <w:color w:val="231F20"/>
          <w:spacing w:val="-15"/>
          <w:sz w:val="17"/>
        </w:rPr>
        <w:t> </w:t>
      </w:r>
      <w:r>
        <w:rPr>
          <w:rFonts w:ascii="Book Antiqua"/>
          <w:color w:val="231F20"/>
          <w:spacing w:val="3"/>
          <w:sz w:val="17"/>
        </w:rPr>
        <w:t>per</w:t>
      </w:r>
      <w:r>
        <w:rPr>
          <w:rFonts w:ascii="Book Antiqua"/>
          <w:color w:val="231F20"/>
          <w:spacing w:val="-19"/>
          <w:sz w:val="17"/>
        </w:rPr>
        <w:t> </w:t>
      </w:r>
      <w:r>
        <w:rPr>
          <w:rFonts w:ascii="Book Antiqua"/>
          <w:color w:val="231F20"/>
          <w:spacing w:val="4"/>
          <w:sz w:val="17"/>
        </w:rPr>
        <w:t>barrel</w:t>
      </w:r>
      <w:r>
        <w:rPr>
          <w:rFonts w:ascii="Book Antiqua"/>
          <w:color w:val="231F20"/>
          <w:spacing w:val="-15"/>
          <w:sz w:val="17"/>
        </w:rPr>
        <w:t> </w:t>
      </w:r>
      <w:r>
        <w:rPr>
          <w:rFonts w:ascii="Book Antiqua"/>
          <w:color w:val="231F20"/>
          <w:spacing w:val="2"/>
          <w:sz w:val="17"/>
        </w:rPr>
        <w:t>of</w:t>
      </w:r>
      <w:r>
        <w:rPr>
          <w:rFonts w:ascii="Book Antiqua"/>
          <w:color w:val="231F20"/>
          <w:spacing w:val="-15"/>
          <w:sz w:val="17"/>
        </w:rPr>
        <w:t> </w:t>
      </w:r>
      <w:r>
        <w:rPr>
          <w:rFonts w:ascii="Book Antiqua"/>
          <w:color w:val="231F20"/>
          <w:spacing w:val="4"/>
          <w:sz w:val="17"/>
        </w:rPr>
        <w:t>crude</w:t>
      </w:r>
      <w:r>
        <w:rPr>
          <w:rFonts w:ascii="Book Antiqua"/>
          <w:color w:val="231F20"/>
          <w:spacing w:val="-15"/>
          <w:sz w:val="17"/>
        </w:rPr>
        <w:t> </w:t>
      </w:r>
      <w:r>
        <w:rPr>
          <w:rFonts w:ascii="Book Antiqua"/>
          <w:color w:val="231F20"/>
          <w:spacing w:val="5"/>
          <w:sz w:val="17"/>
        </w:rPr>
        <w:t>oil.</w:t>
      </w:r>
    </w:p>
    <w:p>
      <w:pPr>
        <w:pStyle w:val="BodyText"/>
        <w:spacing w:before="5"/>
        <w:rPr>
          <w:rFonts w:ascii="Book Antiqua"/>
          <w:sz w:val="28"/>
        </w:rPr>
      </w:pPr>
    </w:p>
    <w:p>
      <w:pPr>
        <w:spacing w:before="1"/>
        <w:ind w:left="120" w:right="0" w:firstLine="0"/>
        <w:jc w:val="both"/>
        <w:rPr>
          <w:rFonts w:ascii="Book Antiqua"/>
          <w:sz w:val="16"/>
        </w:rPr>
      </w:pPr>
      <w:r>
        <w:rPr>
          <w:rFonts w:ascii="Book Antiqua"/>
          <w:color w:val="231F20"/>
          <w:sz w:val="16"/>
        </w:rPr>
        <w:t>Low Fares</w:t>
      </w:r>
    </w:p>
    <w:p>
      <w:pPr>
        <w:pStyle w:val="BodyText"/>
        <w:spacing w:before="8"/>
        <w:rPr>
          <w:rFonts w:ascii="Book Antiqua"/>
          <w:sz w:val="17"/>
        </w:rPr>
      </w:pPr>
    </w:p>
    <w:p>
      <w:pPr>
        <w:spacing w:line="321" w:lineRule="auto" w:before="0"/>
        <w:ind w:left="120" w:right="7" w:firstLine="360"/>
        <w:jc w:val="both"/>
        <w:rPr>
          <w:rFonts w:ascii="Book Antiqua" w:hAnsi="Book Antiqua"/>
          <w:sz w:val="17"/>
        </w:rPr>
      </w:pPr>
      <w:r>
        <w:rPr>
          <w:rFonts w:ascii="Book Antiqua" w:hAnsi="Book Antiqua"/>
          <w:color w:val="231F20"/>
          <w:sz w:val="17"/>
        </w:rPr>
        <w:t>Low</w:t>
      </w:r>
      <w:r>
        <w:rPr>
          <w:rFonts w:ascii="Book Antiqua" w:hAnsi="Book Antiqua"/>
          <w:color w:val="231F20"/>
          <w:spacing w:val="-24"/>
          <w:sz w:val="17"/>
        </w:rPr>
        <w:t> </w:t>
      </w:r>
      <w:r>
        <w:rPr>
          <w:rFonts w:ascii="Book Antiqua" w:hAnsi="Book Antiqua"/>
          <w:color w:val="231F20"/>
          <w:spacing w:val="4"/>
          <w:sz w:val="17"/>
        </w:rPr>
        <w:t>fares</w:t>
      </w:r>
      <w:r>
        <w:rPr>
          <w:rFonts w:ascii="Book Antiqua" w:hAnsi="Book Antiqua"/>
          <w:color w:val="231F20"/>
          <w:spacing w:val="-20"/>
          <w:sz w:val="17"/>
        </w:rPr>
        <w:t> </w:t>
      </w:r>
      <w:r>
        <w:rPr>
          <w:rFonts w:ascii="Book Antiqua" w:hAnsi="Book Antiqua"/>
          <w:color w:val="231F20"/>
          <w:spacing w:val="3"/>
          <w:sz w:val="17"/>
        </w:rPr>
        <w:t>has</w:t>
      </w:r>
      <w:r>
        <w:rPr>
          <w:rFonts w:ascii="Book Antiqua" w:hAnsi="Book Antiqua"/>
          <w:color w:val="231F20"/>
          <w:spacing w:val="-20"/>
          <w:sz w:val="17"/>
        </w:rPr>
        <w:t> </w:t>
      </w:r>
      <w:r>
        <w:rPr>
          <w:rFonts w:ascii="Book Antiqua" w:hAnsi="Book Antiqua"/>
          <w:color w:val="231F20"/>
          <w:spacing w:val="3"/>
          <w:sz w:val="17"/>
        </w:rPr>
        <w:t>been</w:t>
      </w:r>
      <w:r>
        <w:rPr>
          <w:rFonts w:ascii="Book Antiqua" w:hAnsi="Book Antiqua"/>
          <w:color w:val="231F20"/>
          <w:spacing w:val="-20"/>
          <w:sz w:val="17"/>
        </w:rPr>
        <w:t> </w:t>
      </w:r>
      <w:r>
        <w:rPr>
          <w:rFonts w:ascii="Book Antiqua" w:hAnsi="Book Antiqua"/>
          <w:color w:val="231F20"/>
          <w:spacing w:val="3"/>
          <w:sz w:val="17"/>
        </w:rPr>
        <w:t>our</w:t>
      </w:r>
      <w:r>
        <w:rPr>
          <w:rFonts w:ascii="Book Antiqua" w:hAnsi="Book Antiqua"/>
          <w:color w:val="231F20"/>
          <w:spacing w:val="-24"/>
          <w:sz w:val="17"/>
        </w:rPr>
        <w:t> </w:t>
      </w:r>
      <w:r>
        <w:rPr>
          <w:rFonts w:ascii="Book Antiqua" w:hAnsi="Book Antiqua"/>
          <w:color w:val="231F20"/>
          <w:spacing w:val="3"/>
          <w:sz w:val="17"/>
        </w:rPr>
        <w:t>philosophy</w:t>
      </w:r>
      <w:r>
        <w:rPr>
          <w:rFonts w:ascii="Book Antiqua" w:hAnsi="Book Antiqua"/>
          <w:color w:val="231F20"/>
          <w:spacing w:val="-23"/>
          <w:sz w:val="17"/>
        </w:rPr>
        <w:t> </w:t>
      </w:r>
      <w:r>
        <w:rPr>
          <w:rFonts w:ascii="Book Antiqua" w:hAnsi="Book Antiqua"/>
          <w:color w:val="231F20"/>
          <w:spacing w:val="4"/>
          <w:sz w:val="17"/>
        </w:rPr>
        <w:t>since</w:t>
      </w:r>
      <w:r>
        <w:rPr>
          <w:rFonts w:ascii="Book Antiqua" w:hAnsi="Book Antiqua"/>
          <w:color w:val="231F20"/>
          <w:spacing w:val="-20"/>
          <w:sz w:val="17"/>
        </w:rPr>
        <w:t> </w:t>
      </w:r>
      <w:r>
        <w:rPr>
          <w:rFonts w:ascii="Book Antiqua" w:hAnsi="Book Antiqua"/>
          <w:color w:val="231F20"/>
          <w:spacing w:val="3"/>
          <w:sz w:val="17"/>
        </w:rPr>
        <w:t>day</w:t>
      </w:r>
      <w:r>
        <w:rPr>
          <w:rFonts w:ascii="Book Antiqua" w:hAnsi="Book Antiqua"/>
          <w:color w:val="231F20"/>
          <w:spacing w:val="-24"/>
          <w:sz w:val="17"/>
        </w:rPr>
        <w:t> </w:t>
      </w:r>
      <w:r>
        <w:rPr>
          <w:rFonts w:ascii="Book Antiqua" w:hAnsi="Book Antiqua"/>
          <w:color w:val="231F20"/>
          <w:spacing w:val="3"/>
          <w:sz w:val="17"/>
        </w:rPr>
        <w:t>one</w:t>
      </w:r>
      <w:r>
        <w:rPr>
          <w:rFonts w:ascii="Book Antiqua" w:hAnsi="Book Antiqua"/>
          <w:color w:val="231F20"/>
          <w:spacing w:val="-20"/>
          <w:sz w:val="17"/>
        </w:rPr>
        <w:t> </w:t>
      </w:r>
      <w:r>
        <w:rPr>
          <w:rFonts w:ascii="Book Antiqua" w:hAnsi="Book Antiqua"/>
          <w:color w:val="231F20"/>
          <w:sz w:val="17"/>
        </w:rPr>
        <w:t>—</w:t>
      </w:r>
      <w:r>
        <w:rPr>
          <w:rFonts w:ascii="Book Antiqua" w:hAnsi="Book Antiqua"/>
          <w:color w:val="231F20"/>
          <w:spacing w:val="-20"/>
          <w:sz w:val="17"/>
        </w:rPr>
        <w:t> </w:t>
      </w:r>
      <w:r>
        <w:rPr>
          <w:rFonts w:ascii="Book Antiqua" w:hAnsi="Book Antiqua"/>
          <w:color w:val="231F20"/>
          <w:spacing w:val="3"/>
          <w:sz w:val="17"/>
        </w:rPr>
        <w:t>every</w:t>
      </w:r>
      <w:r>
        <w:rPr>
          <w:rFonts w:ascii="Book Antiqua" w:hAnsi="Book Antiqua"/>
          <w:color w:val="231F20"/>
          <w:spacing w:val="-23"/>
          <w:sz w:val="17"/>
        </w:rPr>
        <w:t> </w:t>
      </w:r>
      <w:r>
        <w:rPr>
          <w:rFonts w:ascii="Book Antiqua" w:hAnsi="Book Antiqua"/>
          <w:color w:val="231F20"/>
          <w:spacing w:val="5"/>
          <w:sz w:val="17"/>
        </w:rPr>
        <w:t>seat, </w:t>
      </w:r>
      <w:r>
        <w:rPr>
          <w:rFonts w:ascii="Book Antiqua" w:hAnsi="Book Antiqua"/>
          <w:color w:val="231F20"/>
          <w:spacing w:val="3"/>
          <w:sz w:val="17"/>
        </w:rPr>
        <w:t>every</w:t>
      </w:r>
      <w:r>
        <w:rPr>
          <w:rFonts w:ascii="Book Antiqua" w:hAnsi="Book Antiqua"/>
          <w:color w:val="231F20"/>
          <w:spacing w:val="-22"/>
          <w:sz w:val="17"/>
        </w:rPr>
        <w:t> </w:t>
      </w:r>
      <w:r>
        <w:rPr>
          <w:rFonts w:ascii="Book Antiqua" w:hAnsi="Book Antiqua"/>
          <w:color w:val="231F20"/>
          <w:sz w:val="17"/>
        </w:rPr>
        <w:t>f</w:t>
      </w:r>
      <w:r>
        <w:rPr>
          <w:rFonts w:ascii="Book Antiqua" w:hAnsi="Book Antiqua"/>
          <w:color w:val="231F20"/>
          <w:spacing w:val="-33"/>
          <w:sz w:val="17"/>
        </w:rPr>
        <w:t> </w:t>
      </w:r>
      <w:r>
        <w:rPr>
          <w:rFonts w:ascii="Book Antiqua" w:hAnsi="Book Antiqua"/>
          <w:color w:val="231F20"/>
          <w:spacing w:val="4"/>
          <w:sz w:val="17"/>
        </w:rPr>
        <w:t>light,</w:t>
      </w:r>
      <w:r>
        <w:rPr>
          <w:rFonts w:ascii="Book Antiqua" w:hAnsi="Book Antiqua"/>
          <w:color w:val="231F20"/>
          <w:spacing w:val="-21"/>
          <w:sz w:val="17"/>
        </w:rPr>
        <w:t> </w:t>
      </w:r>
      <w:r>
        <w:rPr>
          <w:rFonts w:ascii="Book Antiqua" w:hAnsi="Book Antiqua"/>
          <w:color w:val="231F20"/>
          <w:spacing w:val="3"/>
          <w:sz w:val="17"/>
        </w:rPr>
        <w:t>every</w:t>
      </w:r>
      <w:r>
        <w:rPr>
          <w:rFonts w:ascii="Book Antiqua" w:hAnsi="Book Antiqua"/>
          <w:color w:val="231F20"/>
          <w:spacing w:val="-22"/>
          <w:sz w:val="17"/>
        </w:rPr>
        <w:t> </w:t>
      </w:r>
      <w:r>
        <w:rPr>
          <w:rFonts w:ascii="Book Antiqua" w:hAnsi="Book Antiqua"/>
          <w:color w:val="231F20"/>
          <w:sz w:val="17"/>
        </w:rPr>
        <w:t>day.</w:t>
      </w:r>
      <w:r>
        <w:rPr>
          <w:rFonts w:ascii="Book Antiqua" w:hAnsi="Book Antiqua"/>
          <w:color w:val="231F20"/>
          <w:spacing w:val="-18"/>
          <w:sz w:val="17"/>
        </w:rPr>
        <w:t> </w:t>
      </w:r>
      <w:r>
        <w:rPr>
          <w:rFonts w:ascii="Book Antiqua" w:hAnsi="Book Antiqua"/>
          <w:color w:val="231F20"/>
          <w:spacing w:val="4"/>
          <w:sz w:val="17"/>
        </w:rPr>
        <w:t>Since</w:t>
      </w:r>
      <w:r>
        <w:rPr>
          <w:rFonts w:ascii="Book Antiqua" w:hAnsi="Book Antiqua"/>
          <w:color w:val="231F20"/>
          <w:spacing w:val="-18"/>
          <w:sz w:val="17"/>
        </w:rPr>
        <w:t> </w:t>
      </w:r>
      <w:r>
        <w:rPr>
          <w:rFonts w:ascii="Book Antiqua" w:hAnsi="Book Antiqua"/>
          <w:color w:val="231F20"/>
          <w:spacing w:val="-3"/>
          <w:sz w:val="17"/>
        </w:rPr>
        <w:t>1971,</w:t>
      </w:r>
      <w:r>
        <w:rPr>
          <w:rFonts w:ascii="Book Antiqua" w:hAnsi="Book Antiqua"/>
          <w:color w:val="231F20"/>
          <w:spacing w:val="-23"/>
          <w:sz w:val="17"/>
        </w:rPr>
        <w:t> </w:t>
      </w:r>
      <w:r>
        <w:rPr>
          <w:rFonts w:ascii="Book Antiqua" w:hAnsi="Book Antiqua"/>
          <w:color w:val="231F20"/>
          <w:sz w:val="17"/>
        </w:rPr>
        <w:t>we</w:t>
      </w:r>
      <w:r>
        <w:rPr>
          <w:rFonts w:ascii="Book Antiqua" w:hAnsi="Book Antiqua"/>
          <w:color w:val="231F20"/>
          <w:spacing w:val="-18"/>
          <w:sz w:val="17"/>
        </w:rPr>
        <w:t> </w:t>
      </w:r>
      <w:r>
        <w:rPr>
          <w:rFonts w:ascii="Book Antiqua" w:hAnsi="Book Antiqua"/>
          <w:color w:val="231F20"/>
          <w:spacing w:val="2"/>
          <w:sz w:val="17"/>
        </w:rPr>
        <w:t>have</w:t>
      </w:r>
      <w:r>
        <w:rPr>
          <w:rFonts w:ascii="Book Antiqua" w:hAnsi="Book Antiqua"/>
          <w:color w:val="231F20"/>
          <w:spacing w:val="-18"/>
          <w:sz w:val="17"/>
        </w:rPr>
        <w:t> </w:t>
      </w:r>
      <w:r>
        <w:rPr>
          <w:rFonts w:ascii="Book Antiqua" w:hAnsi="Book Antiqua"/>
          <w:color w:val="231F20"/>
          <w:spacing w:val="4"/>
          <w:sz w:val="17"/>
        </w:rPr>
        <w:t>fought</w:t>
      </w:r>
      <w:r>
        <w:rPr>
          <w:rFonts w:ascii="Book Antiqua" w:hAnsi="Book Antiqua"/>
          <w:color w:val="231F20"/>
          <w:spacing w:val="-21"/>
          <w:sz w:val="17"/>
        </w:rPr>
        <w:t> </w:t>
      </w:r>
      <w:r>
        <w:rPr>
          <w:rFonts w:ascii="Book Antiqua" w:hAnsi="Book Antiqua"/>
          <w:color w:val="231F20"/>
          <w:spacing w:val="2"/>
          <w:sz w:val="17"/>
        </w:rPr>
        <w:t>to</w:t>
      </w:r>
      <w:r>
        <w:rPr>
          <w:rFonts w:ascii="Book Antiqua" w:hAnsi="Book Antiqua"/>
          <w:color w:val="231F20"/>
          <w:spacing w:val="-18"/>
          <w:sz w:val="17"/>
        </w:rPr>
        <w:t> </w:t>
      </w:r>
      <w:r>
        <w:rPr>
          <w:rFonts w:ascii="Book Antiqua" w:hAnsi="Book Antiqua"/>
          <w:color w:val="231F20"/>
          <w:spacing w:val="2"/>
          <w:sz w:val="17"/>
        </w:rPr>
        <w:t>keep</w:t>
      </w:r>
      <w:r>
        <w:rPr>
          <w:rFonts w:ascii="Book Antiqua" w:hAnsi="Book Antiqua"/>
          <w:color w:val="231F20"/>
          <w:spacing w:val="-18"/>
          <w:sz w:val="17"/>
        </w:rPr>
        <w:t> </w:t>
      </w:r>
      <w:r>
        <w:rPr>
          <w:rFonts w:ascii="Book Antiqua" w:hAnsi="Book Antiqua"/>
          <w:color w:val="231F20"/>
          <w:spacing w:val="3"/>
          <w:sz w:val="17"/>
        </w:rPr>
        <w:t>our</w:t>
      </w:r>
      <w:r>
        <w:rPr>
          <w:rFonts w:ascii="Book Antiqua" w:hAnsi="Book Antiqua"/>
          <w:color w:val="231F20"/>
          <w:spacing w:val="-23"/>
          <w:sz w:val="17"/>
        </w:rPr>
        <w:t> </w:t>
      </w:r>
      <w:r>
        <w:rPr>
          <w:rFonts w:ascii="Book Antiqua" w:hAnsi="Book Antiqua"/>
          <w:color w:val="231F20"/>
          <w:spacing w:val="5"/>
          <w:sz w:val="17"/>
        </w:rPr>
        <w:t>costs </w:t>
      </w:r>
      <w:r>
        <w:rPr>
          <w:rFonts w:ascii="Book Antiqua" w:hAnsi="Book Antiqua"/>
          <w:color w:val="231F20"/>
          <w:sz w:val="17"/>
        </w:rPr>
        <w:t>low</w:t>
      </w:r>
      <w:r>
        <w:rPr>
          <w:rFonts w:ascii="Book Antiqua" w:hAnsi="Book Antiqua"/>
          <w:color w:val="231F20"/>
          <w:spacing w:val="-19"/>
          <w:sz w:val="17"/>
        </w:rPr>
        <w:t> </w:t>
      </w:r>
      <w:r>
        <w:rPr>
          <w:rFonts w:ascii="Book Antiqua" w:hAnsi="Book Antiqua"/>
          <w:color w:val="231F20"/>
          <w:spacing w:val="2"/>
          <w:sz w:val="17"/>
        </w:rPr>
        <w:t>so</w:t>
      </w:r>
      <w:r>
        <w:rPr>
          <w:rFonts w:ascii="Book Antiqua" w:hAnsi="Book Antiqua"/>
          <w:color w:val="231F20"/>
          <w:spacing w:val="-15"/>
          <w:sz w:val="17"/>
        </w:rPr>
        <w:t> </w:t>
      </w:r>
      <w:r>
        <w:rPr>
          <w:rFonts w:ascii="Book Antiqua" w:hAnsi="Book Antiqua"/>
          <w:color w:val="231F20"/>
          <w:spacing w:val="3"/>
          <w:sz w:val="17"/>
        </w:rPr>
        <w:t>that</w:t>
      </w:r>
      <w:r>
        <w:rPr>
          <w:rFonts w:ascii="Book Antiqua" w:hAnsi="Book Antiqua"/>
          <w:color w:val="231F20"/>
          <w:spacing w:val="-20"/>
          <w:sz w:val="17"/>
        </w:rPr>
        <w:t> </w:t>
      </w:r>
      <w:r>
        <w:rPr>
          <w:rFonts w:ascii="Book Antiqua" w:hAnsi="Book Antiqua"/>
          <w:color w:val="231F20"/>
          <w:sz w:val="17"/>
        </w:rPr>
        <w:t>we</w:t>
      </w:r>
      <w:r>
        <w:rPr>
          <w:rFonts w:ascii="Book Antiqua" w:hAnsi="Book Antiqua"/>
          <w:color w:val="231F20"/>
          <w:spacing w:val="-15"/>
          <w:sz w:val="17"/>
        </w:rPr>
        <w:t> </w:t>
      </w:r>
      <w:r>
        <w:rPr>
          <w:rFonts w:ascii="Book Antiqua" w:hAnsi="Book Antiqua"/>
          <w:color w:val="231F20"/>
          <w:spacing w:val="4"/>
          <w:sz w:val="17"/>
        </w:rPr>
        <w:t>could</w:t>
      </w:r>
      <w:r>
        <w:rPr>
          <w:rFonts w:ascii="Book Antiqua" w:hAnsi="Book Antiqua"/>
          <w:color w:val="231F20"/>
          <w:spacing w:val="-15"/>
          <w:sz w:val="17"/>
        </w:rPr>
        <w:t> </w:t>
      </w:r>
      <w:r>
        <w:rPr>
          <w:rFonts w:ascii="Book Antiqua" w:hAnsi="Book Antiqua"/>
          <w:color w:val="231F20"/>
          <w:spacing w:val="2"/>
          <w:sz w:val="17"/>
        </w:rPr>
        <w:t>make</w:t>
      </w:r>
      <w:r>
        <w:rPr>
          <w:rFonts w:ascii="Book Antiqua" w:hAnsi="Book Antiqua"/>
          <w:color w:val="231F20"/>
          <w:spacing w:val="-15"/>
          <w:sz w:val="17"/>
        </w:rPr>
        <w:t> </w:t>
      </w:r>
      <w:r>
        <w:rPr>
          <w:rFonts w:ascii="Book Antiqua" w:hAnsi="Book Antiqua"/>
          <w:color w:val="231F20"/>
          <w:sz w:val="17"/>
        </w:rPr>
        <w:t>f</w:t>
      </w:r>
      <w:r>
        <w:rPr>
          <w:rFonts w:ascii="Book Antiqua" w:hAnsi="Book Antiqua"/>
          <w:color w:val="231F20"/>
          <w:spacing w:val="-33"/>
          <w:sz w:val="17"/>
        </w:rPr>
        <w:t> </w:t>
      </w:r>
      <w:r>
        <w:rPr>
          <w:rFonts w:ascii="Book Antiqua" w:hAnsi="Book Antiqua"/>
          <w:color w:val="231F20"/>
          <w:spacing w:val="4"/>
          <w:sz w:val="17"/>
        </w:rPr>
        <w:t>lying</w:t>
      </w:r>
      <w:r>
        <w:rPr>
          <w:rFonts w:ascii="Book Antiqua" w:hAnsi="Book Antiqua"/>
          <w:color w:val="231F20"/>
          <w:spacing w:val="-15"/>
          <w:sz w:val="17"/>
        </w:rPr>
        <w:t> </w:t>
      </w:r>
      <w:r>
        <w:rPr>
          <w:rFonts w:ascii="Book Antiqua" w:hAnsi="Book Antiqua"/>
          <w:color w:val="231F20"/>
          <w:spacing w:val="5"/>
          <w:sz w:val="17"/>
        </w:rPr>
        <w:t>affordable</w:t>
      </w:r>
      <w:r>
        <w:rPr>
          <w:rFonts w:ascii="Book Antiqua" w:hAnsi="Book Antiqua"/>
          <w:color w:val="231F20"/>
          <w:spacing w:val="-15"/>
          <w:sz w:val="17"/>
        </w:rPr>
        <w:t> </w:t>
      </w:r>
      <w:r>
        <w:rPr>
          <w:rFonts w:ascii="Book Antiqua" w:hAnsi="Book Antiqua"/>
          <w:color w:val="231F20"/>
          <w:spacing w:val="4"/>
          <w:sz w:val="17"/>
        </w:rPr>
        <w:t>instead</w:t>
      </w:r>
      <w:r>
        <w:rPr>
          <w:rFonts w:ascii="Book Antiqua" w:hAnsi="Book Antiqua"/>
          <w:color w:val="231F20"/>
          <w:spacing w:val="-15"/>
          <w:sz w:val="17"/>
        </w:rPr>
        <w:t> </w:t>
      </w:r>
      <w:r>
        <w:rPr>
          <w:rFonts w:ascii="Book Antiqua" w:hAnsi="Book Antiqua"/>
          <w:color w:val="231F20"/>
          <w:spacing w:val="2"/>
          <w:sz w:val="17"/>
        </w:rPr>
        <w:t>of</w:t>
      </w:r>
      <w:r>
        <w:rPr>
          <w:rFonts w:ascii="Book Antiqua" w:hAnsi="Book Antiqua"/>
          <w:color w:val="231F20"/>
          <w:spacing w:val="-15"/>
          <w:sz w:val="17"/>
        </w:rPr>
        <w:t> </w:t>
      </w:r>
      <w:r>
        <w:rPr>
          <w:rFonts w:ascii="Book Antiqua" w:hAnsi="Book Antiqua"/>
          <w:color w:val="231F20"/>
          <w:sz w:val="17"/>
        </w:rPr>
        <w:t>a</w:t>
      </w:r>
      <w:r>
        <w:rPr>
          <w:rFonts w:ascii="Book Antiqua" w:hAnsi="Book Antiqua"/>
          <w:color w:val="231F20"/>
          <w:spacing w:val="-15"/>
          <w:sz w:val="17"/>
        </w:rPr>
        <w:t> </w:t>
      </w:r>
      <w:r>
        <w:rPr>
          <w:rFonts w:ascii="Book Antiqua" w:hAnsi="Book Antiqua"/>
          <w:color w:val="231F20"/>
          <w:spacing w:val="4"/>
          <w:sz w:val="17"/>
        </w:rPr>
        <w:t>luxury</w:t>
      </w:r>
      <w:r>
        <w:rPr>
          <w:rFonts w:ascii="Book Antiqua" w:hAnsi="Book Antiqua"/>
          <w:color w:val="231F20"/>
          <w:spacing w:val="-19"/>
          <w:sz w:val="17"/>
        </w:rPr>
        <w:t> </w:t>
      </w:r>
      <w:r>
        <w:rPr>
          <w:rFonts w:ascii="Book Antiqua" w:hAnsi="Book Antiqua"/>
          <w:color w:val="231F20"/>
          <w:spacing w:val="5"/>
          <w:sz w:val="17"/>
        </w:rPr>
        <w:t>for </w:t>
      </w:r>
      <w:r>
        <w:rPr>
          <w:rFonts w:ascii="Book Antiqua" w:hAnsi="Book Antiqua"/>
          <w:color w:val="231F20"/>
          <w:sz w:val="17"/>
        </w:rPr>
        <w:t>a few. </w:t>
      </w:r>
      <w:r>
        <w:rPr>
          <w:rFonts w:ascii="Book Antiqua" w:hAnsi="Book Antiqua"/>
          <w:color w:val="231F20"/>
          <w:spacing w:val="2"/>
          <w:sz w:val="17"/>
        </w:rPr>
        <w:t>As </w:t>
      </w:r>
      <w:r>
        <w:rPr>
          <w:rFonts w:ascii="Book Antiqua" w:hAnsi="Book Antiqua"/>
          <w:color w:val="231F20"/>
          <w:sz w:val="17"/>
        </w:rPr>
        <w:t>we </w:t>
      </w:r>
      <w:r>
        <w:rPr>
          <w:rFonts w:ascii="Book Antiqua" w:hAnsi="Book Antiqua"/>
          <w:color w:val="231F20"/>
          <w:spacing w:val="2"/>
          <w:sz w:val="17"/>
        </w:rPr>
        <w:t>have </w:t>
      </w:r>
      <w:r>
        <w:rPr>
          <w:rFonts w:ascii="Book Antiqua" w:hAnsi="Book Antiqua"/>
          <w:color w:val="231F20"/>
          <w:spacing w:val="3"/>
          <w:sz w:val="17"/>
        </w:rPr>
        <w:t>grown and </w:t>
      </w:r>
      <w:r>
        <w:rPr>
          <w:rFonts w:ascii="Book Antiqua" w:hAnsi="Book Antiqua"/>
          <w:color w:val="231F20"/>
          <w:spacing w:val="4"/>
          <w:sz w:val="17"/>
        </w:rPr>
        <w:t>introduced </w:t>
      </w:r>
      <w:r>
        <w:rPr>
          <w:rFonts w:ascii="Book Antiqua" w:hAnsi="Book Antiqua"/>
          <w:color w:val="231F20"/>
          <w:spacing w:val="3"/>
          <w:sz w:val="17"/>
        </w:rPr>
        <w:t>Southwest </w:t>
      </w:r>
      <w:r>
        <w:rPr>
          <w:rFonts w:ascii="Book Antiqua" w:hAnsi="Book Antiqua"/>
          <w:color w:val="231F20"/>
          <w:spacing w:val="4"/>
          <w:sz w:val="17"/>
        </w:rPr>
        <w:t>fares </w:t>
      </w:r>
      <w:r>
        <w:rPr>
          <w:rFonts w:ascii="Book Antiqua" w:hAnsi="Book Antiqua"/>
          <w:color w:val="231F20"/>
          <w:spacing w:val="2"/>
          <w:sz w:val="17"/>
        </w:rPr>
        <w:t>to </w:t>
      </w:r>
      <w:r>
        <w:rPr>
          <w:rFonts w:ascii="Book Antiqua" w:hAnsi="Book Antiqua"/>
          <w:color w:val="231F20"/>
          <w:spacing w:val="5"/>
          <w:sz w:val="17"/>
        </w:rPr>
        <w:t>the </w:t>
      </w:r>
      <w:r>
        <w:rPr>
          <w:rFonts w:ascii="Book Antiqua" w:hAnsi="Book Antiqua"/>
          <w:color w:val="231F20"/>
          <w:spacing w:val="3"/>
          <w:sz w:val="17"/>
        </w:rPr>
        <w:t>new </w:t>
      </w:r>
      <w:r>
        <w:rPr>
          <w:rFonts w:ascii="Book Antiqua" w:hAnsi="Book Antiqua"/>
          <w:color w:val="231F20"/>
          <w:spacing w:val="4"/>
          <w:sz w:val="17"/>
        </w:rPr>
        <w:t>communities </w:t>
      </w:r>
      <w:r>
        <w:rPr>
          <w:rFonts w:ascii="Book Antiqua" w:hAnsi="Book Antiqua"/>
          <w:color w:val="231F20"/>
          <w:sz w:val="17"/>
        </w:rPr>
        <w:t>we </w:t>
      </w:r>
      <w:r>
        <w:rPr>
          <w:rFonts w:ascii="Book Antiqua" w:hAnsi="Book Antiqua"/>
          <w:color w:val="231F20"/>
          <w:spacing w:val="3"/>
          <w:sz w:val="17"/>
        </w:rPr>
        <w:t>serve, more </w:t>
      </w:r>
      <w:r>
        <w:rPr>
          <w:rFonts w:ascii="Book Antiqua" w:hAnsi="Book Antiqua"/>
          <w:color w:val="231F20"/>
          <w:spacing w:val="2"/>
          <w:sz w:val="17"/>
        </w:rPr>
        <w:t>of </w:t>
      </w:r>
      <w:r>
        <w:rPr>
          <w:rFonts w:ascii="Book Antiqua" w:hAnsi="Book Antiqua"/>
          <w:color w:val="231F20"/>
          <w:spacing w:val="3"/>
          <w:sz w:val="17"/>
        </w:rPr>
        <w:t>our </w:t>
      </w:r>
      <w:r>
        <w:rPr>
          <w:rFonts w:ascii="Book Antiqua" w:hAnsi="Book Antiqua"/>
          <w:color w:val="231F20"/>
          <w:spacing w:val="4"/>
          <w:sz w:val="17"/>
        </w:rPr>
        <w:t>Customers </w:t>
      </w:r>
      <w:r>
        <w:rPr>
          <w:rFonts w:ascii="Book Antiqua" w:hAnsi="Book Antiqua"/>
          <w:color w:val="231F20"/>
          <w:spacing w:val="5"/>
          <w:sz w:val="17"/>
        </w:rPr>
        <w:t>understand </w:t>
      </w:r>
      <w:r>
        <w:rPr>
          <w:rFonts w:ascii="Book Antiqua" w:hAnsi="Book Antiqua"/>
          <w:color w:val="231F20"/>
          <w:spacing w:val="3"/>
          <w:sz w:val="17"/>
        </w:rPr>
        <w:t>they</w:t>
      </w:r>
      <w:r>
        <w:rPr>
          <w:rFonts w:ascii="Book Antiqua" w:hAnsi="Book Antiqua"/>
          <w:color w:val="231F20"/>
          <w:spacing w:val="-12"/>
          <w:sz w:val="17"/>
        </w:rPr>
        <w:t> </w:t>
      </w:r>
      <w:r>
        <w:rPr>
          <w:rFonts w:ascii="Book Antiqua" w:hAnsi="Book Antiqua"/>
          <w:color w:val="231F20"/>
          <w:spacing w:val="3"/>
          <w:sz w:val="17"/>
        </w:rPr>
        <w:t>can</w:t>
      </w:r>
      <w:r>
        <w:rPr>
          <w:rFonts w:ascii="Book Antiqua" w:hAnsi="Book Antiqua"/>
          <w:color w:val="231F20"/>
          <w:spacing w:val="-7"/>
          <w:sz w:val="17"/>
        </w:rPr>
        <w:t> </w:t>
      </w:r>
      <w:r>
        <w:rPr>
          <w:rFonts w:ascii="Book Antiqua" w:hAnsi="Book Antiqua"/>
          <w:color w:val="231F20"/>
          <w:spacing w:val="4"/>
          <w:sz w:val="17"/>
        </w:rPr>
        <w:t>always</w:t>
      </w:r>
      <w:r>
        <w:rPr>
          <w:rFonts w:ascii="Book Antiqua" w:hAnsi="Book Antiqua"/>
          <w:color w:val="231F20"/>
          <w:spacing w:val="-7"/>
          <w:sz w:val="17"/>
        </w:rPr>
        <w:t> </w:t>
      </w:r>
      <w:r>
        <w:rPr>
          <w:rFonts w:ascii="Book Antiqua" w:hAnsi="Book Antiqua"/>
          <w:color w:val="231F20"/>
          <w:spacing w:val="3"/>
          <w:sz w:val="17"/>
        </w:rPr>
        <w:t>rely</w:t>
      </w:r>
      <w:r>
        <w:rPr>
          <w:rFonts w:ascii="Book Antiqua" w:hAnsi="Book Antiqua"/>
          <w:color w:val="231F20"/>
          <w:spacing w:val="-12"/>
          <w:sz w:val="17"/>
        </w:rPr>
        <w:t> </w:t>
      </w:r>
      <w:r>
        <w:rPr>
          <w:rFonts w:ascii="Book Antiqua" w:hAnsi="Book Antiqua"/>
          <w:color w:val="231F20"/>
          <w:spacing w:val="2"/>
          <w:sz w:val="17"/>
        </w:rPr>
        <w:t>on</w:t>
      </w:r>
      <w:r>
        <w:rPr>
          <w:rFonts w:ascii="Book Antiqua" w:hAnsi="Book Antiqua"/>
          <w:color w:val="231F20"/>
          <w:spacing w:val="-7"/>
          <w:sz w:val="17"/>
        </w:rPr>
        <w:t> </w:t>
      </w:r>
      <w:r>
        <w:rPr>
          <w:rFonts w:ascii="Book Antiqua" w:hAnsi="Book Antiqua"/>
          <w:color w:val="231F20"/>
          <w:spacing w:val="2"/>
          <w:sz w:val="17"/>
        </w:rPr>
        <w:t>us</w:t>
      </w:r>
      <w:r>
        <w:rPr>
          <w:rFonts w:ascii="Book Antiqua" w:hAnsi="Book Antiqua"/>
          <w:color w:val="231F20"/>
          <w:spacing w:val="-7"/>
          <w:sz w:val="17"/>
        </w:rPr>
        <w:t> </w:t>
      </w:r>
      <w:r>
        <w:rPr>
          <w:rFonts w:ascii="Book Antiqua" w:hAnsi="Book Antiqua"/>
          <w:color w:val="231F20"/>
          <w:spacing w:val="3"/>
          <w:sz w:val="17"/>
        </w:rPr>
        <w:t>for</w:t>
      </w:r>
      <w:r>
        <w:rPr>
          <w:rFonts w:ascii="Book Antiqua" w:hAnsi="Book Antiqua"/>
          <w:color w:val="231F20"/>
          <w:spacing w:val="-13"/>
          <w:sz w:val="17"/>
        </w:rPr>
        <w:t> </w:t>
      </w:r>
      <w:r>
        <w:rPr>
          <w:rFonts w:ascii="Book Antiqua" w:hAnsi="Book Antiqua"/>
          <w:color w:val="231F20"/>
          <w:sz w:val="17"/>
        </w:rPr>
        <w:t>a</w:t>
      </w:r>
      <w:r>
        <w:rPr>
          <w:rFonts w:ascii="Book Antiqua" w:hAnsi="Book Antiqua"/>
          <w:color w:val="231F20"/>
          <w:spacing w:val="-7"/>
          <w:sz w:val="17"/>
        </w:rPr>
        <w:t> </w:t>
      </w:r>
      <w:r>
        <w:rPr>
          <w:rFonts w:ascii="Book Antiqua" w:hAnsi="Book Antiqua"/>
          <w:color w:val="231F20"/>
          <w:sz w:val="17"/>
        </w:rPr>
        <w:t>low</w:t>
      </w:r>
      <w:r>
        <w:rPr>
          <w:rFonts w:ascii="Book Antiqua" w:hAnsi="Book Antiqua"/>
          <w:color w:val="231F20"/>
          <w:spacing w:val="-12"/>
          <w:sz w:val="17"/>
        </w:rPr>
        <w:t> </w:t>
      </w:r>
      <w:r>
        <w:rPr>
          <w:rFonts w:ascii="Book Antiqua" w:hAnsi="Book Antiqua"/>
          <w:color w:val="231F20"/>
          <w:spacing w:val="5"/>
          <w:sz w:val="17"/>
        </w:rPr>
        <w:t>fare.</w:t>
      </w:r>
    </w:p>
    <w:p>
      <w:pPr>
        <w:spacing w:line="321" w:lineRule="auto" w:before="0"/>
        <w:ind w:left="119" w:right="9" w:firstLine="360"/>
        <w:jc w:val="both"/>
        <w:rPr>
          <w:rFonts w:ascii="Book Antiqua" w:hAnsi="Book Antiqua"/>
          <w:sz w:val="17"/>
        </w:rPr>
      </w:pPr>
      <w:r>
        <w:rPr>
          <w:rFonts w:ascii="Book Antiqua" w:hAnsi="Book Antiqua"/>
          <w:color w:val="231F20"/>
          <w:sz w:val="17"/>
        </w:rPr>
        <w:t>Although every carrier has been a “low-fare carrier” since September 11, we are the only airline that has offered low fares profitably and consistently for 32+ years. Our Employees remain dedicated to spreading low fares and their Legendary Customer Service across America. Bringing low fares to Americans is not just our business, it’s our passion.</w:t>
      </w:r>
    </w:p>
    <w:p>
      <w:pPr>
        <w:pStyle w:val="BodyText"/>
        <w:spacing w:before="5"/>
        <w:rPr>
          <w:rFonts w:ascii="Book Antiqua"/>
          <w:sz w:val="28"/>
        </w:rPr>
      </w:pPr>
    </w:p>
    <w:p>
      <w:pPr>
        <w:spacing w:before="0"/>
        <w:ind w:left="120" w:right="0" w:firstLine="0"/>
        <w:jc w:val="both"/>
        <w:rPr>
          <w:rFonts w:ascii="Book Antiqua"/>
          <w:sz w:val="16"/>
        </w:rPr>
      </w:pPr>
      <w:r>
        <w:rPr>
          <w:rFonts w:ascii="Book Antiqua"/>
          <w:color w:val="231F20"/>
          <w:sz w:val="16"/>
        </w:rPr>
        <w:t>Legendary Customer Service</w:t>
      </w:r>
    </w:p>
    <w:p>
      <w:pPr>
        <w:pStyle w:val="BodyText"/>
        <w:spacing w:before="7"/>
        <w:rPr>
          <w:rFonts w:ascii="Book Antiqua"/>
          <w:sz w:val="17"/>
        </w:rPr>
      </w:pPr>
    </w:p>
    <w:p>
      <w:pPr>
        <w:spacing w:line="321" w:lineRule="auto" w:before="0"/>
        <w:ind w:left="120" w:right="0" w:firstLine="360"/>
        <w:jc w:val="both"/>
        <w:rPr>
          <w:rFonts w:ascii="Book Antiqua"/>
          <w:sz w:val="17"/>
        </w:rPr>
      </w:pPr>
      <w:r>
        <w:rPr>
          <w:rFonts w:ascii="Book Antiqua"/>
          <w:color w:val="231F20"/>
          <w:sz w:val="17"/>
        </w:rPr>
        <w:t>Our Employees are widely recognized for their Southwest Spirit and caring hearts. Because we have earned a reputation as a great place to work, we attract and hire the best applicants. According to the April 2003 issue of </w:t>
      </w:r>
      <w:r>
        <w:rPr>
          <w:rFonts w:ascii="Book Antiqua"/>
          <w:i/>
          <w:color w:val="231F20"/>
          <w:sz w:val="17"/>
        </w:rPr>
        <w:t>FORTUNE</w:t>
      </w:r>
      <w:r>
        <w:rPr>
          <w:rFonts w:ascii="Book Antiqua"/>
          <w:color w:val="231F20"/>
          <w:sz w:val="17"/>
        </w:rPr>
        <w:t>, Southwest is an employer of choice among college students. Once we hire someone, we train, develop, and provide the support they need to succeed. We trust our Employees, and we empower them to effectively make decisions to perform their jobs in a </w:t>
      </w:r>
      <w:r>
        <w:rPr>
          <w:rFonts w:ascii="Book Antiqua"/>
          <w:color w:val="231F20"/>
          <w:w w:val="90"/>
          <w:sz w:val="17"/>
        </w:rPr>
        <w:t>challenging industry.</w:t>
      </w:r>
    </w:p>
    <w:p>
      <w:pPr>
        <w:spacing w:line="321" w:lineRule="auto" w:before="0"/>
        <w:ind w:left="120" w:right="6" w:firstLine="360"/>
        <w:jc w:val="both"/>
        <w:rPr>
          <w:rFonts w:ascii="Book Antiqua"/>
          <w:sz w:val="17"/>
        </w:rPr>
      </w:pPr>
      <w:r>
        <w:rPr>
          <w:rFonts w:ascii="Book Antiqua"/>
          <w:color w:val="231F20"/>
          <w:sz w:val="17"/>
        </w:rPr>
        <w:t>Our Employees genuinely care about our Company, our Customers, and the communities we serve. They have had to endure constant change and stress since September 11, 2001, while </w:t>
      </w:r>
      <w:r>
        <w:rPr>
          <w:rFonts w:ascii="Book Antiqua"/>
          <w:color w:val="231F20"/>
          <w:w w:val="95"/>
          <w:sz w:val="17"/>
        </w:rPr>
        <w:t>adapting to complicated security measures and procedures. We have</w:t>
      </w:r>
    </w:p>
    <w:p>
      <w:pPr>
        <w:pStyle w:val="BodyText"/>
        <w:rPr>
          <w:rFonts w:ascii="Book Antiqua"/>
          <w:sz w:val="20"/>
        </w:rPr>
      </w:pPr>
      <w:r>
        <w:rPr/>
        <w:br w:type="column"/>
      </w:r>
      <w:r>
        <w:rPr>
          <w:rFonts w:ascii="Book Antiqua"/>
          <w:sz w:val="20"/>
        </w:rPr>
      </w:r>
    </w:p>
    <w:p>
      <w:pPr>
        <w:pStyle w:val="BodyText"/>
        <w:rPr>
          <w:rFonts w:ascii="Book Antiqua"/>
          <w:sz w:val="20"/>
        </w:rPr>
      </w:pPr>
    </w:p>
    <w:p>
      <w:pPr>
        <w:pStyle w:val="BodyText"/>
        <w:spacing w:before="12"/>
        <w:rPr>
          <w:rFonts w:ascii="Book Antiqua"/>
          <w:sz w:val="22"/>
        </w:rPr>
      </w:pPr>
    </w:p>
    <w:p>
      <w:pPr>
        <w:spacing w:line="321" w:lineRule="auto" w:before="0"/>
        <w:ind w:left="120" w:right="492" w:firstLine="0"/>
        <w:jc w:val="both"/>
        <w:rPr>
          <w:rFonts w:ascii="Book Antiqua"/>
          <w:sz w:val="17"/>
        </w:rPr>
      </w:pPr>
      <w:r>
        <w:rPr>
          <w:rFonts w:ascii="Book Antiqua"/>
          <w:color w:val="231F20"/>
          <w:spacing w:val="2"/>
          <w:w w:val="95"/>
          <w:sz w:val="17"/>
        </w:rPr>
        <w:t>deployed</w:t>
      </w:r>
      <w:r>
        <w:rPr>
          <w:rFonts w:ascii="Book Antiqua"/>
          <w:color w:val="231F20"/>
          <w:spacing w:val="-5"/>
          <w:w w:val="95"/>
          <w:sz w:val="17"/>
        </w:rPr>
        <w:t> </w:t>
      </w:r>
      <w:r>
        <w:rPr>
          <w:rFonts w:ascii="Book Antiqua"/>
          <w:color w:val="231F20"/>
          <w:spacing w:val="2"/>
          <w:w w:val="95"/>
          <w:sz w:val="17"/>
        </w:rPr>
        <w:t>new</w:t>
      </w:r>
      <w:r>
        <w:rPr>
          <w:rFonts w:ascii="Book Antiqua"/>
          <w:color w:val="231F20"/>
          <w:spacing w:val="-12"/>
          <w:w w:val="95"/>
          <w:sz w:val="17"/>
        </w:rPr>
        <w:t> </w:t>
      </w:r>
      <w:r>
        <w:rPr>
          <w:rFonts w:ascii="Book Antiqua"/>
          <w:color w:val="231F20"/>
          <w:spacing w:val="3"/>
          <w:w w:val="95"/>
          <w:sz w:val="17"/>
        </w:rPr>
        <w:t>technologies</w:t>
      </w:r>
      <w:r>
        <w:rPr>
          <w:rFonts w:ascii="Book Antiqua"/>
          <w:color w:val="231F20"/>
          <w:spacing w:val="-5"/>
          <w:w w:val="95"/>
          <w:sz w:val="17"/>
        </w:rPr>
        <w:t> </w:t>
      </w:r>
      <w:r>
        <w:rPr>
          <w:rFonts w:ascii="Book Antiqua"/>
          <w:color w:val="231F20"/>
          <w:w w:val="95"/>
          <w:sz w:val="17"/>
        </w:rPr>
        <w:t>at</w:t>
      </w:r>
      <w:r>
        <w:rPr>
          <w:rFonts w:ascii="Book Antiqua"/>
          <w:color w:val="231F20"/>
          <w:spacing w:val="-9"/>
          <w:w w:val="95"/>
          <w:sz w:val="17"/>
        </w:rPr>
        <w:t> </w:t>
      </w:r>
      <w:r>
        <w:rPr>
          <w:rFonts w:ascii="Book Antiqua"/>
          <w:color w:val="231F20"/>
          <w:spacing w:val="2"/>
          <w:w w:val="95"/>
          <w:sz w:val="17"/>
        </w:rPr>
        <w:t>our</w:t>
      </w:r>
      <w:r>
        <w:rPr>
          <w:rFonts w:ascii="Book Antiqua"/>
          <w:color w:val="231F20"/>
          <w:spacing w:val="-12"/>
          <w:w w:val="95"/>
          <w:sz w:val="17"/>
        </w:rPr>
        <w:t> </w:t>
      </w:r>
      <w:r>
        <w:rPr>
          <w:rFonts w:ascii="Book Antiqua"/>
          <w:color w:val="231F20"/>
          <w:spacing w:val="4"/>
          <w:w w:val="95"/>
          <w:sz w:val="17"/>
        </w:rPr>
        <w:t>airports</w:t>
      </w:r>
      <w:r>
        <w:rPr>
          <w:rFonts w:ascii="Book Antiqua"/>
          <w:color w:val="231F20"/>
          <w:spacing w:val="-5"/>
          <w:w w:val="95"/>
          <w:sz w:val="17"/>
        </w:rPr>
        <w:t> </w:t>
      </w:r>
      <w:r>
        <w:rPr>
          <w:rFonts w:ascii="Book Antiqua"/>
          <w:color w:val="231F20"/>
          <w:spacing w:val="2"/>
          <w:w w:val="95"/>
          <w:sz w:val="17"/>
        </w:rPr>
        <w:t>and</w:t>
      </w:r>
      <w:r>
        <w:rPr>
          <w:rFonts w:ascii="Book Antiqua"/>
          <w:color w:val="231F20"/>
          <w:spacing w:val="-5"/>
          <w:w w:val="95"/>
          <w:sz w:val="17"/>
        </w:rPr>
        <w:t> </w:t>
      </w:r>
      <w:r>
        <w:rPr>
          <w:rFonts w:ascii="Book Antiqua"/>
          <w:color w:val="231F20"/>
          <w:spacing w:val="3"/>
          <w:w w:val="95"/>
          <w:sz w:val="17"/>
        </w:rPr>
        <w:t>dramatically</w:t>
      </w:r>
      <w:r>
        <w:rPr>
          <w:rFonts w:ascii="Book Antiqua"/>
          <w:color w:val="231F20"/>
          <w:spacing w:val="-12"/>
          <w:w w:val="95"/>
          <w:sz w:val="17"/>
        </w:rPr>
        <w:t> </w:t>
      </w:r>
      <w:r>
        <w:rPr>
          <w:rFonts w:ascii="Book Antiqua"/>
          <w:color w:val="231F20"/>
          <w:spacing w:val="4"/>
          <w:w w:val="95"/>
          <w:sz w:val="17"/>
        </w:rPr>
        <w:t>changed </w:t>
      </w:r>
      <w:r>
        <w:rPr>
          <w:rFonts w:ascii="Book Antiqua"/>
          <w:color w:val="231F20"/>
          <w:spacing w:val="2"/>
          <w:sz w:val="17"/>
        </w:rPr>
        <w:t>the</w:t>
      </w:r>
      <w:r>
        <w:rPr>
          <w:rFonts w:ascii="Book Antiqua"/>
          <w:color w:val="231F20"/>
          <w:spacing w:val="-11"/>
          <w:sz w:val="17"/>
        </w:rPr>
        <w:t> </w:t>
      </w:r>
      <w:r>
        <w:rPr>
          <w:rFonts w:ascii="Book Antiqua"/>
          <w:color w:val="231F20"/>
          <w:spacing w:val="2"/>
          <w:sz w:val="17"/>
        </w:rPr>
        <w:t>way</w:t>
      </w:r>
      <w:r>
        <w:rPr>
          <w:rFonts w:ascii="Book Antiqua"/>
          <w:color w:val="231F20"/>
          <w:spacing w:val="-15"/>
          <w:sz w:val="17"/>
        </w:rPr>
        <w:t> </w:t>
      </w:r>
      <w:r>
        <w:rPr>
          <w:rFonts w:ascii="Book Antiqua"/>
          <w:color w:val="231F20"/>
          <w:sz w:val="17"/>
        </w:rPr>
        <w:t>we</w:t>
      </w:r>
      <w:r>
        <w:rPr>
          <w:rFonts w:ascii="Book Antiqua"/>
          <w:color w:val="231F20"/>
          <w:spacing w:val="-9"/>
          <w:sz w:val="17"/>
        </w:rPr>
        <w:t> </w:t>
      </w:r>
      <w:r>
        <w:rPr>
          <w:rFonts w:ascii="Book Antiqua"/>
          <w:color w:val="231F20"/>
          <w:spacing w:val="3"/>
          <w:sz w:val="17"/>
        </w:rPr>
        <w:t>operate</w:t>
      </w:r>
      <w:r>
        <w:rPr>
          <w:rFonts w:ascii="Book Antiqua"/>
          <w:color w:val="231F20"/>
          <w:spacing w:val="-9"/>
          <w:sz w:val="17"/>
        </w:rPr>
        <w:t> </w:t>
      </w:r>
      <w:r>
        <w:rPr>
          <w:rFonts w:ascii="Book Antiqua"/>
          <w:color w:val="231F20"/>
          <w:spacing w:val="2"/>
          <w:sz w:val="17"/>
        </w:rPr>
        <w:t>our</w:t>
      </w:r>
      <w:r>
        <w:rPr>
          <w:rFonts w:ascii="Book Antiqua"/>
          <w:color w:val="231F20"/>
          <w:spacing w:val="-14"/>
          <w:sz w:val="17"/>
        </w:rPr>
        <w:t> </w:t>
      </w:r>
      <w:r>
        <w:rPr>
          <w:rFonts w:ascii="Book Antiqua"/>
          <w:color w:val="231F20"/>
          <w:spacing w:val="3"/>
          <w:sz w:val="17"/>
        </w:rPr>
        <w:t>business.</w:t>
      </w:r>
      <w:r>
        <w:rPr>
          <w:rFonts w:ascii="Book Antiqua"/>
          <w:color w:val="231F20"/>
          <w:spacing w:val="-9"/>
          <w:sz w:val="17"/>
        </w:rPr>
        <w:t> </w:t>
      </w:r>
      <w:r>
        <w:rPr>
          <w:rFonts w:ascii="Book Antiqua"/>
          <w:color w:val="231F20"/>
          <w:spacing w:val="3"/>
          <w:sz w:val="17"/>
        </w:rPr>
        <w:t>Despite</w:t>
      </w:r>
      <w:r>
        <w:rPr>
          <w:rFonts w:ascii="Book Antiqua"/>
          <w:color w:val="231F20"/>
          <w:spacing w:val="-9"/>
          <w:sz w:val="17"/>
        </w:rPr>
        <w:t> </w:t>
      </w:r>
      <w:r>
        <w:rPr>
          <w:rFonts w:ascii="Book Antiqua"/>
          <w:color w:val="231F20"/>
          <w:spacing w:val="3"/>
          <w:sz w:val="17"/>
        </w:rPr>
        <w:t>these</w:t>
      </w:r>
      <w:r>
        <w:rPr>
          <w:rFonts w:ascii="Book Antiqua"/>
          <w:color w:val="231F20"/>
          <w:spacing w:val="-9"/>
          <w:sz w:val="17"/>
        </w:rPr>
        <w:t> </w:t>
      </w:r>
      <w:r>
        <w:rPr>
          <w:rFonts w:ascii="Book Antiqua"/>
          <w:color w:val="231F20"/>
          <w:spacing w:val="5"/>
          <w:sz w:val="17"/>
        </w:rPr>
        <w:t>difficult</w:t>
      </w:r>
      <w:r>
        <w:rPr>
          <w:rFonts w:ascii="Book Antiqua"/>
          <w:color w:val="231F20"/>
          <w:spacing w:val="-12"/>
          <w:sz w:val="17"/>
        </w:rPr>
        <w:t> </w:t>
      </w:r>
      <w:r>
        <w:rPr>
          <w:rFonts w:ascii="Book Antiqua"/>
          <w:color w:val="231F20"/>
          <w:spacing w:val="2"/>
          <w:sz w:val="17"/>
        </w:rPr>
        <w:t>operating conditions,</w:t>
      </w:r>
      <w:r>
        <w:rPr>
          <w:rFonts w:ascii="Book Antiqua"/>
          <w:color w:val="231F20"/>
          <w:spacing w:val="-18"/>
          <w:sz w:val="17"/>
        </w:rPr>
        <w:t> </w:t>
      </w:r>
      <w:r>
        <w:rPr>
          <w:rFonts w:ascii="Book Antiqua"/>
          <w:color w:val="231F20"/>
          <w:sz w:val="17"/>
        </w:rPr>
        <w:t>our</w:t>
      </w:r>
      <w:r>
        <w:rPr>
          <w:rFonts w:ascii="Book Antiqua"/>
          <w:color w:val="231F20"/>
          <w:spacing w:val="-19"/>
          <w:sz w:val="17"/>
        </w:rPr>
        <w:t> </w:t>
      </w:r>
      <w:r>
        <w:rPr>
          <w:rFonts w:ascii="Book Antiqua"/>
          <w:color w:val="231F20"/>
          <w:sz w:val="17"/>
        </w:rPr>
        <w:t>People</w:t>
      </w:r>
      <w:r>
        <w:rPr>
          <w:rFonts w:ascii="Book Antiqua"/>
          <w:color w:val="231F20"/>
          <w:spacing w:val="-15"/>
          <w:sz w:val="17"/>
        </w:rPr>
        <w:t> </w:t>
      </w:r>
      <w:r>
        <w:rPr>
          <w:rFonts w:ascii="Book Antiqua"/>
          <w:color w:val="231F20"/>
          <w:sz w:val="17"/>
        </w:rPr>
        <w:t>never</w:t>
      </w:r>
      <w:r>
        <w:rPr>
          <w:rFonts w:ascii="Book Antiqua"/>
          <w:color w:val="231F20"/>
          <w:spacing w:val="-19"/>
          <w:sz w:val="17"/>
        </w:rPr>
        <w:t> </w:t>
      </w:r>
      <w:r>
        <w:rPr>
          <w:rFonts w:ascii="Book Antiqua"/>
          <w:color w:val="231F20"/>
          <w:spacing w:val="2"/>
          <w:sz w:val="17"/>
        </w:rPr>
        <w:t>lost</w:t>
      </w:r>
      <w:r>
        <w:rPr>
          <w:rFonts w:ascii="Book Antiqua"/>
          <w:color w:val="231F20"/>
          <w:spacing w:val="-18"/>
          <w:sz w:val="17"/>
        </w:rPr>
        <w:t> </w:t>
      </w:r>
      <w:r>
        <w:rPr>
          <w:rFonts w:ascii="Book Antiqua"/>
          <w:color w:val="231F20"/>
          <w:spacing w:val="2"/>
          <w:sz w:val="17"/>
        </w:rPr>
        <w:t>their</w:t>
      </w:r>
      <w:r>
        <w:rPr>
          <w:rFonts w:ascii="Book Antiqua"/>
          <w:color w:val="231F20"/>
          <w:spacing w:val="-20"/>
          <w:sz w:val="17"/>
        </w:rPr>
        <w:t> </w:t>
      </w:r>
      <w:r>
        <w:rPr>
          <w:rFonts w:ascii="Book Antiqua"/>
          <w:color w:val="231F20"/>
          <w:spacing w:val="2"/>
          <w:sz w:val="17"/>
        </w:rPr>
        <w:t>compassion,</w:t>
      </w:r>
      <w:r>
        <w:rPr>
          <w:rFonts w:ascii="Book Antiqua"/>
          <w:color w:val="231F20"/>
          <w:spacing w:val="-17"/>
          <w:sz w:val="17"/>
        </w:rPr>
        <w:t> </w:t>
      </w:r>
      <w:r>
        <w:rPr>
          <w:rFonts w:ascii="Book Antiqua"/>
          <w:color w:val="231F20"/>
          <w:spacing w:val="2"/>
          <w:sz w:val="17"/>
        </w:rPr>
        <w:t>caring</w:t>
      </w:r>
      <w:r>
        <w:rPr>
          <w:rFonts w:ascii="Book Antiqua"/>
          <w:color w:val="231F20"/>
          <w:spacing w:val="-15"/>
          <w:sz w:val="17"/>
        </w:rPr>
        <w:t> </w:t>
      </w:r>
      <w:r>
        <w:rPr>
          <w:rFonts w:ascii="Book Antiqua"/>
          <w:color w:val="231F20"/>
          <w:spacing w:val="2"/>
          <w:sz w:val="17"/>
        </w:rPr>
        <w:t>hearts,</w:t>
      </w:r>
      <w:r>
        <w:rPr>
          <w:rFonts w:ascii="Book Antiqua"/>
          <w:color w:val="231F20"/>
          <w:spacing w:val="-18"/>
          <w:sz w:val="17"/>
        </w:rPr>
        <w:t> </w:t>
      </w:r>
      <w:r>
        <w:rPr>
          <w:rFonts w:ascii="Book Antiqua"/>
          <w:color w:val="231F20"/>
          <w:sz w:val="17"/>
        </w:rPr>
        <w:t>or desire</w:t>
      </w:r>
      <w:r>
        <w:rPr>
          <w:rFonts w:ascii="Book Antiqua"/>
          <w:color w:val="231F20"/>
          <w:spacing w:val="-23"/>
          <w:sz w:val="17"/>
        </w:rPr>
        <w:t> </w:t>
      </w:r>
      <w:r>
        <w:rPr>
          <w:rFonts w:ascii="Book Antiqua"/>
          <w:color w:val="231F20"/>
          <w:sz w:val="17"/>
        </w:rPr>
        <w:t>to</w:t>
      </w:r>
      <w:r>
        <w:rPr>
          <w:rFonts w:ascii="Book Antiqua"/>
          <w:color w:val="231F20"/>
          <w:spacing w:val="-23"/>
          <w:sz w:val="17"/>
        </w:rPr>
        <w:t> </w:t>
      </w:r>
      <w:r>
        <w:rPr>
          <w:rFonts w:ascii="Book Antiqua"/>
          <w:color w:val="231F20"/>
          <w:sz w:val="17"/>
        </w:rPr>
        <w:t>deliver</w:t>
      </w:r>
      <w:r>
        <w:rPr>
          <w:rFonts w:ascii="Book Antiqua"/>
          <w:color w:val="231F20"/>
          <w:spacing w:val="-28"/>
          <w:sz w:val="17"/>
        </w:rPr>
        <w:t> </w:t>
      </w:r>
      <w:r>
        <w:rPr>
          <w:rFonts w:ascii="Book Antiqua"/>
          <w:color w:val="231F20"/>
          <w:sz w:val="17"/>
        </w:rPr>
        <w:t>the</w:t>
      </w:r>
      <w:r>
        <w:rPr>
          <w:rFonts w:ascii="Book Antiqua"/>
          <w:color w:val="231F20"/>
          <w:spacing w:val="-23"/>
          <w:sz w:val="17"/>
        </w:rPr>
        <w:t> </w:t>
      </w:r>
      <w:r>
        <w:rPr>
          <w:rFonts w:ascii="Book Antiqua"/>
          <w:color w:val="231F20"/>
          <w:sz w:val="17"/>
        </w:rPr>
        <w:t>best</w:t>
      </w:r>
      <w:r>
        <w:rPr>
          <w:rFonts w:ascii="Book Antiqua"/>
          <w:color w:val="231F20"/>
          <w:spacing w:val="-26"/>
          <w:sz w:val="17"/>
        </w:rPr>
        <w:t> </w:t>
      </w:r>
      <w:r>
        <w:rPr>
          <w:rFonts w:ascii="Book Antiqua"/>
          <w:color w:val="231F20"/>
          <w:sz w:val="17"/>
        </w:rPr>
        <w:t>Customer</w:t>
      </w:r>
      <w:r>
        <w:rPr>
          <w:rFonts w:ascii="Book Antiqua"/>
          <w:color w:val="231F20"/>
          <w:spacing w:val="-28"/>
          <w:sz w:val="17"/>
        </w:rPr>
        <w:t> </w:t>
      </w:r>
      <w:r>
        <w:rPr>
          <w:rFonts w:ascii="Book Antiqua"/>
          <w:color w:val="231F20"/>
          <w:spacing w:val="2"/>
          <w:sz w:val="17"/>
        </w:rPr>
        <w:t>Service</w:t>
      </w:r>
      <w:r>
        <w:rPr>
          <w:rFonts w:ascii="Book Antiqua"/>
          <w:color w:val="231F20"/>
          <w:spacing w:val="-23"/>
          <w:sz w:val="17"/>
        </w:rPr>
        <w:t> </w:t>
      </w:r>
      <w:r>
        <w:rPr>
          <w:rFonts w:ascii="Book Antiqua"/>
          <w:color w:val="231F20"/>
          <w:sz w:val="17"/>
        </w:rPr>
        <w:t>in</w:t>
      </w:r>
      <w:r>
        <w:rPr>
          <w:rFonts w:ascii="Book Antiqua"/>
          <w:color w:val="231F20"/>
          <w:spacing w:val="-23"/>
          <w:sz w:val="17"/>
        </w:rPr>
        <w:t> </w:t>
      </w:r>
      <w:r>
        <w:rPr>
          <w:rFonts w:ascii="Book Antiqua"/>
          <w:color w:val="231F20"/>
          <w:sz w:val="17"/>
        </w:rPr>
        <w:t>the</w:t>
      </w:r>
      <w:r>
        <w:rPr>
          <w:rFonts w:ascii="Book Antiqua"/>
          <w:color w:val="231F20"/>
          <w:spacing w:val="-23"/>
          <w:sz w:val="17"/>
        </w:rPr>
        <w:t> </w:t>
      </w:r>
      <w:r>
        <w:rPr>
          <w:rFonts w:ascii="Book Antiqua"/>
          <w:color w:val="231F20"/>
          <w:sz w:val="17"/>
        </w:rPr>
        <w:t>industry.</w:t>
      </w:r>
      <w:r>
        <w:rPr>
          <w:rFonts w:ascii="Book Antiqua"/>
          <w:color w:val="231F20"/>
          <w:spacing w:val="-3"/>
          <w:sz w:val="17"/>
        </w:rPr>
        <w:t> </w:t>
      </w:r>
      <w:r>
        <w:rPr>
          <w:rFonts w:ascii="Book Antiqua"/>
          <w:color w:val="231F20"/>
          <w:sz w:val="17"/>
        </w:rPr>
        <w:t>Southwest </w:t>
      </w:r>
      <w:r>
        <w:rPr>
          <w:rFonts w:ascii="Book Antiqua"/>
          <w:color w:val="231F20"/>
          <w:spacing w:val="2"/>
          <w:sz w:val="17"/>
        </w:rPr>
        <w:t>had the </w:t>
      </w:r>
      <w:r>
        <w:rPr>
          <w:rFonts w:ascii="Book Antiqua"/>
          <w:color w:val="231F20"/>
          <w:spacing w:val="3"/>
          <w:sz w:val="17"/>
        </w:rPr>
        <w:t>best annual Customer complaint record </w:t>
      </w:r>
      <w:r>
        <w:rPr>
          <w:rFonts w:ascii="Book Antiqua"/>
          <w:color w:val="231F20"/>
          <w:sz w:val="17"/>
        </w:rPr>
        <w:t>of </w:t>
      </w:r>
      <w:r>
        <w:rPr>
          <w:rFonts w:ascii="Book Antiqua"/>
          <w:color w:val="231F20"/>
          <w:spacing w:val="2"/>
          <w:sz w:val="17"/>
        </w:rPr>
        <w:t>all </w:t>
      </w:r>
      <w:r>
        <w:rPr>
          <w:rFonts w:ascii="Book Antiqua"/>
          <w:color w:val="231F20"/>
          <w:spacing w:val="3"/>
          <w:sz w:val="17"/>
        </w:rPr>
        <w:t>carriers</w:t>
      </w:r>
      <w:r>
        <w:rPr>
          <w:rFonts w:ascii="Book Antiqua"/>
          <w:color w:val="231F20"/>
          <w:spacing w:val="-16"/>
          <w:sz w:val="17"/>
        </w:rPr>
        <w:t> </w:t>
      </w:r>
      <w:r>
        <w:rPr>
          <w:rFonts w:ascii="Book Antiqua"/>
          <w:color w:val="231F20"/>
          <w:spacing w:val="4"/>
          <w:sz w:val="17"/>
        </w:rPr>
        <w:t>for </w:t>
      </w:r>
      <w:r>
        <w:rPr>
          <w:rFonts w:ascii="Book Antiqua"/>
          <w:color w:val="231F20"/>
          <w:spacing w:val="2"/>
          <w:sz w:val="17"/>
        </w:rPr>
        <w:t>the</w:t>
      </w:r>
      <w:r>
        <w:rPr>
          <w:rFonts w:ascii="Book Antiqua"/>
          <w:color w:val="231F20"/>
          <w:spacing w:val="-19"/>
          <w:sz w:val="17"/>
        </w:rPr>
        <w:t> </w:t>
      </w:r>
      <w:r>
        <w:rPr>
          <w:rFonts w:ascii="Book Antiqua"/>
          <w:color w:val="231F20"/>
          <w:sz w:val="17"/>
        </w:rPr>
        <w:t>13th</w:t>
      </w:r>
      <w:r>
        <w:rPr>
          <w:rFonts w:ascii="Book Antiqua"/>
          <w:color w:val="231F20"/>
          <w:spacing w:val="-20"/>
          <w:sz w:val="17"/>
        </w:rPr>
        <w:t> </w:t>
      </w:r>
      <w:r>
        <w:rPr>
          <w:rFonts w:ascii="Book Antiqua"/>
          <w:color w:val="231F20"/>
          <w:spacing w:val="2"/>
          <w:sz w:val="17"/>
        </w:rPr>
        <w:t>straight</w:t>
      </w:r>
      <w:r>
        <w:rPr>
          <w:rFonts w:ascii="Book Antiqua"/>
          <w:color w:val="231F20"/>
          <w:spacing w:val="-27"/>
          <w:sz w:val="17"/>
        </w:rPr>
        <w:t> </w:t>
      </w:r>
      <w:r>
        <w:rPr>
          <w:rFonts w:ascii="Book Antiqua"/>
          <w:color w:val="231F20"/>
          <w:sz w:val="17"/>
        </w:rPr>
        <w:t>year</w:t>
      </w:r>
      <w:r>
        <w:rPr>
          <w:rFonts w:ascii="Book Antiqua"/>
          <w:color w:val="231F20"/>
          <w:spacing w:val="-24"/>
          <w:sz w:val="17"/>
        </w:rPr>
        <w:t> </w:t>
      </w:r>
      <w:r>
        <w:rPr>
          <w:rFonts w:ascii="Book Antiqua"/>
          <w:color w:val="231F20"/>
          <w:spacing w:val="2"/>
          <w:sz w:val="17"/>
        </w:rPr>
        <w:t>based</w:t>
      </w:r>
      <w:r>
        <w:rPr>
          <w:rFonts w:ascii="Book Antiqua"/>
          <w:color w:val="231F20"/>
          <w:spacing w:val="-20"/>
          <w:sz w:val="17"/>
        </w:rPr>
        <w:t> </w:t>
      </w:r>
      <w:r>
        <w:rPr>
          <w:rFonts w:ascii="Book Antiqua"/>
          <w:color w:val="231F20"/>
          <w:sz w:val="17"/>
        </w:rPr>
        <w:t>on</w:t>
      </w:r>
      <w:r>
        <w:rPr>
          <w:rFonts w:ascii="Book Antiqua"/>
          <w:color w:val="231F20"/>
          <w:spacing w:val="-20"/>
          <w:sz w:val="17"/>
        </w:rPr>
        <w:t> </w:t>
      </w:r>
      <w:r>
        <w:rPr>
          <w:rFonts w:ascii="Book Antiqua"/>
          <w:color w:val="231F20"/>
          <w:spacing w:val="2"/>
          <w:sz w:val="17"/>
        </w:rPr>
        <w:t>Customer</w:t>
      </w:r>
      <w:r>
        <w:rPr>
          <w:rFonts w:ascii="Book Antiqua"/>
          <w:color w:val="231F20"/>
          <w:spacing w:val="-24"/>
          <w:sz w:val="17"/>
        </w:rPr>
        <w:t> </w:t>
      </w:r>
      <w:r>
        <w:rPr>
          <w:rFonts w:ascii="Book Antiqua"/>
          <w:color w:val="231F20"/>
          <w:spacing w:val="2"/>
          <w:sz w:val="17"/>
        </w:rPr>
        <w:t>complaints</w:t>
      </w:r>
      <w:r>
        <w:rPr>
          <w:rFonts w:ascii="Book Antiqua"/>
          <w:color w:val="231F20"/>
          <w:spacing w:val="-20"/>
          <w:sz w:val="17"/>
        </w:rPr>
        <w:t> </w:t>
      </w:r>
      <w:r>
        <w:rPr>
          <w:rFonts w:ascii="Book Antiqua"/>
          <w:color w:val="231F20"/>
          <w:spacing w:val="3"/>
          <w:sz w:val="17"/>
        </w:rPr>
        <w:t>reported</w:t>
      </w:r>
      <w:r>
        <w:rPr>
          <w:rFonts w:ascii="Book Antiqua"/>
          <w:color w:val="231F20"/>
          <w:spacing w:val="-20"/>
          <w:sz w:val="17"/>
        </w:rPr>
        <w:t> </w:t>
      </w:r>
      <w:r>
        <w:rPr>
          <w:rFonts w:ascii="Book Antiqua"/>
          <w:color w:val="231F20"/>
          <w:sz w:val="17"/>
        </w:rPr>
        <w:t>in</w:t>
      </w:r>
      <w:r>
        <w:rPr>
          <w:rFonts w:ascii="Book Antiqua"/>
          <w:color w:val="231F20"/>
          <w:spacing w:val="-20"/>
          <w:sz w:val="17"/>
        </w:rPr>
        <w:t> </w:t>
      </w:r>
      <w:r>
        <w:rPr>
          <w:rFonts w:ascii="Book Antiqua"/>
          <w:color w:val="231F20"/>
          <w:spacing w:val="3"/>
          <w:sz w:val="17"/>
        </w:rPr>
        <w:t>the</w:t>
      </w:r>
    </w:p>
    <w:p>
      <w:pPr>
        <w:spacing w:line="321" w:lineRule="auto" w:before="0"/>
        <w:ind w:left="120" w:right="489" w:firstLine="0"/>
        <w:jc w:val="both"/>
        <w:rPr>
          <w:rFonts w:ascii="Book Antiqua" w:hAnsi="Book Antiqua"/>
          <w:sz w:val="17"/>
        </w:rPr>
      </w:pPr>
      <w:r>
        <w:rPr>
          <w:rFonts w:ascii="Book Antiqua" w:hAnsi="Book Antiqua"/>
          <w:color w:val="231F20"/>
          <w:sz w:val="17"/>
        </w:rPr>
        <w:t>U.S.</w:t>
      </w:r>
      <w:r>
        <w:rPr>
          <w:rFonts w:ascii="Book Antiqua" w:hAnsi="Book Antiqua"/>
          <w:color w:val="231F20"/>
          <w:spacing w:val="-2"/>
          <w:sz w:val="17"/>
        </w:rPr>
        <w:t> </w:t>
      </w:r>
      <w:r>
        <w:rPr>
          <w:rFonts w:ascii="Book Antiqua" w:hAnsi="Book Antiqua"/>
          <w:color w:val="231F20"/>
          <w:spacing w:val="2"/>
          <w:sz w:val="17"/>
        </w:rPr>
        <w:t>Department</w:t>
      </w:r>
      <w:r>
        <w:rPr>
          <w:rFonts w:ascii="Book Antiqua" w:hAnsi="Book Antiqua"/>
          <w:color w:val="231F20"/>
          <w:spacing w:val="-6"/>
          <w:sz w:val="17"/>
        </w:rPr>
        <w:t> </w:t>
      </w:r>
      <w:r>
        <w:rPr>
          <w:rFonts w:ascii="Book Antiqua" w:hAnsi="Book Antiqua"/>
          <w:color w:val="231F20"/>
          <w:sz w:val="17"/>
        </w:rPr>
        <w:t>of</w:t>
      </w:r>
      <w:r>
        <w:rPr>
          <w:rFonts w:ascii="Book Antiqua" w:hAnsi="Book Antiqua"/>
          <w:color w:val="231F20"/>
          <w:spacing w:val="-9"/>
          <w:sz w:val="17"/>
        </w:rPr>
        <w:t> </w:t>
      </w:r>
      <w:r>
        <w:rPr>
          <w:rFonts w:ascii="Book Antiqua" w:hAnsi="Book Antiqua"/>
          <w:color w:val="231F20"/>
          <w:sz w:val="17"/>
        </w:rPr>
        <w:t>Transportation’s</w:t>
      </w:r>
      <w:r>
        <w:rPr>
          <w:rFonts w:ascii="Book Antiqua" w:hAnsi="Book Antiqua"/>
          <w:color w:val="231F20"/>
          <w:spacing w:val="-2"/>
          <w:sz w:val="17"/>
        </w:rPr>
        <w:t> </w:t>
      </w:r>
      <w:r>
        <w:rPr>
          <w:rFonts w:ascii="Book Antiqua" w:hAnsi="Book Antiqua"/>
          <w:color w:val="231F20"/>
          <w:sz w:val="17"/>
        </w:rPr>
        <w:t>(D.O.T.)</w:t>
      </w:r>
      <w:r>
        <w:rPr>
          <w:rFonts w:ascii="Book Antiqua" w:hAnsi="Book Antiqua"/>
          <w:color w:val="231F20"/>
          <w:spacing w:val="-12"/>
          <w:sz w:val="17"/>
        </w:rPr>
        <w:t> </w:t>
      </w:r>
      <w:r>
        <w:rPr>
          <w:rFonts w:ascii="Book Antiqua" w:hAnsi="Book Antiqua"/>
          <w:color w:val="231F20"/>
          <w:sz w:val="17"/>
        </w:rPr>
        <w:t>Air</w:t>
      </w:r>
      <w:r>
        <w:rPr>
          <w:rFonts w:ascii="Book Antiqua" w:hAnsi="Book Antiqua"/>
          <w:color w:val="231F20"/>
          <w:spacing w:val="-14"/>
          <w:sz w:val="17"/>
        </w:rPr>
        <w:t> </w:t>
      </w:r>
      <w:r>
        <w:rPr>
          <w:rFonts w:ascii="Book Antiqua" w:hAnsi="Book Antiqua"/>
          <w:color w:val="231F20"/>
          <w:sz w:val="17"/>
        </w:rPr>
        <w:t>Travel</w:t>
      </w:r>
      <w:r>
        <w:rPr>
          <w:rFonts w:ascii="Book Antiqua" w:hAnsi="Book Antiqua"/>
          <w:color w:val="231F20"/>
          <w:spacing w:val="-2"/>
          <w:sz w:val="17"/>
        </w:rPr>
        <w:t> </w:t>
      </w:r>
      <w:r>
        <w:rPr>
          <w:rFonts w:ascii="Book Antiqua" w:hAnsi="Book Antiqua"/>
          <w:color w:val="231F20"/>
          <w:spacing w:val="3"/>
          <w:sz w:val="17"/>
        </w:rPr>
        <w:t>Consumer </w:t>
      </w:r>
      <w:r>
        <w:rPr>
          <w:rFonts w:ascii="Book Antiqua" w:hAnsi="Book Antiqua"/>
          <w:color w:val="231F20"/>
          <w:w w:val="95"/>
          <w:sz w:val="17"/>
        </w:rPr>
        <w:t>Report. Southwest also had the best systemwide ontime </w:t>
      </w:r>
      <w:r>
        <w:rPr>
          <w:rFonts w:ascii="Book Antiqua" w:hAnsi="Book Antiqua"/>
          <w:color w:val="231F20"/>
          <w:spacing w:val="6"/>
          <w:w w:val="95"/>
          <w:sz w:val="17"/>
        </w:rPr>
        <w:t>performance </w:t>
      </w:r>
      <w:r>
        <w:rPr>
          <w:rFonts w:ascii="Book Antiqua" w:hAnsi="Book Antiqua"/>
          <w:color w:val="231F20"/>
          <w:spacing w:val="5"/>
          <w:sz w:val="17"/>
        </w:rPr>
        <w:t>record</w:t>
      </w:r>
      <w:r>
        <w:rPr>
          <w:rFonts w:ascii="Book Antiqua" w:hAnsi="Book Antiqua"/>
          <w:color w:val="231F20"/>
          <w:spacing w:val="-3"/>
          <w:sz w:val="17"/>
        </w:rPr>
        <w:t> </w:t>
      </w:r>
      <w:r>
        <w:rPr>
          <w:rFonts w:ascii="Book Antiqua" w:hAnsi="Book Antiqua"/>
          <w:color w:val="231F20"/>
          <w:spacing w:val="3"/>
          <w:sz w:val="17"/>
        </w:rPr>
        <w:t>of</w:t>
      </w:r>
      <w:r>
        <w:rPr>
          <w:rFonts w:ascii="Book Antiqua" w:hAnsi="Book Antiqua"/>
          <w:color w:val="231F20"/>
          <w:spacing w:val="-3"/>
          <w:sz w:val="17"/>
        </w:rPr>
        <w:t> </w:t>
      </w:r>
      <w:r>
        <w:rPr>
          <w:rFonts w:ascii="Book Antiqua" w:hAnsi="Book Antiqua"/>
          <w:color w:val="231F20"/>
          <w:spacing w:val="3"/>
          <w:sz w:val="17"/>
        </w:rPr>
        <w:t>any</w:t>
      </w:r>
      <w:r>
        <w:rPr>
          <w:rFonts w:ascii="Book Antiqua" w:hAnsi="Book Antiqua"/>
          <w:color w:val="231F20"/>
          <w:spacing w:val="-8"/>
          <w:sz w:val="17"/>
        </w:rPr>
        <w:t> </w:t>
      </w:r>
      <w:r>
        <w:rPr>
          <w:rFonts w:ascii="Book Antiqua" w:hAnsi="Book Antiqua"/>
          <w:color w:val="231F20"/>
          <w:spacing w:val="5"/>
          <w:sz w:val="17"/>
        </w:rPr>
        <w:t>Major</w:t>
      </w:r>
      <w:r>
        <w:rPr>
          <w:rFonts w:ascii="Book Antiqua" w:hAnsi="Book Antiqua"/>
          <w:color w:val="231F20"/>
          <w:spacing w:val="-9"/>
          <w:sz w:val="17"/>
        </w:rPr>
        <w:t> </w:t>
      </w:r>
      <w:r>
        <w:rPr>
          <w:rFonts w:ascii="Book Antiqua" w:hAnsi="Book Antiqua"/>
          <w:color w:val="231F20"/>
          <w:sz w:val="17"/>
        </w:rPr>
        <w:t>U.S.</w:t>
      </w:r>
      <w:r>
        <w:rPr>
          <w:rFonts w:ascii="Book Antiqua" w:hAnsi="Book Antiqua"/>
          <w:color w:val="231F20"/>
          <w:spacing w:val="-3"/>
          <w:sz w:val="17"/>
        </w:rPr>
        <w:t> </w:t>
      </w:r>
      <w:r>
        <w:rPr>
          <w:rFonts w:ascii="Book Antiqua" w:hAnsi="Book Antiqua"/>
          <w:color w:val="231F20"/>
          <w:spacing w:val="5"/>
          <w:sz w:val="17"/>
        </w:rPr>
        <w:t>airline</w:t>
      </w:r>
      <w:r>
        <w:rPr>
          <w:rFonts w:ascii="Book Antiqua" w:hAnsi="Book Antiqua"/>
          <w:color w:val="231F20"/>
          <w:spacing w:val="-3"/>
          <w:sz w:val="17"/>
        </w:rPr>
        <w:t> </w:t>
      </w:r>
      <w:r>
        <w:rPr>
          <w:rFonts w:ascii="Book Antiqua" w:hAnsi="Book Antiqua"/>
          <w:color w:val="231F20"/>
          <w:spacing w:val="4"/>
          <w:sz w:val="17"/>
        </w:rPr>
        <w:t>for</w:t>
      </w:r>
      <w:r>
        <w:rPr>
          <w:rFonts w:ascii="Book Antiqua" w:hAnsi="Book Antiqua"/>
          <w:color w:val="231F20"/>
          <w:spacing w:val="-9"/>
          <w:sz w:val="17"/>
        </w:rPr>
        <w:t> </w:t>
      </w:r>
      <w:r>
        <w:rPr>
          <w:rFonts w:ascii="Book Antiqua" w:hAnsi="Book Antiqua"/>
          <w:color w:val="231F20"/>
          <w:spacing w:val="4"/>
          <w:sz w:val="17"/>
        </w:rPr>
        <w:t>the</w:t>
      </w:r>
      <w:r>
        <w:rPr>
          <w:rFonts w:ascii="Book Antiqua" w:hAnsi="Book Antiqua"/>
          <w:color w:val="231F20"/>
          <w:spacing w:val="-3"/>
          <w:sz w:val="17"/>
        </w:rPr>
        <w:t> </w:t>
      </w:r>
      <w:r>
        <w:rPr>
          <w:rFonts w:ascii="Book Antiqua" w:hAnsi="Book Antiqua"/>
          <w:color w:val="231F20"/>
          <w:spacing w:val="5"/>
          <w:sz w:val="17"/>
        </w:rPr>
        <w:t>full</w:t>
      </w:r>
      <w:r>
        <w:rPr>
          <w:rFonts w:ascii="Book Antiqua" w:hAnsi="Book Antiqua"/>
          <w:color w:val="231F20"/>
          <w:spacing w:val="-8"/>
          <w:sz w:val="17"/>
        </w:rPr>
        <w:t> </w:t>
      </w:r>
      <w:r>
        <w:rPr>
          <w:rFonts w:ascii="Book Antiqua" w:hAnsi="Book Antiqua"/>
          <w:color w:val="231F20"/>
          <w:spacing w:val="4"/>
          <w:sz w:val="17"/>
        </w:rPr>
        <w:t>year</w:t>
      </w:r>
      <w:r>
        <w:rPr>
          <w:rFonts w:ascii="Book Antiqua" w:hAnsi="Book Antiqua"/>
          <w:color w:val="231F20"/>
          <w:spacing w:val="-9"/>
          <w:sz w:val="17"/>
        </w:rPr>
        <w:t> </w:t>
      </w:r>
      <w:r>
        <w:rPr>
          <w:rFonts w:ascii="Book Antiqua" w:hAnsi="Book Antiqua"/>
          <w:color w:val="231F20"/>
          <w:spacing w:val="4"/>
          <w:sz w:val="17"/>
        </w:rPr>
        <w:t>2003</w:t>
      </w:r>
      <w:r>
        <w:rPr>
          <w:rFonts w:ascii="Book Antiqua" w:hAnsi="Book Antiqua"/>
          <w:color w:val="231F20"/>
          <w:spacing w:val="-6"/>
          <w:sz w:val="17"/>
        </w:rPr>
        <w:t> </w:t>
      </w:r>
      <w:r>
        <w:rPr>
          <w:rFonts w:ascii="Book Antiqua" w:hAnsi="Book Antiqua"/>
          <w:color w:val="231F20"/>
          <w:spacing w:val="3"/>
          <w:sz w:val="17"/>
        </w:rPr>
        <w:t>as</w:t>
      </w:r>
      <w:r>
        <w:rPr>
          <w:rFonts w:ascii="Book Antiqua" w:hAnsi="Book Antiqua"/>
          <w:color w:val="231F20"/>
          <w:spacing w:val="-3"/>
          <w:sz w:val="17"/>
        </w:rPr>
        <w:t> </w:t>
      </w:r>
      <w:r>
        <w:rPr>
          <w:rFonts w:ascii="Book Antiqua" w:hAnsi="Book Antiqua"/>
          <w:color w:val="231F20"/>
          <w:spacing w:val="7"/>
          <w:sz w:val="17"/>
        </w:rPr>
        <w:t>reported </w:t>
      </w:r>
      <w:r>
        <w:rPr>
          <w:rFonts w:ascii="Book Antiqua" w:hAnsi="Book Antiqua"/>
          <w:color w:val="231F20"/>
          <w:spacing w:val="5"/>
          <w:sz w:val="17"/>
        </w:rPr>
        <w:t>in </w:t>
      </w:r>
      <w:r>
        <w:rPr>
          <w:rFonts w:ascii="Book Antiqua" w:hAnsi="Book Antiqua"/>
          <w:color w:val="231F20"/>
          <w:spacing w:val="6"/>
          <w:sz w:val="17"/>
        </w:rPr>
        <w:t>the </w:t>
      </w:r>
      <w:r>
        <w:rPr>
          <w:rFonts w:ascii="Book Antiqua" w:hAnsi="Book Antiqua"/>
          <w:color w:val="231F20"/>
          <w:sz w:val="17"/>
        </w:rPr>
        <w:t>D.O.T.’s </w:t>
      </w:r>
      <w:r>
        <w:rPr>
          <w:rFonts w:ascii="Book Antiqua" w:hAnsi="Book Antiqua"/>
          <w:color w:val="231F20"/>
          <w:spacing w:val="6"/>
          <w:sz w:val="17"/>
        </w:rPr>
        <w:t>Air </w:t>
      </w:r>
      <w:r>
        <w:rPr>
          <w:rFonts w:ascii="Book Antiqua" w:hAnsi="Book Antiqua"/>
          <w:color w:val="231F20"/>
          <w:spacing w:val="4"/>
          <w:sz w:val="17"/>
        </w:rPr>
        <w:t>Travel </w:t>
      </w:r>
      <w:r>
        <w:rPr>
          <w:rFonts w:ascii="Book Antiqua" w:hAnsi="Book Antiqua"/>
          <w:color w:val="231F20"/>
          <w:spacing w:val="8"/>
          <w:sz w:val="17"/>
        </w:rPr>
        <w:t>Consumer Report. </w:t>
      </w:r>
      <w:r>
        <w:rPr>
          <w:rFonts w:ascii="Book Antiqua" w:hAnsi="Book Antiqua"/>
          <w:color w:val="231F20"/>
          <w:sz w:val="17"/>
        </w:rPr>
        <w:t>(A </w:t>
      </w:r>
      <w:r>
        <w:rPr>
          <w:rFonts w:ascii="Book Antiqua" w:hAnsi="Book Antiqua"/>
          <w:color w:val="231F20"/>
          <w:spacing w:val="6"/>
          <w:sz w:val="17"/>
        </w:rPr>
        <w:t>Major </w:t>
      </w:r>
      <w:r>
        <w:rPr>
          <w:rFonts w:ascii="Book Antiqua" w:hAnsi="Book Antiqua"/>
          <w:color w:val="231F20"/>
          <w:spacing w:val="2"/>
          <w:sz w:val="17"/>
        </w:rPr>
        <w:t>airline </w:t>
      </w:r>
      <w:r>
        <w:rPr>
          <w:rFonts w:ascii="Book Antiqua" w:hAnsi="Book Antiqua"/>
          <w:color w:val="231F20"/>
          <w:sz w:val="17"/>
        </w:rPr>
        <w:t>is </w:t>
      </w:r>
      <w:r>
        <w:rPr>
          <w:rFonts w:ascii="Book Antiqua" w:hAnsi="Book Antiqua"/>
          <w:color w:val="231F20"/>
          <w:spacing w:val="4"/>
          <w:sz w:val="17"/>
        </w:rPr>
        <w:t>defined</w:t>
      </w:r>
      <w:r>
        <w:rPr>
          <w:rFonts w:ascii="Book Antiqua" w:hAnsi="Book Antiqua"/>
          <w:color w:val="231F20"/>
          <w:spacing w:val="-9"/>
          <w:sz w:val="17"/>
        </w:rPr>
        <w:t> </w:t>
      </w:r>
      <w:r>
        <w:rPr>
          <w:rFonts w:ascii="Book Antiqua" w:hAnsi="Book Antiqua"/>
          <w:color w:val="231F20"/>
          <w:sz w:val="17"/>
        </w:rPr>
        <w:t>as</w:t>
      </w:r>
      <w:r>
        <w:rPr>
          <w:rFonts w:ascii="Book Antiqua" w:hAnsi="Book Antiqua"/>
          <w:color w:val="231F20"/>
          <w:spacing w:val="-9"/>
          <w:sz w:val="17"/>
        </w:rPr>
        <w:t> </w:t>
      </w:r>
      <w:r>
        <w:rPr>
          <w:rFonts w:ascii="Book Antiqua" w:hAnsi="Book Antiqua"/>
          <w:color w:val="231F20"/>
          <w:spacing w:val="3"/>
          <w:sz w:val="17"/>
        </w:rPr>
        <w:t>having</w:t>
      </w:r>
      <w:r>
        <w:rPr>
          <w:rFonts w:ascii="Book Antiqua" w:hAnsi="Book Antiqua"/>
          <w:color w:val="231F20"/>
          <w:spacing w:val="-9"/>
          <w:sz w:val="17"/>
        </w:rPr>
        <w:t> </w:t>
      </w:r>
      <w:r>
        <w:rPr>
          <w:rFonts w:ascii="Book Antiqua" w:hAnsi="Book Antiqua"/>
          <w:color w:val="231F20"/>
          <w:spacing w:val="3"/>
          <w:sz w:val="17"/>
        </w:rPr>
        <w:t>annual</w:t>
      </w:r>
      <w:r>
        <w:rPr>
          <w:rFonts w:ascii="Book Antiqua" w:hAnsi="Book Antiqua"/>
          <w:color w:val="231F20"/>
          <w:spacing w:val="-9"/>
          <w:sz w:val="17"/>
        </w:rPr>
        <w:t> </w:t>
      </w:r>
      <w:r>
        <w:rPr>
          <w:rFonts w:ascii="Book Antiqua" w:hAnsi="Book Antiqua"/>
          <w:color w:val="231F20"/>
          <w:spacing w:val="3"/>
          <w:sz w:val="17"/>
        </w:rPr>
        <w:t>operating</w:t>
      </w:r>
      <w:r>
        <w:rPr>
          <w:rFonts w:ascii="Book Antiqua" w:hAnsi="Book Antiqua"/>
          <w:color w:val="231F20"/>
          <w:spacing w:val="-9"/>
          <w:sz w:val="17"/>
        </w:rPr>
        <w:t> </w:t>
      </w:r>
      <w:r>
        <w:rPr>
          <w:rFonts w:ascii="Book Antiqua" w:hAnsi="Book Antiqua"/>
          <w:color w:val="231F20"/>
          <w:spacing w:val="2"/>
          <w:sz w:val="17"/>
        </w:rPr>
        <w:t>revenue</w:t>
      </w:r>
      <w:r>
        <w:rPr>
          <w:rFonts w:ascii="Book Antiqua" w:hAnsi="Book Antiqua"/>
          <w:color w:val="231F20"/>
          <w:spacing w:val="-9"/>
          <w:sz w:val="17"/>
        </w:rPr>
        <w:t> </w:t>
      </w:r>
      <w:r>
        <w:rPr>
          <w:rFonts w:ascii="Book Antiqua" w:hAnsi="Book Antiqua"/>
          <w:color w:val="231F20"/>
          <w:sz w:val="17"/>
        </w:rPr>
        <w:t>of</w:t>
      </w:r>
      <w:r>
        <w:rPr>
          <w:rFonts w:ascii="Book Antiqua" w:hAnsi="Book Antiqua"/>
          <w:color w:val="231F20"/>
          <w:spacing w:val="-9"/>
          <w:sz w:val="17"/>
        </w:rPr>
        <w:t> </w:t>
      </w:r>
      <w:r>
        <w:rPr>
          <w:rFonts w:ascii="Book Antiqua" w:hAnsi="Book Antiqua"/>
          <w:color w:val="231F20"/>
          <w:sz w:val="17"/>
        </w:rPr>
        <w:t>$1</w:t>
      </w:r>
      <w:r>
        <w:rPr>
          <w:rFonts w:ascii="Book Antiqua" w:hAnsi="Book Antiqua"/>
          <w:color w:val="231F20"/>
          <w:spacing w:val="-15"/>
          <w:sz w:val="17"/>
        </w:rPr>
        <w:t> </w:t>
      </w:r>
      <w:r>
        <w:rPr>
          <w:rFonts w:ascii="Book Antiqua" w:hAnsi="Book Antiqua"/>
          <w:color w:val="231F20"/>
          <w:spacing w:val="3"/>
          <w:sz w:val="17"/>
        </w:rPr>
        <w:t>billion</w:t>
      </w:r>
      <w:r>
        <w:rPr>
          <w:rFonts w:ascii="Book Antiqua" w:hAnsi="Book Antiqua"/>
          <w:color w:val="231F20"/>
          <w:spacing w:val="-9"/>
          <w:sz w:val="17"/>
        </w:rPr>
        <w:t> </w:t>
      </w:r>
      <w:r>
        <w:rPr>
          <w:rFonts w:ascii="Book Antiqua" w:hAnsi="Book Antiqua"/>
          <w:color w:val="231F20"/>
          <w:sz w:val="17"/>
        </w:rPr>
        <w:t>or</w:t>
      </w:r>
      <w:r>
        <w:rPr>
          <w:rFonts w:ascii="Book Antiqua" w:hAnsi="Book Antiqua"/>
          <w:color w:val="231F20"/>
          <w:spacing w:val="-14"/>
          <w:sz w:val="17"/>
        </w:rPr>
        <w:t> </w:t>
      </w:r>
      <w:r>
        <w:rPr>
          <w:rFonts w:ascii="Book Antiqua" w:hAnsi="Book Antiqua"/>
          <w:color w:val="231F20"/>
          <w:spacing w:val="4"/>
          <w:sz w:val="17"/>
        </w:rPr>
        <w:t>more.) </w:t>
      </w:r>
      <w:r>
        <w:rPr>
          <w:rFonts w:ascii="Book Antiqua" w:hAnsi="Book Antiqua"/>
          <w:color w:val="231F20"/>
          <w:spacing w:val="3"/>
          <w:sz w:val="17"/>
        </w:rPr>
        <w:t>During </w:t>
      </w:r>
      <w:r>
        <w:rPr>
          <w:rFonts w:ascii="Book Antiqua" w:hAnsi="Book Antiqua"/>
          <w:color w:val="231F20"/>
          <w:spacing w:val="2"/>
          <w:sz w:val="17"/>
        </w:rPr>
        <w:t>2003, </w:t>
      </w:r>
      <w:r>
        <w:rPr>
          <w:rFonts w:ascii="Book Antiqua" w:hAnsi="Book Antiqua"/>
          <w:i/>
          <w:color w:val="231F20"/>
          <w:spacing w:val="2"/>
          <w:sz w:val="17"/>
        </w:rPr>
        <w:t>The </w:t>
      </w:r>
      <w:r>
        <w:rPr>
          <w:rFonts w:ascii="Book Antiqua" w:hAnsi="Book Antiqua"/>
          <w:i/>
          <w:color w:val="231F20"/>
          <w:spacing w:val="-6"/>
          <w:sz w:val="17"/>
        </w:rPr>
        <w:t>Wall  </w:t>
      </w:r>
      <w:r>
        <w:rPr>
          <w:rFonts w:ascii="Book Antiqua" w:hAnsi="Book Antiqua"/>
          <w:i/>
          <w:color w:val="231F20"/>
          <w:sz w:val="17"/>
        </w:rPr>
        <w:t>Street </w:t>
      </w:r>
      <w:r>
        <w:rPr>
          <w:rFonts w:ascii="Book Antiqua" w:hAnsi="Book Antiqua"/>
          <w:i/>
          <w:color w:val="231F20"/>
          <w:spacing w:val="2"/>
          <w:sz w:val="17"/>
        </w:rPr>
        <w:t>Journal </w:t>
      </w:r>
      <w:r>
        <w:rPr>
          <w:rFonts w:ascii="Book Antiqua" w:hAnsi="Book Antiqua"/>
          <w:color w:val="231F20"/>
          <w:spacing w:val="5"/>
          <w:sz w:val="17"/>
        </w:rPr>
        <w:t>reported </w:t>
      </w:r>
      <w:r>
        <w:rPr>
          <w:rFonts w:ascii="Book Antiqua" w:hAnsi="Book Antiqua"/>
          <w:color w:val="231F20"/>
          <w:spacing w:val="3"/>
          <w:sz w:val="17"/>
        </w:rPr>
        <w:t>Southwest </w:t>
      </w:r>
      <w:r>
        <w:rPr>
          <w:rFonts w:ascii="Book Antiqua" w:hAnsi="Book Antiqua"/>
          <w:color w:val="231F20"/>
          <w:spacing w:val="6"/>
          <w:sz w:val="17"/>
        </w:rPr>
        <w:t>ranked   </w:t>
      </w:r>
      <w:r>
        <w:rPr>
          <w:rFonts w:ascii="Book Antiqua" w:hAnsi="Book Antiqua"/>
          <w:color w:val="231F20"/>
          <w:sz w:val="17"/>
        </w:rPr>
        <w:t>f</w:t>
      </w:r>
      <w:r>
        <w:rPr>
          <w:rFonts w:ascii="Book Antiqua" w:hAnsi="Book Antiqua"/>
          <w:color w:val="231F20"/>
          <w:spacing w:val="-36"/>
          <w:sz w:val="17"/>
        </w:rPr>
        <w:t> </w:t>
      </w:r>
      <w:r>
        <w:rPr>
          <w:rFonts w:ascii="Book Antiqua" w:hAnsi="Book Antiqua"/>
          <w:color w:val="231F20"/>
          <w:spacing w:val="6"/>
          <w:sz w:val="17"/>
        </w:rPr>
        <w:t>irst</w:t>
      </w:r>
      <w:r>
        <w:rPr>
          <w:rFonts w:ascii="Book Antiqua" w:hAnsi="Book Antiqua"/>
          <w:color w:val="231F20"/>
          <w:spacing w:val="-19"/>
          <w:sz w:val="17"/>
        </w:rPr>
        <w:t> </w:t>
      </w:r>
      <w:r>
        <w:rPr>
          <w:rFonts w:ascii="Book Antiqua" w:hAnsi="Book Antiqua"/>
          <w:color w:val="231F20"/>
          <w:spacing w:val="6"/>
          <w:sz w:val="17"/>
        </w:rPr>
        <w:t>among</w:t>
      </w:r>
      <w:r>
        <w:rPr>
          <w:rFonts w:ascii="Book Antiqua" w:hAnsi="Book Antiqua"/>
          <w:color w:val="231F20"/>
          <w:spacing w:val="-17"/>
          <w:sz w:val="17"/>
        </w:rPr>
        <w:t> </w:t>
      </w:r>
      <w:r>
        <w:rPr>
          <w:rFonts w:ascii="Book Antiqua" w:hAnsi="Book Antiqua"/>
          <w:color w:val="231F20"/>
          <w:spacing w:val="6"/>
          <w:sz w:val="17"/>
        </w:rPr>
        <w:t>airlines</w:t>
      </w:r>
      <w:r>
        <w:rPr>
          <w:rFonts w:ascii="Book Antiqua" w:hAnsi="Book Antiqua"/>
          <w:color w:val="231F20"/>
          <w:spacing w:val="-17"/>
          <w:sz w:val="17"/>
        </w:rPr>
        <w:t> </w:t>
      </w:r>
      <w:r>
        <w:rPr>
          <w:rFonts w:ascii="Book Antiqua" w:hAnsi="Book Antiqua"/>
          <w:color w:val="231F20"/>
          <w:spacing w:val="5"/>
          <w:sz w:val="17"/>
        </w:rPr>
        <w:t>for</w:t>
      </w:r>
      <w:r>
        <w:rPr>
          <w:rFonts w:ascii="Book Antiqua" w:hAnsi="Book Antiqua"/>
          <w:color w:val="231F20"/>
          <w:spacing w:val="-21"/>
          <w:sz w:val="17"/>
        </w:rPr>
        <w:t> </w:t>
      </w:r>
      <w:r>
        <w:rPr>
          <w:rFonts w:ascii="Book Antiqua" w:hAnsi="Book Antiqua"/>
          <w:color w:val="231F20"/>
          <w:spacing w:val="4"/>
          <w:sz w:val="17"/>
        </w:rPr>
        <w:t>the</w:t>
      </w:r>
      <w:r>
        <w:rPr>
          <w:rFonts w:ascii="Book Antiqua" w:hAnsi="Book Antiqua"/>
          <w:color w:val="231F20"/>
          <w:spacing w:val="-18"/>
          <w:sz w:val="17"/>
        </w:rPr>
        <w:t> </w:t>
      </w:r>
      <w:r>
        <w:rPr>
          <w:rFonts w:ascii="Book Antiqua" w:hAnsi="Book Antiqua"/>
          <w:color w:val="231F20"/>
          <w:spacing w:val="6"/>
          <w:sz w:val="17"/>
        </w:rPr>
        <w:t>highest</w:t>
      </w:r>
      <w:r>
        <w:rPr>
          <w:rFonts w:ascii="Book Antiqua" w:hAnsi="Book Antiqua"/>
          <w:color w:val="231F20"/>
          <w:spacing w:val="-21"/>
          <w:sz w:val="17"/>
        </w:rPr>
        <w:t> </w:t>
      </w:r>
      <w:r>
        <w:rPr>
          <w:rFonts w:ascii="Book Antiqua" w:hAnsi="Book Antiqua"/>
          <w:color w:val="231F20"/>
          <w:spacing w:val="3"/>
          <w:sz w:val="17"/>
        </w:rPr>
        <w:t>Customer</w:t>
      </w:r>
      <w:r>
        <w:rPr>
          <w:rFonts w:ascii="Book Antiqua" w:hAnsi="Book Antiqua"/>
          <w:color w:val="231F20"/>
          <w:spacing w:val="-24"/>
          <w:sz w:val="17"/>
        </w:rPr>
        <w:t> </w:t>
      </w:r>
      <w:r>
        <w:rPr>
          <w:rFonts w:ascii="Book Antiqua" w:hAnsi="Book Antiqua"/>
          <w:color w:val="231F20"/>
          <w:spacing w:val="4"/>
          <w:sz w:val="17"/>
        </w:rPr>
        <w:t>Service</w:t>
      </w:r>
      <w:r>
        <w:rPr>
          <w:rFonts w:ascii="Book Antiqua" w:hAnsi="Book Antiqua"/>
          <w:color w:val="231F20"/>
          <w:spacing w:val="-20"/>
          <w:sz w:val="17"/>
        </w:rPr>
        <w:t> </w:t>
      </w:r>
      <w:r>
        <w:rPr>
          <w:rFonts w:ascii="Book Antiqua" w:hAnsi="Book Antiqua"/>
          <w:color w:val="231F20"/>
          <w:spacing w:val="4"/>
          <w:sz w:val="17"/>
        </w:rPr>
        <w:t>Satisfaction, according</w:t>
      </w:r>
      <w:r>
        <w:rPr>
          <w:rFonts w:ascii="Book Antiqua" w:hAnsi="Book Antiqua"/>
          <w:color w:val="231F20"/>
          <w:spacing w:val="-21"/>
          <w:sz w:val="17"/>
        </w:rPr>
        <w:t> </w:t>
      </w:r>
      <w:r>
        <w:rPr>
          <w:rFonts w:ascii="Book Antiqua" w:hAnsi="Book Antiqua"/>
          <w:color w:val="231F20"/>
          <w:spacing w:val="2"/>
          <w:sz w:val="17"/>
        </w:rPr>
        <w:t>to</w:t>
      </w:r>
      <w:r>
        <w:rPr>
          <w:rFonts w:ascii="Book Antiqua" w:hAnsi="Book Antiqua"/>
          <w:color w:val="231F20"/>
          <w:spacing w:val="-21"/>
          <w:sz w:val="17"/>
        </w:rPr>
        <w:t> </w:t>
      </w:r>
      <w:r>
        <w:rPr>
          <w:rFonts w:ascii="Book Antiqua" w:hAnsi="Book Antiqua"/>
          <w:color w:val="231F20"/>
          <w:sz w:val="17"/>
        </w:rPr>
        <w:t>a</w:t>
      </w:r>
      <w:r>
        <w:rPr>
          <w:rFonts w:ascii="Book Antiqua" w:hAnsi="Book Antiqua"/>
          <w:color w:val="231F20"/>
          <w:spacing w:val="-21"/>
          <w:sz w:val="17"/>
        </w:rPr>
        <w:t> </w:t>
      </w:r>
      <w:r>
        <w:rPr>
          <w:rFonts w:ascii="Book Antiqua" w:hAnsi="Book Antiqua"/>
          <w:color w:val="231F20"/>
          <w:spacing w:val="3"/>
          <w:sz w:val="17"/>
        </w:rPr>
        <w:t>survey</w:t>
      </w:r>
      <w:r>
        <w:rPr>
          <w:rFonts w:ascii="Book Antiqua" w:hAnsi="Book Antiqua"/>
          <w:color w:val="231F20"/>
          <w:spacing w:val="-24"/>
          <w:sz w:val="17"/>
        </w:rPr>
        <w:t> </w:t>
      </w:r>
      <w:r>
        <w:rPr>
          <w:rFonts w:ascii="Book Antiqua" w:hAnsi="Book Antiqua"/>
          <w:color w:val="231F20"/>
          <w:sz w:val="17"/>
        </w:rPr>
        <w:t>by</w:t>
      </w:r>
      <w:r>
        <w:rPr>
          <w:rFonts w:ascii="Book Antiqua" w:hAnsi="Book Antiqua"/>
          <w:color w:val="231F20"/>
          <w:spacing w:val="-24"/>
          <w:sz w:val="17"/>
        </w:rPr>
        <w:t> </w:t>
      </w:r>
      <w:r>
        <w:rPr>
          <w:rFonts w:ascii="Book Antiqua" w:hAnsi="Book Antiqua"/>
          <w:color w:val="231F20"/>
          <w:spacing w:val="3"/>
          <w:sz w:val="17"/>
        </w:rPr>
        <w:t>the</w:t>
      </w:r>
      <w:r>
        <w:rPr>
          <w:rFonts w:ascii="Book Antiqua" w:hAnsi="Book Antiqua"/>
          <w:color w:val="231F20"/>
          <w:spacing w:val="-25"/>
          <w:sz w:val="17"/>
        </w:rPr>
        <w:t> </w:t>
      </w:r>
      <w:r>
        <w:rPr>
          <w:rFonts w:ascii="Book Antiqua" w:hAnsi="Book Antiqua"/>
          <w:color w:val="231F20"/>
          <w:spacing w:val="3"/>
          <w:sz w:val="17"/>
        </w:rPr>
        <w:t>American</w:t>
      </w:r>
      <w:r>
        <w:rPr>
          <w:rFonts w:ascii="Book Antiqua" w:hAnsi="Book Antiqua"/>
          <w:color w:val="231F20"/>
          <w:spacing w:val="-21"/>
          <w:sz w:val="17"/>
        </w:rPr>
        <w:t> </w:t>
      </w:r>
      <w:r>
        <w:rPr>
          <w:rFonts w:ascii="Book Antiqua" w:hAnsi="Book Antiqua"/>
          <w:color w:val="231F20"/>
          <w:spacing w:val="4"/>
          <w:sz w:val="17"/>
        </w:rPr>
        <w:t>Customer</w:t>
      </w:r>
      <w:r>
        <w:rPr>
          <w:rFonts w:ascii="Book Antiqua" w:hAnsi="Book Antiqua"/>
          <w:color w:val="231F20"/>
          <w:spacing w:val="-25"/>
          <w:sz w:val="17"/>
        </w:rPr>
        <w:t> </w:t>
      </w:r>
      <w:r>
        <w:rPr>
          <w:rFonts w:ascii="Book Antiqua" w:hAnsi="Book Antiqua"/>
          <w:color w:val="231F20"/>
          <w:sz w:val="17"/>
        </w:rPr>
        <w:t>Satisfaction</w:t>
      </w:r>
      <w:r>
        <w:rPr>
          <w:rFonts w:ascii="Book Antiqua" w:hAnsi="Book Antiqua"/>
          <w:color w:val="231F20"/>
          <w:spacing w:val="-23"/>
          <w:sz w:val="17"/>
        </w:rPr>
        <w:t> </w:t>
      </w:r>
      <w:r>
        <w:rPr>
          <w:rFonts w:ascii="Book Antiqua" w:hAnsi="Book Antiqua"/>
          <w:color w:val="231F20"/>
          <w:sz w:val="17"/>
        </w:rPr>
        <w:t>Index. In</w:t>
      </w:r>
      <w:r>
        <w:rPr>
          <w:rFonts w:ascii="Book Antiqua" w:hAnsi="Book Antiqua"/>
          <w:color w:val="231F20"/>
          <w:spacing w:val="-5"/>
          <w:sz w:val="17"/>
        </w:rPr>
        <w:t> </w:t>
      </w:r>
      <w:r>
        <w:rPr>
          <w:rFonts w:ascii="Book Antiqua" w:hAnsi="Book Antiqua"/>
          <w:color w:val="231F20"/>
          <w:sz w:val="17"/>
        </w:rPr>
        <w:t>2003,</w:t>
      </w:r>
      <w:r>
        <w:rPr>
          <w:rFonts w:ascii="Book Antiqua" w:hAnsi="Book Antiqua"/>
          <w:color w:val="231F20"/>
          <w:spacing w:val="-8"/>
          <w:sz w:val="17"/>
        </w:rPr>
        <w:t> </w:t>
      </w:r>
      <w:r>
        <w:rPr>
          <w:rFonts w:ascii="Book Antiqua" w:hAnsi="Book Antiqua"/>
          <w:color w:val="231F20"/>
          <w:sz w:val="17"/>
        </w:rPr>
        <w:t>Southwest</w:t>
      </w:r>
      <w:r>
        <w:rPr>
          <w:rFonts w:ascii="Book Antiqua" w:hAnsi="Book Antiqua"/>
          <w:color w:val="231F20"/>
          <w:spacing w:val="-11"/>
          <w:sz w:val="17"/>
        </w:rPr>
        <w:t> </w:t>
      </w:r>
      <w:r>
        <w:rPr>
          <w:rFonts w:ascii="Book Antiqua" w:hAnsi="Book Antiqua"/>
          <w:color w:val="231F20"/>
          <w:sz w:val="17"/>
        </w:rPr>
        <w:t>was</w:t>
      </w:r>
      <w:r>
        <w:rPr>
          <w:rFonts w:ascii="Book Antiqua" w:hAnsi="Book Antiqua"/>
          <w:color w:val="231F20"/>
          <w:spacing w:val="-5"/>
          <w:sz w:val="17"/>
        </w:rPr>
        <w:t> </w:t>
      </w:r>
      <w:r>
        <w:rPr>
          <w:rFonts w:ascii="Book Antiqua" w:hAnsi="Book Antiqua"/>
          <w:color w:val="231F20"/>
          <w:sz w:val="17"/>
        </w:rPr>
        <w:t>named</w:t>
      </w:r>
      <w:r>
        <w:rPr>
          <w:rFonts w:ascii="Book Antiqua" w:hAnsi="Book Antiqua"/>
          <w:color w:val="231F20"/>
          <w:spacing w:val="-12"/>
          <w:sz w:val="17"/>
        </w:rPr>
        <w:t> </w:t>
      </w:r>
      <w:r>
        <w:rPr>
          <w:rFonts w:ascii="Book Antiqua" w:hAnsi="Book Antiqua"/>
          <w:color w:val="231F20"/>
          <w:sz w:val="17"/>
        </w:rPr>
        <w:t>“Best</w:t>
      </w:r>
      <w:r>
        <w:rPr>
          <w:rFonts w:ascii="Book Antiqua" w:hAnsi="Book Antiqua"/>
          <w:color w:val="231F20"/>
          <w:spacing w:val="-9"/>
          <w:sz w:val="17"/>
        </w:rPr>
        <w:t> </w:t>
      </w:r>
      <w:r>
        <w:rPr>
          <w:rFonts w:ascii="Book Antiqua" w:hAnsi="Book Antiqua"/>
          <w:color w:val="231F20"/>
          <w:sz w:val="17"/>
        </w:rPr>
        <w:t>Domestic</w:t>
      </w:r>
      <w:r>
        <w:rPr>
          <w:rFonts w:ascii="Book Antiqua" w:hAnsi="Book Antiqua"/>
          <w:color w:val="231F20"/>
          <w:spacing w:val="-12"/>
          <w:sz w:val="17"/>
        </w:rPr>
        <w:t> </w:t>
      </w:r>
      <w:r>
        <w:rPr>
          <w:rFonts w:ascii="Book Antiqua" w:hAnsi="Book Antiqua"/>
          <w:color w:val="231F20"/>
          <w:spacing w:val="6"/>
          <w:sz w:val="17"/>
        </w:rPr>
        <w:t>Airline</w:t>
      </w:r>
      <w:r>
        <w:rPr>
          <w:rFonts w:ascii="Book Antiqua" w:hAnsi="Book Antiqua"/>
          <w:color w:val="231F20"/>
          <w:spacing w:val="3"/>
          <w:sz w:val="17"/>
        </w:rPr>
        <w:t> of </w:t>
      </w:r>
      <w:r>
        <w:rPr>
          <w:rFonts w:ascii="Book Antiqua" w:hAnsi="Book Antiqua"/>
          <w:color w:val="231F20"/>
          <w:spacing w:val="4"/>
          <w:sz w:val="17"/>
        </w:rPr>
        <w:t>the</w:t>
      </w:r>
      <w:r>
        <w:rPr>
          <w:rFonts w:ascii="Book Antiqua" w:hAnsi="Book Antiqua"/>
          <w:color w:val="231F20"/>
          <w:spacing w:val="-4"/>
          <w:sz w:val="17"/>
        </w:rPr>
        <w:t> </w:t>
      </w:r>
      <w:r>
        <w:rPr>
          <w:rFonts w:ascii="Book Antiqua" w:hAnsi="Book Antiqua"/>
          <w:color w:val="231F20"/>
          <w:sz w:val="17"/>
        </w:rPr>
        <w:t>Year” </w:t>
      </w:r>
      <w:r>
        <w:rPr>
          <w:rFonts w:ascii="Book Antiqua" w:hAnsi="Book Antiqua"/>
          <w:color w:val="231F20"/>
          <w:spacing w:val="2"/>
          <w:sz w:val="17"/>
        </w:rPr>
        <w:t>by </w:t>
      </w:r>
      <w:r>
        <w:rPr>
          <w:rFonts w:ascii="Book Antiqua" w:hAnsi="Book Antiqua"/>
          <w:i/>
          <w:color w:val="231F20"/>
          <w:spacing w:val="3"/>
          <w:sz w:val="17"/>
        </w:rPr>
        <w:t>Travel Weekly </w:t>
      </w:r>
      <w:r>
        <w:rPr>
          <w:rFonts w:ascii="Book Antiqua" w:hAnsi="Book Antiqua"/>
          <w:color w:val="231F20"/>
          <w:spacing w:val="6"/>
          <w:sz w:val="17"/>
        </w:rPr>
        <w:t>and </w:t>
      </w:r>
      <w:r>
        <w:rPr>
          <w:rFonts w:ascii="Book Antiqua" w:hAnsi="Book Antiqua"/>
          <w:color w:val="231F20"/>
          <w:spacing w:val="4"/>
          <w:sz w:val="17"/>
        </w:rPr>
        <w:t>“Airline of </w:t>
      </w:r>
      <w:r>
        <w:rPr>
          <w:rFonts w:ascii="Book Antiqua" w:hAnsi="Book Antiqua"/>
          <w:color w:val="231F20"/>
          <w:spacing w:val="5"/>
          <w:sz w:val="17"/>
        </w:rPr>
        <w:t>the </w:t>
      </w:r>
      <w:r>
        <w:rPr>
          <w:rFonts w:ascii="Book Antiqua" w:hAnsi="Book Antiqua"/>
          <w:color w:val="231F20"/>
          <w:sz w:val="17"/>
        </w:rPr>
        <w:t>Year” </w:t>
      </w:r>
      <w:r>
        <w:rPr>
          <w:rFonts w:ascii="Book Antiqua" w:hAnsi="Book Antiqua"/>
          <w:color w:val="231F20"/>
          <w:spacing w:val="4"/>
          <w:sz w:val="17"/>
        </w:rPr>
        <w:t>by </w:t>
      </w:r>
      <w:r>
        <w:rPr>
          <w:rFonts w:ascii="Book Antiqua" w:hAnsi="Book Antiqua"/>
          <w:i/>
          <w:color w:val="231F20"/>
          <w:sz w:val="17"/>
        </w:rPr>
        <w:t>Air </w:t>
      </w:r>
      <w:r>
        <w:rPr>
          <w:rFonts w:ascii="Book Antiqua" w:hAnsi="Book Antiqua"/>
          <w:i/>
          <w:color w:val="231F20"/>
          <w:spacing w:val="-3"/>
          <w:sz w:val="17"/>
        </w:rPr>
        <w:t>Transport </w:t>
      </w:r>
      <w:r>
        <w:rPr>
          <w:rFonts w:ascii="Book Antiqua" w:hAnsi="Book Antiqua"/>
          <w:i/>
          <w:color w:val="231F20"/>
          <w:spacing w:val="-5"/>
          <w:sz w:val="17"/>
        </w:rPr>
        <w:t>World </w:t>
      </w:r>
      <w:r>
        <w:rPr>
          <w:rFonts w:ascii="Book Antiqua" w:hAnsi="Book Antiqua"/>
          <w:color w:val="231F20"/>
          <w:sz w:val="17"/>
        </w:rPr>
        <w:t>magazine.</w:t>
      </w:r>
      <w:r>
        <w:rPr>
          <w:rFonts w:ascii="Book Antiqua" w:hAnsi="Book Antiqua"/>
          <w:color w:val="231F20"/>
          <w:spacing w:val="-22"/>
          <w:sz w:val="17"/>
        </w:rPr>
        <w:t> </w:t>
      </w:r>
      <w:r>
        <w:rPr>
          <w:rFonts w:ascii="Book Antiqua" w:hAnsi="Book Antiqua"/>
          <w:color w:val="231F20"/>
          <w:sz w:val="17"/>
        </w:rPr>
        <w:t>Southwest</w:t>
      </w:r>
      <w:r>
        <w:rPr>
          <w:rFonts w:ascii="Book Antiqua" w:hAnsi="Book Antiqua"/>
          <w:color w:val="231F20"/>
          <w:spacing w:val="-25"/>
          <w:sz w:val="17"/>
        </w:rPr>
        <w:t> </w:t>
      </w:r>
      <w:r>
        <w:rPr>
          <w:rFonts w:ascii="Book Antiqua" w:hAnsi="Book Antiqua"/>
          <w:color w:val="231F20"/>
          <w:sz w:val="17"/>
        </w:rPr>
        <w:t>is</w:t>
      </w:r>
      <w:r>
        <w:rPr>
          <w:rFonts w:ascii="Book Antiqua" w:hAnsi="Book Antiqua"/>
          <w:color w:val="231F20"/>
          <w:spacing w:val="-22"/>
          <w:sz w:val="17"/>
        </w:rPr>
        <w:t> </w:t>
      </w:r>
      <w:r>
        <w:rPr>
          <w:rFonts w:ascii="Book Antiqua" w:hAnsi="Book Antiqua"/>
          <w:color w:val="231F20"/>
          <w:sz w:val="17"/>
        </w:rPr>
        <w:t>also</w:t>
      </w:r>
      <w:r>
        <w:rPr>
          <w:rFonts w:ascii="Book Antiqua" w:hAnsi="Book Antiqua"/>
          <w:color w:val="231F20"/>
          <w:spacing w:val="-22"/>
          <w:sz w:val="17"/>
        </w:rPr>
        <w:t> </w:t>
      </w:r>
      <w:r>
        <w:rPr>
          <w:rFonts w:ascii="Book Antiqua" w:hAnsi="Book Antiqua"/>
          <w:color w:val="231F20"/>
          <w:sz w:val="17"/>
        </w:rPr>
        <w:t>consistently</w:t>
      </w:r>
      <w:r>
        <w:rPr>
          <w:rFonts w:ascii="Book Antiqua" w:hAnsi="Book Antiqua"/>
          <w:color w:val="231F20"/>
          <w:spacing w:val="-26"/>
          <w:sz w:val="17"/>
        </w:rPr>
        <w:t> </w:t>
      </w:r>
      <w:r>
        <w:rPr>
          <w:rFonts w:ascii="Book Antiqua" w:hAnsi="Book Antiqua"/>
          <w:color w:val="231F20"/>
          <w:sz w:val="17"/>
        </w:rPr>
        <w:t>recognized</w:t>
      </w:r>
      <w:r>
        <w:rPr>
          <w:rFonts w:ascii="Book Antiqua" w:hAnsi="Book Antiqua"/>
          <w:color w:val="231F20"/>
          <w:spacing w:val="-22"/>
          <w:sz w:val="17"/>
        </w:rPr>
        <w:t> </w:t>
      </w:r>
      <w:r>
        <w:rPr>
          <w:rFonts w:ascii="Book Antiqua" w:hAnsi="Book Antiqua"/>
          <w:color w:val="231F20"/>
          <w:sz w:val="17"/>
        </w:rPr>
        <w:t>by</w:t>
      </w:r>
      <w:r>
        <w:rPr>
          <w:rFonts w:ascii="Book Antiqua" w:hAnsi="Book Antiqua"/>
          <w:color w:val="231F20"/>
          <w:spacing w:val="-24"/>
          <w:sz w:val="17"/>
        </w:rPr>
        <w:t> </w:t>
      </w:r>
      <w:r>
        <w:rPr>
          <w:rFonts w:ascii="Book Antiqua" w:hAnsi="Book Antiqua"/>
          <w:i/>
          <w:color w:val="231F20"/>
          <w:sz w:val="17"/>
        </w:rPr>
        <w:t>FORTUNE</w:t>
      </w:r>
      <w:r>
        <w:rPr>
          <w:rFonts w:ascii="Book Antiqua" w:hAnsi="Book Antiqua"/>
          <w:i/>
          <w:color w:val="231F20"/>
          <w:spacing w:val="-20"/>
          <w:sz w:val="17"/>
        </w:rPr>
        <w:t> </w:t>
      </w:r>
      <w:r>
        <w:rPr>
          <w:rFonts w:ascii="Book Antiqua" w:hAnsi="Book Antiqua"/>
          <w:color w:val="231F20"/>
          <w:spacing w:val="3"/>
          <w:sz w:val="17"/>
        </w:rPr>
        <w:t>as </w:t>
      </w:r>
      <w:r>
        <w:rPr>
          <w:rFonts w:ascii="Book Antiqua" w:hAnsi="Book Antiqua"/>
          <w:color w:val="231F20"/>
          <w:sz w:val="17"/>
        </w:rPr>
        <w:t>one of America’s Most Admired </w:t>
      </w:r>
      <w:r>
        <w:rPr>
          <w:rFonts w:ascii="Book Antiqua" w:hAnsi="Book Antiqua"/>
          <w:color w:val="231F20"/>
          <w:spacing w:val="2"/>
          <w:sz w:val="17"/>
        </w:rPr>
        <w:t>Companies </w:t>
      </w:r>
      <w:r>
        <w:rPr>
          <w:rFonts w:ascii="Book Antiqua" w:hAnsi="Book Antiqua"/>
          <w:color w:val="231F20"/>
          <w:sz w:val="17"/>
        </w:rPr>
        <w:t>and America’s </w:t>
      </w:r>
      <w:r>
        <w:rPr>
          <w:rFonts w:ascii="Book Antiqua" w:hAnsi="Book Antiqua"/>
          <w:color w:val="231F20"/>
          <w:spacing w:val="3"/>
          <w:sz w:val="17"/>
        </w:rPr>
        <w:t>most </w:t>
      </w:r>
      <w:r>
        <w:rPr>
          <w:rFonts w:ascii="Book Antiqua" w:hAnsi="Book Antiqua"/>
          <w:color w:val="231F20"/>
          <w:spacing w:val="2"/>
          <w:w w:val="90"/>
          <w:sz w:val="17"/>
        </w:rPr>
        <w:t>admired</w:t>
      </w:r>
      <w:r>
        <w:rPr>
          <w:rFonts w:ascii="Book Antiqua" w:hAnsi="Book Antiqua"/>
          <w:color w:val="231F20"/>
          <w:spacing w:val="32"/>
          <w:w w:val="90"/>
          <w:sz w:val="17"/>
        </w:rPr>
        <w:t> </w:t>
      </w:r>
      <w:r>
        <w:rPr>
          <w:rFonts w:ascii="Book Antiqua" w:hAnsi="Book Antiqua"/>
          <w:color w:val="231F20"/>
          <w:spacing w:val="2"/>
          <w:w w:val="90"/>
          <w:sz w:val="17"/>
        </w:rPr>
        <w:t>airline.</w:t>
      </w:r>
    </w:p>
    <w:p>
      <w:pPr>
        <w:spacing w:line="321" w:lineRule="auto" w:before="0"/>
        <w:ind w:left="119" w:right="490" w:firstLine="360"/>
        <w:jc w:val="both"/>
        <w:rPr>
          <w:rFonts w:ascii="Book Antiqua" w:hAnsi="Book Antiqua"/>
          <w:sz w:val="17"/>
        </w:rPr>
      </w:pPr>
      <w:r>
        <w:rPr>
          <w:rFonts w:ascii="Book Antiqua" w:hAnsi="Book Antiqua"/>
          <w:color w:val="231F20"/>
          <w:w w:val="95"/>
          <w:sz w:val="17"/>
        </w:rPr>
        <w:t>Our Employees are </w:t>
      </w:r>
      <w:r>
        <w:rPr>
          <w:rFonts w:ascii="Book Antiqua" w:hAnsi="Book Antiqua"/>
          <w:color w:val="231F20"/>
          <w:spacing w:val="2"/>
          <w:w w:val="95"/>
          <w:sz w:val="17"/>
        </w:rPr>
        <w:t>also </w:t>
      </w:r>
      <w:r>
        <w:rPr>
          <w:rFonts w:ascii="Book Antiqua" w:hAnsi="Book Antiqua"/>
          <w:color w:val="231F20"/>
          <w:w w:val="95"/>
          <w:sz w:val="17"/>
        </w:rPr>
        <w:t>wonderful </w:t>
      </w:r>
      <w:r>
        <w:rPr>
          <w:rFonts w:ascii="Book Antiqua" w:hAnsi="Book Antiqua"/>
          <w:color w:val="231F20"/>
          <w:spacing w:val="2"/>
          <w:w w:val="95"/>
          <w:sz w:val="17"/>
        </w:rPr>
        <w:t>stewards </w:t>
      </w:r>
      <w:r>
        <w:rPr>
          <w:rFonts w:ascii="Book Antiqua" w:hAnsi="Book Antiqua"/>
          <w:color w:val="231F20"/>
          <w:w w:val="95"/>
          <w:sz w:val="17"/>
        </w:rPr>
        <w:t>in the </w:t>
      </w:r>
      <w:r>
        <w:rPr>
          <w:rFonts w:ascii="Book Antiqua" w:hAnsi="Book Antiqua"/>
          <w:color w:val="231F20"/>
          <w:spacing w:val="3"/>
          <w:w w:val="95"/>
          <w:sz w:val="17"/>
        </w:rPr>
        <w:t>communities </w:t>
      </w:r>
      <w:r>
        <w:rPr>
          <w:rFonts w:ascii="Book Antiqua" w:hAnsi="Book Antiqua"/>
          <w:color w:val="231F20"/>
          <w:sz w:val="17"/>
        </w:rPr>
        <w:t>we</w:t>
      </w:r>
      <w:r>
        <w:rPr>
          <w:rFonts w:ascii="Book Antiqua" w:hAnsi="Book Antiqua"/>
          <w:color w:val="231F20"/>
          <w:spacing w:val="-20"/>
          <w:sz w:val="17"/>
        </w:rPr>
        <w:t> </w:t>
      </w:r>
      <w:r>
        <w:rPr>
          <w:rFonts w:ascii="Book Antiqua" w:hAnsi="Book Antiqua"/>
          <w:color w:val="231F20"/>
          <w:spacing w:val="3"/>
          <w:sz w:val="17"/>
        </w:rPr>
        <w:t>serve.</w:t>
      </w:r>
      <w:r>
        <w:rPr>
          <w:rFonts w:ascii="Book Antiqua" w:hAnsi="Book Antiqua"/>
          <w:color w:val="231F20"/>
          <w:spacing w:val="-20"/>
          <w:sz w:val="17"/>
        </w:rPr>
        <w:t> </w:t>
      </w:r>
      <w:r>
        <w:rPr>
          <w:rFonts w:ascii="Book Antiqua" w:hAnsi="Book Antiqua"/>
          <w:color w:val="231F20"/>
          <w:spacing w:val="3"/>
          <w:sz w:val="17"/>
        </w:rPr>
        <w:t>Southwest</w:t>
      </w:r>
      <w:r>
        <w:rPr>
          <w:rFonts w:ascii="Book Antiqua" w:hAnsi="Book Antiqua"/>
          <w:color w:val="231F20"/>
          <w:spacing w:val="-23"/>
          <w:sz w:val="17"/>
        </w:rPr>
        <w:t> </w:t>
      </w:r>
      <w:r>
        <w:rPr>
          <w:rFonts w:ascii="Book Antiqua" w:hAnsi="Book Antiqua"/>
          <w:color w:val="231F20"/>
          <w:spacing w:val="2"/>
          <w:sz w:val="17"/>
        </w:rPr>
        <w:t>is</w:t>
      </w:r>
      <w:r>
        <w:rPr>
          <w:rFonts w:ascii="Book Antiqua" w:hAnsi="Book Antiqua"/>
          <w:color w:val="231F20"/>
          <w:spacing w:val="-20"/>
          <w:sz w:val="17"/>
        </w:rPr>
        <w:t> </w:t>
      </w:r>
      <w:r>
        <w:rPr>
          <w:rFonts w:ascii="Book Antiqua" w:hAnsi="Book Antiqua"/>
          <w:color w:val="231F20"/>
          <w:spacing w:val="4"/>
          <w:sz w:val="17"/>
        </w:rPr>
        <w:t>committed</w:t>
      </w:r>
      <w:r>
        <w:rPr>
          <w:rFonts w:ascii="Book Antiqua" w:hAnsi="Book Antiqua"/>
          <w:color w:val="231F20"/>
          <w:spacing w:val="-20"/>
          <w:sz w:val="17"/>
        </w:rPr>
        <w:t> </w:t>
      </w:r>
      <w:r>
        <w:rPr>
          <w:rFonts w:ascii="Book Antiqua" w:hAnsi="Book Antiqua"/>
          <w:color w:val="231F20"/>
          <w:spacing w:val="2"/>
          <w:sz w:val="17"/>
        </w:rPr>
        <w:t>to</w:t>
      </w:r>
      <w:r>
        <w:rPr>
          <w:rFonts w:ascii="Book Antiqua" w:hAnsi="Book Antiqua"/>
          <w:color w:val="231F20"/>
          <w:spacing w:val="-25"/>
          <w:sz w:val="17"/>
        </w:rPr>
        <w:t> </w:t>
      </w:r>
      <w:r>
        <w:rPr>
          <w:rFonts w:ascii="Book Antiqua" w:hAnsi="Book Antiqua"/>
          <w:color w:val="231F20"/>
          <w:spacing w:val="3"/>
          <w:sz w:val="17"/>
        </w:rPr>
        <w:t>“doing</w:t>
      </w:r>
      <w:r>
        <w:rPr>
          <w:rFonts w:ascii="Book Antiqua" w:hAnsi="Book Antiqua"/>
          <w:color w:val="231F20"/>
          <w:spacing w:val="-20"/>
          <w:sz w:val="17"/>
        </w:rPr>
        <w:t> </w:t>
      </w:r>
      <w:r>
        <w:rPr>
          <w:rFonts w:ascii="Book Antiqua" w:hAnsi="Book Antiqua"/>
          <w:color w:val="231F20"/>
          <w:spacing w:val="3"/>
          <w:sz w:val="17"/>
        </w:rPr>
        <w:t>the</w:t>
      </w:r>
      <w:r>
        <w:rPr>
          <w:rFonts w:ascii="Book Antiqua" w:hAnsi="Book Antiqua"/>
          <w:color w:val="231F20"/>
          <w:spacing w:val="-20"/>
          <w:sz w:val="17"/>
        </w:rPr>
        <w:t> </w:t>
      </w:r>
      <w:r>
        <w:rPr>
          <w:rFonts w:ascii="Book Antiqua" w:hAnsi="Book Antiqua"/>
          <w:color w:val="231F20"/>
          <w:spacing w:val="4"/>
          <w:sz w:val="17"/>
        </w:rPr>
        <w:t>right</w:t>
      </w:r>
      <w:r>
        <w:rPr>
          <w:rFonts w:ascii="Book Antiqua" w:hAnsi="Book Antiqua"/>
          <w:color w:val="231F20"/>
          <w:spacing w:val="-23"/>
          <w:sz w:val="17"/>
        </w:rPr>
        <w:t> </w:t>
      </w:r>
      <w:r>
        <w:rPr>
          <w:rFonts w:ascii="Book Antiqua" w:hAnsi="Book Antiqua"/>
          <w:color w:val="231F20"/>
          <w:spacing w:val="3"/>
          <w:sz w:val="17"/>
        </w:rPr>
        <w:t>thing,”</w:t>
      </w:r>
      <w:r>
        <w:rPr>
          <w:rFonts w:ascii="Book Antiqua" w:hAnsi="Book Antiqua"/>
          <w:color w:val="231F20"/>
          <w:spacing w:val="-27"/>
          <w:sz w:val="17"/>
        </w:rPr>
        <w:t> </w:t>
      </w:r>
      <w:r>
        <w:rPr>
          <w:rFonts w:ascii="Book Antiqua" w:hAnsi="Book Antiqua"/>
          <w:color w:val="231F20"/>
          <w:spacing w:val="5"/>
          <w:sz w:val="17"/>
        </w:rPr>
        <w:t>which </w:t>
      </w:r>
      <w:r>
        <w:rPr>
          <w:rFonts w:ascii="Book Antiqua" w:hAnsi="Book Antiqua"/>
          <w:color w:val="231F20"/>
          <w:spacing w:val="3"/>
          <w:sz w:val="17"/>
        </w:rPr>
        <w:t>is </w:t>
      </w:r>
      <w:r>
        <w:rPr>
          <w:rFonts w:ascii="Book Antiqua" w:hAnsi="Book Antiqua"/>
          <w:color w:val="231F20"/>
          <w:spacing w:val="2"/>
          <w:sz w:val="17"/>
        </w:rPr>
        <w:t>why </w:t>
      </w:r>
      <w:r>
        <w:rPr>
          <w:rFonts w:ascii="Book Antiqua" w:hAnsi="Book Antiqua"/>
          <w:color w:val="231F20"/>
          <w:spacing w:val="5"/>
          <w:sz w:val="17"/>
        </w:rPr>
        <w:t>giving </w:t>
      </w:r>
      <w:r>
        <w:rPr>
          <w:rFonts w:ascii="Book Antiqua" w:hAnsi="Book Antiqua"/>
          <w:color w:val="231F20"/>
          <w:spacing w:val="4"/>
          <w:sz w:val="17"/>
        </w:rPr>
        <w:t>back </w:t>
      </w:r>
      <w:r>
        <w:rPr>
          <w:rFonts w:ascii="Book Antiqua" w:hAnsi="Book Antiqua"/>
          <w:color w:val="231F20"/>
          <w:spacing w:val="3"/>
          <w:sz w:val="17"/>
        </w:rPr>
        <w:t>to </w:t>
      </w:r>
      <w:r>
        <w:rPr>
          <w:rFonts w:ascii="Book Antiqua" w:hAnsi="Book Antiqua"/>
          <w:color w:val="231F20"/>
          <w:spacing w:val="4"/>
          <w:sz w:val="17"/>
        </w:rPr>
        <w:t>the </w:t>
      </w:r>
      <w:r>
        <w:rPr>
          <w:rFonts w:ascii="Book Antiqua" w:hAnsi="Book Antiqua"/>
          <w:color w:val="231F20"/>
          <w:spacing w:val="5"/>
          <w:sz w:val="17"/>
        </w:rPr>
        <w:t>communities </w:t>
      </w:r>
      <w:r>
        <w:rPr>
          <w:rFonts w:ascii="Book Antiqua" w:hAnsi="Book Antiqua"/>
          <w:color w:val="231F20"/>
          <w:sz w:val="17"/>
        </w:rPr>
        <w:t>we </w:t>
      </w:r>
      <w:r>
        <w:rPr>
          <w:rFonts w:ascii="Book Antiqua" w:hAnsi="Book Antiqua"/>
          <w:color w:val="231F20"/>
          <w:spacing w:val="4"/>
          <w:sz w:val="17"/>
        </w:rPr>
        <w:t>serve and </w:t>
      </w:r>
      <w:r>
        <w:rPr>
          <w:rFonts w:ascii="Book Antiqua" w:hAnsi="Book Antiqua"/>
          <w:color w:val="231F20"/>
          <w:spacing w:val="5"/>
          <w:sz w:val="17"/>
        </w:rPr>
        <w:t>positively </w:t>
      </w:r>
      <w:r>
        <w:rPr>
          <w:rFonts w:ascii="Book Antiqua" w:hAnsi="Book Antiqua"/>
          <w:color w:val="231F20"/>
          <w:spacing w:val="2"/>
          <w:sz w:val="17"/>
        </w:rPr>
        <w:t>contributing</w:t>
      </w:r>
      <w:r>
        <w:rPr>
          <w:rFonts w:ascii="Book Antiqua" w:hAnsi="Book Antiqua"/>
          <w:color w:val="231F20"/>
          <w:spacing w:val="-23"/>
          <w:sz w:val="17"/>
        </w:rPr>
        <w:t> </w:t>
      </w:r>
      <w:r>
        <w:rPr>
          <w:rFonts w:ascii="Book Antiqua" w:hAnsi="Book Antiqua"/>
          <w:color w:val="231F20"/>
          <w:sz w:val="17"/>
        </w:rPr>
        <w:t>to</w:t>
      </w:r>
      <w:r>
        <w:rPr>
          <w:rFonts w:ascii="Book Antiqua" w:hAnsi="Book Antiqua"/>
          <w:color w:val="231F20"/>
          <w:spacing w:val="-21"/>
          <w:sz w:val="17"/>
        </w:rPr>
        <w:t> </w:t>
      </w:r>
      <w:r>
        <w:rPr>
          <w:rFonts w:ascii="Book Antiqua" w:hAnsi="Book Antiqua"/>
          <w:color w:val="231F20"/>
          <w:sz w:val="17"/>
        </w:rPr>
        <w:t>the</w:t>
      </w:r>
      <w:r>
        <w:rPr>
          <w:rFonts w:ascii="Book Antiqua" w:hAnsi="Book Antiqua"/>
          <w:color w:val="231F20"/>
          <w:spacing w:val="-21"/>
          <w:sz w:val="17"/>
        </w:rPr>
        <w:t> </w:t>
      </w:r>
      <w:r>
        <w:rPr>
          <w:rFonts w:ascii="Book Antiqua" w:hAnsi="Book Antiqua"/>
          <w:color w:val="231F20"/>
          <w:sz w:val="17"/>
        </w:rPr>
        <w:t>environment</w:t>
      </w:r>
      <w:r>
        <w:rPr>
          <w:rFonts w:ascii="Book Antiqua" w:hAnsi="Book Antiqua"/>
          <w:color w:val="231F20"/>
          <w:spacing w:val="-24"/>
          <w:sz w:val="17"/>
        </w:rPr>
        <w:t> </w:t>
      </w:r>
      <w:r>
        <w:rPr>
          <w:rFonts w:ascii="Book Antiqua" w:hAnsi="Book Antiqua"/>
          <w:color w:val="231F20"/>
          <w:sz w:val="17"/>
        </w:rPr>
        <w:t>is</w:t>
      </w:r>
      <w:r>
        <w:rPr>
          <w:rFonts w:ascii="Book Antiqua" w:hAnsi="Book Antiqua"/>
          <w:color w:val="231F20"/>
          <w:spacing w:val="-21"/>
          <w:sz w:val="17"/>
        </w:rPr>
        <w:t> </w:t>
      </w:r>
      <w:r>
        <w:rPr>
          <w:rFonts w:ascii="Book Antiqua" w:hAnsi="Book Antiqua"/>
          <w:color w:val="231F20"/>
          <w:sz w:val="17"/>
        </w:rPr>
        <w:t>simply</w:t>
      </w:r>
      <w:r>
        <w:rPr>
          <w:rFonts w:ascii="Book Antiqua" w:hAnsi="Book Antiqua"/>
          <w:color w:val="231F20"/>
          <w:spacing w:val="-25"/>
          <w:sz w:val="17"/>
        </w:rPr>
        <w:t> </w:t>
      </w:r>
      <w:r>
        <w:rPr>
          <w:rFonts w:ascii="Book Antiqua" w:hAnsi="Book Antiqua"/>
          <w:color w:val="231F20"/>
          <w:sz w:val="17"/>
        </w:rPr>
        <w:t>the</w:t>
      </w:r>
      <w:r>
        <w:rPr>
          <w:rFonts w:ascii="Book Antiqua" w:hAnsi="Book Antiqua"/>
          <w:color w:val="231F20"/>
          <w:spacing w:val="-23"/>
          <w:sz w:val="17"/>
        </w:rPr>
        <w:t> </w:t>
      </w:r>
      <w:r>
        <w:rPr>
          <w:rFonts w:ascii="Book Antiqua" w:hAnsi="Book Antiqua"/>
          <w:color w:val="231F20"/>
          <w:sz w:val="17"/>
        </w:rPr>
        <w:t>way</w:t>
      </w:r>
      <w:r>
        <w:rPr>
          <w:rFonts w:ascii="Book Antiqua" w:hAnsi="Book Antiqua"/>
          <w:color w:val="231F20"/>
          <w:spacing w:val="-27"/>
          <w:sz w:val="17"/>
        </w:rPr>
        <w:t> </w:t>
      </w:r>
      <w:r>
        <w:rPr>
          <w:rFonts w:ascii="Book Antiqua" w:hAnsi="Book Antiqua"/>
          <w:color w:val="231F20"/>
          <w:sz w:val="17"/>
        </w:rPr>
        <w:t>we</w:t>
      </w:r>
      <w:r>
        <w:rPr>
          <w:rFonts w:ascii="Book Antiqua" w:hAnsi="Book Antiqua"/>
          <w:color w:val="231F20"/>
          <w:spacing w:val="-21"/>
          <w:sz w:val="17"/>
        </w:rPr>
        <w:t> </w:t>
      </w:r>
      <w:r>
        <w:rPr>
          <w:rFonts w:ascii="Book Antiqua" w:hAnsi="Book Antiqua"/>
          <w:color w:val="231F20"/>
          <w:sz w:val="17"/>
        </w:rPr>
        <w:t>do</w:t>
      </w:r>
      <w:r>
        <w:rPr>
          <w:rFonts w:ascii="Book Antiqua" w:hAnsi="Book Antiqua"/>
          <w:color w:val="231F20"/>
          <w:spacing w:val="-21"/>
          <w:sz w:val="17"/>
        </w:rPr>
        <w:t> </w:t>
      </w:r>
      <w:r>
        <w:rPr>
          <w:rFonts w:ascii="Book Antiqua" w:hAnsi="Book Antiqua"/>
          <w:color w:val="231F20"/>
          <w:sz w:val="17"/>
        </w:rPr>
        <w:t>business.</w:t>
      </w:r>
      <w:r>
        <w:rPr>
          <w:rFonts w:ascii="Book Antiqua" w:hAnsi="Book Antiqua"/>
          <w:color w:val="231F20"/>
          <w:spacing w:val="-27"/>
          <w:sz w:val="17"/>
        </w:rPr>
        <w:t> </w:t>
      </w:r>
      <w:r>
        <w:rPr>
          <w:rFonts w:ascii="Book Antiqua" w:hAnsi="Book Antiqua"/>
          <w:color w:val="231F20"/>
          <w:sz w:val="17"/>
        </w:rPr>
        <w:t>As </w:t>
      </w:r>
      <w:r>
        <w:rPr>
          <w:rFonts w:ascii="Book Antiqua" w:hAnsi="Book Antiqua"/>
          <w:color w:val="231F20"/>
          <w:w w:val="95"/>
          <w:sz w:val="17"/>
        </w:rPr>
        <w:t>a</w:t>
      </w:r>
      <w:r>
        <w:rPr>
          <w:rFonts w:ascii="Book Antiqua" w:hAnsi="Book Antiqua"/>
          <w:color w:val="231F20"/>
          <w:spacing w:val="-10"/>
          <w:w w:val="95"/>
          <w:sz w:val="17"/>
        </w:rPr>
        <w:t> </w:t>
      </w:r>
      <w:r>
        <w:rPr>
          <w:rFonts w:ascii="Book Antiqua" w:hAnsi="Book Antiqua"/>
          <w:color w:val="231F20"/>
          <w:w w:val="95"/>
          <w:sz w:val="17"/>
        </w:rPr>
        <w:t>result</w:t>
      </w:r>
      <w:r>
        <w:rPr>
          <w:rFonts w:ascii="Book Antiqua" w:hAnsi="Book Antiqua"/>
          <w:color w:val="231F20"/>
          <w:spacing w:val="-14"/>
          <w:w w:val="95"/>
          <w:sz w:val="17"/>
        </w:rPr>
        <w:t> </w:t>
      </w:r>
      <w:r>
        <w:rPr>
          <w:rFonts w:ascii="Book Antiqua" w:hAnsi="Book Antiqua"/>
          <w:color w:val="231F20"/>
          <w:w w:val="95"/>
          <w:sz w:val="17"/>
        </w:rPr>
        <w:t>of</w:t>
      </w:r>
      <w:r>
        <w:rPr>
          <w:rFonts w:ascii="Book Antiqua" w:hAnsi="Book Antiqua"/>
          <w:color w:val="231F20"/>
          <w:spacing w:val="-10"/>
          <w:w w:val="95"/>
          <w:sz w:val="17"/>
        </w:rPr>
        <w:t> </w:t>
      </w:r>
      <w:r>
        <w:rPr>
          <w:rFonts w:ascii="Book Antiqua" w:hAnsi="Book Antiqua"/>
          <w:color w:val="231F20"/>
          <w:w w:val="95"/>
          <w:sz w:val="17"/>
        </w:rPr>
        <w:t>our</w:t>
      </w:r>
      <w:r>
        <w:rPr>
          <w:rFonts w:ascii="Book Antiqua" w:hAnsi="Book Antiqua"/>
          <w:color w:val="231F20"/>
          <w:spacing w:val="-16"/>
          <w:w w:val="95"/>
          <w:sz w:val="17"/>
        </w:rPr>
        <w:t> </w:t>
      </w:r>
      <w:r>
        <w:rPr>
          <w:rFonts w:ascii="Book Antiqua" w:hAnsi="Book Antiqua"/>
          <w:color w:val="231F20"/>
          <w:w w:val="95"/>
          <w:sz w:val="17"/>
        </w:rPr>
        <w:t>caring</w:t>
      </w:r>
      <w:r>
        <w:rPr>
          <w:rFonts w:ascii="Book Antiqua" w:hAnsi="Book Antiqua"/>
          <w:color w:val="231F20"/>
          <w:spacing w:val="-10"/>
          <w:w w:val="95"/>
          <w:sz w:val="17"/>
        </w:rPr>
        <w:t> </w:t>
      </w:r>
      <w:r>
        <w:rPr>
          <w:rFonts w:ascii="Book Antiqua" w:hAnsi="Book Antiqua"/>
          <w:color w:val="231F20"/>
          <w:w w:val="95"/>
          <w:sz w:val="17"/>
        </w:rPr>
        <w:t>and</w:t>
      </w:r>
      <w:r>
        <w:rPr>
          <w:rFonts w:ascii="Book Antiqua" w:hAnsi="Book Antiqua"/>
          <w:color w:val="231F20"/>
          <w:spacing w:val="-10"/>
          <w:w w:val="95"/>
          <w:sz w:val="17"/>
        </w:rPr>
        <w:t> </w:t>
      </w:r>
      <w:r>
        <w:rPr>
          <w:rFonts w:ascii="Book Antiqua" w:hAnsi="Book Antiqua"/>
          <w:color w:val="231F20"/>
          <w:w w:val="95"/>
          <w:sz w:val="17"/>
        </w:rPr>
        <w:t>altruistic</w:t>
      </w:r>
      <w:r>
        <w:rPr>
          <w:rFonts w:ascii="Book Antiqua" w:hAnsi="Book Antiqua"/>
          <w:color w:val="231F20"/>
          <w:spacing w:val="-10"/>
          <w:w w:val="95"/>
          <w:sz w:val="17"/>
        </w:rPr>
        <w:t> </w:t>
      </w:r>
      <w:r>
        <w:rPr>
          <w:rFonts w:ascii="Book Antiqua" w:hAnsi="Book Antiqua"/>
          <w:color w:val="231F20"/>
          <w:w w:val="95"/>
          <w:sz w:val="17"/>
        </w:rPr>
        <w:t>Employees,</w:t>
      </w:r>
      <w:r>
        <w:rPr>
          <w:rFonts w:ascii="Book Antiqua" w:hAnsi="Book Antiqua"/>
          <w:color w:val="231F20"/>
          <w:spacing w:val="-13"/>
          <w:w w:val="95"/>
          <w:sz w:val="17"/>
        </w:rPr>
        <w:t> </w:t>
      </w:r>
      <w:r>
        <w:rPr>
          <w:rFonts w:ascii="Book Antiqua" w:hAnsi="Book Antiqua"/>
          <w:color w:val="231F20"/>
          <w:w w:val="95"/>
          <w:sz w:val="17"/>
        </w:rPr>
        <w:t>Southwest</w:t>
      </w:r>
      <w:r>
        <w:rPr>
          <w:rFonts w:ascii="Book Antiqua" w:hAnsi="Book Antiqua"/>
          <w:color w:val="231F20"/>
          <w:spacing w:val="-17"/>
          <w:w w:val="95"/>
          <w:sz w:val="17"/>
        </w:rPr>
        <w:t> </w:t>
      </w:r>
      <w:r>
        <w:rPr>
          <w:rFonts w:ascii="Book Antiqua" w:hAnsi="Book Antiqua"/>
          <w:color w:val="231F20"/>
          <w:w w:val="95"/>
          <w:sz w:val="17"/>
        </w:rPr>
        <w:t>was</w:t>
      </w:r>
      <w:r>
        <w:rPr>
          <w:rFonts w:ascii="Book Antiqua" w:hAnsi="Book Antiqua"/>
          <w:color w:val="231F20"/>
          <w:spacing w:val="-10"/>
          <w:w w:val="95"/>
          <w:sz w:val="17"/>
        </w:rPr>
        <w:t> </w:t>
      </w:r>
      <w:r>
        <w:rPr>
          <w:rFonts w:ascii="Book Antiqua" w:hAnsi="Book Antiqua"/>
          <w:color w:val="231F20"/>
          <w:w w:val="95"/>
          <w:sz w:val="17"/>
        </w:rPr>
        <w:t>included </w:t>
      </w:r>
      <w:r>
        <w:rPr>
          <w:rFonts w:ascii="Book Antiqua" w:hAnsi="Book Antiqua"/>
          <w:color w:val="231F20"/>
          <w:sz w:val="17"/>
        </w:rPr>
        <w:t>in </w:t>
      </w:r>
      <w:r>
        <w:rPr>
          <w:rFonts w:ascii="Book Antiqua" w:hAnsi="Book Antiqua"/>
          <w:i/>
          <w:color w:val="231F20"/>
          <w:sz w:val="17"/>
        </w:rPr>
        <w:t>Global Finance </w:t>
      </w:r>
      <w:r>
        <w:rPr>
          <w:rFonts w:ascii="Book Antiqua" w:hAnsi="Book Antiqua"/>
          <w:color w:val="231F20"/>
          <w:sz w:val="17"/>
        </w:rPr>
        <w:t>magazine’s </w:t>
      </w:r>
      <w:r>
        <w:rPr>
          <w:rFonts w:ascii="Book Antiqua" w:hAnsi="Book Antiqua"/>
          <w:color w:val="231F20"/>
          <w:spacing w:val="2"/>
          <w:sz w:val="17"/>
        </w:rPr>
        <w:t>January </w:t>
      </w:r>
      <w:r>
        <w:rPr>
          <w:rFonts w:ascii="Book Antiqua" w:hAnsi="Book Antiqua"/>
          <w:color w:val="231F20"/>
          <w:sz w:val="17"/>
        </w:rPr>
        <w:t>2004 </w:t>
      </w:r>
      <w:r>
        <w:rPr>
          <w:rFonts w:ascii="Book Antiqua" w:hAnsi="Book Antiqua"/>
          <w:color w:val="231F20"/>
          <w:spacing w:val="2"/>
          <w:sz w:val="17"/>
        </w:rPr>
        <w:t>“Experts’ </w:t>
      </w:r>
      <w:r>
        <w:rPr>
          <w:rFonts w:ascii="Book Antiqua" w:hAnsi="Book Antiqua"/>
          <w:color w:val="231F20"/>
          <w:sz w:val="17"/>
        </w:rPr>
        <w:t>List of </w:t>
      </w:r>
      <w:r>
        <w:rPr>
          <w:rFonts w:ascii="Book Antiqua" w:hAnsi="Book Antiqua"/>
          <w:color w:val="231F20"/>
          <w:spacing w:val="2"/>
          <w:sz w:val="17"/>
        </w:rPr>
        <w:t>the </w:t>
      </w:r>
      <w:r>
        <w:rPr>
          <w:rFonts w:ascii="Book Antiqua" w:hAnsi="Book Antiqua"/>
          <w:color w:val="231F20"/>
          <w:sz w:val="17"/>
        </w:rPr>
        <w:t>World’s</w:t>
      </w:r>
      <w:r>
        <w:rPr>
          <w:rFonts w:ascii="Book Antiqua" w:hAnsi="Book Antiqua"/>
          <w:color w:val="231F20"/>
          <w:spacing w:val="-13"/>
          <w:sz w:val="17"/>
        </w:rPr>
        <w:t> </w:t>
      </w:r>
      <w:r>
        <w:rPr>
          <w:rFonts w:ascii="Book Antiqua" w:hAnsi="Book Antiqua"/>
          <w:color w:val="231F20"/>
          <w:sz w:val="17"/>
        </w:rPr>
        <w:t>Most</w:t>
      </w:r>
      <w:r>
        <w:rPr>
          <w:rFonts w:ascii="Book Antiqua" w:hAnsi="Book Antiqua"/>
          <w:color w:val="231F20"/>
          <w:spacing w:val="-16"/>
          <w:sz w:val="17"/>
        </w:rPr>
        <w:t> </w:t>
      </w:r>
      <w:r>
        <w:rPr>
          <w:rFonts w:ascii="Book Antiqua" w:hAnsi="Book Antiqua"/>
          <w:color w:val="231F20"/>
          <w:sz w:val="17"/>
        </w:rPr>
        <w:t>Socially</w:t>
      </w:r>
      <w:r>
        <w:rPr>
          <w:rFonts w:ascii="Book Antiqua" w:hAnsi="Book Antiqua"/>
          <w:color w:val="231F20"/>
          <w:spacing w:val="-17"/>
          <w:sz w:val="17"/>
        </w:rPr>
        <w:t> </w:t>
      </w:r>
      <w:r>
        <w:rPr>
          <w:rFonts w:ascii="Book Antiqua" w:hAnsi="Book Antiqua"/>
          <w:color w:val="231F20"/>
          <w:sz w:val="17"/>
        </w:rPr>
        <w:t>Responsible</w:t>
      </w:r>
      <w:r>
        <w:rPr>
          <w:rFonts w:ascii="Book Antiqua" w:hAnsi="Book Antiqua"/>
          <w:color w:val="231F20"/>
          <w:spacing w:val="-13"/>
          <w:sz w:val="17"/>
        </w:rPr>
        <w:t> </w:t>
      </w:r>
      <w:r>
        <w:rPr>
          <w:rFonts w:ascii="Book Antiqua" w:hAnsi="Book Antiqua"/>
          <w:color w:val="231F20"/>
          <w:sz w:val="17"/>
        </w:rPr>
        <w:t>Companies.”</w:t>
      </w:r>
      <w:r>
        <w:rPr>
          <w:rFonts w:ascii="Book Antiqua" w:hAnsi="Book Antiqua"/>
          <w:color w:val="231F20"/>
          <w:spacing w:val="-18"/>
          <w:sz w:val="17"/>
        </w:rPr>
        <w:t> </w:t>
      </w:r>
      <w:r>
        <w:rPr>
          <w:rFonts w:ascii="Book Antiqua" w:hAnsi="Book Antiqua"/>
          <w:color w:val="231F20"/>
          <w:sz w:val="17"/>
        </w:rPr>
        <w:t>Southwest</w:t>
      </w:r>
      <w:r>
        <w:rPr>
          <w:rFonts w:ascii="Book Antiqua" w:hAnsi="Book Antiqua"/>
          <w:color w:val="231F20"/>
          <w:spacing w:val="-18"/>
          <w:sz w:val="17"/>
        </w:rPr>
        <w:t> </w:t>
      </w:r>
      <w:r>
        <w:rPr>
          <w:rFonts w:ascii="Book Antiqua" w:hAnsi="Book Antiqua"/>
          <w:color w:val="231F20"/>
          <w:sz w:val="17"/>
        </w:rPr>
        <w:t>was</w:t>
      </w:r>
      <w:r>
        <w:rPr>
          <w:rFonts w:ascii="Book Antiqua" w:hAnsi="Book Antiqua"/>
          <w:color w:val="231F20"/>
          <w:spacing w:val="-13"/>
          <w:sz w:val="17"/>
        </w:rPr>
        <w:t> </w:t>
      </w:r>
      <w:r>
        <w:rPr>
          <w:rFonts w:ascii="Book Antiqua" w:hAnsi="Book Antiqua"/>
          <w:color w:val="231F20"/>
          <w:sz w:val="17"/>
        </w:rPr>
        <w:t>also </w:t>
      </w:r>
      <w:r>
        <w:rPr>
          <w:rFonts w:ascii="Book Antiqua" w:hAnsi="Book Antiqua"/>
          <w:color w:val="231F20"/>
          <w:spacing w:val="2"/>
          <w:sz w:val="17"/>
        </w:rPr>
        <w:t>listed again </w:t>
      </w:r>
      <w:r>
        <w:rPr>
          <w:rFonts w:ascii="Book Antiqua" w:hAnsi="Book Antiqua"/>
          <w:color w:val="231F20"/>
          <w:sz w:val="17"/>
        </w:rPr>
        <w:t>in </w:t>
      </w:r>
      <w:r>
        <w:rPr>
          <w:rFonts w:ascii="Book Antiqua" w:hAnsi="Book Antiqua"/>
          <w:i/>
          <w:color w:val="231F20"/>
          <w:spacing w:val="2"/>
          <w:sz w:val="17"/>
        </w:rPr>
        <w:t>Business Ethics </w:t>
      </w:r>
      <w:r>
        <w:rPr>
          <w:rFonts w:ascii="Book Antiqua" w:hAnsi="Book Antiqua"/>
          <w:color w:val="231F20"/>
          <w:sz w:val="17"/>
        </w:rPr>
        <w:t>magazine’s “100 </w:t>
      </w:r>
      <w:r>
        <w:rPr>
          <w:rFonts w:ascii="Book Antiqua" w:hAnsi="Book Antiqua"/>
          <w:color w:val="231F20"/>
          <w:spacing w:val="2"/>
          <w:sz w:val="17"/>
        </w:rPr>
        <w:t>Best </w:t>
      </w:r>
      <w:r>
        <w:rPr>
          <w:rFonts w:ascii="Book Antiqua" w:hAnsi="Book Antiqua"/>
          <w:color w:val="231F20"/>
          <w:spacing w:val="3"/>
          <w:sz w:val="17"/>
        </w:rPr>
        <w:t>Corporate </w:t>
      </w:r>
      <w:r>
        <w:rPr>
          <w:rFonts w:ascii="Book Antiqua" w:hAnsi="Book Antiqua"/>
          <w:color w:val="231F20"/>
          <w:sz w:val="17"/>
        </w:rPr>
        <w:t>Citizens”</w:t>
      </w:r>
      <w:r>
        <w:rPr>
          <w:rFonts w:ascii="Book Antiqua" w:hAnsi="Book Antiqua"/>
          <w:color w:val="231F20"/>
          <w:spacing w:val="-25"/>
          <w:sz w:val="17"/>
        </w:rPr>
        <w:t> </w:t>
      </w:r>
      <w:r>
        <w:rPr>
          <w:rFonts w:ascii="Book Antiqua" w:hAnsi="Book Antiqua"/>
          <w:color w:val="231F20"/>
          <w:sz w:val="17"/>
        </w:rPr>
        <w:t>and</w:t>
      </w:r>
      <w:r>
        <w:rPr>
          <w:rFonts w:ascii="Book Antiqua" w:hAnsi="Book Antiqua"/>
          <w:color w:val="231F20"/>
          <w:spacing w:val="-20"/>
          <w:sz w:val="17"/>
        </w:rPr>
        <w:t> </w:t>
      </w:r>
      <w:r>
        <w:rPr>
          <w:rFonts w:ascii="Book Antiqua" w:hAnsi="Book Antiqua"/>
          <w:color w:val="231F20"/>
          <w:sz w:val="17"/>
        </w:rPr>
        <w:t>again</w:t>
      </w:r>
      <w:r>
        <w:rPr>
          <w:rFonts w:ascii="Book Antiqua" w:hAnsi="Book Antiqua"/>
          <w:color w:val="231F20"/>
          <w:spacing w:val="-20"/>
          <w:sz w:val="17"/>
        </w:rPr>
        <w:t> </w:t>
      </w:r>
      <w:r>
        <w:rPr>
          <w:rFonts w:ascii="Book Antiqua" w:hAnsi="Book Antiqua"/>
          <w:color w:val="231F20"/>
          <w:sz w:val="17"/>
        </w:rPr>
        <w:t>recognized</w:t>
      </w:r>
      <w:r>
        <w:rPr>
          <w:rFonts w:ascii="Book Antiqua" w:hAnsi="Book Antiqua"/>
          <w:color w:val="231F20"/>
          <w:spacing w:val="-20"/>
          <w:sz w:val="17"/>
        </w:rPr>
        <w:t> </w:t>
      </w:r>
      <w:r>
        <w:rPr>
          <w:rFonts w:ascii="Book Antiqua" w:hAnsi="Book Antiqua"/>
          <w:color w:val="231F20"/>
          <w:sz w:val="17"/>
        </w:rPr>
        <w:t>for</w:t>
      </w:r>
      <w:r>
        <w:rPr>
          <w:rFonts w:ascii="Book Antiqua" w:hAnsi="Book Antiqua"/>
          <w:color w:val="231F20"/>
          <w:spacing w:val="-24"/>
          <w:sz w:val="17"/>
        </w:rPr>
        <w:t> </w:t>
      </w:r>
      <w:r>
        <w:rPr>
          <w:rFonts w:ascii="Book Antiqua" w:hAnsi="Book Antiqua"/>
          <w:color w:val="231F20"/>
          <w:sz w:val="17"/>
        </w:rPr>
        <w:t>having</w:t>
      </w:r>
      <w:r>
        <w:rPr>
          <w:rFonts w:ascii="Book Antiqua" w:hAnsi="Book Antiqua"/>
          <w:color w:val="231F20"/>
          <w:spacing w:val="-20"/>
          <w:sz w:val="17"/>
        </w:rPr>
        <w:t> </w:t>
      </w:r>
      <w:r>
        <w:rPr>
          <w:rFonts w:ascii="Book Antiqua" w:hAnsi="Book Antiqua"/>
          <w:color w:val="231F20"/>
          <w:sz w:val="17"/>
        </w:rPr>
        <w:t>the</w:t>
      </w:r>
      <w:r>
        <w:rPr>
          <w:rFonts w:ascii="Book Antiqua" w:hAnsi="Book Antiqua"/>
          <w:color w:val="231F20"/>
          <w:spacing w:val="-20"/>
          <w:sz w:val="17"/>
        </w:rPr>
        <w:t> </w:t>
      </w:r>
      <w:r>
        <w:rPr>
          <w:rFonts w:ascii="Book Antiqua" w:hAnsi="Book Antiqua"/>
          <w:color w:val="231F20"/>
          <w:sz w:val="17"/>
        </w:rPr>
        <w:t>best</w:t>
      </w:r>
      <w:r>
        <w:rPr>
          <w:rFonts w:ascii="Book Antiqua" w:hAnsi="Book Antiqua"/>
          <w:color w:val="231F20"/>
          <w:spacing w:val="-23"/>
          <w:sz w:val="17"/>
        </w:rPr>
        <w:t> </w:t>
      </w:r>
      <w:r>
        <w:rPr>
          <w:rFonts w:ascii="Book Antiqua" w:hAnsi="Book Antiqua"/>
          <w:color w:val="231F20"/>
          <w:sz w:val="17"/>
        </w:rPr>
        <w:t>reputation</w:t>
      </w:r>
      <w:r>
        <w:rPr>
          <w:rFonts w:ascii="Book Antiqua" w:hAnsi="Book Antiqua"/>
          <w:color w:val="231F20"/>
          <w:spacing w:val="-20"/>
          <w:sz w:val="17"/>
        </w:rPr>
        <w:t> </w:t>
      </w:r>
      <w:r>
        <w:rPr>
          <w:rFonts w:ascii="Book Antiqua" w:hAnsi="Book Antiqua"/>
          <w:color w:val="231F20"/>
          <w:sz w:val="17"/>
        </w:rPr>
        <w:t>among</w:t>
      </w:r>
    </w:p>
    <w:p>
      <w:pPr>
        <w:spacing w:line="321" w:lineRule="auto" w:before="0"/>
        <w:ind w:left="119" w:right="489" w:firstLine="0"/>
        <w:jc w:val="both"/>
        <w:rPr>
          <w:rFonts w:ascii="Book Antiqua" w:hAnsi="Book Antiqua"/>
          <w:sz w:val="17"/>
        </w:rPr>
      </w:pPr>
      <w:r>
        <w:rPr>
          <w:rFonts w:ascii="Book Antiqua" w:hAnsi="Book Antiqua"/>
          <w:color w:val="231F20"/>
          <w:sz w:val="17"/>
        </w:rPr>
        <w:t>U.S.</w:t>
      </w:r>
      <w:r>
        <w:rPr>
          <w:rFonts w:ascii="Book Antiqua" w:hAnsi="Book Antiqua"/>
          <w:color w:val="231F20"/>
          <w:spacing w:val="-11"/>
          <w:sz w:val="17"/>
        </w:rPr>
        <w:t> </w:t>
      </w:r>
      <w:r>
        <w:rPr>
          <w:rFonts w:ascii="Book Antiqua" w:hAnsi="Book Antiqua"/>
          <w:color w:val="231F20"/>
          <w:sz w:val="17"/>
        </w:rPr>
        <w:t>airlines</w:t>
      </w:r>
      <w:r>
        <w:rPr>
          <w:rFonts w:ascii="Book Antiqua" w:hAnsi="Book Antiqua"/>
          <w:color w:val="231F20"/>
          <w:spacing w:val="-11"/>
          <w:sz w:val="17"/>
        </w:rPr>
        <w:t> </w:t>
      </w:r>
      <w:r>
        <w:rPr>
          <w:rFonts w:ascii="Book Antiqua" w:hAnsi="Book Antiqua"/>
          <w:color w:val="231F20"/>
          <w:sz w:val="17"/>
        </w:rPr>
        <w:t>in</w:t>
      </w:r>
      <w:r>
        <w:rPr>
          <w:rFonts w:ascii="Book Antiqua" w:hAnsi="Book Antiqua"/>
          <w:color w:val="231F20"/>
          <w:spacing w:val="-11"/>
          <w:sz w:val="17"/>
        </w:rPr>
        <w:t> </w:t>
      </w:r>
      <w:r>
        <w:rPr>
          <w:rFonts w:ascii="Book Antiqua" w:hAnsi="Book Antiqua"/>
          <w:color w:val="231F20"/>
          <w:sz w:val="17"/>
        </w:rPr>
        <w:t>a</w:t>
      </w:r>
      <w:r>
        <w:rPr>
          <w:rFonts w:ascii="Book Antiqua" w:hAnsi="Book Antiqua"/>
          <w:color w:val="231F20"/>
          <w:spacing w:val="-11"/>
          <w:sz w:val="17"/>
        </w:rPr>
        <w:t> </w:t>
      </w:r>
      <w:r>
        <w:rPr>
          <w:rFonts w:ascii="Book Antiqua" w:hAnsi="Book Antiqua"/>
          <w:color w:val="231F20"/>
          <w:sz w:val="17"/>
        </w:rPr>
        <w:t>2003</w:t>
      </w:r>
      <w:r>
        <w:rPr>
          <w:rFonts w:ascii="Book Antiqua" w:hAnsi="Book Antiqua"/>
          <w:color w:val="231F20"/>
          <w:spacing w:val="-15"/>
          <w:sz w:val="17"/>
        </w:rPr>
        <w:t> </w:t>
      </w:r>
      <w:r>
        <w:rPr>
          <w:rFonts w:ascii="Book Antiqua" w:hAnsi="Book Antiqua"/>
          <w:color w:val="231F20"/>
          <w:sz w:val="17"/>
        </w:rPr>
        <w:t>study</w:t>
      </w:r>
      <w:r>
        <w:rPr>
          <w:rFonts w:ascii="Book Antiqua" w:hAnsi="Book Antiqua"/>
          <w:color w:val="231F20"/>
          <w:spacing w:val="-16"/>
          <w:sz w:val="17"/>
        </w:rPr>
        <w:t> </w:t>
      </w:r>
      <w:r>
        <w:rPr>
          <w:rFonts w:ascii="Book Antiqua" w:hAnsi="Book Antiqua"/>
          <w:color w:val="231F20"/>
          <w:sz w:val="17"/>
        </w:rPr>
        <w:t>conducted</w:t>
      </w:r>
      <w:r>
        <w:rPr>
          <w:rFonts w:ascii="Book Antiqua" w:hAnsi="Book Antiqua"/>
          <w:color w:val="231F20"/>
          <w:spacing w:val="-11"/>
          <w:sz w:val="17"/>
        </w:rPr>
        <w:t> </w:t>
      </w:r>
      <w:r>
        <w:rPr>
          <w:rFonts w:ascii="Book Antiqua" w:hAnsi="Book Antiqua"/>
          <w:color w:val="231F20"/>
          <w:sz w:val="17"/>
        </w:rPr>
        <w:t>by</w:t>
      </w:r>
      <w:r>
        <w:rPr>
          <w:rFonts w:ascii="Book Antiqua" w:hAnsi="Book Antiqua"/>
          <w:color w:val="231F20"/>
          <w:spacing w:val="-16"/>
          <w:sz w:val="17"/>
        </w:rPr>
        <w:t> </w:t>
      </w:r>
      <w:r>
        <w:rPr>
          <w:rFonts w:ascii="Book Antiqua" w:hAnsi="Book Antiqua"/>
          <w:color w:val="231F20"/>
          <w:sz w:val="17"/>
        </w:rPr>
        <w:t>Harris</w:t>
      </w:r>
      <w:r>
        <w:rPr>
          <w:rFonts w:ascii="Book Antiqua" w:hAnsi="Book Antiqua"/>
          <w:color w:val="231F20"/>
          <w:spacing w:val="-11"/>
          <w:sz w:val="17"/>
        </w:rPr>
        <w:t> </w:t>
      </w:r>
      <w:r>
        <w:rPr>
          <w:rFonts w:ascii="Book Antiqua" w:hAnsi="Book Antiqua"/>
          <w:color w:val="231F20"/>
          <w:sz w:val="17"/>
        </w:rPr>
        <w:t>Interactive</w:t>
      </w:r>
      <w:r>
        <w:rPr>
          <w:rFonts w:ascii="Book Antiqua" w:hAnsi="Book Antiqua"/>
          <w:color w:val="231F20"/>
          <w:spacing w:val="-11"/>
          <w:sz w:val="17"/>
        </w:rPr>
        <w:t> </w:t>
      </w:r>
      <w:r>
        <w:rPr>
          <w:rFonts w:ascii="Book Antiqua" w:hAnsi="Book Antiqua"/>
          <w:color w:val="231F20"/>
          <w:sz w:val="17"/>
        </w:rPr>
        <w:t>Inc.</w:t>
      </w:r>
      <w:r>
        <w:rPr>
          <w:rFonts w:ascii="Book Antiqua" w:hAnsi="Book Antiqua"/>
          <w:color w:val="231F20"/>
          <w:spacing w:val="-11"/>
          <w:sz w:val="17"/>
        </w:rPr>
        <w:t> </w:t>
      </w:r>
      <w:r>
        <w:rPr>
          <w:rFonts w:ascii="Book Antiqua" w:hAnsi="Book Antiqua"/>
          <w:color w:val="231F20"/>
          <w:spacing w:val="2"/>
          <w:sz w:val="17"/>
        </w:rPr>
        <w:t>and the</w:t>
      </w:r>
      <w:r>
        <w:rPr>
          <w:rFonts w:ascii="Book Antiqua" w:hAnsi="Book Antiqua"/>
          <w:color w:val="231F20"/>
          <w:sz w:val="17"/>
        </w:rPr>
        <w:t> </w:t>
      </w:r>
      <w:r>
        <w:rPr>
          <w:rFonts w:ascii="Book Antiqua" w:hAnsi="Book Antiqua"/>
          <w:color w:val="231F20"/>
          <w:spacing w:val="3"/>
          <w:sz w:val="17"/>
        </w:rPr>
        <w:t>Reputation</w:t>
      </w:r>
      <w:r>
        <w:rPr>
          <w:rFonts w:ascii="Book Antiqua" w:hAnsi="Book Antiqua"/>
          <w:color w:val="231F20"/>
          <w:sz w:val="17"/>
        </w:rPr>
        <w:t> </w:t>
      </w:r>
      <w:r>
        <w:rPr>
          <w:rFonts w:ascii="Book Antiqua" w:hAnsi="Book Antiqua"/>
          <w:color w:val="231F20"/>
          <w:spacing w:val="3"/>
          <w:sz w:val="17"/>
        </w:rPr>
        <w:t>Institute.</w:t>
      </w:r>
      <w:r>
        <w:rPr>
          <w:rFonts w:ascii="Book Antiqua" w:hAnsi="Book Antiqua"/>
          <w:color w:val="231F20"/>
          <w:sz w:val="17"/>
        </w:rPr>
        <w:t> In </w:t>
      </w:r>
      <w:r>
        <w:rPr>
          <w:rFonts w:ascii="Book Antiqua" w:hAnsi="Book Antiqua"/>
          <w:color w:val="231F20"/>
          <w:spacing w:val="3"/>
          <w:sz w:val="17"/>
        </w:rPr>
        <w:t>addition,</w:t>
      </w:r>
      <w:r>
        <w:rPr>
          <w:rFonts w:ascii="Book Antiqua" w:hAnsi="Book Antiqua"/>
          <w:color w:val="231F20"/>
          <w:spacing w:val="-3"/>
          <w:sz w:val="17"/>
        </w:rPr>
        <w:t> </w:t>
      </w:r>
      <w:r>
        <w:rPr>
          <w:rFonts w:ascii="Book Antiqua" w:hAnsi="Book Antiqua"/>
          <w:color w:val="231F20"/>
          <w:spacing w:val="2"/>
          <w:sz w:val="17"/>
        </w:rPr>
        <w:t>Southwest</w:t>
      </w:r>
      <w:r>
        <w:rPr>
          <w:rFonts w:ascii="Book Antiqua" w:hAnsi="Book Antiqua"/>
          <w:color w:val="231F20"/>
          <w:spacing w:val="-6"/>
          <w:sz w:val="17"/>
        </w:rPr>
        <w:t> </w:t>
      </w:r>
      <w:r>
        <w:rPr>
          <w:rFonts w:ascii="Book Antiqua" w:hAnsi="Book Antiqua"/>
          <w:color w:val="231F20"/>
          <w:spacing w:val="2"/>
          <w:sz w:val="17"/>
        </w:rPr>
        <w:t>was</w:t>
      </w:r>
      <w:r>
        <w:rPr>
          <w:rFonts w:ascii="Book Antiqua" w:hAnsi="Book Antiqua"/>
          <w:color w:val="231F20"/>
          <w:sz w:val="17"/>
        </w:rPr>
        <w:t> </w:t>
      </w:r>
      <w:r>
        <w:rPr>
          <w:rFonts w:ascii="Book Antiqua" w:hAnsi="Book Antiqua"/>
          <w:color w:val="231F20"/>
          <w:spacing w:val="2"/>
          <w:sz w:val="17"/>
        </w:rPr>
        <w:t>the</w:t>
      </w:r>
      <w:r>
        <w:rPr>
          <w:rFonts w:ascii="Book Antiqua" w:hAnsi="Book Antiqua"/>
          <w:color w:val="231F20"/>
          <w:sz w:val="17"/>
        </w:rPr>
        <w:t> f</w:t>
      </w:r>
      <w:r>
        <w:rPr>
          <w:rFonts w:ascii="Book Antiqua" w:hAnsi="Book Antiqua"/>
          <w:color w:val="231F20"/>
          <w:spacing w:val="-35"/>
          <w:sz w:val="17"/>
        </w:rPr>
        <w:t> </w:t>
      </w:r>
      <w:r>
        <w:rPr>
          <w:rFonts w:ascii="Book Antiqua" w:hAnsi="Book Antiqua"/>
          <w:color w:val="231F20"/>
          <w:spacing w:val="3"/>
          <w:sz w:val="17"/>
        </w:rPr>
        <w:t>irst</w:t>
      </w:r>
      <w:r>
        <w:rPr>
          <w:rFonts w:ascii="Book Antiqua" w:hAnsi="Book Antiqua"/>
          <w:color w:val="231F20"/>
          <w:spacing w:val="-4"/>
          <w:sz w:val="17"/>
        </w:rPr>
        <w:t> </w:t>
      </w:r>
      <w:r>
        <w:rPr>
          <w:rFonts w:ascii="Book Antiqua" w:hAnsi="Book Antiqua"/>
          <w:color w:val="231F20"/>
          <w:spacing w:val="2"/>
          <w:sz w:val="17"/>
        </w:rPr>
        <w:t>U.S. </w:t>
      </w:r>
      <w:r>
        <w:rPr>
          <w:rFonts w:ascii="Book Antiqua" w:hAnsi="Book Antiqua"/>
          <w:color w:val="231F20"/>
          <w:spacing w:val="5"/>
          <w:sz w:val="17"/>
        </w:rPr>
        <w:t>airline </w:t>
      </w:r>
      <w:r>
        <w:rPr>
          <w:rFonts w:ascii="Book Antiqua" w:hAnsi="Book Antiqua"/>
          <w:color w:val="231F20"/>
          <w:spacing w:val="3"/>
          <w:sz w:val="17"/>
        </w:rPr>
        <w:t>to be </w:t>
      </w:r>
      <w:r>
        <w:rPr>
          <w:rFonts w:ascii="Book Antiqua" w:hAnsi="Book Antiqua"/>
          <w:color w:val="231F20"/>
          <w:spacing w:val="6"/>
          <w:sz w:val="17"/>
        </w:rPr>
        <w:t>awarded </w:t>
      </w:r>
      <w:r>
        <w:rPr>
          <w:rFonts w:ascii="Book Antiqua" w:hAnsi="Book Antiqua"/>
          <w:color w:val="231F20"/>
          <w:spacing w:val="4"/>
          <w:sz w:val="17"/>
        </w:rPr>
        <w:t>the </w:t>
      </w:r>
      <w:r>
        <w:rPr>
          <w:rFonts w:ascii="Book Antiqua" w:hAnsi="Book Antiqua"/>
          <w:color w:val="231F20"/>
          <w:spacing w:val="6"/>
          <w:sz w:val="17"/>
        </w:rPr>
        <w:t>“Corporate Conscience </w:t>
      </w:r>
      <w:r>
        <w:rPr>
          <w:rFonts w:ascii="Book Antiqua" w:hAnsi="Book Antiqua"/>
          <w:color w:val="231F20"/>
          <w:spacing w:val="4"/>
          <w:sz w:val="17"/>
        </w:rPr>
        <w:t>Award </w:t>
      </w:r>
      <w:r>
        <w:rPr>
          <w:rFonts w:ascii="Book Antiqua" w:hAnsi="Book Antiqua"/>
          <w:color w:val="231F20"/>
          <w:spacing w:val="7"/>
          <w:sz w:val="17"/>
        </w:rPr>
        <w:t>for </w:t>
      </w:r>
      <w:r>
        <w:rPr>
          <w:rFonts w:ascii="Book Antiqua" w:hAnsi="Book Antiqua"/>
          <w:color w:val="231F20"/>
          <w:spacing w:val="2"/>
          <w:sz w:val="17"/>
        </w:rPr>
        <w:t>Community</w:t>
      </w:r>
      <w:r>
        <w:rPr>
          <w:rFonts w:ascii="Book Antiqua" w:hAnsi="Book Antiqua"/>
          <w:color w:val="231F20"/>
          <w:spacing w:val="-27"/>
          <w:sz w:val="17"/>
        </w:rPr>
        <w:t> </w:t>
      </w:r>
      <w:r>
        <w:rPr>
          <w:rFonts w:ascii="Book Antiqua" w:hAnsi="Book Antiqua"/>
          <w:color w:val="231F20"/>
          <w:sz w:val="17"/>
        </w:rPr>
        <w:t>Positive</w:t>
      </w:r>
      <w:r>
        <w:rPr>
          <w:rFonts w:ascii="Book Antiqua" w:hAnsi="Book Antiqua"/>
          <w:color w:val="231F20"/>
          <w:spacing w:val="-24"/>
          <w:sz w:val="17"/>
        </w:rPr>
        <w:t> </w:t>
      </w:r>
      <w:r>
        <w:rPr>
          <w:rFonts w:ascii="Book Antiqua" w:hAnsi="Book Antiqua"/>
          <w:color w:val="231F20"/>
          <w:spacing w:val="2"/>
          <w:sz w:val="17"/>
        </w:rPr>
        <w:t>Impact”</w:t>
      </w:r>
      <w:r>
        <w:rPr>
          <w:rFonts w:ascii="Book Antiqua" w:hAnsi="Book Antiqua"/>
          <w:color w:val="231F20"/>
          <w:spacing w:val="-27"/>
          <w:sz w:val="17"/>
        </w:rPr>
        <w:t> </w:t>
      </w:r>
      <w:r>
        <w:rPr>
          <w:rFonts w:ascii="Book Antiqua" w:hAnsi="Book Antiqua"/>
          <w:color w:val="231F20"/>
          <w:sz w:val="17"/>
        </w:rPr>
        <w:t>in</w:t>
      </w:r>
      <w:r>
        <w:rPr>
          <w:rFonts w:ascii="Book Antiqua" w:hAnsi="Book Antiqua"/>
          <w:color w:val="231F20"/>
          <w:spacing w:val="-24"/>
          <w:sz w:val="17"/>
        </w:rPr>
        <w:t> </w:t>
      </w:r>
      <w:r>
        <w:rPr>
          <w:rFonts w:ascii="Book Antiqua" w:hAnsi="Book Antiqua"/>
          <w:color w:val="231F20"/>
          <w:spacing w:val="2"/>
          <w:sz w:val="17"/>
        </w:rPr>
        <w:t>October</w:t>
      </w:r>
      <w:r>
        <w:rPr>
          <w:rFonts w:ascii="Book Antiqua" w:hAnsi="Book Antiqua"/>
          <w:color w:val="231F20"/>
          <w:spacing w:val="-27"/>
          <w:sz w:val="17"/>
        </w:rPr>
        <w:t> </w:t>
      </w:r>
      <w:r>
        <w:rPr>
          <w:rFonts w:ascii="Book Antiqua" w:hAnsi="Book Antiqua"/>
          <w:color w:val="231F20"/>
          <w:spacing w:val="2"/>
          <w:sz w:val="17"/>
        </w:rPr>
        <w:t>2003.</w:t>
      </w:r>
    </w:p>
    <w:p>
      <w:pPr>
        <w:pStyle w:val="BodyText"/>
        <w:spacing w:before="4"/>
        <w:rPr>
          <w:rFonts w:ascii="Book Antiqua"/>
          <w:sz w:val="28"/>
        </w:rPr>
      </w:pPr>
    </w:p>
    <w:p>
      <w:pPr>
        <w:spacing w:before="0"/>
        <w:ind w:left="120" w:right="0" w:firstLine="0"/>
        <w:jc w:val="both"/>
        <w:rPr>
          <w:rFonts w:ascii="Book Antiqua"/>
          <w:sz w:val="16"/>
        </w:rPr>
      </w:pPr>
      <w:r>
        <w:rPr>
          <w:rFonts w:ascii="Book Antiqua"/>
          <w:color w:val="231F20"/>
          <w:sz w:val="16"/>
        </w:rPr>
        <w:t>Frequent Flights</w:t>
      </w:r>
    </w:p>
    <w:p>
      <w:pPr>
        <w:pStyle w:val="BodyText"/>
        <w:spacing w:before="4"/>
        <w:rPr>
          <w:rFonts w:ascii="Book Antiqua"/>
          <w:sz w:val="17"/>
        </w:rPr>
      </w:pPr>
    </w:p>
    <w:p>
      <w:pPr>
        <w:spacing w:line="321" w:lineRule="auto" w:before="0"/>
        <w:ind w:left="120" w:right="489" w:firstLine="360"/>
        <w:jc w:val="both"/>
        <w:rPr>
          <w:rFonts w:ascii="Book Antiqua"/>
          <w:sz w:val="17"/>
        </w:rPr>
      </w:pPr>
      <w:r>
        <w:rPr>
          <w:rFonts w:ascii="Book Antiqua"/>
          <w:color w:val="231F20"/>
          <w:sz w:val="17"/>
        </w:rPr>
        <w:t>Southwest offers lots of f lights to the cities we serve and continued to increase f lights in 2003. We have approximately 2,800 daily frequencies to 59 airports. Our high frequencies and expansive route system offer our Customers convenience and reliability with lots of options to get where they want to go, when they want to get there.</w:t>
      </w:r>
    </w:p>
    <w:p>
      <w:pPr>
        <w:spacing w:line="321" w:lineRule="auto" w:before="0"/>
        <w:ind w:left="120" w:right="494" w:firstLine="360"/>
        <w:jc w:val="both"/>
        <w:rPr>
          <w:rFonts w:ascii="Book Antiqua"/>
          <w:sz w:val="17"/>
        </w:rPr>
      </w:pPr>
      <w:r>
        <w:rPr>
          <w:rFonts w:ascii="Book Antiqua"/>
          <w:color w:val="231F20"/>
          <w:sz w:val="17"/>
        </w:rPr>
        <w:t>As</w:t>
      </w:r>
      <w:r>
        <w:rPr>
          <w:rFonts w:ascii="Book Antiqua"/>
          <w:color w:val="231F20"/>
          <w:spacing w:val="-19"/>
          <w:sz w:val="17"/>
        </w:rPr>
        <w:t> </w:t>
      </w:r>
      <w:r>
        <w:rPr>
          <w:rFonts w:ascii="Book Antiqua"/>
          <w:color w:val="231F20"/>
          <w:sz w:val="17"/>
        </w:rPr>
        <w:t>a</w:t>
      </w:r>
      <w:r>
        <w:rPr>
          <w:rFonts w:ascii="Book Antiqua"/>
          <w:color w:val="231F20"/>
          <w:spacing w:val="-19"/>
          <w:sz w:val="17"/>
        </w:rPr>
        <w:t> </w:t>
      </w:r>
      <w:r>
        <w:rPr>
          <w:rFonts w:ascii="Book Antiqua"/>
          <w:color w:val="231F20"/>
          <w:sz w:val="17"/>
        </w:rPr>
        <w:t>result</w:t>
      </w:r>
      <w:r>
        <w:rPr>
          <w:rFonts w:ascii="Book Antiqua"/>
          <w:color w:val="231F20"/>
          <w:spacing w:val="-22"/>
          <w:sz w:val="17"/>
        </w:rPr>
        <w:t> </w:t>
      </w:r>
      <w:r>
        <w:rPr>
          <w:rFonts w:ascii="Book Antiqua"/>
          <w:color w:val="231F20"/>
          <w:sz w:val="17"/>
        </w:rPr>
        <w:t>of</w:t>
      </w:r>
      <w:r>
        <w:rPr>
          <w:rFonts w:ascii="Book Antiqua"/>
          <w:color w:val="231F20"/>
          <w:spacing w:val="-19"/>
          <w:sz w:val="17"/>
        </w:rPr>
        <w:t> </w:t>
      </w:r>
      <w:r>
        <w:rPr>
          <w:rFonts w:ascii="Book Antiqua"/>
          <w:color w:val="231F20"/>
          <w:sz w:val="17"/>
        </w:rPr>
        <w:t>the</w:t>
      </w:r>
      <w:r>
        <w:rPr>
          <w:rFonts w:ascii="Book Antiqua"/>
          <w:color w:val="231F20"/>
          <w:spacing w:val="-19"/>
          <w:sz w:val="17"/>
        </w:rPr>
        <w:t> </w:t>
      </w:r>
      <w:r>
        <w:rPr>
          <w:rFonts w:ascii="Book Antiqua"/>
          <w:color w:val="231F20"/>
          <w:sz w:val="17"/>
        </w:rPr>
        <w:t>combination</w:t>
      </w:r>
      <w:r>
        <w:rPr>
          <w:rFonts w:ascii="Book Antiqua"/>
          <w:color w:val="231F20"/>
          <w:spacing w:val="-19"/>
          <w:sz w:val="17"/>
        </w:rPr>
        <w:t> </w:t>
      </w:r>
      <w:r>
        <w:rPr>
          <w:rFonts w:ascii="Book Antiqua"/>
          <w:color w:val="231F20"/>
          <w:sz w:val="17"/>
        </w:rPr>
        <w:t>of</w:t>
      </w:r>
      <w:r>
        <w:rPr>
          <w:rFonts w:ascii="Book Antiqua"/>
          <w:color w:val="231F20"/>
          <w:spacing w:val="-19"/>
          <w:sz w:val="17"/>
        </w:rPr>
        <w:t> </w:t>
      </w:r>
      <w:r>
        <w:rPr>
          <w:rFonts w:ascii="Book Antiqua"/>
          <w:color w:val="231F20"/>
          <w:sz w:val="17"/>
        </w:rPr>
        <w:t>low</w:t>
      </w:r>
      <w:r>
        <w:rPr>
          <w:rFonts w:ascii="Book Antiqua"/>
          <w:color w:val="231F20"/>
          <w:spacing w:val="-23"/>
          <w:sz w:val="17"/>
        </w:rPr>
        <w:t> </w:t>
      </w:r>
      <w:r>
        <w:rPr>
          <w:rFonts w:ascii="Book Antiqua"/>
          <w:color w:val="231F20"/>
          <w:sz w:val="17"/>
        </w:rPr>
        <w:t>fares,</w:t>
      </w:r>
      <w:r>
        <w:rPr>
          <w:rFonts w:ascii="Book Antiqua"/>
          <w:color w:val="231F20"/>
          <w:spacing w:val="-22"/>
          <w:sz w:val="17"/>
        </w:rPr>
        <w:t> </w:t>
      </w:r>
      <w:r>
        <w:rPr>
          <w:rFonts w:ascii="Book Antiqua"/>
          <w:color w:val="231F20"/>
          <w:sz w:val="17"/>
        </w:rPr>
        <w:t>high</w:t>
      </w:r>
      <w:r>
        <w:rPr>
          <w:rFonts w:ascii="Book Antiqua"/>
          <w:color w:val="231F20"/>
          <w:spacing w:val="-19"/>
          <w:sz w:val="17"/>
        </w:rPr>
        <w:t> </w:t>
      </w:r>
      <w:r>
        <w:rPr>
          <w:rFonts w:ascii="Book Antiqua"/>
          <w:color w:val="231F20"/>
          <w:sz w:val="17"/>
        </w:rPr>
        <w:t>frequencies,</w:t>
      </w:r>
      <w:r>
        <w:rPr>
          <w:rFonts w:ascii="Book Antiqua"/>
          <w:color w:val="231F20"/>
          <w:spacing w:val="-22"/>
          <w:sz w:val="17"/>
        </w:rPr>
        <w:t> </w:t>
      </w:r>
      <w:r>
        <w:rPr>
          <w:rFonts w:ascii="Book Antiqua"/>
          <w:color w:val="231F20"/>
          <w:sz w:val="17"/>
        </w:rPr>
        <w:t>and </w:t>
      </w:r>
      <w:r>
        <w:rPr>
          <w:rFonts w:ascii="Book Antiqua"/>
          <w:color w:val="231F20"/>
          <w:w w:val="95"/>
          <w:sz w:val="17"/>
        </w:rPr>
        <w:t>our</w:t>
      </w:r>
      <w:r>
        <w:rPr>
          <w:rFonts w:ascii="Book Antiqua"/>
          <w:color w:val="231F20"/>
          <w:spacing w:val="-17"/>
          <w:w w:val="95"/>
          <w:sz w:val="17"/>
        </w:rPr>
        <w:t> </w:t>
      </w:r>
      <w:r>
        <w:rPr>
          <w:rFonts w:ascii="Book Antiqua"/>
          <w:color w:val="231F20"/>
          <w:w w:val="95"/>
          <w:sz w:val="17"/>
        </w:rPr>
        <w:t>friendly</w:t>
      </w:r>
      <w:r>
        <w:rPr>
          <w:rFonts w:ascii="Book Antiqua"/>
          <w:color w:val="231F20"/>
          <w:spacing w:val="-16"/>
          <w:w w:val="95"/>
          <w:sz w:val="17"/>
        </w:rPr>
        <w:t> </w:t>
      </w:r>
      <w:r>
        <w:rPr>
          <w:rFonts w:ascii="Book Antiqua"/>
          <w:color w:val="231F20"/>
          <w:w w:val="95"/>
          <w:sz w:val="17"/>
        </w:rPr>
        <w:t>Customer</w:t>
      </w:r>
      <w:r>
        <w:rPr>
          <w:rFonts w:ascii="Book Antiqua"/>
          <w:color w:val="231F20"/>
          <w:spacing w:val="-17"/>
          <w:w w:val="95"/>
          <w:sz w:val="17"/>
        </w:rPr>
        <w:t> </w:t>
      </w:r>
      <w:r>
        <w:rPr>
          <w:rFonts w:ascii="Book Antiqua"/>
          <w:color w:val="231F20"/>
          <w:w w:val="95"/>
          <w:sz w:val="17"/>
        </w:rPr>
        <w:t>Service,</w:t>
      </w:r>
      <w:r>
        <w:rPr>
          <w:rFonts w:ascii="Book Antiqua"/>
          <w:color w:val="231F20"/>
          <w:spacing w:val="-17"/>
          <w:w w:val="95"/>
          <w:sz w:val="17"/>
        </w:rPr>
        <w:t> </w:t>
      </w:r>
      <w:r>
        <w:rPr>
          <w:rFonts w:ascii="Book Antiqua"/>
          <w:color w:val="231F20"/>
          <w:spacing w:val="-3"/>
          <w:w w:val="95"/>
          <w:sz w:val="17"/>
        </w:rPr>
        <w:t>we</w:t>
      </w:r>
      <w:r>
        <w:rPr>
          <w:rFonts w:ascii="Book Antiqua"/>
          <w:color w:val="231F20"/>
          <w:spacing w:val="-10"/>
          <w:w w:val="95"/>
          <w:sz w:val="17"/>
        </w:rPr>
        <w:t> </w:t>
      </w:r>
      <w:r>
        <w:rPr>
          <w:rFonts w:ascii="Book Antiqua"/>
          <w:color w:val="231F20"/>
          <w:w w:val="95"/>
          <w:sz w:val="17"/>
        </w:rPr>
        <w:t>dominate</w:t>
      </w:r>
      <w:r>
        <w:rPr>
          <w:rFonts w:ascii="Book Antiqua"/>
          <w:color w:val="231F20"/>
          <w:spacing w:val="-10"/>
          <w:w w:val="95"/>
          <w:sz w:val="17"/>
        </w:rPr>
        <w:t> </w:t>
      </w:r>
      <w:r>
        <w:rPr>
          <w:rFonts w:ascii="Book Antiqua"/>
          <w:color w:val="231F20"/>
          <w:w w:val="95"/>
          <w:sz w:val="17"/>
        </w:rPr>
        <w:t>the</w:t>
      </w:r>
      <w:r>
        <w:rPr>
          <w:rFonts w:ascii="Book Antiqua"/>
          <w:color w:val="231F20"/>
          <w:spacing w:val="-10"/>
          <w:w w:val="95"/>
          <w:sz w:val="17"/>
        </w:rPr>
        <w:t> </w:t>
      </w:r>
      <w:r>
        <w:rPr>
          <w:rFonts w:ascii="Book Antiqua"/>
          <w:color w:val="231F20"/>
          <w:w w:val="95"/>
          <w:sz w:val="17"/>
        </w:rPr>
        <w:t>majority</w:t>
      </w:r>
      <w:r>
        <w:rPr>
          <w:rFonts w:ascii="Book Antiqua"/>
          <w:color w:val="231F20"/>
          <w:spacing w:val="-17"/>
          <w:w w:val="95"/>
          <w:sz w:val="17"/>
        </w:rPr>
        <w:t> </w:t>
      </w:r>
      <w:r>
        <w:rPr>
          <w:rFonts w:ascii="Book Antiqua"/>
          <w:color w:val="231F20"/>
          <w:w w:val="95"/>
          <w:sz w:val="17"/>
        </w:rPr>
        <w:t>of</w:t>
      </w:r>
      <w:r>
        <w:rPr>
          <w:rFonts w:ascii="Book Antiqua"/>
          <w:color w:val="231F20"/>
          <w:spacing w:val="-10"/>
          <w:w w:val="95"/>
          <w:sz w:val="17"/>
        </w:rPr>
        <w:t> </w:t>
      </w:r>
      <w:r>
        <w:rPr>
          <w:rFonts w:ascii="Book Antiqua"/>
          <w:color w:val="231F20"/>
          <w:w w:val="95"/>
          <w:sz w:val="17"/>
        </w:rPr>
        <w:t>the</w:t>
      </w:r>
      <w:r>
        <w:rPr>
          <w:rFonts w:ascii="Book Antiqua"/>
          <w:color w:val="231F20"/>
          <w:spacing w:val="-10"/>
          <w:w w:val="95"/>
          <w:sz w:val="17"/>
        </w:rPr>
        <w:t> </w:t>
      </w:r>
      <w:r>
        <w:rPr>
          <w:rFonts w:ascii="Book Antiqua"/>
          <w:color w:val="231F20"/>
          <w:w w:val="95"/>
          <w:sz w:val="17"/>
        </w:rPr>
        <w:t>markets </w:t>
      </w:r>
      <w:r>
        <w:rPr>
          <w:rFonts w:ascii="Book Antiqua"/>
          <w:color w:val="231F20"/>
          <w:sz w:val="17"/>
        </w:rPr>
        <w:t>we</w:t>
      </w:r>
      <w:r>
        <w:rPr>
          <w:rFonts w:ascii="Book Antiqua"/>
          <w:color w:val="231F20"/>
          <w:spacing w:val="-18"/>
          <w:sz w:val="17"/>
        </w:rPr>
        <w:t> </w:t>
      </w:r>
      <w:r>
        <w:rPr>
          <w:rFonts w:ascii="Book Antiqua"/>
          <w:color w:val="231F20"/>
          <w:sz w:val="17"/>
        </w:rPr>
        <w:t>serve.</w:t>
      </w:r>
      <w:r>
        <w:rPr>
          <w:rFonts w:ascii="Book Antiqua"/>
          <w:color w:val="231F20"/>
          <w:spacing w:val="-23"/>
          <w:sz w:val="17"/>
        </w:rPr>
        <w:t> </w:t>
      </w:r>
      <w:r>
        <w:rPr>
          <w:rFonts w:ascii="Book Antiqua"/>
          <w:color w:val="231F20"/>
          <w:spacing w:val="-6"/>
          <w:sz w:val="17"/>
        </w:rPr>
        <w:t>We</w:t>
      </w:r>
      <w:r>
        <w:rPr>
          <w:rFonts w:ascii="Book Antiqua"/>
          <w:color w:val="231F20"/>
          <w:spacing w:val="-18"/>
          <w:sz w:val="17"/>
        </w:rPr>
        <w:t> </w:t>
      </w:r>
      <w:r>
        <w:rPr>
          <w:rFonts w:ascii="Book Antiqua"/>
          <w:color w:val="231F20"/>
          <w:sz w:val="17"/>
        </w:rPr>
        <w:t>consistently</w:t>
      </w:r>
      <w:r>
        <w:rPr>
          <w:rFonts w:ascii="Book Antiqua"/>
          <w:color w:val="231F20"/>
          <w:spacing w:val="-22"/>
          <w:sz w:val="17"/>
        </w:rPr>
        <w:t> </w:t>
      </w:r>
      <w:r>
        <w:rPr>
          <w:rFonts w:ascii="Book Antiqua"/>
          <w:color w:val="231F20"/>
          <w:sz w:val="17"/>
        </w:rPr>
        <w:t>rank</w:t>
      </w:r>
      <w:r>
        <w:rPr>
          <w:rFonts w:ascii="Book Antiqua"/>
          <w:color w:val="231F20"/>
          <w:spacing w:val="-21"/>
          <w:sz w:val="17"/>
        </w:rPr>
        <w:t> </w:t>
      </w:r>
      <w:r>
        <w:rPr>
          <w:rFonts w:ascii="Book Antiqua"/>
          <w:color w:val="231F20"/>
          <w:spacing w:val="3"/>
          <w:sz w:val="17"/>
        </w:rPr>
        <w:t>first</w:t>
      </w:r>
      <w:r>
        <w:rPr>
          <w:rFonts w:ascii="Book Antiqua"/>
          <w:color w:val="231F20"/>
          <w:spacing w:val="-21"/>
          <w:sz w:val="17"/>
        </w:rPr>
        <w:t> </w:t>
      </w:r>
      <w:r>
        <w:rPr>
          <w:rFonts w:ascii="Book Antiqua"/>
          <w:color w:val="231F20"/>
          <w:sz w:val="17"/>
        </w:rPr>
        <w:t>in</w:t>
      </w:r>
      <w:r>
        <w:rPr>
          <w:rFonts w:ascii="Book Antiqua"/>
          <w:color w:val="231F20"/>
          <w:spacing w:val="-18"/>
          <w:sz w:val="17"/>
        </w:rPr>
        <w:t> </w:t>
      </w:r>
      <w:r>
        <w:rPr>
          <w:rFonts w:ascii="Book Antiqua"/>
          <w:color w:val="231F20"/>
          <w:sz w:val="17"/>
        </w:rPr>
        <w:t>market</w:t>
      </w:r>
      <w:r>
        <w:rPr>
          <w:rFonts w:ascii="Book Antiqua"/>
          <w:color w:val="231F20"/>
          <w:spacing w:val="-21"/>
          <w:sz w:val="17"/>
        </w:rPr>
        <w:t> </w:t>
      </w:r>
      <w:r>
        <w:rPr>
          <w:rFonts w:ascii="Book Antiqua"/>
          <w:color w:val="231F20"/>
          <w:sz w:val="17"/>
        </w:rPr>
        <w:t>share</w:t>
      </w:r>
      <w:r>
        <w:rPr>
          <w:rFonts w:ascii="Book Antiqua"/>
          <w:color w:val="231F20"/>
          <w:spacing w:val="-18"/>
          <w:sz w:val="17"/>
        </w:rPr>
        <w:t> </w:t>
      </w:r>
      <w:r>
        <w:rPr>
          <w:rFonts w:ascii="Book Antiqua"/>
          <w:color w:val="231F20"/>
          <w:sz w:val="17"/>
        </w:rPr>
        <w:t>in</w:t>
      </w:r>
      <w:r>
        <w:rPr>
          <w:rFonts w:ascii="Book Antiqua"/>
          <w:color w:val="231F20"/>
          <w:spacing w:val="-18"/>
          <w:sz w:val="17"/>
        </w:rPr>
        <w:t> </w:t>
      </w:r>
      <w:r>
        <w:rPr>
          <w:rFonts w:ascii="Book Antiqua"/>
          <w:color w:val="231F20"/>
          <w:sz w:val="17"/>
        </w:rPr>
        <w:t>approximately 90</w:t>
      </w:r>
      <w:r>
        <w:rPr>
          <w:rFonts w:ascii="Book Antiqua"/>
          <w:color w:val="231F20"/>
          <w:spacing w:val="-17"/>
          <w:sz w:val="17"/>
        </w:rPr>
        <w:t> </w:t>
      </w:r>
      <w:r>
        <w:rPr>
          <w:rFonts w:ascii="Book Antiqua"/>
          <w:color w:val="231F20"/>
          <w:sz w:val="17"/>
        </w:rPr>
        <w:t>percent</w:t>
      </w:r>
      <w:r>
        <w:rPr>
          <w:rFonts w:ascii="Book Antiqua"/>
          <w:color w:val="231F20"/>
          <w:spacing w:val="-20"/>
          <w:sz w:val="17"/>
        </w:rPr>
        <w:t> </w:t>
      </w:r>
      <w:r>
        <w:rPr>
          <w:rFonts w:ascii="Book Antiqua"/>
          <w:color w:val="231F20"/>
          <w:sz w:val="17"/>
        </w:rPr>
        <w:t>of</w:t>
      </w:r>
      <w:r>
        <w:rPr>
          <w:rFonts w:ascii="Book Antiqua"/>
          <w:color w:val="231F20"/>
          <w:spacing w:val="-17"/>
          <w:sz w:val="17"/>
        </w:rPr>
        <w:t> </w:t>
      </w:r>
      <w:r>
        <w:rPr>
          <w:rFonts w:ascii="Book Antiqua"/>
          <w:color w:val="231F20"/>
          <w:sz w:val="17"/>
        </w:rPr>
        <w:t>our</w:t>
      </w:r>
      <w:r>
        <w:rPr>
          <w:rFonts w:ascii="Book Antiqua"/>
          <w:color w:val="231F20"/>
          <w:spacing w:val="-22"/>
          <w:sz w:val="17"/>
        </w:rPr>
        <w:t> </w:t>
      </w:r>
      <w:r>
        <w:rPr>
          <w:rFonts w:ascii="Book Antiqua"/>
          <w:color w:val="231F20"/>
          <w:sz w:val="17"/>
        </w:rPr>
        <w:t>top</w:t>
      </w:r>
      <w:r>
        <w:rPr>
          <w:rFonts w:ascii="Book Antiqua"/>
          <w:color w:val="231F20"/>
          <w:spacing w:val="-17"/>
          <w:sz w:val="17"/>
        </w:rPr>
        <w:t> </w:t>
      </w:r>
      <w:r>
        <w:rPr>
          <w:rFonts w:ascii="Book Antiqua"/>
          <w:color w:val="231F20"/>
          <w:sz w:val="17"/>
        </w:rPr>
        <w:t>100</w:t>
      </w:r>
      <w:r>
        <w:rPr>
          <w:rFonts w:ascii="Book Antiqua"/>
          <w:color w:val="231F20"/>
          <w:spacing w:val="-17"/>
          <w:sz w:val="17"/>
        </w:rPr>
        <w:t> </w:t>
      </w:r>
      <w:r>
        <w:rPr>
          <w:rFonts w:ascii="Book Antiqua"/>
          <w:color w:val="231F20"/>
          <w:sz w:val="17"/>
        </w:rPr>
        <w:t>city-pair</w:t>
      </w:r>
      <w:r>
        <w:rPr>
          <w:rFonts w:ascii="Book Antiqua"/>
          <w:color w:val="231F20"/>
          <w:spacing w:val="-22"/>
          <w:sz w:val="17"/>
        </w:rPr>
        <w:t> </w:t>
      </w:r>
      <w:r>
        <w:rPr>
          <w:rFonts w:ascii="Book Antiqua"/>
          <w:color w:val="231F20"/>
          <w:sz w:val="17"/>
        </w:rPr>
        <w:t>markets</w:t>
      </w:r>
      <w:r>
        <w:rPr>
          <w:rFonts w:ascii="Book Antiqua"/>
          <w:color w:val="231F20"/>
          <w:spacing w:val="-17"/>
          <w:sz w:val="17"/>
        </w:rPr>
        <w:t> </w:t>
      </w:r>
      <w:r>
        <w:rPr>
          <w:rFonts w:ascii="Book Antiqua"/>
          <w:color w:val="231F20"/>
          <w:sz w:val="17"/>
        </w:rPr>
        <w:t>and,</w:t>
      </w:r>
      <w:r>
        <w:rPr>
          <w:rFonts w:ascii="Book Antiqua"/>
          <w:color w:val="231F20"/>
          <w:spacing w:val="-20"/>
          <w:sz w:val="17"/>
        </w:rPr>
        <w:t> </w:t>
      </w:r>
      <w:r>
        <w:rPr>
          <w:rFonts w:ascii="Book Antiqua"/>
          <w:color w:val="231F20"/>
          <w:sz w:val="17"/>
        </w:rPr>
        <w:t>in</w:t>
      </w:r>
      <w:r>
        <w:rPr>
          <w:rFonts w:ascii="Book Antiqua"/>
          <w:color w:val="231F20"/>
          <w:spacing w:val="-17"/>
          <w:sz w:val="17"/>
        </w:rPr>
        <w:t> </w:t>
      </w:r>
      <w:r>
        <w:rPr>
          <w:rFonts w:ascii="Book Antiqua"/>
          <w:color w:val="231F20"/>
          <w:sz w:val="17"/>
        </w:rPr>
        <w:t>the</w:t>
      </w:r>
      <w:r>
        <w:rPr>
          <w:rFonts w:ascii="Book Antiqua"/>
          <w:color w:val="231F20"/>
          <w:spacing w:val="-17"/>
          <w:sz w:val="17"/>
        </w:rPr>
        <w:t> </w:t>
      </w:r>
      <w:r>
        <w:rPr>
          <w:rFonts w:ascii="Book Antiqua"/>
          <w:color w:val="231F20"/>
          <w:sz w:val="17"/>
        </w:rPr>
        <w:t>aggregate,</w:t>
      </w:r>
      <w:r>
        <w:rPr>
          <w:rFonts w:ascii="Book Antiqua"/>
          <w:color w:val="231F20"/>
          <w:spacing w:val="-20"/>
          <w:sz w:val="17"/>
        </w:rPr>
        <w:t> </w:t>
      </w:r>
      <w:r>
        <w:rPr>
          <w:rFonts w:ascii="Book Antiqua"/>
          <w:color w:val="231F20"/>
          <w:sz w:val="17"/>
        </w:rPr>
        <w:t>hold around</w:t>
      </w:r>
      <w:r>
        <w:rPr>
          <w:rFonts w:ascii="Book Antiqua"/>
          <w:color w:val="231F20"/>
          <w:spacing w:val="-8"/>
          <w:sz w:val="17"/>
        </w:rPr>
        <w:t> </w:t>
      </w:r>
      <w:r>
        <w:rPr>
          <w:rFonts w:ascii="Book Antiqua"/>
          <w:color w:val="231F20"/>
          <w:sz w:val="17"/>
        </w:rPr>
        <w:t>65</w:t>
      </w:r>
      <w:r>
        <w:rPr>
          <w:rFonts w:ascii="Book Antiqua"/>
          <w:color w:val="231F20"/>
          <w:spacing w:val="-11"/>
          <w:sz w:val="17"/>
        </w:rPr>
        <w:t> </w:t>
      </w:r>
      <w:r>
        <w:rPr>
          <w:rFonts w:ascii="Book Antiqua"/>
          <w:color w:val="231F20"/>
          <w:sz w:val="17"/>
        </w:rPr>
        <w:t>percent</w:t>
      </w:r>
      <w:r>
        <w:rPr>
          <w:rFonts w:ascii="Book Antiqua"/>
          <w:color w:val="231F20"/>
          <w:spacing w:val="-12"/>
          <w:sz w:val="17"/>
        </w:rPr>
        <w:t> </w:t>
      </w:r>
      <w:r>
        <w:rPr>
          <w:rFonts w:ascii="Book Antiqua"/>
          <w:color w:val="231F20"/>
          <w:sz w:val="17"/>
        </w:rPr>
        <w:t>of</w:t>
      </w:r>
      <w:r>
        <w:rPr>
          <w:rFonts w:ascii="Book Antiqua"/>
          <w:color w:val="231F20"/>
          <w:spacing w:val="-8"/>
          <w:sz w:val="17"/>
        </w:rPr>
        <w:t> </w:t>
      </w:r>
      <w:r>
        <w:rPr>
          <w:rFonts w:ascii="Book Antiqua"/>
          <w:color w:val="231F20"/>
          <w:sz w:val="17"/>
        </w:rPr>
        <w:t>the</w:t>
      </w:r>
      <w:r>
        <w:rPr>
          <w:rFonts w:ascii="Book Antiqua"/>
          <w:color w:val="231F20"/>
          <w:spacing w:val="-8"/>
          <w:sz w:val="17"/>
        </w:rPr>
        <w:t> </w:t>
      </w:r>
      <w:r>
        <w:rPr>
          <w:rFonts w:ascii="Book Antiqua"/>
          <w:color w:val="231F20"/>
          <w:sz w:val="17"/>
        </w:rPr>
        <w:t>total</w:t>
      </w:r>
      <w:r>
        <w:rPr>
          <w:rFonts w:ascii="Book Antiqua"/>
          <w:color w:val="231F20"/>
          <w:spacing w:val="-8"/>
          <w:sz w:val="17"/>
        </w:rPr>
        <w:t> </w:t>
      </w:r>
      <w:r>
        <w:rPr>
          <w:rFonts w:ascii="Book Antiqua"/>
          <w:color w:val="231F20"/>
          <w:sz w:val="17"/>
        </w:rPr>
        <w:t>market</w:t>
      </w:r>
      <w:r>
        <w:rPr>
          <w:rFonts w:ascii="Book Antiqua"/>
          <w:color w:val="231F20"/>
          <w:spacing w:val="-12"/>
          <w:sz w:val="17"/>
        </w:rPr>
        <w:t> </w:t>
      </w:r>
      <w:r>
        <w:rPr>
          <w:rFonts w:ascii="Book Antiqua"/>
          <w:color w:val="231F20"/>
          <w:sz w:val="17"/>
        </w:rPr>
        <w:t>share</w:t>
      </w:r>
      <w:r>
        <w:rPr>
          <w:rFonts w:ascii="Book Antiqua"/>
          <w:color w:val="231F20"/>
          <w:spacing w:val="-8"/>
          <w:sz w:val="17"/>
        </w:rPr>
        <w:t> </w:t>
      </w:r>
      <w:r>
        <w:rPr>
          <w:rFonts w:ascii="Book Antiqua"/>
          <w:color w:val="231F20"/>
          <w:sz w:val="17"/>
        </w:rPr>
        <w:t>in</w:t>
      </w:r>
      <w:r>
        <w:rPr>
          <w:rFonts w:ascii="Book Antiqua"/>
          <w:color w:val="231F20"/>
          <w:spacing w:val="-8"/>
          <w:sz w:val="17"/>
        </w:rPr>
        <w:t> </w:t>
      </w:r>
      <w:r>
        <w:rPr>
          <w:rFonts w:ascii="Book Antiqua"/>
          <w:color w:val="231F20"/>
          <w:sz w:val="17"/>
        </w:rPr>
        <w:t>those</w:t>
      </w:r>
      <w:r>
        <w:rPr>
          <w:rFonts w:ascii="Book Antiqua"/>
          <w:color w:val="231F20"/>
          <w:spacing w:val="-8"/>
          <w:sz w:val="17"/>
        </w:rPr>
        <w:t> </w:t>
      </w:r>
      <w:r>
        <w:rPr>
          <w:rFonts w:ascii="Book Antiqua"/>
          <w:color w:val="231F20"/>
          <w:sz w:val="17"/>
        </w:rPr>
        <w:t>markets.</w:t>
      </w:r>
    </w:p>
    <w:p>
      <w:pPr>
        <w:spacing w:line="321" w:lineRule="auto" w:before="0"/>
        <w:ind w:left="120" w:right="484" w:firstLine="360"/>
        <w:jc w:val="both"/>
        <w:rPr>
          <w:rFonts w:ascii="Book Antiqua"/>
          <w:sz w:val="17"/>
        </w:rPr>
      </w:pPr>
      <w:r>
        <w:rPr>
          <w:rFonts w:ascii="Book Antiqua"/>
          <w:color w:val="231F20"/>
          <w:sz w:val="17"/>
        </w:rPr>
        <w:t>Although our revenues have been soft since September 11, 2001, our market share has increased in many of our markets as most of  our major competitors have  been  forced to  shrink</w:t>
      </w:r>
    </w:p>
    <w:p>
      <w:pPr>
        <w:spacing w:after="0" w:line="321" w:lineRule="auto"/>
        <w:jc w:val="both"/>
        <w:rPr>
          <w:rFonts w:ascii="Book Antiqua"/>
          <w:sz w:val="17"/>
        </w:rPr>
        <w:sectPr>
          <w:type w:val="continuous"/>
          <w:pgSz w:w="12240" w:h="15840"/>
          <w:pgMar w:top="320" w:bottom="280" w:left="780" w:right="400"/>
          <w:cols w:num="2" w:equalWidth="0">
            <w:col w:w="5175" w:space="225"/>
            <w:col w:w="5660"/>
          </w:cols>
        </w:sectPr>
      </w:pPr>
    </w:p>
    <w:p>
      <w:pPr>
        <w:tabs>
          <w:tab w:pos="532" w:val="left" w:leader="none"/>
        </w:tabs>
        <w:spacing w:before="77"/>
        <w:ind w:left="112" w:right="0" w:firstLine="0"/>
        <w:jc w:val="left"/>
        <w:rPr>
          <w:rFonts w:ascii="Arial"/>
          <w:sz w:val="12"/>
        </w:rPr>
      </w:pPr>
      <w:r>
        <w:rPr/>
        <w:pict>
          <v:line style="position:absolute;mso-position-horizontal-relative:page;mso-position-vertical-relative:paragraph;z-index:-234976" from="36.605202pt,1.004097pt" to="36.605202pt,19.004097pt" stroked="true" strokeweight=".5pt" strokecolor="#231f20">
            <v:stroke dashstyle="solid"/>
            <w10:wrap type="none"/>
          </v:line>
        </w:pict>
      </w:r>
      <w:r>
        <w:rPr/>
        <w:drawing>
          <wp:anchor distT="0" distB="0" distL="0" distR="0" allowOverlap="1" layoutInCell="1" locked="0" behindDoc="0" simplePos="0" relativeHeight="3448">
            <wp:simplePos x="0" y="0"/>
            <wp:positionH relativeFrom="page">
              <wp:posOffset>2161648</wp:posOffset>
            </wp:positionH>
            <wp:positionV relativeFrom="paragraph">
              <wp:posOffset>28620</wp:posOffset>
            </wp:positionV>
            <wp:extent cx="370521" cy="153417"/>
            <wp:effectExtent l="0" t="0" r="0" b="0"/>
            <wp:wrapNone/>
            <wp:docPr id="43" name="image1.png" descr=""/>
            <wp:cNvGraphicFramePr>
              <a:graphicFrameLocks noChangeAspect="1"/>
            </wp:cNvGraphicFramePr>
            <a:graphic>
              <a:graphicData uri="http://schemas.openxmlformats.org/drawingml/2006/picture">
                <pic:pic>
                  <pic:nvPicPr>
                    <pic:cNvPr id="44" name="image1.png"/>
                    <pic:cNvPicPr/>
                  </pic:nvPicPr>
                  <pic:blipFill>
                    <a:blip r:embed="rId5" cstate="print"/>
                    <a:stretch>
                      <a:fillRect/>
                    </a:stretch>
                  </pic:blipFill>
                  <pic:spPr>
                    <a:xfrm>
                      <a:off x="0" y="0"/>
                      <a:ext cx="370521" cy="153417"/>
                    </a:xfrm>
                    <a:prstGeom prst="rect">
                      <a:avLst/>
                    </a:prstGeom>
                  </pic:spPr>
                </pic:pic>
              </a:graphicData>
            </a:graphic>
          </wp:anchor>
        </w:drawing>
      </w:r>
      <w:r>
        <w:rPr/>
        <w:drawing>
          <wp:anchor distT="0" distB="0" distL="0" distR="0" allowOverlap="1" layoutInCell="1" locked="0" behindDoc="0" simplePos="0" relativeHeight="3472">
            <wp:simplePos x="0" y="0"/>
            <wp:positionH relativeFrom="page">
              <wp:posOffset>2834639</wp:posOffset>
            </wp:positionH>
            <wp:positionV relativeFrom="paragraph">
              <wp:posOffset>683619</wp:posOffset>
            </wp:positionV>
            <wp:extent cx="4371498" cy="4371498"/>
            <wp:effectExtent l="0" t="0" r="0" b="0"/>
            <wp:wrapNone/>
            <wp:docPr id="45" name="image21.jpeg" descr=""/>
            <wp:cNvGraphicFramePr>
              <a:graphicFrameLocks noChangeAspect="1"/>
            </wp:cNvGraphicFramePr>
            <a:graphic>
              <a:graphicData uri="http://schemas.openxmlformats.org/drawingml/2006/picture">
                <pic:pic>
                  <pic:nvPicPr>
                    <pic:cNvPr id="46" name="image21.jpeg"/>
                    <pic:cNvPicPr/>
                  </pic:nvPicPr>
                  <pic:blipFill>
                    <a:blip r:embed="rId25" cstate="print"/>
                    <a:stretch>
                      <a:fillRect/>
                    </a:stretch>
                  </pic:blipFill>
                  <pic:spPr>
                    <a:xfrm>
                      <a:off x="0" y="0"/>
                      <a:ext cx="4371498" cy="4371498"/>
                    </a:xfrm>
                    <a:prstGeom prst="rect">
                      <a:avLst/>
                    </a:prstGeom>
                  </pic:spPr>
                </pic:pic>
              </a:graphicData>
            </a:graphic>
          </wp:anchor>
        </w:drawing>
      </w:r>
      <w:r>
        <w:rPr/>
        <w:drawing>
          <wp:anchor distT="0" distB="0" distL="0" distR="0" allowOverlap="1" layoutInCell="1" locked="0" behindDoc="0" simplePos="0" relativeHeight="3496">
            <wp:simplePos x="0" y="0"/>
            <wp:positionH relativeFrom="page">
              <wp:posOffset>571500</wp:posOffset>
            </wp:positionH>
            <wp:positionV relativeFrom="page">
              <wp:posOffset>3124504</wp:posOffset>
            </wp:positionV>
            <wp:extent cx="2102929" cy="2102929"/>
            <wp:effectExtent l="0" t="0" r="0" b="0"/>
            <wp:wrapNone/>
            <wp:docPr id="47" name="image22.png" descr=""/>
            <wp:cNvGraphicFramePr>
              <a:graphicFrameLocks noChangeAspect="1"/>
            </wp:cNvGraphicFramePr>
            <a:graphic>
              <a:graphicData uri="http://schemas.openxmlformats.org/drawingml/2006/picture">
                <pic:pic>
                  <pic:nvPicPr>
                    <pic:cNvPr id="48" name="image22.png"/>
                    <pic:cNvPicPr/>
                  </pic:nvPicPr>
                  <pic:blipFill>
                    <a:blip r:embed="rId26" cstate="print"/>
                    <a:stretch>
                      <a:fillRect/>
                    </a:stretch>
                  </pic:blipFill>
                  <pic:spPr>
                    <a:xfrm>
                      <a:off x="0" y="0"/>
                      <a:ext cx="2102929" cy="2102929"/>
                    </a:xfrm>
                    <a:prstGeom prst="rect">
                      <a:avLst/>
                    </a:prstGeom>
                  </pic:spPr>
                </pic:pic>
              </a:graphicData>
            </a:graphic>
          </wp:anchor>
        </w:drawing>
      </w:r>
      <w:r>
        <w:rPr/>
        <w:pict>
          <v:shape style="position:absolute;margin-left:45pt;margin-top:53.828297pt;width:165.6pt;height:165.6pt;mso-position-horizontal-relative:page;mso-position-vertical-relative:paragraph;z-index:3520" type="#_x0000_t202" filled="true" fillcolor="#386ab3" stroked="false">
            <v:textbox inset="0,0,0,0">
              <w:txbxContent>
                <w:p>
                  <w:pPr>
                    <w:pStyle w:val="BodyText"/>
                    <w:rPr>
                      <w:rFonts w:ascii="Book Antiqua"/>
                      <w:sz w:val="32"/>
                    </w:rPr>
                  </w:pPr>
                </w:p>
                <w:p>
                  <w:pPr>
                    <w:pStyle w:val="BodyText"/>
                    <w:rPr>
                      <w:rFonts w:ascii="Book Antiqua"/>
                      <w:sz w:val="32"/>
                    </w:rPr>
                  </w:pPr>
                </w:p>
                <w:p>
                  <w:pPr>
                    <w:pStyle w:val="BodyText"/>
                    <w:rPr>
                      <w:rFonts w:ascii="Book Antiqua"/>
                      <w:sz w:val="32"/>
                    </w:rPr>
                  </w:pPr>
                </w:p>
                <w:p>
                  <w:pPr>
                    <w:pStyle w:val="BodyText"/>
                    <w:rPr>
                      <w:rFonts w:ascii="Book Antiqua"/>
                      <w:sz w:val="24"/>
                    </w:rPr>
                  </w:pPr>
                </w:p>
                <w:p>
                  <w:pPr>
                    <w:spacing w:before="1"/>
                    <w:ind w:left="225" w:right="0" w:firstLine="0"/>
                    <w:jc w:val="left"/>
                    <w:rPr>
                      <w:rFonts w:ascii="Book Antiqua"/>
                      <w:sz w:val="26"/>
                    </w:rPr>
                  </w:pPr>
                  <w:r>
                    <w:rPr>
                      <w:rFonts w:ascii="Book Antiqua"/>
                      <w:color w:val="FFFFFF"/>
                      <w:sz w:val="26"/>
                    </w:rPr>
                    <w:t>P H I L A D E L P H I A</w:t>
                  </w:r>
                </w:p>
              </w:txbxContent>
            </v:textbox>
            <v:fill type="solid"/>
            <w10:wrap type="none"/>
          </v:shape>
        </w:pict>
      </w:r>
      <w:r>
        <w:rPr>
          <w:rFonts w:ascii="Arial"/>
          <w:color w:val="231F20"/>
          <w:w w:val="95"/>
          <w:sz w:val="14"/>
        </w:rPr>
        <w:t>8</w:t>
        <w:tab/>
      </w:r>
      <w:r>
        <w:rPr>
          <w:rFonts w:ascii="Arial"/>
          <w:color w:val="231F20"/>
          <w:spacing w:val="9"/>
          <w:w w:val="90"/>
          <w:position w:val="1"/>
          <w:sz w:val="12"/>
        </w:rPr>
        <w:t>Southwest</w:t>
      </w:r>
      <w:r>
        <w:rPr>
          <w:rFonts w:ascii="Arial"/>
          <w:color w:val="231F20"/>
          <w:spacing w:val="-9"/>
          <w:w w:val="90"/>
          <w:position w:val="1"/>
          <w:sz w:val="12"/>
        </w:rPr>
        <w:t> </w:t>
      </w:r>
      <w:r>
        <w:rPr>
          <w:rFonts w:ascii="Arial"/>
          <w:color w:val="231F20"/>
          <w:spacing w:val="9"/>
          <w:w w:val="90"/>
          <w:position w:val="1"/>
          <w:sz w:val="12"/>
        </w:rPr>
        <w:t>Airlines</w:t>
      </w:r>
      <w:r>
        <w:rPr>
          <w:rFonts w:ascii="Arial"/>
          <w:color w:val="231F20"/>
          <w:spacing w:val="-7"/>
          <w:w w:val="90"/>
          <w:position w:val="1"/>
          <w:sz w:val="12"/>
        </w:rPr>
        <w:t> </w:t>
      </w:r>
      <w:r>
        <w:rPr>
          <w:rFonts w:ascii="Arial"/>
          <w:color w:val="231F20"/>
          <w:spacing w:val="7"/>
          <w:w w:val="90"/>
          <w:position w:val="1"/>
          <w:sz w:val="12"/>
        </w:rPr>
        <w:t>Co.</w:t>
      </w:r>
      <w:r>
        <w:rPr>
          <w:rFonts w:ascii="Arial"/>
          <w:color w:val="231F20"/>
          <w:spacing w:val="-9"/>
          <w:w w:val="90"/>
          <w:position w:val="1"/>
          <w:sz w:val="12"/>
        </w:rPr>
        <w:t> </w:t>
      </w:r>
      <w:r>
        <w:rPr>
          <w:rFonts w:ascii="Arial"/>
          <w:color w:val="231F20"/>
          <w:spacing w:val="8"/>
          <w:w w:val="90"/>
          <w:position w:val="1"/>
          <w:sz w:val="12"/>
        </w:rPr>
        <w:t>2003</w:t>
      </w:r>
      <w:r>
        <w:rPr>
          <w:rFonts w:ascii="Arial"/>
          <w:color w:val="231F20"/>
          <w:spacing w:val="-9"/>
          <w:w w:val="90"/>
          <w:position w:val="1"/>
          <w:sz w:val="12"/>
        </w:rPr>
        <w:t> </w:t>
      </w:r>
      <w:r>
        <w:rPr>
          <w:rFonts w:ascii="Arial"/>
          <w:color w:val="231F20"/>
          <w:spacing w:val="9"/>
          <w:w w:val="90"/>
          <w:position w:val="1"/>
          <w:sz w:val="12"/>
        </w:rPr>
        <w:t>Annual</w:t>
      </w:r>
      <w:r>
        <w:rPr>
          <w:rFonts w:ascii="Arial"/>
          <w:color w:val="231F20"/>
          <w:spacing w:val="-7"/>
          <w:w w:val="90"/>
          <w:position w:val="1"/>
          <w:sz w:val="12"/>
        </w:rPr>
        <w:t> </w:t>
      </w:r>
      <w:r>
        <w:rPr>
          <w:rFonts w:ascii="Arial"/>
          <w:color w:val="231F20"/>
          <w:spacing w:val="9"/>
          <w:w w:val="90"/>
          <w:position w:val="1"/>
          <w:sz w:val="12"/>
        </w:rPr>
        <w:t>Report</w:t>
      </w:r>
      <w:r>
        <w:rPr>
          <w:rFonts w:ascii="Arial"/>
          <w:color w:val="231F20"/>
          <w:spacing w:val="-22"/>
          <w:position w:val="1"/>
          <w:sz w:val="12"/>
        </w:rPr>
        <w:t> </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4"/>
        <w:rPr>
          <w:rFonts w:ascii="Arial"/>
          <w:sz w:val="10"/>
        </w:rPr>
      </w:pPr>
      <w:r>
        <w:rPr/>
        <w:drawing>
          <wp:anchor distT="0" distB="0" distL="0" distR="0" allowOverlap="1" layoutInCell="1" locked="0" behindDoc="0" simplePos="0" relativeHeight="3376">
            <wp:simplePos x="0" y="0"/>
            <wp:positionH relativeFrom="page">
              <wp:posOffset>571500</wp:posOffset>
            </wp:positionH>
            <wp:positionV relativeFrom="paragraph">
              <wp:posOffset>100869</wp:posOffset>
            </wp:positionV>
            <wp:extent cx="4365864" cy="2102929"/>
            <wp:effectExtent l="0" t="0" r="0" b="0"/>
            <wp:wrapTopAndBottom/>
            <wp:docPr id="49" name="image23.png" descr=""/>
            <wp:cNvGraphicFramePr>
              <a:graphicFrameLocks noChangeAspect="1"/>
            </wp:cNvGraphicFramePr>
            <a:graphic>
              <a:graphicData uri="http://schemas.openxmlformats.org/drawingml/2006/picture">
                <pic:pic>
                  <pic:nvPicPr>
                    <pic:cNvPr id="50" name="image23.png"/>
                    <pic:cNvPicPr/>
                  </pic:nvPicPr>
                  <pic:blipFill>
                    <a:blip r:embed="rId27" cstate="print"/>
                    <a:stretch>
                      <a:fillRect/>
                    </a:stretch>
                  </pic:blipFill>
                  <pic:spPr>
                    <a:xfrm>
                      <a:off x="0" y="0"/>
                      <a:ext cx="4365864" cy="2102929"/>
                    </a:xfrm>
                    <a:prstGeom prst="rect">
                      <a:avLst/>
                    </a:prstGeom>
                  </pic:spPr>
                </pic:pic>
              </a:graphicData>
            </a:graphic>
          </wp:anchor>
        </w:drawing>
      </w:r>
      <w:r>
        <w:rPr/>
        <w:pict>
          <v:shape style="position:absolute;margin-left:401.399994pt;margin-top:7.942481pt;width:165.6pt;height:165.6pt;mso-position-horizontal-relative:page;mso-position-vertical-relative:paragraph;z-index:3400;mso-wrap-distance-left:0;mso-wrap-distance-right:0" type="#_x0000_t202" filled="true" fillcolor="#ef3e23" stroked="false">
            <v:textbox inset="0,0,0,0">
              <w:txbxContent>
                <w:p>
                  <w:pPr>
                    <w:pStyle w:val="BodyText"/>
                    <w:rPr>
                      <w:rFonts w:ascii="Arial"/>
                      <w:sz w:val="32"/>
                    </w:rPr>
                  </w:pPr>
                </w:p>
                <w:p>
                  <w:pPr>
                    <w:pStyle w:val="BodyText"/>
                    <w:rPr>
                      <w:rFonts w:ascii="Arial"/>
                      <w:sz w:val="32"/>
                    </w:rPr>
                  </w:pPr>
                </w:p>
                <w:p>
                  <w:pPr>
                    <w:pStyle w:val="BodyText"/>
                    <w:rPr>
                      <w:rFonts w:ascii="Arial"/>
                      <w:sz w:val="32"/>
                    </w:rPr>
                  </w:pPr>
                </w:p>
                <w:p>
                  <w:pPr>
                    <w:pStyle w:val="BodyText"/>
                    <w:spacing w:before="5"/>
                    <w:rPr>
                      <w:rFonts w:ascii="Arial"/>
                      <w:sz w:val="34"/>
                    </w:rPr>
                  </w:pPr>
                </w:p>
                <w:p>
                  <w:pPr>
                    <w:spacing w:before="0"/>
                    <w:ind w:left="768" w:right="0" w:firstLine="0"/>
                    <w:jc w:val="left"/>
                    <w:rPr>
                      <w:rFonts w:ascii="Book Antiqua"/>
                      <w:sz w:val="26"/>
                    </w:rPr>
                  </w:pPr>
                  <w:r>
                    <w:rPr>
                      <w:rFonts w:ascii="Book Antiqua"/>
                      <w:color w:val="FFFFFF"/>
                      <w:w w:val="105"/>
                      <w:sz w:val="26"/>
                    </w:rPr>
                    <w:t>F R E E D O M</w:t>
                  </w:r>
                </w:p>
              </w:txbxContent>
            </v:textbox>
            <v:fill type="solid"/>
            <w10:wrap type="topAndBottom"/>
          </v:shape>
        </w:pict>
      </w:r>
    </w:p>
    <w:p>
      <w:pPr>
        <w:pStyle w:val="BodyText"/>
        <w:spacing w:before="3"/>
        <w:rPr>
          <w:rFonts w:ascii="Arial"/>
          <w:sz w:val="8"/>
        </w:rPr>
      </w:pPr>
    </w:p>
    <w:p>
      <w:pPr>
        <w:spacing w:line="319" w:lineRule="auto" w:before="95"/>
        <w:ind w:left="520" w:right="3673" w:firstLine="0"/>
        <w:jc w:val="both"/>
        <w:rPr>
          <w:rFonts w:ascii="Book Antiqua"/>
          <w:sz w:val="17"/>
        </w:rPr>
      </w:pPr>
      <w:r>
        <w:rPr>
          <w:rFonts w:ascii="Book Antiqua"/>
          <w:color w:val="231F20"/>
          <w:sz w:val="17"/>
        </w:rPr>
        <w:t>In October 2003, Southwest announced </w:t>
      </w:r>
      <w:r>
        <w:rPr>
          <w:rFonts w:ascii="Book Antiqua"/>
          <w:color w:val="231F20"/>
          <w:spacing w:val="2"/>
          <w:sz w:val="17"/>
        </w:rPr>
        <w:t>service </w:t>
      </w:r>
      <w:r>
        <w:rPr>
          <w:rFonts w:ascii="Book Antiqua"/>
          <w:color w:val="231F20"/>
          <w:sz w:val="17"/>
        </w:rPr>
        <w:t>to Philadelphia, the city that freedom </w:t>
      </w:r>
      <w:r>
        <w:rPr>
          <w:rFonts w:ascii="Book Antiqua"/>
          <w:color w:val="231F20"/>
          <w:spacing w:val="2"/>
          <w:sz w:val="17"/>
        </w:rPr>
        <w:t>built, </w:t>
      </w:r>
      <w:r>
        <w:rPr>
          <w:rFonts w:ascii="Book Antiqua"/>
          <w:color w:val="231F20"/>
          <w:sz w:val="17"/>
        </w:rPr>
        <w:t>beginning in May 2004. Philadelphia was once the home of local legend and Southwest Chairman</w:t>
      </w:r>
      <w:r>
        <w:rPr>
          <w:rFonts w:ascii="Book Antiqua"/>
          <w:color w:val="231F20"/>
          <w:spacing w:val="-17"/>
          <w:sz w:val="17"/>
        </w:rPr>
        <w:t> </w:t>
      </w:r>
      <w:r>
        <w:rPr>
          <w:rFonts w:ascii="Book Antiqua"/>
          <w:color w:val="231F20"/>
          <w:sz w:val="17"/>
        </w:rPr>
        <w:t>Herb</w:t>
      </w:r>
      <w:r>
        <w:rPr>
          <w:rFonts w:ascii="Book Antiqua"/>
          <w:color w:val="231F20"/>
          <w:spacing w:val="-17"/>
          <w:sz w:val="17"/>
        </w:rPr>
        <w:t> </w:t>
      </w:r>
      <w:r>
        <w:rPr>
          <w:rFonts w:ascii="Book Antiqua"/>
          <w:color w:val="231F20"/>
          <w:sz w:val="17"/>
        </w:rPr>
        <w:t>Kelleher</w:t>
      </w:r>
      <w:r>
        <w:rPr>
          <w:rFonts w:ascii="Book Antiqua"/>
          <w:color w:val="231F20"/>
          <w:spacing w:val="-21"/>
          <w:sz w:val="17"/>
        </w:rPr>
        <w:t> </w:t>
      </w:r>
      <w:r>
        <w:rPr>
          <w:rFonts w:ascii="Book Antiqua"/>
          <w:color w:val="231F20"/>
          <w:sz w:val="17"/>
        </w:rPr>
        <w:t>(center</w:t>
      </w:r>
      <w:r>
        <w:rPr>
          <w:rFonts w:ascii="Book Antiqua"/>
          <w:color w:val="231F20"/>
          <w:spacing w:val="-21"/>
          <w:sz w:val="17"/>
        </w:rPr>
        <w:t> </w:t>
      </w:r>
      <w:r>
        <w:rPr>
          <w:rFonts w:ascii="Book Antiqua"/>
          <w:color w:val="231F20"/>
          <w:spacing w:val="3"/>
          <w:sz w:val="17"/>
        </w:rPr>
        <w:t>left),</w:t>
      </w:r>
      <w:r>
        <w:rPr>
          <w:rFonts w:ascii="Book Antiqua"/>
          <w:color w:val="231F20"/>
          <w:spacing w:val="-22"/>
          <w:sz w:val="17"/>
        </w:rPr>
        <w:t> </w:t>
      </w:r>
      <w:r>
        <w:rPr>
          <w:rFonts w:ascii="Book Antiqua"/>
          <w:color w:val="231F20"/>
          <w:sz w:val="17"/>
        </w:rPr>
        <w:t>whose</w:t>
      </w:r>
      <w:r>
        <w:rPr>
          <w:rFonts w:ascii="Book Antiqua"/>
          <w:color w:val="231F20"/>
          <w:spacing w:val="-17"/>
          <w:sz w:val="17"/>
        </w:rPr>
        <w:t> </w:t>
      </w:r>
      <w:r>
        <w:rPr>
          <w:rFonts w:ascii="Book Antiqua"/>
          <w:color w:val="231F20"/>
          <w:sz w:val="17"/>
        </w:rPr>
        <w:t>triumphant</w:t>
      </w:r>
      <w:r>
        <w:rPr>
          <w:rFonts w:ascii="Book Antiqua"/>
          <w:color w:val="231F20"/>
          <w:spacing w:val="-20"/>
          <w:sz w:val="17"/>
        </w:rPr>
        <w:t> </w:t>
      </w:r>
      <w:r>
        <w:rPr>
          <w:rFonts w:ascii="Book Antiqua"/>
          <w:color w:val="231F20"/>
          <w:sz w:val="17"/>
        </w:rPr>
        <w:t>return</w:t>
      </w:r>
      <w:r>
        <w:rPr>
          <w:rFonts w:ascii="Book Antiqua"/>
          <w:color w:val="231F20"/>
          <w:spacing w:val="-17"/>
          <w:sz w:val="17"/>
        </w:rPr>
        <w:t> </w:t>
      </w:r>
      <w:r>
        <w:rPr>
          <w:rFonts w:ascii="Book Antiqua"/>
          <w:color w:val="231F20"/>
          <w:sz w:val="17"/>
        </w:rPr>
        <w:t>to</w:t>
      </w:r>
      <w:r>
        <w:rPr>
          <w:rFonts w:ascii="Book Antiqua"/>
          <w:color w:val="231F20"/>
          <w:spacing w:val="-17"/>
          <w:sz w:val="17"/>
        </w:rPr>
        <w:t> </w:t>
      </w:r>
      <w:r>
        <w:rPr>
          <w:rFonts w:ascii="Book Antiqua"/>
          <w:color w:val="231F20"/>
          <w:sz w:val="17"/>
        </w:rPr>
        <w:t>his</w:t>
      </w:r>
      <w:r>
        <w:rPr>
          <w:rFonts w:ascii="Book Antiqua"/>
          <w:color w:val="231F20"/>
          <w:spacing w:val="-17"/>
          <w:sz w:val="17"/>
        </w:rPr>
        <w:t> </w:t>
      </w:r>
      <w:r>
        <w:rPr>
          <w:rFonts w:ascii="Book Antiqua"/>
          <w:color w:val="231F20"/>
          <w:sz w:val="17"/>
        </w:rPr>
        <w:t>boyhood</w:t>
      </w:r>
      <w:r>
        <w:rPr>
          <w:rFonts w:ascii="Book Antiqua"/>
          <w:color w:val="231F20"/>
          <w:spacing w:val="-17"/>
          <w:sz w:val="17"/>
        </w:rPr>
        <w:t> </w:t>
      </w:r>
      <w:r>
        <w:rPr>
          <w:rFonts w:ascii="Book Antiqua"/>
          <w:color w:val="231F20"/>
          <w:sz w:val="17"/>
        </w:rPr>
        <w:t>home</w:t>
      </w:r>
      <w:r>
        <w:rPr>
          <w:rFonts w:ascii="Book Antiqua"/>
          <w:color w:val="231F20"/>
          <w:spacing w:val="-17"/>
          <w:sz w:val="17"/>
        </w:rPr>
        <w:t> </w:t>
      </w:r>
      <w:r>
        <w:rPr>
          <w:rFonts w:ascii="Book Antiqua"/>
          <w:color w:val="231F20"/>
          <w:sz w:val="17"/>
        </w:rPr>
        <w:t>gives</w:t>
      </w:r>
      <w:r>
        <w:rPr>
          <w:rFonts w:ascii="Book Antiqua"/>
          <w:color w:val="231F20"/>
          <w:spacing w:val="-17"/>
          <w:sz w:val="17"/>
        </w:rPr>
        <w:t> </w:t>
      </w:r>
      <w:r>
        <w:rPr>
          <w:rFonts w:ascii="Book Antiqua"/>
          <w:color w:val="231F20"/>
          <w:spacing w:val="2"/>
          <w:sz w:val="17"/>
        </w:rPr>
        <w:t>all </w:t>
      </w:r>
      <w:r>
        <w:rPr>
          <w:rFonts w:ascii="Book Antiqua"/>
          <w:color w:val="231F20"/>
          <w:sz w:val="17"/>
        </w:rPr>
        <w:t>Philadelphians the Freedom to Fly. Philadelphia is also the home of the original Ronald McDonald</w:t>
      </w:r>
      <w:r>
        <w:rPr>
          <w:rFonts w:ascii="Book Antiqua"/>
          <w:color w:val="231F20"/>
          <w:spacing w:val="-23"/>
          <w:sz w:val="17"/>
        </w:rPr>
        <w:t> </w:t>
      </w:r>
      <w:r>
        <w:rPr>
          <w:rFonts w:ascii="Book Antiqua"/>
          <w:color w:val="231F20"/>
          <w:sz w:val="17"/>
        </w:rPr>
        <w:t>House</w:t>
      </w:r>
      <w:r>
        <w:rPr>
          <w:rFonts w:ascii="Book Antiqua"/>
          <w:color w:val="231F20"/>
          <w:spacing w:val="-23"/>
          <w:sz w:val="17"/>
        </w:rPr>
        <w:t> </w:t>
      </w:r>
      <w:r>
        <w:rPr>
          <w:rFonts w:ascii="Book Antiqua"/>
          <w:color w:val="231F20"/>
          <w:sz w:val="17"/>
        </w:rPr>
        <w:t>(lower</w:t>
      </w:r>
      <w:r>
        <w:rPr>
          <w:rFonts w:ascii="Book Antiqua"/>
          <w:color w:val="231F20"/>
          <w:spacing w:val="-26"/>
          <w:sz w:val="17"/>
        </w:rPr>
        <w:t> </w:t>
      </w:r>
      <w:r>
        <w:rPr>
          <w:rFonts w:ascii="Book Antiqua"/>
          <w:color w:val="231F20"/>
          <w:spacing w:val="3"/>
          <w:sz w:val="17"/>
        </w:rPr>
        <w:t>left),</w:t>
      </w:r>
      <w:r>
        <w:rPr>
          <w:rFonts w:ascii="Book Antiqua"/>
          <w:color w:val="231F20"/>
          <w:spacing w:val="-25"/>
          <w:sz w:val="17"/>
        </w:rPr>
        <w:t> </w:t>
      </w:r>
      <w:r>
        <w:rPr>
          <w:rFonts w:ascii="Book Antiqua"/>
          <w:color w:val="231F20"/>
          <w:sz w:val="17"/>
        </w:rPr>
        <w:t>the</w:t>
      </w:r>
      <w:r>
        <w:rPr>
          <w:rFonts w:ascii="Book Antiqua"/>
          <w:color w:val="231F20"/>
          <w:spacing w:val="-23"/>
          <w:sz w:val="17"/>
        </w:rPr>
        <w:t> </w:t>
      </w:r>
      <w:r>
        <w:rPr>
          <w:rFonts w:ascii="Book Antiqua"/>
          <w:color w:val="231F20"/>
          <w:spacing w:val="2"/>
          <w:sz w:val="17"/>
        </w:rPr>
        <w:t>primary</w:t>
      </w:r>
      <w:r>
        <w:rPr>
          <w:rFonts w:ascii="Book Antiqua"/>
          <w:color w:val="231F20"/>
          <w:spacing w:val="-26"/>
          <w:sz w:val="17"/>
        </w:rPr>
        <w:t> </w:t>
      </w:r>
      <w:r>
        <w:rPr>
          <w:rFonts w:ascii="Book Antiqua"/>
          <w:color w:val="231F20"/>
          <w:sz w:val="17"/>
        </w:rPr>
        <w:t>charity</w:t>
      </w:r>
      <w:r>
        <w:rPr>
          <w:rFonts w:ascii="Book Antiqua"/>
          <w:color w:val="231F20"/>
          <w:spacing w:val="-26"/>
          <w:sz w:val="17"/>
        </w:rPr>
        <w:t> </w:t>
      </w:r>
      <w:r>
        <w:rPr>
          <w:rFonts w:ascii="Book Antiqua"/>
          <w:color w:val="231F20"/>
          <w:sz w:val="17"/>
        </w:rPr>
        <w:t>of</w:t>
      </w:r>
      <w:r>
        <w:rPr>
          <w:rFonts w:ascii="Book Antiqua"/>
          <w:color w:val="231F20"/>
          <w:spacing w:val="-23"/>
          <w:sz w:val="17"/>
        </w:rPr>
        <w:t> </w:t>
      </w:r>
      <w:r>
        <w:rPr>
          <w:rFonts w:ascii="Book Antiqua"/>
          <w:color w:val="231F20"/>
          <w:sz w:val="17"/>
        </w:rPr>
        <w:t>Southwest</w:t>
      </w:r>
      <w:r>
        <w:rPr>
          <w:rFonts w:ascii="Book Antiqua"/>
          <w:color w:val="231F20"/>
          <w:spacing w:val="-29"/>
          <w:sz w:val="17"/>
        </w:rPr>
        <w:t> </w:t>
      </w:r>
      <w:r>
        <w:rPr>
          <w:rFonts w:ascii="Book Antiqua"/>
          <w:color w:val="231F20"/>
          <w:sz w:val="17"/>
        </w:rPr>
        <w:t>Airlines.</w:t>
      </w:r>
    </w:p>
    <w:p>
      <w:pPr>
        <w:spacing w:after="0" w:line="319" w:lineRule="auto"/>
        <w:jc w:val="both"/>
        <w:rPr>
          <w:rFonts w:ascii="Book Antiqua"/>
          <w:sz w:val="17"/>
        </w:rPr>
        <w:sectPr>
          <w:pgSz w:w="12240" w:h="15840"/>
          <w:pgMar w:top="280" w:bottom="280" w:left="380" w:right="800"/>
        </w:sectPr>
      </w:pPr>
    </w:p>
    <w:p>
      <w:pPr>
        <w:tabs>
          <w:tab w:pos="2810" w:val="right" w:leader="none"/>
        </w:tabs>
        <w:spacing w:before="71"/>
        <w:ind w:left="0" w:right="117" w:firstLine="0"/>
        <w:jc w:val="right"/>
        <w:rPr>
          <w:rFonts w:ascii="Arial"/>
          <w:sz w:val="14"/>
        </w:rPr>
      </w:pPr>
      <w:r>
        <w:rPr/>
        <w:pict>
          <v:line style="position:absolute;mso-position-horizontal-relative:page;mso-position-vertical-relative:paragraph;z-index:-234856" from="575.045227pt,.704712pt" to="575.045227pt,18.704712pt" stroked="true" strokeweight=".5pt" strokecolor="#231f20">
            <v:stroke dashstyle="solid"/>
            <w10:wrap type="none"/>
          </v:line>
        </w:pict>
      </w:r>
      <w:r>
        <w:rPr/>
        <w:drawing>
          <wp:anchor distT="0" distB="0" distL="0" distR="0" allowOverlap="1" layoutInCell="1" locked="0" behindDoc="0" simplePos="0" relativeHeight="3568">
            <wp:simplePos x="0" y="0"/>
            <wp:positionH relativeFrom="page">
              <wp:posOffset>5233765</wp:posOffset>
            </wp:positionH>
            <wp:positionV relativeFrom="paragraph">
              <wp:posOffset>24801</wp:posOffset>
            </wp:positionV>
            <wp:extent cx="370521" cy="153417"/>
            <wp:effectExtent l="0" t="0" r="0" b="0"/>
            <wp:wrapNone/>
            <wp:docPr id="51" name="image2.png" descr=""/>
            <wp:cNvGraphicFramePr>
              <a:graphicFrameLocks noChangeAspect="1"/>
            </wp:cNvGraphicFramePr>
            <a:graphic>
              <a:graphicData uri="http://schemas.openxmlformats.org/drawingml/2006/picture">
                <pic:pic>
                  <pic:nvPicPr>
                    <pic:cNvPr id="52" name="image2.png"/>
                    <pic:cNvPicPr/>
                  </pic:nvPicPr>
                  <pic:blipFill>
                    <a:blip r:embed="rId6" cstate="print"/>
                    <a:stretch>
                      <a:fillRect/>
                    </a:stretch>
                  </pic:blipFill>
                  <pic:spPr>
                    <a:xfrm>
                      <a:off x="0" y="0"/>
                      <a:ext cx="370521" cy="153417"/>
                    </a:xfrm>
                    <a:prstGeom prst="rect">
                      <a:avLst/>
                    </a:prstGeom>
                  </pic:spPr>
                </pic:pic>
              </a:graphicData>
            </a:graphic>
          </wp:anchor>
        </w:drawing>
      </w:r>
      <w:bookmarkStart w:name="Rapid Rewards" w:id="9"/>
      <w:bookmarkEnd w:id="9"/>
      <w:r>
        <w:rPr/>
      </w:r>
      <w:bookmarkStart w:name="Strong Financials" w:id="10"/>
      <w:bookmarkEnd w:id="10"/>
      <w:r>
        <w:rPr/>
      </w:r>
      <w:bookmarkStart w:name="Growth Opportunities" w:id="11"/>
      <w:bookmarkEnd w:id="11"/>
      <w:r>
        <w:rPr/>
      </w:r>
      <w:r>
        <w:rPr>
          <w:rFonts w:ascii="Arial"/>
          <w:color w:val="231F20"/>
          <w:spacing w:val="9"/>
          <w:w w:val="95"/>
          <w:position w:val="1"/>
          <w:sz w:val="12"/>
        </w:rPr>
        <w:t>Southwest</w:t>
      </w:r>
      <w:r>
        <w:rPr>
          <w:rFonts w:ascii="Arial"/>
          <w:color w:val="231F20"/>
          <w:spacing w:val="-3"/>
          <w:w w:val="95"/>
          <w:position w:val="1"/>
          <w:sz w:val="12"/>
        </w:rPr>
        <w:t> </w:t>
      </w:r>
      <w:r>
        <w:rPr>
          <w:rFonts w:ascii="Arial"/>
          <w:color w:val="231F20"/>
          <w:spacing w:val="9"/>
          <w:w w:val="95"/>
          <w:position w:val="1"/>
          <w:sz w:val="12"/>
        </w:rPr>
        <w:t>Airlines</w:t>
      </w:r>
      <w:r>
        <w:rPr>
          <w:rFonts w:ascii="Arial"/>
          <w:color w:val="231F20"/>
          <w:w w:val="95"/>
          <w:position w:val="1"/>
          <w:sz w:val="12"/>
        </w:rPr>
        <w:t> </w:t>
      </w:r>
      <w:r>
        <w:rPr>
          <w:rFonts w:ascii="Arial"/>
          <w:color w:val="231F20"/>
          <w:spacing w:val="7"/>
          <w:w w:val="95"/>
          <w:position w:val="1"/>
          <w:sz w:val="12"/>
        </w:rPr>
        <w:t>Co.</w:t>
      </w:r>
      <w:r>
        <w:rPr>
          <w:rFonts w:ascii="Arial"/>
          <w:color w:val="231F20"/>
          <w:spacing w:val="-3"/>
          <w:w w:val="95"/>
          <w:position w:val="1"/>
          <w:sz w:val="12"/>
        </w:rPr>
        <w:t> </w:t>
      </w:r>
      <w:r>
        <w:rPr>
          <w:rFonts w:ascii="Arial"/>
          <w:color w:val="231F20"/>
          <w:spacing w:val="8"/>
          <w:w w:val="95"/>
          <w:position w:val="1"/>
          <w:sz w:val="12"/>
        </w:rPr>
        <w:t>2003</w:t>
      </w:r>
      <w:r>
        <w:rPr>
          <w:rFonts w:ascii="Arial"/>
          <w:color w:val="231F20"/>
          <w:spacing w:val="-3"/>
          <w:w w:val="95"/>
          <w:position w:val="1"/>
          <w:sz w:val="12"/>
        </w:rPr>
        <w:t> </w:t>
      </w:r>
      <w:r>
        <w:rPr>
          <w:rFonts w:ascii="Arial"/>
          <w:color w:val="231F20"/>
          <w:spacing w:val="9"/>
          <w:w w:val="95"/>
          <w:position w:val="1"/>
          <w:sz w:val="12"/>
        </w:rPr>
        <w:t>Annual</w:t>
      </w:r>
      <w:r>
        <w:rPr>
          <w:rFonts w:ascii="Arial"/>
          <w:color w:val="231F20"/>
          <w:w w:val="95"/>
          <w:position w:val="1"/>
          <w:sz w:val="12"/>
        </w:rPr>
        <w:t> </w:t>
      </w:r>
      <w:r>
        <w:rPr>
          <w:rFonts w:ascii="Arial"/>
          <w:color w:val="231F20"/>
          <w:spacing w:val="11"/>
          <w:w w:val="95"/>
          <w:position w:val="1"/>
          <w:sz w:val="12"/>
        </w:rPr>
        <w:t>Report</w:t>
      </w:r>
      <w:r>
        <w:rPr>
          <w:rFonts w:ascii="Arial"/>
          <w:color w:val="231F20"/>
          <w:spacing w:val="11"/>
          <w:w w:val="95"/>
          <w:sz w:val="14"/>
        </w:rPr>
        <w:tab/>
      </w:r>
      <w:r>
        <w:rPr>
          <w:rFonts w:ascii="Arial"/>
          <w:color w:val="231F20"/>
          <w:w w:val="95"/>
          <w:sz w:val="14"/>
        </w:rPr>
        <w:t>9</w:t>
      </w:r>
    </w:p>
    <w:p>
      <w:pPr>
        <w:spacing w:after="0"/>
        <w:jc w:val="right"/>
        <w:rPr>
          <w:rFonts w:ascii="Arial"/>
          <w:sz w:val="14"/>
        </w:rPr>
        <w:sectPr>
          <w:pgSz w:w="12240" w:h="15840"/>
          <w:pgMar w:top="280" w:bottom="280" w:left="780" w:right="400"/>
        </w:sectPr>
      </w:pPr>
    </w:p>
    <w:p>
      <w:pPr>
        <w:pStyle w:val="BodyText"/>
        <w:rPr>
          <w:rFonts w:ascii="Arial"/>
          <w:sz w:val="20"/>
        </w:rPr>
      </w:pPr>
    </w:p>
    <w:p>
      <w:pPr>
        <w:pStyle w:val="BodyText"/>
        <w:rPr>
          <w:rFonts w:ascii="Arial"/>
          <w:sz w:val="20"/>
        </w:rPr>
      </w:pPr>
    </w:p>
    <w:p>
      <w:pPr>
        <w:pStyle w:val="BodyText"/>
        <w:rPr>
          <w:rFonts w:ascii="Arial"/>
          <w:sz w:val="20"/>
        </w:rPr>
      </w:pPr>
    </w:p>
    <w:p>
      <w:pPr>
        <w:spacing w:line="321" w:lineRule="auto" w:before="116"/>
        <w:ind w:left="120" w:right="1" w:firstLine="0"/>
        <w:jc w:val="both"/>
        <w:rPr>
          <w:rFonts w:ascii="Book Antiqua"/>
          <w:sz w:val="17"/>
        </w:rPr>
      </w:pPr>
      <w:r>
        <w:rPr>
          <w:rFonts w:ascii="Book Antiqua"/>
          <w:color w:val="231F20"/>
          <w:spacing w:val="12"/>
          <w:sz w:val="17"/>
        </w:rPr>
        <w:t>their </w:t>
      </w:r>
      <w:r>
        <w:rPr>
          <w:rFonts w:ascii="Book Antiqua"/>
          <w:color w:val="231F20"/>
          <w:spacing w:val="7"/>
          <w:sz w:val="17"/>
        </w:rPr>
        <w:t>operations. </w:t>
      </w:r>
      <w:r>
        <w:rPr>
          <w:rFonts w:ascii="Book Antiqua"/>
          <w:color w:val="231F20"/>
          <w:spacing w:val="2"/>
          <w:sz w:val="17"/>
        </w:rPr>
        <w:t>For </w:t>
      </w:r>
      <w:r>
        <w:rPr>
          <w:rFonts w:ascii="Book Antiqua"/>
          <w:color w:val="231F20"/>
          <w:spacing w:val="7"/>
          <w:sz w:val="17"/>
        </w:rPr>
        <w:t>example, </w:t>
      </w:r>
      <w:r>
        <w:rPr>
          <w:rFonts w:ascii="Book Antiqua"/>
          <w:color w:val="231F20"/>
          <w:spacing w:val="4"/>
          <w:sz w:val="17"/>
        </w:rPr>
        <w:t>as of </w:t>
      </w:r>
      <w:r>
        <w:rPr>
          <w:rFonts w:ascii="Book Antiqua"/>
          <w:color w:val="231F20"/>
          <w:spacing w:val="6"/>
          <w:sz w:val="17"/>
        </w:rPr>
        <w:t>second </w:t>
      </w:r>
      <w:r>
        <w:rPr>
          <w:rFonts w:ascii="Book Antiqua"/>
          <w:color w:val="231F20"/>
          <w:spacing w:val="7"/>
          <w:sz w:val="17"/>
        </w:rPr>
        <w:t>quarter </w:t>
      </w:r>
      <w:r>
        <w:rPr>
          <w:rFonts w:ascii="Book Antiqua"/>
          <w:color w:val="231F20"/>
          <w:spacing w:val="6"/>
          <w:sz w:val="17"/>
        </w:rPr>
        <w:t>2003 </w:t>
      </w:r>
      <w:r>
        <w:rPr>
          <w:rFonts w:ascii="Book Antiqua"/>
          <w:color w:val="231F20"/>
          <w:spacing w:val="8"/>
          <w:sz w:val="17"/>
        </w:rPr>
        <w:t>(the </w:t>
      </w:r>
      <w:r>
        <w:rPr>
          <w:rFonts w:ascii="Book Antiqua"/>
          <w:color w:val="231F20"/>
          <w:spacing w:val="2"/>
          <w:sz w:val="17"/>
        </w:rPr>
        <w:t>latest</w:t>
      </w:r>
      <w:r>
        <w:rPr>
          <w:rFonts w:ascii="Book Antiqua"/>
          <w:color w:val="231F20"/>
          <w:spacing w:val="-24"/>
          <w:sz w:val="17"/>
        </w:rPr>
        <w:t> </w:t>
      </w:r>
      <w:r>
        <w:rPr>
          <w:rFonts w:ascii="Book Antiqua"/>
          <w:color w:val="231F20"/>
          <w:spacing w:val="9"/>
          <w:sz w:val="17"/>
        </w:rPr>
        <w:t>information</w:t>
      </w:r>
      <w:r>
        <w:rPr>
          <w:rFonts w:ascii="Book Antiqua"/>
          <w:color w:val="231F20"/>
          <w:spacing w:val="-14"/>
          <w:sz w:val="17"/>
        </w:rPr>
        <w:t> </w:t>
      </w:r>
      <w:r>
        <w:rPr>
          <w:rFonts w:ascii="Book Antiqua"/>
          <w:color w:val="231F20"/>
          <w:spacing w:val="9"/>
          <w:sz w:val="17"/>
        </w:rPr>
        <w:t>available),</w:t>
      </w:r>
      <w:r>
        <w:rPr>
          <w:rFonts w:ascii="Book Antiqua"/>
          <w:color w:val="231F20"/>
          <w:spacing w:val="-19"/>
          <w:sz w:val="17"/>
        </w:rPr>
        <w:t> </w:t>
      </w:r>
      <w:r>
        <w:rPr>
          <w:rFonts w:ascii="Book Antiqua"/>
          <w:color w:val="231F20"/>
          <w:sz w:val="17"/>
        </w:rPr>
        <w:t>we</w:t>
      </w:r>
      <w:r>
        <w:rPr>
          <w:rFonts w:ascii="Book Antiqua"/>
          <w:color w:val="231F20"/>
          <w:spacing w:val="-14"/>
          <w:sz w:val="17"/>
        </w:rPr>
        <w:t> </w:t>
      </w:r>
      <w:r>
        <w:rPr>
          <w:rFonts w:ascii="Book Antiqua"/>
          <w:color w:val="231F20"/>
          <w:spacing w:val="6"/>
          <w:sz w:val="17"/>
        </w:rPr>
        <w:t>have</w:t>
      </w:r>
      <w:r>
        <w:rPr>
          <w:rFonts w:ascii="Book Antiqua"/>
          <w:color w:val="231F20"/>
          <w:spacing w:val="-14"/>
          <w:sz w:val="17"/>
        </w:rPr>
        <w:t> </w:t>
      </w:r>
      <w:r>
        <w:rPr>
          <w:rFonts w:ascii="Book Antiqua"/>
          <w:color w:val="231F20"/>
          <w:sz w:val="17"/>
        </w:rPr>
        <w:t>a</w:t>
      </w:r>
      <w:r>
        <w:rPr>
          <w:rFonts w:ascii="Book Antiqua"/>
          <w:color w:val="231F20"/>
          <w:spacing w:val="-14"/>
          <w:sz w:val="17"/>
        </w:rPr>
        <w:t> </w:t>
      </w:r>
      <w:r>
        <w:rPr>
          <w:rFonts w:ascii="Book Antiqua"/>
          <w:color w:val="231F20"/>
          <w:spacing w:val="5"/>
          <w:sz w:val="17"/>
        </w:rPr>
        <w:t>48</w:t>
      </w:r>
      <w:r>
        <w:rPr>
          <w:rFonts w:ascii="Book Antiqua"/>
          <w:color w:val="231F20"/>
          <w:spacing w:val="-14"/>
          <w:sz w:val="17"/>
        </w:rPr>
        <w:t> </w:t>
      </w:r>
      <w:r>
        <w:rPr>
          <w:rFonts w:ascii="Book Antiqua"/>
          <w:color w:val="231F20"/>
          <w:spacing w:val="8"/>
          <w:sz w:val="17"/>
        </w:rPr>
        <w:t>percent</w:t>
      </w:r>
      <w:r>
        <w:rPr>
          <w:rFonts w:ascii="Book Antiqua"/>
          <w:color w:val="231F20"/>
          <w:spacing w:val="-17"/>
          <w:sz w:val="17"/>
        </w:rPr>
        <w:t> </w:t>
      </w:r>
      <w:r>
        <w:rPr>
          <w:rFonts w:ascii="Book Antiqua"/>
          <w:color w:val="231F20"/>
          <w:spacing w:val="7"/>
          <w:sz w:val="17"/>
        </w:rPr>
        <w:t>market</w:t>
      </w:r>
      <w:r>
        <w:rPr>
          <w:rFonts w:ascii="Book Antiqua"/>
          <w:color w:val="231F20"/>
          <w:spacing w:val="-17"/>
          <w:sz w:val="17"/>
        </w:rPr>
        <w:t> </w:t>
      </w:r>
      <w:r>
        <w:rPr>
          <w:rFonts w:ascii="Book Antiqua"/>
          <w:color w:val="231F20"/>
          <w:spacing w:val="10"/>
          <w:sz w:val="17"/>
        </w:rPr>
        <w:t>share </w:t>
      </w:r>
      <w:r>
        <w:rPr>
          <w:rFonts w:ascii="Book Antiqua"/>
          <w:color w:val="231F20"/>
          <w:sz w:val="17"/>
        </w:rPr>
        <w:t>in</w:t>
      </w:r>
      <w:r>
        <w:rPr>
          <w:rFonts w:ascii="Book Antiqua"/>
          <w:color w:val="231F20"/>
          <w:spacing w:val="-16"/>
          <w:sz w:val="17"/>
        </w:rPr>
        <w:t> </w:t>
      </w:r>
      <w:r>
        <w:rPr>
          <w:rFonts w:ascii="Book Antiqua"/>
          <w:color w:val="231F20"/>
          <w:sz w:val="17"/>
        </w:rPr>
        <w:t>Chicago</w:t>
      </w:r>
      <w:r>
        <w:rPr>
          <w:rFonts w:ascii="Book Antiqua"/>
          <w:color w:val="231F20"/>
          <w:spacing w:val="-15"/>
          <w:sz w:val="17"/>
        </w:rPr>
        <w:t> </w:t>
      </w:r>
      <w:r>
        <w:rPr>
          <w:rFonts w:ascii="Book Antiqua"/>
          <w:color w:val="231F20"/>
          <w:sz w:val="17"/>
        </w:rPr>
        <w:t>Midway;</w:t>
      </w:r>
      <w:r>
        <w:rPr>
          <w:rFonts w:ascii="Book Antiqua"/>
          <w:color w:val="231F20"/>
          <w:spacing w:val="-15"/>
          <w:sz w:val="17"/>
        </w:rPr>
        <w:t> </w:t>
      </w:r>
      <w:r>
        <w:rPr>
          <w:rFonts w:ascii="Book Antiqua"/>
          <w:color w:val="231F20"/>
          <w:sz w:val="17"/>
        </w:rPr>
        <w:t>44</w:t>
      </w:r>
      <w:r>
        <w:rPr>
          <w:rFonts w:ascii="Book Antiqua"/>
          <w:color w:val="231F20"/>
          <w:spacing w:val="-15"/>
          <w:sz w:val="17"/>
        </w:rPr>
        <w:t> </w:t>
      </w:r>
      <w:r>
        <w:rPr>
          <w:rFonts w:ascii="Book Antiqua"/>
          <w:color w:val="231F20"/>
          <w:sz w:val="17"/>
        </w:rPr>
        <w:t>percent</w:t>
      </w:r>
      <w:r>
        <w:rPr>
          <w:rFonts w:ascii="Book Antiqua"/>
          <w:color w:val="231F20"/>
          <w:spacing w:val="-19"/>
          <w:sz w:val="17"/>
        </w:rPr>
        <w:t> </w:t>
      </w:r>
      <w:r>
        <w:rPr>
          <w:rFonts w:ascii="Book Antiqua"/>
          <w:color w:val="231F20"/>
          <w:sz w:val="17"/>
        </w:rPr>
        <w:t>in</w:t>
      </w:r>
      <w:r>
        <w:rPr>
          <w:rFonts w:ascii="Book Antiqua"/>
          <w:color w:val="231F20"/>
          <w:spacing w:val="-15"/>
          <w:sz w:val="17"/>
        </w:rPr>
        <w:t> </w:t>
      </w:r>
      <w:r>
        <w:rPr>
          <w:rFonts w:ascii="Book Antiqua"/>
          <w:color w:val="231F20"/>
          <w:sz w:val="17"/>
        </w:rPr>
        <w:t>Baltimore;</w:t>
      </w:r>
      <w:r>
        <w:rPr>
          <w:rFonts w:ascii="Book Antiqua"/>
          <w:color w:val="231F20"/>
          <w:spacing w:val="-15"/>
          <w:sz w:val="17"/>
        </w:rPr>
        <w:t> </w:t>
      </w:r>
      <w:r>
        <w:rPr>
          <w:rFonts w:ascii="Book Antiqua"/>
          <w:color w:val="231F20"/>
          <w:sz w:val="17"/>
        </w:rPr>
        <w:t>36</w:t>
      </w:r>
      <w:r>
        <w:rPr>
          <w:rFonts w:ascii="Book Antiqua"/>
          <w:color w:val="231F20"/>
          <w:spacing w:val="-15"/>
          <w:sz w:val="17"/>
        </w:rPr>
        <w:t> </w:t>
      </w:r>
      <w:r>
        <w:rPr>
          <w:rFonts w:ascii="Book Antiqua"/>
          <w:color w:val="231F20"/>
          <w:sz w:val="17"/>
        </w:rPr>
        <w:t>percent</w:t>
      </w:r>
      <w:r>
        <w:rPr>
          <w:rFonts w:ascii="Book Antiqua"/>
          <w:color w:val="231F20"/>
          <w:spacing w:val="-19"/>
          <w:sz w:val="17"/>
        </w:rPr>
        <w:t> </w:t>
      </w:r>
      <w:r>
        <w:rPr>
          <w:rFonts w:ascii="Book Antiqua"/>
          <w:color w:val="231F20"/>
          <w:sz w:val="17"/>
        </w:rPr>
        <w:t>in</w:t>
      </w:r>
      <w:r>
        <w:rPr>
          <w:rFonts w:ascii="Book Antiqua"/>
          <w:color w:val="231F20"/>
          <w:spacing w:val="-17"/>
          <w:sz w:val="17"/>
        </w:rPr>
        <w:t> </w:t>
      </w:r>
      <w:r>
        <w:rPr>
          <w:rFonts w:ascii="Book Antiqua"/>
          <w:color w:val="231F20"/>
          <w:sz w:val="17"/>
        </w:rPr>
        <w:t>Las</w:t>
      </w:r>
      <w:r>
        <w:rPr>
          <w:rFonts w:ascii="Book Antiqua"/>
          <w:color w:val="231F20"/>
          <w:spacing w:val="-27"/>
          <w:sz w:val="17"/>
        </w:rPr>
        <w:t> </w:t>
      </w:r>
      <w:r>
        <w:rPr>
          <w:rFonts w:ascii="Book Antiqua"/>
          <w:color w:val="231F20"/>
          <w:sz w:val="17"/>
        </w:rPr>
        <w:t>Vegas; and 36 </w:t>
      </w:r>
      <w:r>
        <w:rPr>
          <w:rFonts w:ascii="Book Antiqua"/>
          <w:color w:val="231F20"/>
          <w:spacing w:val="2"/>
          <w:sz w:val="17"/>
        </w:rPr>
        <w:t>percent </w:t>
      </w:r>
      <w:r>
        <w:rPr>
          <w:rFonts w:ascii="Book Antiqua"/>
          <w:color w:val="231F20"/>
          <w:sz w:val="17"/>
        </w:rPr>
        <w:t>in </w:t>
      </w:r>
      <w:r>
        <w:rPr>
          <w:rFonts w:ascii="Book Antiqua"/>
          <w:color w:val="231F20"/>
          <w:spacing w:val="2"/>
          <w:sz w:val="17"/>
        </w:rPr>
        <w:t>Phoenix. </w:t>
      </w:r>
      <w:r>
        <w:rPr>
          <w:rFonts w:ascii="Book Antiqua"/>
          <w:color w:val="231F20"/>
          <w:spacing w:val="-6"/>
          <w:sz w:val="17"/>
        </w:rPr>
        <w:t>We </w:t>
      </w:r>
      <w:r>
        <w:rPr>
          <w:rFonts w:ascii="Book Antiqua"/>
          <w:color w:val="231F20"/>
          <w:spacing w:val="2"/>
          <w:sz w:val="17"/>
        </w:rPr>
        <w:t>also </w:t>
      </w:r>
      <w:r>
        <w:rPr>
          <w:rFonts w:ascii="Book Antiqua"/>
          <w:color w:val="231F20"/>
          <w:sz w:val="17"/>
        </w:rPr>
        <w:t>have a </w:t>
      </w:r>
      <w:r>
        <w:rPr>
          <w:rFonts w:ascii="Book Antiqua"/>
          <w:color w:val="231F20"/>
          <w:spacing w:val="-4"/>
          <w:sz w:val="17"/>
        </w:rPr>
        <w:t>74 </w:t>
      </w:r>
      <w:r>
        <w:rPr>
          <w:rFonts w:ascii="Book Antiqua"/>
          <w:color w:val="231F20"/>
          <w:spacing w:val="2"/>
          <w:sz w:val="17"/>
        </w:rPr>
        <w:t>percent </w:t>
      </w:r>
      <w:r>
        <w:rPr>
          <w:rFonts w:ascii="Book Antiqua"/>
          <w:color w:val="231F20"/>
          <w:spacing w:val="-4"/>
          <w:sz w:val="17"/>
        </w:rPr>
        <w:t>intra-Texas </w:t>
      </w:r>
      <w:r>
        <w:rPr>
          <w:rFonts w:ascii="Book Antiqua"/>
          <w:color w:val="231F20"/>
          <w:w w:val="95"/>
          <w:sz w:val="17"/>
        </w:rPr>
        <w:t>market share; </w:t>
      </w:r>
      <w:r>
        <w:rPr>
          <w:rFonts w:ascii="Book Antiqua"/>
          <w:color w:val="231F20"/>
          <w:spacing w:val="-5"/>
          <w:w w:val="95"/>
          <w:sz w:val="17"/>
        </w:rPr>
        <w:t>71 </w:t>
      </w:r>
      <w:r>
        <w:rPr>
          <w:rFonts w:ascii="Book Antiqua"/>
          <w:color w:val="231F20"/>
          <w:w w:val="95"/>
          <w:sz w:val="17"/>
        </w:rPr>
        <w:t>percent intra-California; and 42 percent</w:t>
      </w:r>
      <w:r>
        <w:rPr>
          <w:rFonts w:ascii="Book Antiqua"/>
          <w:color w:val="231F20"/>
          <w:spacing w:val="-9"/>
          <w:w w:val="95"/>
          <w:sz w:val="17"/>
        </w:rPr>
        <w:t> </w:t>
      </w:r>
      <w:r>
        <w:rPr>
          <w:rFonts w:ascii="Book Antiqua"/>
          <w:color w:val="231F20"/>
          <w:w w:val="95"/>
          <w:sz w:val="17"/>
        </w:rPr>
        <w:t>intra-Florida.</w:t>
      </w:r>
    </w:p>
    <w:p>
      <w:pPr>
        <w:pStyle w:val="BodyText"/>
        <w:spacing w:before="3"/>
        <w:rPr>
          <w:rFonts w:ascii="Book Antiqua"/>
          <w:sz w:val="28"/>
        </w:rPr>
      </w:pPr>
    </w:p>
    <w:p>
      <w:pPr>
        <w:spacing w:before="0"/>
        <w:ind w:left="120" w:right="0" w:firstLine="0"/>
        <w:jc w:val="both"/>
        <w:rPr>
          <w:rFonts w:ascii="Book Antiqua"/>
          <w:sz w:val="16"/>
        </w:rPr>
      </w:pPr>
      <w:r>
        <w:rPr>
          <w:rFonts w:ascii="Book Antiqua"/>
          <w:color w:val="231F20"/>
          <w:w w:val="95"/>
          <w:sz w:val="16"/>
        </w:rPr>
        <w:t>Rapid Rewards</w:t>
      </w:r>
    </w:p>
    <w:p>
      <w:pPr>
        <w:pStyle w:val="BodyText"/>
        <w:spacing w:before="5"/>
        <w:rPr>
          <w:rFonts w:ascii="Book Antiqua"/>
          <w:sz w:val="17"/>
        </w:rPr>
      </w:pPr>
    </w:p>
    <w:p>
      <w:pPr>
        <w:spacing w:line="321" w:lineRule="auto" w:before="0"/>
        <w:ind w:left="120" w:right="1" w:firstLine="360"/>
        <w:jc w:val="both"/>
        <w:rPr>
          <w:rFonts w:ascii="Book Antiqua" w:hAnsi="Book Antiqua"/>
          <w:sz w:val="17"/>
        </w:rPr>
      </w:pPr>
      <w:r>
        <w:rPr>
          <w:rFonts w:ascii="Book Antiqua" w:hAnsi="Book Antiqua"/>
          <w:color w:val="231F20"/>
          <w:spacing w:val="2"/>
          <w:sz w:val="17"/>
        </w:rPr>
        <w:t>In</w:t>
      </w:r>
      <w:r>
        <w:rPr>
          <w:rFonts w:ascii="Book Antiqua" w:hAnsi="Book Antiqua"/>
          <w:color w:val="231F20"/>
          <w:spacing w:val="-26"/>
          <w:sz w:val="17"/>
        </w:rPr>
        <w:t> </w:t>
      </w:r>
      <w:r>
        <w:rPr>
          <w:rFonts w:ascii="Book Antiqua" w:hAnsi="Book Antiqua"/>
          <w:color w:val="231F20"/>
          <w:spacing w:val="4"/>
          <w:sz w:val="17"/>
        </w:rPr>
        <w:t>addition</w:t>
      </w:r>
      <w:r>
        <w:rPr>
          <w:rFonts w:ascii="Book Antiqua" w:hAnsi="Book Antiqua"/>
          <w:color w:val="231F20"/>
          <w:spacing w:val="-26"/>
          <w:sz w:val="17"/>
        </w:rPr>
        <w:t> </w:t>
      </w:r>
      <w:r>
        <w:rPr>
          <w:rFonts w:ascii="Book Antiqua" w:hAnsi="Book Antiqua"/>
          <w:color w:val="231F20"/>
          <w:spacing w:val="2"/>
          <w:sz w:val="17"/>
        </w:rPr>
        <w:t>to</w:t>
      </w:r>
      <w:r>
        <w:rPr>
          <w:rFonts w:ascii="Book Antiqua" w:hAnsi="Book Antiqua"/>
          <w:color w:val="231F20"/>
          <w:spacing w:val="-26"/>
          <w:sz w:val="17"/>
        </w:rPr>
        <w:t> </w:t>
      </w:r>
      <w:r>
        <w:rPr>
          <w:rFonts w:ascii="Book Antiqua" w:hAnsi="Book Antiqua"/>
          <w:color w:val="231F20"/>
          <w:spacing w:val="3"/>
          <w:sz w:val="17"/>
        </w:rPr>
        <w:t>our</w:t>
      </w:r>
      <w:r>
        <w:rPr>
          <w:rFonts w:ascii="Book Antiqua" w:hAnsi="Book Antiqua"/>
          <w:color w:val="231F20"/>
          <w:spacing w:val="-29"/>
          <w:sz w:val="17"/>
        </w:rPr>
        <w:t> </w:t>
      </w:r>
      <w:r>
        <w:rPr>
          <w:rFonts w:ascii="Book Antiqua" w:hAnsi="Book Antiqua"/>
          <w:color w:val="231F20"/>
          <w:sz w:val="17"/>
        </w:rPr>
        <w:t>low</w:t>
      </w:r>
      <w:r>
        <w:rPr>
          <w:rFonts w:ascii="Book Antiqua" w:hAnsi="Book Antiqua"/>
          <w:color w:val="231F20"/>
          <w:spacing w:val="-29"/>
          <w:sz w:val="17"/>
        </w:rPr>
        <w:t> </w:t>
      </w:r>
      <w:r>
        <w:rPr>
          <w:rFonts w:ascii="Book Antiqua" w:hAnsi="Book Antiqua"/>
          <w:color w:val="231F20"/>
          <w:spacing w:val="4"/>
          <w:sz w:val="17"/>
        </w:rPr>
        <w:t>fares</w:t>
      </w:r>
      <w:r>
        <w:rPr>
          <w:rFonts w:ascii="Book Antiqua" w:hAnsi="Book Antiqua"/>
          <w:color w:val="231F20"/>
          <w:spacing w:val="-26"/>
          <w:sz w:val="17"/>
        </w:rPr>
        <w:t> </w:t>
      </w:r>
      <w:r>
        <w:rPr>
          <w:rFonts w:ascii="Book Antiqua" w:hAnsi="Book Antiqua"/>
          <w:color w:val="231F20"/>
          <w:spacing w:val="3"/>
          <w:sz w:val="17"/>
        </w:rPr>
        <w:t>and</w:t>
      </w:r>
      <w:r>
        <w:rPr>
          <w:rFonts w:ascii="Book Antiqua" w:hAnsi="Book Antiqua"/>
          <w:color w:val="231F20"/>
          <w:spacing w:val="-26"/>
          <w:sz w:val="17"/>
        </w:rPr>
        <w:t> </w:t>
      </w:r>
      <w:r>
        <w:rPr>
          <w:rFonts w:ascii="Book Antiqua" w:hAnsi="Book Antiqua"/>
          <w:color w:val="231F20"/>
          <w:spacing w:val="3"/>
          <w:sz w:val="17"/>
        </w:rPr>
        <w:t>convenient</w:t>
      </w:r>
      <w:r>
        <w:rPr>
          <w:rFonts w:ascii="Book Antiqua" w:hAnsi="Book Antiqua"/>
          <w:color w:val="231F20"/>
          <w:spacing w:val="-28"/>
          <w:sz w:val="17"/>
        </w:rPr>
        <w:t> </w:t>
      </w:r>
      <w:r>
        <w:rPr>
          <w:rFonts w:ascii="Book Antiqua" w:hAnsi="Book Antiqua"/>
          <w:color w:val="231F20"/>
          <w:sz w:val="17"/>
        </w:rPr>
        <w:t>f</w:t>
      </w:r>
      <w:r>
        <w:rPr>
          <w:rFonts w:ascii="Book Antiqua" w:hAnsi="Book Antiqua"/>
          <w:color w:val="231F20"/>
          <w:spacing w:val="-36"/>
          <w:sz w:val="17"/>
        </w:rPr>
        <w:t> </w:t>
      </w:r>
      <w:r>
        <w:rPr>
          <w:rFonts w:ascii="Book Antiqua" w:hAnsi="Book Antiqua"/>
          <w:color w:val="231F20"/>
          <w:spacing w:val="4"/>
          <w:sz w:val="17"/>
        </w:rPr>
        <w:t>light</w:t>
      </w:r>
      <w:r>
        <w:rPr>
          <w:rFonts w:ascii="Book Antiqua" w:hAnsi="Book Antiqua"/>
          <w:color w:val="231F20"/>
          <w:spacing w:val="-28"/>
          <w:sz w:val="17"/>
        </w:rPr>
        <w:t> </w:t>
      </w:r>
      <w:r>
        <w:rPr>
          <w:rFonts w:ascii="Book Antiqua" w:hAnsi="Book Antiqua"/>
          <w:color w:val="231F20"/>
          <w:spacing w:val="4"/>
          <w:sz w:val="17"/>
        </w:rPr>
        <w:t>schedule,</w:t>
      </w:r>
      <w:r>
        <w:rPr>
          <w:rFonts w:ascii="Book Antiqua" w:hAnsi="Book Antiqua"/>
          <w:color w:val="231F20"/>
          <w:spacing w:val="-28"/>
          <w:sz w:val="17"/>
        </w:rPr>
        <w:t> </w:t>
      </w:r>
      <w:r>
        <w:rPr>
          <w:rFonts w:ascii="Book Antiqua" w:hAnsi="Book Antiqua"/>
          <w:color w:val="231F20"/>
          <w:spacing w:val="5"/>
          <w:sz w:val="17"/>
        </w:rPr>
        <w:t>our </w:t>
      </w:r>
      <w:r>
        <w:rPr>
          <w:rFonts w:ascii="Book Antiqua" w:hAnsi="Book Antiqua"/>
          <w:color w:val="231F20"/>
          <w:spacing w:val="4"/>
          <w:w w:val="95"/>
          <w:sz w:val="17"/>
        </w:rPr>
        <w:t>frequent</w:t>
      </w:r>
      <w:r>
        <w:rPr>
          <w:rFonts w:ascii="Book Antiqua" w:hAnsi="Book Antiqua"/>
          <w:color w:val="231F20"/>
          <w:spacing w:val="-6"/>
          <w:w w:val="95"/>
          <w:sz w:val="17"/>
        </w:rPr>
        <w:t> </w:t>
      </w:r>
      <w:r>
        <w:rPr>
          <w:rFonts w:ascii="Book Antiqua" w:hAnsi="Book Antiqua"/>
          <w:color w:val="231F20"/>
          <w:w w:val="95"/>
          <w:sz w:val="17"/>
        </w:rPr>
        <w:t>f</w:t>
      </w:r>
      <w:r>
        <w:rPr>
          <w:rFonts w:ascii="Book Antiqua" w:hAnsi="Book Antiqua"/>
          <w:color w:val="231F20"/>
          <w:spacing w:val="-26"/>
          <w:w w:val="95"/>
          <w:sz w:val="17"/>
        </w:rPr>
        <w:t> </w:t>
      </w:r>
      <w:r>
        <w:rPr>
          <w:rFonts w:ascii="Book Antiqua" w:hAnsi="Book Antiqua"/>
          <w:color w:val="231F20"/>
          <w:spacing w:val="2"/>
          <w:w w:val="95"/>
          <w:sz w:val="17"/>
        </w:rPr>
        <w:t>lyers</w:t>
      </w:r>
      <w:r>
        <w:rPr>
          <w:rFonts w:ascii="Book Antiqua" w:hAnsi="Book Antiqua"/>
          <w:color w:val="231F20"/>
          <w:spacing w:val="-2"/>
          <w:w w:val="95"/>
          <w:sz w:val="17"/>
        </w:rPr>
        <w:t> </w:t>
      </w:r>
      <w:r>
        <w:rPr>
          <w:rFonts w:ascii="Book Antiqua" w:hAnsi="Book Antiqua"/>
          <w:color w:val="231F20"/>
          <w:spacing w:val="3"/>
          <w:w w:val="95"/>
          <w:sz w:val="17"/>
        </w:rPr>
        <w:t>are</w:t>
      </w:r>
      <w:r>
        <w:rPr>
          <w:rFonts w:ascii="Book Antiqua" w:hAnsi="Book Antiqua"/>
          <w:color w:val="231F20"/>
          <w:spacing w:val="-2"/>
          <w:w w:val="95"/>
          <w:sz w:val="17"/>
        </w:rPr>
        <w:t> </w:t>
      </w:r>
      <w:r>
        <w:rPr>
          <w:rFonts w:ascii="Book Antiqua" w:hAnsi="Book Antiqua"/>
          <w:color w:val="231F20"/>
          <w:spacing w:val="4"/>
          <w:w w:val="95"/>
          <w:sz w:val="17"/>
        </w:rPr>
        <w:t>generously</w:t>
      </w:r>
      <w:r>
        <w:rPr>
          <w:rFonts w:ascii="Book Antiqua" w:hAnsi="Book Antiqua"/>
          <w:color w:val="231F20"/>
          <w:spacing w:val="-8"/>
          <w:w w:val="95"/>
          <w:sz w:val="17"/>
        </w:rPr>
        <w:t> </w:t>
      </w:r>
      <w:r>
        <w:rPr>
          <w:rFonts w:ascii="Book Antiqua" w:hAnsi="Book Antiqua"/>
          <w:color w:val="231F20"/>
          <w:spacing w:val="4"/>
          <w:w w:val="95"/>
          <w:sz w:val="17"/>
        </w:rPr>
        <w:t>rewarded</w:t>
      </w:r>
      <w:r>
        <w:rPr>
          <w:rFonts w:ascii="Book Antiqua" w:hAnsi="Book Antiqua"/>
          <w:color w:val="231F20"/>
          <w:spacing w:val="-4"/>
          <w:w w:val="95"/>
          <w:sz w:val="17"/>
        </w:rPr>
        <w:t> </w:t>
      </w:r>
      <w:r>
        <w:rPr>
          <w:rFonts w:ascii="Book Antiqua" w:hAnsi="Book Antiqua"/>
          <w:color w:val="231F20"/>
          <w:spacing w:val="3"/>
          <w:w w:val="95"/>
          <w:sz w:val="17"/>
        </w:rPr>
        <w:t>with</w:t>
      </w:r>
      <w:r>
        <w:rPr>
          <w:rFonts w:ascii="Book Antiqua" w:hAnsi="Book Antiqua"/>
          <w:color w:val="231F20"/>
          <w:spacing w:val="-2"/>
          <w:w w:val="95"/>
          <w:sz w:val="17"/>
        </w:rPr>
        <w:t> </w:t>
      </w:r>
      <w:r>
        <w:rPr>
          <w:rFonts w:ascii="Book Antiqua" w:hAnsi="Book Antiqua"/>
          <w:color w:val="231F20"/>
          <w:spacing w:val="3"/>
          <w:w w:val="95"/>
          <w:sz w:val="17"/>
        </w:rPr>
        <w:t>free</w:t>
      </w:r>
      <w:r>
        <w:rPr>
          <w:rFonts w:ascii="Book Antiqua" w:hAnsi="Book Antiqua"/>
          <w:color w:val="231F20"/>
          <w:spacing w:val="-2"/>
          <w:w w:val="95"/>
          <w:sz w:val="17"/>
        </w:rPr>
        <w:t> </w:t>
      </w:r>
      <w:r>
        <w:rPr>
          <w:rFonts w:ascii="Book Antiqua" w:hAnsi="Book Antiqua"/>
          <w:color w:val="231F20"/>
          <w:spacing w:val="4"/>
          <w:w w:val="95"/>
          <w:sz w:val="17"/>
        </w:rPr>
        <w:t>trips</w:t>
      </w:r>
      <w:r>
        <w:rPr>
          <w:rFonts w:ascii="Book Antiqua" w:hAnsi="Book Antiqua"/>
          <w:color w:val="231F20"/>
          <w:spacing w:val="-2"/>
          <w:w w:val="95"/>
          <w:sz w:val="17"/>
        </w:rPr>
        <w:t> </w:t>
      </w:r>
      <w:r>
        <w:rPr>
          <w:rFonts w:ascii="Book Antiqua" w:hAnsi="Book Antiqua"/>
          <w:color w:val="231F20"/>
          <w:spacing w:val="4"/>
          <w:w w:val="95"/>
          <w:sz w:val="17"/>
        </w:rPr>
        <w:t>through</w:t>
      </w:r>
      <w:r>
        <w:rPr>
          <w:rFonts w:ascii="Book Antiqua" w:hAnsi="Book Antiqua"/>
          <w:color w:val="231F20"/>
          <w:spacing w:val="-2"/>
          <w:w w:val="95"/>
          <w:sz w:val="17"/>
        </w:rPr>
        <w:t> </w:t>
      </w:r>
      <w:r>
        <w:rPr>
          <w:rFonts w:ascii="Book Antiqua" w:hAnsi="Book Antiqua"/>
          <w:color w:val="231F20"/>
          <w:spacing w:val="5"/>
          <w:w w:val="95"/>
          <w:sz w:val="17"/>
        </w:rPr>
        <w:t>our </w:t>
      </w:r>
      <w:r>
        <w:rPr>
          <w:rFonts w:ascii="Book Antiqua" w:hAnsi="Book Antiqua"/>
          <w:color w:val="231F20"/>
          <w:spacing w:val="4"/>
          <w:sz w:val="17"/>
        </w:rPr>
        <w:t>Rapid </w:t>
      </w:r>
      <w:r>
        <w:rPr>
          <w:rFonts w:ascii="Book Antiqua" w:hAnsi="Book Antiqua"/>
          <w:color w:val="231F20"/>
          <w:spacing w:val="3"/>
          <w:sz w:val="17"/>
        </w:rPr>
        <w:t>Rewards </w:t>
      </w:r>
      <w:r>
        <w:rPr>
          <w:rFonts w:ascii="Book Antiqua" w:hAnsi="Book Antiqua"/>
          <w:color w:val="231F20"/>
          <w:spacing w:val="4"/>
          <w:sz w:val="17"/>
        </w:rPr>
        <w:t>program. Rapid </w:t>
      </w:r>
      <w:r>
        <w:rPr>
          <w:rFonts w:ascii="Book Antiqua" w:hAnsi="Book Antiqua"/>
          <w:color w:val="231F20"/>
          <w:spacing w:val="3"/>
          <w:sz w:val="17"/>
        </w:rPr>
        <w:t>Rewards allows </w:t>
      </w:r>
      <w:r>
        <w:rPr>
          <w:rFonts w:ascii="Book Antiqua" w:hAnsi="Book Antiqua"/>
          <w:color w:val="231F20"/>
          <w:spacing w:val="4"/>
          <w:sz w:val="17"/>
        </w:rPr>
        <w:t>Customers </w:t>
      </w:r>
      <w:r>
        <w:rPr>
          <w:rFonts w:ascii="Book Antiqua" w:hAnsi="Book Antiqua"/>
          <w:color w:val="231F20"/>
          <w:spacing w:val="5"/>
          <w:sz w:val="17"/>
        </w:rPr>
        <w:t>to </w:t>
      </w:r>
      <w:r>
        <w:rPr>
          <w:rFonts w:ascii="Book Antiqua" w:hAnsi="Book Antiqua"/>
          <w:color w:val="231F20"/>
          <w:spacing w:val="3"/>
          <w:w w:val="95"/>
          <w:sz w:val="17"/>
        </w:rPr>
        <w:t>receive</w:t>
      </w:r>
      <w:r>
        <w:rPr>
          <w:rFonts w:ascii="Book Antiqua" w:hAnsi="Book Antiqua"/>
          <w:color w:val="231F20"/>
          <w:spacing w:val="-2"/>
          <w:w w:val="95"/>
          <w:sz w:val="17"/>
        </w:rPr>
        <w:t> </w:t>
      </w:r>
      <w:r>
        <w:rPr>
          <w:rFonts w:ascii="Book Antiqua" w:hAnsi="Book Antiqua"/>
          <w:color w:val="231F20"/>
          <w:w w:val="95"/>
          <w:sz w:val="17"/>
        </w:rPr>
        <w:t>a</w:t>
      </w:r>
      <w:r>
        <w:rPr>
          <w:rFonts w:ascii="Book Antiqua" w:hAnsi="Book Antiqua"/>
          <w:color w:val="231F20"/>
          <w:spacing w:val="-2"/>
          <w:w w:val="95"/>
          <w:sz w:val="17"/>
        </w:rPr>
        <w:t> </w:t>
      </w:r>
      <w:r>
        <w:rPr>
          <w:rFonts w:ascii="Book Antiqua" w:hAnsi="Book Antiqua"/>
          <w:color w:val="231F20"/>
          <w:spacing w:val="4"/>
          <w:w w:val="95"/>
          <w:sz w:val="17"/>
        </w:rPr>
        <w:t>roundtrip</w:t>
      </w:r>
      <w:r>
        <w:rPr>
          <w:rFonts w:ascii="Book Antiqua" w:hAnsi="Book Antiqua"/>
          <w:color w:val="231F20"/>
          <w:spacing w:val="-2"/>
          <w:w w:val="95"/>
          <w:sz w:val="17"/>
        </w:rPr>
        <w:t> </w:t>
      </w:r>
      <w:r>
        <w:rPr>
          <w:rFonts w:ascii="Book Antiqua" w:hAnsi="Book Antiqua"/>
          <w:color w:val="231F20"/>
          <w:spacing w:val="4"/>
          <w:w w:val="95"/>
          <w:sz w:val="17"/>
        </w:rPr>
        <w:t>award</w:t>
      </w:r>
      <w:r>
        <w:rPr>
          <w:rFonts w:ascii="Book Antiqua" w:hAnsi="Book Antiqua"/>
          <w:color w:val="231F20"/>
          <w:spacing w:val="-6"/>
          <w:w w:val="95"/>
          <w:sz w:val="17"/>
        </w:rPr>
        <w:t> </w:t>
      </w:r>
      <w:r>
        <w:rPr>
          <w:rFonts w:ascii="Book Antiqua" w:hAnsi="Book Antiqua"/>
          <w:color w:val="231F20"/>
          <w:spacing w:val="4"/>
          <w:w w:val="95"/>
          <w:sz w:val="17"/>
        </w:rPr>
        <w:t>valid</w:t>
      </w:r>
      <w:r>
        <w:rPr>
          <w:rFonts w:ascii="Book Antiqua" w:hAnsi="Book Antiqua"/>
          <w:color w:val="231F20"/>
          <w:spacing w:val="-2"/>
          <w:w w:val="95"/>
          <w:sz w:val="17"/>
        </w:rPr>
        <w:t> </w:t>
      </w:r>
      <w:r>
        <w:rPr>
          <w:rFonts w:ascii="Book Antiqua" w:hAnsi="Book Antiqua"/>
          <w:color w:val="231F20"/>
          <w:spacing w:val="3"/>
          <w:w w:val="95"/>
          <w:sz w:val="17"/>
        </w:rPr>
        <w:t>for</w:t>
      </w:r>
      <w:r>
        <w:rPr>
          <w:rFonts w:ascii="Book Antiqua" w:hAnsi="Book Antiqua"/>
          <w:color w:val="231F20"/>
          <w:spacing w:val="-9"/>
          <w:w w:val="95"/>
          <w:sz w:val="17"/>
        </w:rPr>
        <w:t> </w:t>
      </w:r>
      <w:r>
        <w:rPr>
          <w:rFonts w:ascii="Book Antiqua" w:hAnsi="Book Antiqua"/>
          <w:color w:val="231F20"/>
          <w:spacing w:val="3"/>
          <w:w w:val="95"/>
          <w:sz w:val="17"/>
        </w:rPr>
        <w:t>travel</w:t>
      </w:r>
      <w:r>
        <w:rPr>
          <w:rFonts w:ascii="Book Antiqua" w:hAnsi="Book Antiqua"/>
          <w:color w:val="231F20"/>
          <w:spacing w:val="-2"/>
          <w:w w:val="95"/>
          <w:sz w:val="17"/>
        </w:rPr>
        <w:t> </w:t>
      </w:r>
      <w:r>
        <w:rPr>
          <w:rFonts w:ascii="Book Antiqua" w:hAnsi="Book Antiqua"/>
          <w:color w:val="231F20"/>
          <w:spacing w:val="4"/>
          <w:w w:val="95"/>
          <w:sz w:val="17"/>
        </w:rPr>
        <w:t>anywhere</w:t>
      </w:r>
      <w:r>
        <w:rPr>
          <w:rFonts w:ascii="Book Antiqua" w:hAnsi="Book Antiqua"/>
          <w:color w:val="231F20"/>
          <w:spacing w:val="-2"/>
          <w:w w:val="95"/>
          <w:sz w:val="17"/>
        </w:rPr>
        <w:t> </w:t>
      </w:r>
      <w:r>
        <w:rPr>
          <w:rFonts w:ascii="Book Antiqua" w:hAnsi="Book Antiqua"/>
          <w:color w:val="231F20"/>
          <w:spacing w:val="3"/>
          <w:w w:val="95"/>
          <w:sz w:val="17"/>
        </w:rPr>
        <w:t>Southwest</w:t>
      </w:r>
      <w:r>
        <w:rPr>
          <w:rFonts w:ascii="Book Antiqua" w:hAnsi="Book Antiqua"/>
          <w:color w:val="231F20"/>
          <w:spacing w:val="-6"/>
          <w:w w:val="95"/>
          <w:sz w:val="17"/>
        </w:rPr>
        <w:t> </w:t>
      </w:r>
      <w:r>
        <w:rPr>
          <w:rFonts w:ascii="Book Antiqua" w:hAnsi="Book Antiqua"/>
          <w:color w:val="231F20"/>
          <w:w w:val="95"/>
          <w:sz w:val="17"/>
        </w:rPr>
        <w:t>f</w:t>
      </w:r>
      <w:r>
        <w:rPr>
          <w:rFonts w:ascii="Book Antiqua" w:hAnsi="Book Antiqua"/>
          <w:color w:val="231F20"/>
          <w:spacing w:val="-27"/>
          <w:w w:val="95"/>
          <w:sz w:val="17"/>
        </w:rPr>
        <w:t> </w:t>
      </w:r>
      <w:r>
        <w:rPr>
          <w:rFonts w:ascii="Book Antiqua" w:hAnsi="Book Antiqua"/>
          <w:color w:val="231F20"/>
          <w:spacing w:val="5"/>
          <w:w w:val="95"/>
          <w:sz w:val="17"/>
        </w:rPr>
        <w:t>lies </w:t>
      </w:r>
      <w:r>
        <w:rPr>
          <w:rFonts w:ascii="Book Antiqua" w:hAnsi="Book Antiqua"/>
          <w:color w:val="231F20"/>
          <w:sz w:val="17"/>
        </w:rPr>
        <w:t>by</w:t>
      </w:r>
      <w:r>
        <w:rPr>
          <w:rFonts w:ascii="Book Antiqua" w:hAnsi="Book Antiqua"/>
          <w:color w:val="231F20"/>
          <w:spacing w:val="-16"/>
          <w:sz w:val="17"/>
        </w:rPr>
        <w:t> </w:t>
      </w:r>
      <w:r>
        <w:rPr>
          <w:rFonts w:ascii="Book Antiqua" w:hAnsi="Book Antiqua"/>
          <w:color w:val="231F20"/>
          <w:spacing w:val="4"/>
          <w:sz w:val="17"/>
        </w:rPr>
        <w:t>simply</w:t>
      </w:r>
      <w:r>
        <w:rPr>
          <w:rFonts w:ascii="Book Antiqua" w:hAnsi="Book Antiqua"/>
          <w:color w:val="231F20"/>
          <w:spacing w:val="-16"/>
          <w:sz w:val="17"/>
        </w:rPr>
        <w:t> </w:t>
      </w:r>
      <w:r>
        <w:rPr>
          <w:rFonts w:ascii="Book Antiqua" w:hAnsi="Book Antiqua"/>
          <w:color w:val="231F20"/>
          <w:sz w:val="17"/>
        </w:rPr>
        <w:t>f</w:t>
      </w:r>
      <w:r>
        <w:rPr>
          <w:rFonts w:ascii="Book Antiqua" w:hAnsi="Book Antiqua"/>
          <w:color w:val="231F20"/>
          <w:spacing w:val="-33"/>
          <w:sz w:val="17"/>
        </w:rPr>
        <w:t> </w:t>
      </w:r>
      <w:r>
        <w:rPr>
          <w:rFonts w:ascii="Book Antiqua" w:hAnsi="Book Antiqua"/>
          <w:color w:val="231F20"/>
          <w:spacing w:val="4"/>
          <w:sz w:val="17"/>
        </w:rPr>
        <w:t>lying</w:t>
      </w:r>
      <w:r>
        <w:rPr>
          <w:rFonts w:ascii="Book Antiqua" w:hAnsi="Book Antiqua"/>
          <w:color w:val="231F20"/>
          <w:spacing w:val="-12"/>
          <w:sz w:val="17"/>
        </w:rPr>
        <w:t> </w:t>
      </w:r>
      <w:r>
        <w:rPr>
          <w:rFonts w:ascii="Book Antiqua" w:hAnsi="Book Antiqua"/>
          <w:color w:val="231F20"/>
          <w:spacing w:val="4"/>
          <w:sz w:val="17"/>
        </w:rPr>
        <w:t>eight</w:t>
      </w:r>
      <w:r>
        <w:rPr>
          <w:rFonts w:ascii="Book Antiqua" w:hAnsi="Book Antiqua"/>
          <w:color w:val="231F20"/>
          <w:spacing w:val="-15"/>
          <w:sz w:val="17"/>
        </w:rPr>
        <w:t> </w:t>
      </w:r>
      <w:r>
        <w:rPr>
          <w:rFonts w:ascii="Book Antiqua" w:hAnsi="Book Antiqua"/>
          <w:color w:val="231F20"/>
          <w:spacing w:val="4"/>
          <w:sz w:val="17"/>
        </w:rPr>
        <w:t>roundtrips</w:t>
      </w:r>
      <w:r>
        <w:rPr>
          <w:rFonts w:ascii="Book Antiqua" w:hAnsi="Book Antiqua"/>
          <w:color w:val="231F20"/>
          <w:spacing w:val="-12"/>
          <w:sz w:val="17"/>
        </w:rPr>
        <w:t> </w:t>
      </w:r>
      <w:r>
        <w:rPr>
          <w:rFonts w:ascii="Book Antiqua" w:hAnsi="Book Antiqua"/>
          <w:color w:val="231F20"/>
          <w:spacing w:val="2"/>
          <w:sz w:val="17"/>
        </w:rPr>
        <w:t>or</w:t>
      </w:r>
      <w:r>
        <w:rPr>
          <w:rFonts w:ascii="Book Antiqua" w:hAnsi="Book Antiqua"/>
          <w:color w:val="231F20"/>
          <w:spacing w:val="-17"/>
          <w:sz w:val="17"/>
        </w:rPr>
        <w:t> </w:t>
      </w:r>
      <w:r>
        <w:rPr>
          <w:rFonts w:ascii="Book Antiqua" w:hAnsi="Book Antiqua"/>
          <w:color w:val="231F20"/>
          <w:spacing w:val="4"/>
          <w:sz w:val="17"/>
        </w:rPr>
        <w:t>earning</w:t>
      </w:r>
      <w:r>
        <w:rPr>
          <w:rFonts w:ascii="Book Antiqua" w:hAnsi="Book Antiqua"/>
          <w:color w:val="231F20"/>
          <w:spacing w:val="-12"/>
          <w:sz w:val="17"/>
        </w:rPr>
        <w:t> </w:t>
      </w:r>
      <w:r>
        <w:rPr>
          <w:rFonts w:ascii="Book Antiqua" w:hAnsi="Book Antiqua"/>
          <w:color w:val="231F20"/>
          <w:spacing w:val="-3"/>
          <w:sz w:val="17"/>
        </w:rPr>
        <w:t>16</w:t>
      </w:r>
      <w:r>
        <w:rPr>
          <w:rFonts w:ascii="Book Antiqua" w:hAnsi="Book Antiqua"/>
          <w:color w:val="231F20"/>
          <w:spacing w:val="-12"/>
          <w:sz w:val="17"/>
        </w:rPr>
        <w:t> </w:t>
      </w:r>
      <w:r>
        <w:rPr>
          <w:rFonts w:ascii="Book Antiqua" w:hAnsi="Book Antiqua"/>
          <w:color w:val="231F20"/>
          <w:spacing w:val="4"/>
          <w:sz w:val="17"/>
        </w:rPr>
        <w:t>credits</w:t>
      </w:r>
      <w:r>
        <w:rPr>
          <w:rFonts w:ascii="Book Antiqua" w:hAnsi="Book Antiqua"/>
          <w:color w:val="231F20"/>
          <w:spacing w:val="-12"/>
          <w:sz w:val="17"/>
        </w:rPr>
        <w:t> </w:t>
      </w:r>
      <w:r>
        <w:rPr>
          <w:rFonts w:ascii="Book Antiqua" w:hAnsi="Book Antiqua"/>
          <w:color w:val="231F20"/>
          <w:spacing w:val="2"/>
          <w:sz w:val="17"/>
        </w:rPr>
        <w:t>(a</w:t>
      </w:r>
      <w:r>
        <w:rPr>
          <w:rFonts w:ascii="Book Antiqua" w:hAnsi="Book Antiqua"/>
          <w:color w:val="231F20"/>
          <w:spacing w:val="-12"/>
          <w:sz w:val="17"/>
        </w:rPr>
        <w:t> </w:t>
      </w:r>
      <w:r>
        <w:rPr>
          <w:rFonts w:ascii="Book Antiqua" w:hAnsi="Book Antiqua"/>
          <w:color w:val="231F20"/>
          <w:spacing w:val="5"/>
          <w:sz w:val="17"/>
        </w:rPr>
        <w:t>one-way </w:t>
      </w:r>
      <w:r>
        <w:rPr>
          <w:rFonts w:ascii="Book Antiqua" w:hAnsi="Book Antiqua"/>
          <w:color w:val="231F20"/>
          <w:spacing w:val="3"/>
          <w:sz w:val="17"/>
        </w:rPr>
        <w:t>ticket</w:t>
      </w:r>
      <w:r>
        <w:rPr>
          <w:rFonts w:ascii="Book Antiqua" w:hAnsi="Book Antiqua"/>
          <w:color w:val="231F20"/>
          <w:spacing w:val="-6"/>
          <w:sz w:val="17"/>
        </w:rPr>
        <w:t> </w:t>
      </w:r>
      <w:r>
        <w:rPr>
          <w:rFonts w:ascii="Book Antiqua" w:hAnsi="Book Antiqua"/>
          <w:color w:val="231F20"/>
          <w:spacing w:val="4"/>
          <w:sz w:val="17"/>
        </w:rPr>
        <w:t>equals</w:t>
      </w:r>
      <w:r>
        <w:rPr>
          <w:rFonts w:ascii="Book Antiqua" w:hAnsi="Book Antiqua"/>
          <w:color w:val="231F20"/>
          <w:spacing w:val="-3"/>
          <w:sz w:val="17"/>
        </w:rPr>
        <w:t> </w:t>
      </w:r>
      <w:r>
        <w:rPr>
          <w:rFonts w:ascii="Book Antiqua" w:hAnsi="Book Antiqua"/>
          <w:color w:val="231F20"/>
          <w:spacing w:val="3"/>
          <w:sz w:val="17"/>
        </w:rPr>
        <w:t>one</w:t>
      </w:r>
      <w:r>
        <w:rPr>
          <w:rFonts w:ascii="Book Antiqua" w:hAnsi="Book Antiqua"/>
          <w:color w:val="231F20"/>
          <w:spacing w:val="-3"/>
          <w:sz w:val="17"/>
        </w:rPr>
        <w:t> </w:t>
      </w:r>
      <w:r>
        <w:rPr>
          <w:rFonts w:ascii="Book Antiqua" w:hAnsi="Book Antiqua"/>
          <w:color w:val="231F20"/>
          <w:spacing w:val="4"/>
          <w:sz w:val="17"/>
        </w:rPr>
        <w:t>credit)</w:t>
      </w:r>
      <w:r>
        <w:rPr>
          <w:rFonts w:ascii="Book Antiqua" w:hAnsi="Book Antiqua"/>
          <w:color w:val="231F20"/>
          <w:spacing w:val="-8"/>
          <w:sz w:val="17"/>
        </w:rPr>
        <w:t> </w:t>
      </w:r>
      <w:r>
        <w:rPr>
          <w:rFonts w:ascii="Book Antiqua" w:hAnsi="Book Antiqua"/>
          <w:color w:val="231F20"/>
          <w:spacing w:val="4"/>
          <w:sz w:val="17"/>
        </w:rPr>
        <w:t>within</w:t>
      </w:r>
      <w:r>
        <w:rPr>
          <w:rFonts w:ascii="Book Antiqua" w:hAnsi="Book Antiqua"/>
          <w:color w:val="231F20"/>
          <w:spacing w:val="-3"/>
          <w:sz w:val="17"/>
        </w:rPr>
        <w:t> </w:t>
      </w:r>
      <w:r>
        <w:rPr>
          <w:rFonts w:ascii="Book Antiqua" w:hAnsi="Book Antiqua"/>
          <w:color w:val="231F20"/>
          <w:spacing w:val="2"/>
          <w:sz w:val="17"/>
        </w:rPr>
        <w:t>12</w:t>
      </w:r>
      <w:r>
        <w:rPr>
          <w:rFonts w:ascii="Book Antiqua" w:hAnsi="Book Antiqua"/>
          <w:color w:val="231F20"/>
          <w:spacing w:val="-6"/>
          <w:sz w:val="17"/>
        </w:rPr>
        <w:t> </w:t>
      </w:r>
      <w:r>
        <w:rPr>
          <w:rFonts w:ascii="Book Antiqua" w:hAnsi="Book Antiqua"/>
          <w:color w:val="231F20"/>
          <w:spacing w:val="4"/>
          <w:sz w:val="17"/>
        </w:rPr>
        <w:t>consecutive</w:t>
      </w:r>
      <w:r>
        <w:rPr>
          <w:rFonts w:ascii="Book Antiqua" w:hAnsi="Book Antiqua"/>
          <w:color w:val="231F20"/>
          <w:spacing w:val="-3"/>
          <w:sz w:val="17"/>
        </w:rPr>
        <w:t> </w:t>
      </w:r>
      <w:r>
        <w:rPr>
          <w:rFonts w:ascii="Book Antiqua" w:hAnsi="Book Antiqua"/>
          <w:color w:val="231F20"/>
          <w:spacing w:val="4"/>
          <w:sz w:val="17"/>
        </w:rPr>
        <w:t>months.</w:t>
      </w:r>
      <w:r>
        <w:rPr>
          <w:rFonts w:ascii="Book Antiqua" w:hAnsi="Book Antiqua"/>
          <w:color w:val="231F20"/>
          <w:spacing w:val="-9"/>
          <w:sz w:val="17"/>
        </w:rPr>
        <w:t> </w:t>
      </w:r>
      <w:r>
        <w:rPr>
          <w:rFonts w:ascii="Book Antiqua" w:hAnsi="Book Antiqua"/>
          <w:color w:val="231F20"/>
          <w:spacing w:val="4"/>
          <w:sz w:val="17"/>
        </w:rPr>
        <w:t>There</w:t>
      </w:r>
      <w:r>
        <w:rPr>
          <w:rFonts w:ascii="Book Antiqua" w:hAnsi="Book Antiqua"/>
          <w:color w:val="231F20"/>
          <w:spacing w:val="-3"/>
          <w:sz w:val="17"/>
        </w:rPr>
        <w:t> </w:t>
      </w:r>
      <w:r>
        <w:rPr>
          <w:rFonts w:ascii="Book Antiqua" w:hAnsi="Book Antiqua"/>
          <w:color w:val="231F20"/>
          <w:spacing w:val="5"/>
          <w:sz w:val="17"/>
        </w:rPr>
        <w:t>are </w:t>
      </w:r>
      <w:r>
        <w:rPr>
          <w:rFonts w:ascii="Book Antiqua" w:hAnsi="Book Antiqua"/>
          <w:color w:val="231F20"/>
          <w:spacing w:val="2"/>
          <w:sz w:val="17"/>
        </w:rPr>
        <w:t>no</w:t>
      </w:r>
      <w:r>
        <w:rPr>
          <w:rFonts w:ascii="Book Antiqua" w:hAnsi="Book Antiqua"/>
          <w:color w:val="231F20"/>
          <w:spacing w:val="-9"/>
          <w:sz w:val="17"/>
        </w:rPr>
        <w:t> </w:t>
      </w:r>
      <w:r>
        <w:rPr>
          <w:rFonts w:ascii="Book Antiqua" w:hAnsi="Book Antiqua"/>
          <w:color w:val="231F20"/>
          <w:spacing w:val="3"/>
          <w:sz w:val="17"/>
        </w:rPr>
        <w:t>seat</w:t>
      </w:r>
      <w:r>
        <w:rPr>
          <w:rFonts w:ascii="Book Antiqua" w:hAnsi="Book Antiqua"/>
          <w:color w:val="231F20"/>
          <w:spacing w:val="-12"/>
          <w:sz w:val="17"/>
        </w:rPr>
        <w:t> </w:t>
      </w:r>
      <w:r>
        <w:rPr>
          <w:rFonts w:ascii="Book Antiqua" w:hAnsi="Book Antiqua"/>
          <w:color w:val="231F20"/>
          <w:spacing w:val="4"/>
          <w:sz w:val="17"/>
        </w:rPr>
        <w:t>restrictions</w:t>
      </w:r>
      <w:r>
        <w:rPr>
          <w:rFonts w:ascii="Book Antiqua" w:hAnsi="Book Antiqua"/>
          <w:color w:val="231F20"/>
          <w:spacing w:val="-9"/>
          <w:sz w:val="17"/>
        </w:rPr>
        <w:t> </w:t>
      </w:r>
      <w:r>
        <w:rPr>
          <w:rFonts w:ascii="Book Antiqua" w:hAnsi="Book Antiqua"/>
          <w:color w:val="231F20"/>
          <w:spacing w:val="3"/>
          <w:sz w:val="17"/>
        </w:rPr>
        <w:t>and</w:t>
      </w:r>
      <w:r>
        <w:rPr>
          <w:rFonts w:ascii="Book Antiqua" w:hAnsi="Book Antiqua"/>
          <w:color w:val="231F20"/>
          <w:spacing w:val="-12"/>
          <w:sz w:val="17"/>
        </w:rPr>
        <w:t> </w:t>
      </w:r>
      <w:r>
        <w:rPr>
          <w:rFonts w:ascii="Book Antiqua" w:hAnsi="Book Antiqua"/>
          <w:color w:val="231F20"/>
          <w:spacing w:val="3"/>
          <w:sz w:val="17"/>
        </w:rPr>
        <w:t>very</w:t>
      </w:r>
      <w:r>
        <w:rPr>
          <w:rFonts w:ascii="Book Antiqua" w:hAnsi="Book Antiqua"/>
          <w:color w:val="231F20"/>
          <w:spacing w:val="-13"/>
          <w:sz w:val="17"/>
        </w:rPr>
        <w:t> </w:t>
      </w:r>
      <w:r>
        <w:rPr>
          <w:rFonts w:ascii="Book Antiqua" w:hAnsi="Book Antiqua"/>
          <w:color w:val="231F20"/>
          <w:spacing w:val="3"/>
          <w:sz w:val="17"/>
        </w:rPr>
        <w:t>few</w:t>
      </w:r>
      <w:r>
        <w:rPr>
          <w:rFonts w:ascii="Book Antiqua" w:hAnsi="Book Antiqua"/>
          <w:color w:val="231F20"/>
          <w:spacing w:val="-13"/>
          <w:sz w:val="17"/>
        </w:rPr>
        <w:t> </w:t>
      </w:r>
      <w:r>
        <w:rPr>
          <w:rFonts w:ascii="Book Antiqua" w:hAnsi="Book Antiqua"/>
          <w:color w:val="231F20"/>
          <w:spacing w:val="3"/>
          <w:sz w:val="17"/>
        </w:rPr>
        <w:t>blackout</w:t>
      </w:r>
      <w:r>
        <w:rPr>
          <w:rFonts w:ascii="Book Antiqua" w:hAnsi="Book Antiqua"/>
          <w:color w:val="231F20"/>
          <w:spacing w:val="-12"/>
          <w:sz w:val="17"/>
        </w:rPr>
        <w:t> </w:t>
      </w:r>
      <w:r>
        <w:rPr>
          <w:rFonts w:ascii="Book Antiqua" w:hAnsi="Book Antiqua"/>
          <w:color w:val="231F20"/>
          <w:spacing w:val="4"/>
          <w:sz w:val="17"/>
        </w:rPr>
        <w:t>dates</w:t>
      </w:r>
      <w:r>
        <w:rPr>
          <w:rFonts w:ascii="Book Antiqua" w:hAnsi="Book Antiqua"/>
          <w:color w:val="231F20"/>
          <w:spacing w:val="-9"/>
          <w:sz w:val="17"/>
        </w:rPr>
        <w:t> </w:t>
      </w:r>
      <w:r>
        <w:rPr>
          <w:rFonts w:ascii="Book Antiqua" w:hAnsi="Book Antiqua"/>
          <w:color w:val="231F20"/>
          <w:spacing w:val="3"/>
          <w:sz w:val="17"/>
        </w:rPr>
        <w:t>for</w:t>
      </w:r>
      <w:r>
        <w:rPr>
          <w:rFonts w:ascii="Book Antiqua" w:hAnsi="Book Antiqua"/>
          <w:color w:val="231F20"/>
          <w:spacing w:val="-13"/>
          <w:sz w:val="17"/>
        </w:rPr>
        <w:t> </w:t>
      </w:r>
      <w:r>
        <w:rPr>
          <w:rFonts w:ascii="Book Antiqua" w:hAnsi="Book Antiqua"/>
          <w:color w:val="231F20"/>
          <w:spacing w:val="4"/>
          <w:sz w:val="17"/>
        </w:rPr>
        <w:t>awards</w:t>
      </w:r>
      <w:r>
        <w:rPr>
          <w:rFonts w:ascii="Book Antiqua" w:hAnsi="Book Antiqua"/>
          <w:color w:val="231F20"/>
          <w:spacing w:val="-9"/>
          <w:sz w:val="17"/>
        </w:rPr>
        <w:t> </w:t>
      </w:r>
      <w:r>
        <w:rPr>
          <w:rFonts w:ascii="Book Antiqua" w:hAnsi="Book Antiqua"/>
          <w:color w:val="231F20"/>
          <w:spacing w:val="4"/>
          <w:sz w:val="17"/>
        </w:rPr>
        <w:t>travel; therefore,</w:t>
      </w:r>
      <w:r>
        <w:rPr>
          <w:rFonts w:ascii="Book Antiqua" w:hAnsi="Book Antiqua"/>
          <w:color w:val="231F20"/>
          <w:spacing w:val="-16"/>
          <w:sz w:val="17"/>
        </w:rPr>
        <w:t> </w:t>
      </w:r>
      <w:r>
        <w:rPr>
          <w:rFonts w:ascii="Book Antiqua" w:hAnsi="Book Antiqua"/>
          <w:color w:val="231F20"/>
          <w:spacing w:val="4"/>
          <w:sz w:val="17"/>
        </w:rPr>
        <w:t>Members</w:t>
      </w:r>
      <w:r>
        <w:rPr>
          <w:rFonts w:ascii="Book Antiqua" w:hAnsi="Book Antiqua"/>
          <w:color w:val="231F20"/>
          <w:spacing w:val="-13"/>
          <w:sz w:val="17"/>
        </w:rPr>
        <w:t> </w:t>
      </w:r>
      <w:r>
        <w:rPr>
          <w:rFonts w:ascii="Book Antiqua" w:hAnsi="Book Antiqua"/>
          <w:color w:val="231F20"/>
          <w:spacing w:val="3"/>
          <w:sz w:val="17"/>
        </w:rPr>
        <w:t>can</w:t>
      </w:r>
      <w:r>
        <w:rPr>
          <w:rFonts w:ascii="Book Antiqua" w:hAnsi="Book Antiqua"/>
          <w:color w:val="231F20"/>
          <w:spacing w:val="-13"/>
          <w:sz w:val="17"/>
        </w:rPr>
        <w:t> </w:t>
      </w:r>
      <w:r>
        <w:rPr>
          <w:rFonts w:ascii="Book Antiqua" w:hAnsi="Book Antiqua"/>
          <w:color w:val="231F20"/>
          <w:spacing w:val="3"/>
          <w:sz w:val="17"/>
        </w:rPr>
        <w:t>use</w:t>
      </w:r>
      <w:r>
        <w:rPr>
          <w:rFonts w:ascii="Book Antiqua" w:hAnsi="Book Antiqua"/>
          <w:color w:val="231F20"/>
          <w:spacing w:val="-13"/>
          <w:sz w:val="17"/>
        </w:rPr>
        <w:t> </w:t>
      </w:r>
      <w:r>
        <w:rPr>
          <w:rFonts w:ascii="Book Antiqua" w:hAnsi="Book Antiqua"/>
          <w:color w:val="231F20"/>
          <w:spacing w:val="4"/>
          <w:sz w:val="17"/>
        </w:rPr>
        <w:t>their</w:t>
      </w:r>
      <w:r>
        <w:rPr>
          <w:rFonts w:ascii="Book Antiqua" w:hAnsi="Book Antiqua"/>
          <w:color w:val="231F20"/>
          <w:spacing w:val="-17"/>
          <w:sz w:val="17"/>
        </w:rPr>
        <w:t> </w:t>
      </w:r>
      <w:r>
        <w:rPr>
          <w:rFonts w:ascii="Book Antiqua" w:hAnsi="Book Antiqua"/>
          <w:color w:val="231F20"/>
          <w:spacing w:val="4"/>
          <w:sz w:val="17"/>
        </w:rPr>
        <w:t>award</w:t>
      </w:r>
      <w:r>
        <w:rPr>
          <w:rFonts w:ascii="Book Antiqua" w:hAnsi="Book Antiqua"/>
          <w:color w:val="231F20"/>
          <w:spacing w:val="-13"/>
          <w:sz w:val="17"/>
        </w:rPr>
        <w:t> </w:t>
      </w:r>
      <w:r>
        <w:rPr>
          <w:rFonts w:ascii="Book Antiqua" w:hAnsi="Book Antiqua"/>
          <w:color w:val="231F20"/>
          <w:spacing w:val="2"/>
          <w:sz w:val="17"/>
        </w:rPr>
        <w:t>to</w:t>
      </w:r>
      <w:r>
        <w:rPr>
          <w:rFonts w:ascii="Book Antiqua" w:hAnsi="Book Antiqua"/>
          <w:color w:val="231F20"/>
          <w:spacing w:val="-13"/>
          <w:sz w:val="17"/>
        </w:rPr>
        <w:t> </w:t>
      </w:r>
      <w:r>
        <w:rPr>
          <w:rFonts w:ascii="Book Antiqua" w:hAnsi="Book Antiqua"/>
          <w:color w:val="231F20"/>
          <w:sz w:val="17"/>
        </w:rPr>
        <w:t>f</w:t>
      </w:r>
      <w:r>
        <w:rPr>
          <w:rFonts w:ascii="Book Antiqua" w:hAnsi="Book Antiqua"/>
          <w:color w:val="231F20"/>
          <w:spacing w:val="-33"/>
          <w:sz w:val="17"/>
        </w:rPr>
        <w:t> </w:t>
      </w:r>
      <w:r>
        <w:rPr>
          <w:rFonts w:ascii="Book Antiqua" w:hAnsi="Book Antiqua"/>
          <w:color w:val="231F20"/>
          <w:spacing w:val="2"/>
          <w:sz w:val="17"/>
        </w:rPr>
        <w:t>ly</w:t>
      </w:r>
      <w:r>
        <w:rPr>
          <w:rFonts w:ascii="Book Antiqua" w:hAnsi="Book Antiqua"/>
          <w:color w:val="231F20"/>
          <w:spacing w:val="-20"/>
          <w:sz w:val="17"/>
        </w:rPr>
        <w:t> </w:t>
      </w:r>
      <w:r>
        <w:rPr>
          <w:rFonts w:ascii="Book Antiqua" w:hAnsi="Book Antiqua"/>
          <w:color w:val="231F20"/>
          <w:spacing w:val="4"/>
          <w:sz w:val="17"/>
        </w:rPr>
        <w:t>virtually</w:t>
      </w:r>
      <w:r>
        <w:rPr>
          <w:rFonts w:ascii="Book Antiqua" w:hAnsi="Book Antiqua"/>
          <w:color w:val="231F20"/>
          <w:spacing w:val="-17"/>
          <w:sz w:val="17"/>
        </w:rPr>
        <w:t> </w:t>
      </w:r>
      <w:r>
        <w:rPr>
          <w:rFonts w:ascii="Book Antiqua" w:hAnsi="Book Antiqua"/>
          <w:color w:val="231F20"/>
          <w:spacing w:val="4"/>
          <w:sz w:val="17"/>
        </w:rPr>
        <w:t>anytime</w:t>
      </w:r>
      <w:r>
        <w:rPr>
          <w:rFonts w:ascii="Book Antiqua" w:hAnsi="Book Antiqua"/>
          <w:color w:val="231F20"/>
          <w:spacing w:val="-13"/>
          <w:sz w:val="17"/>
        </w:rPr>
        <w:t> </w:t>
      </w:r>
      <w:r>
        <w:rPr>
          <w:rFonts w:ascii="Book Antiqua" w:hAnsi="Book Antiqua"/>
          <w:color w:val="231F20"/>
          <w:spacing w:val="5"/>
          <w:sz w:val="17"/>
        </w:rPr>
        <w:t>to </w:t>
      </w:r>
      <w:r>
        <w:rPr>
          <w:rFonts w:ascii="Book Antiqua" w:hAnsi="Book Antiqua"/>
          <w:color w:val="231F20"/>
          <w:sz w:val="17"/>
        </w:rPr>
        <w:t>any </w:t>
      </w:r>
      <w:r>
        <w:rPr>
          <w:rFonts w:ascii="Book Antiqua" w:hAnsi="Book Antiqua"/>
          <w:color w:val="231F20"/>
          <w:spacing w:val="3"/>
          <w:sz w:val="17"/>
        </w:rPr>
        <w:t>Southwest </w:t>
      </w:r>
      <w:r>
        <w:rPr>
          <w:rFonts w:ascii="Book Antiqua" w:hAnsi="Book Antiqua"/>
          <w:color w:val="231F20"/>
          <w:spacing w:val="4"/>
          <w:sz w:val="17"/>
        </w:rPr>
        <w:t>destination. Rapid </w:t>
      </w:r>
      <w:r>
        <w:rPr>
          <w:rFonts w:ascii="Book Antiqua" w:hAnsi="Book Antiqua"/>
          <w:color w:val="231F20"/>
          <w:spacing w:val="3"/>
          <w:sz w:val="17"/>
        </w:rPr>
        <w:t>Rewards </w:t>
      </w:r>
      <w:r>
        <w:rPr>
          <w:rFonts w:ascii="Book Antiqua" w:hAnsi="Book Antiqua"/>
          <w:color w:val="231F20"/>
          <w:spacing w:val="4"/>
          <w:sz w:val="17"/>
        </w:rPr>
        <w:t>awards </w:t>
      </w:r>
      <w:r>
        <w:rPr>
          <w:rFonts w:ascii="Book Antiqua" w:hAnsi="Book Antiqua"/>
          <w:color w:val="231F20"/>
          <w:spacing w:val="3"/>
          <w:sz w:val="17"/>
        </w:rPr>
        <w:t>are also</w:t>
      </w:r>
      <w:r>
        <w:rPr>
          <w:rFonts w:ascii="Book Antiqua" w:hAnsi="Book Antiqua"/>
          <w:color w:val="231F20"/>
          <w:spacing w:val="-15"/>
          <w:sz w:val="17"/>
        </w:rPr>
        <w:t> </w:t>
      </w:r>
      <w:r>
        <w:rPr>
          <w:rFonts w:ascii="Book Antiqua" w:hAnsi="Book Antiqua"/>
          <w:color w:val="231F20"/>
          <w:spacing w:val="5"/>
          <w:sz w:val="17"/>
        </w:rPr>
        <w:t>fully </w:t>
      </w:r>
      <w:r>
        <w:rPr>
          <w:rFonts w:ascii="Book Antiqua" w:hAnsi="Book Antiqua"/>
          <w:color w:val="231F20"/>
          <w:spacing w:val="4"/>
          <w:sz w:val="17"/>
        </w:rPr>
        <w:t>transferable.</w:t>
      </w:r>
      <w:r>
        <w:rPr>
          <w:rFonts w:ascii="Book Antiqua" w:hAnsi="Book Antiqua"/>
          <w:color w:val="231F20"/>
          <w:spacing w:val="-8"/>
          <w:sz w:val="17"/>
        </w:rPr>
        <w:t> </w:t>
      </w:r>
      <w:r>
        <w:rPr>
          <w:rFonts w:ascii="Book Antiqua" w:hAnsi="Book Antiqua"/>
          <w:i/>
          <w:color w:val="231F20"/>
          <w:spacing w:val="4"/>
          <w:sz w:val="17"/>
        </w:rPr>
        <w:t>Inside</w:t>
      </w:r>
      <w:r>
        <w:rPr>
          <w:rFonts w:ascii="Book Antiqua" w:hAnsi="Book Antiqua"/>
          <w:i/>
          <w:color w:val="231F20"/>
          <w:spacing w:val="-10"/>
          <w:sz w:val="17"/>
        </w:rPr>
        <w:t> </w:t>
      </w:r>
      <w:r>
        <w:rPr>
          <w:rFonts w:ascii="Book Antiqua" w:hAnsi="Book Antiqua"/>
          <w:i/>
          <w:color w:val="231F20"/>
          <w:spacing w:val="3"/>
          <w:sz w:val="17"/>
        </w:rPr>
        <w:t>Flyer</w:t>
      </w:r>
      <w:r>
        <w:rPr>
          <w:rFonts w:ascii="Book Antiqua" w:hAnsi="Book Antiqua"/>
          <w:i/>
          <w:color w:val="231F20"/>
          <w:spacing w:val="-9"/>
          <w:sz w:val="17"/>
        </w:rPr>
        <w:t> </w:t>
      </w:r>
      <w:r>
        <w:rPr>
          <w:rFonts w:ascii="Book Antiqua" w:hAnsi="Book Antiqua"/>
          <w:color w:val="231F20"/>
          <w:spacing w:val="4"/>
          <w:sz w:val="17"/>
        </w:rPr>
        <w:t>magazine</w:t>
      </w:r>
      <w:r>
        <w:rPr>
          <w:rFonts w:ascii="Book Antiqua" w:hAnsi="Book Antiqua"/>
          <w:color w:val="231F20"/>
          <w:spacing w:val="-8"/>
          <w:sz w:val="17"/>
        </w:rPr>
        <w:t> </w:t>
      </w:r>
      <w:r>
        <w:rPr>
          <w:rFonts w:ascii="Book Antiqua" w:hAnsi="Book Antiqua"/>
          <w:color w:val="231F20"/>
          <w:spacing w:val="4"/>
          <w:sz w:val="17"/>
        </w:rPr>
        <w:t>recognized</w:t>
      </w:r>
      <w:r>
        <w:rPr>
          <w:rFonts w:ascii="Book Antiqua" w:hAnsi="Book Antiqua"/>
          <w:color w:val="231F20"/>
          <w:spacing w:val="-8"/>
          <w:sz w:val="17"/>
        </w:rPr>
        <w:t> </w:t>
      </w:r>
      <w:r>
        <w:rPr>
          <w:rFonts w:ascii="Book Antiqua" w:hAnsi="Book Antiqua"/>
          <w:color w:val="231F20"/>
          <w:spacing w:val="3"/>
          <w:sz w:val="17"/>
        </w:rPr>
        <w:t>the</w:t>
      </w:r>
      <w:r>
        <w:rPr>
          <w:rFonts w:ascii="Book Antiqua" w:hAnsi="Book Antiqua"/>
          <w:color w:val="231F20"/>
          <w:spacing w:val="-8"/>
          <w:sz w:val="17"/>
        </w:rPr>
        <w:t> </w:t>
      </w:r>
      <w:r>
        <w:rPr>
          <w:rFonts w:ascii="Book Antiqua" w:hAnsi="Book Antiqua"/>
          <w:color w:val="231F20"/>
          <w:spacing w:val="4"/>
          <w:sz w:val="17"/>
        </w:rPr>
        <w:t>generosity</w:t>
      </w:r>
      <w:r>
        <w:rPr>
          <w:rFonts w:ascii="Book Antiqua" w:hAnsi="Book Antiqua"/>
          <w:color w:val="231F20"/>
          <w:spacing w:val="-12"/>
          <w:sz w:val="17"/>
        </w:rPr>
        <w:t> </w:t>
      </w:r>
      <w:r>
        <w:rPr>
          <w:rFonts w:ascii="Book Antiqua" w:hAnsi="Book Antiqua"/>
          <w:color w:val="231F20"/>
          <w:spacing w:val="5"/>
          <w:sz w:val="17"/>
        </w:rPr>
        <w:t>and </w:t>
      </w:r>
      <w:r>
        <w:rPr>
          <w:rFonts w:ascii="Book Antiqua" w:hAnsi="Book Antiqua"/>
          <w:color w:val="231F20"/>
          <w:spacing w:val="4"/>
          <w:sz w:val="17"/>
        </w:rPr>
        <w:t>simplicity</w:t>
      </w:r>
      <w:r>
        <w:rPr>
          <w:rFonts w:ascii="Book Antiqua" w:hAnsi="Book Antiqua"/>
          <w:color w:val="231F20"/>
          <w:spacing w:val="-21"/>
          <w:sz w:val="17"/>
        </w:rPr>
        <w:t> </w:t>
      </w:r>
      <w:r>
        <w:rPr>
          <w:rFonts w:ascii="Book Antiqua" w:hAnsi="Book Antiqua"/>
          <w:color w:val="231F20"/>
          <w:spacing w:val="2"/>
          <w:sz w:val="17"/>
        </w:rPr>
        <w:t>of</w:t>
      </w:r>
      <w:r>
        <w:rPr>
          <w:rFonts w:ascii="Book Antiqua" w:hAnsi="Book Antiqua"/>
          <w:color w:val="231F20"/>
          <w:spacing w:val="-17"/>
          <w:sz w:val="17"/>
        </w:rPr>
        <w:t> </w:t>
      </w:r>
      <w:r>
        <w:rPr>
          <w:rFonts w:ascii="Book Antiqua" w:hAnsi="Book Antiqua"/>
          <w:color w:val="231F20"/>
          <w:spacing w:val="3"/>
          <w:sz w:val="17"/>
        </w:rPr>
        <w:t>our</w:t>
      </w:r>
      <w:r>
        <w:rPr>
          <w:rFonts w:ascii="Book Antiqua" w:hAnsi="Book Antiqua"/>
          <w:color w:val="231F20"/>
          <w:spacing w:val="-21"/>
          <w:sz w:val="17"/>
        </w:rPr>
        <w:t> </w:t>
      </w:r>
      <w:r>
        <w:rPr>
          <w:rFonts w:ascii="Book Antiqua" w:hAnsi="Book Antiqua"/>
          <w:color w:val="231F20"/>
          <w:spacing w:val="4"/>
          <w:sz w:val="17"/>
        </w:rPr>
        <w:t>Rapid</w:t>
      </w:r>
      <w:r>
        <w:rPr>
          <w:rFonts w:ascii="Book Antiqua" w:hAnsi="Book Antiqua"/>
          <w:color w:val="231F20"/>
          <w:spacing w:val="-17"/>
          <w:sz w:val="17"/>
        </w:rPr>
        <w:t> </w:t>
      </w:r>
      <w:r>
        <w:rPr>
          <w:rFonts w:ascii="Book Antiqua" w:hAnsi="Book Antiqua"/>
          <w:color w:val="231F20"/>
          <w:spacing w:val="3"/>
          <w:sz w:val="17"/>
        </w:rPr>
        <w:t>Rewards</w:t>
      </w:r>
      <w:r>
        <w:rPr>
          <w:rFonts w:ascii="Book Antiqua" w:hAnsi="Book Antiqua"/>
          <w:color w:val="231F20"/>
          <w:spacing w:val="-17"/>
          <w:sz w:val="17"/>
        </w:rPr>
        <w:t> </w:t>
      </w:r>
      <w:r>
        <w:rPr>
          <w:rFonts w:ascii="Book Antiqua" w:hAnsi="Book Antiqua"/>
          <w:color w:val="231F20"/>
          <w:spacing w:val="4"/>
          <w:sz w:val="17"/>
        </w:rPr>
        <w:t>program</w:t>
      </w:r>
      <w:r>
        <w:rPr>
          <w:rFonts w:ascii="Book Antiqua" w:hAnsi="Book Antiqua"/>
          <w:color w:val="231F20"/>
          <w:spacing w:val="-19"/>
          <w:sz w:val="17"/>
        </w:rPr>
        <w:t> </w:t>
      </w:r>
      <w:r>
        <w:rPr>
          <w:rFonts w:ascii="Book Antiqua" w:hAnsi="Book Antiqua"/>
          <w:color w:val="231F20"/>
          <w:spacing w:val="3"/>
          <w:sz w:val="17"/>
        </w:rPr>
        <w:t>with</w:t>
      </w:r>
      <w:r>
        <w:rPr>
          <w:rFonts w:ascii="Book Antiqua" w:hAnsi="Book Antiqua"/>
          <w:color w:val="231F20"/>
          <w:spacing w:val="-17"/>
          <w:sz w:val="17"/>
        </w:rPr>
        <w:t> </w:t>
      </w:r>
      <w:r>
        <w:rPr>
          <w:rFonts w:ascii="Book Antiqua" w:hAnsi="Book Antiqua"/>
          <w:color w:val="231F20"/>
          <w:spacing w:val="3"/>
          <w:sz w:val="17"/>
        </w:rPr>
        <w:t>its</w:t>
      </w:r>
      <w:r>
        <w:rPr>
          <w:rFonts w:ascii="Book Antiqua" w:hAnsi="Book Antiqua"/>
          <w:color w:val="231F20"/>
          <w:spacing w:val="-17"/>
          <w:sz w:val="17"/>
        </w:rPr>
        <w:t> </w:t>
      </w:r>
      <w:r>
        <w:rPr>
          <w:rFonts w:ascii="Book Antiqua" w:hAnsi="Book Antiqua"/>
          <w:color w:val="231F20"/>
          <w:spacing w:val="3"/>
          <w:sz w:val="17"/>
        </w:rPr>
        <w:t>Freddie</w:t>
      </w:r>
      <w:r>
        <w:rPr>
          <w:rFonts w:ascii="Book Antiqua" w:hAnsi="Book Antiqua"/>
          <w:color w:val="231F20"/>
          <w:spacing w:val="-21"/>
          <w:sz w:val="17"/>
        </w:rPr>
        <w:t> </w:t>
      </w:r>
      <w:r>
        <w:rPr>
          <w:rFonts w:ascii="Book Antiqua" w:hAnsi="Book Antiqua"/>
          <w:color w:val="231F20"/>
          <w:spacing w:val="3"/>
          <w:sz w:val="17"/>
        </w:rPr>
        <w:t>Awards for Best </w:t>
      </w:r>
      <w:r>
        <w:rPr>
          <w:rFonts w:ascii="Book Antiqua" w:hAnsi="Book Antiqua"/>
          <w:color w:val="231F20"/>
          <w:spacing w:val="4"/>
          <w:sz w:val="17"/>
        </w:rPr>
        <w:t>Customer Service, </w:t>
      </w:r>
      <w:r>
        <w:rPr>
          <w:rFonts w:ascii="Book Antiqua" w:hAnsi="Book Antiqua"/>
          <w:color w:val="231F20"/>
          <w:spacing w:val="3"/>
          <w:sz w:val="17"/>
        </w:rPr>
        <w:t>Best </w:t>
      </w:r>
      <w:r>
        <w:rPr>
          <w:rFonts w:ascii="Book Antiqua" w:hAnsi="Book Antiqua"/>
          <w:color w:val="231F20"/>
          <w:spacing w:val="2"/>
          <w:sz w:val="17"/>
        </w:rPr>
        <w:t>Award </w:t>
      </w:r>
      <w:r>
        <w:rPr>
          <w:rFonts w:ascii="Book Antiqua" w:hAnsi="Book Antiqua"/>
          <w:color w:val="231F20"/>
          <w:spacing w:val="4"/>
          <w:sz w:val="17"/>
        </w:rPr>
        <w:t>Redemption, </w:t>
      </w:r>
      <w:r>
        <w:rPr>
          <w:rFonts w:ascii="Book Antiqua" w:hAnsi="Book Antiqua"/>
          <w:color w:val="231F20"/>
          <w:spacing w:val="3"/>
          <w:sz w:val="17"/>
        </w:rPr>
        <w:t>and </w:t>
      </w:r>
      <w:r>
        <w:rPr>
          <w:rFonts w:ascii="Book Antiqua" w:hAnsi="Book Antiqua"/>
          <w:color w:val="231F20"/>
          <w:spacing w:val="5"/>
          <w:sz w:val="17"/>
        </w:rPr>
        <w:t>Best </w:t>
      </w:r>
      <w:r>
        <w:rPr>
          <w:rFonts w:ascii="Book Antiqua" w:hAnsi="Book Antiqua"/>
          <w:color w:val="231F20"/>
          <w:spacing w:val="6"/>
          <w:sz w:val="17"/>
        </w:rPr>
        <w:t>Bonus </w:t>
      </w:r>
      <w:r>
        <w:rPr>
          <w:rFonts w:ascii="Book Antiqua" w:hAnsi="Book Antiqua"/>
          <w:color w:val="231F20"/>
          <w:spacing w:val="7"/>
          <w:sz w:val="17"/>
        </w:rPr>
        <w:t>Promotion </w:t>
      </w:r>
      <w:r>
        <w:rPr>
          <w:rFonts w:ascii="Book Antiqua" w:hAnsi="Book Antiqua"/>
          <w:color w:val="231F20"/>
          <w:spacing w:val="6"/>
          <w:sz w:val="17"/>
        </w:rPr>
        <w:t>among </w:t>
      </w:r>
      <w:r>
        <w:rPr>
          <w:rFonts w:ascii="Book Antiqua" w:hAnsi="Book Antiqua"/>
          <w:color w:val="231F20"/>
          <w:spacing w:val="5"/>
          <w:sz w:val="17"/>
        </w:rPr>
        <w:t>all </w:t>
      </w:r>
      <w:r>
        <w:rPr>
          <w:rFonts w:ascii="Book Antiqua" w:hAnsi="Book Antiqua"/>
          <w:color w:val="231F20"/>
          <w:spacing w:val="7"/>
          <w:sz w:val="17"/>
        </w:rPr>
        <w:t>frequent </w:t>
      </w:r>
      <w:r>
        <w:rPr>
          <w:rFonts w:ascii="Book Antiqua" w:hAnsi="Book Antiqua"/>
          <w:color w:val="231F20"/>
          <w:sz w:val="17"/>
        </w:rPr>
        <w:t>f </w:t>
      </w:r>
      <w:r>
        <w:rPr>
          <w:rFonts w:ascii="Book Antiqua" w:hAnsi="Book Antiqua"/>
          <w:color w:val="231F20"/>
          <w:spacing w:val="4"/>
          <w:sz w:val="17"/>
        </w:rPr>
        <w:t>lyer </w:t>
      </w:r>
      <w:r>
        <w:rPr>
          <w:rFonts w:ascii="Book Antiqua" w:hAnsi="Book Antiqua"/>
          <w:color w:val="231F20"/>
          <w:spacing w:val="7"/>
          <w:sz w:val="17"/>
        </w:rPr>
        <w:t>programs. </w:t>
      </w:r>
      <w:r>
        <w:rPr>
          <w:rFonts w:ascii="Book Antiqua" w:hAnsi="Book Antiqua"/>
          <w:color w:val="231F20"/>
          <w:spacing w:val="8"/>
          <w:sz w:val="17"/>
        </w:rPr>
        <w:t>Rapid </w:t>
      </w:r>
      <w:r>
        <w:rPr>
          <w:rFonts w:ascii="Book Antiqua" w:hAnsi="Book Antiqua"/>
          <w:color w:val="231F20"/>
          <w:spacing w:val="3"/>
          <w:sz w:val="17"/>
        </w:rPr>
        <w:t>Rewards</w:t>
      </w:r>
      <w:r>
        <w:rPr>
          <w:rFonts w:ascii="Book Antiqua" w:hAnsi="Book Antiqua"/>
          <w:color w:val="231F20"/>
          <w:spacing w:val="-11"/>
          <w:sz w:val="17"/>
        </w:rPr>
        <w:t> </w:t>
      </w:r>
      <w:r>
        <w:rPr>
          <w:rFonts w:ascii="Book Antiqua" w:hAnsi="Book Antiqua"/>
          <w:color w:val="231F20"/>
          <w:spacing w:val="6"/>
          <w:sz w:val="17"/>
        </w:rPr>
        <w:t>Members</w:t>
      </w:r>
      <w:r>
        <w:rPr>
          <w:rFonts w:ascii="Book Antiqua" w:hAnsi="Book Antiqua"/>
          <w:color w:val="231F20"/>
          <w:spacing w:val="-9"/>
          <w:sz w:val="17"/>
        </w:rPr>
        <w:t> </w:t>
      </w:r>
      <w:r>
        <w:rPr>
          <w:rFonts w:ascii="Book Antiqua" w:hAnsi="Book Antiqua"/>
          <w:color w:val="231F20"/>
          <w:spacing w:val="4"/>
          <w:sz w:val="17"/>
        </w:rPr>
        <w:t>can</w:t>
      </w:r>
      <w:r>
        <w:rPr>
          <w:rFonts w:ascii="Book Antiqua" w:hAnsi="Book Antiqua"/>
          <w:color w:val="231F20"/>
          <w:spacing w:val="-9"/>
          <w:sz w:val="17"/>
        </w:rPr>
        <w:t> </w:t>
      </w:r>
      <w:r>
        <w:rPr>
          <w:rFonts w:ascii="Book Antiqua" w:hAnsi="Book Antiqua"/>
          <w:color w:val="231F20"/>
          <w:spacing w:val="5"/>
          <w:sz w:val="17"/>
        </w:rPr>
        <w:t>also</w:t>
      </w:r>
      <w:r>
        <w:rPr>
          <w:rFonts w:ascii="Book Antiqua" w:hAnsi="Book Antiqua"/>
          <w:color w:val="231F20"/>
          <w:spacing w:val="-9"/>
          <w:sz w:val="17"/>
        </w:rPr>
        <w:t> </w:t>
      </w:r>
      <w:r>
        <w:rPr>
          <w:rFonts w:ascii="Book Antiqua" w:hAnsi="Book Antiqua"/>
          <w:color w:val="231F20"/>
          <w:spacing w:val="5"/>
          <w:sz w:val="17"/>
        </w:rPr>
        <w:t>receive</w:t>
      </w:r>
      <w:r>
        <w:rPr>
          <w:rFonts w:ascii="Book Antiqua" w:hAnsi="Book Antiqua"/>
          <w:color w:val="231F20"/>
          <w:spacing w:val="-9"/>
          <w:sz w:val="17"/>
        </w:rPr>
        <w:t> </w:t>
      </w:r>
      <w:r>
        <w:rPr>
          <w:rFonts w:ascii="Book Antiqua" w:hAnsi="Book Antiqua"/>
          <w:color w:val="231F20"/>
          <w:spacing w:val="5"/>
          <w:sz w:val="17"/>
        </w:rPr>
        <w:t>Rapid</w:t>
      </w:r>
      <w:r>
        <w:rPr>
          <w:rFonts w:ascii="Book Antiqua" w:hAnsi="Book Antiqua"/>
          <w:color w:val="231F20"/>
          <w:spacing w:val="-9"/>
          <w:sz w:val="17"/>
        </w:rPr>
        <w:t> </w:t>
      </w:r>
      <w:r>
        <w:rPr>
          <w:rFonts w:ascii="Book Antiqua" w:hAnsi="Book Antiqua"/>
          <w:color w:val="231F20"/>
          <w:spacing w:val="5"/>
          <w:sz w:val="17"/>
        </w:rPr>
        <w:t>Rewards</w:t>
      </w:r>
      <w:r>
        <w:rPr>
          <w:rFonts w:ascii="Book Antiqua" w:hAnsi="Book Antiqua"/>
          <w:color w:val="231F20"/>
          <w:spacing w:val="-9"/>
          <w:sz w:val="17"/>
        </w:rPr>
        <w:t> </w:t>
      </w:r>
      <w:r>
        <w:rPr>
          <w:rFonts w:ascii="Book Antiqua" w:hAnsi="Book Antiqua"/>
          <w:color w:val="231F20"/>
          <w:spacing w:val="6"/>
          <w:sz w:val="17"/>
        </w:rPr>
        <w:t>credits</w:t>
      </w:r>
      <w:r>
        <w:rPr>
          <w:rFonts w:ascii="Book Antiqua" w:hAnsi="Book Antiqua"/>
          <w:color w:val="231F20"/>
          <w:spacing w:val="-11"/>
          <w:sz w:val="17"/>
        </w:rPr>
        <w:t> </w:t>
      </w:r>
      <w:r>
        <w:rPr>
          <w:rFonts w:ascii="Book Antiqua" w:hAnsi="Book Antiqua"/>
          <w:color w:val="231F20"/>
          <w:spacing w:val="7"/>
          <w:sz w:val="17"/>
        </w:rPr>
        <w:t>when </w:t>
      </w:r>
      <w:r>
        <w:rPr>
          <w:rFonts w:ascii="Book Antiqua" w:hAnsi="Book Antiqua"/>
          <w:color w:val="231F20"/>
          <w:spacing w:val="5"/>
          <w:sz w:val="17"/>
        </w:rPr>
        <w:t>doing </w:t>
      </w:r>
      <w:r>
        <w:rPr>
          <w:rFonts w:ascii="Book Antiqua" w:hAnsi="Book Antiqua"/>
          <w:color w:val="231F20"/>
          <w:spacing w:val="4"/>
          <w:sz w:val="17"/>
        </w:rPr>
        <w:t>business </w:t>
      </w:r>
      <w:r>
        <w:rPr>
          <w:rFonts w:ascii="Book Antiqua" w:hAnsi="Book Antiqua"/>
          <w:color w:val="231F20"/>
          <w:spacing w:val="3"/>
          <w:sz w:val="17"/>
        </w:rPr>
        <w:t>with our </w:t>
      </w:r>
      <w:r>
        <w:rPr>
          <w:rFonts w:ascii="Book Antiqua" w:hAnsi="Book Antiqua"/>
          <w:color w:val="231F20"/>
          <w:spacing w:val="4"/>
          <w:sz w:val="17"/>
        </w:rPr>
        <w:t>Preferred Partners </w:t>
      </w:r>
      <w:r>
        <w:rPr>
          <w:rFonts w:ascii="Book Antiqua" w:hAnsi="Book Antiqua"/>
          <w:color w:val="231F20"/>
          <w:spacing w:val="3"/>
          <w:sz w:val="17"/>
        </w:rPr>
        <w:t>(Alamo, </w:t>
      </w:r>
      <w:r>
        <w:rPr>
          <w:rFonts w:ascii="Book Antiqua" w:hAnsi="Book Antiqua"/>
          <w:color w:val="231F20"/>
          <w:spacing w:val="5"/>
          <w:sz w:val="17"/>
        </w:rPr>
        <w:t>American </w:t>
      </w:r>
      <w:r>
        <w:rPr>
          <w:rFonts w:ascii="Book Antiqua" w:hAnsi="Book Antiqua"/>
          <w:color w:val="231F20"/>
          <w:spacing w:val="4"/>
          <w:sz w:val="17"/>
        </w:rPr>
        <w:t>Express, Budget, Diners Club, </w:t>
      </w:r>
      <w:r>
        <w:rPr>
          <w:rFonts w:ascii="Book Antiqua" w:hAnsi="Book Antiqua"/>
          <w:color w:val="231F20"/>
          <w:spacing w:val="3"/>
          <w:sz w:val="17"/>
        </w:rPr>
        <w:t>Dollar, </w:t>
      </w:r>
      <w:r>
        <w:rPr>
          <w:rFonts w:ascii="Book Antiqua" w:hAnsi="Book Antiqua"/>
          <w:color w:val="231F20"/>
          <w:spacing w:val="4"/>
          <w:sz w:val="17"/>
        </w:rPr>
        <w:t>Hertz, Earthlink, </w:t>
      </w:r>
      <w:r>
        <w:rPr>
          <w:rFonts w:ascii="Book Antiqua" w:hAnsi="Book Antiqua"/>
          <w:color w:val="231F20"/>
          <w:spacing w:val="5"/>
          <w:sz w:val="17"/>
        </w:rPr>
        <w:t>Nextel, </w:t>
      </w:r>
      <w:r>
        <w:rPr>
          <w:rFonts w:ascii="Book Antiqua" w:hAnsi="Book Antiqua"/>
          <w:color w:val="231F20"/>
          <w:spacing w:val="4"/>
          <w:sz w:val="17"/>
        </w:rPr>
        <w:t>Hilton, </w:t>
      </w:r>
      <w:r>
        <w:rPr>
          <w:rFonts w:ascii="Book Antiqua" w:hAnsi="Book Antiqua"/>
          <w:color w:val="231F20"/>
          <w:spacing w:val="3"/>
          <w:sz w:val="17"/>
        </w:rPr>
        <w:t>Hyatt, </w:t>
      </w:r>
      <w:r>
        <w:rPr>
          <w:rFonts w:ascii="Book Antiqua" w:hAnsi="Book Antiqua"/>
          <w:color w:val="231F20"/>
          <w:spacing w:val="4"/>
          <w:sz w:val="17"/>
        </w:rPr>
        <w:t>Marriott, </w:t>
      </w:r>
      <w:r>
        <w:rPr>
          <w:rFonts w:ascii="Book Antiqua" w:hAnsi="Book Antiqua"/>
          <w:color w:val="231F20"/>
          <w:spacing w:val="2"/>
          <w:sz w:val="17"/>
        </w:rPr>
        <w:t>La </w:t>
      </w:r>
      <w:r>
        <w:rPr>
          <w:rFonts w:ascii="Book Antiqua" w:hAnsi="Book Antiqua"/>
          <w:color w:val="231F20"/>
          <w:spacing w:val="4"/>
          <w:sz w:val="17"/>
        </w:rPr>
        <w:t>Quinta, </w:t>
      </w:r>
      <w:r>
        <w:rPr>
          <w:rFonts w:ascii="Book Antiqua" w:hAnsi="Book Antiqua"/>
          <w:color w:val="231F20"/>
          <w:spacing w:val="3"/>
          <w:sz w:val="17"/>
        </w:rPr>
        <w:t>and </w:t>
      </w:r>
      <w:r>
        <w:rPr>
          <w:rFonts w:ascii="Book Antiqua" w:hAnsi="Book Antiqua"/>
          <w:color w:val="231F20"/>
          <w:spacing w:val="4"/>
          <w:sz w:val="17"/>
        </w:rPr>
        <w:t>Choice brand hotels) </w:t>
      </w:r>
      <w:r>
        <w:rPr>
          <w:rFonts w:ascii="Book Antiqua" w:hAnsi="Book Antiqua"/>
          <w:color w:val="231F20"/>
          <w:spacing w:val="5"/>
          <w:sz w:val="17"/>
        </w:rPr>
        <w:t>as </w:t>
      </w:r>
      <w:r>
        <w:rPr>
          <w:rFonts w:ascii="Book Antiqua" w:hAnsi="Book Antiqua"/>
          <w:color w:val="231F20"/>
          <w:spacing w:val="2"/>
          <w:sz w:val="17"/>
        </w:rPr>
        <w:t>well</w:t>
      </w:r>
      <w:r>
        <w:rPr>
          <w:rFonts w:ascii="Book Antiqua" w:hAnsi="Book Antiqua"/>
          <w:color w:val="231F20"/>
          <w:spacing w:val="-2"/>
          <w:sz w:val="17"/>
        </w:rPr>
        <w:t> </w:t>
      </w:r>
      <w:r>
        <w:rPr>
          <w:rFonts w:ascii="Book Antiqua" w:hAnsi="Book Antiqua"/>
          <w:color w:val="231F20"/>
          <w:spacing w:val="2"/>
          <w:sz w:val="17"/>
        </w:rPr>
        <w:t>as</w:t>
      </w:r>
      <w:r>
        <w:rPr>
          <w:rFonts w:ascii="Book Antiqua" w:hAnsi="Book Antiqua"/>
          <w:color w:val="231F20"/>
          <w:spacing w:val="-2"/>
          <w:sz w:val="17"/>
        </w:rPr>
        <w:t> </w:t>
      </w:r>
      <w:r>
        <w:rPr>
          <w:rFonts w:ascii="Book Antiqua" w:hAnsi="Book Antiqua"/>
          <w:color w:val="231F20"/>
          <w:spacing w:val="4"/>
          <w:sz w:val="17"/>
        </w:rPr>
        <w:t>through</w:t>
      </w:r>
      <w:r>
        <w:rPr>
          <w:rFonts w:ascii="Book Antiqua" w:hAnsi="Book Antiqua"/>
          <w:color w:val="231F20"/>
          <w:spacing w:val="-2"/>
          <w:sz w:val="17"/>
        </w:rPr>
        <w:t> </w:t>
      </w:r>
      <w:r>
        <w:rPr>
          <w:rFonts w:ascii="Book Antiqua" w:hAnsi="Book Antiqua"/>
          <w:color w:val="231F20"/>
          <w:spacing w:val="3"/>
          <w:sz w:val="17"/>
        </w:rPr>
        <w:t>the</w:t>
      </w:r>
      <w:r>
        <w:rPr>
          <w:rFonts w:ascii="Book Antiqua" w:hAnsi="Book Antiqua"/>
          <w:color w:val="231F20"/>
          <w:spacing w:val="-2"/>
          <w:sz w:val="17"/>
        </w:rPr>
        <w:t> </w:t>
      </w:r>
      <w:r>
        <w:rPr>
          <w:rFonts w:ascii="Book Antiqua" w:hAnsi="Book Antiqua"/>
          <w:color w:val="231F20"/>
          <w:spacing w:val="3"/>
          <w:sz w:val="17"/>
        </w:rPr>
        <w:t>use</w:t>
      </w:r>
      <w:r>
        <w:rPr>
          <w:rFonts w:ascii="Book Antiqua" w:hAnsi="Book Antiqua"/>
          <w:color w:val="231F20"/>
          <w:spacing w:val="-2"/>
          <w:sz w:val="17"/>
        </w:rPr>
        <w:t> </w:t>
      </w:r>
      <w:r>
        <w:rPr>
          <w:rFonts w:ascii="Book Antiqua" w:hAnsi="Book Antiqua"/>
          <w:color w:val="231F20"/>
          <w:spacing w:val="2"/>
          <w:sz w:val="17"/>
        </w:rPr>
        <w:t>of</w:t>
      </w:r>
      <w:r>
        <w:rPr>
          <w:rFonts w:ascii="Book Antiqua" w:hAnsi="Book Antiqua"/>
          <w:color w:val="231F20"/>
          <w:spacing w:val="-2"/>
          <w:sz w:val="17"/>
        </w:rPr>
        <w:t> </w:t>
      </w:r>
      <w:r>
        <w:rPr>
          <w:rFonts w:ascii="Book Antiqua" w:hAnsi="Book Antiqua"/>
          <w:color w:val="231F20"/>
          <w:spacing w:val="3"/>
          <w:sz w:val="17"/>
        </w:rPr>
        <w:t>the</w:t>
      </w:r>
      <w:r>
        <w:rPr>
          <w:rFonts w:ascii="Book Antiqua" w:hAnsi="Book Antiqua"/>
          <w:color w:val="231F20"/>
          <w:spacing w:val="-2"/>
          <w:sz w:val="17"/>
        </w:rPr>
        <w:t> </w:t>
      </w:r>
      <w:r>
        <w:rPr>
          <w:rFonts w:ascii="Book Antiqua" w:hAnsi="Book Antiqua"/>
          <w:color w:val="231F20"/>
          <w:spacing w:val="3"/>
          <w:sz w:val="17"/>
        </w:rPr>
        <w:t>Southwest</w:t>
      </w:r>
      <w:r>
        <w:rPr>
          <w:rFonts w:ascii="Book Antiqua" w:hAnsi="Book Antiqua"/>
          <w:color w:val="231F20"/>
          <w:spacing w:val="-13"/>
          <w:sz w:val="17"/>
        </w:rPr>
        <w:t> </w:t>
      </w:r>
      <w:r>
        <w:rPr>
          <w:rFonts w:ascii="Book Antiqua" w:hAnsi="Book Antiqua"/>
          <w:color w:val="231F20"/>
          <w:spacing w:val="3"/>
          <w:sz w:val="17"/>
        </w:rPr>
        <w:t>Airlines</w:t>
      </w:r>
      <w:r>
        <w:rPr>
          <w:rFonts w:ascii="Book Antiqua" w:hAnsi="Book Antiqua"/>
          <w:color w:val="231F20"/>
          <w:spacing w:val="-2"/>
          <w:sz w:val="17"/>
        </w:rPr>
        <w:t> </w:t>
      </w:r>
      <w:r>
        <w:rPr>
          <w:rFonts w:ascii="Book Antiqua" w:hAnsi="Book Antiqua"/>
          <w:color w:val="231F20"/>
          <w:spacing w:val="4"/>
          <w:sz w:val="17"/>
        </w:rPr>
        <w:t>Rapid</w:t>
      </w:r>
      <w:r>
        <w:rPr>
          <w:rFonts w:ascii="Book Antiqua" w:hAnsi="Book Antiqua"/>
          <w:color w:val="231F20"/>
          <w:spacing w:val="-2"/>
          <w:sz w:val="17"/>
        </w:rPr>
        <w:t> </w:t>
      </w:r>
      <w:r>
        <w:rPr>
          <w:rFonts w:ascii="Book Antiqua" w:hAnsi="Book Antiqua"/>
          <w:color w:val="231F20"/>
          <w:spacing w:val="4"/>
          <w:sz w:val="17"/>
        </w:rPr>
        <w:t>Rewards </w:t>
      </w:r>
      <w:r>
        <w:rPr>
          <w:rFonts w:ascii="Book Antiqua" w:hAnsi="Book Antiqua"/>
          <w:color w:val="231F20"/>
          <w:spacing w:val="5"/>
          <w:w w:val="94"/>
          <w:sz w:val="17"/>
        </w:rPr>
        <w:t>Ban</w:t>
      </w:r>
      <w:r>
        <w:rPr>
          <w:rFonts w:ascii="Book Antiqua" w:hAnsi="Book Antiqua"/>
          <w:color w:val="231F20"/>
          <w:w w:val="94"/>
          <w:sz w:val="17"/>
        </w:rPr>
        <w:t>k</w:t>
      </w:r>
      <w:r>
        <w:rPr>
          <w:rFonts w:ascii="Book Antiqua" w:hAnsi="Book Antiqua"/>
          <w:color w:val="231F20"/>
          <w:spacing w:val="11"/>
          <w:sz w:val="17"/>
        </w:rPr>
        <w:t> </w:t>
      </w:r>
      <w:r>
        <w:rPr>
          <w:rFonts w:ascii="Book Antiqua" w:hAnsi="Book Antiqua"/>
          <w:color w:val="231F20"/>
          <w:spacing w:val="5"/>
          <w:w w:val="97"/>
          <w:sz w:val="17"/>
        </w:rPr>
        <w:t>One</w:t>
      </w:r>
      <w:r>
        <w:rPr>
          <w:rFonts w:ascii="Book Antiqua" w:hAnsi="Book Antiqua"/>
          <w:color w:val="231F20"/>
          <w:w w:val="118"/>
          <w:position w:val="6"/>
          <w:sz w:val="8"/>
        </w:rPr>
        <w:t>®</w:t>
      </w:r>
      <w:r>
        <w:rPr>
          <w:rFonts w:ascii="Book Antiqua" w:hAnsi="Book Antiqua"/>
          <w:color w:val="231F20"/>
          <w:spacing w:val="3"/>
          <w:position w:val="6"/>
          <w:sz w:val="8"/>
        </w:rPr>
        <w:t> </w:t>
      </w:r>
      <w:r>
        <w:rPr>
          <w:rFonts w:ascii="Book Antiqua" w:hAnsi="Book Antiqua"/>
          <w:color w:val="231F20"/>
          <w:spacing w:val="1"/>
          <w:w w:val="95"/>
          <w:sz w:val="17"/>
        </w:rPr>
        <w:t>V</w:t>
      </w:r>
      <w:r>
        <w:rPr>
          <w:rFonts w:ascii="Book Antiqua" w:hAnsi="Book Antiqua"/>
          <w:color w:val="231F20"/>
          <w:spacing w:val="5"/>
          <w:w w:val="89"/>
          <w:sz w:val="17"/>
        </w:rPr>
        <w:t>is</w:t>
      </w:r>
      <w:r>
        <w:rPr>
          <w:rFonts w:ascii="Book Antiqua" w:hAnsi="Book Antiqua"/>
          <w:color w:val="231F20"/>
          <w:w w:val="89"/>
          <w:sz w:val="17"/>
        </w:rPr>
        <w:t>a</w:t>
      </w:r>
      <w:r>
        <w:rPr>
          <w:rFonts w:ascii="Book Antiqua" w:hAnsi="Book Antiqua"/>
          <w:color w:val="231F20"/>
          <w:spacing w:val="18"/>
          <w:sz w:val="17"/>
        </w:rPr>
        <w:t> </w:t>
      </w:r>
      <w:r>
        <w:rPr>
          <w:rFonts w:ascii="Book Antiqua" w:hAnsi="Book Antiqua"/>
          <w:color w:val="231F20"/>
          <w:spacing w:val="5"/>
          <w:w w:val="93"/>
          <w:sz w:val="17"/>
        </w:rPr>
        <w:t>credi</w:t>
      </w:r>
      <w:r>
        <w:rPr>
          <w:rFonts w:ascii="Book Antiqua" w:hAnsi="Book Antiqua"/>
          <w:color w:val="231F20"/>
          <w:w w:val="93"/>
          <w:sz w:val="17"/>
        </w:rPr>
        <w:t>t</w:t>
      </w:r>
      <w:r>
        <w:rPr>
          <w:rFonts w:ascii="Book Antiqua" w:hAnsi="Book Antiqua"/>
          <w:color w:val="231F20"/>
          <w:spacing w:val="12"/>
          <w:sz w:val="17"/>
        </w:rPr>
        <w:t> </w:t>
      </w:r>
      <w:r>
        <w:rPr>
          <w:rFonts w:ascii="Book Antiqua" w:hAnsi="Book Antiqua"/>
          <w:color w:val="231F20"/>
          <w:spacing w:val="5"/>
          <w:w w:val="91"/>
          <w:sz w:val="17"/>
        </w:rPr>
        <w:t>card.</w:t>
      </w:r>
    </w:p>
    <w:p>
      <w:pPr>
        <w:pStyle w:val="BodyText"/>
        <w:spacing w:before="4"/>
        <w:rPr>
          <w:rFonts w:ascii="Book Antiqua"/>
          <w:sz w:val="28"/>
        </w:rPr>
      </w:pPr>
    </w:p>
    <w:p>
      <w:pPr>
        <w:spacing w:before="0"/>
        <w:ind w:left="120" w:right="0" w:firstLine="0"/>
        <w:jc w:val="both"/>
        <w:rPr>
          <w:rFonts w:ascii="Book Antiqua"/>
          <w:sz w:val="16"/>
        </w:rPr>
      </w:pPr>
      <w:r>
        <w:rPr>
          <w:rFonts w:ascii="Book Antiqua"/>
          <w:color w:val="231F20"/>
          <w:sz w:val="16"/>
        </w:rPr>
        <w:t>Strong Financials</w:t>
      </w:r>
    </w:p>
    <w:p>
      <w:pPr>
        <w:pStyle w:val="BodyText"/>
        <w:spacing w:before="6"/>
        <w:rPr>
          <w:rFonts w:ascii="Book Antiqua"/>
          <w:sz w:val="17"/>
        </w:rPr>
      </w:pPr>
    </w:p>
    <w:p>
      <w:pPr>
        <w:spacing w:line="321" w:lineRule="auto" w:before="0"/>
        <w:ind w:left="120" w:right="0" w:firstLine="360"/>
        <w:jc w:val="both"/>
        <w:rPr>
          <w:rFonts w:ascii="Book Antiqua"/>
          <w:sz w:val="17"/>
        </w:rPr>
      </w:pPr>
      <w:r>
        <w:rPr>
          <w:rFonts w:ascii="Book Antiqua"/>
          <w:color w:val="231F20"/>
          <w:sz w:val="17"/>
        </w:rPr>
        <w:t>Our Chairman and Co-founder, Herb Kelleher, has always taught us to manage our Company in good times so that we are ready for bad times. As a result of this philosophy, we have the </w:t>
      </w:r>
      <w:r>
        <w:rPr>
          <w:rFonts w:ascii="Book Antiqua"/>
          <w:color w:val="231F20"/>
          <w:w w:val="95"/>
          <w:sz w:val="17"/>
        </w:rPr>
        <w:t>strongest f inancial position in the industry, and we were prepared </w:t>
      </w:r>
      <w:r>
        <w:rPr>
          <w:rFonts w:ascii="Book Antiqua"/>
          <w:color w:val="231F20"/>
          <w:sz w:val="17"/>
        </w:rPr>
        <w:t>for the devastating aftermath of September 11, 2001. We operate in an industry that is cyclical, energy intensive, labor intensive, and capital intensive. Our operating costs are largely f ixed, and our operations are subject to federal oversight, weather</w:t>
      </w:r>
    </w:p>
    <w:p>
      <w:pPr>
        <w:pStyle w:val="BodyText"/>
        <w:rPr>
          <w:rFonts w:ascii="Book Antiqua"/>
          <w:sz w:val="20"/>
        </w:rPr>
      </w:pPr>
      <w:r>
        <w:rPr/>
        <w:br w:type="column"/>
      </w:r>
      <w:r>
        <w:rPr>
          <w:rFonts w:ascii="Book Antiqua"/>
          <w:sz w:val="20"/>
        </w:rPr>
      </w:r>
    </w:p>
    <w:p>
      <w:pPr>
        <w:pStyle w:val="BodyText"/>
        <w:rPr>
          <w:rFonts w:ascii="Book Antiqua"/>
          <w:sz w:val="20"/>
        </w:rPr>
      </w:pPr>
    </w:p>
    <w:p>
      <w:pPr>
        <w:pStyle w:val="BodyText"/>
        <w:spacing w:before="11"/>
        <w:rPr>
          <w:rFonts w:ascii="Book Antiqua"/>
          <w:sz w:val="24"/>
        </w:rPr>
      </w:pPr>
    </w:p>
    <w:p>
      <w:pPr>
        <w:spacing w:line="319" w:lineRule="auto" w:before="0"/>
        <w:ind w:left="120" w:right="483" w:firstLine="0"/>
        <w:jc w:val="both"/>
        <w:rPr>
          <w:rFonts w:ascii="Book Antiqua"/>
          <w:sz w:val="17"/>
        </w:rPr>
      </w:pPr>
      <w:r>
        <w:rPr>
          <w:rFonts w:ascii="Book Antiqua"/>
          <w:color w:val="231F20"/>
          <w:sz w:val="17"/>
        </w:rPr>
        <w:t>conditions, and natural disasters. Our industry is also highly </w:t>
      </w:r>
      <w:r>
        <w:rPr>
          <w:rFonts w:ascii="Book Antiqua"/>
          <w:color w:val="231F20"/>
          <w:w w:val="95"/>
          <w:sz w:val="17"/>
        </w:rPr>
        <w:t>competitive. Consequently, we must always be financially prepared </w:t>
      </w:r>
      <w:r>
        <w:rPr>
          <w:rFonts w:ascii="Book Antiqua"/>
          <w:color w:val="231F20"/>
          <w:sz w:val="17"/>
        </w:rPr>
        <w:t>for the worst.</w:t>
      </w:r>
    </w:p>
    <w:p>
      <w:pPr>
        <w:spacing w:line="319" w:lineRule="auto" w:before="0"/>
        <w:ind w:left="120" w:right="477" w:firstLine="360"/>
        <w:jc w:val="both"/>
        <w:rPr>
          <w:rFonts w:ascii="Book Antiqua"/>
          <w:sz w:val="17"/>
        </w:rPr>
      </w:pPr>
      <w:r>
        <w:rPr>
          <w:rFonts w:ascii="Book Antiqua"/>
          <w:color w:val="231F20"/>
          <w:spacing w:val="4"/>
          <w:sz w:val="17"/>
        </w:rPr>
        <w:t>Since September </w:t>
      </w:r>
      <w:r>
        <w:rPr>
          <w:rFonts w:ascii="Book Antiqua"/>
          <w:color w:val="231F20"/>
          <w:sz w:val="17"/>
        </w:rPr>
        <w:t>11, 2001, we </w:t>
      </w:r>
      <w:r>
        <w:rPr>
          <w:rFonts w:ascii="Book Antiqua"/>
          <w:color w:val="231F20"/>
          <w:spacing w:val="2"/>
          <w:sz w:val="17"/>
        </w:rPr>
        <w:t>have </w:t>
      </w:r>
      <w:r>
        <w:rPr>
          <w:rFonts w:ascii="Book Antiqua"/>
          <w:color w:val="231F20"/>
          <w:spacing w:val="3"/>
          <w:sz w:val="17"/>
        </w:rPr>
        <w:t>taken the </w:t>
      </w:r>
      <w:r>
        <w:rPr>
          <w:rFonts w:ascii="Book Antiqua"/>
          <w:color w:val="231F20"/>
          <w:spacing w:val="4"/>
          <w:sz w:val="17"/>
        </w:rPr>
        <w:t>necessary </w:t>
      </w:r>
      <w:r>
        <w:rPr>
          <w:rFonts w:ascii="Book Antiqua"/>
          <w:color w:val="231F20"/>
          <w:spacing w:val="5"/>
          <w:sz w:val="17"/>
        </w:rPr>
        <w:t>steps </w:t>
      </w:r>
      <w:r>
        <w:rPr>
          <w:rFonts w:ascii="Book Antiqua"/>
          <w:color w:val="231F20"/>
          <w:spacing w:val="2"/>
          <w:sz w:val="17"/>
        </w:rPr>
        <w:t>to</w:t>
      </w:r>
      <w:r>
        <w:rPr>
          <w:rFonts w:ascii="Book Antiqua"/>
          <w:color w:val="231F20"/>
          <w:spacing w:val="-12"/>
          <w:sz w:val="17"/>
        </w:rPr>
        <w:t> </w:t>
      </w:r>
      <w:r>
        <w:rPr>
          <w:rFonts w:ascii="Book Antiqua"/>
          <w:color w:val="231F20"/>
          <w:spacing w:val="2"/>
          <w:sz w:val="17"/>
        </w:rPr>
        <w:t>protect</w:t>
      </w:r>
      <w:r>
        <w:rPr>
          <w:rFonts w:ascii="Book Antiqua"/>
          <w:color w:val="231F20"/>
          <w:spacing w:val="-17"/>
          <w:sz w:val="17"/>
        </w:rPr>
        <w:t> </w:t>
      </w:r>
      <w:r>
        <w:rPr>
          <w:rFonts w:ascii="Book Antiqua"/>
          <w:color w:val="231F20"/>
          <w:spacing w:val="4"/>
          <w:sz w:val="17"/>
        </w:rPr>
        <w:t>and</w:t>
      </w:r>
      <w:r>
        <w:rPr>
          <w:rFonts w:ascii="Book Antiqua"/>
          <w:color w:val="231F20"/>
          <w:spacing w:val="-10"/>
          <w:sz w:val="17"/>
        </w:rPr>
        <w:t> </w:t>
      </w:r>
      <w:r>
        <w:rPr>
          <w:rFonts w:ascii="Book Antiqua"/>
          <w:color w:val="231F20"/>
          <w:spacing w:val="3"/>
          <w:sz w:val="17"/>
        </w:rPr>
        <w:t>even</w:t>
      </w:r>
      <w:r>
        <w:rPr>
          <w:rFonts w:ascii="Book Antiqua"/>
          <w:color w:val="231F20"/>
          <w:spacing w:val="-10"/>
          <w:sz w:val="17"/>
        </w:rPr>
        <w:t> </w:t>
      </w:r>
      <w:r>
        <w:rPr>
          <w:rFonts w:ascii="Book Antiqua"/>
          <w:color w:val="231F20"/>
          <w:spacing w:val="5"/>
          <w:sz w:val="17"/>
        </w:rPr>
        <w:t>strengthen</w:t>
      </w:r>
      <w:r>
        <w:rPr>
          <w:rFonts w:ascii="Book Antiqua"/>
          <w:color w:val="231F20"/>
          <w:spacing w:val="-10"/>
          <w:sz w:val="17"/>
        </w:rPr>
        <w:t> </w:t>
      </w:r>
      <w:r>
        <w:rPr>
          <w:rFonts w:ascii="Book Antiqua"/>
          <w:color w:val="231F20"/>
          <w:spacing w:val="4"/>
          <w:sz w:val="17"/>
        </w:rPr>
        <w:t>our</w:t>
      </w:r>
      <w:r>
        <w:rPr>
          <w:rFonts w:ascii="Book Antiqua"/>
          <w:color w:val="231F20"/>
          <w:spacing w:val="-16"/>
          <w:sz w:val="17"/>
        </w:rPr>
        <w:t> </w:t>
      </w:r>
      <w:r>
        <w:rPr>
          <w:rFonts w:ascii="Book Antiqua"/>
          <w:color w:val="231F20"/>
          <w:spacing w:val="5"/>
          <w:sz w:val="17"/>
        </w:rPr>
        <w:t>balance</w:t>
      </w:r>
      <w:r>
        <w:rPr>
          <w:rFonts w:ascii="Book Antiqua"/>
          <w:color w:val="231F20"/>
          <w:spacing w:val="-10"/>
          <w:sz w:val="17"/>
        </w:rPr>
        <w:t> </w:t>
      </w:r>
      <w:r>
        <w:rPr>
          <w:rFonts w:ascii="Book Antiqua"/>
          <w:color w:val="231F20"/>
          <w:spacing w:val="4"/>
          <w:sz w:val="17"/>
        </w:rPr>
        <w:t>sheet</w:t>
      </w:r>
      <w:r>
        <w:rPr>
          <w:rFonts w:ascii="Book Antiqua"/>
          <w:color w:val="231F20"/>
          <w:spacing w:val="-13"/>
          <w:sz w:val="17"/>
        </w:rPr>
        <w:t> </w:t>
      </w:r>
      <w:r>
        <w:rPr>
          <w:rFonts w:ascii="Book Antiqua"/>
          <w:color w:val="231F20"/>
          <w:spacing w:val="4"/>
          <w:sz w:val="17"/>
        </w:rPr>
        <w:t>and</w:t>
      </w:r>
      <w:r>
        <w:rPr>
          <w:rFonts w:ascii="Book Antiqua"/>
          <w:color w:val="231F20"/>
          <w:spacing w:val="-10"/>
          <w:sz w:val="17"/>
        </w:rPr>
        <w:t> </w:t>
      </w:r>
      <w:r>
        <w:rPr>
          <w:rFonts w:ascii="Book Antiqua"/>
          <w:color w:val="231F20"/>
          <w:spacing w:val="4"/>
          <w:sz w:val="17"/>
        </w:rPr>
        <w:t>liquidity.</w:t>
      </w:r>
      <w:r>
        <w:rPr>
          <w:rFonts w:ascii="Book Antiqua"/>
          <w:color w:val="231F20"/>
          <w:spacing w:val="-16"/>
          <w:sz w:val="17"/>
        </w:rPr>
        <w:t> </w:t>
      </w:r>
      <w:r>
        <w:rPr>
          <w:rFonts w:ascii="Book Antiqua"/>
          <w:color w:val="231F20"/>
          <w:sz w:val="17"/>
        </w:rPr>
        <w:t>At </w:t>
      </w:r>
      <w:r>
        <w:rPr>
          <w:rFonts w:ascii="Book Antiqua"/>
          <w:color w:val="231F20"/>
          <w:spacing w:val="4"/>
          <w:sz w:val="17"/>
        </w:rPr>
        <w:t>the end </w:t>
      </w:r>
      <w:r>
        <w:rPr>
          <w:rFonts w:ascii="Book Antiqua"/>
          <w:color w:val="231F20"/>
          <w:spacing w:val="3"/>
          <w:sz w:val="17"/>
        </w:rPr>
        <w:t>of </w:t>
      </w:r>
      <w:r>
        <w:rPr>
          <w:rFonts w:ascii="Book Antiqua"/>
          <w:color w:val="231F20"/>
          <w:spacing w:val="5"/>
          <w:sz w:val="17"/>
        </w:rPr>
        <w:t>2003, </w:t>
      </w:r>
      <w:r>
        <w:rPr>
          <w:rFonts w:ascii="Book Antiqua"/>
          <w:color w:val="231F20"/>
          <w:sz w:val="17"/>
        </w:rPr>
        <w:t>we </w:t>
      </w:r>
      <w:r>
        <w:rPr>
          <w:rFonts w:ascii="Book Antiqua"/>
          <w:color w:val="231F20"/>
          <w:spacing w:val="4"/>
          <w:sz w:val="17"/>
        </w:rPr>
        <w:t>had </w:t>
      </w:r>
      <w:r>
        <w:rPr>
          <w:rFonts w:ascii="Book Antiqua"/>
          <w:color w:val="231F20"/>
          <w:spacing w:val="3"/>
          <w:sz w:val="17"/>
        </w:rPr>
        <w:t>$1.87 </w:t>
      </w:r>
      <w:r>
        <w:rPr>
          <w:rFonts w:ascii="Book Antiqua"/>
          <w:color w:val="231F20"/>
          <w:spacing w:val="6"/>
          <w:sz w:val="17"/>
        </w:rPr>
        <w:t>billion </w:t>
      </w:r>
      <w:r>
        <w:rPr>
          <w:rFonts w:ascii="Book Antiqua"/>
          <w:color w:val="231F20"/>
          <w:spacing w:val="3"/>
          <w:sz w:val="17"/>
        </w:rPr>
        <w:t>in </w:t>
      </w:r>
      <w:r>
        <w:rPr>
          <w:rFonts w:ascii="Book Antiqua"/>
          <w:color w:val="231F20"/>
          <w:spacing w:val="5"/>
          <w:sz w:val="17"/>
        </w:rPr>
        <w:t>cash </w:t>
      </w:r>
      <w:r>
        <w:rPr>
          <w:rFonts w:ascii="Book Antiqua"/>
          <w:color w:val="231F20"/>
          <w:spacing w:val="3"/>
          <w:sz w:val="17"/>
        </w:rPr>
        <w:t>on </w:t>
      </w:r>
      <w:r>
        <w:rPr>
          <w:rFonts w:ascii="Book Antiqua"/>
          <w:color w:val="231F20"/>
          <w:spacing w:val="5"/>
          <w:sz w:val="17"/>
        </w:rPr>
        <w:t>hand, </w:t>
      </w:r>
      <w:r>
        <w:rPr>
          <w:rFonts w:ascii="Book Antiqua"/>
          <w:color w:val="231F20"/>
          <w:sz w:val="17"/>
        </w:rPr>
        <w:t>a </w:t>
      </w:r>
      <w:r>
        <w:rPr>
          <w:rFonts w:ascii="Book Antiqua"/>
          <w:color w:val="231F20"/>
          <w:spacing w:val="7"/>
          <w:sz w:val="17"/>
        </w:rPr>
        <w:t>fully </w:t>
      </w:r>
      <w:r>
        <w:rPr>
          <w:rFonts w:ascii="Book Antiqua"/>
          <w:color w:val="231F20"/>
          <w:spacing w:val="3"/>
          <w:w w:val="95"/>
          <w:sz w:val="17"/>
        </w:rPr>
        <w:t>available</w:t>
      </w:r>
      <w:r>
        <w:rPr>
          <w:rFonts w:ascii="Book Antiqua"/>
          <w:color w:val="231F20"/>
          <w:spacing w:val="-3"/>
          <w:w w:val="95"/>
          <w:sz w:val="17"/>
        </w:rPr>
        <w:t> </w:t>
      </w:r>
      <w:r>
        <w:rPr>
          <w:rFonts w:ascii="Book Antiqua"/>
          <w:color w:val="231F20"/>
          <w:spacing w:val="3"/>
          <w:w w:val="95"/>
          <w:sz w:val="17"/>
        </w:rPr>
        <w:t>bank</w:t>
      </w:r>
      <w:r>
        <w:rPr>
          <w:rFonts w:ascii="Book Antiqua"/>
          <w:color w:val="231F20"/>
          <w:spacing w:val="-7"/>
          <w:w w:val="95"/>
          <w:sz w:val="17"/>
        </w:rPr>
        <w:t> </w:t>
      </w:r>
      <w:r>
        <w:rPr>
          <w:rFonts w:ascii="Book Antiqua"/>
          <w:color w:val="231F20"/>
          <w:spacing w:val="3"/>
          <w:w w:val="95"/>
          <w:sz w:val="17"/>
        </w:rPr>
        <w:t>revolving</w:t>
      </w:r>
      <w:r>
        <w:rPr>
          <w:rFonts w:ascii="Book Antiqua"/>
          <w:color w:val="231F20"/>
          <w:spacing w:val="-3"/>
          <w:w w:val="95"/>
          <w:sz w:val="17"/>
        </w:rPr>
        <w:t> </w:t>
      </w:r>
      <w:r>
        <w:rPr>
          <w:rFonts w:ascii="Book Antiqua"/>
          <w:color w:val="231F20"/>
          <w:spacing w:val="3"/>
          <w:w w:val="95"/>
          <w:sz w:val="17"/>
        </w:rPr>
        <w:t>credit</w:t>
      </w:r>
      <w:r>
        <w:rPr>
          <w:rFonts w:ascii="Book Antiqua"/>
          <w:color w:val="231F20"/>
          <w:spacing w:val="-7"/>
          <w:w w:val="95"/>
          <w:sz w:val="17"/>
        </w:rPr>
        <w:t> </w:t>
      </w:r>
      <w:r>
        <w:rPr>
          <w:rFonts w:ascii="Book Antiqua"/>
          <w:color w:val="231F20"/>
          <w:spacing w:val="3"/>
          <w:w w:val="95"/>
          <w:sz w:val="17"/>
        </w:rPr>
        <w:t>facility</w:t>
      </w:r>
      <w:r>
        <w:rPr>
          <w:rFonts w:ascii="Book Antiqua"/>
          <w:color w:val="231F20"/>
          <w:spacing w:val="-9"/>
          <w:w w:val="95"/>
          <w:sz w:val="17"/>
        </w:rPr>
        <w:t> </w:t>
      </w:r>
      <w:r>
        <w:rPr>
          <w:rFonts w:ascii="Book Antiqua"/>
          <w:color w:val="231F20"/>
          <w:w w:val="95"/>
          <w:sz w:val="17"/>
        </w:rPr>
        <w:t>of</w:t>
      </w:r>
      <w:r>
        <w:rPr>
          <w:rFonts w:ascii="Book Antiqua"/>
          <w:color w:val="231F20"/>
          <w:spacing w:val="-3"/>
          <w:w w:val="95"/>
          <w:sz w:val="17"/>
        </w:rPr>
        <w:t> </w:t>
      </w:r>
      <w:r>
        <w:rPr>
          <w:rFonts w:ascii="Book Antiqua"/>
          <w:color w:val="231F20"/>
          <w:w w:val="95"/>
          <w:sz w:val="17"/>
        </w:rPr>
        <w:t>$575</w:t>
      </w:r>
      <w:r>
        <w:rPr>
          <w:rFonts w:ascii="Book Antiqua"/>
          <w:color w:val="231F20"/>
          <w:spacing w:val="-5"/>
          <w:w w:val="95"/>
          <w:sz w:val="17"/>
        </w:rPr>
        <w:t> </w:t>
      </w:r>
      <w:r>
        <w:rPr>
          <w:rFonts w:ascii="Book Antiqua"/>
          <w:color w:val="231F20"/>
          <w:spacing w:val="3"/>
          <w:w w:val="95"/>
          <w:sz w:val="17"/>
        </w:rPr>
        <w:t>million,</w:t>
      </w:r>
      <w:r>
        <w:rPr>
          <w:rFonts w:ascii="Book Antiqua"/>
          <w:color w:val="231F20"/>
          <w:spacing w:val="-6"/>
          <w:w w:val="95"/>
          <w:sz w:val="17"/>
        </w:rPr>
        <w:t> </w:t>
      </w:r>
      <w:r>
        <w:rPr>
          <w:rFonts w:ascii="Book Antiqua"/>
          <w:color w:val="231F20"/>
          <w:spacing w:val="4"/>
          <w:w w:val="95"/>
          <w:sz w:val="17"/>
        </w:rPr>
        <w:t>unmortgaged </w:t>
      </w:r>
      <w:r>
        <w:rPr>
          <w:rFonts w:ascii="Book Antiqua"/>
          <w:color w:val="231F20"/>
          <w:spacing w:val="5"/>
          <w:sz w:val="17"/>
        </w:rPr>
        <w:t>assets </w:t>
      </w:r>
      <w:r>
        <w:rPr>
          <w:rFonts w:ascii="Book Antiqua"/>
          <w:color w:val="231F20"/>
          <w:spacing w:val="3"/>
          <w:sz w:val="17"/>
        </w:rPr>
        <w:t>of </w:t>
      </w:r>
      <w:r>
        <w:rPr>
          <w:rFonts w:ascii="Book Antiqua"/>
          <w:color w:val="231F20"/>
          <w:spacing w:val="4"/>
          <w:sz w:val="17"/>
        </w:rPr>
        <w:t>over </w:t>
      </w:r>
      <w:r>
        <w:rPr>
          <w:rFonts w:ascii="Book Antiqua"/>
          <w:color w:val="231F20"/>
          <w:spacing w:val="5"/>
          <w:sz w:val="17"/>
        </w:rPr>
        <w:t>$5 </w:t>
      </w:r>
      <w:r>
        <w:rPr>
          <w:rFonts w:ascii="Book Antiqua"/>
          <w:color w:val="231F20"/>
          <w:spacing w:val="8"/>
          <w:sz w:val="17"/>
        </w:rPr>
        <w:t>billion, </w:t>
      </w:r>
      <w:r>
        <w:rPr>
          <w:rFonts w:ascii="Book Antiqua"/>
          <w:color w:val="231F20"/>
          <w:spacing w:val="6"/>
          <w:sz w:val="17"/>
        </w:rPr>
        <w:t>and </w:t>
      </w:r>
      <w:r>
        <w:rPr>
          <w:rFonts w:ascii="Book Antiqua"/>
          <w:color w:val="231F20"/>
          <w:spacing w:val="7"/>
          <w:sz w:val="17"/>
        </w:rPr>
        <w:t>debt </w:t>
      </w:r>
      <w:r>
        <w:rPr>
          <w:rFonts w:ascii="Book Antiqua"/>
          <w:color w:val="231F20"/>
          <w:spacing w:val="5"/>
          <w:sz w:val="17"/>
        </w:rPr>
        <w:t>to </w:t>
      </w:r>
      <w:r>
        <w:rPr>
          <w:rFonts w:ascii="Book Antiqua"/>
          <w:color w:val="231F20"/>
          <w:spacing w:val="8"/>
          <w:sz w:val="17"/>
        </w:rPr>
        <w:t>total capital </w:t>
      </w:r>
      <w:r>
        <w:rPr>
          <w:rFonts w:ascii="Book Antiqua"/>
          <w:color w:val="231F20"/>
          <w:spacing w:val="5"/>
          <w:sz w:val="17"/>
        </w:rPr>
        <w:t>of </w:t>
      </w:r>
      <w:r>
        <w:rPr>
          <w:rFonts w:ascii="Book Antiqua"/>
          <w:color w:val="231F20"/>
          <w:spacing w:val="7"/>
          <w:sz w:val="17"/>
        </w:rPr>
        <w:t>less </w:t>
      </w:r>
      <w:r>
        <w:rPr>
          <w:rFonts w:ascii="Book Antiqua"/>
          <w:color w:val="231F20"/>
          <w:spacing w:val="10"/>
          <w:sz w:val="17"/>
        </w:rPr>
        <w:t>than </w:t>
      </w:r>
      <w:r>
        <w:rPr>
          <w:rFonts w:ascii="Book Antiqua"/>
          <w:color w:val="231F20"/>
          <w:spacing w:val="4"/>
          <w:sz w:val="17"/>
        </w:rPr>
        <w:t>40</w:t>
      </w:r>
      <w:r>
        <w:rPr>
          <w:rFonts w:ascii="Book Antiqua"/>
          <w:color w:val="231F20"/>
          <w:spacing w:val="-7"/>
          <w:sz w:val="17"/>
        </w:rPr>
        <w:t> </w:t>
      </w:r>
      <w:r>
        <w:rPr>
          <w:rFonts w:ascii="Book Antiqua"/>
          <w:color w:val="231F20"/>
          <w:spacing w:val="7"/>
          <w:sz w:val="17"/>
        </w:rPr>
        <w:t>percent,</w:t>
      </w:r>
      <w:r>
        <w:rPr>
          <w:rFonts w:ascii="Book Antiqua"/>
          <w:color w:val="231F20"/>
          <w:spacing w:val="-13"/>
          <w:sz w:val="17"/>
        </w:rPr>
        <w:t> </w:t>
      </w:r>
      <w:r>
        <w:rPr>
          <w:rFonts w:ascii="Book Antiqua"/>
          <w:color w:val="231F20"/>
          <w:sz w:val="17"/>
        </w:rPr>
        <w:t>including</w:t>
      </w:r>
      <w:r>
        <w:rPr>
          <w:rFonts w:ascii="Book Antiqua"/>
          <w:color w:val="231F20"/>
          <w:spacing w:val="-15"/>
          <w:sz w:val="17"/>
        </w:rPr>
        <w:t> </w:t>
      </w:r>
      <w:r>
        <w:rPr>
          <w:rFonts w:ascii="Book Antiqua"/>
          <w:color w:val="231F20"/>
          <w:spacing w:val="3"/>
          <w:sz w:val="17"/>
        </w:rPr>
        <w:t>leases</w:t>
      </w:r>
      <w:r>
        <w:rPr>
          <w:rFonts w:ascii="Book Antiqua"/>
          <w:color w:val="231F20"/>
          <w:spacing w:val="-12"/>
          <w:sz w:val="17"/>
        </w:rPr>
        <w:t> </w:t>
      </w:r>
      <w:r>
        <w:rPr>
          <w:rFonts w:ascii="Book Antiqua"/>
          <w:color w:val="231F20"/>
          <w:sz w:val="17"/>
        </w:rPr>
        <w:t>as</w:t>
      </w:r>
      <w:r>
        <w:rPr>
          <w:rFonts w:ascii="Book Antiqua"/>
          <w:color w:val="231F20"/>
          <w:spacing w:val="-12"/>
          <w:sz w:val="17"/>
        </w:rPr>
        <w:t> </w:t>
      </w:r>
      <w:r>
        <w:rPr>
          <w:rFonts w:ascii="Book Antiqua"/>
          <w:color w:val="231F20"/>
          <w:spacing w:val="3"/>
          <w:sz w:val="17"/>
        </w:rPr>
        <w:t>debt.</w:t>
      </w:r>
      <w:r>
        <w:rPr>
          <w:rFonts w:ascii="Book Antiqua"/>
          <w:color w:val="231F20"/>
          <w:spacing w:val="-19"/>
          <w:sz w:val="17"/>
        </w:rPr>
        <w:t> </w:t>
      </w:r>
      <w:r>
        <w:rPr>
          <w:rFonts w:ascii="Book Antiqua"/>
          <w:color w:val="231F20"/>
          <w:spacing w:val="-5"/>
          <w:sz w:val="17"/>
        </w:rPr>
        <w:t>We</w:t>
      </w:r>
      <w:r>
        <w:rPr>
          <w:rFonts w:ascii="Book Antiqua"/>
          <w:color w:val="231F20"/>
          <w:spacing w:val="-12"/>
          <w:sz w:val="17"/>
        </w:rPr>
        <w:t> </w:t>
      </w:r>
      <w:r>
        <w:rPr>
          <w:rFonts w:ascii="Book Antiqua"/>
          <w:color w:val="231F20"/>
          <w:spacing w:val="2"/>
          <w:sz w:val="17"/>
        </w:rPr>
        <w:t>are</w:t>
      </w:r>
      <w:r>
        <w:rPr>
          <w:rFonts w:ascii="Book Antiqua"/>
          <w:color w:val="231F20"/>
          <w:spacing w:val="-12"/>
          <w:sz w:val="17"/>
        </w:rPr>
        <w:t> </w:t>
      </w:r>
      <w:r>
        <w:rPr>
          <w:rFonts w:ascii="Book Antiqua"/>
          <w:color w:val="231F20"/>
          <w:spacing w:val="2"/>
          <w:sz w:val="17"/>
        </w:rPr>
        <w:t>the</w:t>
      </w:r>
      <w:r>
        <w:rPr>
          <w:rFonts w:ascii="Book Antiqua"/>
          <w:color w:val="231F20"/>
          <w:spacing w:val="-12"/>
          <w:sz w:val="17"/>
        </w:rPr>
        <w:t> </w:t>
      </w:r>
      <w:r>
        <w:rPr>
          <w:rFonts w:ascii="Book Antiqua"/>
          <w:color w:val="231F20"/>
          <w:spacing w:val="3"/>
          <w:sz w:val="17"/>
        </w:rPr>
        <w:t>only</w:t>
      </w:r>
      <w:r>
        <w:rPr>
          <w:rFonts w:ascii="Book Antiqua"/>
          <w:color w:val="231F20"/>
          <w:spacing w:val="-18"/>
          <w:sz w:val="17"/>
        </w:rPr>
        <w:t> </w:t>
      </w:r>
      <w:r>
        <w:rPr>
          <w:rFonts w:ascii="Book Antiqua"/>
          <w:color w:val="231F20"/>
          <w:spacing w:val="2"/>
          <w:sz w:val="17"/>
        </w:rPr>
        <w:t>airline</w:t>
      </w:r>
      <w:r>
        <w:rPr>
          <w:rFonts w:ascii="Book Antiqua"/>
          <w:color w:val="231F20"/>
          <w:spacing w:val="-15"/>
          <w:sz w:val="17"/>
        </w:rPr>
        <w:t> </w:t>
      </w:r>
      <w:r>
        <w:rPr>
          <w:rFonts w:ascii="Book Antiqua"/>
          <w:color w:val="231F20"/>
          <w:spacing w:val="3"/>
          <w:sz w:val="17"/>
        </w:rPr>
        <w:t>with</w:t>
      </w:r>
      <w:r>
        <w:rPr>
          <w:rFonts w:ascii="Book Antiqua"/>
          <w:color w:val="231F20"/>
          <w:spacing w:val="-12"/>
          <w:sz w:val="17"/>
        </w:rPr>
        <w:t> </w:t>
      </w:r>
      <w:r>
        <w:rPr>
          <w:rFonts w:ascii="Book Antiqua"/>
          <w:color w:val="231F20"/>
          <w:spacing w:val="4"/>
          <w:sz w:val="17"/>
        </w:rPr>
        <w:t>an </w:t>
      </w:r>
      <w:r>
        <w:rPr>
          <w:rFonts w:ascii="Book Antiqua"/>
          <w:color w:val="231F20"/>
          <w:spacing w:val="6"/>
          <w:sz w:val="17"/>
        </w:rPr>
        <w:t>investment-grade </w:t>
      </w:r>
      <w:r>
        <w:rPr>
          <w:rFonts w:ascii="Book Antiqua"/>
          <w:color w:val="231F20"/>
          <w:spacing w:val="15"/>
          <w:sz w:val="17"/>
        </w:rPr>
        <w:t>credit </w:t>
      </w:r>
      <w:r>
        <w:rPr>
          <w:rFonts w:ascii="Book Antiqua"/>
          <w:color w:val="231F20"/>
          <w:spacing w:val="14"/>
          <w:sz w:val="17"/>
        </w:rPr>
        <w:t>rating. </w:t>
      </w:r>
      <w:r>
        <w:rPr>
          <w:rFonts w:ascii="Book Antiqua"/>
          <w:color w:val="231F20"/>
          <w:spacing w:val="2"/>
          <w:sz w:val="17"/>
        </w:rPr>
        <w:t>We </w:t>
      </w:r>
      <w:r>
        <w:rPr>
          <w:rFonts w:ascii="Book Antiqua"/>
          <w:color w:val="231F20"/>
          <w:spacing w:val="13"/>
          <w:sz w:val="17"/>
        </w:rPr>
        <w:t>have </w:t>
      </w:r>
      <w:r>
        <w:rPr>
          <w:rFonts w:ascii="Book Antiqua"/>
          <w:color w:val="231F20"/>
          <w:spacing w:val="16"/>
          <w:sz w:val="17"/>
        </w:rPr>
        <w:t>adequate </w:t>
      </w:r>
      <w:r>
        <w:rPr>
          <w:rFonts w:ascii="Book Antiqua"/>
          <w:color w:val="231F20"/>
          <w:spacing w:val="15"/>
          <w:sz w:val="17"/>
        </w:rPr>
        <w:t>access </w:t>
      </w:r>
      <w:r>
        <w:rPr>
          <w:rFonts w:ascii="Book Antiqua"/>
          <w:color w:val="231F20"/>
          <w:spacing w:val="7"/>
          <w:sz w:val="17"/>
        </w:rPr>
        <w:t>to </w:t>
      </w:r>
      <w:r>
        <w:rPr>
          <w:rFonts w:ascii="Book Antiqua"/>
          <w:color w:val="231F20"/>
          <w:spacing w:val="10"/>
          <w:sz w:val="17"/>
        </w:rPr>
        <w:t>the </w:t>
      </w:r>
      <w:r>
        <w:rPr>
          <w:rFonts w:ascii="Book Antiqua"/>
          <w:color w:val="231F20"/>
          <w:spacing w:val="12"/>
          <w:sz w:val="17"/>
        </w:rPr>
        <w:t>capital </w:t>
      </w:r>
      <w:r>
        <w:rPr>
          <w:rFonts w:ascii="Book Antiqua"/>
          <w:color w:val="231F20"/>
          <w:spacing w:val="7"/>
          <w:sz w:val="17"/>
        </w:rPr>
        <w:t>markets </w:t>
      </w:r>
      <w:r>
        <w:rPr>
          <w:rFonts w:ascii="Book Antiqua"/>
          <w:color w:val="231F20"/>
          <w:spacing w:val="6"/>
          <w:sz w:val="17"/>
        </w:rPr>
        <w:t>and have </w:t>
      </w:r>
      <w:r>
        <w:rPr>
          <w:rFonts w:ascii="Book Antiqua"/>
          <w:color w:val="231F20"/>
          <w:spacing w:val="9"/>
          <w:sz w:val="17"/>
        </w:rPr>
        <w:t>strengthened </w:t>
      </w:r>
      <w:r>
        <w:rPr>
          <w:rFonts w:ascii="Book Antiqua"/>
          <w:color w:val="231F20"/>
          <w:spacing w:val="6"/>
          <w:sz w:val="17"/>
        </w:rPr>
        <w:t>our </w:t>
      </w:r>
      <w:r>
        <w:rPr>
          <w:rFonts w:ascii="Book Antiqua"/>
          <w:color w:val="231F20"/>
          <w:sz w:val="17"/>
        </w:rPr>
        <w:t>f </w:t>
      </w:r>
      <w:r>
        <w:rPr>
          <w:rFonts w:ascii="Book Antiqua"/>
          <w:color w:val="231F20"/>
          <w:spacing w:val="10"/>
          <w:sz w:val="17"/>
        </w:rPr>
        <w:t>inancial </w:t>
      </w:r>
      <w:r>
        <w:rPr>
          <w:rFonts w:ascii="Book Antiqua"/>
          <w:color w:val="231F20"/>
          <w:spacing w:val="8"/>
          <w:sz w:val="17"/>
        </w:rPr>
        <w:t>position</w:t>
      </w:r>
      <w:r>
        <w:rPr>
          <w:rFonts w:ascii="Book Antiqua"/>
          <w:color w:val="231F20"/>
          <w:spacing w:val="5"/>
          <w:sz w:val="17"/>
        </w:rPr>
        <w:t> </w:t>
      </w:r>
      <w:r>
        <w:rPr>
          <w:rFonts w:ascii="Book Antiqua"/>
          <w:color w:val="231F20"/>
          <w:spacing w:val="8"/>
          <w:sz w:val="17"/>
        </w:rPr>
        <w:t>during</w:t>
      </w:r>
      <w:r>
        <w:rPr>
          <w:rFonts w:ascii="Book Antiqua"/>
          <w:color w:val="231F20"/>
          <w:spacing w:val="5"/>
          <w:sz w:val="17"/>
        </w:rPr>
        <w:t> </w:t>
      </w:r>
      <w:r>
        <w:rPr>
          <w:rFonts w:ascii="Book Antiqua"/>
          <w:color w:val="231F20"/>
          <w:spacing w:val="6"/>
          <w:sz w:val="17"/>
        </w:rPr>
        <w:t>the</w:t>
      </w:r>
      <w:r>
        <w:rPr>
          <w:rFonts w:ascii="Book Antiqua"/>
          <w:color w:val="231F20"/>
          <w:spacing w:val="5"/>
          <w:sz w:val="17"/>
        </w:rPr>
        <w:t> </w:t>
      </w:r>
      <w:r>
        <w:rPr>
          <w:rFonts w:ascii="Book Antiqua"/>
          <w:color w:val="231F20"/>
          <w:spacing w:val="7"/>
          <w:sz w:val="17"/>
        </w:rPr>
        <w:t>post-</w:t>
      </w:r>
      <w:r>
        <w:rPr>
          <w:rFonts w:ascii="Book Antiqua"/>
          <w:color w:val="231F20"/>
          <w:spacing w:val="-34"/>
          <w:sz w:val="17"/>
        </w:rPr>
        <w:t> </w:t>
      </w:r>
      <w:r>
        <w:rPr>
          <w:rFonts w:ascii="Book Antiqua"/>
          <w:color w:val="231F20"/>
          <w:spacing w:val="12"/>
          <w:sz w:val="17"/>
        </w:rPr>
        <w:t>September</w:t>
      </w:r>
      <w:r>
        <w:rPr>
          <w:rFonts w:ascii="Book Antiqua"/>
          <w:color w:val="231F20"/>
          <w:spacing w:val="5"/>
          <w:sz w:val="17"/>
        </w:rPr>
        <w:t> </w:t>
      </w:r>
      <w:r>
        <w:rPr>
          <w:rFonts w:ascii="Book Antiqua"/>
          <w:color w:val="231F20"/>
          <w:sz w:val="17"/>
        </w:rPr>
        <w:t>11</w:t>
      </w:r>
      <w:r>
        <w:rPr>
          <w:rFonts w:ascii="Book Antiqua"/>
          <w:color w:val="231F20"/>
          <w:spacing w:val="3"/>
          <w:sz w:val="17"/>
        </w:rPr>
        <w:t> </w:t>
      </w:r>
      <w:r>
        <w:rPr>
          <w:rFonts w:ascii="Book Antiqua"/>
          <w:color w:val="231F20"/>
          <w:spacing w:val="12"/>
          <w:sz w:val="17"/>
        </w:rPr>
        <w:t>period;</w:t>
      </w:r>
      <w:r>
        <w:rPr>
          <w:rFonts w:ascii="Book Antiqua"/>
          <w:color w:val="231F20"/>
          <w:spacing w:val="11"/>
          <w:sz w:val="17"/>
        </w:rPr>
        <w:t> </w:t>
      </w:r>
      <w:r>
        <w:rPr>
          <w:rFonts w:ascii="Book Antiqua"/>
          <w:color w:val="231F20"/>
          <w:spacing w:val="12"/>
          <w:sz w:val="17"/>
        </w:rPr>
        <w:t>therefore,</w:t>
      </w:r>
      <w:r>
        <w:rPr>
          <w:rFonts w:ascii="Book Antiqua"/>
          <w:color w:val="231F20"/>
          <w:spacing w:val="4"/>
          <w:sz w:val="17"/>
        </w:rPr>
        <w:t> we </w:t>
      </w:r>
      <w:r>
        <w:rPr>
          <w:rFonts w:ascii="Book Antiqua"/>
          <w:color w:val="231F20"/>
          <w:spacing w:val="9"/>
          <w:sz w:val="17"/>
        </w:rPr>
        <w:t>are well </w:t>
      </w:r>
      <w:r>
        <w:rPr>
          <w:rFonts w:ascii="Book Antiqua"/>
          <w:color w:val="231F20"/>
          <w:spacing w:val="11"/>
          <w:sz w:val="17"/>
        </w:rPr>
        <w:t>poised </w:t>
      </w:r>
      <w:r>
        <w:rPr>
          <w:rFonts w:ascii="Book Antiqua"/>
          <w:color w:val="231F20"/>
          <w:spacing w:val="7"/>
          <w:sz w:val="17"/>
        </w:rPr>
        <w:t>to </w:t>
      </w:r>
      <w:r>
        <w:rPr>
          <w:rFonts w:ascii="Book Antiqua"/>
          <w:color w:val="231F20"/>
          <w:spacing w:val="9"/>
          <w:sz w:val="17"/>
        </w:rPr>
        <w:t>take </w:t>
      </w:r>
      <w:r>
        <w:rPr>
          <w:rFonts w:ascii="Book Antiqua"/>
          <w:color w:val="231F20"/>
          <w:spacing w:val="8"/>
          <w:sz w:val="17"/>
        </w:rPr>
        <w:t>advantage </w:t>
      </w:r>
      <w:r>
        <w:rPr>
          <w:rFonts w:ascii="Book Antiqua"/>
          <w:color w:val="231F20"/>
          <w:spacing w:val="4"/>
          <w:sz w:val="17"/>
        </w:rPr>
        <w:t>of </w:t>
      </w:r>
      <w:r>
        <w:rPr>
          <w:rFonts w:ascii="Book Antiqua"/>
          <w:color w:val="231F20"/>
          <w:spacing w:val="6"/>
          <w:sz w:val="17"/>
        </w:rPr>
        <w:t>growth </w:t>
      </w:r>
      <w:r>
        <w:rPr>
          <w:rFonts w:ascii="Book Antiqua"/>
          <w:color w:val="231F20"/>
          <w:spacing w:val="8"/>
          <w:sz w:val="17"/>
        </w:rPr>
        <w:t>opportunities </w:t>
      </w:r>
      <w:r>
        <w:rPr>
          <w:rFonts w:ascii="Book Antiqua"/>
          <w:color w:val="231F20"/>
          <w:spacing w:val="9"/>
          <w:sz w:val="17"/>
        </w:rPr>
        <w:t>or </w:t>
      </w:r>
      <w:r>
        <w:rPr>
          <w:rFonts w:ascii="Book Antiqua"/>
          <w:color w:val="231F20"/>
          <w:spacing w:val="6"/>
          <w:w w:val="95"/>
          <w:sz w:val="17"/>
        </w:rPr>
        <w:t>face </w:t>
      </w:r>
      <w:r>
        <w:rPr>
          <w:rFonts w:ascii="Book Antiqua"/>
          <w:color w:val="231F20"/>
          <w:spacing w:val="8"/>
          <w:w w:val="95"/>
          <w:sz w:val="17"/>
        </w:rPr>
        <w:t>further</w:t>
      </w:r>
      <w:r>
        <w:rPr>
          <w:rFonts w:ascii="Book Antiqua"/>
          <w:color w:val="231F20"/>
          <w:spacing w:val="-18"/>
          <w:w w:val="95"/>
          <w:sz w:val="17"/>
        </w:rPr>
        <w:t> </w:t>
      </w:r>
      <w:r>
        <w:rPr>
          <w:rFonts w:ascii="Book Antiqua"/>
          <w:color w:val="231F20"/>
          <w:spacing w:val="8"/>
          <w:w w:val="95"/>
          <w:sz w:val="17"/>
        </w:rPr>
        <w:t>adversities.</w:t>
      </w:r>
    </w:p>
    <w:p>
      <w:pPr>
        <w:spacing w:line="319" w:lineRule="auto" w:before="0"/>
        <w:ind w:left="120" w:right="490" w:firstLine="360"/>
        <w:jc w:val="both"/>
        <w:rPr>
          <w:rFonts w:ascii="Book Antiqua"/>
          <w:sz w:val="17"/>
        </w:rPr>
      </w:pPr>
      <w:r>
        <w:rPr>
          <w:rFonts w:ascii="Book Antiqua"/>
          <w:color w:val="231F20"/>
          <w:sz w:val="17"/>
        </w:rPr>
        <w:t>In consideration of our strong f inancial and cash f low position and our desire to maximize Employee-Shareholder and non-Employee-Shareholder value, we recently announced that we intend to use a portion of the very significant present and anticipated proceeds from the exercise of Employee stock options toward the repurchase of up to $300 million of our common stock from time to time in the open market.</w:t>
      </w:r>
    </w:p>
    <w:p>
      <w:pPr>
        <w:pStyle w:val="BodyText"/>
        <w:spacing w:before="2"/>
        <w:rPr>
          <w:rFonts w:ascii="Book Antiqua"/>
          <w:sz w:val="28"/>
        </w:rPr>
      </w:pPr>
    </w:p>
    <w:p>
      <w:pPr>
        <w:spacing w:before="0"/>
        <w:ind w:left="120" w:right="0" w:firstLine="0"/>
        <w:jc w:val="both"/>
        <w:rPr>
          <w:rFonts w:ascii="Book Antiqua"/>
          <w:sz w:val="16"/>
        </w:rPr>
      </w:pPr>
      <w:r>
        <w:rPr>
          <w:rFonts w:ascii="Book Antiqua"/>
          <w:color w:val="231F20"/>
          <w:w w:val="95"/>
          <w:sz w:val="16"/>
        </w:rPr>
        <w:t>Growth  Opportunities</w:t>
      </w:r>
    </w:p>
    <w:p>
      <w:pPr>
        <w:pStyle w:val="BodyText"/>
        <w:spacing w:before="1"/>
        <w:rPr>
          <w:rFonts w:ascii="Book Antiqua"/>
          <w:sz w:val="17"/>
        </w:rPr>
      </w:pPr>
    </w:p>
    <w:p>
      <w:pPr>
        <w:spacing w:line="319" w:lineRule="auto" w:before="0"/>
        <w:ind w:left="120" w:right="484" w:firstLine="360"/>
        <w:jc w:val="both"/>
        <w:rPr>
          <w:rFonts w:ascii="Book Antiqua"/>
          <w:sz w:val="17"/>
        </w:rPr>
      </w:pPr>
      <w:r>
        <w:rPr>
          <w:rFonts w:ascii="Book Antiqua"/>
          <w:color w:val="231F20"/>
          <w:w w:val="95"/>
          <w:sz w:val="17"/>
        </w:rPr>
        <w:t>Steady,</w:t>
      </w:r>
      <w:r>
        <w:rPr>
          <w:rFonts w:ascii="Book Antiqua"/>
          <w:color w:val="231F20"/>
          <w:spacing w:val="-13"/>
          <w:w w:val="95"/>
          <w:sz w:val="17"/>
        </w:rPr>
        <w:t> </w:t>
      </w:r>
      <w:r>
        <w:rPr>
          <w:rFonts w:ascii="Book Antiqua"/>
          <w:color w:val="231F20"/>
          <w:w w:val="95"/>
          <w:sz w:val="17"/>
        </w:rPr>
        <w:t>conservative</w:t>
      </w:r>
      <w:r>
        <w:rPr>
          <w:rFonts w:ascii="Book Antiqua"/>
          <w:color w:val="231F20"/>
          <w:spacing w:val="-9"/>
          <w:w w:val="95"/>
          <w:sz w:val="17"/>
        </w:rPr>
        <w:t> </w:t>
      </w:r>
      <w:r>
        <w:rPr>
          <w:rFonts w:ascii="Book Antiqua"/>
          <w:color w:val="231F20"/>
          <w:w w:val="95"/>
          <w:sz w:val="17"/>
        </w:rPr>
        <w:t>growth</w:t>
      </w:r>
      <w:r>
        <w:rPr>
          <w:rFonts w:ascii="Book Antiqua"/>
          <w:color w:val="231F20"/>
          <w:spacing w:val="-9"/>
          <w:w w:val="95"/>
          <w:sz w:val="17"/>
        </w:rPr>
        <w:t> </w:t>
      </w:r>
      <w:r>
        <w:rPr>
          <w:rFonts w:ascii="Book Antiqua"/>
          <w:color w:val="231F20"/>
          <w:w w:val="95"/>
          <w:sz w:val="17"/>
        </w:rPr>
        <w:t>during</w:t>
      </w:r>
      <w:r>
        <w:rPr>
          <w:rFonts w:ascii="Book Antiqua"/>
          <w:color w:val="231F20"/>
          <w:spacing w:val="-9"/>
          <w:w w:val="95"/>
          <w:sz w:val="17"/>
        </w:rPr>
        <w:t> </w:t>
      </w:r>
      <w:r>
        <w:rPr>
          <w:rFonts w:ascii="Book Antiqua"/>
          <w:color w:val="231F20"/>
          <w:w w:val="95"/>
          <w:sz w:val="17"/>
        </w:rPr>
        <w:t>the</w:t>
      </w:r>
      <w:r>
        <w:rPr>
          <w:rFonts w:ascii="Book Antiqua"/>
          <w:color w:val="231F20"/>
          <w:spacing w:val="-9"/>
          <w:w w:val="95"/>
          <w:sz w:val="17"/>
        </w:rPr>
        <w:t> </w:t>
      </w:r>
      <w:r>
        <w:rPr>
          <w:rFonts w:ascii="Book Antiqua"/>
          <w:color w:val="231F20"/>
          <w:w w:val="95"/>
          <w:sz w:val="17"/>
        </w:rPr>
        <w:t>recessionary</w:t>
      </w:r>
      <w:r>
        <w:rPr>
          <w:rFonts w:ascii="Book Antiqua"/>
          <w:color w:val="231F20"/>
          <w:spacing w:val="-15"/>
          <w:w w:val="95"/>
          <w:sz w:val="17"/>
        </w:rPr>
        <w:t> </w:t>
      </w:r>
      <w:r>
        <w:rPr>
          <w:rFonts w:ascii="Book Antiqua"/>
          <w:color w:val="231F20"/>
          <w:w w:val="95"/>
          <w:sz w:val="17"/>
        </w:rPr>
        <w:t>environment </w:t>
      </w:r>
      <w:r>
        <w:rPr>
          <w:rFonts w:ascii="Book Antiqua"/>
          <w:color w:val="231F20"/>
          <w:spacing w:val="3"/>
          <w:sz w:val="17"/>
        </w:rPr>
        <w:t>since </w:t>
      </w:r>
      <w:r>
        <w:rPr>
          <w:rFonts w:ascii="Book Antiqua"/>
          <w:color w:val="231F20"/>
          <w:spacing w:val="2"/>
          <w:sz w:val="17"/>
        </w:rPr>
        <w:t>the </w:t>
      </w:r>
      <w:r>
        <w:rPr>
          <w:rFonts w:ascii="Book Antiqua"/>
          <w:color w:val="231F20"/>
          <w:spacing w:val="3"/>
          <w:sz w:val="17"/>
        </w:rPr>
        <w:t>terrorist attacks </w:t>
      </w:r>
      <w:r>
        <w:rPr>
          <w:rFonts w:ascii="Book Antiqua"/>
          <w:color w:val="231F20"/>
          <w:spacing w:val="2"/>
          <w:sz w:val="17"/>
        </w:rPr>
        <w:t>has </w:t>
      </w:r>
      <w:r>
        <w:rPr>
          <w:rFonts w:ascii="Book Antiqua"/>
          <w:color w:val="231F20"/>
          <w:spacing w:val="3"/>
          <w:sz w:val="17"/>
        </w:rPr>
        <w:t>enabled </w:t>
      </w:r>
      <w:r>
        <w:rPr>
          <w:rFonts w:ascii="Book Antiqua"/>
          <w:color w:val="231F20"/>
          <w:spacing w:val="2"/>
          <w:sz w:val="17"/>
        </w:rPr>
        <w:t>Southwest </w:t>
      </w:r>
      <w:r>
        <w:rPr>
          <w:rFonts w:ascii="Book Antiqua"/>
          <w:color w:val="231F20"/>
          <w:sz w:val="17"/>
        </w:rPr>
        <w:t>to </w:t>
      </w:r>
      <w:r>
        <w:rPr>
          <w:rFonts w:ascii="Book Antiqua"/>
          <w:color w:val="231F20"/>
          <w:spacing w:val="3"/>
          <w:sz w:val="17"/>
        </w:rPr>
        <w:t>restore </w:t>
      </w:r>
      <w:r>
        <w:rPr>
          <w:rFonts w:ascii="Book Antiqua"/>
          <w:color w:val="231F20"/>
          <w:spacing w:val="4"/>
          <w:sz w:val="17"/>
        </w:rPr>
        <w:t>our </w:t>
      </w:r>
      <w:r>
        <w:rPr>
          <w:rFonts w:ascii="Book Antiqua"/>
          <w:color w:val="231F20"/>
          <w:spacing w:val="10"/>
          <w:sz w:val="17"/>
        </w:rPr>
        <w:t>operations, strengthen </w:t>
      </w:r>
      <w:r>
        <w:rPr>
          <w:rFonts w:ascii="Book Antiqua"/>
          <w:color w:val="231F20"/>
          <w:spacing w:val="8"/>
          <w:sz w:val="17"/>
        </w:rPr>
        <w:t>our </w:t>
      </w:r>
      <w:r>
        <w:rPr>
          <w:rFonts w:ascii="Book Antiqua"/>
          <w:color w:val="231F20"/>
          <w:spacing w:val="10"/>
          <w:sz w:val="17"/>
        </w:rPr>
        <w:t>balance sheet, </w:t>
      </w:r>
      <w:r>
        <w:rPr>
          <w:rFonts w:ascii="Book Antiqua"/>
          <w:color w:val="231F20"/>
          <w:spacing w:val="8"/>
          <w:sz w:val="17"/>
        </w:rPr>
        <w:t>and </w:t>
      </w:r>
      <w:r>
        <w:rPr>
          <w:rFonts w:ascii="Book Antiqua"/>
          <w:color w:val="231F20"/>
          <w:spacing w:val="10"/>
          <w:sz w:val="17"/>
        </w:rPr>
        <w:t>maintain </w:t>
      </w:r>
      <w:r>
        <w:rPr>
          <w:rFonts w:ascii="Book Antiqua"/>
          <w:color w:val="231F20"/>
          <w:spacing w:val="12"/>
          <w:sz w:val="17"/>
        </w:rPr>
        <w:t>our </w:t>
      </w:r>
      <w:r>
        <w:rPr>
          <w:rFonts w:ascii="Book Antiqua"/>
          <w:color w:val="231F20"/>
          <w:spacing w:val="3"/>
          <w:sz w:val="17"/>
        </w:rPr>
        <w:t>profitability.</w:t>
      </w:r>
      <w:r>
        <w:rPr>
          <w:rFonts w:ascii="Book Antiqua"/>
          <w:color w:val="231F20"/>
          <w:spacing w:val="-21"/>
          <w:sz w:val="17"/>
        </w:rPr>
        <w:t> </w:t>
      </w:r>
      <w:r>
        <w:rPr>
          <w:rFonts w:ascii="Book Antiqua"/>
          <w:color w:val="231F20"/>
          <w:spacing w:val="-5"/>
          <w:sz w:val="17"/>
        </w:rPr>
        <w:t>We</w:t>
      </w:r>
      <w:r>
        <w:rPr>
          <w:rFonts w:ascii="Book Antiqua"/>
          <w:color w:val="231F20"/>
          <w:spacing w:val="-16"/>
          <w:sz w:val="17"/>
        </w:rPr>
        <w:t> </w:t>
      </w:r>
      <w:r>
        <w:rPr>
          <w:rFonts w:ascii="Book Antiqua"/>
          <w:color w:val="231F20"/>
          <w:spacing w:val="3"/>
          <w:sz w:val="17"/>
        </w:rPr>
        <w:t>grew</w:t>
      </w:r>
      <w:r>
        <w:rPr>
          <w:rFonts w:ascii="Book Antiqua"/>
          <w:color w:val="231F20"/>
          <w:spacing w:val="-20"/>
          <w:sz w:val="17"/>
        </w:rPr>
        <w:t> </w:t>
      </w:r>
      <w:r>
        <w:rPr>
          <w:rFonts w:ascii="Book Antiqua"/>
          <w:color w:val="231F20"/>
          <w:spacing w:val="2"/>
          <w:sz w:val="17"/>
        </w:rPr>
        <w:t>our</w:t>
      </w:r>
      <w:r>
        <w:rPr>
          <w:rFonts w:ascii="Book Antiqua"/>
          <w:color w:val="231F20"/>
          <w:spacing w:val="-20"/>
          <w:sz w:val="17"/>
        </w:rPr>
        <w:t> </w:t>
      </w:r>
      <w:r>
        <w:rPr>
          <w:rFonts w:ascii="Book Antiqua"/>
          <w:color w:val="231F20"/>
          <w:spacing w:val="3"/>
          <w:sz w:val="17"/>
        </w:rPr>
        <w:t>annual</w:t>
      </w:r>
      <w:r>
        <w:rPr>
          <w:rFonts w:ascii="Book Antiqua"/>
          <w:color w:val="231F20"/>
          <w:spacing w:val="-16"/>
          <w:sz w:val="17"/>
        </w:rPr>
        <w:t> </w:t>
      </w:r>
      <w:r>
        <w:rPr>
          <w:rFonts w:ascii="Book Antiqua"/>
          <w:color w:val="231F20"/>
          <w:spacing w:val="3"/>
          <w:sz w:val="17"/>
        </w:rPr>
        <w:t>capacity</w:t>
      </w:r>
      <w:r>
        <w:rPr>
          <w:rFonts w:ascii="Book Antiqua"/>
          <w:color w:val="231F20"/>
          <w:spacing w:val="-20"/>
          <w:sz w:val="17"/>
        </w:rPr>
        <w:t> </w:t>
      </w:r>
      <w:r>
        <w:rPr>
          <w:rFonts w:ascii="Book Antiqua"/>
          <w:color w:val="231F20"/>
          <w:sz w:val="17"/>
        </w:rPr>
        <w:t>by</w:t>
      </w:r>
      <w:r>
        <w:rPr>
          <w:rFonts w:ascii="Book Antiqua"/>
          <w:color w:val="231F20"/>
          <w:spacing w:val="-20"/>
          <w:sz w:val="17"/>
        </w:rPr>
        <w:t> </w:t>
      </w:r>
      <w:r>
        <w:rPr>
          <w:rFonts w:ascii="Book Antiqua"/>
          <w:color w:val="231F20"/>
          <w:spacing w:val="3"/>
          <w:sz w:val="17"/>
        </w:rPr>
        <w:t>just</w:t>
      </w:r>
      <w:r>
        <w:rPr>
          <w:rFonts w:ascii="Book Antiqua"/>
          <w:color w:val="231F20"/>
          <w:spacing w:val="-19"/>
          <w:sz w:val="17"/>
        </w:rPr>
        <w:t> </w:t>
      </w:r>
      <w:r>
        <w:rPr>
          <w:rFonts w:ascii="Book Antiqua"/>
          <w:color w:val="231F20"/>
          <w:sz w:val="17"/>
        </w:rPr>
        <w:t>over</w:t>
      </w:r>
      <w:r>
        <w:rPr>
          <w:rFonts w:ascii="Book Antiqua"/>
          <w:color w:val="231F20"/>
          <w:spacing w:val="-20"/>
          <w:sz w:val="17"/>
        </w:rPr>
        <w:t> </w:t>
      </w:r>
      <w:r>
        <w:rPr>
          <w:rFonts w:ascii="Book Antiqua"/>
          <w:color w:val="231F20"/>
          <w:spacing w:val="3"/>
          <w:sz w:val="17"/>
        </w:rPr>
        <w:t>four</w:t>
      </w:r>
      <w:r>
        <w:rPr>
          <w:rFonts w:ascii="Book Antiqua"/>
          <w:color w:val="231F20"/>
          <w:spacing w:val="-20"/>
          <w:sz w:val="17"/>
        </w:rPr>
        <w:t> </w:t>
      </w:r>
      <w:r>
        <w:rPr>
          <w:rFonts w:ascii="Book Antiqua"/>
          <w:color w:val="231F20"/>
          <w:spacing w:val="4"/>
          <w:sz w:val="17"/>
        </w:rPr>
        <w:t>percent </w:t>
      </w:r>
      <w:r>
        <w:rPr>
          <w:rFonts w:ascii="Book Antiqua"/>
          <w:color w:val="231F20"/>
          <w:sz w:val="17"/>
        </w:rPr>
        <w:t>in</w:t>
      </w:r>
      <w:r>
        <w:rPr>
          <w:rFonts w:ascii="Book Antiqua"/>
          <w:color w:val="231F20"/>
          <w:spacing w:val="-5"/>
          <w:sz w:val="17"/>
        </w:rPr>
        <w:t> </w:t>
      </w:r>
      <w:r>
        <w:rPr>
          <w:rFonts w:ascii="Book Antiqua"/>
          <w:color w:val="231F20"/>
          <w:spacing w:val="3"/>
          <w:sz w:val="17"/>
        </w:rPr>
        <w:t>2003</w:t>
      </w:r>
      <w:r>
        <w:rPr>
          <w:rFonts w:ascii="Book Antiqua"/>
          <w:color w:val="231F20"/>
          <w:spacing w:val="-9"/>
          <w:sz w:val="17"/>
        </w:rPr>
        <w:t> </w:t>
      </w:r>
      <w:r>
        <w:rPr>
          <w:rFonts w:ascii="Book Antiqua"/>
          <w:color w:val="231F20"/>
          <w:spacing w:val="2"/>
          <w:sz w:val="17"/>
        </w:rPr>
        <w:t>and</w:t>
      </w:r>
      <w:r>
        <w:rPr>
          <w:rFonts w:ascii="Book Antiqua"/>
          <w:color w:val="231F20"/>
          <w:spacing w:val="-5"/>
          <w:sz w:val="17"/>
        </w:rPr>
        <w:t> </w:t>
      </w:r>
      <w:r>
        <w:rPr>
          <w:rFonts w:ascii="Book Antiqua"/>
          <w:color w:val="231F20"/>
          <w:sz w:val="17"/>
        </w:rPr>
        <w:t>over</w:t>
      </w:r>
      <w:r>
        <w:rPr>
          <w:rFonts w:ascii="Book Antiqua"/>
          <w:color w:val="231F20"/>
          <w:spacing w:val="-11"/>
          <w:sz w:val="17"/>
        </w:rPr>
        <w:t> </w:t>
      </w:r>
      <w:r>
        <w:rPr>
          <w:rFonts w:ascii="Book Antiqua"/>
          <w:color w:val="231F20"/>
          <w:spacing w:val="4"/>
          <w:sz w:val="17"/>
        </w:rPr>
        <w:t>five</w:t>
      </w:r>
      <w:r>
        <w:rPr>
          <w:rFonts w:ascii="Book Antiqua"/>
          <w:color w:val="231F20"/>
          <w:spacing w:val="-5"/>
          <w:sz w:val="17"/>
        </w:rPr>
        <w:t> </w:t>
      </w:r>
      <w:r>
        <w:rPr>
          <w:rFonts w:ascii="Book Antiqua"/>
          <w:color w:val="231F20"/>
          <w:spacing w:val="3"/>
          <w:sz w:val="17"/>
        </w:rPr>
        <w:t>percent</w:t>
      </w:r>
      <w:r>
        <w:rPr>
          <w:rFonts w:ascii="Book Antiqua"/>
          <w:color w:val="231F20"/>
          <w:spacing w:val="-9"/>
          <w:sz w:val="17"/>
        </w:rPr>
        <w:t> </w:t>
      </w:r>
      <w:r>
        <w:rPr>
          <w:rFonts w:ascii="Book Antiqua"/>
          <w:color w:val="231F20"/>
          <w:sz w:val="17"/>
        </w:rPr>
        <w:t>in</w:t>
      </w:r>
      <w:r>
        <w:rPr>
          <w:rFonts w:ascii="Book Antiqua"/>
          <w:color w:val="231F20"/>
          <w:spacing w:val="-5"/>
          <w:sz w:val="17"/>
        </w:rPr>
        <w:t> </w:t>
      </w:r>
      <w:r>
        <w:rPr>
          <w:rFonts w:ascii="Book Antiqua"/>
          <w:color w:val="231F20"/>
          <w:spacing w:val="3"/>
          <w:sz w:val="17"/>
        </w:rPr>
        <w:t>2002.</w:t>
      </w:r>
      <w:r>
        <w:rPr>
          <w:rFonts w:ascii="Book Antiqua"/>
          <w:color w:val="231F20"/>
          <w:spacing w:val="-5"/>
          <w:sz w:val="17"/>
        </w:rPr>
        <w:t> </w:t>
      </w:r>
      <w:r>
        <w:rPr>
          <w:rFonts w:ascii="Book Antiqua"/>
          <w:color w:val="231F20"/>
          <w:spacing w:val="3"/>
          <w:sz w:val="17"/>
        </w:rPr>
        <w:t>Since</w:t>
      </w:r>
      <w:r>
        <w:rPr>
          <w:rFonts w:ascii="Book Antiqua"/>
          <w:color w:val="231F20"/>
          <w:spacing w:val="-5"/>
          <w:sz w:val="17"/>
        </w:rPr>
        <w:t> </w:t>
      </w:r>
      <w:r>
        <w:rPr>
          <w:rFonts w:ascii="Book Antiqua"/>
          <w:color w:val="231F20"/>
          <w:spacing w:val="3"/>
          <w:sz w:val="17"/>
        </w:rPr>
        <w:t>September</w:t>
      </w:r>
      <w:r>
        <w:rPr>
          <w:rFonts w:ascii="Book Antiqua"/>
          <w:color w:val="231F20"/>
          <w:spacing w:val="-11"/>
          <w:sz w:val="17"/>
        </w:rPr>
        <w:t> </w:t>
      </w:r>
      <w:r>
        <w:rPr>
          <w:rFonts w:ascii="Book Antiqua"/>
          <w:color w:val="231F20"/>
          <w:spacing w:val="-3"/>
          <w:sz w:val="17"/>
        </w:rPr>
        <w:t>11,</w:t>
      </w:r>
      <w:r>
        <w:rPr>
          <w:rFonts w:ascii="Book Antiqua"/>
          <w:color w:val="231F20"/>
          <w:spacing w:val="-9"/>
          <w:sz w:val="17"/>
        </w:rPr>
        <w:t> </w:t>
      </w:r>
      <w:r>
        <w:rPr>
          <w:rFonts w:ascii="Book Antiqua"/>
          <w:color w:val="231F20"/>
          <w:sz w:val="17"/>
        </w:rPr>
        <w:t>2001,</w:t>
      </w:r>
      <w:r>
        <w:rPr>
          <w:rFonts w:ascii="Book Antiqua"/>
          <w:color w:val="231F20"/>
          <w:spacing w:val="-12"/>
          <w:sz w:val="17"/>
        </w:rPr>
        <w:t> </w:t>
      </w:r>
      <w:r>
        <w:rPr>
          <w:rFonts w:ascii="Book Antiqua"/>
          <w:color w:val="231F20"/>
          <w:sz w:val="17"/>
        </w:rPr>
        <w:t>we have</w:t>
      </w:r>
      <w:r>
        <w:rPr>
          <w:rFonts w:ascii="Book Antiqua"/>
          <w:color w:val="231F20"/>
          <w:spacing w:val="-8"/>
          <w:sz w:val="17"/>
        </w:rPr>
        <w:t> </w:t>
      </w:r>
      <w:r>
        <w:rPr>
          <w:rFonts w:ascii="Book Antiqua"/>
          <w:color w:val="231F20"/>
          <w:spacing w:val="3"/>
          <w:sz w:val="17"/>
        </w:rPr>
        <w:t>added</w:t>
      </w:r>
      <w:r>
        <w:rPr>
          <w:rFonts w:ascii="Book Antiqua"/>
          <w:color w:val="231F20"/>
          <w:spacing w:val="-8"/>
          <w:sz w:val="17"/>
        </w:rPr>
        <w:t> </w:t>
      </w:r>
      <w:r>
        <w:rPr>
          <w:rFonts w:ascii="Book Antiqua"/>
          <w:color w:val="231F20"/>
          <w:sz w:val="17"/>
        </w:rPr>
        <w:t>30</w:t>
      </w:r>
      <w:r>
        <w:rPr>
          <w:rFonts w:ascii="Book Antiqua"/>
          <w:color w:val="231F20"/>
          <w:spacing w:val="-8"/>
          <w:sz w:val="17"/>
        </w:rPr>
        <w:t> </w:t>
      </w:r>
      <w:r>
        <w:rPr>
          <w:rFonts w:ascii="Book Antiqua"/>
          <w:color w:val="231F20"/>
          <w:spacing w:val="2"/>
          <w:sz w:val="17"/>
        </w:rPr>
        <w:t>net</w:t>
      </w:r>
      <w:r>
        <w:rPr>
          <w:rFonts w:ascii="Book Antiqua"/>
          <w:color w:val="231F20"/>
          <w:spacing w:val="-12"/>
          <w:sz w:val="17"/>
        </w:rPr>
        <w:t> </w:t>
      </w:r>
      <w:r>
        <w:rPr>
          <w:rFonts w:ascii="Book Antiqua"/>
          <w:color w:val="231F20"/>
          <w:spacing w:val="4"/>
          <w:sz w:val="17"/>
        </w:rPr>
        <w:t>aircraft.</w:t>
      </w:r>
      <w:r>
        <w:rPr>
          <w:rFonts w:ascii="Book Antiqua"/>
          <w:color w:val="231F20"/>
          <w:spacing w:val="-15"/>
          <w:sz w:val="17"/>
        </w:rPr>
        <w:t> </w:t>
      </w:r>
      <w:r>
        <w:rPr>
          <w:rFonts w:ascii="Book Antiqua"/>
          <w:color w:val="231F20"/>
          <w:spacing w:val="2"/>
          <w:sz w:val="17"/>
        </w:rPr>
        <w:t>The</w:t>
      </w:r>
      <w:r>
        <w:rPr>
          <w:rFonts w:ascii="Book Antiqua"/>
          <w:color w:val="231F20"/>
          <w:spacing w:val="-8"/>
          <w:sz w:val="17"/>
        </w:rPr>
        <w:t> </w:t>
      </w:r>
      <w:r>
        <w:rPr>
          <w:rFonts w:ascii="Book Antiqua"/>
          <w:color w:val="231F20"/>
          <w:spacing w:val="3"/>
          <w:sz w:val="17"/>
        </w:rPr>
        <w:t>airline</w:t>
      </w:r>
      <w:r>
        <w:rPr>
          <w:rFonts w:ascii="Book Antiqua"/>
          <w:color w:val="231F20"/>
          <w:spacing w:val="-8"/>
          <w:sz w:val="17"/>
        </w:rPr>
        <w:t> </w:t>
      </w:r>
      <w:r>
        <w:rPr>
          <w:rFonts w:ascii="Book Antiqua"/>
          <w:color w:val="231F20"/>
          <w:spacing w:val="2"/>
          <w:sz w:val="17"/>
        </w:rPr>
        <w:t>industry,</w:t>
      </w:r>
      <w:r>
        <w:rPr>
          <w:rFonts w:ascii="Book Antiqua"/>
          <w:color w:val="231F20"/>
          <w:spacing w:val="-12"/>
          <w:sz w:val="17"/>
        </w:rPr>
        <w:t> </w:t>
      </w:r>
      <w:r>
        <w:rPr>
          <w:rFonts w:ascii="Book Antiqua"/>
          <w:color w:val="231F20"/>
          <w:sz w:val="17"/>
        </w:rPr>
        <w:t>on</w:t>
      </w:r>
      <w:r>
        <w:rPr>
          <w:rFonts w:ascii="Book Antiqua"/>
          <w:color w:val="231F20"/>
          <w:spacing w:val="-8"/>
          <w:sz w:val="17"/>
        </w:rPr>
        <w:t> </w:t>
      </w:r>
      <w:r>
        <w:rPr>
          <w:rFonts w:ascii="Book Antiqua"/>
          <w:color w:val="231F20"/>
          <w:spacing w:val="2"/>
          <w:sz w:val="17"/>
        </w:rPr>
        <w:t>the</w:t>
      </w:r>
      <w:r>
        <w:rPr>
          <w:rFonts w:ascii="Book Antiqua"/>
          <w:color w:val="231F20"/>
          <w:spacing w:val="-8"/>
          <w:sz w:val="17"/>
        </w:rPr>
        <w:t> </w:t>
      </w:r>
      <w:r>
        <w:rPr>
          <w:rFonts w:ascii="Book Antiqua"/>
          <w:color w:val="231F20"/>
          <w:spacing w:val="3"/>
          <w:sz w:val="17"/>
        </w:rPr>
        <w:t>other</w:t>
      </w:r>
      <w:r>
        <w:rPr>
          <w:rFonts w:ascii="Book Antiqua"/>
          <w:color w:val="231F20"/>
          <w:spacing w:val="-14"/>
          <w:sz w:val="17"/>
        </w:rPr>
        <w:t> </w:t>
      </w:r>
      <w:r>
        <w:rPr>
          <w:rFonts w:ascii="Book Antiqua"/>
          <w:color w:val="231F20"/>
          <w:spacing w:val="4"/>
          <w:sz w:val="17"/>
        </w:rPr>
        <w:t>hand, </w:t>
      </w:r>
      <w:r>
        <w:rPr>
          <w:rFonts w:ascii="Book Antiqua"/>
          <w:color w:val="231F20"/>
          <w:spacing w:val="2"/>
          <w:sz w:val="17"/>
        </w:rPr>
        <w:t>has</w:t>
      </w:r>
      <w:r>
        <w:rPr>
          <w:rFonts w:ascii="Book Antiqua"/>
          <w:color w:val="231F20"/>
          <w:spacing w:val="-16"/>
          <w:sz w:val="17"/>
        </w:rPr>
        <w:t> </w:t>
      </w:r>
      <w:r>
        <w:rPr>
          <w:rFonts w:ascii="Book Antiqua"/>
          <w:color w:val="231F20"/>
          <w:spacing w:val="3"/>
          <w:sz w:val="17"/>
        </w:rPr>
        <w:t>reduced</w:t>
      </w:r>
      <w:r>
        <w:rPr>
          <w:rFonts w:ascii="Book Antiqua"/>
          <w:color w:val="231F20"/>
          <w:spacing w:val="-16"/>
          <w:sz w:val="17"/>
        </w:rPr>
        <w:t> </w:t>
      </w:r>
      <w:r>
        <w:rPr>
          <w:rFonts w:ascii="Book Antiqua"/>
          <w:color w:val="231F20"/>
          <w:spacing w:val="3"/>
          <w:sz w:val="17"/>
        </w:rPr>
        <w:t>domestic</w:t>
      </w:r>
      <w:r>
        <w:rPr>
          <w:rFonts w:ascii="Book Antiqua"/>
          <w:color w:val="231F20"/>
          <w:spacing w:val="-16"/>
          <w:sz w:val="17"/>
        </w:rPr>
        <w:t> </w:t>
      </w:r>
      <w:r>
        <w:rPr>
          <w:rFonts w:ascii="Book Antiqua"/>
          <w:color w:val="231F20"/>
          <w:spacing w:val="3"/>
          <w:sz w:val="17"/>
        </w:rPr>
        <w:t>capacity</w:t>
      </w:r>
      <w:r>
        <w:rPr>
          <w:rFonts w:ascii="Book Antiqua"/>
          <w:color w:val="231F20"/>
          <w:spacing w:val="-21"/>
          <w:sz w:val="17"/>
        </w:rPr>
        <w:t> </w:t>
      </w:r>
      <w:r>
        <w:rPr>
          <w:rFonts w:ascii="Book Antiqua"/>
          <w:color w:val="231F20"/>
          <w:sz w:val="17"/>
        </w:rPr>
        <w:t>by</w:t>
      </w:r>
      <w:r>
        <w:rPr>
          <w:rFonts w:ascii="Book Antiqua"/>
          <w:color w:val="231F20"/>
          <w:spacing w:val="-21"/>
          <w:sz w:val="17"/>
        </w:rPr>
        <w:t> </w:t>
      </w:r>
      <w:r>
        <w:rPr>
          <w:rFonts w:ascii="Book Antiqua"/>
          <w:color w:val="231F20"/>
          <w:sz w:val="17"/>
        </w:rPr>
        <w:t>15</w:t>
      </w:r>
      <w:r>
        <w:rPr>
          <w:rFonts w:ascii="Book Antiqua"/>
          <w:color w:val="231F20"/>
          <w:spacing w:val="-18"/>
          <w:sz w:val="17"/>
        </w:rPr>
        <w:t> </w:t>
      </w:r>
      <w:r>
        <w:rPr>
          <w:rFonts w:ascii="Book Antiqua"/>
          <w:color w:val="231F20"/>
          <w:sz w:val="17"/>
        </w:rPr>
        <w:t>to</w:t>
      </w:r>
      <w:r>
        <w:rPr>
          <w:rFonts w:ascii="Book Antiqua"/>
          <w:color w:val="231F20"/>
          <w:spacing w:val="-16"/>
          <w:sz w:val="17"/>
        </w:rPr>
        <w:t> </w:t>
      </w:r>
      <w:r>
        <w:rPr>
          <w:rFonts w:ascii="Book Antiqua"/>
          <w:color w:val="231F20"/>
          <w:sz w:val="17"/>
        </w:rPr>
        <w:t>20</w:t>
      </w:r>
      <w:r>
        <w:rPr>
          <w:rFonts w:ascii="Book Antiqua"/>
          <w:color w:val="231F20"/>
          <w:spacing w:val="-16"/>
          <w:sz w:val="17"/>
        </w:rPr>
        <w:t> </w:t>
      </w:r>
      <w:r>
        <w:rPr>
          <w:rFonts w:ascii="Book Antiqua"/>
          <w:color w:val="231F20"/>
          <w:spacing w:val="3"/>
          <w:sz w:val="17"/>
        </w:rPr>
        <w:t>percent.</w:t>
      </w:r>
      <w:r>
        <w:rPr>
          <w:rFonts w:ascii="Book Antiqua"/>
          <w:color w:val="231F20"/>
          <w:spacing w:val="-23"/>
          <w:sz w:val="17"/>
        </w:rPr>
        <w:t> </w:t>
      </w:r>
      <w:r>
        <w:rPr>
          <w:rFonts w:ascii="Book Antiqua"/>
          <w:color w:val="231F20"/>
          <w:sz w:val="17"/>
        </w:rPr>
        <w:t>As</w:t>
      </w:r>
      <w:r>
        <w:rPr>
          <w:rFonts w:ascii="Book Antiqua"/>
          <w:color w:val="231F20"/>
          <w:spacing w:val="-16"/>
          <w:sz w:val="17"/>
        </w:rPr>
        <w:t> </w:t>
      </w:r>
      <w:r>
        <w:rPr>
          <w:rFonts w:ascii="Book Antiqua"/>
          <w:color w:val="231F20"/>
          <w:sz w:val="17"/>
        </w:rPr>
        <w:t>a</w:t>
      </w:r>
      <w:r>
        <w:rPr>
          <w:rFonts w:ascii="Book Antiqua"/>
          <w:color w:val="231F20"/>
          <w:spacing w:val="-16"/>
          <w:sz w:val="17"/>
        </w:rPr>
        <w:t> </w:t>
      </w:r>
      <w:r>
        <w:rPr>
          <w:rFonts w:ascii="Book Antiqua"/>
          <w:color w:val="231F20"/>
          <w:spacing w:val="3"/>
          <w:sz w:val="17"/>
        </w:rPr>
        <w:t>result</w:t>
      </w:r>
      <w:r>
        <w:rPr>
          <w:rFonts w:ascii="Book Antiqua"/>
          <w:color w:val="231F20"/>
          <w:spacing w:val="-20"/>
          <w:sz w:val="17"/>
        </w:rPr>
        <w:t> </w:t>
      </w:r>
      <w:r>
        <w:rPr>
          <w:rFonts w:ascii="Book Antiqua"/>
          <w:color w:val="231F20"/>
          <w:sz w:val="17"/>
        </w:rPr>
        <w:t>of</w:t>
      </w:r>
      <w:r>
        <w:rPr>
          <w:rFonts w:ascii="Book Antiqua"/>
          <w:color w:val="231F20"/>
          <w:spacing w:val="-16"/>
          <w:sz w:val="17"/>
        </w:rPr>
        <w:t> </w:t>
      </w:r>
      <w:r>
        <w:rPr>
          <w:rFonts w:ascii="Book Antiqua"/>
          <w:color w:val="231F20"/>
          <w:spacing w:val="4"/>
          <w:sz w:val="17"/>
        </w:rPr>
        <w:t>our </w:t>
      </w:r>
      <w:r>
        <w:rPr>
          <w:rFonts w:ascii="Book Antiqua"/>
          <w:color w:val="231F20"/>
          <w:spacing w:val="3"/>
          <w:sz w:val="17"/>
        </w:rPr>
        <w:t>decision</w:t>
      </w:r>
      <w:r>
        <w:rPr>
          <w:rFonts w:ascii="Book Antiqua"/>
          <w:color w:val="231F20"/>
          <w:spacing w:val="-17"/>
          <w:sz w:val="17"/>
        </w:rPr>
        <w:t> </w:t>
      </w:r>
      <w:r>
        <w:rPr>
          <w:rFonts w:ascii="Book Antiqua"/>
          <w:color w:val="231F20"/>
          <w:sz w:val="17"/>
        </w:rPr>
        <w:t>to</w:t>
      </w:r>
      <w:r>
        <w:rPr>
          <w:rFonts w:ascii="Book Antiqua"/>
          <w:color w:val="231F20"/>
          <w:spacing w:val="-17"/>
          <w:sz w:val="17"/>
        </w:rPr>
        <w:t> </w:t>
      </w:r>
      <w:r>
        <w:rPr>
          <w:rFonts w:ascii="Book Antiqua"/>
          <w:color w:val="231F20"/>
          <w:spacing w:val="3"/>
          <w:sz w:val="17"/>
        </w:rPr>
        <w:t>cautiously</w:t>
      </w:r>
      <w:r>
        <w:rPr>
          <w:rFonts w:ascii="Book Antiqua"/>
          <w:color w:val="231F20"/>
          <w:spacing w:val="-20"/>
          <w:sz w:val="17"/>
        </w:rPr>
        <w:t> </w:t>
      </w:r>
      <w:r>
        <w:rPr>
          <w:rFonts w:ascii="Book Antiqua"/>
          <w:color w:val="231F20"/>
          <w:sz w:val="17"/>
        </w:rPr>
        <w:t>grow</w:t>
      </w:r>
      <w:r>
        <w:rPr>
          <w:rFonts w:ascii="Book Antiqua"/>
          <w:color w:val="231F20"/>
          <w:spacing w:val="-20"/>
          <w:sz w:val="17"/>
        </w:rPr>
        <w:t> </w:t>
      </w:r>
      <w:r>
        <w:rPr>
          <w:rFonts w:ascii="Book Antiqua"/>
          <w:color w:val="231F20"/>
          <w:spacing w:val="3"/>
          <w:sz w:val="17"/>
        </w:rPr>
        <w:t>rather</w:t>
      </w:r>
      <w:r>
        <w:rPr>
          <w:rFonts w:ascii="Book Antiqua"/>
          <w:color w:val="231F20"/>
          <w:spacing w:val="-21"/>
          <w:sz w:val="17"/>
        </w:rPr>
        <w:t> </w:t>
      </w:r>
      <w:r>
        <w:rPr>
          <w:rFonts w:ascii="Book Antiqua"/>
          <w:color w:val="231F20"/>
          <w:spacing w:val="3"/>
          <w:sz w:val="17"/>
        </w:rPr>
        <w:t>than</w:t>
      </w:r>
      <w:r>
        <w:rPr>
          <w:rFonts w:ascii="Book Antiqua"/>
          <w:color w:val="231F20"/>
          <w:spacing w:val="-17"/>
          <w:sz w:val="17"/>
        </w:rPr>
        <w:t> </w:t>
      </w:r>
      <w:r>
        <w:rPr>
          <w:rFonts w:ascii="Book Antiqua"/>
          <w:color w:val="231F20"/>
          <w:spacing w:val="3"/>
          <w:sz w:val="17"/>
        </w:rPr>
        <w:t>reduce</w:t>
      </w:r>
      <w:r>
        <w:rPr>
          <w:rFonts w:ascii="Book Antiqua"/>
          <w:color w:val="231F20"/>
          <w:spacing w:val="-17"/>
          <w:sz w:val="17"/>
        </w:rPr>
        <w:t> </w:t>
      </w:r>
      <w:r>
        <w:rPr>
          <w:rFonts w:ascii="Book Antiqua"/>
          <w:color w:val="231F20"/>
          <w:spacing w:val="2"/>
          <w:sz w:val="17"/>
        </w:rPr>
        <w:t>capacity,</w:t>
      </w:r>
      <w:r>
        <w:rPr>
          <w:rFonts w:ascii="Book Antiqua"/>
          <w:color w:val="231F20"/>
          <w:spacing w:val="-19"/>
          <w:sz w:val="17"/>
        </w:rPr>
        <w:t> </w:t>
      </w:r>
      <w:r>
        <w:rPr>
          <w:rFonts w:ascii="Book Antiqua"/>
          <w:color w:val="231F20"/>
          <w:spacing w:val="2"/>
          <w:sz w:val="17"/>
        </w:rPr>
        <w:t>Southwest </w:t>
      </w:r>
      <w:r>
        <w:rPr>
          <w:rFonts w:ascii="Book Antiqua"/>
          <w:color w:val="231F20"/>
          <w:sz w:val="17"/>
        </w:rPr>
        <w:t>topped</w:t>
      </w:r>
      <w:r>
        <w:rPr>
          <w:rFonts w:ascii="Book Antiqua"/>
          <w:color w:val="231F20"/>
          <w:spacing w:val="-12"/>
          <w:sz w:val="17"/>
        </w:rPr>
        <w:t> </w:t>
      </w:r>
      <w:r>
        <w:rPr>
          <w:rFonts w:ascii="Book Antiqua"/>
          <w:color w:val="231F20"/>
          <w:sz w:val="17"/>
        </w:rPr>
        <w:t>the</w:t>
      </w:r>
      <w:r>
        <w:rPr>
          <w:rFonts w:ascii="Book Antiqua"/>
          <w:color w:val="231F20"/>
          <w:spacing w:val="-12"/>
          <w:sz w:val="17"/>
        </w:rPr>
        <w:t> </w:t>
      </w:r>
      <w:r>
        <w:rPr>
          <w:rFonts w:ascii="Book Antiqua"/>
          <w:color w:val="231F20"/>
          <w:sz w:val="17"/>
        </w:rPr>
        <w:t>monthly</w:t>
      </w:r>
      <w:r>
        <w:rPr>
          <w:rFonts w:ascii="Book Antiqua"/>
          <w:color w:val="231F20"/>
          <w:spacing w:val="-17"/>
          <w:sz w:val="17"/>
        </w:rPr>
        <w:t> </w:t>
      </w:r>
      <w:r>
        <w:rPr>
          <w:rFonts w:ascii="Book Antiqua"/>
          <w:color w:val="231F20"/>
          <w:sz w:val="17"/>
        </w:rPr>
        <w:t>domestic</w:t>
      </w:r>
      <w:r>
        <w:rPr>
          <w:rFonts w:ascii="Book Antiqua"/>
          <w:color w:val="231F20"/>
          <w:spacing w:val="-12"/>
          <w:sz w:val="17"/>
        </w:rPr>
        <w:t> </w:t>
      </w:r>
      <w:r>
        <w:rPr>
          <w:rFonts w:ascii="Book Antiqua"/>
          <w:color w:val="231F20"/>
          <w:sz w:val="17"/>
        </w:rPr>
        <w:t>originating</w:t>
      </w:r>
      <w:r>
        <w:rPr>
          <w:rFonts w:ascii="Book Antiqua"/>
          <w:color w:val="231F20"/>
          <w:spacing w:val="-12"/>
          <w:sz w:val="17"/>
        </w:rPr>
        <w:t> </w:t>
      </w:r>
      <w:r>
        <w:rPr>
          <w:rFonts w:ascii="Book Antiqua"/>
          <w:color w:val="231F20"/>
          <w:sz w:val="17"/>
        </w:rPr>
        <w:t>passenger</w:t>
      </w:r>
      <w:r>
        <w:rPr>
          <w:rFonts w:ascii="Book Antiqua"/>
          <w:color w:val="231F20"/>
          <w:spacing w:val="-17"/>
          <w:sz w:val="17"/>
        </w:rPr>
        <w:t> </w:t>
      </w:r>
      <w:r>
        <w:rPr>
          <w:rFonts w:ascii="Book Antiqua"/>
          <w:color w:val="231F20"/>
          <w:sz w:val="17"/>
        </w:rPr>
        <w:t>rankings</w:t>
      </w:r>
      <w:r>
        <w:rPr>
          <w:rFonts w:ascii="Book Antiqua"/>
          <w:color w:val="231F20"/>
          <w:spacing w:val="-12"/>
          <w:sz w:val="17"/>
        </w:rPr>
        <w:t> </w:t>
      </w:r>
      <w:r>
        <w:rPr>
          <w:rFonts w:ascii="Book Antiqua"/>
          <w:color w:val="231F20"/>
          <w:sz w:val="17"/>
        </w:rPr>
        <w:t>for</w:t>
      </w:r>
      <w:r>
        <w:rPr>
          <w:rFonts w:ascii="Book Antiqua"/>
          <w:color w:val="231F20"/>
          <w:spacing w:val="-17"/>
          <w:sz w:val="17"/>
        </w:rPr>
        <w:t> </w:t>
      </w:r>
      <w:r>
        <w:rPr>
          <w:rFonts w:ascii="Book Antiqua"/>
          <w:color w:val="231F20"/>
          <w:spacing w:val="2"/>
          <w:sz w:val="17"/>
        </w:rPr>
        <w:t>the </w:t>
      </w:r>
      <w:r>
        <w:rPr>
          <w:rFonts w:ascii="Book Antiqua"/>
          <w:color w:val="231F20"/>
          <w:sz w:val="17"/>
        </w:rPr>
        <w:t>f</w:t>
      </w:r>
      <w:r>
        <w:rPr>
          <w:rFonts w:ascii="Book Antiqua"/>
          <w:color w:val="231F20"/>
          <w:spacing w:val="-34"/>
          <w:sz w:val="17"/>
        </w:rPr>
        <w:t> </w:t>
      </w:r>
      <w:r>
        <w:rPr>
          <w:rFonts w:ascii="Book Antiqua"/>
          <w:color w:val="231F20"/>
          <w:spacing w:val="3"/>
          <w:sz w:val="17"/>
        </w:rPr>
        <w:t>irst</w:t>
      </w:r>
      <w:r>
        <w:rPr>
          <w:rFonts w:ascii="Book Antiqua"/>
          <w:color w:val="231F20"/>
          <w:spacing w:val="-7"/>
          <w:sz w:val="17"/>
        </w:rPr>
        <w:t> </w:t>
      </w:r>
      <w:r>
        <w:rPr>
          <w:rFonts w:ascii="Book Antiqua"/>
          <w:color w:val="231F20"/>
          <w:spacing w:val="3"/>
          <w:sz w:val="17"/>
        </w:rPr>
        <w:t>time</w:t>
      </w:r>
      <w:r>
        <w:rPr>
          <w:rFonts w:ascii="Book Antiqua"/>
          <w:color w:val="231F20"/>
          <w:spacing w:val="-3"/>
          <w:sz w:val="17"/>
        </w:rPr>
        <w:t> </w:t>
      </w:r>
      <w:r>
        <w:rPr>
          <w:rFonts w:ascii="Book Antiqua"/>
          <w:color w:val="231F20"/>
          <w:sz w:val="17"/>
        </w:rPr>
        <w:t>in</w:t>
      </w:r>
      <w:r>
        <w:rPr>
          <w:rFonts w:ascii="Book Antiqua"/>
          <w:color w:val="231F20"/>
          <w:spacing w:val="-3"/>
          <w:sz w:val="17"/>
        </w:rPr>
        <w:t> </w:t>
      </w:r>
      <w:r>
        <w:rPr>
          <w:rFonts w:ascii="Book Antiqua"/>
          <w:color w:val="231F20"/>
          <w:spacing w:val="2"/>
          <w:sz w:val="17"/>
        </w:rPr>
        <w:t>May</w:t>
      </w:r>
      <w:r>
        <w:rPr>
          <w:rFonts w:ascii="Book Antiqua"/>
          <w:color w:val="231F20"/>
          <w:spacing w:val="-8"/>
          <w:sz w:val="17"/>
        </w:rPr>
        <w:t> </w:t>
      </w:r>
      <w:r>
        <w:rPr>
          <w:rFonts w:ascii="Book Antiqua"/>
          <w:color w:val="231F20"/>
          <w:spacing w:val="3"/>
          <w:sz w:val="17"/>
        </w:rPr>
        <w:t>2003.</w:t>
      </w:r>
      <w:r>
        <w:rPr>
          <w:rFonts w:ascii="Book Antiqua"/>
          <w:color w:val="231F20"/>
          <w:spacing w:val="-10"/>
          <w:sz w:val="17"/>
        </w:rPr>
        <w:t> </w:t>
      </w:r>
      <w:r>
        <w:rPr>
          <w:rFonts w:ascii="Book Antiqua"/>
          <w:color w:val="231F20"/>
          <w:spacing w:val="3"/>
          <w:sz w:val="17"/>
        </w:rPr>
        <w:t>Also</w:t>
      </w:r>
      <w:r>
        <w:rPr>
          <w:rFonts w:ascii="Book Antiqua"/>
          <w:color w:val="231F20"/>
          <w:spacing w:val="-2"/>
          <w:sz w:val="17"/>
        </w:rPr>
        <w:t> </w:t>
      </w:r>
      <w:r>
        <w:rPr>
          <w:rFonts w:ascii="Book Antiqua"/>
          <w:color w:val="231F20"/>
          <w:spacing w:val="3"/>
          <w:sz w:val="17"/>
        </w:rPr>
        <w:t>Southwest</w:t>
      </w:r>
      <w:r>
        <w:rPr>
          <w:rFonts w:ascii="Book Antiqua"/>
          <w:color w:val="231F20"/>
          <w:spacing w:val="-5"/>
          <w:sz w:val="17"/>
        </w:rPr>
        <w:t> </w:t>
      </w:r>
      <w:r>
        <w:rPr>
          <w:rFonts w:ascii="Book Antiqua"/>
          <w:color w:val="231F20"/>
          <w:spacing w:val="2"/>
          <w:sz w:val="17"/>
        </w:rPr>
        <w:t>is</w:t>
      </w:r>
      <w:r>
        <w:rPr>
          <w:rFonts w:ascii="Book Antiqua"/>
          <w:color w:val="231F20"/>
          <w:spacing w:val="-2"/>
          <w:sz w:val="17"/>
        </w:rPr>
        <w:t> </w:t>
      </w:r>
      <w:r>
        <w:rPr>
          <w:rFonts w:ascii="Book Antiqua"/>
          <w:color w:val="231F20"/>
          <w:spacing w:val="3"/>
          <w:sz w:val="17"/>
        </w:rPr>
        <w:t>the</w:t>
      </w:r>
      <w:r>
        <w:rPr>
          <w:rFonts w:ascii="Book Antiqua"/>
          <w:color w:val="231F20"/>
          <w:spacing w:val="-2"/>
          <w:sz w:val="17"/>
        </w:rPr>
        <w:t> </w:t>
      </w:r>
      <w:r>
        <w:rPr>
          <w:rFonts w:ascii="Book Antiqua"/>
          <w:color w:val="231F20"/>
          <w:spacing w:val="4"/>
          <w:sz w:val="17"/>
        </w:rPr>
        <w:t>largest</w:t>
      </w:r>
      <w:r>
        <w:rPr>
          <w:rFonts w:ascii="Book Antiqua"/>
          <w:color w:val="231F20"/>
          <w:spacing w:val="-5"/>
          <w:sz w:val="17"/>
        </w:rPr>
        <w:t> </w:t>
      </w:r>
      <w:r>
        <w:rPr>
          <w:rFonts w:ascii="Book Antiqua"/>
          <w:color w:val="231F20"/>
          <w:spacing w:val="4"/>
          <w:sz w:val="17"/>
        </w:rPr>
        <w:t>carrier</w:t>
      </w:r>
      <w:r>
        <w:rPr>
          <w:rFonts w:ascii="Book Antiqua"/>
          <w:color w:val="231F20"/>
          <w:spacing w:val="-7"/>
          <w:sz w:val="17"/>
        </w:rPr>
        <w:t> </w:t>
      </w:r>
      <w:r>
        <w:rPr>
          <w:rFonts w:ascii="Book Antiqua"/>
          <w:color w:val="231F20"/>
          <w:spacing w:val="5"/>
          <w:sz w:val="17"/>
        </w:rPr>
        <w:t>based </w:t>
      </w:r>
      <w:r>
        <w:rPr>
          <w:rFonts w:ascii="Book Antiqua"/>
          <w:color w:val="231F20"/>
          <w:spacing w:val="2"/>
          <w:w w:val="95"/>
          <w:sz w:val="17"/>
        </w:rPr>
        <w:t>on </w:t>
      </w:r>
      <w:r>
        <w:rPr>
          <w:rFonts w:ascii="Book Antiqua"/>
          <w:color w:val="231F20"/>
          <w:spacing w:val="4"/>
          <w:w w:val="95"/>
          <w:sz w:val="17"/>
        </w:rPr>
        <w:t>scheduled domestic</w:t>
      </w:r>
      <w:r>
        <w:rPr>
          <w:rFonts w:ascii="Book Antiqua"/>
          <w:color w:val="231F20"/>
          <w:spacing w:val="2"/>
          <w:w w:val="95"/>
          <w:sz w:val="17"/>
        </w:rPr>
        <w:t> </w:t>
      </w:r>
      <w:r>
        <w:rPr>
          <w:rFonts w:ascii="Book Antiqua"/>
          <w:color w:val="231F20"/>
          <w:spacing w:val="5"/>
          <w:w w:val="95"/>
          <w:sz w:val="17"/>
        </w:rPr>
        <w:t>departures.</w:t>
      </w:r>
    </w:p>
    <w:p>
      <w:pPr>
        <w:spacing w:line="319" w:lineRule="auto" w:before="0"/>
        <w:ind w:left="120" w:right="491" w:firstLine="360"/>
        <w:jc w:val="both"/>
        <w:rPr>
          <w:rFonts w:ascii="Book Antiqua"/>
          <w:sz w:val="17"/>
        </w:rPr>
      </w:pPr>
      <w:r>
        <w:rPr>
          <w:rFonts w:ascii="Book Antiqua"/>
          <w:color w:val="231F20"/>
          <w:spacing w:val="3"/>
          <w:sz w:val="17"/>
        </w:rPr>
        <w:t>With</w:t>
      </w:r>
      <w:r>
        <w:rPr>
          <w:rFonts w:ascii="Book Antiqua"/>
          <w:color w:val="231F20"/>
          <w:spacing w:val="-19"/>
          <w:sz w:val="17"/>
        </w:rPr>
        <w:t> </w:t>
      </w:r>
      <w:r>
        <w:rPr>
          <w:rFonts w:ascii="Book Antiqua"/>
          <w:color w:val="231F20"/>
          <w:spacing w:val="3"/>
          <w:sz w:val="17"/>
        </w:rPr>
        <w:t>the</w:t>
      </w:r>
      <w:r>
        <w:rPr>
          <w:rFonts w:ascii="Book Antiqua"/>
          <w:color w:val="231F20"/>
          <w:spacing w:val="-19"/>
          <w:sz w:val="17"/>
        </w:rPr>
        <w:t> </w:t>
      </w:r>
      <w:r>
        <w:rPr>
          <w:rFonts w:ascii="Book Antiqua"/>
          <w:color w:val="231F20"/>
          <w:spacing w:val="4"/>
          <w:sz w:val="17"/>
        </w:rPr>
        <w:t>exception</w:t>
      </w:r>
      <w:r>
        <w:rPr>
          <w:rFonts w:ascii="Book Antiqua"/>
          <w:color w:val="231F20"/>
          <w:spacing w:val="-19"/>
          <w:sz w:val="17"/>
        </w:rPr>
        <w:t> </w:t>
      </w:r>
      <w:r>
        <w:rPr>
          <w:rFonts w:ascii="Book Antiqua"/>
          <w:color w:val="231F20"/>
          <w:spacing w:val="2"/>
          <w:sz w:val="17"/>
        </w:rPr>
        <w:t>of</w:t>
      </w:r>
      <w:r>
        <w:rPr>
          <w:rFonts w:ascii="Book Antiqua"/>
          <w:color w:val="231F20"/>
          <w:spacing w:val="-19"/>
          <w:sz w:val="17"/>
        </w:rPr>
        <w:t> </w:t>
      </w:r>
      <w:r>
        <w:rPr>
          <w:rFonts w:ascii="Book Antiqua"/>
          <w:color w:val="231F20"/>
          <w:spacing w:val="4"/>
          <w:sz w:val="17"/>
        </w:rPr>
        <w:t>Norfolk,</w:t>
      </w:r>
      <w:r>
        <w:rPr>
          <w:rFonts w:ascii="Book Antiqua"/>
          <w:color w:val="231F20"/>
          <w:spacing w:val="-24"/>
          <w:sz w:val="17"/>
        </w:rPr>
        <w:t> </w:t>
      </w:r>
      <w:r>
        <w:rPr>
          <w:rFonts w:ascii="Book Antiqua"/>
          <w:color w:val="231F20"/>
          <w:spacing w:val="4"/>
          <w:sz w:val="17"/>
        </w:rPr>
        <w:t>which</w:t>
      </w:r>
      <w:r>
        <w:rPr>
          <w:rFonts w:ascii="Book Antiqua"/>
          <w:color w:val="231F20"/>
          <w:spacing w:val="-21"/>
          <w:sz w:val="17"/>
        </w:rPr>
        <w:t> </w:t>
      </w:r>
      <w:r>
        <w:rPr>
          <w:rFonts w:ascii="Book Antiqua"/>
          <w:color w:val="231F20"/>
          <w:spacing w:val="3"/>
          <w:sz w:val="17"/>
        </w:rPr>
        <w:t>was</w:t>
      </w:r>
      <w:r>
        <w:rPr>
          <w:rFonts w:ascii="Book Antiqua"/>
          <w:color w:val="231F20"/>
          <w:spacing w:val="-19"/>
          <w:sz w:val="17"/>
        </w:rPr>
        <w:t> </w:t>
      </w:r>
      <w:r>
        <w:rPr>
          <w:rFonts w:ascii="Book Antiqua"/>
          <w:color w:val="231F20"/>
          <w:spacing w:val="4"/>
          <w:sz w:val="17"/>
        </w:rPr>
        <w:t>planned</w:t>
      </w:r>
      <w:r>
        <w:rPr>
          <w:rFonts w:ascii="Book Antiqua"/>
          <w:color w:val="231F20"/>
          <w:spacing w:val="-19"/>
          <w:sz w:val="17"/>
        </w:rPr>
        <w:t> </w:t>
      </w:r>
      <w:r>
        <w:rPr>
          <w:rFonts w:ascii="Book Antiqua"/>
          <w:color w:val="231F20"/>
          <w:spacing w:val="4"/>
          <w:sz w:val="17"/>
        </w:rPr>
        <w:t>prior</w:t>
      </w:r>
      <w:r>
        <w:rPr>
          <w:rFonts w:ascii="Book Antiqua"/>
          <w:color w:val="231F20"/>
          <w:spacing w:val="-24"/>
          <w:sz w:val="17"/>
        </w:rPr>
        <w:t> </w:t>
      </w:r>
      <w:r>
        <w:rPr>
          <w:rFonts w:ascii="Book Antiqua"/>
          <w:color w:val="231F20"/>
          <w:spacing w:val="2"/>
          <w:sz w:val="17"/>
        </w:rPr>
        <w:t>to</w:t>
      </w:r>
      <w:r>
        <w:rPr>
          <w:rFonts w:ascii="Book Antiqua"/>
          <w:color w:val="231F20"/>
          <w:spacing w:val="-19"/>
          <w:sz w:val="17"/>
        </w:rPr>
        <w:t> </w:t>
      </w:r>
      <w:r>
        <w:rPr>
          <w:rFonts w:ascii="Book Antiqua"/>
          <w:color w:val="231F20"/>
          <w:spacing w:val="5"/>
          <w:sz w:val="17"/>
        </w:rPr>
        <w:t>the </w:t>
      </w:r>
      <w:r>
        <w:rPr>
          <w:rFonts w:ascii="Book Antiqua"/>
          <w:color w:val="231F20"/>
          <w:spacing w:val="4"/>
          <w:sz w:val="17"/>
        </w:rPr>
        <w:t>terrorist</w:t>
      </w:r>
      <w:r>
        <w:rPr>
          <w:rFonts w:ascii="Book Antiqua"/>
          <w:color w:val="231F20"/>
          <w:spacing w:val="-17"/>
          <w:sz w:val="17"/>
        </w:rPr>
        <w:t> </w:t>
      </w:r>
      <w:r>
        <w:rPr>
          <w:rFonts w:ascii="Book Antiqua"/>
          <w:color w:val="231F20"/>
          <w:spacing w:val="4"/>
          <w:sz w:val="17"/>
        </w:rPr>
        <w:t>attacks,</w:t>
      </w:r>
      <w:r>
        <w:rPr>
          <w:rFonts w:ascii="Book Antiqua"/>
          <w:color w:val="231F20"/>
          <w:spacing w:val="-17"/>
          <w:sz w:val="17"/>
        </w:rPr>
        <w:t> </w:t>
      </w:r>
      <w:r>
        <w:rPr>
          <w:rFonts w:ascii="Book Antiqua"/>
          <w:color w:val="231F20"/>
          <w:spacing w:val="4"/>
          <w:sz w:val="17"/>
        </w:rPr>
        <w:t>there</w:t>
      </w:r>
      <w:r>
        <w:rPr>
          <w:rFonts w:ascii="Book Antiqua"/>
          <w:color w:val="231F20"/>
          <w:spacing w:val="-14"/>
          <w:sz w:val="17"/>
        </w:rPr>
        <w:t> </w:t>
      </w:r>
      <w:r>
        <w:rPr>
          <w:rFonts w:ascii="Book Antiqua"/>
          <w:color w:val="231F20"/>
          <w:spacing w:val="2"/>
          <w:sz w:val="17"/>
        </w:rPr>
        <w:t>have</w:t>
      </w:r>
      <w:r>
        <w:rPr>
          <w:rFonts w:ascii="Book Antiqua"/>
          <w:color w:val="231F20"/>
          <w:spacing w:val="-14"/>
          <w:sz w:val="17"/>
        </w:rPr>
        <w:t> </w:t>
      </w:r>
      <w:r>
        <w:rPr>
          <w:rFonts w:ascii="Book Antiqua"/>
          <w:color w:val="231F20"/>
          <w:spacing w:val="3"/>
          <w:sz w:val="17"/>
        </w:rPr>
        <w:t>been</w:t>
      </w:r>
      <w:r>
        <w:rPr>
          <w:rFonts w:ascii="Book Antiqua"/>
          <w:color w:val="231F20"/>
          <w:spacing w:val="-14"/>
          <w:sz w:val="17"/>
        </w:rPr>
        <w:t> </w:t>
      </w:r>
      <w:r>
        <w:rPr>
          <w:rFonts w:ascii="Book Antiqua"/>
          <w:color w:val="231F20"/>
          <w:spacing w:val="2"/>
          <w:sz w:val="17"/>
        </w:rPr>
        <w:t>no</w:t>
      </w:r>
      <w:r>
        <w:rPr>
          <w:rFonts w:ascii="Book Antiqua"/>
          <w:color w:val="231F20"/>
          <w:spacing w:val="-14"/>
          <w:sz w:val="17"/>
        </w:rPr>
        <w:t> </w:t>
      </w:r>
      <w:r>
        <w:rPr>
          <w:rFonts w:ascii="Book Antiqua"/>
          <w:color w:val="231F20"/>
          <w:spacing w:val="3"/>
          <w:sz w:val="17"/>
        </w:rPr>
        <w:t>new</w:t>
      </w:r>
      <w:r>
        <w:rPr>
          <w:rFonts w:ascii="Book Antiqua"/>
          <w:color w:val="231F20"/>
          <w:spacing w:val="-19"/>
          <w:sz w:val="17"/>
        </w:rPr>
        <w:t> </w:t>
      </w:r>
      <w:r>
        <w:rPr>
          <w:rFonts w:ascii="Book Antiqua"/>
          <w:color w:val="231F20"/>
          <w:spacing w:val="4"/>
          <w:sz w:val="17"/>
        </w:rPr>
        <w:t>cities</w:t>
      </w:r>
      <w:r>
        <w:rPr>
          <w:rFonts w:ascii="Book Antiqua"/>
          <w:color w:val="231F20"/>
          <w:spacing w:val="-14"/>
          <w:sz w:val="17"/>
        </w:rPr>
        <w:t> </w:t>
      </w:r>
      <w:r>
        <w:rPr>
          <w:rFonts w:ascii="Book Antiqua"/>
          <w:color w:val="231F20"/>
          <w:spacing w:val="4"/>
          <w:sz w:val="17"/>
        </w:rPr>
        <w:t>since</w:t>
      </w:r>
      <w:r>
        <w:rPr>
          <w:rFonts w:ascii="Book Antiqua"/>
          <w:color w:val="231F20"/>
          <w:spacing w:val="-14"/>
          <w:sz w:val="17"/>
        </w:rPr>
        <w:t> </w:t>
      </w:r>
      <w:r>
        <w:rPr>
          <w:rFonts w:ascii="Book Antiqua"/>
          <w:color w:val="231F20"/>
          <w:spacing w:val="4"/>
          <w:sz w:val="17"/>
        </w:rPr>
        <w:t>September</w:t>
      </w:r>
      <w:r>
        <w:rPr>
          <w:rFonts w:ascii="Book Antiqua"/>
          <w:color w:val="231F20"/>
          <w:spacing w:val="-19"/>
          <w:sz w:val="17"/>
        </w:rPr>
        <w:t> </w:t>
      </w:r>
      <w:r>
        <w:rPr>
          <w:rFonts w:ascii="Book Antiqua"/>
          <w:color w:val="231F20"/>
          <w:sz w:val="17"/>
        </w:rPr>
        <w:t>11, </w:t>
      </w:r>
      <w:r>
        <w:rPr>
          <w:rFonts w:ascii="Book Antiqua"/>
          <w:color w:val="231F20"/>
          <w:spacing w:val="-3"/>
          <w:w w:val="95"/>
          <w:sz w:val="17"/>
        </w:rPr>
        <w:t>2001. </w:t>
      </w:r>
      <w:r>
        <w:rPr>
          <w:rFonts w:ascii="Book Antiqua"/>
          <w:color w:val="231F20"/>
          <w:w w:val="95"/>
          <w:sz w:val="17"/>
        </w:rPr>
        <w:t>Instead, </w:t>
      </w:r>
      <w:r>
        <w:rPr>
          <w:rFonts w:ascii="Book Antiqua"/>
          <w:color w:val="231F20"/>
          <w:spacing w:val="-3"/>
          <w:w w:val="95"/>
          <w:sz w:val="17"/>
        </w:rPr>
        <w:t>we </w:t>
      </w:r>
      <w:r>
        <w:rPr>
          <w:rFonts w:ascii="Book Antiqua"/>
          <w:color w:val="231F20"/>
          <w:w w:val="95"/>
          <w:sz w:val="17"/>
        </w:rPr>
        <w:t>added new city-pair routings and increased </w:t>
      </w:r>
      <w:r>
        <w:rPr>
          <w:rFonts w:ascii="Book Antiqua"/>
          <w:color w:val="231F20"/>
          <w:spacing w:val="1"/>
          <w:w w:val="95"/>
          <w:sz w:val="17"/>
        </w:rPr>
        <w:t> </w:t>
      </w:r>
      <w:r>
        <w:rPr>
          <w:rFonts w:ascii="Book Antiqua"/>
          <w:color w:val="231F20"/>
          <w:w w:val="95"/>
          <w:sz w:val="17"/>
        </w:rPr>
        <w:t>existing</w:t>
      </w:r>
    </w:p>
    <w:p>
      <w:pPr>
        <w:spacing w:after="0" w:line="319" w:lineRule="auto"/>
        <w:jc w:val="both"/>
        <w:rPr>
          <w:rFonts w:ascii="Book Antiqua"/>
          <w:sz w:val="17"/>
        </w:rPr>
        <w:sectPr>
          <w:type w:val="continuous"/>
          <w:pgSz w:w="12240" w:h="15840"/>
          <w:pgMar w:top="320" w:bottom="280" w:left="780" w:right="400"/>
          <w:cols w:num="2" w:equalWidth="0">
            <w:col w:w="5173" w:space="227"/>
            <w:col w:w="5660"/>
          </w:cols>
        </w:sectPr>
      </w:pPr>
    </w:p>
    <w:p>
      <w:pPr>
        <w:pStyle w:val="BodyText"/>
        <w:rPr>
          <w:rFonts w:ascii="Book Antiqua"/>
          <w:sz w:val="20"/>
        </w:rPr>
      </w:pPr>
    </w:p>
    <w:p>
      <w:pPr>
        <w:pStyle w:val="BodyText"/>
        <w:spacing w:before="10"/>
        <w:rPr>
          <w:rFonts w:ascii="Book Antiqua"/>
          <w:sz w:val="26"/>
        </w:rPr>
      </w:pPr>
    </w:p>
    <w:p>
      <w:pPr>
        <w:tabs>
          <w:tab w:pos="3547" w:val="left" w:leader="none"/>
          <w:tab w:pos="7007" w:val="left" w:leader="none"/>
        </w:tabs>
        <w:spacing w:line="240" w:lineRule="auto"/>
        <w:ind w:left="116" w:right="0" w:firstLine="0"/>
        <w:rPr>
          <w:rFonts w:ascii="Book Antiqua"/>
          <w:sz w:val="20"/>
        </w:rPr>
      </w:pPr>
      <w:r>
        <w:rPr>
          <w:rFonts w:ascii="Book Antiqua"/>
          <w:position w:val="1"/>
          <w:sz w:val="20"/>
        </w:rPr>
        <w:pict>
          <v:shape style="width:129.4pt;height:91.15pt;mso-position-horizontal-relative:char;mso-position-vertical-relative:line" type="#_x0000_t202" filled="false" stroked="false">
            <w10:anchorlock/>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448"/>
                    <w:gridCol w:w="420"/>
                    <w:gridCol w:w="420"/>
                    <w:gridCol w:w="420"/>
                    <w:gridCol w:w="420"/>
                    <w:gridCol w:w="446"/>
                  </w:tblGrid>
                  <w:tr>
                    <w:trPr>
                      <w:trHeight w:val="1579" w:hRule="exact"/>
                    </w:trPr>
                    <w:tc>
                      <w:tcPr>
                        <w:tcW w:w="448" w:type="dxa"/>
                        <w:tcBorders>
                          <w:top w:val="nil"/>
                          <w:right w:val="single" w:sz="4" w:space="0" w:color="BABCBE"/>
                        </w:tcBorders>
                      </w:tcPr>
                      <w:p>
                        <w:pPr>
                          <w:pStyle w:val="TableParagraph"/>
                          <w:rPr>
                            <w:rFonts w:ascii="Book Antiqua"/>
                            <w:sz w:val="14"/>
                          </w:rPr>
                        </w:pPr>
                      </w:p>
                      <w:p>
                        <w:pPr>
                          <w:pStyle w:val="TableParagraph"/>
                          <w:spacing w:before="6"/>
                          <w:rPr>
                            <w:rFonts w:ascii="Book Antiqua"/>
                            <w:sz w:val="19"/>
                          </w:rPr>
                        </w:pPr>
                      </w:p>
                      <w:p>
                        <w:pPr>
                          <w:pStyle w:val="TableParagraph"/>
                          <w:ind w:left="36" w:right="29"/>
                          <w:jc w:val="center"/>
                          <w:rPr>
                            <w:sz w:val="12"/>
                          </w:rPr>
                        </w:pPr>
                        <w:r>
                          <w:rPr>
                            <w:color w:val="231F20"/>
                            <w:sz w:val="12"/>
                          </w:rPr>
                          <w:t>$474</w:t>
                        </w:r>
                      </w:p>
                    </w:tc>
                    <w:tc>
                      <w:tcPr>
                        <w:tcW w:w="420" w:type="dxa"/>
                        <w:tcBorders>
                          <w:top w:val="nil"/>
                          <w:left w:val="single" w:sz="4" w:space="0" w:color="BABCBE"/>
                          <w:right w:val="single" w:sz="4" w:space="0" w:color="BABCBE"/>
                        </w:tcBorders>
                      </w:tcPr>
                      <w:p>
                        <w:pPr>
                          <w:pStyle w:val="TableParagraph"/>
                          <w:spacing w:before="5"/>
                          <w:ind w:left="10" w:right="5"/>
                          <w:jc w:val="center"/>
                          <w:rPr>
                            <w:sz w:val="12"/>
                          </w:rPr>
                        </w:pPr>
                        <w:r>
                          <w:rPr>
                            <w:color w:val="231F20"/>
                            <w:sz w:val="12"/>
                          </w:rPr>
                          <w:t>$625*</w:t>
                        </w:r>
                      </w:p>
                    </w:tc>
                    <w:tc>
                      <w:tcPr>
                        <w:tcW w:w="420" w:type="dxa"/>
                        <w:tcBorders>
                          <w:top w:val="nil"/>
                          <w:left w:val="single" w:sz="4" w:space="0" w:color="BABCBE"/>
                          <w:right w:val="single" w:sz="4" w:space="0" w:color="BABCBE"/>
                        </w:tcBorders>
                      </w:tcPr>
                      <w:p>
                        <w:pPr>
                          <w:pStyle w:val="TableParagraph"/>
                          <w:rPr>
                            <w:rFonts w:ascii="Book Antiqua"/>
                            <w:sz w:val="14"/>
                          </w:rPr>
                        </w:pPr>
                      </w:p>
                      <w:p>
                        <w:pPr>
                          <w:pStyle w:val="TableParagraph"/>
                          <w:spacing w:before="115"/>
                          <w:ind w:left="9" w:right="18"/>
                          <w:jc w:val="center"/>
                          <w:rPr>
                            <w:sz w:val="12"/>
                          </w:rPr>
                        </w:pPr>
                        <w:r>
                          <w:rPr>
                            <w:color w:val="231F20"/>
                            <w:sz w:val="12"/>
                          </w:rPr>
                          <w:t>$511</w:t>
                        </w:r>
                      </w:p>
                    </w:tc>
                    <w:tc>
                      <w:tcPr>
                        <w:tcW w:w="420" w:type="dxa"/>
                        <w:tcBorders>
                          <w:top w:val="nil"/>
                          <w:left w:val="single" w:sz="4" w:space="0" w:color="BABCBE"/>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spacing w:before="8"/>
                          <w:rPr>
                            <w:rFonts w:ascii="Book Antiqua"/>
                            <w:sz w:val="14"/>
                          </w:rPr>
                        </w:pPr>
                      </w:p>
                      <w:p>
                        <w:pPr>
                          <w:pStyle w:val="TableParagraph"/>
                          <w:ind w:left="10" w:right="7"/>
                          <w:jc w:val="center"/>
                          <w:rPr>
                            <w:sz w:val="12"/>
                          </w:rPr>
                        </w:pPr>
                        <w:r>
                          <w:rPr>
                            <w:color w:val="231F20"/>
                            <w:sz w:val="12"/>
                          </w:rPr>
                          <w:t>$241</w:t>
                        </w:r>
                      </w:p>
                    </w:tc>
                    <w:tc>
                      <w:tcPr>
                        <w:tcW w:w="420" w:type="dxa"/>
                        <w:tcBorders>
                          <w:top w:val="nil"/>
                          <w:left w:val="single" w:sz="4" w:space="0" w:color="BABCBE"/>
                        </w:tcBorders>
                      </w:tcPr>
                      <w:p>
                        <w:pPr>
                          <w:pStyle w:val="TableParagraph"/>
                          <w:rPr>
                            <w:rFonts w:ascii="Book Antiqua"/>
                            <w:sz w:val="14"/>
                          </w:rPr>
                        </w:pPr>
                      </w:p>
                      <w:p>
                        <w:pPr>
                          <w:pStyle w:val="TableParagraph"/>
                          <w:spacing w:before="1"/>
                          <w:rPr>
                            <w:rFonts w:ascii="Book Antiqua"/>
                            <w:sz w:val="19"/>
                          </w:rPr>
                        </w:pPr>
                      </w:p>
                      <w:p>
                        <w:pPr>
                          <w:pStyle w:val="TableParagraph"/>
                          <w:spacing w:before="1"/>
                          <w:ind w:left="10" w:right="13"/>
                          <w:jc w:val="center"/>
                          <w:rPr>
                            <w:sz w:val="12"/>
                          </w:rPr>
                        </w:pPr>
                        <w:r>
                          <w:rPr>
                            <w:color w:val="231F20"/>
                            <w:sz w:val="12"/>
                          </w:rPr>
                          <w:t>$442</w:t>
                        </w:r>
                      </w:p>
                    </w:tc>
                    <w:tc>
                      <w:tcPr>
                        <w:tcW w:w="446" w:type="dxa"/>
                        <w:tcBorders>
                          <w:top w:val="nil"/>
                        </w:tcBorders>
                      </w:tcPr>
                      <w:p>
                        <w:pPr>
                          <w:pStyle w:val="TableParagraph"/>
                          <w:spacing w:before="3"/>
                          <w:rPr>
                            <w:rFonts w:ascii="Book Antiqua"/>
                            <w:sz w:val="11"/>
                          </w:rPr>
                        </w:pPr>
                      </w:p>
                      <w:p>
                        <w:pPr>
                          <w:pStyle w:val="TableParagraph"/>
                          <w:spacing w:before="1"/>
                          <w:ind w:left="96"/>
                          <w:rPr>
                            <w:sz w:val="12"/>
                          </w:rPr>
                        </w:pPr>
                        <w:r>
                          <w:rPr>
                            <w:color w:val="231F20"/>
                            <w:sz w:val="12"/>
                          </w:rPr>
                          <w:t>$600</w:t>
                        </w:r>
                      </w:p>
                      <w:p>
                        <w:pPr>
                          <w:pStyle w:val="TableParagraph"/>
                          <w:spacing w:before="99"/>
                          <w:ind w:left="96"/>
                          <w:rPr>
                            <w:sz w:val="12"/>
                          </w:rPr>
                        </w:pPr>
                        <w:r>
                          <w:rPr>
                            <w:color w:val="231F20"/>
                            <w:sz w:val="12"/>
                          </w:rPr>
                          <w:t>$500</w:t>
                        </w:r>
                      </w:p>
                      <w:p>
                        <w:pPr>
                          <w:pStyle w:val="TableParagraph"/>
                          <w:spacing w:before="99"/>
                          <w:ind w:left="96"/>
                          <w:rPr>
                            <w:sz w:val="12"/>
                          </w:rPr>
                        </w:pPr>
                        <w:r>
                          <w:rPr>
                            <w:color w:val="231F20"/>
                            <w:sz w:val="12"/>
                          </w:rPr>
                          <w:t>$400</w:t>
                        </w:r>
                      </w:p>
                      <w:p>
                        <w:pPr>
                          <w:pStyle w:val="TableParagraph"/>
                          <w:spacing w:before="99"/>
                          <w:ind w:left="96"/>
                          <w:rPr>
                            <w:sz w:val="12"/>
                          </w:rPr>
                        </w:pPr>
                        <w:r>
                          <w:rPr>
                            <w:color w:val="231F20"/>
                            <w:sz w:val="12"/>
                          </w:rPr>
                          <w:t>$300</w:t>
                        </w:r>
                      </w:p>
                      <w:p>
                        <w:pPr>
                          <w:pStyle w:val="TableParagraph"/>
                          <w:spacing w:before="99"/>
                          <w:ind w:left="96"/>
                          <w:rPr>
                            <w:sz w:val="12"/>
                          </w:rPr>
                        </w:pPr>
                        <w:r>
                          <w:rPr>
                            <w:color w:val="231F20"/>
                            <w:sz w:val="12"/>
                          </w:rPr>
                          <w:t>$200</w:t>
                        </w:r>
                      </w:p>
                      <w:p>
                        <w:pPr>
                          <w:pStyle w:val="TableParagraph"/>
                          <w:spacing w:before="99"/>
                          <w:ind w:left="96"/>
                          <w:rPr>
                            <w:sz w:val="12"/>
                          </w:rPr>
                        </w:pPr>
                        <w:r>
                          <w:rPr>
                            <w:color w:val="231F20"/>
                            <w:sz w:val="12"/>
                          </w:rPr>
                          <w:t>$100</w:t>
                        </w:r>
                      </w:p>
                    </w:tc>
                  </w:tr>
                  <w:tr>
                    <w:trPr>
                      <w:trHeight w:val="233" w:hRule="exact"/>
                    </w:trPr>
                    <w:tc>
                      <w:tcPr>
                        <w:tcW w:w="448" w:type="dxa"/>
                        <w:tcBorders>
                          <w:right w:val="single" w:sz="4" w:space="0" w:color="BABCBE"/>
                        </w:tcBorders>
                        <w:shd w:val="clear" w:color="auto" w:fill="DBDCDE"/>
                      </w:tcPr>
                      <w:p>
                        <w:pPr>
                          <w:pStyle w:val="TableParagraph"/>
                          <w:spacing w:before="49"/>
                          <w:ind w:left="26" w:right="29"/>
                          <w:jc w:val="center"/>
                          <w:rPr>
                            <w:sz w:val="12"/>
                          </w:rPr>
                        </w:pPr>
                        <w:r>
                          <w:rPr>
                            <w:color w:val="231F20"/>
                            <w:sz w:val="12"/>
                          </w:rPr>
                          <w:t>1999</w:t>
                        </w:r>
                      </w:p>
                    </w:tc>
                    <w:tc>
                      <w:tcPr>
                        <w:tcW w:w="420" w:type="dxa"/>
                        <w:tcBorders>
                          <w:left w:val="single" w:sz="4" w:space="0" w:color="BABCBE"/>
                          <w:right w:val="single" w:sz="4" w:space="0" w:color="BABCBE"/>
                        </w:tcBorders>
                        <w:shd w:val="clear" w:color="auto" w:fill="DBDCDE"/>
                      </w:tcPr>
                      <w:p>
                        <w:pPr>
                          <w:pStyle w:val="TableParagraph"/>
                          <w:spacing w:before="49"/>
                          <w:ind w:left="10" w:right="11"/>
                          <w:jc w:val="center"/>
                          <w:rPr>
                            <w:sz w:val="12"/>
                          </w:rPr>
                        </w:pPr>
                        <w:r>
                          <w:rPr>
                            <w:color w:val="231F20"/>
                            <w:sz w:val="12"/>
                          </w:rPr>
                          <w:t>2000</w:t>
                        </w:r>
                      </w:p>
                    </w:tc>
                    <w:tc>
                      <w:tcPr>
                        <w:tcW w:w="420" w:type="dxa"/>
                        <w:tcBorders>
                          <w:left w:val="single" w:sz="4" w:space="0" w:color="BABCBE"/>
                          <w:right w:val="single" w:sz="4" w:space="0" w:color="BABCBE"/>
                        </w:tcBorders>
                        <w:shd w:val="clear" w:color="auto" w:fill="DBDCDE"/>
                      </w:tcPr>
                      <w:p>
                        <w:pPr>
                          <w:pStyle w:val="TableParagraph"/>
                          <w:spacing w:before="49"/>
                          <w:ind w:left="10" w:right="10"/>
                          <w:jc w:val="center"/>
                          <w:rPr>
                            <w:sz w:val="12"/>
                          </w:rPr>
                        </w:pPr>
                        <w:r>
                          <w:rPr>
                            <w:color w:val="231F20"/>
                            <w:sz w:val="12"/>
                          </w:rPr>
                          <w:t>2001</w:t>
                        </w:r>
                      </w:p>
                    </w:tc>
                    <w:tc>
                      <w:tcPr>
                        <w:tcW w:w="420" w:type="dxa"/>
                        <w:tcBorders>
                          <w:left w:val="single" w:sz="4" w:space="0" w:color="BABCBE"/>
                          <w:right w:val="single" w:sz="4" w:space="0" w:color="BABCBE"/>
                        </w:tcBorders>
                        <w:shd w:val="clear" w:color="auto" w:fill="DBDCDE"/>
                      </w:tcPr>
                      <w:p>
                        <w:pPr>
                          <w:pStyle w:val="TableParagraph"/>
                          <w:spacing w:before="49"/>
                          <w:ind w:left="10"/>
                          <w:jc w:val="center"/>
                          <w:rPr>
                            <w:sz w:val="12"/>
                          </w:rPr>
                        </w:pPr>
                        <w:r>
                          <w:rPr>
                            <w:color w:val="231F20"/>
                            <w:sz w:val="12"/>
                          </w:rPr>
                          <w:t>2002</w:t>
                        </w:r>
                      </w:p>
                    </w:tc>
                    <w:tc>
                      <w:tcPr>
                        <w:tcW w:w="420" w:type="dxa"/>
                        <w:tcBorders>
                          <w:left w:val="single" w:sz="4" w:space="0" w:color="BABCBE"/>
                        </w:tcBorders>
                        <w:shd w:val="clear" w:color="auto" w:fill="DBDCDE"/>
                      </w:tcPr>
                      <w:p>
                        <w:pPr>
                          <w:pStyle w:val="TableParagraph"/>
                          <w:spacing w:before="49"/>
                          <w:ind w:left="10" w:right="9"/>
                          <w:jc w:val="center"/>
                          <w:rPr>
                            <w:sz w:val="12"/>
                          </w:rPr>
                        </w:pPr>
                        <w:r>
                          <w:rPr>
                            <w:color w:val="231F20"/>
                            <w:sz w:val="12"/>
                          </w:rPr>
                          <w:t>2003</w:t>
                        </w:r>
                      </w:p>
                    </w:tc>
                    <w:tc>
                      <w:tcPr>
                        <w:tcW w:w="446" w:type="dxa"/>
                        <w:tcBorders>
                          <w:bottom w:val="nil"/>
                          <w:right w:val="nil"/>
                        </w:tcBorders>
                      </w:tcPr>
                      <w:p>
                        <w:pPr/>
                      </w:p>
                    </w:tc>
                  </w:tr>
                </w:tbl>
                <w:p>
                  <w:pPr>
                    <w:pStyle w:val="BodyText"/>
                  </w:pPr>
                </w:p>
              </w:txbxContent>
            </v:textbox>
          </v:shape>
        </w:pict>
      </w:r>
      <w:r>
        <w:rPr>
          <w:rFonts w:ascii="Book Antiqua"/>
          <w:position w:val="1"/>
          <w:sz w:val="20"/>
        </w:rPr>
      </w:r>
      <w:r>
        <w:rPr>
          <w:rFonts w:ascii="Book Antiqua"/>
          <w:position w:val="1"/>
          <w:sz w:val="20"/>
        </w:rPr>
        <w:tab/>
      </w:r>
      <w:r>
        <w:rPr>
          <w:rFonts w:ascii="Book Antiqua"/>
          <w:sz w:val="20"/>
        </w:rPr>
        <w:pict>
          <v:shape style="width:129.4pt;height:91.25pt;mso-position-horizontal-relative:char;mso-position-vertical-relative:line" type="#_x0000_t202" filled="false" stroked="false">
            <w10:anchorlock/>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448"/>
                    <w:gridCol w:w="420"/>
                    <w:gridCol w:w="420"/>
                    <w:gridCol w:w="420"/>
                    <w:gridCol w:w="420"/>
                    <w:gridCol w:w="446"/>
                  </w:tblGrid>
                  <w:tr>
                    <w:trPr>
                      <w:trHeight w:val="1580" w:hRule="exact"/>
                    </w:trPr>
                    <w:tc>
                      <w:tcPr>
                        <w:tcW w:w="448" w:type="dxa"/>
                        <w:tcBorders>
                          <w:top w:val="nil"/>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spacing w:before="102"/>
                          <w:ind w:left="78"/>
                          <w:rPr>
                            <w:sz w:val="12"/>
                          </w:rPr>
                        </w:pPr>
                        <w:r>
                          <w:rPr>
                            <w:color w:val="231F20"/>
                            <w:sz w:val="12"/>
                          </w:rPr>
                          <w:t>2,550</w:t>
                        </w:r>
                      </w:p>
                    </w:tc>
                    <w:tc>
                      <w:tcPr>
                        <w:tcW w:w="420" w:type="dxa"/>
                        <w:tcBorders>
                          <w:top w:val="nil"/>
                          <w:left w:val="single" w:sz="4" w:space="0" w:color="BABCBE"/>
                          <w:right w:val="single" w:sz="4" w:space="0" w:color="BABCBE"/>
                        </w:tcBorders>
                      </w:tcPr>
                      <w:p>
                        <w:pPr>
                          <w:pStyle w:val="TableParagraph"/>
                          <w:spacing w:before="7"/>
                          <w:rPr>
                            <w:rFonts w:ascii="Book Antiqua"/>
                            <w:sz w:val="12"/>
                          </w:rPr>
                        </w:pPr>
                      </w:p>
                      <w:p>
                        <w:pPr>
                          <w:pStyle w:val="TableParagraph"/>
                          <w:ind w:left="10" w:right="7"/>
                          <w:jc w:val="center"/>
                          <w:rPr>
                            <w:sz w:val="12"/>
                          </w:rPr>
                        </w:pPr>
                        <w:r>
                          <w:rPr>
                            <w:color w:val="231F20"/>
                            <w:sz w:val="12"/>
                          </w:rPr>
                          <w:t>2,700</w:t>
                        </w:r>
                      </w:p>
                    </w:tc>
                    <w:tc>
                      <w:tcPr>
                        <w:tcW w:w="420" w:type="dxa"/>
                        <w:tcBorders>
                          <w:top w:val="nil"/>
                          <w:left w:val="single" w:sz="4" w:space="0" w:color="BABCBE"/>
                          <w:right w:val="single" w:sz="4" w:space="0" w:color="BABCBE"/>
                        </w:tcBorders>
                      </w:tcPr>
                      <w:p>
                        <w:pPr>
                          <w:pStyle w:val="TableParagraph"/>
                          <w:spacing w:before="27"/>
                          <w:ind w:left="10" w:right="10"/>
                          <w:jc w:val="center"/>
                          <w:rPr>
                            <w:sz w:val="12"/>
                          </w:rPr>
                        </w:pPr>
                        <w:r>
                          <w:rPr>
                            <w:color w:val="231F20"/>
                            <w:sz w:val="12"/>
                          </w:rPr>
                          <w:t>2,800</w:t>
                        </w:r>
                      </w:p>
                    </w:tc>
                    <w:tc>
                      <w:tcPr>
                        <w:tcW w:w="420" w:type="dxa"/>
                        <w:tcBorders>
                          <w:top w:val="nil"/>
                          <w:left w:val="single" w:sz="4" w:space="0" w:color="BABCBE"/>
                          <w:right w:val="single" w:sz="4" w:space="0" w:color="BABCBE"/>
                        </w:tcBorders>
                      </w:tcPr>
                      <w:p>
                        <w:pPr>
                          <w:pStyle w:val="TableParagraph"/>
                          <w:spacing w:before="23"/>
                          <w:ind w:left="54"/>
                          <w:rPr>
                            <w:sz w:val="12"/>
                          </w:rPr>
                        </w:pPr>
                        <w:r>
                          <w:rPr>
                            <w:color w:val="231F20"/>
                            <w:sz w:val="12"/>
                          </w:rPr>
                          <w:t>2,800</w:t>
                        </w:r>
                      </w:p>
                    </w:tc>
                    <w:tc>
                      <w:tcPr>
                        <w:tcW w:w="420" w:type="dxa"/>
                        <w:tcBorders>
                          <w:top w:val="nil"/>
                          <w:left w:val="single" w:sz="4" w:space="0" w:color="BABCBE"/>
                        </w:tcBorders>
                      </w:tcPr>
                      <w:p>
                        <w:pPr>
                          <w:pStyle w:val="TableParagraph"/>
                          <w:spacing w:before="23"/>
                          <w:ind w:left="63"/>
                          <w:rPr>
                            <w:sz w:val="12"/>
                          </w:rPr>
                        </w:pPr>
                        <w:r>
                          <w:rPr>
                            <w:color w:val="231F20"/>
                            <w:sz w:val="12"/>
                          </w:rPr>
                          <w:t>2,800</w:t>
                        </w:r>
                      </w:p>
                    </w:tc>
                    <w:tc>
                      <w:tcPr>
                        <w:tcW w:w="446" w:type="dxa"/>
                        <w:tcBorders>
                          <w:top w:val="nil"/>
                        </w:tcBorders>
                      </w:tcPr>
                      <w:p>
                        <w:pPr>
                          <w:pStyle w:val="TableParagraph"/>
                          <w:spacing w:before="68"/>
                          <w:ind w:left="67"/>
                          <w:rPr>
                            <w:sz w:val="12"/>
                          </w:rPr>
                        </w:pPr>
                        <w:r>
                          <w:rPr>
                            <w:color w:val="231F20"/>
                            <w:sz w:val="12"/>
                          </w:rPr>
                          <w:t>2,800</w:t>
                        </w:r>
                      </w:p>
                      <w:p>
                        <w:pPr>
                          <w:pStyle w:val="TableParagraph"/>
                          <w:spacing w:before="9"/>
                          <w:rPr>
                            <w:rFonts w:ascii="Book Antiqua"/>
                            <w:sz w:val="13"/>
                          </w:rPr>
                        </w:pPr>
                      </w:p>
                      <w:p>
                        <w:pPr>
                          <w:pStyle w:val="TableParagraph"/>
                          <w:ind w:left="67"/>
                          <w:rPr>
                            <w:sz w:val="12"/>
                          </w:rPr>
                        </w:pPr>
                        <w:r>
                          <w:rPr>
                            <w:color w:val="231F20"/>
                            <w:sz w:val="12"/>
                          </w:rPr>
                          <w:t>2,600</w:t>
                        </w:r>
                      </w:p>
                      <w:p>
                        <w:pPr>
                          <w:pStyle w:val="TableParagraph"/>
                          <w:spacing w:before="9"/>
                          <w:rPr>
                            <w:rFonts w:ascii="Book Antiqua"/>
                            <w:sz w:val="13"/>
                          </w:rPr>
                        </w:pPr>
                      </w:p>
                      <w:p>
                        <w:pPr>
                          <w:pStyle w:val="TableParagraph"/>
                          <w:ind w:left="67"/>
                          <w:rPr>
                            <w:sz w:val="12"/>
                          </w:rPr>
                        </w:pPr>
                        <w:r>
                          <w:rPr>
                            <w:color w:val="231F20"/>
                            <w:sz w:val="12"/>
                          </w:rPr>
                          <w:t>2,400</w:t>
                        </w:r>
                      </w:p>
                      <w:p>
                        <w:pPr>
                          <w:pStyle w:val="TableParagraph"/>
                          <w:spacing w:before="9"/>
                          <w:rPr>
                            <w:rFonts w:ascii="Book Antiqua"/>
                            <w:sz w:val="13"/>
                          </w:rPr>
                        </w:pPr>
                      </w:p>
                      <w:p>
                        <w:pPr>
                          <w:pStyle w:val="TableParagraph"/>
                          <w:ind w:left="67"/>
                          <w:rPr>
                            <w:sz w:val="12"/>
                          </w:rPr>
                        </w:pPr>
                        <w:r>
                          <w:rPr>
                            <w:color w:val="231F20"/>
                            <w:sz w:val="12"/>
                          </w:rPr>
                          <w:t>2,200</w:t>
                        </w:r>
                      </w:p>
                      <w:p>
                        <w:pPr>
                          <w:pStyle w:val="TableParagraph"/>
                          <w:spacing w:before="9"/>
                          <w:rPr>
                            <w:rFonts w:ascii="Book Antiqua"/>
                            <w:sz w:val="13"/>
                          </w:rPr>
                        </w:pPr>
                      </w:p>
                      <w:p>
                        <w:pPr>
                          <w:pStyle w:val="TableParagraph"/>
                          <w:ind w:left="67"/>
                          <w:rPr>
                            <w:sz w:val="12"/>
                          </w:rPr>
                        </w:pPr>
                        <w:r>
                          <w:rPr>
                            <w:color w:val="231F20"/>
                            <w:sz w:val="12"/>
                          </w:rPr>
                          <w:t>2,000</w:t>
                        </w:r>
                      </w:p>
                    </w:tc>
                  </w:tr>
                  <w:tr>
                    <w:trPr>
                      <w:trHeight w:val="235" w:hRule="exact"/>
                    </w:trPr>
                    <w:tc>
                      <w:tcPr>
                        <w:tcW w:w="448" w:type="dxa"/>
                        <w:tcBorders>
                          <w:right w:val="single" w:sz="4" w:space="0" w:color="BABCBE"/>
                        </w:tcBorders>
                        <w:shd w:val="clear" w:color="auto" w:fill="DBDCDE"/>
                      </w:tcPr>
                      <w:p>
                        <w:pPr>
                          <w:pStyle w:val="TableParagraph"/>
                          <w:spacing w:before="50"/>
                          <w:ind w:left="87"/>
                          <w:rPr>
                            <w:sz w:val="12"/>
                          </w:rPr>
                        </w:pPr>
                        <w:r>
                          <w:rPr>
                            <w:color w:val="231F20"/>
                            <w:sz w:val="12"/>
                          </w:rPr>
                          <w:t>1999</w:t>
                        </w:r>
                      </w:p>
                    </w:tc>
                    <w:tc>
                      <w:tcPr>
                        <w:tcW w:w="420" w:type="dxa"/>
                        <w:tcBorders>
                          <w:left w:val="single" w:sz="4" w:space="0" w:color="BABCBE"/>
                          <w:right w:val="single" w:sz="4" w:space="0" w:color="BABCBE"/>
                        </w:tcBorders>
                        <w:shd w:val="clear" w:color="auto" w:fill="DBDCDE"/>
                      </w:tcPr>
                      <w:p>
                        <w:pPr>
                          <w:pStyle w:val="TableParagraph"/>
                          <w:spacing w:before="50"/>
                          <w:ind w:left="10" w:right="1"/>
                          <w:jc w:val="center"/>
                          <w:rPr>
                            <w:sz w:val="12"/>
                          </w:rPr>
                        </w:pPr>
                        <w:r>
                          <w:rPr>
                            <w:color w:val="231F20"/>
                            <w:sz w:val="12"/>
                          </w:rPr>
                          <w:t>2000</w:t>
                        </w:r>
                      </w:p>
                    </w:tc>
                    <w:tc>
                      <w:tcPr>
                        <w:tcW w:w="420" w:type="dxa"/>
                        <w:tcBorders>
                          <w:left w:val="single" w:sz="4" w:space="0" w:color="BABCBE"/>
                          <w:right w:val="single" w:sz="4" w:space="0" w:color="BABCBE"/>
                        </w:tcBorders>
                        <w:shd w:val="clear" w:color="auto" w:fill="DBDCDE"/>
                      </w:tcPr>
                      <w:p>
                        <w:pPr>
                          <w:pStyle w:val="TableParagraph"/>
                          <w:spacing w:before="50"/>
                          <w:ind w:left="10" w:right="6"/>
                          <w:jc w:val="center"/>
                          <w:rPr>
                            <w:sz w:val="12"/>
                          </w:rPr>
                        </w:pPr>
                        <w:r>
                          <w:rPr>
                            <w:color w:val="231F20"/>
                            <w:sz w:val="12"/>
                          </w:rPr>
                          <w:t>2001</w:t>
                        </w:r>
                      </w:p>
                    </w:tc>
                    <w:tc>
                      <w:tcPr>
                        <w:tcW w:w="420" w:type="dxa"/>
                        <w:tcBorders>
                          <w:left w:val="single" w:sz="4" w:space="0" w:color="BABCBE"/>
                          <w:right w:val="single" w:sz="4" w:space="0" w:color="BABCBE"/>
                        </w:tcBorders>
                        <w:shd w:val="clear" w:color="auto" w:fill="DBDCDE"/>
                      </w:tcPr>
                      <w:p>
                        <w:pPr>
                          <w:pStyle w:val="TableParagraph"/>
                          <w:spacing w:before="50"/>
                          <w:ind w:left="76"/>
                          <w:rPr>
                            <w:sz w:val="12"/>
                          </w:rPr>
                        </w:pPr>
                        <w:r>
                          <w:rPr>
                            <w:color w:val="231F20"/>
                            <w:sz w:val="12"/>
                          </w:rPr>
                          <w:t>2002</w:t>
                        </w:r>
                      </w:p>
                    </w:tc>
                    <w:tc>
                      <w:tcPr>
                        <w:tcW w:w="420" w:type="dxa"/>
                        <w:tcBorders>
                          <w:left w:val="single" w:sz="4" w:space="0" w:color="BABCBE"/>
                        </w:tcBorders>
                        <w:shd w:val="clear" w:color="auto" w:fill="DBDCDE"/>
                      </w:tcPr>
                      <w:p>
                        <w:pPr>
                          <w:pStyle w:val="TableParagraph"/>
                          <w:spacing w:before="50"/>
                          <w:ind w:left="86"/>
                          <w:rPr>
                            <w:sz w:val="12"/>
                          </w:rPr>
                        </w:pPr>
                        <w:r>
                          <w:rPr>
                            <w:color w:val="231F20"/>
                            <w:sz w:val="12"/>
                          </w:rPr>
                          <w:t>2003</w:t>
                        </w:r>
                      </w:p>
                    </w:tc>
                    <w:tc>
                      <w:tcPr>
                        <w:tcW w:w="446" w:type="dxa"/>
                        <w:tcBorders>
                          <w:bottom w:val="nil"/>
                          <w:right w:val="nil"/>
                        </w:tcBorders>
                      </w:tcPr>
                      <w:p>
                        <w:pPr/>
                      </w:p>
                    </w:tc>
                  </w:tr>
                </w:tbl>
                <w:p>
                  <w:pPr>
                    <w:pStyle w:val="BodyText"/>
                  </w:pPr>
                </w:p>
              </w:txbxContent>
            </v:textbox>
          </v:shape>
        </w:pict>
      </w:r>
      <w:r>
        <w:rPr>
          <w:rFonts w:ascii="Book Antiqua"/>
          <w:sz w:val="20"/>
        </w:rPr>
      </w:r>
      <w:r>
        <w:rPr>
          <w:rFonts w:ascii="Book Antiqua"/>
          <w:sz w:val="20"/>
        </w:rPr>
        <w:tab/>
      </w:r>
      <w:r>
        <w:rPr>
          <w:rFonts w:ascii="Book Antiqua"/>
          <w:sz w:val="20"/>
        </w:rPr>
        <w:pict>
          <v:shape style="width:179pt;height:91.05pt;mso-position-horizontal-relative:char;mso-position-vertical-relative:line" type="#_x0000_t202" filled="false" stroked="false">
            <w10:anchorlock/>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371"/>
                    <w:gridCol w:w="354"/>
                    <w:gridCol w:w="354"/>
                    <w:gridCol w:w="354"/>
                    <w:gridCol w:w="354"/>
                    <w:gridCol w:w="354"/>
                    <w:gridCol w:w="348"/>
                    <w:gridCol w:w="348"/>
                    <w:gridCol w:w="393"/>
                    <w:gridCol w:w="334"/>
                  </w:tblGrid>
                  <w:tr>
                    <w:trPr>
                      <w:trHeight w:val="1567" w:hRule="exact"/>
                    </w:trPr>
                    <w:tc>
                      <w:tcPr>
                        <w:tcW w:w="371" w:type="dxa"/>
                        <w:tcBorders>
                          <w:top w:val="nil"/>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spacing w:before="4"/>
                          <w:rPr>
                            <w:rFonts w:ascii="Book Antiqua"/>
                            <w:sz w:val="19"/>
                          </w:rPr>
                        </w:pPr>
                      </w:p>
                      <w:p>
                        <w:pPr>
                          <w:pStyle w:val="TableParagraph"/>
                          <w:ind w:right="101"/>
                          <w:jc w:val="right"/>
                          <w:rPr>
                            <w:sz w:val="12"/>
                          </w:rPr>
                        </w:pPr>
                        <w:r>
                          <w:rPr>
                            <w:color w:val="231F20"/>
                            <w:w w:val="90"/>
                            <w:sz w:val="12"/>
                          </w:rPr>
                          <w:t>.14</w:t>
                        </w:r>
                      </w:p>
                    </w:tc>
                    <w:tc>
                      <w:tcPr>
                        <w:tcW w:w="354" w:type="dxa"/>
                        <w:tcBorders>
                          <w:top w:val="nil"/>
                          <w:left w:val="single" w:sz="4" w:space="0" w:color="BABCBE"/>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spacing w:before="7"/>
                          <w:rPr>
                            <w:rFonts w:ascii="Book Antiqua"/>
                            <w:sz w:val="15"/>
                          </w:rPr>
                        </w:pPr>
                      </w:p>
                      <w:p>
                        <w:pPr>
                          <w:pStyle w:val="TableParagraph"/>
                          <w:ind w:left="9" w:right="5"/>
                          <w:jc w:val="center"/>
                          <w:rPr>
                            <w:sz w:val="12"/>
                          </w:rPr>
                        </w:pPr>
                        <w:r>
                          <w:rPr>
                            <w:color w:val="231F20"/>
                            <w:sz w:val="12"/>
                          </w:rPr>
                          <w:t>.52</w:t>
                        </w:r>
                      </w:p>
                    </w:tc>
                    <w:tc>
                      <w:tcPr>
                        <w:tcW w:w="354" w:type="dxa"/>
                        <w:tcBorders>
                          <w:top w:val="nil"/>
                          <w:left w:val="single" w:sz="4" w:space="0" w:color="BABCBE"/>
                          <w:right w:val="single" w:sz="4" w:space="0" w:color="BABCBE"/>
                        </w:tcBorders>
                      </w:tcPr>
                      <w:p>
                        <w:pPr>
                          <w:pStyle w:val="TableParagraph"/>
                          <w:rPr>
                            <w:rFonts w:ascii="Book Antiqua"/>
                            <w:sz w:val="14"/>
                          </w:rPr>
                        </w:pPr>
                      </w:p>
                      <w:p>
                        <w:pPr>
                          <w:pStyle w:val="TableParagraph"/>
                          <w:spacing w:before="2"/>
                          <w:rPr>
                            <w:rFonts w:ascii="Book Antiqua"/>
                            <w:sz w:val="12"/>
                          </w:rPr>
                        </w:pPr>
                      </w:p>
                      <w:p>
                        <w:pPr>
                          <w:pStyle w:val="TableParagraph"/>
                          <w:ind w:right="87"/>
                          <w:jc w:val="right"/>
                          <w:rPr>
                            <w:sz w:val="12"/>
                          </w:rPr>
                        </w:pPr>
                        <w:r>
                          <w:rPr>
                            <w:color w:val="231F20"/>
                            <w:w w:val="90"/>
                            <w:sz w:val="12"/>
                          </w:rPr>
                          <w:t>.78</w:t>
                        </w:r>
                      </w:p>
                    </w:tc>
                    <w:tc>
                      <w:tcPr>
                        <w:tcW w:w="354" w:type="dxa"/>
                        <w:tcBorders>
                          <w:top w:val="nil"/>
                          <w:left w:val="single" w:sz="4" w:space="0" w:color="BABCBE"/>
                          <w:right w:val="single" w:sz="4" w:space="0" w:color="BABCBE"/>
                        </w:tcBorders>
                      </w:tcPr>
                      <w:p>
                        <w:pPr>
                          <w:pStyle w:val="TableParagraph"/>
                          <w:spacing w:before="11"/>
                          <w:rPr>
                            <w:rFonts w:ascii="Book Antiqua"/>
                            <w:sz w:val="15"/>
                          </w:rPr>
                        </w:pPr>
                      </w:p>
                      <w:p>
                        <w:pPr>
                          <w:pStyle w:val="TableParagraph"/>
                          <w:ind w:left="13" w:right="14"/>
                          <w:jc w:val="center"/>
                          <w:rPr>
                            <w:sz w:val="12"/>
                          </w:rPr>
                        </w:pPr>
                        <w:r>
                          <w:rPr>
                            <w:color w:val="231F20"/>
                            <w:sz w:val="12"/>
                          </w:rPr>
                          <w:t>.83</w:t>
                        </w:r>
                      </w:p>
                    </w:tc>
                    <w:tc>
                      <w:tcPr>
                        <w:tcW w:w="354" w:type="dxa"/>
                        <w:tcBorders>
                          <w:top w:val="nil"/>
                          <w:left w:val="single" w:sz="4" w:space="0" w:color="BABCBE"/>
                          <w:right w:val="single" w:sz="4" w:space="0" w:color="BABCBE"/>
                        </w:tcBorders>
                      </w:tcPr>
                      <w:p>
                        <w:pPr>
                          <w:pStyle w:val="TableParagraph"/>
                          <w:spacing w:before="10"/>
                          <w:rPr>
                            <w:rFonts w:ascii="Book Antiqua"/>
                            <w:sz w:val="14"/>
                          </w:rPr>
                        </w:pPr>
                      </w:p>
                      <w:p>
                        <w:pPr>
                          <w:pStyle w:val="TableParagraph"/>
                          <w:ind w:left="4" w:right="5"/>
                          <w:jc w:val="center"/>
                          <w:rPr>
                            <w:sz w:val="12"/>
                          </w:rPr>
                        </w:pPr>
                        <w:r>
                          <w:rPr>
                            <w:color w:val="231F20"/>
                            <w:sz w:val="12"/>
                          </w:rPr>
                          <w:t>.84</w:t>
                        </w:r>
                      </w:p>
                    </w:tc>
                    <w:tc>
                      <w:tcPr>
                        <w:tcW w:w="354" w:type="dxa"/>
                        <w:tcBorders>
                          <w:top w:val="nil"/>
                          <w:left w:val="single" w:sz="4" w:space="0" w:color="BABCBE"/>
                          <w:right w:val="single" w:sz="4" w:space="0" w:color="BABCBE"/>
                        </w:tcBorders>
                      </w:tcPr>
                      <w:p>
                        <w:pPr>
                          <w:pStyle w:val="TableParagraph"/>
                          <w:spacing w:before="9"/>
                          <w:rPr>
                            <w:rFonts w:ascii="Book Antiqua"/>
                            <w:sz w:val="11"/>
                          </w:rPr>
                        </w:pPr>
                      </w:p>
                      <w:p>
                        <w:pPr>
                          <w:pStyle w:val="TableParagraph"/>
                          <w:ind w:left="11" w:right="5"/>
                          <w:jc w:val="center"/>
                          <w:rPr>
                            <w:sz w:val="12"/>
                          </w:rPr>
                        </w:pPr>
                        <w:r>
                          <w:rPr>
                            <w:color w:val="231F20"/>
                            <w:sz w:val="12"/>
                          </w:rPr>
                          <w:t>.88</w:t>
                        </w:r>
                      </w:p>
                    </w:tc>
                    <w:tc>
                      <w:tcPr>
                        <w:tcW w:w="348" w:type="dxa"/>
                        <w:tcBorders>
                          <w:top w:val="nil"/>
                          <w:left w:val="single" w:sz="4" w:space="0" w:color="BABCBE"/>
                          <w:right w:val="single" w:sz="4" w:space="0" w:color="BABCBE"/>
                        </w:tcBorders>
                      </w:tcPr>
                      <w:p>
                        <w:pPr>
                          <w:pStyle w:val="TableParagraph"/>
                          <w:spacing w:before="71"/>
                          <w:ind w:left="82"/>
                          <w:rPr>
                            <w:sz w:val="12"/>
                          </w:rPr>
                        </w:pPr>
                        <w:r>
                          <w:rPr>
                            <w:color w:val="231F20"/>
                            <w:sz w:val="12"/>
                          </w:rPr>
                          <w:t>.90</w:t>
                        </w:r>
                      </w:p>
                    </w:tc>
                    <w:tc>
                      <w:tcPr>
                        <w:tcW w:w="348" w:type="dxa"/>
                        <w:tcBorders>
                          <w:top w:val="nil"/>
                          <w:left w:val="single" w:sz="4" w:space="0" w:color="BABCBE"/>
                          <w:right w:val="single" w:sz="4" w:space="0" w:color="BABCBE"/>
                        </w:tcBorders>
                      </w:tcPr>
                      <w:p>
                        <w:pPr>
                          <w:pStyle w:val="TableParagraph"/>
                          <w:spacing w:before="17"/>
                          <w:ind w:left="85"/>
                          <w:rPr>
                            <w:sz w:val="12"/>
                          </w:rPr>
                        </w:pPr>
                        <w:r>
                          <w:rPr>
                            <w:color w:val="231F20"/>
                            <w:sz w:val="12"/>
                          </w:rPr>
                          <w:t>.95</w:t>
                        </w:r>
                      </w:p>
                    </w:tc>
                    <w:tc>
                      <w:tcPr>
                        <w:tcW w:w="393" w:type="dxa"/>
                        <w:tcBorders>
                          <w:top w:val="nil"/>
                          <w:left w:val="single" w:sz="4" w:space="0" w:color="BABCBE"/>
                        </w:tcBorders>
                      </w:tcPr>
                      <w:p>
                        <w:pPr>
                          <w:pStyle w:val="TableParagraph"/>
                          <w:spacing w:before="6"/>
                          <w:ind w:right="6"/>
                          <w:jc w:val="center"/>
                          <w:rPr>
                            <w:sz w:val="12"/>
                          </w:rPr>
                        </w:pPr>
                        <w:r>
                          <w:rPr>
                            <w:color w:val="231F20"/>
                            <w:sz w:val="12"/>
                          </w:rPr>
                          <w:t>.95</w:t>
                        </w:r>
                      </w:p>
                    </w:tc>
                    <w:tc>
                      <w:tcPr>
                        <w:tcW w:w="334" w:type="dxa"/>
                        <w:tcBorders>
                          <w:top w:val="nil"/>
                        </w:tcBorders>
                      </w:tcPr>
                      <w:p>
                        <w:pPr>
                          <w:pStyle w:val="TableParagraph"/>
                          <w:spacing w:before="44"/>
                          <w:ind w:left="56"/>
                          <w:rPr>
                            <w:sz w:val="12"/>
                          </w:rPr>
                        </w:pPr>
                        <w:r>
                          <w:rPr>
                            <w:color w:val="231F20"/>
                            <w:sz w:val="12"/>
                          </w:rPr>
                          <w:t>1.0</w:t>
                        </w:r>
                      </w:p>
                      <w:p>
                        <w:pPr>
                          <w:pStyle w:val="TableParagraph"/>
                          <w:spacing w:before="10"/>
                          <w:rPr>
                            <w:rFonts w:ascii="Book Antiqua"/>
                            <w:sz w:val="19"/>
                          </w:rPr>
                        </w:pPr>
                      </w:p>
                      <w:p>
                        <w:pPr>
                          <w:pStyle w:val="TableParagraph"/>
                          <w:ind w:left="56"/>
                          <w:rPr>
                            <w:sz w:val="12"/>
                          </w:rPr>
                        </w:pPr>
                        <w:r>
                          <w:rPr>
                            <w:color w:val="231F20"/>
                            <w:sz w:val="12"/>
                          </w:rPr>
                          <w:t>.75</w:t>
                        </w:r>
                      </w:p>
                      <w:p>
                        <w:pPr>
                          <w:pStyle w:val="TableParagraph"/>
                          <w:spacing w:before="10"/>
                          <w:rPr>
                            <w:rFonts w:ascii="Book Antiqua"/>
                            <w:sz w:val="19"/>
                          </w:rPr>
                        </w:pPr>
                      </w:p>
                      <w:p>
                        <w:pPr>
                          <w:pStyle w:val="TableParagraph"/>
                          <w:ind w:left="56"/>
                          <w:rPr>
                            <w:sz w:val="12"/>
                          </w:rPr>
                        </w:pPr>
                        <w:r>
                          <w:rPr>
                            <w:color w:val="231F20"/>
                            <w:sz w:val="12"/>
                          </w:rPr>
                          <w:t>.50</w:t>
                        </w:r>
                      </w:p>
                      <w:p>
                        <w:pPr>
                          <w:pStyle w:val="TableParagraph"/>
                          <w:spacing w:before="10"/>
                          <w:rPr>
                            <w:rFonts w:ascii="Book Antiqua"/>
                            <w:sz w:val="19"/>
                          </w:rPr>
                        </w:pPr>
                      </w:p>
                      <w:p>
                        <w:pPr>
                          <w:pStyle w:val="TableParagraph"/>
                          <w:ind w:left="56"/>
                          <w:rPr>
                            <w:sz w:val="12"/>
                          </w:rPr>
                        </w:pPr>
                        <w:r>
                          <w:rPr>
                            <w:color w:val="231F20"/>
                            <w:sz w:val="12"/>
                          </w:rPr>
                          <w:t>.25</w:t>
                        </w:r>
                      </w:p>
                    </w:tc>
                  </w:tr>
                  <w:tr>
                    <w:trPr>
                      <w:trHeight w:val="244" w:hRule="exact"/>
                    </w:trPr>
                    <w:tc>
                      <w:tcPr>
                        <w:tcW w:w="371" w:type="dxa"/>
                        <w:tcBorders>
                          <w:right w:val="single" w:sz="4" w:space="0" w:color="BABCBE"/>
                        </w:tcBorders>
                        <w:shd w:val="clear" w:color="auto" w:fill="DBDCDE"/>
                      </w:tcPr>
                      <w:p>
                        <w:pPr>
                          <w:pStyle w:val="TableParagraph"/>
                          <w:spacing w:before="48"/>
                          <w:ind w:right="75"/>
                          <w:jc w:val="right"/>
                          <w:rPr>
                            <w:sz w:val="12"/>
                          </w:rPr>
                        </w:pPr>
                        <w:r>
                          <w:rPr>
                            <w:color w:val="231F20"/>
                            <w:w w:val="80"/>
                            <w:sz w:val="12"/>
                          </w:rPr>
                          <w:t>LUV</w:t>
                        </w:r>
                      </w:p>
                    </w:tc>
                    <w:tc>
                      <w:tcPr>
                        <w:tcW w:w="354" w:type="dxa"/>
                        <w:tcBorders>
                          <w:left w:val="single" w:sz="4" w:space="0" w:color="BABCBE"/>
                          <w:right w:val="single" w:sz="4" w:space="0" w:color="BABCBE"/>
                        </w:tcBorders>
                        <w:shd w:val="clear" w:color="auto" w:fill="DBDCDE"/>
                      </w:tcPr>
                      <w:p>
                        <w:pPr>
                          <w:pStyle w:val="TableParagraph"/>
                          <w:spacing w:before="48"/>
                          <w:ind w:left="5" w:right="5"/>
                          <w:jc w:val="center"/>
                          <w:rPr>
                            <w:sz w:val="12"/>
                          </w:rPr>
                        </w:pPr>
                        <w:r>
                          <w:rPr>
                            <w:color w:val="231F20"/>
                            <w:sz w:val="12"/>
                          </w:rPr>
                          <w:t>ALK</w:t>
                        </w:r>
                      </w:p>
                    </w:tc>
                    <w:tc>
                      <w:tcPr>
                        <w:tcW w:w="354" w:type="dxa"/>
                        <w:tcBorders>
                          <w:left w:val="single" w:sz="4" w:space="0" w:color="BABCBE"/>
                          <w:right w:val="single" w:sz="4" w:space="0" w:color="BABCBE"/>
                        </w:tcBorders>
                        <w:shd w:val="clear" w:color="auto" w:fill="DBDCDE"/>
                      </w:tcPr>
                      <w:p>
                        <w:pPr>
                          <w:pStyle w:val="TableParagraph"/>
                          <w:spacing w:before="48"/>
                          <w:ind w:right="63"/>
                          <w:jc w:val="right"/>
                          <w:rPr>
                            <w:sz w:val="12"/>
                          </w:rPr>
                        </w:pPr>
                        <w:r>
                          <w:rPr>
                            <w:color w:val="231F20"/>
                            <w:w w:val="80"/>
                            <w:sz w:val="12"/>
                          </w:rPr>
                          <w:t>DAL</w:t>
                        </w:r>
                      </w:p>
                    </w:tc>
                    <w:tc>
                      <w:tcPr>
                        <w:tcW w:w="354" w:type="dxa"/>
                        <w:tcBorders>
                          <w:left w:val="single" w:sz="4" w:space="0" w:color="BABCBE"/>
                          <w:right w:val="single" w:sz="4" w:space="0" w:color="BABCBE"/>
                        </w:tcBorders>
                        <w:shd w:val="clear" w:color="auto" w:fill="DBDCDE"/>
                      </w:tcPr>
                      <w:p>
                        <w:pPr>
                          <w:pStyle w:val="TableParagraph"/>
                          <w:spacing w:before="55"/>
                          <w:ind w:left="56" w:right="14"/>
                          <w:jc w:val="center"/>
                          <w:rPr>
                            <w:sz w:val="12"/>
                          </w:rPr>
                        </w:pPr>
                        <w:r>
                          <w:rPr>
                            <w:color w:val="231F20"/>
                            <w:sz w:val="12"/>
                          </w:rPr>
                          <w:t>UAL</w:t>
                        </w:r>
                      </w:p>
                    </w:tc>
                    <w:tc>
                      <w:tcPr>
                        <w:tcW w:w="354" w:type="dxa"/>
                        <w:tcBorders>
                          <w:left w:val="single" w:sz="4" w:space="0" w:color="BABCBE"/>
                          <w:right w:val="single" w:sz="4" w:space="0" w:color="BABCBE"/>
                        </w:tcBorders>
                        <w:shd w:val="clear" w:color="auto" w:fill="DBDCDE"/>
                      </w:tcPr>
                      <w:p>
                        <w:pPr>
                          <w:pStyle w:val="TableParagraph"/>
                          <w:spacing w:before="54"/>
                          <w:ind w:left="38" w:right="4"/>
                          <w:jc w:val="center"/>
                          <w:rPr>
                            <w:sz w:val="12"/>
                          </w:rPr>
                        </w:pPr>
                        <w:r>
                          <w:rPr>
                            <w:color w:val="231F20"/>
                            <w:w w:val="95"/>
                            <w:sz w:val="12"/>
                          </w:rPr>
                          <w:t>AWA</w:t>
                        </w:r>
                      </w:p>
                    </w:tc>
                    <w:tc>
                      <w:tcPr>
                        <w:tcW w:w="354" w:type="dxa"/>
                        <w:tcBorders>
                          <w:left w:val="single" w:sz="4" w:space="0" w:color="BABCBE"/>
                          <w:right w:val="single" w:sz="4" w:space="0" w:color="BABCBE"/>
                        </w:tcBorders>
                        <w:shd w:val="clear" w:color="auto" w:fill="DBDCDE"/>
                      </w:tcPr>
                      <w:p>
                        <w:pPr>
                          <w:pStyle w:val="TableParagraph"/>
                          <w:spacing w:line="187" w:lineRule="exact"/>
                          <w:ind w:left="14"/>
                          <w:jc w:val="center"/>
                          <w:rPr>
                            <w:sz w:val="12"/>
                          </w:rPr>
                        </w:pPr>
                        <w:r>
                          <w:rPr>
                            <w:color w:val="231F20"/>
                            <w:w w:val="95"/>
                            <w:sz w:val="12"/>
                          </w:rPr>
                          <w:t>AMR</w:t>
                        </w:r>
                        <w:r>
                          <w:rPr>
                            <w:color w:val="231F20"/>
                            <w:w w:val="95"/>
                            <w:position w:val="5"/>
                            <w:sz w:val="12"/>
                          </w:rPr>
                          <w:t>*</w:t>
                        </w:r>
                      </w:p>
                    </w:tc>
                    <w:tc>
                      <w:tcPr>
                        <w:tcW w:w="348" w:type="dxa"/>
                        <w:tcBorders>
                          <w:left w:val="single" w:sz="4" w:space="0" w:color="BABCBE"/>
                          <w:right w:val="single" w:sz="4" w:space="0" w:color="BABCBE"/>
                        </w:tcBorders>
                        <w:shd w:val="clear" w:color="auto" w:fill="DBDCDE"/>
                      </w:tcPr>
                      <w:p>
                        <w:pPr>
                          <w:pStyle w:val="TableParagraph"/>
                          <w:spacing w:before="48"/>
                          <w:ind w:left="115"/>
                          <w:rPr>
                            <w:sz w:val="12"/>
                          </w:rPr>
                        </w:pPr>
                        <w:r>
                          <w:rPr>
                            <w:color w:val="231F20"/>
                            <w:w w:val="78"/>
                            <w:sz w:val="12"/>
                          </w:rPr>
                          <w:t>U</w:t>
                        </w:r>
                      </w:p>
                    </w:tc>
                    <w:tc>
                      <w:tcPr>
                        <w:tcW w:w="348" w:type="dxa"/>
                        <w:tcBorders>
                          <w:left w:val="single" w:sz="4" w:space="0" w:color="BABCBE"/>
                          <w:right w:val="single" w:sz="4" w:space="0" w:color="BABCBE"/>
                        </w:tcBorders>
                        <w:shd w:val="clear" w:color="auto" w:fill="DBDCDE"/>
                      </w:tcPr>
                      <w:p>
                        <w:pPr>
                          <w:pStyle w:val="TableParagraph"/>
                          <w:spacing w:before="48"/>
                          <w:ind w:left="69"/>
                          <w:rPr>
                            <w:sz w:val="12"/>
                          </w:rPr>
                        </w:pPr>
                        <w:r>
                          <w:rPr>
                            <w:color w:val="231F20"/>
                            <w:sz w:val="12"/>
                          </w:rPr>
                          <w:t>CAL</w:t>
                        </w:r>
                      </w:p>
                    </w:tc>
                    <w:tc>
                      <w:tcPr>
                        <w:tcW w:w="393" w:type="dxa"/>
                        <w:tcBorders>
                          <w:left w:val="single" w:sz="4" w:space="0" w:color="BABCBE"/>
                        </w:tcBorders>
                        <w:shd w:val="clear" w:color="auto" w:fill="DBDCDE"/>
                      </w:tcPr>
                      <w:p>
                        <w:pPr>
                          <w:pStyle w:val="TableParagraph"/>
                          <w:spacing w:before="48"/>
                          <w:ind w:left="7" w:right="6"/>
                          <w:jc w:val="center"/>
                          <w:rPr>
                            <w:sz w:val="12"/>
                          </w:rPr>
                        </w:pPr>
                        <w:r>
                          <w:rPr>
                            <w:color w:val="231F20"/>
                            <w:w w:val="90"/>
                            <w:sz w:val="12"/>
                          </w:rPr>
                          <w:t>NWAC</w:t>
                        </w:r>
                      </w:p>
                    </w:tc>
                    <w:tc>
                      <w:tcPr>
                        <w:tcW w:w="334" w:type="dxa"/>
                        <w:tcBorders>
                          <w:bottom w:val="nil"/>
                          <w:right w:val="nil"/>
                        </w:tcBorders>
                      </w:tcPr>
                      <w:p>
                        <w:pPr/>
                      </w:p>
                    </w:tc>
                  </w:tr>
                </w:tbl>
                <w:p>
                  <w:pPr>
                    <w:pStyle w:val="BodyText"/>
                  </w:pPr>
                </w:p>
              </w:txbxContent>
            </v:textbox>
          </v:shape>
        </w:pict>
      </w:r>
      <w:r>
        <w:rPr>
          <w:rFonts w:ascii="Book Antiqua"/>
          <w:sz w:val="20"/>
        </w:rPr>
      </w:r>
    </w:p>
    <w:p>
      <w:pPr>
        <w:pStyle w:val="BodyText"/>
        <w:spacing w:before="7"/>
        <w:rPr>
          <w:rFonts w:ascii="Book Antiqua"/>
          <w:sz w:val="5"/>
        </w:rPr>
      </w:pPr>
    </w:p>
    <w:p>
      <w:pPr>
        <w:spacing w:after="0"/>
        <w:rPr>
          <w:rFonts w:ascii="Book Antiqua"/>
          <w:sz w:val="5"/>
        </w:rPr>
        <w:sectPr>
          <w:type w:val="continuous"/>
          <w:pgSz w:w="12240" w:h="15840"/>
          <w:pgMar w:top="320" w:bottom="280" w:left="780" w:right="400"/>
        </w:sectPr>
      </w:pPr>
    </w:p>
    <w:p>
      <w:pPr>
        <w:spacing w:before="58"/>
        <w:ind w:left="123" w:right="0" w:firstLine="0"/>
        <w:jc w:val="left"/>
        <w:rPr>
          <w:rFonts w:ascii="Arial"/>
          <w:sz w:val="11"/>
        </w:rPr>
      </w:pPr>
      <w:r>
        <w:rPr/>
        <w:pict>
          <v:rect style="position:absolute;margin-left:136.915894pt;margin-top:-65.135269pt;width:7.2793pt;height:49.4839pt;mso-position-horizontal-relative:page;mso-position-vertical-relative:paragraph;z-index:-234808" filled="true" fillcolor="#386ab3" stroked="false">
            <v:fill type="solid"/>
            <w10:wrap type="none"/>
          </v:rect>
        </w:pict>
      </w:r>
      <w:r>
        <w:rPr/>
        <w:pict>
          <v:rect style="position:absolute;margin-left:52.442699pt;margin-top:-65.870667pt;width:7.2783pt;height:50.3091pt;mso-position-horizontal-relative:page;mso-position-vertical-relative:paragraph;z-index:-234784" filled="true" fillcolor="#386ab3" stroked="false">
            <v:fill type="solid"/>
            <w10:wrap type="none"/>
          </v:rect>
        </w:pict>
      </w:r>
      <w:r>
        <w:rPr/>
        <w:pict>
          <v:rect style="position:absolute;margin-left:74.267899pt;margin-top:-85.595268pt;width:7.2774pt;height:70.0162pt;mso-position-horizontal-relative:page;mso-position-vertical-relative:paragraph;z-index:-234760" filled="true" fillcolor="#386ab3" stroked="false">
            <v:fill type="solid"/>
            <w10:wrap type="none"/>
          </v:rect>
        </w:pict>
      </w:r>
      <w:r>
        <w:rPr/>
        <w:pict>
          <v:rect style="position:absolute;margin-left:95.406601pt;margin-top:-71.835472pt;width:7.2793pt;height:56.1841pt;mso-position-horizontal-relative:page;mso-position-vertical-relative:paragraph;z-index:-234736" filled="true" fillcolor="#386ab3" stroked="false">
            <v:fill type="solid"/>
            <w10:wrap type="none"/>
          </v:rect>
        </w:pict>
      </w:r>
      <w:r>
        <w:rPr/>
        <w:pict>
          <v:rect style="position:absolute;margin-left:116.164902pt;margin-top:-41.843269pt;width:7.2793pt;height:26.1919pt;mso-position-horizontal-relative:page;mso-position-vertical-relative:paragraph;z-index:-234712" filled="true" fillcolor="#386ab3" stroked="false">
            <v:fill type="solid"/>
            <w10:wrap type="none"/>
          </v:rect>
        </w:pict>
      </w:r>
      <w:r>
        <w:rPr/>
        <w:pict>
          <v:rect style="position:absolute;margin-left:224.119995pt;margin-top:-63.760368pt;width:7.279pt;height:48.606pt;mso-position-horizontal-relative:page;mso-position-vertical-relative:paragraph;z-index:-234664" filled="true" fillcolor="#386ab3" stroked="false">
            <v:fill type="solid"/>
            <w10:wrap type="none"/>
          </v:rect>
        </w:pict>
      </w:r>
      <w:r>
        <w:rPr/>
        <w:pict>
          <v:rect style="position:absolute;margin-left:245.944pt;margin-top:-77.596268pt;width:7.278pt;height:62.4302pt;mso-position-horizontal-relative:page;mso-position-vertical-relative:paragraph;z-index:-234640" filled="true" fillcolor="#386ab3" stroked="false">
            <v:fill type="solid"/>
            <w10:wrap type="none"/>
          </v:rect>
        </w:pict>
      </w:r>
      <w:r>
        <w:rPr/>
        <w:pict>
          <v:rect style="position:absolute;margin-left:267.083008pt;margin-top:-84.514267pt;width:7.279pt;height:69.275900pt;mso-position-horizontal-relative:page;mso-position-vertical-relative:paragraph;z-index:-234616" filled="true" fillcolor="#386ab3" stroked="false">
            <v:fill type="solid"/>
            <w10:wrap type="none"/>
          </v:rect>
        </w:pict>
      </w:r>
      <w:r>
        <w:rPr>
          <w:rFonts w:ascii="Arial"/>
          <w:b/>
          <w:color w:val="231F20"/>
          <w:w w:val="90"/>
          <w:sz w:val="12"/>
        </w:rPr>
        <w:t>Net Income </w:t>
      </w:r>
      <w:r>
        <w:rPr>
          <w:rFonts w:ascii="Arial"/>
          <w:color w:val="231F20"/>
          <w:w w:val="90"/>
          <w:sz w:val="11"/>
        </w:rPr>
        <w:t>( in millions)</w:t>
      </w:r>
    </w:p>
    <w:p>
      <w:pPr>
        <w:spacing w:line="120" w:lineRule="exact" w:before="15"/>
        <w:ind w:left="759" w:right="-18" w:hanging="51"/>
        <w:jc w:val="left"/>
        <w:rPr>
          <w:rFonts w:ascii="Arial"/>
          <w:sz w:val="11"/>
        </w:rPr>
      </w:pPr>
      <w:r>
        <w:rPr>
          <w:rFonts w:ascii="Arial"/>
          <w:color w:val="231F20"/>
          <w:w w:val="90"/>
          <w:sz w:val="11"/>
        </w:rPr>
        <w:t>* Excludes cumulative effect of change in accounting principle of $22 million</w:t>
      </w:r>
    </w:p>
    <w:p>
      <w:pPr>
        <w:spacing w:before="67"/>
        <w:ind w:left="123" w:right="0" w:firstLine="0"/>
        <w:jc w:val="left"/>
        <w:rPr>
          <w:rFonts w:ascii="Arial"/>
          <w:b/>
          <w:sz w:val="12"/>
        </w:rPr>
      </w:pPr>
      <w:r>
        <w:rPr/>
        <w:br w:type="column"/>
      </w:r>
      <w:r>
        <w:rPr>
          <w:rFonts w:ascii="Arial"/>
          <w:b/>
          <w:color w:val="231F20"/>
          <w:w w:val="85"/>
          <w:sz w:val="12"/>
        </w:rPr>
        <w:t>Average Daily Departures</w:t>
      </w:r>
    </w:p>
    <w:p>
      <w:pPr>
        <w:spacing w:line="134" w:lineRule="exact" w:before="68"/>
        <w:ind w:left="123" w:right="0" w:firstLine="0"/>
        <w:jc w:val="left"/>
        <w:rPr>
          <w:rFonts w:ascii="Arial"/>
          <w:sz w:val="11"/>
        </w:rPr>
      </w:pPr>
      <w:r>
        <w:rPr/>
        <w:br w:type="column"/>
      </w:r>
      <w:r>
        <w:rPr>
          <w:rFonts w:ascii="Arial"/>
          <w:b/>
          <w:color w:val="231F20"/>
          <w:w w:val="85"/>
          <w:sz w:val="12"/>
        </w:rPr>
        <w:t>Customer Service </w:t>
      </w:r>
      <w:r>
        <w:rPr>
          <w:rFonts w:ascii="Arial"/>
          <w:color w:val="231F20"/>
          <w:w w:val="85"/>
          <w:sz w:val="11"/>
        </w:rPr>
        <w:t>(Complaints per 100,000 Customers boarded)</w:t>
      </w:r>
    </w:p>
    <w:p>
      <w:pPr>
        <w:spacing w:line="114" w:lineRule="exact" w:before="0"/>
        <w:ind w:left="1108" w:right="0" w:firstLine="0"/>
        <w:jc w:val="left"/>
        <w:rPr>
          <w:rFonts w:ascii="Arial"/>
          <w:sz w:val="11"/>
        </w:rPr>
      </w:pPr>
      <w:r>
        <w:rPr/>
        <w:pict>
          <v:rect style="position:absolute;margin-left:309.144012pt;margin-top:-95.166252pt;width:7.279pt;height:69.8287pt;mso-position-horizontal-relative:page;mso-position-vertical-relative:paragraph;z-index:-234688" filled="true" fillcolor="#386ab3" stroked="false">
            <v:fill type="solid"/>
            <w10:wrap type="none"/>
          </v:rect>
        </w:pict>
      </w:r>
      <w:r>
        <w:rPr/>
        <w:pict>
          <v:rect style="position:absolute;margin-left:287.84201pt;margin-top:-95.166252pt;width:7.28pt;height:69.8287pt;mso-position-horizontal-relative:page;mso-position-vertical-relative:paragraph;z-index:-234592" filled="true" fillcolor="#386ab3" stroked="false">
            <v:fill type="solid"/>
            <w10:wrap type="none"/>
          </v:rect>
        </w:pict>
      </w:r>
      <w:r>
        <w:rPr/>
        <w:pict>
          <v:rect style="position:absolute;margin-left:537.637024pt;margin-top:-94.471252pt;width:7.281pt;height:68.525pt;mso-position-horizontal-relative:page;mso-position-vertical-relative:paragraph;z-index:-234568" filled="true" fillcolor="#386ab3" stroked="false">
            <v:fill type="solid"/>
            <w10:wrap type="none"/>
          </v:rect>
        </w:pict>
      </w:r>
      <w:r>
        <w:rPr/>
        <w:pict>
          <v:rect style="position:absolute;margin-left:484.330994pt;margin-top:-89.020447pt;width:7.278pt;height:63.3613pt;mso-position-horizontal-relative:page;mso-position-vertical-relative:paragraph;z-index:-234544" filled="true" fillcolor="#386ab3" stroked="false">
            <v:fill type="solid"/>
            <w10:wrap type="none"/>
          </v:rect>
        </w:pict>
      </w:r>
      <w:r>
        <w:rPr/>
        <w:pict>
          <v:rect style="position:absolute;margin-left:395.15799pt;margin-top:-32.290051pt;width:7.281pt;height:6.3438pt;mso-position-horizontal-relative:page;mso-position-vertical-relative:paragraph;z-index:-234520" filled="true" fillcolor="#386ab3" stroked="false">
            <v:fill type="solid"/>
            <w10:wrap type="none"/>
          </v:rect>
        </w:pict>
      </w:r>
      <w:r>
        <w:rPr/>
        <w:pict>
          <v:rect style="position:absolute;margin-left:413.554993pt;margin-top:-60.716248pt;width:7.281pt;height:34.770pt;mso-position-horizontal-relative:page;mso-position-vertical-relative:paragraph;z-index:-234496" filled="true" fillcolor="#386ab3" stroked="false">
            <v:fill type="solid"/>
            <w10:wrap type="none"/>
          </v:rect>
        </w:pict>
      </w:r>
      <w:r>
        <w:rPr/>
        <w:pict>
          <v:rect style="position:absolute;margin-left:501.473999pt;margin-top:-91.771446pt;width:7.282pt;height:65.8252pt;mso-position-horizontal-relative:page;mso-position-vertical-relative:paragraph;z-index:-234472" filled="true" fillcolor="#386ab3" stroked="false">
            <v:fill type="solid"/>
            <w10:wrap type="none"/>
          </v:rect>
        </w:pict>
      </w:r>
      <w:r>
        <w:rPr/>
        <w:pict>
          <v:rect style="position:absolute;margin-left:519.023987pt;margin-top:-94.471252pt;width:7.282pt;height:68.525pt;mso-position-horizontal-relative:page;mso-position-vertical-relative:paragraph;z-index:-234448" filled="true" fillcolor="#386ab3" stroked="false">
            <v:fill type="solid"/>
            <w10:wrap type="none"/>
          </v:rect>
        </w:pict>
      </w:r>
      <w:r>
        <w:rPr/>
        <w:pict>
          <v:rect style="position:absolute;margin-left:448.967987pt;margin-top:-86.597649pt;width:7.279pt;height:60.7197pt;mso-position-horizontal-relative:page;mso-position-vertical-relative:paragraph;z-index:-234424" filled="true" fillcolor="#386ab3" stroked="false">
            <v:fill type="solid"/>
            <w10:wrap type="none"/>
          </v:rect>
        </w:pict>
      </w:r>
      <w:r>
        <w:rPr/>
        <w:pict>
          <v:rect style="position:absolute;margin-left:466.403992pt;margin-top:-87.665047pt;width:7.278pt;height:61.7871pt;mso-position-horizontal-relative:page;mso-position-vertical-relative:paragraph;z-index:-234400" filled="true" fillcolor="#386ab3" stroked="false">
            <v:fill type="solid"/>
            <w10:wrap type="none"/>
          </v:rect>
        </w:pict>
      </w:r>
      <w:r>
        <w:rPr/>
        <w:pict>
          <v:rect style="position:absolute;margin-left:431.341003pt;margin-top:-79.745552pt;width:7.281pt;height:53.7993pt;mso-position-horizontal-relative:page;mso-position-vertical-relative:paragraph;z-index:-234376" filled="true" fillcolor="#386ab3" stroked="false">
            <v:fill type="solid"/>
            <w10:wrap type="none"/>
          </v:rect>
        </w:pict>
      </w:r>
      <w:r>
        <w:rPr>
          <w:rFonts w:ascii="Arial"/>
          <w:color w:val="231F20"/>
          <w:w w:val="90"/>
          <w:sz w:val="11"/>
        </w:rPr>
        <w:t>For the year ending December 31, 2003</w:t>
      </w:r>
    </w:p>
    <w:p>
      <w:pPr>
        <w:spacing w:line="128" w:lineRule="exact" w:before="0"/>
        <w:ind w:left="1050" w:right="0" w:firstLine="0"/>
        <w:jc w:val="left"/>
        <w:rPr>
          <w:rFonts w:ascii="Arial"/>
          <w:sz w:val="11"/>
        </w:rPr>
      </w:pPr>
      <w:r>
        <w:rPr>
          <w:rFonts w:ascii="Arial"/>
          <w:color w:val="231F20"/>
          <w:w w:val="85"/>
          <w:position w:val="1"/>
          <w:sz w:val="11"/>
        </w:rPr>
        <w:t>* </w:t>
      </w:r>
      <w:r>
        <w:rPr>
          <w:rFonts w:ascii="Arial"/>
          <w:color w:val="231F20"/>
          <w:w w:val="85"/>
          <w:sz w:val="11"/>
        </w:rPr>
        <w:t>Excludes American Eagle Airlines</w:t>
      </w:r>
    </w:p>
    <w:p>
      <w:pPr>
        <w:spacing w:after="0" w:line="128" w:lineRule="exact"/>
        <w:jc w:val="left"/>
        <w:rPr>
          <w:rFonts w:ascii="Arial"/>
          <w:sz w:val="11"/>
        </w:rPr>
        <w:sectPr>
          <w:type w:val="continuous"/>
          <w:pgSz w:w="12240" w:h="15840"/>
          <w:pgMar w:top="320" w:bottom="280" w:left="780" w:right="400"/>
          <w:cols w:num="3" w:equalWidth="0">
            <w:col w:w="2515" w:space="924"/>
            <w:col w:w="1507" w:space="1939"/>
            <w:col w:w="4175"/>
          </w:cols>
        </w:sectPr>
      </w:pPr>
    </w:p>
    <w:p>
      <w:pPr>
        <w:tabs>
          <w:tab w:pos="592" w:val="left" w:leader="none"/>
        </w:tabs>
        <w:spacing w:before="77"/>
        <w:ind w:left="112" w:right="0" w:firstLine="0"/>
        <w:jc w:val="left"/>
        <w:rPr>
          <w:rFonts w:ascii="Arial"/>
          <w:sz w:val="12"/>
        </w:rPr>
      </w:pPr>
      <w:r>
        <w:rPr/>
        <w:drawing>
          <wp:anchor distT="0" distB="0" distL="0" distR="0" allowOverlap="1" layoutInCell="1" locked="0" behindDoc="0" simplePos="0" relativeHeight="4168">
            <wp:simplePos x="0" y="0"/>
            <wp:positionH relativeFrom="page">
              <wp:posOffset>5097779</wp:posOffset>
            </wp:positionH>
            <wp:positionV relativeFrom="page">
              <wp:posOffset>3124504</wp:posOffset>
            </wp:positionV>
            <wp:extent cx="2109692" cy="2109692"/>
            <wp:effectExtent l="0" t="0" r="0" b="0"/>
            <wp:wrapNone/>
            <wp:docPr id="53" name="image24.png" descr=""/>
            <wp:cNvGraphicFramePr>
              <a:graphicFrameLocks noChangeAspect="1"/>
            </wp:cNvGraphicFramePr>
            <a:graphic>
              <a:graphicData uri="http://schemas.openxmlformats.org/drawingml/2006/picture">
                <pic:pic>
                  <pic:nvPicPr>
                    <pic:cNvPr id="54" name="image24.png"/>
                    <pic:cNvPicPr/>
                  </pic:nvPicPr>
                  <pic:blipFill>
                    <a:blip r:embed="rId28" cstate="print"/>
                    <a:stretch>
                      <a:fillRect/>
                    </a:stretch>
                  </pic:blipFill>
                  <pic:spPr>
                    <a:xfrm>
                      <a:off x="0" y="0"/>
                      <a:ext cx="2109692" cy="2109692"/>
                    </a:xfrm>
                    <a:prstGeom prst="rect">
                      <a:avLst/>
                    </a:prstGeom>
                  </pic:spPr>
                </pic:pic>
              </a:graphicData>
            </a:graphic>
          </wp:anchor>
        </w:drawing>
      </w:r>
      <w:r>
        <w:rPr/>
        <w:drawing>
          <wp:anchor distT="0" distB="0" distL="0" distR="0" allowOverlap="1" layoutInCell="1" locked="0" behindDoc="0" simplePos="0" relativeHeight="4192">
            <wp:simplePos x="0" y="0"/>
            <wp:positionH relativeFrom="page">
              <wp:posOffset>2834639</wp:posOffset>
            </wp:positionH>
            <wp:positionV relativeFrom="page">
              <wp:posOffset>3124505</wp:posOffset>
            </wp:positionV>
            <wp:extent cx="2109692" cy="2109692"/>
            <wp:effectExtent l="0" t="0" r="0" b="0"/>
            <wp:wrapNone/>
            <wp:docPr id="55" name="image25.png" descr=""/>
            <wp:cNvGraphicFramePr>
              <a:graphicFrameLocks noChangeAspect="1"/>
            </wp:cNvGraphicFramePr>
            <a:graphic>
              <a:graphicData uri="http://schemas.openxmlformats.org/drawingml/2006/picture">
                <pic:pic>
                  <pic:nvPicPr>
                    <pic:cNvPr id="56" name="image25.png"/>
                    <pic:cNvPicPr/>
                  </pic:nvPicPr>
                  <pic:blipFill>
                    <a:blip r:embed="rId29" cstate="print"/>
                    <a:stretch>
                      <a:fillRect/>
                    </a:stretch>
                  </pic:blipFill>
                  <pic:spPr>
                    <a:xfrm>
                      <a:off x="0" y="0"/>
                      <a:ext cx="2109692" cy="2109692"/>
                    </a:xfrm>
                    <a:prstGeom prst="rect">
                      <a:avLst/>
                    </a:prstGeom>
                  </pic:spPr>
                </pic:pic>
              </a:graphicData>
            </a:graphic>
          </wp:anchor>
        </w:drawing>
      </w:r>
      <w:r>
        <w:rPr/>
        <w:pict>
          <v:line style="position:absolute;mso-position-horizontal-relative:page;mso-position-vertical-relative:paragraph;z-index:-234184" from="36.605202pt,1.004097pt" to="36.605202pt,19.004097pt" stroked="true" strokeweight=".5pt" strokecolor="#231f20">
            <v:stroke dashstyle="solid"/>
            <w10:wrap type="none"/>
          </v:line>
        </w:pict>
      </w:r>
      <w:r>
        <w:rPr/>
        <w:drawing>
          <wp:anchor distT="0" distB="0" distL="0" distR="0" allowOverlap="1" layoutInCell="1" locked="0" behindDoc="0" simplePos="0" relativeHeight="4240">
            <wp:simplePos x="0" y="0"/>
            <wp:positionH relativeFrom="page">
              <wp:posOffset>2161648</wp:posOffset>
            </wp:positionH>
            <wp:positionV relativeFrom="paragraph">
              <wp:posOffset>28620</wp:posOffset>
            </wp:positionV>
            <wp:extent cx="370521" cy="153417"/>
            <wp:effectExtent l="0" t="0" r="0" b="0"/>
            <wp:wrapNone/>
            <wp:docPr id="57" name="image1.png" descr=""/>
            <wp:cNvGraphicFramePr>
              <a:graphicFrameLocks noChangeAspect="1"/>
            </wp:cNvGraphicFramePr>
            <a:graphic>
              <a:graphicData uri="http://schemas.openxmlformats.org/drawingml/2006/picture">
                <pic:pic>
                  <pic:nvPicPr>
                    <pic:cNvPr id="58" name="image1.png"/>
                    <pic:cNvPicPr/>
                  </pic:nvPicPr>
                  <pic:blipFill>
                    <a:blip r:embed="rId5" cstate="print"/>
                    <a:stretch>
                      <a:fillRect/>
                    </a:stretch>
                  </pic:blipFill>
                  <pic:spPr>
                    <a:xfrm>
                      <a:off x="0" y="0"/>
                      <a:ext cx="370521" cy="153417"/>
                    </a:xfrm>
                    <a:prstGeom prst="rect">
                      <a:avLst/>
                    </a:prstGeom>
                  </pic:spPr>
                </pic:pic>
              </a:graphicData>
            </a:graphic>
          </wp:anchor>
        </w:drawing>
      </w:r>
      <w:r>
        <w:rPr/>
        <w:drawing>
          <wp:anchor distT="0" distB="0" distL="0" distR="0" allowOverlap="1" layoutInCell="1" locked="0" behindDoc="0" simplePos="0" relativeHeight="4264">
            <wp:simplePos x="0" y="0"/>
            <wp:positionH relativeFrom="page">
              <wp:posOffset>571500</wp:posOffset>
            </wp:positionH>
            <wp:positionV relativeFrom="page">
              <wp:posOffset>4258373</wp:posOffset>
            </wp:positionV>
            <wp:extent cx="959082" cy="968216"/>
            <wp:effectExtent l="0" t="0" r="0" b="0"/>
            <wp:wrapNone/>
            <wp:docPr id="59" name="image26.png" descr=""/>
            <wp:cNvGraphicFramePr>
              <a:graphicFrameLocks noChangeAspect="1"/>
            </wp:cNvGraphicFramePr>
            <a:graphic>
              <a:graphicData uri="http://schemas.openxmlformats.org/drawingml/2006/picture">
                <pic:pic>
                  <pic:nvPicPr>
                    <pic:cNvPr id="60" name="image26.png"/>
                    <pic:cNvPicPr/>
                  </pic:nvPicPr>
                  <pic:blipFill>
                    <a:blip r:embed="rId30" cstate="print"/>
                    <a:stretch>
                      <a:fillRect/>
                    </a:stretch>
                  </pic:blipFill>
                  <pic:spPr>
                    <a:xfrm>
                      <a:off x="0" y="0"/>
                      <a:ext cx="959082" cy="968216"/>
                    </a:xfrm>
                    <a:prstGeom prst="rect">
                      <a:avLst/>
                    </a:prstGeom>
                  </pic:spPr>
                </pic:pic>
              </a:graphicData>
            </a:graphic>
          </wp:anchor>
        </w:drawing>
      </w:r>
      <w:r>
        <w:rPr/>
        <w:drawing>
          <wp:anchor distT="0" distB="0" distL="0" distR="0" allowOverlap="1" layoutInCell="1" locked="0" behindDoc="0" simplePos="0" relativeHeight="4288">
            <wp:simplePos x="0" y="0"/>
            <wp:positionH relativeFrom="page">
              <wp:posOffset>1705355</wp:posOffset>
            </wp:positionH>
            <wp:positionV relativeFrom="page">
              <wp:posOffset>4258945</wp:posOffset>
            </wp:positionV>
            <wp:extent cx="968216" cy="968216"/>
            <wp:effectExtent l="0" t="0" r="0" b="0"/>
            <wp:wrapNone/>
            <wp:docPr id="61" name="image27.png" descr=""/>
            <wp:cNvGraphicFramePr>
              <a:graphicFrameLocks noChangeAspect="1"/>
            </wp:cNvGraphicFramePr>
            <a:graphic>
              <a:graphicData uri="http://schemas.openxmlformats.org/drawingml/2006/picture">
                <pic:pic>
                  <pic:nvPicPr>
                    <pic:cNvPr id="62" name="image27.png"/>
                    <pic:cNvPicPr/>
                  </pic:nvPicPr>
                  <pic:blipFill>
                    <a:blip r:embed="rId31" cstate="print"/>
                    <a:stretch>
                      <a:fillRect/>
                    </a:stretch>
                  </pic:blipFill>
                  <pic:spPr>
                    <a:xfrm>
                      <a:off x="0" y="0"/>
                      <a:ext cx="968216" cy="968216"/>
                    </a:xfrm>
                    <a:prstGeom prst="rect">
                      <a:avLst/>
                    </a:prstGeom>
                  </pic:spPr>
                </pic:pic>
              </a:graphicData>
            </a:graphic>
          </wp:anchor>
        </w:drawing>
      </w:r>
      <w:r>
        <w:rPr/>
        <w:drawing>
          <wp:anchor distT="0" distB="0" distL="0" distR="0" allowOverlap="1" layoutInCell="1" locked="0" behindDoc="0" simplePos="0" relativeHeight="4312">
            <wp:simplePos x="0" y="0"/>
            <wp:positionH relativeFrom="page">
              <wp:posOffset>571500</wp:posOffset>
            </wp:positionH>
            <wp:positionV relativeFrom="page">
              <wp:posOffset>3124504</wp:posOffset>
            </wp:positionV>
            <wp:extent cx="2103120" cy="969263"/>
            <wp:effectExtent l="0" t="0" r="0" b="0"/>
            <wp:wrapNone/>
            <wp:docPr id="63" name="image28.png" descr=""/>
            <wp:cNvGraphicFramePr>
              <a:graphicFrameLocks noChangeAspect="1"/>
            </wp:cNvGraphicFramePr>
            <a:graphic>
              <a:graphicData uri="http://schemas.openxmlformats.org/drawingml/2006/picture">
                <pic:pic>
                  <pic:nvPicPr>
                    <pic:cNvPr id="64" name="image28.png"/>
                    <pic:cNvPicPr/>
                  </pic:nvPicPr>
                  <pic:blipFill>
                    <a:blip r:embed="rId32" cstate="print"/>
                    <a:stretch>
                      <a:fillRect/>
                    </a:stretch>
                  </pic:blipFill>
                  <pic:spPr>
                    <a:xfrm>
                      <a:off x="0" y="0"/>
                      <a:ext cx="2103120" cy="969263"/>
                    </a:xfrm>
                    <a:prstGeom prst="rect">
                      <a:avLst/>
                    </a:prstGeom>
                  </pic:spPr>
                </pic:pic>
              </a:graphicData>
            </a:graphic>
          </wp:anchor>
        </w:drawing>
      </w:r>
      <w:r>
        <w:rPr>
          <w:rFonts w:ascii="Arial"/>
          <w:color w:val="231F20"/>
          <w:w w:val="95"/>
          <w:sz w:val="14"/>
        </w:rPr>
        <w:t>10</w:t>
        <w:tab/>
      </w:r>
      <w:r>
        <w:rPr>
          <w:rFonts w:ascii="Arial"/>
          <w:color w:val="231F20"/>
          <w:spacing w:val="9"/>
          <w:w w:val="90"/>
          <w:position w:val="1"/>
          <w:sz w:val="12"/>
        </w:rPr>
        <w:t>Southwest</w:t>
      </w:r>
      <w:r>
        <w:rPr>
          <w:rFonts w:ascii="Arial"/>
          <w:color w:val="231F20"/>
          <w:spacing w:val="-9"/>
          <w:w w:val="90"/>
          <w:position w:val="1"/>
          <w:sz w:val="12"/>
        </w:rPr>
        <w:t> </w:t>
      </w:r>
      <w:r>
        <w:rPr>
          <w:rFonts w:ascii="Arial"/>
          <w:color w:val="231F20"/>
          <w:spacing w:val="9"/>
          <w:w w:val="90"/>
          <w:position w:val="1"/>
          <w:sz w:val="12"/>
        </w:rPr>
        <w:t>Airlines</w:t>
      </w:r>
      <w:r>
        <w:rPr>
          <w:rFonts w:ascii="Arial"/>
          <w:color w:val="231F20"/>
          <w:spacing w:val="-7"/>
          <w:w w:val="90"/>
          <w:position w:val="1"/>
          <w:sz w:val="12"/>
        </w:rPr>
        <w:t> </w:t>
      </w:r>
      <w:r>
        <w:rPr>
          <w:rFonts w:ascii="Arial"/>
          <w:color w:val="231F20"/>
          <w:spacing w:val="7"/>
          <w:w w:val="90"/>
          <w:position w:val="1"/>
          <w:sz w:val="12"/>
        </w:rPr>
        <w:t>Co.</w:t>
      </w:r>
      <w:r>
        <w:rPr>
          <w:rFonts w:ascii="Arial"/>
          <w:color w:val="231F20"/>
          <w:spacing w:val="-9"/>
          <w:w w:val="90"/>
          <w:position w:val="1"/>
          <w:sz w:val="12"/>
        </w:rPr>
        <w:t> </w:t>
      </w:r>
      <w:r>
        <w:rPr>
          <w:rFonts w:ascii="Arial"/>
          <w:color w:val="231F20"/>
          <w:spacing w:val="8"/>
          <w:w w:val="90"/>
          <w:position w:val="1"/>
          <w:sz w:val="12"/>
        </w:rPr>
        <w:t>2003</w:t>
      </w:r>
      <w:r>
        <w:rPr>
          <w:rFonts w:ascii="Arial"/>
          <w:color w:val="231F20"/>
          <w:spacing w:val="-9"/>
          <w:w w:val="90"/>
          <w:position w:val="1"/>
          <w:sz w:val="12"/>
        </w:rPr>
        <w:t> </w:t>
      </w:r>
      <w:r>
        <w:rPr>
          <w:rFonts w:ascii="Arial"/>
          <w:color w:val="231F20"/>
          <w:spacing w:val="9"/>
          <w:w w:val="90"/>
          <w:position w:val="1"/>
          <w:sz w:val="12"/>
        </w:rPr>
        <w:t>Annual</w:t>
      </w:r>
      <w:r>
        <w:rPr>
          <w:rFonts w:ascii="Arial"/>
          <w:color w:val="231F20"/>
          <w:spacing w:val="-7"/>
          <w:w w:val="90"/>
          <w:position w:val="1"/>
          <w:sz w:val="12"/>
        </w:rPr>
        <w:t> </w:t>
      </w:r>
      <w:r>
        <w:rPr>
          <w:rFonts w:ascii="Arial"/>
          <w:color w:val="231F20"/>
          <w:spacing w:val="9"/>
          <w:w w:val="90"/>
          <w:position w:val="1"/>
          <w:sz w:val="12"/>
        </w:rPr>
        <w:t>Report</w:t>
      </w:r>
      <w:r>
        <w:rPr>
          <w:rFonts w:ascii="Arial"/>
          <w:color w:val="231F20"/>
          <w:spacing w:val="-22"/>
          <w:position w:val="1"/>
          <w:sz w:val="12"/>
        </w:rPr>
        <w:t> </w:t>
      </w:r>
    </w:p>
    <w:p>
      <w:pPr>
        <w:pStyle w:val="BodyText"/>
        <w:rPr>
          <w:rFonts w:ascii="Arial"/>
          <w:sz w:val="20"/>
        </w:rPr>
      </w:pPr>
    </w:p>
    <w:p>
      <w:pPr>
        <w:pStyle w:val="BodyText"/>
        <w:rPr>
          <w:rFonts w:ascii="Arial"/>
          <w:sz w:val="20"/>
        </w:rPr>
      </w:pPr>
    </w:p>
    <w:p>
      <w:pPr>
        <w:pStyle w:val="BodyText"/>
        <w:spacing w:before="6"/>
        <w:rPr>
          <w:rFonts w:ascii="Arial"/>
          <w:sz w:val="29"/>
        </w:rPr>
      </w:pPr>
      <w:r>
        <w:rPr/>
        <w:pict>
          <v:shape style="position:absolute;margin-left:45pt;margin-top:18.93523pt;width:165.6pt;height:165.6pt;mso-position-horizontal-relative:page;mso-position-vertical-relative:paragraph;z-index:4048;mso-wrap-distance-left:0;mso-wrap-distance-right:0" type="#_x0000_t202" filled="true" fillcolor="#ef3e23" stroked="false">
            <v:textbox inset="0,0,0,0">
              <w:txbxContent>
                <w:p>
                  <w:pPr>
                    <w:pStyle w:val="BodyText"/>
                    <w:rPr>
                      <w:rFonts w:ascii="Arial"/>
                      <w:sz w:val="32"/>
                    </w:rPr>
                  </w:pPr>
                </w:p>
                <w:p>
                  <w:pPr>
                    <w:pStyle w:val="BodyText"/>
                    <w:rPr>
                      <w:rFonts w:ascii="Arial"/>
                      <w:sz w:val="32"/>
                    </w:rPr>
                  </w:pPr>
                </w:p>
                <w:p>
                  <w:pPr>
                    <w:pStyle w:val="BodyText"/>
                    <w:rPr>
                      <w:rFonts w:ascii="Arial"/>
                      <w:sz w:val="32"/>
                    </w:rPr>
                  </w:pPr>
                </w:p>
                <w:p>
                  <w:pPr>
                    <w:pStyle w:val="BodyText"/>
                    <w:spacing w:before="6"/>
                    <w:rPr>
                      <w:rFonts w:ascii="Arial"/>
                      <w:sz w:val="35"/>
                    </w:rPr>
                  </w:pPr>
                </w:p>
                <w:p>
                  <w:pPr>
                    <w:spacing w:before="0"/>
                    <w:ind w:left="751" w:right="0" w:firstLine="0"/>
                    <w:jc w:val="left"/>
                    <w:rPr>
                      <w:rFonts w:ascii="Book Antiqua"/>
                      <w:sz w:val="26"/>
                    </w:rPr>
                  </w:pPr>
                  <w:r>
                    <w:rPr>
                      <w:rFonts w:ascii="Book Antiqua"/>
                      <w:color w:val="FFFFFF"/>
                      <w:w w:val="105"/>
                      <w:sz w:val="26"/>
                    </w:rPr>
                    <w:t>F R E E D O M</w:t>
                  </w:r>
                  <w:r>
                    <w:rPr>
                      <w:rFonts w:ascii="Book Antiqua"/>
                      <w:color w:val="FFFFFF"/>
                      <w:sz w:val="26"/>
                    </w:rPr>
                    <w:t> </w:t>
                  </w:r>
                </w:p>
              </w:txbxContent>
            </v:textbox>
            <v:fill type="solid"/>
            <w10:wrap type="topAndBottom"/>
          </v:shape>
        </w:pict>
      </w:r>
      <w:r>
        <w:rPr/>
        <w:drawing>
          <wp:anchor distT="0" distB="0" distL="0" distR="0" allowOverlap="1" layoutInCell="1" locked="0" behindDoc="0" simplePos="0" relativeHeight="4072">
            <wp:simplePos x="0" y="0"/>
            <wp:positionH relativeFrom="page">
              <wp:posOffset>2834639</wp:posOffset>
            </wp:positionH>
            <wp:positionV relativeFrom="paragraph">
              <wp:posOffset>240477</wp:posOffset>
            </wp:positionV>
            <wp:extent cx="4379904" cy="2109692"/>
            <wp:effectExtent l="0" t="0" r="0" b="0"/>
            <wp:wrapTopAndBottom/>
            <wp:docPr id="65" name="image29.png" descr=""/>
            <wp:cNvGraphicFramePr>
              <a:graphicFrameLocks noChangeAspect="1"/>
            </wp:cNvGraphicFramePr>
            <a:graphic>
              <a:graphicData uri="http://schemas.openxmlformats.org/drawingml/2006/picture">
                <pic:pic>
                  <pic:nvPicPr>
                    <pic:cNvPr id="66" name="image29.png"/>
                    <pic:cNvPicPr/>
                  </pic:nvPicPr>
                  <pic:blipFill>
                    <a:blip r:embed="rId33" cstate="print"/>
                    <a:stretch>
                      <a:fillRect/>
                    </a:stretch>
                  </pic:blipFill>
                  <pic:spPr>
                    <a:xfrm>
                      <a:off x="0" y="0"/>
                      <a:ext cx="4379904" cy="2109692"/>
                    </a:xfrm>
                    <a:prstGeom prst="rect">
                      <a:avLst/>
                    </a:prstGeom>
                  </pic:spPr>
                </pic:pic>
              </a:graphicData>
            </a:graphic>
          </wp:anchor>
        </w:drawing>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6"/>
        </w:rPr>
      </w:pPr>
      <w:r>
        <w:rPr/>
        <w:drawing>
          <wp:anchor distT="0" distB="0" distL="0" distR="0" allowOverlap="1" layoutInCell="1" locked="0" behindDoc="0" simplePos="0" relativeHeight="4096">
            <wp:simplePos x="0" y="0"/>
            <wp:positionH relativeFrom="page">
              <wp:posOffset>573481</wp:posOffset>
            </wp:positionH>
            <wp:positionV relativeFrom="paragraph">
              <wp:posOffset>215266</wp:posOffset>
            </wp:positionV>
            <wp:extent cx="2107704" cy="2109692"/>
            <wp:effectExtent l="0" t="0" r="0" b="0"/>
            <wp:wrapTopAndBottom/>
            <wp:docPr id="67" name="image30.png" descr=""/>
            <wp:cNvGraphicFramePr>
              <a:graphicFrameLocks noChangeAspect="1"/>
            </wp:cNvGraphicFramePr>
            <a:graphic>
              <a:graphicData uri="http://schemas.openxmlformats.org/drawingml/2006/picture">
                <pic:pic>
                  <pic:nvPicPr>
                    <pic:cNvPr id="68" name="image30.png"/>
                    <pic:cNvPicPr/>
                  </pic:nvPicPr>
                  <pic:blipFill>
                    <a:blip r:embed="rId34" cstate="print"/>
                    <a:stretch>
                      <a:fillRect/>
                    </a:stretch>
                  </pic:blipFill>
                  <pic:spPr>
                    <a:xfrm>
                      <a:off x="0" y="0"/>
                      <a:ext cx="2107704" cy="2109692"/>
                    </a:xfrm>
                    <a:prstGeom prst="rect">
                      <a:avLst/>
                    </a:prstGeom>
                  </pic:spPr>
                </pic:pic>
              </a:graphicData>
            </a:graphic>
          </wp:anchor>
        </w:drawing>
      </w:r>
      <w:r>
        <w:rPr/>
        <w:pict>
          <v:shape style="position:absolute;margin-left:223.199997pt;margin-top:16.950148pt;width:165.6pt;height:165.6pt;mso-position-horizontal-relative:page;mso-position-vertical-relative:paragraph;z-index:4120;mso-wrap-distance-left:0;mso-wrap-distance-right:0" type="#_x0000_t202" filled="true" fillcolor="#386ab3" stroked="false">
            <v:textbox inset="0,0,0,0">
              <w:txbxContent>
                <w:p>
                  <w:pPr>
                    <w:pStyle w:val="BodyText"/>
                    <w:rPr>
                      <w:rFonts w:ascii="Arial"/>
                      <w:sz w:val="32"/>
                    </w:rPr>
                  </w:pPr>
                </w:p>
                <w:p>
                  <w:pPr>
                    <w:pStyle w:val="BodyText"/>
                    <w:rPr>
                      <w:rFonts w:ascii="Arial"/>
                      <w:sz w:val="32"/>
                    </w:rPr>
                  </w:pPr>
                </w:p>
                <w:p>
                  <w:pPr>
                    <w:pStyle w:val="BodyText"/>
                    <w:rPr>
                      <w:rFonts w:ascii="Arial"/>
                      <w:sz w:val="32"/>
                    </w:rPr>
                  </w:pPr>
                </w:p>
                <w:p>
                  <w:pPr>
                    <w:pStyle w:val="BodyText"/>
                    <w:spacing w:before="4"/>
                    <w:rPr>
                      <w:rFonts w:ascii="Arial"/>
                      <w:sz w:val="34"/>
                    </w:rPr>
                  </w:pPr>
                </w:p>
                <w:p>
                  <w:pPr>
                    <w:spacing w:before="0"/>
                    <w:ind w:left="724" w:right="0" w:firstLine="0"/>
                    <w:jc w:val="left"/>
                    <w:rPr>
                      <w:rFonts w:ascii="Book Antiqua"/>
                      <w:sz w:val="26"/>
                    </w:rPr>
                  </w:pPr>
                  <w:r>
                    <w:rPr>
                      <w:rFonts w:ascii="Book Antiqua"/>
                      <w:color w:val="FFFFFF"/>
                      <w:w w:val="105"/>
                      <w:sz w:val="26"/>
                    </w:rPr>
                    <w:t>F I G H T E R S</w:t>
                  </w:r>
                  <w:r>
                    <w:rPr>
                      <w:rFonts w:ascii="Book Antiqua"/>
                      <w:color w:val="FFFFFF"/>
                      <w:sz w:val="26"/>
                    </w:rPr>
                    <w:t> </w:t>
                  </w:r>
                </w:p>
              </w:txbxContent>
            </v:textbox>
            <v:fill type="solid"/>
            <w10:wrap type="topAndBottom"/>
          </v:shape>
        </w:pict>
      </w:r>
      <w:r>
        <w:rPr/>
        <w:drawing>
          <wp:anchor distT="0" distB="0" distL="0" distR="0" allowOverlap="1" layoutInCell="1" locked="0" behindDoc="0" simplePos="0" relativeHeight="4144">
            <wp:simplePos x="0" y="0"/>
            <wp:positionH relativeFrom="page">
              <wp:posOffset>5097779</wp:posOffset>
            </wp:positionH>
            <wp:positionV relativeFrom="paragraph">
              <wp:posOffset>214923</wp:posOffset>
            </wp:positionV>
            <wp:extent cx="2109692" cy="2109692"/>
            <wp:effectExtent l="0" t="0" r="0" b="0"/>
            <wp:wrapTopAndBottom/>
            <wp:docPr id="69" name="image31.png" descr=""/>
            <wp:cNvGraphicFramePr>
              <a:graphicFrameLocks noChangeAspect="1"/>
            </wp:cNvGraphicFramePr>
            <a:graphic>
              <a:graphicData uri="http://schemas.openxmlformats.org/drawingml/2006/picture">
                <pic:pic>
                  <pic:nvPicPr>
                    <pic:cNvPr id="70" name="image31.png"/>
                    <pic:cNvPicPr/>
                  </pic:nvPicPr>
                  <pic:blipFill>
                    <a:blip r:embed="rId35" cstate="print"/>
                    <a:stretch>
                      <a:fillRect/>
                    </a:stretch>
                  </pic:blipFill>
                  <pic:spPr>
                    <a:xfrm>
                      <a:off x="0" y="0"/>
                      <a:ext cx="2109692" cy="2109692"/>
                    </a:xfrm>
                    <a:prstGeom prst="rect">
                      <a:avLst/>
                    </a:prstGeom>
                  </pic:spPr>
                </pic:pic>
              </a:graphicData>
            </a:graphic>
          </wp:anchor>
        </w:drawing>
      </w:r>
    </w:p>
    <w:p>
      <w:pPr>
        <w:pStyle w:val="BodyText"/>
        <w:spacing w:before="4"/>
        <w:rPr>
          <w:rFonts w:ascii="Arial"/>
          <w:sz w:val="7"/>
        </w:rPr>
      </w:pPr>
    </w:p>
    <w:p>
      <w:pPr>
        <w:spacing w:line="319" w:lineRule="auto" w:before="94"/>
        <w:ind w:left="580" w:right="3658" w:firstLine="0"/>
        <w:jc w:val="both"/>
        <w:rPr>
          <w:rFonts w:ascii="Book Antiqua" w:hAnsi="Book Antiqua"/>
          <w:sz w:val="17"/>
        </w:rPr>
      </w:pPr>
      <w:r>
        <w:rPr>
          <w:rFonts w:ascii="Book Antiqua" w:hAnsi="Book Antiqua"/>
          <w:color w:val="231F20"/>
          <w:sz w:val="17"/>
        </w:rPr>
        <w:t>The</w:t>
      </w:r>
      <w:r>
        <w:rPr>
          <w:rFonts w:ascii="Book Antiqua" w:hAnsi="Book Antiqua"/>
          <w:color w:val="231F20"/>
          <w:spacing w:val="-15"/>
          <w:sz w:val="17"/>
        </w:rPr>
        <w:t> </w:t>
      </w:r>
      <w:r>
        <w:rPr>
          <w:rFonts w:ascii="Book Antiqua" w:hAnsi="Book Antiqua"/>
          <w:color w:val="231F20"/>
          <w:sz w:val="17"/>
        </w:rPr>
        <w:t>People</w:t>
      </w:r>
      <w:r>
        <w:rPr>
          <w:rFonts w:ascii="Book Antiqua" w:hAnsi="Book Antiqua"/>
          <w:color w:val="231F20"/>
          <w:spacing w:val="-15"/>
          <w:sz w:val="17"/>
        </w:rPr>
        <w:t> </w:t>
      </w:r>
      <w:r>
        <w:rPr>
          <w:rFonts w:ascii="Book Antiqua" w:hAnsi="Book Antiqua"/>
          <w:color w:val="231F20"/>
          <w:sz w:val="17"/>
        </w:rPr>
        <w:t>of</w:t>
      </w:r>
      <w:r>
        <w:rPr>
          <w:rFonts w:ascii="Book Antiqua" w:hAnsi="Book Antiqua"/>
          <w:color w:val="231F20"/>
          <w:spacing w:val="-15"/>
          <w:sz w:val="17"/>
        </w:rPr>
        <w:t> </w:t>
      </w:r>
      <w:r>
        <w:rPr>
          <w:rFonts w:ascii="Book Antiqua" w:hAnsi="Book Antiqua"/>
          <w:color w:val="231F20"/>
          <w:sz w:val="17"/>
        </w:rPr>
        <w:t>Southwest</w:t>
      </w:r>
      <w:r>
        <w:rPr>
          <w:rFonts w:ascii="Book Antiqua" w:hAnsi="Book Antiqua"/>
          <w:color w:val="231F20"/>
          <w:spacing w:val="-24"/>
          <w:sz w:val="17"/>
        </w:rPr>
        <w:t> </w:t>
      </w:r>
      <w:r>
        <w:rPr>
          <w:rFonts w:ascii="Book Antiqua" w:hAnsi="Book Antiqua"/>
          <w:color w:val="231F20"/>
          <w:sz w:val="17"/>
        </w:rPr>
        <w:t>Airlines</w:t>
      </w:r>
      <w:r>
        <w:rPr>
          <w:rFonts w:ascii="Book Antiqua" w:hAnsi="Book Antiqua"/>
          <w:color w:val="231F20"/>
          <w:spacing w:val="-15"/>
          <w:sz w:val="17"/>
        </w:rPr>
        <w:t> </w:t>
      </w:r>
      <w:r>
        <w:rPr>
          <w:rFonts w:ascii="Book Antiqua" w:hAnsi="Book Antiqua"/>
          <w:color w:val="231F20"/>
          <w:sz w:val="17"/>
        </w:rPr>
        <w:t>are</w:t>
      </w:r>
      <w:r>
        <w:rPr>
          <w:rFonts w:ascii="Book Antiqua" w:hAnsi="Book Antiqua"/>
          <w:color w:val="231F20"/>
          <w:spacing w:val="-15"/>
          <w:sz w:val="17"/>
        </w:rPr>
        <w:t> </w:t>
      </w:r>
      <w:r>
        <w:rPr>
          <w:rFonts w:ascii="Book Antiqua" w:hAnsi="Book Antiqua"/>
          <w:color w:val="231F20"/>
          <w:sz w:val="17"/>
        </w:rPr>
        <w:t>our</w:t>
      </w:r>
      <w:r>
        <w:rPr>
          <w:rFonts w:ascii="Book Antiqua" w:hAnsi="Book Antiqua"/>
          <w:color w:val="231F20"/>
          <w:spacing w:val="-20"/>
          <w:sz w:val="17"/>
        </w:rPr>
        <w:t> </w:t>
      </w:r>
      <w:r>
        <w:rPr>
          <w:rFonts w:ascii="Book Antiqua" w:hAnsi="Book Antiqua"/>
          <w:color w:val="231F20"/>
          <w:sz w:val="17"/>
        </w:rPr>
        <w:t>most</w:t>
      </w:r>
      <w:r>
        <w:rPr>
          <w:rFonts w:ascii="Book Antiqua" w:hAnsi="Book Antiqua"/>
          <w:color w:val="231F20"/>
          <w:spacing w:val="-22"/>
          <w:sz w:val="17"/>
        </w:rPr>
        <w:t> </w:t>
      </w:r>
      <w:r>
        <w:rPr>
          <w:rFonts w:ascii="Book Antiqua" w:hAnsi="Book Antiqua"/>
          <w:color w:val="231F20"/>
          <w:sz w:val="17"/>
        </w:rPr>
        <w:t>valuable</w:t>
      </w:r>
      <w:r>
        <w:rPr>
          <w:rFonts w:ascii="Book Antiqua" w:hAnsi="Book Antiqua"/>
          <w:color w:val="231F20"/>
          <w:spacing w:val="-15"/>
          <w:sz w:val="17"/>
        </w:rPr>
        <w:t> </w:t>
      </w:r>
      <w:r>
        <w:rPr>
          <w:rFonts w:ascii="Book Antiqua" w:hAnsi="Book Antiqua"/>
          <w:color w:val="231F20"/>
          <w:sz w:val="17"/>
        </w:rPr>
        <w:t>asset.</w:t>
      </w:r>
      <w:r>
        <w:rPr>
          <w:rFonts w:ascii="Book Antiqua" w:hAnsi="Book Antiqua"/>
          <w:color w:val="231F20"/>
          <w:spacing w:val="-15"/>
          <w:sz w:val="17"/>
        </w:rPr>
        <w:t> </w:t>
      </w:r>
      <w:r>
        <w:rPr>
          <w:rFonts w:ascii="Book Antiqua" w:hAnsi="Book Antiqua"/>
          <w:color w:val="231F20"/>
          <w:sz w:val="17"/>
        </w:rPr>
        <w:t>It</w:t>
      </w:r>
      <w:r>
        <w:rPr>
          <w:rFonts w:ascii="Book Antiqua" w:hAnsi="Book Antiqua"/>
          <w:color w:val="231F20"/>
          <w:spacing w:val="-19"/>
          <w:sz w:val="17"/>
        </w:rPr>
        <w:t> </w:t>
      </w:r>
      <w:r>
        <w:rPr>
          <w:rFonts w:ascii="Book Antiqua" w:hAnsi="Book Antiqua"/>
          <w:color w:val="231F20"/>
          <w:sz w:val="17"/>
        </w:rPr>
        <w:t>is</w:t>
      </w:r>
      <w:r>
        <w:rPr>
          <w:rFonts w:ascii="Book Antiqua" w:hAnsi="Book Antiqua"/>
          <w:color w:val="231F20"/>
          <w:spacing w:val="-15"/>
          <w:sz w:val="17"/>
        </w:rPr>
        <w:t> </w:t>
      </w:r>
      <w:r>
        <w:rPr>
          <w:rFonts w:ascii="Book Antiqua" w:hAnsi="Book Antiqua"/>
          <w:color w:val="231F20"/>
          <w:sz w:val="17"/>
        </w:rPr>
        <w:t>their</w:t>
      </w:r>
      <w:r>
        <w:rPr>
          <w:rFonts w:ascii="Book Antiqua" w:hAnsi="Book Antiqua"/>
          <w:color w:val="231F20"/>
          <w:spacing w:val="-20"/>
          <w:sz w:val="17"/>
        </w:rPr>
        <w:t> </w:t>
      </w:r>
      <w:r>
        <w:rPr>
          <w:rFonts w:ascii="Book Antiqua" w:hAnsi="Book Antiqua"/>
          <w:color w:val="231F20"/>
          <w:sz w:val="17"/>
        </w:rPr>
        <w:t>friendliness,</w:t>
      </w:r>
      <w:r>
        <w:rPr>
          <w:rFonts w:ascii="Book Antiqua" w:hAnsi="Book Antiqua"/>
          <w:color w:val="231F20"/>
          <w:spacing w:val="-18"/>
          <w:sz w:val="17"/>
        </w:rPr>
        <w:t> </w:t>
      </w:r>
      <w:r>
        <w:rPr>
          <w:rFonts w:ascii="Book Antiqua" w:hAnsi="Book Antiqua"/>
          <w:color w:val="231F20"/>
          <w:sz w:val="17"/>
        </w:rPr>
        <w:t>Customer caring,</w:t>
      </w:r>
      <w:r>
        <w:rPr>
          <w:rFonts w:ascii="Book Antiqua" w:hAnsi="Book Antiqua"/>
          <w:color w:val="231F20"/>
          <w:spacing w:val="-28"/>
          <w:sz w:val="17"/>
        </w:rPr>
        <w:t> </w:t>
      </w:r>
      <w:r>
        <w:rPr>
          <w:rFonts w:ascii="Book Antiqua" w:hAnsi="Book Antiqua"/>
          <w:color w:val="231F20"/>
          <w:sz w:val="17"/>
        </w:rPr>
        <w:t>and</w:t>
      </w:r>
      <w:r>
        <w:rPr>
          <w:rFonts w:ascii="Book Antiqua" w:hAnsi="Book Antiqua"/>
          <w:color w:val="231F20"/>
          <w:spacing w:val="-27"/>
          <w:sz w:val="17"/>
        </w:rPr>
        <w:t> </w:t>
      </w:r>
      <w:r>
        <w:rPr>
          <w:rFonts w:ascii="Book Antiqua" w:hAnsi="Book Antiqua"/>
          <w:color w:val="231F20"/>
          <w:sz w:val="17"/>
        </w:rPr>
        <w:t>relentless</w:t>
      </w:r>
      <w:r>
        <w:rPr>
          <w:rFonts w:ascii="Book Antiqua" w:hAnsi="Book Antiqua"/>
          <w:color w:val="231F20"/>
          <w:spacing w:val="-27"/>
          <w:sz w:val="17"/>
        </w:rPr>
        <w:t> </w:t>
      </w:r>
      <w:r>
        <w:rPr>
          <w:rFonts w:ascii="Book Antiqua" w:hAnsi="Book Antiqua"/>
          <w:color w:val="231F20"/>
          <w:sz w:val="17"/>
        </w:rPr>
        <w:t>resourcefulness</w:t>
      </w:r>
      <w:r>
        <w:rPr>
          <w:rFonts w:ascii="Book Antiqua" w:hAnsi="Book Antiqua"/>
          <w:color w:val="231F20"/>
          <w:spacing w:val="-27"/>
          <w:sz w:val="17"/>
        </w:rPr>
        <w:t> </w:t>
      </w:r>
      <w:r>
        <w:rPr>
          <w:rFonts w:ascii="Book Antiqua" w:hAnsi="Book Antiqua"/>
          <w:color w:val="231F20"/>
          <w:sz w:val="17"/>
        </w:rPr>
        <w:t>that</w:t>
      </w:r>
      <w:r>
        <w:rPr>
          <w:rFonts w:ascii="Book Antiqua" w:hAnsi="Book Antiqua"/>
          <w:color w:val="231F20"/>
          <w:spacing w:val="-29"/>
          <w:sz w:val="17"/>
        </w:rPr>
        <w:t> </w:t>
      </w:r>
      <w:r>
        <w:rPr>
          <w:rFonts w:ascii="Book Antiqua" w:hAnsi="Book Antiqua"/>
          <w:color w:val="231F20"/>
          <w:sz w:val="17"/>
        </w:rPr>
        <w:t>have</w:t>
      </w:r>
      <w:r>
        <w:rPr>
          <w:rFonts w:ascii="Book Antiqua" w:hAnsi="Book Antiqua"/>
          <w:color w:val="231F20"/>
          <w:spacing w:val="-27"/>
          <w:sz w:val="17"/>
        </w:rPr>
        <w:t> </w:t>
      </w:r>
      <w:r>
        <w:rPr>
          <w:rFonts w:ascii="Book Antiqua" w:hAnsi="Book Antiqua"/>
          <w:color w:val="231F20"/>
          <w:sz w:val="17"/>
        </w:rPr>
        <w:t>helped</w:t>
      </w:r>
      <w:r>
        <w:rPr>
          <w:rFonts w:ascii="Book Antiqua" w:hAnsi="Book Antiqua"/>
          <w:color w:val="231F20"/>
          <w:spacing w:val="-27"/>
          <w:sz w:val="17"/>
        </w:rPr>
        <w:t> </w:t>
      </w:r>
      <w:r>
        <w:rPr>
          <w:rFonts w:ascii="Book Antiqua" w:hAnsi="Book Antiqua"/>
          <w:color w:val="231F20"/>
          <w:sz w:val="17"/>
        </w:rPr>
        <w:t>make</w:t>
      </w:r>
      <w:r>
        <w:rPr>
          <w:rFonts w:ascii="Book Antiqua" w:hAnsi="Book Antiqua"/>
          <w:color w:val="231F20"/>
          <w:spacing w:val="-27"/>
          <w:sz w:val="17"/>
        </w:rPr>
        <w:t> </w:t>
      </w:r>
      <w:r>
        <w:rPr>
          <w:rFonts w:ascii="Book Antiqua" w:hAnsi="Book Antiqua"/>
          <w:color w:val="231F20"/>
          <w:sz w:val="17"/>
        </w:rPr>
        <w:t>Southwest</w:t>
      </w:r>
      <w:r>
        <w:rPr>
          <w:rFonts w:ascii="Book Antiqua" w:hAnsi="Book Antiqua"/>
          <w:color w:val="231F20"/>
          <w:spacing w:val="-29"/>
          <w:sz w:val="17"/>
        </w:rPr>
        <w:t> </w:t>
      </w:r>
      <w:r>
        <w:rPr>
          <w:rFonts w:ascii="Book Antiqua" w:hAnsi="Book Antiqua"/>
          <w:color w:val="231F20"/>
          <w:sz w:val="17"/>
        </w:rPr>
        <w:t>one</w:t>
      </w:r>
      <w:r>
        <w:rPr>
          <w:rFonts w:ascii="Book Antiqua" w:hAnsi="Book Antiqua"/>
          <w:color w:val="231F20"/>
          <w:spacing w:val="-27"/>
          <w:sz w:val="17"/>
        </w:rPr>
        <w:t> </w:t>
      </w:r>
      <w:r>
        <w:rPr>
          <w:rFonts w:ascii="Book Antiqua" w:hAnsi="Book Antiqua"/>
          <w:color w:val="231F20"/>
          <w:sz w:val="17"/>
        </w:rPr>
        <w:t>of</w:t>
      </w:r>
      <w:r>
        <w:rPr>
          <w:rFonts w:ascii="Book Antiqua" w:hAnsi="Book Antiqua"/>
          <w:color w:val="231F20"/>
          <w:spacing w:val="-27"/>
          <w:sz w:val="17"/>
        </w:rPr>
        <w:t> </w:t>
      </w:r>
      <w:r>
        <w:rPr>
          <w:rFonts w:ascii="Book Antiqua" w:hAnsi="Book Antiqua"/>
          <w:color w:val="231F20"/>
          <w:sz w:val="17"/>
        </w:rPr>
        <w:t>the</w:t>
      </w:r>
      <w:r>
        <w:rPr>
          <w:rFonts w:ascii="Book Antiqua" w:hAnsi="Book Antiqua"/>
          <w:color w:val="231F20"/>
          <w:spacing w:val="-28"/>
          <w:sz w:val="17"/>
        </w:rPr>
        <w:t> </w:t>
      </w:r>
      <w:r>
        <w:rPr>
          <w:rFonts w:ascii="Book Antiqua" w:hAnsi="Book Antiqua"/>
          <w:color w:val="231F20"/>
          <w:sz w:val="17"/>
        </w:rPr>
        <w:t>world’s</w:t>
      </w:r>
      <w:r>
        <w:rPr>
          <w:rFonts w:ascii="Book Antiqua" w:hAnsi="Book Antiqua"/>
          <w:color w:val="231F20"/>
          <w:spacing w:val="-27"/>
          <w:sz w:val="17"/>
        </w:rPr>
        <w:t> </w:t>
      </w:r>
      <w:r>
        <w:rPr>
          <w:rFonts w:ascii="Book Antiqua" w:hAnsi="Book Antiqua"/>
          <w:color w:val="231F20"/>
          <w:sz w:val="17"/>
        </w:rPr>
        <w:t>most </w:t>
      </w:r>
      <w:r>
        <w:rPr>
          <w:rFonts w:ascii="Book Antiqua" w:hAnsi="Book Antiqua"/>
          <w:color w:val="231F20"/>
          <w:spacing w:val="4"/>
          <w:sz w:val="17"/>
        </w:rPr>
        <w:t>successful</w:t>
      </w:r>
      <w:r>
        <w:rPr>
          <w:rFonts w:ascii="Book Antiqua" w:hAnsi="Book Antiqua"/>
          <w:color w:val="231F20"/>
          <w:spacing w:val="-14"/>
          <w:sz w:val="17"/>
        </w:rPr>
        <w:t> </w:t>
      </w:r>
      <w:r>
        <w:rPr>
          <w:rFonts w:ascii="Book Antiqua" w:hAnsi="Book Antiqua"/>
          <w:color w:val="231F20"/>
          <w:spacing w:val="4"/>
          <w:sz w:val="17"/>
        </w:rPr>
        <w:t>airlines.</w:t>
      </w:r>
      <w:r>
        <w:rPr>
          <w:rFonts w:ascii="Book Antiqua" w:hAnsi="Book Antiqua"/>
          <w:color w:val="231F20"/>
          <w:spacing w:val="-20"/>
          <w:sz w:val="17"/>
        </w:rPr>
        <w:t> </w:t>
      </w:r>
      <w:r>
        <w:rPr>
          <w:rFonts w:ascii="Book Antiqua" w:hAnsi="Book Antiqua"/>
          <w:color w:val="231F20"/>
          <w:spacing w:val="-5"/>
          <w:sz w:val="17"/>
        </w:rPr>
        <w:t>We</w:t>
      </w:r>
      <w:r>
        <w:rPr>
          <w:rFonts w:ascii="Book Antiqua" w:hAnsi="Book Antiqua"/>
          <w:color w:val="231F20"/>
          <w:spacing w:val="-14"/>
          <w:sz w:val="17"/>
        </w:rPr>
        <w:t> </w:t>
      </w:r>
      <w:r>
        <w:rPr>
          <w:rFonts w:ascii="Book Antiqua" w:hAnsi="Book Antiqua"/>
          <w:color w:val="231F20"/>
          <w:spacing w:val="3"/>
          <w:sz w:val="17"/>
        </w:rPr>
        <w:t>are</w:t>
      </w:r>
      <w:r>
        <w:rPr>
          <w:rFonts w:ascii="Book Antiqua" w:hAnsi="Book Antiqua"/>
          <w:color w:val="231F20"/>
          <w:spacing w:val="-14"/>
          <w:sz w:val="17"/>
        </w:rPr>
        <w:t> </w:t>
      </w:r>
      <w:r>
        <w:rPr>
          <w:rFonts w:ascii="Book Antiqua" w:hAnsi="Book Antiqua"/>
          <w:color w:val="231F20"/>
          <w:spacing w:val="3"/>
          <w:sz w:val="17"/>
        </w:rPr>
        <w:t>not</w:t>
      </w:r>
      <w:r>
        <w:rPr>
          <w:rFonts w:ascii="Book Antiqua" w:hAnsi="Book Antiqua"/>
          <w:color w:val="231F20"/>
          <w:spacing w:val="-18"/>
          <w:sz w:val="17"/>
        </w:rPr>
        <w:t> </w:t>
      </w:r>
      <w:r>
        <w:rPr>
          <w:rFonts w:ascii="Book Antiqua" w:hAnsi="Book Antiqua"/>
          <w:color w:val="231F20"/>
          <w:sz w:val="17"/>
        </w:rPr>
        <w:t>a</w:t>
      </w:r>
      <w:r>
        <w:rPr>
          <w:rFonts w:ascii="Book Antiqua" w:hAnsi="Book Antiqua"/>
          <w:color w:val="231F20"/>
          <w:spacing w:val="-14"/>
          <w:sz w:val="17"/>
        </w:rPr>
        <w:t> </w:t>
      </w:r>
      <w:r>
        <w:rPr>
          <w:rFonts w:ascii="Book Antiqua" w:hAnsi="Book Antiqua"/>
          <w:color w:val="231F20"/>
          <w:spacing w:val="3"/>
          <w:sz w:val="17"/>
        </w:rPr>
        <w:t>Company</w:t>
      </w:r>
      <w:r>
        <w:rPr>
          <w:rFonts w:ascii="Book Antiqua" w:hAnsi="Book Antiqua"/>
          <w:color w:val="231F20"/>
          <w:spacing w:val="-19"/>
          <w:sz w:val="17"/>
        </w:rPr>
        <w:t> </w:t>
      </w:r>
      <w:r>
        <w:rPr>
          <w:rFonts w:ascii="Book Antiqua" w:hAnsi="Book Antiqua"/>
          <w:color w:val="231F20"/>
          <w:spacing w:val="2"/>
          <w:sz w:val="17"/>
        </w:rPr>
        <w:t>of</w:t>
      </w:r>
      <w:r>
        <w:rPr>
          <w:rFonts w:ascii="Book Antiqua" w:hAnsi="Book Antiqua"/>
          <w:color w:val="231F20"/>
          <w:spacing w:val="-14"/>
          <w:sz w:val="17"/>
        </w:rPr>
        <w:t> </w:t>
      </w:r>
      <w:r>
        <w:rPr>
          <w:rFonts w:ascii="Book Antiqua" w:hAnsi="Book Antiqua"/>
          <w:color w:val="231F20"/>
          <w:spacing w:val="4"/>
          <w:sz w:val="17"/>
        </w:rPr>
        <w:t>planes;</w:t>
      </w:r>
      <w:r>
        <w:rPr>
          <w:rFonts w:ascii="Book Antiqua" w:hAnsi="Book Antiqua"/>
          <w:color w:val="231F20"/>
          <w:spacing w:val="-17"/>
          <w:sz w:val="17"/>
        </w:rPr>
        <w:t> </w:t>
      </w:r>
      <w:r>
        <w:rPr>
          <w:rFonts w:ascii="Book Antiqua" w:hAnsi="Book Antiqua"/>
          <w:color w:val="231F20"/>
          <w:sz w:val="17"/>
        </w:rPr>
        <w:t>we</w:t>
      </w:r>
      <w:r>
        <w:rPr>
          <w:rFonts w:ascii="Book Antiqua" w:hAnsi="Book Antiqua"/>
          <w:color w:val="231F20"/>
          <w:spacing w:val="-14"/>
          <w:sz w:val="17"/>
        </w:rPr>
        <w:t> </w:t>
      </w:r>
      <w:r>
        <w:rPr>
          <w:rFonts w:ascii="Book Antiqua" w:hAnsi="Book Antiqua"/>
          <w:color w:val="231F20"/>
          <w:spacing w:val="3"/>
          <w:sz w:val="17"/>
        </w:rPr>
        <w:t>are</w:t>
      </w:r>
      <w:r>
        <w:rPr>
          <w:rFonts w:ascii="Book Antiqua" w:hAnsi="Book Antiqua"/>
          <w:color w:val="231F20"/>
          <w:spacing w:val="-14"/>
          <w:sz w:val="17"/>
        </w:rPr>
        <w:t> </w:t>
      </w:r>
      <w:r>
        <w:rPr>
          <w:rFonts w:ascii="Book Antiqua" w:hAnsi="Book Antiqua"/>
          <w:color w:val="231F20"/>
          <w:sz w:val="17"/>
        </w:rPr>
        <w:t>a</w:t>
      </w:r>
      <w:r>
        <w:rPr>
          <w:rFonts w:ascii="Book Antiqua" w:hAnsi="Book Antiqua"/>
          <w:color w:val="231F20"/>
          <w:spacing w:val="-14"/>
          <w:sz w:val="17"/>
        </w:rPr>
        <w:t> </w:t>
      </w:r>
      <w:r>
        <w:rPr>
          <w:rFonts w:ascii="Book Antiqua" w:hAnsi="Book Antiqua"/>
          <w:color w:val="231F20"/>
          <w:spacing w:val="3"/>
          <w:sz w:val="17"/>
        </w:rPr>
        <w:t>Company</w:t>
      </w:r>
      <w:r>
        <w:rPr>
          <w:rFonts w:ascii="Book Antiqua" w:hAnsi="Book Antiqua"/>
          <w:color w:val="231F20"/>
          <w:spacing w:val="-19"/>
          <w:sz w:val="17"/>
        </w:rPr>
        <w:t> </w:t>
      </w:r>
      <w:r>
        <w:rPr>
          <w:rFonts w:ascii="Book Antiqua" w:hAnsi="Book Antiqua"/>
          <w:color w:val="231F20"/>
          <w:spacing w:val="2"/>
          <w:sz w:val="17"/>
        </w:rPr>
        <w:t>of</w:t>
      </w:r>
      <w:r>
        <w:rPr>
          <w:rFonts w:ascii="Book Antiqua" w:hAnsi="Book Antiqua"/>
          <w:color w:val="231F20"/>
          <w:spacing w:val="-14"/>
          <w:sz w:val="17"/>
        </w:rPr>
        <w:t> </w:t>
      </w:r>
      <w:r>
        <w:rPr>
          <w:rFonts w:ascii="Book Antiqua" w:hAnsi="Book Antiqua"/>
          <w:color w:val="231F20"/>
          <w:spacing w:val="3"/>
          <w:sz w:val="17"/>
        </w:rPr>
        <w:t>People</w:t>
      </w:r>
      <w:r>
        <w:rPr>
          <w:rFonts w:ascii="Book Antiqua" w:hAnsi="Book Antiqua"/>
          <w:color w:val="231F20"/>
          <w:spacing w:val="-14"/>
          <w:sz w:val="17"/>
        </w:rPr>
        <w:t> </w:t>
      </w:r>
      <w:r>
        <w:rPr>
          <w:rFonts w:ascii="Book Antiqua" w:hAnsi="Book Antiqua"/>
          <w:color w:val="231F20"/>
          <w:sz w:val="17"/>
        </w:rPr>
        <w:t>—</w:t>
      </w:r>
      <w:r>
        <w:rPr>
          <w:rFonts w:ascii="Book Antiqua" w:hAnsi="Book Antiqua"/>
          <w:color w:val="231F20"/>
          <w:spacing w:val="-14"/>
          <w:sz w:val="17"/>
        </w:rPr>
        <w:t> </w:t>
      </w:r>
      <w:r>
        <w:rPr>
          <w:rFonts w:ascii="Book Antiqua" w:hAnsi="Book Antiqua"/>
          <w:color w:val="231F20"/>
          <w:spacing w:val="4"/>
          <w:sz w:val="17"/>
        </w:rPr>
        <w:t>People </w:t>
      </w:r>
      <w:r>
        <w:rPr>
          <w:rFonts w:ascii="Book Antiqua" w:hAnsi="Book Antiqua"/>
          <w:color w:val="231F20"/>
          <w:sz w:val="17"/>
        </w:rPr>
        <w:t>willing</w:t>
      </w:r>
      <w:r>
        <w:rPr>
          <w:rFonts w:ascii="Book Antiqua" w:hAnsi="Book Antiqua"/>
          <w:color w:val="231F20"/>
          <w:spacing w:val="-14"/>
          <w:sz w:val="17"/>
        </w:rPr>
        <w:t> </w:t>
      </w:r>
      <w:r>
        <w:rPr>
          <w:rFonts w:ascii="Book Antiqua" w:hAnsi="Book Antiqua"/>
          <w:color w:val="231F20"/>
          <w:sz w:val="17"/>
        </w:rPr>
        <w:t>to</w:t>
      </w:r>
      <w:r>
        <w:rPr>
          <w:rFonts w:ascii="Book Antiqua" w:hAnsi="Book Antiqua"/>
          <w:color w:val="231F20"/>
          <w:spacing w:val="-14"/>
          <w:sz w:val="17"/>
        </w:rPr>
        <w:t> </w:t>
      </w:r>
      <w:r>
        <w:rPr>
          <w:rFonts w:ascii="Book Antiqua" w:hAnsi="Book Antiqua"/>
          <w:color w:val="231F20"/>
          <w:spacing w:val="3"/>
          <w:sz w:val="17"/>
        </w:rPr>
        <w:t>fight</w:t>
      </w:r>
      <w:r>
        <w:rPr>
          <w:rFonts w:ascii="Book Antiqua" w:hAnsi="Book Antiqua"/>
          <w:color w:val="231F20"/>
          <w:spacing w:val="-18"/>
          <w:sz w:val="17"/>
        </w:rPr>
        <w:t> </w:t>
      </w:r>
      <w:r>
        <w:rPr>
          <w:rFonts w:ascii="Book Antiqua" w:hAnsi="Book Antiqua"/>
          <w:color w:val="231F20"/>
          <w:sz w:val="17"/>
        </w:rPr>
        <w:t>for</w:t>
      </w:r>
      <w:r>
        <w:rPr>
          <w:rFonts w:ascii="Book Antiqua" w:hAnsi="Book Antiqua"/>
          <w:color w:val="231F20"/>
          <w:spacing w:val="-24"/>
          <w:sz w:val="17"/>
        </w:rPr>
        <w:t> </w:t>
      </w:r>
      <w:r>
        <w:rPr>
          <w:rFonts w:ascii="Book Antiqua" w:hAnsi="Book Antiqua"/>
          <w:color w:val="231F20"/>
          <w:sz w:val="17"/>
        </w:rPr>
        <w:t>your</w:t>
      </w:r>
      <w:r>
        <w:rPr>
          <w:rFonts w:ascii="Book Antiqua" w:hAnsi="Book Antiqua"/>
          <w:color w:val="231F20"/>
          <w:spacing w:val="-19"/>
          <w:sz w:val="17"/>
        </w:rPr>
        <w:t> </w:t>
      </w:r>
      <w:r>
        <w:rPr>
          <w:rFonts w:ascii="Book Antiqua" w:hAnsi="Book Antiqua"/>
          <w:color w:val="231F20"/>
          <w:sz w:val="17"/>
        </w:rPr>
        <w:t>right</w:t>
      </w:r>
      <w:r>
        <w:rPr>
          <w:rFonts w:ascii="Book Antiqua" w:hAnsi="Book Antiqua"/>
          <w:color w:val="231F20"/>
          <w:spacing w:val="-18"/>
          <w:sz w:val="17"/>
        </w:rPr>
        <w:t> </w:t>
      </w:r>
      <w:r>
        <w:rPr>
          <w:rFonts w:ascii="Book Antiqua" w:hAnsi="Book Antiqua"/>
          <w:color w:val="231F20"/>
          <w:sz w:val="17"/>
        </w:rPr>
        <w:t>to</w:t>
      </w:r>
      <w:r>
        <w:rPr>
          <w:rFonts w:ascii="Book Antiqua" w:hAnsi="Book Antiqua"/>
          <w:color w:val="231F20"/>
          <w:spacing w:val="-14"/>
          <w:sz w:val="17"/>
        </w:rPr>
        <w:t> </w:t>
      </w:r>
      <w:r>
        <w:rPr>
          <w:rFonts w:ascii="Book Antiqua" w:hAnsi="Book Antiqua"/>
          <w:color w:val="231F20"/>
          <w:sz w:val="17"/>
        </w:rPr>
        <w:t>f</w:t>
      </w:r>
      <w:r>
        <w:rPr>
          <w:rFonts w:ascii="Book Antiqua" w:hAnsi="Book Antiqua"/>
          <w:color w:val="231F20"/>
          <w:spacing w:val="-34"/>
          <w:sz w:val="17"/>
        </w:rPr>
        <w:t> </w:t>
      </w:r>
      <w:r>
        <w:rPr>
          <w:rFonts w:ascii="Book Antiqua" w:hAnsi="Book Antiqua"/>
          <w:color w:val="231F20"/>
          <w:spacing w:val="-3"/>
          <w:sz w:val="17"/>
        </w:rPr>
        <w:t>ly.</w:t>
      </w:r>
    </w:p>
    <w:p>
      <w:pPr>
        <w:spacing w:after="0" w:line="319" w:lineRule="auto"/>
        <w:jc w:val="both"/>
        <w:rPr>
          <w:rFonts w:ascii="Book Antiqua" w:hAnsi="Book Antiqua"/>
          <w:sz w:val="17"/>
        </w:rPr>
        <w:sectPr>
          <w:pgSz w:w="12240" w:h="15840"/>
          <w:pgMar w:top="280" w:bottom="280" w:left="320" w:right="800"/>
        </w:sectPr>
      </w:pPr>
    </w:p>
    <w:p>
      <w:pPr>
        <w:tabs>
          <w:tab w:pos="2877" w:val="right" w:leader="none"/>
        </w:tabs>
        <w:spacing w:before="71"/>
        <w:ind w:left="0" w:right="110" w:firstLine="0"/>
        <w:jc w:val="right"/>
        <w:rPr>
          <w:rFonts w:ascii="Arial"/>
          <w:sz w:val="14"/>
        </w:rPr>
      </w:pPr>
      <w:r>
        <w:rPr/>
        <w:pict>
          <v:line style="position:absolute;mso-position-horizontal-relative:page;mso-position-vertical-relative:paragraph;z-index:-234064" from="575.045227pt,.704712pt" to="575.045227pt,18.704712pt" stroked="true" strokeweight=".5pt" strokecolor="#231f20">
            <v:stroke dashstyle="solid"/>
            <w10:wrap type="none"/>
          </v:line>
        </w:pict>
      </w:r>
      <w:r>
        <w:rPr/>
        <w:drawing>
          <wp:anchor distT="0" distB="0" distL="0" distR="0" allowOverlap="1" layoutInCell="1" locked="0" behindDoc="0" simplePos="0" relativeHeight="4360">
            <wp:simplePos x="0" y="0"/>
            <wp:positionH relativeFrom="page">
              <wp:posOffset>5233765</wp:posOffset>
            </wp:positionH>
            <wp:positionV relativeFrom="paragraph">
              <wp:posOffset>24801</wp:posOffset>
            </wp:positionV>
            <wp:extent cx="370521" cy="153417"/>
            <wp:effectExtent l="0" t="0" r="0" b="0"/>
            <wp:wrapNone/>
            <wp:docPr id="71" name="image2.png" descr=""/>
            <wp:cNvGraphicFramePr>
              <a:graphicFrameLocks noChangeAspect="1"/>
            </wp:cNvGraphicFramePr>
            <a:graphic>
              <a:graphicData uri="http://schemas.openxmlformats.org/drawingml/2006/picture">
                <pic:pic>
                  <pic:nvPicPr>
                    <pic:cNvPr id="72" name="image2.png"/>
                    <pic:cNvPicPr/>
                  </pic:nvPicPr>
                  <pic:blipFill>
                    <a:blip r:embed="rId6" cstate="print"/>
                    <a:stretch>
                      <a:fillRect/>
                    </a:stretch>
                  </pic:blipFill>
                  <pic:spPr>
                    <a:xfrm>
                      <a:off x="0" y="0"/>
                      <a:ext cx="370521" cy="153417"/>
                    </a:xfrm>
                    <a:prstGeom prst="rect">
                      <a:avLst/>
                    </a:prstGeom>
                  </pic:spPr>
                </pic:pic>
              </a:graphicData>
            </a:graphic>
          </wp:anchor>
        </w:drawing>
      </w:r>
      <w:bookmarkStart w:name="Airport Automation" w:id="12"/>
      <w:bookmarkEnd w:id="12"/>
      <w:r>
        <w:rPr/>
      </w:r>
      <w:bookmarkStart w:name="All-Jet Fleet" w:id="13"/>
      <w:bookmarkEnd w:id="13"/>
      <w:r>
        <w:rPr/>
      </w:r>
      <w:r>
        <w:rPr>
          <w:rFonts w:ascii="Arial"/>
          <w:color w:val="231F20"/>
          <w:spacing w:val="9"/>
          <w:w w:val="95"/>
          <w:position w:val="1"/>
          <w:sz w:val="12"/>
        </w:rPr>
        <w:t>Southwest</w:t>
      </w:r>
      <w:r>
        <w:rPr>
          <w:rFonts w:ascii="Arial"/>
          <w:color w:val="231F20"/>
          <w:spacing w:val="-3"/>
          <w:w w:val="95"/>
          <w:position w:val="1"/>
          <w:sz w:val="12"/>
        </w:rPr>
        <w:t> </w:t>
      </w:r>
      <w:r>
        <w:rPr>
          <w:rFonts w:ascii="Arial"/>
          <w:color w:val="231F20"/>
          <w:spacing w:val="9"/>
          <w:w w:val="95"/>
          <w:position w:val="1"/>
          <w:sz w:val="12"/>
        </w:rPr>
        <w:t>Airlines</w:t>
      </w:r>
      <w:r>
        <w:rPr>
          <w:rFonts w:ascii="Arial"/>
          <w:color w:val="231F20"/>
          <w:spacing w:val="-1"/>
          <w:w w:val="95"/>
          <w:position w:val="1"/>
          <w:sz w:val="12"/>
        </w:rPr>
        <w:t> </w:t>
      </w:r>
      <w:r>
        <w:rPr>
          <w:rFonts w:ascii="Arial"/>
          <w:color w:val="231F20"/>
          <w:spacing w:val="7"/>
          <w:w w:val="95"/>
          <w:position w:val="1"/>
          <w:sz w:val="12"/>
        </w:rPr>
        <w:t>Co.</w:t>
      </w:r>
      <w:r>
        <w:rPr>
          <w:rFonts w:ascii="Arial"/>
          <w:color w:val="231F20"/>
          <w:spacing w:val="-3"/>
          <w:w w:val="95"/>
          <w:position w:val="1"/>
          <w:sz w:val="12"/>
        </w:rPr>
        <w:t> </w:t>
      </w:r>
      <w:r>
        <w:rPr>
          <w:rFonts w:ascii="Arial"/>
          <w:color w:val="231F20"/>
          <w:spacing w:val="8"/>
          <w:w w:val="95"/>
          <w:position w:val="1"/>
          <w:sz w:val="12"/>
        </w:rPr>
        <w:t>2003</w:t>
      </w:r>
      <w:r>
        <w:rPr>
          <w:rFonts w:ascii="Arial"/>
          <w:color w:val="231F20"/>
          <w:spacing w:val="-3"/>
          <w:w w:val="95"/>
          <w:position w:val="1"/>
          <w:sz w:val="12"/>
        </w:rPr>
        <w:t> </w:t>
      </w:r>
      <w:r>
        <w:rPr>
          <w:rFonts w:ascii="Arial"/>
          <w:color w:val="231F20"/>
          <w:spacing w:val="9"/>
          <w:w w:val="95"/>
          <w:position w:val="1"/>
          <w:sz w:val="12"/>
        </w:rPr>
        <w:t>Annual</w:t>
      </w:r>
      <w:r>
        <w:rPr>
          <w:rFonts w:ascii="Arial"/>
          <w:color w:val="231F20"/>
          <w:spacing w:val="-1"/>
          <w:w w:val="95"/>
          <w:position w:val="1"/>
          <w:sz w:val="12"/>
        </w:rPr>
        <w:t> </w:t>
      </w:r>
      <w:r>
        <w:rPr>
          <w:rFonts w:ascii="Arial"/>
          <w:color w:val="231F20"/>
          <w:spacing w:val="11"/>
          <w:w w:val="95"/>
          <w:position w:val="1"/>
          <w:sz w:val="12"/>
        </w:rPr>
        <w:t>Report</w:t>
      </w:r>
      <w:r>
        <w:rPr>
          <w:rFonts w:ascii="Arial"/>
          <w:color w:val="231F20"/>
          <w:spacing w:val="11"/>
          <w:w w:val="95"/>
          <w:sz w:val="14"/>
        </w:rPr>
        <w:tab/>
      </w:r>
      <w:r>
        <w:rPr>
          <w:rFonts w:ascii="Arial"/>
          <w:color w:val="231F20"/>
          <w:w w:val="95"/>
          <w:sz w:val="14"/>
        </w:rPr>
        <w:t>11</w:t>
      </w:r>
    </w:p>
    <w:p>
      <w:pPr>
        <w:spacing w:after="0"/>
        <w:jc w:val="right"/>
        <w:rPr>
          <w:rFonts w:ascii="Arial"/>
          <w:sz w:val="14"/>
        </w:rPr>
        <w:sectPr>
          <w:pgSz w:w="12240" w:h="15840"/>
          <w:pgMar w:top="280" w:bottom="280" w:left="780" w:right="340"/>
        </w:sectPr>
      </w:pPr>
    </w:p>
    <w:p>
      <w:pPr>
        <w:pStyle w:val="BodyText"/>
        <w:rPr>
          <w:rFonts w:ascii="Arial"/>
          <w:sz w:val="20"/>
        </w:rPr>
      </w:pPr>
    </w:p>
    <w:p>
      <w:pPr>
        <w:pStyle w:val="BodyText"/>
        <w:rPr>
          <w:rFonts w:ascii="Arial"/>
          <w:sz w:val="20"/>
        </w:rPr>
      </w:pPr>
    </w:p>
    <w:p>
      <w:pPr>
        <w:pStyle w:val="BodyText"/>
        <w:rPr>
          <w:rFonts w:ascii="Arial"/>
          <w:sz w:val="20"/>
        </w:rPr>
      </w:pPr>
    </w:p>
    <w:p>
      <w:pPr>
        <w:spacing w:line="319" w:lineRule="auto" w:before="123"/>
        <w:ind w:left="120" w:right="4" w:firstLine="0"/>
        <w:jc w:val="both"/>
        <w:rPr>
          <w:rFonts w:ascii="Book Antiqua"/>
          <w:sz w:val="17"/>
        </w:rPr>
      </w:pPr>
      <w:r>
        <w:rPr>
          <w:rFonts w:ascii="Book Antiqua"/>
          <w:color w:val="231F20"/>
          <w:spacing w:val="4"/>
          <w:sz w:val="17"/>
        </w:rPr>
        <w:t>service </w:t>
      </w:r>
      <w:r>
        <w:rPr>
          <w:rFonts w:ascii="Book Antiqua"/>
          <w:color w:val="231F20"/>
          <w:spacing w:val="2"/>
          <w:sz w:val="17"/>
        </w:rPr>
        <w:t>in many </w:t>
      </w:r>
      <w:r>
        <w:rPr>
          <w:rFonts w:ascii="Book Antiqua"/>
          <w:color w:val="231F20"/>
          <w:spacing w:val="3"/>
          <w:sz w:val="17"/>
        </w:rPr>
        <w:t>markets, </w:t>
      </w:r>
      <w:r>
        <w:rPr>
          <w:rFonts w:ascii="Book Antiqua"/>
          <w:color w:val="231F20"/>
          <w:spacing w:val="4"/>
          <w:sz w:val="17"/>
        </w:rPr>
        <w:t>particularly </w:t>
      </w:r>
      <w:r>
        <w:rPr>
          <w:rFonts w:ascii="Book Antiqua"/>
          <w:color w:val="231F20"/>
          <w:spacing w:val="2"/>
          <w:sz w:val="17"/>
        </w:rPr>
        <w:t>in </w:t>
      </w:r>
      <w:r>
        <w:rPr>
          <w:rFonts w:ascii="Book Antiqua"/>
          <w:color w:val="231F20"/>
          <w:spacing w:val="4"/>
          <w:sz w:val="17"/>
        </w:rPr>
        <w:t>Baltimore/Washington and </w:t>
      </w:r>
      <w:r>
        <w:rPr>
          <w:rFonts w:ascii="Book Antiqua"/>
          <w:color w:val="231F20"/>
          <w:spacing w:val="5"/>
          <w:sz w:val="17"/>
        </w:rPr>
        <w:t>Chicago </w:t>
      </w:r>
      <w:r>
        <w:rPr>
          <w:rFonts w:ascii="Book Antiqua"/>
          <w:color w:val="231F20"/>
          <w:spacing w:val="3"/>
          <w:sz w:val="17"/>
        </w:rPr>
        <w:t>Midway. </w:t>
      </w:r>
      <w:r>
        <w:rPr>
          <w:rFonts w:ascii="Book Antiqua"/>
          <w:color w:val="231F20"/>
          <w:spacing w:val="-4"/>
          <w:sz w:val="17"/>
        </w:rPr>
        <w:t>We </w:t>
      </w:r>
      <w:r>
        <w:rPr>
          <w:rFonts w:ascii="Book Antiqua"/>
          <w:color w:val="231F20"/>
          <w:spacing w:val="5"/>
          <w:sz w:val="17"/>
        </w:rPr>
        <w:t>celebrated </w:t>
      </w:r>
      <w:r>
        <w:rPr>
          <w:rFonts w:ascii="Book Antiqua"/>
          <w:color w:val="231F20"/>
          <w:spacing w:val="4"/>
          <w:sz w:val="17"/>
        </w:rPr>
        <w:t>our tenth </w:t>
      </w:r>
      <w:r>
        <w:rPr>
          <w:rFonts w:ascii="Book Antiqua"/>
          <w:color w:val="231F20"/>
          <w:spacing w:val="5"/>
          <w:sz w:val="17"/>
        </w:rPr>
        <w:t>anniversary </w:t>
      </w:r>
      <w:r>
        <w:rPr>
          <w:rFonts w:ascii="Book Antiqua"/>
          <w:color w:val="231F20"/>
          <w:spacing w:val="6"/>
          <w:sz w:val="17"/>
        </w:rPr>
        <w:t>in </w:t>
      </w:r>
      <w:r>
        <w:rPr>
          <w:rFonts w:ascii="Book Antiqua"/>
          <w:color w:val="231F20"/>
          <w:spacing w:val="4"/>
          <w:sz w:val="17"/>
        </w:rPr>
        <w:t>Baltimore/Washington </w:t>
      </w:r>
      <w:r>
        <w:rPr>
          <w:rFonts w:ascii="Book Antiqua"/>
          <w:color w:val="231F20"/>
          <w:spacing w:val="2"/>
          <w:sz w:val="17"/>
        </w:rPr>
        <w:t>in </w:t>
      </w:r>
      <w:r>
        <w:rPr>
          <w:rFonts w:ascii="Book Antiqua"/>
          <w:color w:val="231F20"/>
          <w:spacing w:val="4"/>
          <w:sz w:val="17"/>
        </w:rPr>
        <w:t>2003, </w:t>
      </w:r>
      <w:r>
        <w:rPr>
          <w:rFonts w:ascii="Book Antiqua"/>
          <w:color w:val="231F20"/>
          <w:sz w:val="17"/>
        </w:rPr>
        <w:t>now </w:t>
      </w:r>
      <w:r>
        <w:rPr>
          <w:rFonts w:ascii="Book Antiqua"/>
          <w:color w:val="231F20"/>
          <w:spacing w:val="3"/>
          <w:sz w:val="17"/>
        </w:rPr>
        <w:t>our </w:t>
      </w:r>
      <w:r>
        <w:rPr>
          <w:rFonts w:ascii="Book Antiqua"/>
          <w:color w:val="231F20"/>
          <w:spacing w:val="4"/>
          <w:sz w:val="17"/>
        </w:rPr>
        <w:t>third largest </w:t>
      </w:r>
      <w:r>
        <w:rPr>
          <w:rFonts w:ascii="Book Antiqua"/>
          <w:color w:val="231F20"/>
          <w:spacing w:val="3"/>
          <w:sz w:val="17"/>
        </w:rPr>
        <w:t>market </w:t>
      </w:r>
      <w:r>
        <w:rPr>
          <w:rFonts w:ascii="Book Antiqua"/>
          <w:color w:val="231F20"/>
          <w:spacing w:val="5"/>
          <w:sz w:val="17"/>
        </w:rPr>
        <w:t>in </w:t>
      </w:r>
      <w:r>
        <w:rPr>
          <w:rFonts w:ascii="Book Antiqua"/>
          <w:color w:val="231F20"/>
          <w:spacing w:val="8"/>
          <w:sz w:val="17"/>
        </w:rPr>
        <w:t>terms</w:t>
      </w:r>
      <w:r>
        <w:rPr>
          <w:rFonts w:ascii="Book Antiqua"/>
          <w:color w:val="231F20"/>
          <w:sz w:val="17"/>
        </w:rPr>
        <w:t> </w:t>
      </w:r>
      <w:r>
        <w:rPr>
          <w:rFonts w:ascii="Book Antiqua"/>
          <w:color w:val="231F20"/>
          <w:spacing w:val="7"/>
          <w:sz w:val="17"/>
        </w:rPr>
        <w:t>of</w:t>
      </w:r>
      <w:r>
        <w:rPr>
          <w:rFonts w:ascii="Book Antiqua"/>
          <w:color w:val="231F20"/>
          <w:sz w:val="17"/>
        </w:rPr>
        <w:t> </w:t>
      </w:r>
      <w:r>
        <w:rPr>
          <w:rFonts w:ascii="Book Antiqua"/>
          <w:color w:val="231F20"/>
          <w:spacing w:val="4"/>
          <w:sz w:val="17"/>
        </w:rPr>
        <w:t>daily</w:t>
      </w:r>
      <w:r>
        <w:rPr>
          <w:rFonts w:ascii="Book Antiqua"/>
          <w:color w:val="231F20"/>
          <w:spacing w:val="-14"/>
          <w:sz w:val="17"/>
        </w:rPr>
        <w:t> </w:t>
      </w:r>
      <w:r>
        <w:rPr>
          <w:rFonts w:ascii="Book Antiqua"/>
          <w:color w:val="231F20"/>
          <w:spacing w:val="4"/>
          <w:sz w:val="17"/>
        </w:rPr>
        <w:t>departures.</w:t>
      </w:r>
      <w:r>
        <w:rPr>
          <w:rFonts w:ascii="Book Antiqua"/>
          <w:color w:val="231F20"/>
          <w:spacing w:val="-15"/>
          <w:sz w:val="17"/>
        </w:rPr>
        <w:t> </w:t>
      </w:r>
      <w:r>
        <w:rPr>
          <w:rFonts w:ascii="Book Antiqua"/>
          <w:color w:val="231F20"/>
          <w:spacing w:val="-5"/>
          <w:sz w:val="17"/>
        </w:rPr>
        <w:t>We</w:t>
      </w:r>
      <w:r>
        <w:rPr>
          <w:rFonts w:ascii="Book Antiqua"/>
          <w:color w:val="231F20"/>
          <w:spacing w:val="-13"/>
          <w:sz w:val="17"/>
        </w:rPr>
        <w:t> </w:t>
      </w:r>
      <w:r>
        <w:rPr>
          <w:rFonts w:ascii="Book Antiqua"/>
          <w:color w:val="231F20"/>
          <w:spacing w:val="2"/>
          <w:sz w:val="17"/>
        </w:rPr>
        <w:t>have</w:t>
      </w:r>
      <w:r>
        <w:rPr>
          <w:rFonts w:ascii="Book Antiqua"/>
          <w:color w:val="231F20"/>
          <w:spacing w:val="-13"/>
          <w:sz w:val="17"/>
        </w:rPr>
        <w:t> </w:t>
      </w:r>
      <w:r>
        <w:rPr>
          <w:rFonts w:ascii="Book Antiqua"/>
          <w:color w:val="231F20"/>
          <w:spacing w:val="-5"/>
          <w:sz w:val="17"/>
        </w:rPr>
        <w:t>161</w:t>
      </w:r>
      <w:r>
        <w:rPr>
          <w:rFonts w:ascii="Book Antiqua"/>
          <w:color w:val="231F20"/>
          <w:spacing w:val="-18"/>
          <w:sz w:val="17"/>
        </w:rPr>
        <w:t> </w:t>
      </w:r>
      <w:r>
        <w:rPr>
          <w:rFonts w:ascii="Book Antiqua"/>
          <w:color w:val="231F20"/>
          <w:spacing w:val="4"/>
          <w:sz w:val="17"/>
        </w:rPr>
        <w:t>daily</w:t>
      </w:r>
      <w:r>
        <w:rPr>
          <w:rFonts w:ascii="Book Antiqua"/>
          <w:color w:val="231F20"/>
          <w:spacing w:val="-17"/>
          <w:sz w:val="17"/>
        </w:rPr>
        <w:t> </w:t>
      </w:r>
      <w:r>
        <w:rPr>
          <w:rFonts w:ascii="Book Antiqua"/>
          <w:color w:val="231F20"/>
          <w:spacing w:val="4"/>
          <w:sz w:val="17"/>
        </w:rPr>
        <w:t>nonstop</w:t>
      </w:r>
      <w:r>
        <w:rPr>
          <w:rFonts w:ascii="Book Antiqua"/>
          <w:color w:val="231F20"/>
          <w:spacing w:val="-13"/>
          <w:sz w:val="17"/>
        </w:rPr>
        <w:t> </w:t>
      </w:r>
      <w:r>
        <w:rPr>
          <w:rFonts w:ascii="Book Antiqua"/>
          <w:color w:val="231F20"/>
          <w:sz w:val="17"/>
        </w:rPr>
        <w:t>f</w:t>
      </w:r>
      <w:r>
        <w:rPr>
          <w:rFonts w:ascii="Book Antiqua"/>
          <w:color w:val="231F20"/>
          <w:spacing w:val="-33"/>
          <w:sz w:val="17"/>
        </w:rPr>
        <w:t> </w:t>
      </w:r>
      <w:r>
        <w:rPr>
          <w:rFonts w:ascii="Book Antiqua"/>
          <w:color w:val="231F20"/>
          <w:spacing w:val="4"/>
          <w:sz w:val="17"/>
        </w:rPr>
        <w:t>lights</w:t>
      </w:r>
      <w:r>
        <w:rPr>
          <w:rFonts w:ascii="Book Antiqua"/>
          <w:color w:val="231F20"/>
          <w:spacing w:val="-13"/>
          <w:sz w:val="17"/>
        </w:rPr>
        <w:t> </w:t>
      </w:r>
      <w:r>
        <w:rPr>
          <w:rFonts w:ascii="Book Antiqua"/>
          <w:color w:val="231F20"/>
          <w:spacing w:val="5"/>
          <w:sz w:val="17"/>
        </w:rPr>
        <w:t>from </w:t>
      </w:r>
      <w:r>
        <w:rPr>
          <w:rFonts w:ascii="Book Antiqua"/>
          <w:color w:val="231F20"/>
          <w:spacing w:val="3"/>
          <w:sz w:val="17"/>
        </w:rPr>
        <w:t>Baltimore/Washington, including coast-to-coast </w:t>
      </w:r>
      <w:r>
        <w:rPr>
          <w:rFonts w:ascii="Book Antiqua"/>
          <w:color w:val="231F20"/>
          <w:spacing w:val="4"/>
          <w:sz w:val="17"/>
        </w:rPr>
        <w:t>service </w:t>
      </w:r>
      <w:r>
        <w:rPr>
          <w:rFonts w:ascii="Book Antiqua"/>
          <w:color w:val="231F20"/>
          <w:sz w:val="17"/>
        </w:rPr>
        <w:t>to </w:t>
      </w:r>
      <w:r>
        <w:rPr>
          <w:rFonts w:ascii="Book Antiqua"/>
          <w:color w:val="231F20"/>
          <w:spacing w:val="4"/>
          <w:sz w:val="17"/>
        </w:rPr>
        <w:t>Los </w:t>
      </w:r>
      <w:r>
        <w:rPr>
          <w:rFonts w:ascii="Book Antiqua"/>
          <w:color w:val="231F20"/>
          <w:sz w:val="17"/>
        </w:rPr>
        <w:t>Angeles,</w:t>
      </w:r>
      <w:r>
        <w:rPr>
          <w:rFonts w:ascii="Book Antiqua"/>
          <w:color w:val="231F20"/>
          <w:spacing w:val="-8"/>
          <w:sz w:val="17"/>
        </w:rPr>
        <w:t> </w:t>
      </w:r>
      <w:r>
        <w:rPr>
          <w:rFonts w:ascii="Book Antiqua"/>
          <w:color w:val="231F20"/>
          <w:sz w:val="17"/>
        </w:rPr>
        <w:t>San</w:t>
      </w:r>
      <w:r>
        <w:rPr>
          <w:rFonts w:ascii="Book Antiqua"/>
          <w:color w:val="231F20"/>
          <w:spacing w:val="-5"/>
          <w:sz w:val="17"/>
        </w:rPr>
        <w:t> </w:t>
      </w:r>
      <w:r>
        <w:rPr>
          <w:rFonts w:ascii="Book Antiqua"/>
          <w:color w:val="231F20"/>
          <w:sz w:val="17"/>
        </w:rPr>
        <w:t>Jose,</w:t>
      </w:r>
      <w:r>
        <w:rPr>
          <w:rFonts w:ascii="Book Antiqua"/>
          <w:color w:val="231F20"/>
          <w:spacing w:val="-8"/>
          <w:sz w:val="17"/>
        </w:rPr>
        <w:t> </w:t>
      </w:r>
      <w:r>
        <w:rPr>
          <w:rFonts w:ascii="Book Antiqua"/>
          <w:color w:val="231F20"/>
          <w:sz w:val="17"/>
        </w:rPr>
        <w:t>and</w:t>
      </w:r>
      <w:r>
        <w:rPr>
          <w:rFonts w:ascii="Book Antiqua"/>
          <w:color w:val="231F20"/>
          <w:spacing w:val="-5"/>
          <w:sz w:val="17"/>
        </w:rPr>
        <w:t> </w:t>
      </w:r>
      <w:r>
        <w:rPr>
          <w:rFonts w:ascii="Book Antiqua"/>
          <w:color w:val="231F20"/>
          <w:sz w:val="17"/>
        </w:rPr>
        <w:t>San</w:t>
      </w:r>
      <w:r>
        <w:rPr>
          <w:rFonts w:ascii="Book Antiqua"/>
          <w:color w:val="231F20"/>
          <w:spacing w:val="-5"/>
          <w:sz w:val="17"/>
        </w:rPr>
        <w:t> </w:t>
      </w:r>
      <w:r>
        <w:rPr>
          <w:rFonts w:ascii="Book Antiqua"/>
          <w:color w:val="231F20"/>
          <w:sz w:val="17"/>
        </w:rPr>
        <w:t>Diego.</w:t>
      </w:r>
      <w:r>
        <w:rPr>
          <w:rFonts w:ascii="Book Antiqua"/>
          <w:color w:val="231F20"/>
          <w:spacing w:val="-5"/>
          <w:sz w:val="17"/>
        </w:rPr>
        <w:t> </w:t>
      </w:r>
      <w:r>
        <w:rPr>
          <w:rFonts w:ascii="Book Antiqua"/>
          <w:color w:val="231F20"/>
          <w:sz w:val="17"/>
        </w:rPr>
        <w:t>Chicago</w:t>
      </w:r>
      <w:r>
        <w:rPr>
          <w:rFonts w:ascii="Book Antiqua"/>
          <w:color w:val="231F20"/>
          <w:spacing w:val="-5"/>
          <w:sz w:val="17"/>
        </w:rPr>
        <w:t> </w:t>
      </w:r>
      <w:r>
        <w:rPr>
          <w:rFonts w:ascii="Book Antiqua"/>
          <w:color w:val="231F20"/>
          <w:sz w:val="17"/>
        </w:rPr>
        <w:t>Midway</w:t>
      </w:r>
      <w:r>
        <w:rPr>
          <w:rFonts w:ascii="Book Antiqua"/>
          <w:color w:val="231F20"/>
          <w:spacing w:val="-10"/>
          <w:sz w:val="17"/>
        </w:rPr>
        <w:t> </w:t>
      </w:r>
      <w:r>
        <w:rPr>
          <w:rFonts w:ascii="Book Antiqua"/>
          <w:color w:val="231F20"/>
          <w:sz w:val="17"/>
        </w:rPr>
        <w:t>is</w:t>
      </w:r>
      <w:r>
        <w:rPr>
          <w:rFonts w:ascii="Book Antiqua"/>
          <w:color w:val="231F20"/>
          <w:spacing w:val="-5"/>
          <w:sz w:val="17"/>
        </w:rPr>
        <w:t> </w:t>
      </w:r>
      <w:r>
        <w:rPr>
          <w:rFonts w:ascii="Book Antiqua"/>
          <w:color w:val="231F20"/>
          <w:sz w:val="17"/>
        </w:rPr>
        <w:t>now</w:t>
      </w:r>
      <w:r>
        <w:rPr>
          <w:rFonts w:ascii="Book Antiqua"/>
          <w:color w:val="231F20"/>
          <w:spacing w:val="-10"/>
          <w:sz w:val="17"/>
        </w:rPr>
        <w:t> </w:t>
      </w:r>
      <w:r>
        <w:rPr>
          <w:rFonts w:ascii="Book Antiqua"/>
          <w:color w:val="231F20"/>
          <w:sz w:val="17"/>
        </w:rPr>
        <w:t>our</w:t>
      </w:r>
      <w:r>
        <w:rPr>
          <w:rFonts w:ascii="Book Antiqua"/>
          <w:color w:val="231F20"/>
          <w:spacing w:val="-10"/>
          <w:sz w:val="17"/>
        </w:rPr>
        <w:t> </w:t>
      </w:r>
      <w:r>
        <w:rPr>
          <w:rFonts w:ascii="Book Antiqua"/>
          <w:color w:val="231F20"/>
          <w:sz w:val="17"/>
        </w:rPr>
        <w:t>f</w:t>
      </w:r>
      <w:r>
        <w:rPr>
          <w:rFonts w:ascii="Book Antiqua"/>
          <w:color w:val="231F20"/>
          <w:spacing w:val="-35"/>
          <w:sz w:val="17"/>
        </w:rPr>
        <w:t> </w:t>
      </w:r>
      <w:r>
        <w:rPr>
          <w:rFonts w:ascii="Book Antiqua"/>
          <w:color w:val="231F20"/>
          <w:spacing w:val="3"/>
          <w:sz w:val="17"/>
        </w:rPr>
        <w:t>ifth </w:t>
      </w:r>
      <w:r>
        <w:rPr>
          <w:rFonts w:ascii="Book Antiqua"/>
          <w:color w:val="231F20"/>
          <w:sz w:val="17"/>
        </w:rPr>
        <w:t>largest</w:t>
      </w:r>
      <w:r>
        <w:rPr>
          <w:rFonts w:ascii="Book Antiqua"/>
          <w:color w:val="231F20"/>
          <w:spacing w:val="-15"/>
          <w:sz w:val="17"/>
        </w:rPr>
        <w:t> </w:t>
      </w:r>
      <w:r>
        <w:rPr>
          <w:rFonts w:ascii="Book Antiqua"/>
          <w:color w:val="231F20"/>
          <w:sz w:val="17"/>
        </w:rPr>
        <w:t>city</w:t>
      </w:r>
      <w:r>
        <w:rPr>
          <w:rFonts w:ascii="Book Antiqua"/>
          <w:color w:val="231F20"/>
          <w:spacing w:val="-16"/>
          <w:sz w:val="17"/>
        </w:rPr>
        <w:t> </w:t>
      </w:r>
      <w:r>
        <w:rPr>
          <w:rFonts w:ascii="Book Antiqua"/>
          <w:color w:val="231F20"/>
          <w:sz w:val="17"/>
        </w:rPr>
        <w:t>in</w:t>
      </w:r>
      <w:r>
        <w:rPr>
          <w:rFonts w:ascii="Book Antiqua"/>
          <w:color w:val="231F20"/>
          <w:spacing w:val="-11"/>
          <w:sz w:val="17"/>
        </w:rPr>
        <w:t> </w:t>
      </w:r>
      <w:r>
        <w:rPr>
          <w:rFonts w:ascii="Book Antiqua"/>
          <w:color w:val="231F20"/>
          <w:sz w:val="17"/>
        </w:rPr>
        <w:t>terms</w:t>
      </w:r>
      <w:r>
        <w:rPr>
          <w:rFonts w:ascii="Book Antiqua"/>
          <w:color w:val="231F20"/>
          <w:spacing w:val="-11"/>
          <w:sz w:val="17"/>
        </w:rPr>
        <w:t> </w:t>
      </w:r>
      <w:r>
        <w:rPr>
          <w:rFonts w:ascii="Book Antiqua"/>
          <w:color w:val="231F20"/>
          <w:sz w:val="17"/>
        </w:rPr>
        <w:t>of</w:t>
      </w:r>
      <w:r>
        <w:rPr>
          <w:rFonts w:ascii="Book Antiqua"/>
          <w:color w:val="231F20"/>
          <w:spacing w:val="-11"/>
          <w:sz w:val="17"/>
        </w:rPr>
        <w:t> </w:t>
      </w:r>
      <w:r>
        <w:rPr>
          <w:rFonts w:ascii="Book Antiqua"/>
          <w:color w:val="231F20"/>
          <w:sz w:val="17"/>
        </w:rPr>
        <w:t>daily</w:t>
      </w:r>
      <w:r>
        <w:rPr>
          <w:rFonts w:ascii="Book Antiqua"/>
          <w:color w:val="231F20"/>
          <w:spacing w:val="-16"/>
          <w:sz w:val="17"/>
        </w:rPr>
        <w:t> </w:t>
      </w:r>
      <w:r>
        <w:rPr>
          <w:rFonts w:ascii="Book Antiqua"/>
          <w:color w:val="231F20"/>
          <w:spacing w:val="2"/>
          <w:sz w:val="17"/>
        </w:rPr>
        <w:t>departures</w:t>
      </w:r>
      <w:r>
        <w:rPr>
          <w:rFonts w:ascii="Book Antiqua"/>
          <w:color w:val="231F20"/>
          <w:spacing w:val="-14"/>
          <w:sz w:val="17"/>
        </w:rPr>
        <w:t> </w:t>
      </w:r>
      <w:r>
        <w:rPr>
          <w:rFonts w:ascii="Book Antiqua"/>
          <w:color w:val="231F20"/>
          <w:sz w:val="17"/>
        </w:rPr>
        <w:t>with</w:t>
      </w:r>
      <w:r>
        <w:rPr>
          <w:rFonts w:ascii="Book Antiqua"/>
          <w:color w:val="231F20"/>
          <w:spacing w:val="-11"/>
          <w:sz w:val="17"/>
        </w:rPr>
        <w:t> </w:t>
      </w:r>
      <w:r>
        <w:rPr>
          <w:rFonts w:ascii="Book Antiqua"/>
          <w:color w:val="231F20"/>
          <w:sz w:val="17"/>
        </w:rPr>
        <w:t>134.</w:t>
      </w:r>
    </w:p>
    <w:p>
      <w:pPr>
        <w:spacing w:line="319" w:lineRule="auto" w:before="0"/>
        <w:ind w:left="120" w:right="0" w:firstLine="360"/>
        <w:jc w:val="both"/>
        <w:rPr>
          <w:rFonts w:ascii="Book Antiqua"/>
          <w:sz w:val="17"/>
        </w:rPr>
      </w:pPr>
      <w:r>
        <w:rPr>
          <w:rFonts w:ascii="Book Antiqua"/>
          <w:color w:val="231F20"/>
          <w:spacing w:val="6"/>
          <w:sz w:val="17"/>
        </w:rPr>
        <w:t>In </w:t>
      </w:r>
      <w:r>
        <w:rPr>
          <w:rFonts w:ascii="Book Antiqua"/>
          <w:color w:val="231F20"/>
          <w:spacing w:val="11"/>
          <w:sz w:val="17"/>
        </w:rPr>
        <w:t>addition </w:t>
      </w:r>
      <w:r>
        <w:rPr>
          <w:rFonts w:ascii="Book Antiqua"/>
          <w:color w:val="231F20"/>
          <w:spacing w:val="6"/>
          <w:sz w:val="17"/>
        </w:rPr>
        <w:t>to </w:t>
      </w:r>
      <w:r>
        <w:rPr>
          <w:rFonts w:ascii="Book Antiqua"/>
          <w:color w:val="231F20"/>
          <w:spacing w:val="11"/>
          <w:sz w:val="17"/>
        </w:rPr>
        <w:t>recently expanding airport facilities </w:t>
      </w:r>
      <w:r>
        <w:rPr>
          <w:rFonts w:ascii="Book Antiqua"/>
          <w:color w:val="231F20"/>
          <w:spacing w:val="13"/>
          <w:sz w:val="17"/>
        </w:rPr>
        <w:t>at </w:t>
      </w:r>
      <w:r>
        <w:rPr>
          <w:rFonts w:ascii="Book Antiqua"/>
          <w:color w:val="231F20"/>
          <w:w w:val="95"/>
          <w:sz w:val="17"/>
        </w:rPr>
        <w:t>Baltimore/Washington</w:t>
      </w:r>
      <w:r>
        <w:rPr>
          <w:rFonts w:ascii="Book Antiqua"/>
          <w:color w:val="231F20"/>
          <w:spacing w:val="-13"/>
          <w:w w:val="95"/>
          <w:sz w:val="17"/>
        </w:rPr>
        <w:t> </w:t>
      </w:r>
      <w:r>
        <w:rPr>
          <w:rFonts w:ascii="Book Antiqua"/>
          <w:color w:val="231F20"/>
          <w:w w:val="95"/>
          <w:sz w:val="17"/>
        </w:rPr>
        <w:t>and</w:t>
      </w:r>
      <w:r>
        <w:rPr>
          <w:rFonts w:ascii="Book Antiqua"/>
          <w:color w:val="231F20"/>
          <w:spacing w:val="-13"/>
          <w:w w:val="95"/>
          <w:sz w:val="17"/>
        </w:rPr>
        <w:t> </w:t>
      </w:r>
      <w:r>
        <w:rPr>
          <w:rFonts w:ascii="Book Antiqua"/>
          <w:color w:val="231F20"/>
          <w:w w:val="95"/>
          <w:sz w:val="17"/>
        </w:rPr>
        <w:t>Chicago</w:t>
      </w:r>
      <w:r>
        <w:rPr>
          <w:rFonts w:ascii="Book Antiqua"/>
          <w:color w:val="231F20"/>
          <w:spacing w:val="-13"/>
          <w:w w:val="95"/>
          <w:sz w:val="17"/>
        </w:rPr>
        <w:t> </w:t>
      </w:r>
      <w:r>
        <w:rPr>
          <w:rFonts w:ascii="Book Antiqua"/>
          <w:color w:val="231F20"/>
          <w:w w:val="95"/>
          <w:sz w:val="17"/>
        </w:rPr>
        <w:t>Midway,</w:t>
      </w:r>
      <w:r>
        <w:rPr>
          <w:rFonts w:ascii="Book Antiqua"/>
          <w:color w:val="231F20"/>
          <w:spacing w:val="-20"/>
          <w:w w:val="95"/>
          <w:sz w:val="17"/>
        </w:rPr>
        <w:t> </w:t>
      </w:r>
      <w:r>
        <w:rPr>
          <w:rFonts w:ascii="Book Antiqua"/>
          <w:color w:val="231F20"/>
          <w:spacing w:val="-3"/>
          <w:w w:val="95"/>
          <w:sz w:val="17"/>
        </w:rPr>
        <w:t>we</w:t>
      </w:r>
      <w:r>
        <w:rPr>
          <w:rFonts w:ascii="Book Antiqua"/>
          <w:color w:val="231F20"/>
          <w:spacing w:val="-13"/>
          <w:w w:val="95"/>
          <w:sz w:val="17"/>
        </w:rPr>
        <w:t> </w:t>
      </w:r>
      <w:r>
        <w:rPr>
          <w:rFonts w:ascii="Book Antiqua"/>
          <w:color w:val="231F20"/>
          <w:w w:val="95"/>
          <w:sz w:val="17"/>
        </w:rPr>
        <w:t>have</w:t>
      </w:r>
      <w:r>
        <w:rPr>
          <w:rFonts w:ascii="Book Antiqua"/>
          <w:color w:val="231F20"/>
          <w:spacing w:val="-13"/>
          <w:w w:val="95"/>
          <w:sz w:val="17"/>
        </w:rPr>
        <w:t> </w:t>
      </w:r>
      <w:r>
        <w:rPr>
          <w:rFonts w:ascii="Book Antiqua"/>
          <w:color w:val="231F20"/>
          <w:w w:val="95"/>
          <w:sz w:val="17"/>
        </w:rPr>
        <w:t>major</w:t>
      </w:r>
      <w:r>
        <w:rPr>
          <w:rFonts w:ascii="Book Antiqua"/>
          <w:color w:val="231F20"/>
          <w:spacing w:val="-19"/>
          <w:w w:val="95"/>
          <w:sz w:val="17"/>
        </w:rPr>
        <w:t> </w:t>
      </w:r>
      <w:r>
        <w:rPr>
          <w:rFonts w:ascii="Book Antiqua"/>
          <w:color w:val="231F20"/>
          <w:w w:val="95"/>
          <w:sz w:val="17"/>
        </w:rPr>
        <w:t>expansion </w:t>
      </w:r>
      <w:r>
        <w:rPr>
          <w:rFonts w:ascii="Book Antiqua"/>
          <w:color w:val="231F20"/>
          <w:spacing w:val="-3"/>
          <w:w w:val="95"/>
          <w:sz w:val="17"/>
        </w:rPr>
        <w:t>projects</w:t>
      </w:r>
      <w:r>
        <w:rPr>
          <w:rFonts w:ascii="Book Antiqua"/>
          <w:color w:val="231F20"/>
          <w:spacing w:val="-9"/>
          <w:w w:val="95"/>
          <w:sz w:val="17"/>
        </w:rPr>
        <w:t> </w:t>
      </w:r>
      <w:r>
        <w:rPr>
          <w:rFonts w:ascii="Book Antiqua"/>
          <w:color w:val="231F20"/>
          <w:w w:val="95"/>
          <w:sz w:val="17"/>
        </w:rPr>
        <w:t>at</w:t>
      </w:r>
      <w:r>
        <w:rPr>
          <w:rFonts w:ascii="Book Antiqua"/>
          <w:color w:val="231F20"/>
          <w:spacing w:val="-14"/>
          <w:w w:val="95"/>
          <w:sz w:val="17"/>
        </w:rPr>
        <w:t> </w:t>
      </w:r>
      <w:r>
        <w:rPr>
          <w:rFonts w:ascii="Book Antiqua"/>
          <w:color w:val="231F20"/>
          <w:spacing w:val="-4"/>
          <w:w w:val="95"/>
          <w:sz w:val="17"/>
        </w:rPr>
        <w:t>Fort</w:t>
      </w:r>
      <w:r>
        <w:rPr>
          <w:rFonts w:ascii="Book Antiqua"/>
          <w:color w:val="231F20"/>
          <w:spacing w:val="-14"/>
          <w:w w:val="95"/>
          <w:sz w:val="17"/>
        </w:rPr>
        <w:t> </w:t>
      </w:r>
      <w:r>
        <w:rPr>
          <w:rFonts w:ascii="Book Antiqua"/>
          <w:color w:val="231F20"/>
          <w:spacing w:val="-3"/>
          <w:w w:val="95"/>
          <w:sz w:val="17"/>
        </w:rPr>
        <w:t>Lauderdale,</w:t>
      </w:r>
      <w:r>
        <w:rPr>
          <w:rFonts w:ascii="Book Antiqua"/>
          <w:color w:val="231F20"/>
          <w:spacing w:val="-13"/>
          <w:w w:val="95"/>
          <w:sz w:val="17"/>
        </w:rPr>
        <w:t> </w:t>
      </w:r>
      <w:r>
        <w:rPr>
          <w:rFonts w:ascii="Book Antiqua"/>
          <w:color w:val="231F20"/>
          <w:spacing w:val="-3"/>
          <w:w w:val="95"/>
          <w:sz w:val="17"/>
        </w:rPr>
        <w:t>Houston</w:t>
      </w:r>
      <w:r>
        <w:rPr>
          <w:rFonts w:ascii="Book Antiqua"/>
          <w:color w:val="231F20"/>
          <w:spacing w:val="-9"/>
          <w:w w:val="95"/>
          <w:sz w:val="17"/>
        </w:rPr>
        <w:t> </w:t>
      </w:r>
      <w:r>
        <w:rPr>
          <w:rFonts w:ascii="Book Antiqua"/>
          <w:color w:val="231F20"/>
          <w:spacing w:val="-5"/>
          <w:w w:val="95"/>
          <w:sz w:val="17"/>
        </w:rPr>
        <w:t>Hobby,</w:t>
      </w:r>
      <w:r>
        <w:rPr>
          <w:rFonts w:ascii="Book Antiqua"/>
          <w:color w:val="231F20"/>
          <w:spacing w:val="-14"/>
          <w:w w:val="95"/>
          <w:sz w:val="17"/>
        </w:rPr>
        <w:t> </w:t>
      </w:r>
      <w:r>
        <w:rPr>
          <w:rFonts w:ascii="Book Antiqua"/>
          <w:color w:val="231F20"/>
          <w:w w:val="95"/>
          <w:sz w:val="17"/>
        </w:rPr>
        <w:t>Las</w:t>
      </w:r>
      <w:r>
        <w:rPr>
          <w:rFonts w:ascii="Book Antiqua"/>
          <w:color w:val="231F20"/>
          <w:spacing w:val="-18"/>
          <w:w w:val="95"/>
          <w:sz w:val="17"/>
        </w:rPr>
        <w:t> </w:t>
      </w:r>
      <w:r>
        <w:rPr>
          <w:rFonts w:ascii="Book Antiqua"/>
          <w:color w:val="231F20"/>
          <w:spacing w:val="-8"/>
          <w:w w:val="95"/>
          <w:sz w:val="17"/>
        </w:rPr>
        <w:t>Vegas,</w:t>
      </w:r>
      <w:r>
        <w:rPr>
          <w:rFonts w:ascii="Book Antiqua"/>
          <w:color w:val="231F20"/>
          <w:spacing w:val="-13"/>
          <w:w w:val="95"/>
          <w:sz w:val="17"/>
        </w:rPr>
        <w:t> </w:t>
      </w:r>
      <w:r>
        <w:rPr>
          <w:rFonts w:ascii="Book Antiqua"/>
          <w:color w:val="231F20"/>
          <w:spacing w:val="-3"/>
          <w:w w:val="95"/>
          <w:sz w:val="17"/>
        </w:rPr>
        <w:t>Long</w:t>
      </w:r>
      <w:r>
        <w:rPr>
          <w:rFonts w:ascii="Book Antiqua"/>
          <w:color w:val="231F20"/>
          <w:spacing w:val="-9"/>
          <w:w w:val="95"/>
          <w:sz w:val="17"/>
        </w:rPr>
        <w:t> </w:t>
      </w:r>
      <w:r>
        <w:rPr>
          <w:rFonts w:ascii="Book Antiqua"/>
          <w:color w:val="231F20"/>
          <w:spacing w:val="-3"/>
          <w:w w:val="95"/>
          <w:sz w:val="17"/>
        </w:rPr>
        <w:t>Island/Islip, </w:t>
      </w:r>
      <w:r>
        <w:rPr>
          <w:rFonts w:ascii="Book Antiqua"/>
          <w:color w:val="231F20"/>
          <w:w w:val="95"/>
          <w:sz w:val="17"/>
        </w:rPr>
        <w:t>Oakland,</w:t>
      </w:r>
      <w:r>
        <w:rPr>
          <w:rFonts w:ascii="Book Antiqua"/>
          <w:color w:val="231F20"/>
          <w:spacing w:val="-9"/>
          <w:w w:val="95"/>
          <w:sz w:val="17"/>
        </w:rPr>
        <w:t> </w:t>
      </w:r>
      <w:r>
        <w:rPr>
          <w:rFonts w:ascii="Book Antiqua"/>
          <w:color w:val="231F20"/>
          <w:w w:val="95"/>
          <w:sz w:val="17"/>
        </w:rPr>
        <w:t>Orange</w:t>
      </w:r>
      <w:r>
        <w:rPr>
          <w:rFonts w:ascii="Book Antiqua"/>
          <w:color w:val="231F20"/>
          <w:spacing w:val="-5"/>
          <w:w w:val="95"/>
          <w:sz w:val="17"/>
        </w:rPr>
        <w:t> </w:t>
      </w:r>
      <w:r>
        <w:rPr>
          <w:rFonts w:ascii="Book Antiqua"/>
          <w:color w:val="231F20"/>
          <w:w w:val="95"/>
          <w:sz w:val="17"/>
        </w:rPr>
        <w:t>County,</w:t>
      </w:r>
      <w:r>
        <w:rPr>
          <w:rFonts w:ascii="Book Antiqua"/>
          <w:color w:val="231F20"/>
          <w:spacing w:val="-9"/>
          <w:w w:val="95"/>
          <w:sz w:val="17"/>
        </w:rPr>
        <w:t> </w:t>
      </w:r>
      <w:r>
        <w:rPr>
          <w:rFonts w:ascii="Book Antiqua"/>
          <w:color w:val="231F20"/>
          <w:w w:val="95"/>
          <w:sz w:val="17"/>
        </w:rPr>
        <w:t>Orlando,</w:t>
      </w:r>
      <w:r>
        <w:rPr>
          <w:rFonts w:ascii="Book Antiqua"/>
          <w:color w:val="231F20"/>
          <w:spacing w:val="-9"/>
          <w:w w:val="95"/>
          <w:sz w:val="17"/>
        </w:rPr>
        <w:t> </w:t>
      </w:r>
      <w:r>
        <w:rPr>
          <w:rFonts w:ascii="Book Antiqua"/>
          <w:color w:val="231F20"/>
          <w:w w:val="95"/>
          <w:sz w:val="17"/>
        </w:rPr>
        <w:t>Phoenix,</w:t>
      </w:r>
      <w:r>
        <w:rPr>
          <w:rFonts w:ascii="Book Antiqua"/>
          <w:color w:val="231F20"/>
          <w:spacing w:val="-9"/>
          <w:w w:val="95"/>
          <w:sz w:val="17"/>
        </w:rPr>
        <w:t> </w:t>
      </w:r>
      <w:r>
        <w:rPr>
          <w:rFonts w:ascii="Book Antiqua"/>
          <w:color w:val="231F20"/>
          <w:w w:val="95"/>
          <w:sz w:val="17"/>
        </w:rPr>
        <w:t>and</w:t>
      </w:r>
      <w:r>
        <w:rPr>
          <w:rFonts w:ascii="Book Antiqua"/>
          <w:color w:val="231F20"/>
          <w:spacing w:val="-13"/>
          <w:w w:val="95"/>
          <w:sz w:val="17"/>
        </w:rPr>
        <w:t> </w:t>
      </w:r>
      <w:r>
        <w:rPr>
          <w:rFonts w:ascii="Book Antiqua"/>
          <w:color w:val="231F20"/>
          <w:spacing w:val="-4"/>
          <w:w w:val="95"/>
          <w:sz w:val="17"/>
        </w:rPr>
        <w:t>Tampa</w:t>
      </w:r>
      <w:r>
        <w:rPr>
          <w:rFonts w:ascii="Book Antiqua"/>
          <w:color w:val="231F20"/>
          <w:spacing w:val="-5"/>
          <w:w w:val="95"/>
          <w:sz w:val="17"/>
        </w:rPr>
        <w:t> </w:t>
      </w:r>
      <w:r>
        <w:rPr>
          <w:rFonts w:ascii="Book Antiqua"/>
          <w:color w:val="231F20"/>
          <w:spacing w:val="-3"/>
          <w:w w:val="95"/>
          <w:sz w:val="17"/>
        </w:rPr>
        <w:t>Bay.</w:t>
      </w:r>
    </w:p>
    <w:p>
      <w:pPr>
        <w:spacing w:line="319" w:lineRule="auto" w:before="0"/>
        <w:ind w:left="120" w:right="5" w:firstLine="360"/>
        <w:jc w:val="both"/>
        <w:rPr>
          <w:rFonts w:ascii="Book Antiqua"/>
          <w:sz w:val="17"/>
        </w:rPr>
      </w:pPr>
      <w:r>
        <w:rPr>
          <w:rFonts w:ascii="Book Antiqua"/>
          <w:color w:val="231F20"/>
          <w:spacing w:val="3"/>
          <w:sz w:val="17"/>
        </w:rPr>
        <w:t>With</w:t>
      </w:r>
      <w:r>
        <w:rPr>
          <w:rFonts w:ascii="Book Antiqua"/>
          <w:color w:val="231F20"/>
          <w:spacing w:val="-12"/>
          <w:sz w:val="17"/>
        </w:rPr>
        <w:t> </w:t>
      </w:r>
      <w:r>
        <w:rPr>
          <w:rFonts w:ascii="Book Antiqua"/>
          <w:color w:val="231F20"/>
          <w:spacing w:val="3"/>
          <w:sz w:val="17"/>
        </w:rPr>
        <w:t>the</w:t>
      </w:r>
      <w:r>
        <w:rPr>
          <w:rFonts w:ascii="Book Antiqua"/>
          <w:color w:val="231F20"/>
          <w:spacing w:val="-14"/>
          <w:sz w:val="17"/>
        </w:rPr>
        <w:t> </w:t>
      </w:r>
      <w:r>
        <w:rPr>
          <w:rFonts w:ascii="Book Antiqua"/>
          <w:color w:val="231F20"/>
          <w:spacing w:val="2"/>
          <w:sz w:val="17"/>
        </w:rPr>
        <w:t>worst</w:t>
      </w:r>
      <w:r>
        <w:rPr>
          <w:rFonts w:ascii="Book Antiqua"/>
          <w:color w:val="231F20"/>
          <w:spacing w:val="-15"/>
          <w:sz w:val="17"/>
        </w:rPr>
        <w:t> </w:t>
      </w:r>
      <w:r>
        <w:rPr>
          <w:rFonts w:ascii="Book Antiqua"/>
          <w:color w:val="231F20"/>
          <w:spacing w:val="2"/>
          <w:sz w:val="17"/>
        </w:rPr>
        <w:t>of</w:t>
      </w:r>
      <w:r>
        <w:rPr>
          <w:rFonts w:ascii="Book Antiqua"/>
          <w:color w:val="231F20"/>
          <w:spacing w:val="-12"/>
          <w:sz w:val="17"/>
        </w:rPr>
        <w:t> </w:t>
      </w:r>
      <w:r>
        <w:rPr>
          <w:rFonts w:ascii="Book Antiqua"/>
          <w:color w:val="231F20"/>
          <w:spacing w:val="4"/>
          <w:sz w:val="17"/>
        </w:rPr>
        <w:t>times</w:t>
      </w:r>
      <w:r>
        <w:rPr>
          <w:rFonts w:ascii="Book Antiqua"/>
          <w:color w:val="231F20"/>
          <w:spacing w:val="-12"/>
          <w:sz w:val="17"/>
        </w:rPr>
        <w:t> </w:t>
      </w:r>
      <w:r>
        <w:rPr>
          <w:rFonts w:ascii="Book Antiqua"/>
          <w:color w:val="231F20"/>
          <w:spacing w:val="4"/>
          <w:sz w:val="17"/>
        </w:rPr>
        <w:t>hopefully</w:t>
      </w:r>
      <w:r>
        <w:rPr>
          <w:rFonts w:ascii="Book Antiqua"/>
          <w:color w:val="231F20"/>
          <w:spacing w:val="-17"/>
          <w:sz w:val="17"/>
        </w:rPr>
        <w:t> </w:t>
      </w:r>
      <w:r>
        <w:rPr>
          <w:rFonts w:ascii="Book Antiqua"/>
          <w:color w:val="231F20"/>
          <w:spacing w:val="4"/>
          <w:sz w:val="17"/>
        </w:rPr>
        <w:t>behind</w:t>
      </w:r>
      <w:r>
        <w:rPr>
          <w:rFonts w:ascii="Book Antiqua"/>
          <w:color w:val="231F20"/>
          <w:spacing w:val="-12"/>
          <w:sz w:val="17"/>
        </w:rPr>
        <w:t> </w:t>
      </w:r>
      <w:r>
        <w:rPr>
          <w:rFonts w:ascii="Book Antiqua"/>
          <w:color w:val="231F20"/>
          <w:spacing w:val="3"/>
          <w:sz w:val="17"/>
        </w:rPr>
        <w:t>us,</w:t>
      </w:r>
      <w:r>
        <w:rPr>
          <w:rFonts w:ascii="Book Antiqua"/>
          <w:color w:val="231F20"/>
          <w:spacing w:val="-17"/>
          <w:sz w:val="17"/>
        </w:rPr>
        <w:t> </w:t>
      </w:r>
      <w:r>
        <w:rPr>
          <w:rFonts w:ascii="Book Antiqua"/>
          <w:color w:val="231F20"/>
          <w:sz w:val="17"/>
        </w:rPr>
        <w:t>we</w:t>
      </w:r>
      <w:r>
        <w:rPr>
          <w:rFonts w:ascii="Book Antiqua"/>
          <w:color w:val="231F20"/>
          <w:spacing w:val="-12"/>
          <w:sz w:val="17"/>
        </w:rPr>
        <w:t> </w:t>
      </w:r>
      <w:r>
        <w:rPr>
          <w:rFonts w:ascii="Book Antiqua"/>
          <w:color w:val="231F20"/>
          <w:spacing w:val="3"/>
          <w:sz w:val="17"/>
        </w:rPr>
        <w:t>are</w:t>
      </w:r>
      <w:r>
        <w:rPr>
          <w:rFonts w:ascii="Book Antiqua"/>
          <w:color w:val="231F20"/>
          <w:spacing w:val="-12"/>
          <w:sz w:val="17"/>
        </w:rPr>
        <w:t> </w:t>
      </w:r>
      <w:r>
        <w:rPr>
          <w:rFonts w:ascii="Book Antiqua"/>
          <w:color w:val="231F20"/>
          <w:spacing w:val="5"/>
          <w:sz w:val="17"/>
        </w:rPr>
        <w:t>prepared </w:t>
      </w:r>
      <w:r>
        <w:rPr>
          <w:rFonts w:ascii="Book Antiqua"/>
          <w:color w:val="231F20"/>
          <w:spacing w:val="3"/>
          <w:sz w:val="17"/>
        </w:rPr>
        <w:t>for </w:t>
      </w:r>
      <w:r>
        <w:rPr>
          <w:rFonts w:ascii="Book Antiqua"/>
          <w:color w:val="231F20"/>
          <w:spacing w:val="4"/>
          <w:sz w:val="17"/>
        </w:rPr>
        <w:t>accelerated </w:t>
      </w:r>
      <w:r>
        <w:rPr>
          <w:rFonts w:ascii="Book Antiqua"/>
          <w:color w:val="231F20"/>
          <w:spacing w:val="3"/>
          <w:sz w:val="17"/>
        </w:rPr>
        <w:t>growth. </w:t>
      </w:r>
      <w:r>
        <w:rPr>
          <w:rFonts w:ascii="Book Antiqua"/>
          <w:color w:val="231F20"/>
          <w:spacing w:val="2"/>
          <w:sz w:val="17"/>
        </w:rPr>
        <w:t>As </w:t>
      </w:r>
      <w:r>
        <w:rPr>
          <w:rFonts w:ascii="Book Antiqua"/>
          <w:color w:val="231F20"/>
          <w:sz w:val="17"/>
        </w:rPr>
        <w:t>a </w:t>
      </w:r>
      <w:r>
        <w:rPr>
          <w:rFonts w:ascii="Book Antiqua"/>
          <w:color w:val="231F20"/>
          <w:spacing w:val="4"/>
          <w:sz w:val="17"/>
        </w:rPr>
        <w:t>result </w:t>
      </w:r>
      <w:r>
        <w:rPr>
          <w:rFonts w:ascii="Book Antiqua"/>
          <w:color w:val="231F20"/>
          <w:spacing w:val="2"/>
          <w:sz w:val="17"/>
        </w:rPr>
        <w:t>of </w:t>
      </w:r>
      <w:r>
        <w:rPr>
          <w:rFonts w:ascii="Book Antiqua"/>
          <w:color w:val="231F20"/>
          <w:spacing w:val="5"/>
          <w:sz w:val="17"/>
        </w:rPr>
        <w:t>significant </w:t>
      </w:r>
      <w:r>
        <w:rPr>
          <w:rFonts w:ascii="Book Antiqua"/>
          <w:color w:val="231F20"/>
          <w:spacing w:val="4"/>
          <w:sz w:val="17"/>
        </w:rPr>
        <w:t>penetration </w:t>
      </w:r>
      <w:r>
        <w:rPr>
          <w:rFonts w:ascii="Book Antiqua"/>
          <w:color w:val="231F20"/>
          <w:sz w:val="17"/>
        </w:rPr>
        <w:t>by </w:t>
      </w:r>
      <w:r>
        <w:rPr>
          <w:rFonts w:ascii="Book Antiqua"/>
          <w:color w:val="231F20"/>
          <w:spacing w:val="3"/>
          <w:w w:val="95"/>
          <w:sz w:val="17"/>
        </w:rPr>
        <w:t>Southwest and </w:t>
      </w:r>
      <w:r>
        <w:rPr>
          <w:rFonts w:ascii="Book Antiqua"/>
          <w:color w:val="231F20"/>
          <w:spacing w:val="4"/>
          <w:w w:val="95"/>
          <w:sz w:val="17"/>
        </w:rPr>
        <w:t>other </w:t>
      </w:r>
      <w:r>
        <w:rPr>
          <w:rFonts w:ascii="Book Antiqua"/>
          <w:color w:val="231F20"/>
          <w:spacing w:val="3"/>
          <w:w w:val="95"/>
          <w:sz w:val="17"/>
        </w:rPr>
        <w:t>low-fare </w:t>
      </w:r>
      <w:r>
        <w:rPr>
          <w:rFonts w:ascii="Book Antiqua"/>
          <w:color w:val="231F20"/>
          <w:spacing w:val="4"/>
          <w:w w:val="95"/>
          <w:sz w:val="17"/>
        </w:rPr>
        <w:t>carriers </w:t>
      </w:r>
      <w:r>
        <w:rPr>
          <w:rFonts w:ascii="Book Antiqua"/>
          <w:color w:val="231F20"/>
          <w:spacing w:val="3"/>
          <w:w w:val="95"/>
          <w:sz w:val="17"/>
        </w:rPr>
        <w:t>and the </w:t>
      </w:r>
      <w:r>
        <w:rPr>
          <w:rFonts w:ascii="Book Antiqua"/>
          <w:color w:val="231F20"/>
          <w:spacing w:val="4"/>
          <w:w w:val="95"/>
          <w:sz w:val="17"/>
        </w:rPr>
        <w:t>ability</w:t>
      </w:r>
      <w:r>
        <w:rPr>
          <w:rFonts w:ascii="Book Antiqua"/>
          <w:color w:val="231F20"/>
          <w:spacing w:val="-28"/>
          <w:w w:val="95"/>
          <w:sz w:val="17"/>
        </w:rPr>
        <w:t> </w:t>
      </w:r>
      <w:r>
        <w:rPr>
          <w:rFonts w:ascii="Book Antiqua"/>
          <w:color w:val="231F20"/>
          <w:spacing w:val="3"/>
          <w:w w:val="95"/>
          <w:sz w:val="17"/>
        </w:rPr>
        <w:t>for </w:t>
      </w:r>
      <w:r>
        <w:rPr>
          <w:rFonts w:ascii="Book Antiqua"/>
          <w:color w:val="231F20"/>
          <w:spacing w:val="5"/>
          <w:w w:val="95"/>
          <w:sz w:val="17"/>
        </w:rPr>
        <w:t>Customers </w:t>
      </w:r>
      <w:r>
        <w:rPr>
          <w:rFonts w:ascii="Book Antiqua"/>
          <w:color w:val="231F20"/>
          <w:spacing w:val="2"/>
          <w:sz w:val="17"/>
        </w:rPr>
        <w:t>to</w:t>
      </w:r>
      <w:r>
        <w:rPr>
          <w:rFonts w:ascii="Book Antiqua"/>
          <w:color w:val="231F20"/>
          <w:spacing w:val="-1"/>
          <w:sz w:val="17"/>
        </w:rPr>
        <w:t> </w:t>
      </w:r>
      <w:r>
        <w:rPr>
          <w:rFonts w:ascii="Book Antiqua"/>
          <w:color w:val="231F20"/>
          <w:spacing w:val="4"/>
          <w:sz w:val="17"/>
        </w:rPr>
        <w:t>easily</w:t>
      </w:r>
      <w:r>
        <w:rPr>
          <w:rFonts w:ascii="Book Antiqua"/>
          <w:color w:val="231F20"/>
          <w:spacing w:val="-6"/>
          <w:sz w:val="17"/>
        </w:rPr>
        <w:t> </w:t>
      </w:r>
      <w:r>
        <w:rPr>
          <w:rFonts w:ascii="Book Antiqua"/>
          <w:color w:val="231F20"/>
          <w:spacing w:val="3"/>
          <w:sz w:val="17"/>
        </w:rPr>
        <w:t>shop</w:t>
      </w:r>
      <w:r>
        <w:rPr>
          <w:rFonts w:ascii="Book Antiqua"/>
          <w:color w:val="231F20"/>
          <w:spacing w:val="-1"/>
          <w:sz w:val="17"/>
        </w:rPr>
        <w:t> </w:t>
      </w:r>
      <w:r>
        <w:rPr>
          <w:rFonts w:ascii="Book Antiqua"/>
          <w:color w:val="231F20"/>
          <w:spacing w:val="3"/>
          <w:sz w:val="17"/>
        </w:rPr>
        <w:t>for</w:t>
      </w:r>
      <w:r>
        <w:rPr>
          <w:rFonts w:ascii="Book Antiqua"/>
          <w:color w:val="231F20"/>
          <w:spacing w:val="-7"/>
          <w:sz w:val="17"/>
        </w:rPr>
        <w:t> </w:t>
      </w:r>
      <w:r>
        <w:rPr>
          <w:rFonts w:ascii="Book Antiqua"/>
          <w:color w:val="231F20"/>
          <w:sz w:val="17"/>
        </w:rPr>
        <w:t>low</w:t>
      </w:r>
      <w:r>
        <w:rPr>
          <w:rFonts w:ascii="Book Antiqua"/>
          <w:color w:val="231F20"/>
          <w:spacing w:val="-7"/>
          <w:sz w:val="17"/>
        </w:rPr>
        <w:t> </w:t>
      </w:r>
      <w:r>
        <w:rPr>
          <w:rFonts w:ascii="Book Antiqua"/>
          <w:color w:val="231F20"/>
          <w:spacing w:val="4"/>
          <w:sz w:val="17"/>
        </w:rPr>
        <w:t>fares</w:t>
      </w:r>
      <w:r>
        <w:rPr>
          <w:rFonts w:ascii="Book Antiqua"/>
          <w:color w:val="231F20"/>
          <w:spacing w:val="-1"/>
          <w:sz w:val="17"/>
        </w:rPr>
        <w:t> </w:t>
      </w:r>
      <w:r>
        <w:rPr>
          <w:rFonts w:ascii="Book Antiqua"/>
          <w:color w:val="231F20"/>
          <w:spacing w:val="2"/>
          <w:sz w:val="17"/>
        </w:rPr>
        <w:t>on</w:t>
      </w:r>
      <w:r>
        <w:rPr>
          <w:rFonts w:ascii="Book Antiqua"/>
          <w:color w:val="231F20"/>
          <w:spacing w:val="-1"/>
          <w:sz w:val="17"/>
        </w:rPr>
        <w:t> </w:t>
      </w:r>
      <w:r>
        <w:rPr>
          <w:rFonts w:ascii="Book Antiqua"/>
          <w:color w:val="231F20"/>
          <w:spacing w:val="3"/>
          <w:sz w:val="17"/>
        </w:rPr>
        <w:t>the</w:t>
      </w:r>
      <w:r>
        <w:rPr>
          <w:rFonts w:ascii="Book Antiqua"/>
          <w:color w:val="231F20"/>
          <w:spacing w:val="-1"/>
          <w:sz w:val="17"/>
        </w:rPr>
        <w:t> </w:t>
      </w:r>
      <w:r>
        <w:rPr>
          <w:rFonts w:ascii="Book Antiqua"/>
          <w:color w:val="231F20"/>
          <w:spacing w:val="4"/>
          <w:sz w:val="17"/>
        </w:rPr>
        <w:t>Internet,</w:t>
      </w:r>
      <w:r>
        <w:rPr>
          <w:rFonts w:ascii="Book Antiqua"/>
          <w:color w:val="231F20"/>
          <w:spacing w:val="-4"/>
          <w:sz w:val="17"/>
        </w:rPr>
        <w:t> </w:t>
      </w:r>
      <w:r>
        <w:rPr>
          <w:rFonts w:ascii="Book Antiqua"/>
          <w:color w:val="231F20"/>
          <w:spacing w:val="3"/>
          <w:sz w:val="17"/>
        </w:rPr>
        <w:t>more</w:t>
      </w:r>
      <w:r>
        <w:rPr>
          <w:rFonts w:ascii="Book Antiqua"/>
          <w:color w:val="231F20"/>
          <w:spacing w:val="-8"/>
          <w:sz w:val="17"/>
        </w:rPr>
        <w:t> </w:t>
      </w:r>
      <w:r>
        <w:rPr>
          <w:rFonts w:ascii="Book Antiqua"/>
          <w:color w:val="231F20"/>
          <w:spacing w:val="4"/>
          <w:sz w:val="17"/>
        </w:rPr>
        <w:t>Americans</w:t>
      </w:r>
      <w:r>
        <w:rPr>
          <w:rFonts w:ascii="Book Antiqua"/>
          <w:color w:val="231F20"/>
          <w:spacing w:val="-1"/>
          <w:sz w:val="17"/>
        </w:rPr>
        <w:t> </w:t>
      </w:r>
      <w:r>
        <w:rPr>
          <w:rFonts w:ascii="Book Antiqua"/>
          <w:color w:val="231F20"/>
          <w:spacing w:val="5"/>
          <w:sz w:val="17"/>
        </w:rPr>
        <w:t>than </w:t>
      </w:r>
      <w:r>
        <w:rPr>
          <w:rFonts w:ascii="Book Antiqua"/>
          <w:color w:val="231F20"/>
          <w:spacing w:val="2"/>
          <w:sz w:val="17"/>
        </w:rPr>
        <w:t>ever</w:t>
      </w:r>
      <w:r>
        <w:rPr>
          <w:rFonts w:ascii="Book Antiqua"/>
          <w:color w:val="231F20"/>
          <w:spacing w:val="-19"/>
          <w:sz w:val="17"/>
        </w:rPr>
        <w:t> </w:t>
      </w:r>
      <w:r>
        <w:rPr>
          <w:rFonts w:ascii="Book Antiqua"/>
          <w:color w:val="231F20"/>
          <w:spacing w:val="4"/>
          <w:sz w:val="17"/>
        </w:rPr>
        <w:t>realize</w:t>
      </w:r>
      <w:r>
        <w:rPr>
          <w:rFonts w:ascii="Book Antiqua"/>
          <w:color w:val="231F20"/>
          <w:spacing w:val="-14"/>
          <w:sz w:val="17"/>
        </w:rPr>
        <w:t> </w:t>
      </w:r>
      <w:r>
        <w:rPr>
          <w:rFonts w:ascii="Book Antiqua"/>
          <w:color w:val="231F20"/>
          <w:spacing w:val="3"/>
          <w:sz w:val="17"/>
        </w:rPr>
        <w:t>that</w:t>
      </w:r>
      <w:r>
        <w:rPr>
          <w:rFonts w:ascii="Book Antiqua"/>
          <w:color w:val="231F20"/>
          <w:spacing w:val="-17"/>
          <w:sz w:val="17"/>
        </w:rPr>
        <w:t> </w:t>
      </w:r>
      <w:r>
        <w:rPr>
          <w:rFonts w:ascii="Book Antiqua"/>
          <w:color w:val="231F20"/>
          <w:spacing w:val="3"/>
          <w:sz w:val="17"/>
        </w:rPr>
        <w:t>they</w:t>
      </w:r>
      <w:r>
        <w:rPr>
          <w:rFonts w:ascii="Book Antiqua"/>
          <w:color w:val="231F20"/>
          <w:spacing w:val="-19"/>
          <w:sz w:val="17"/>
        </w:rPr>
        <w:t> </w:t>
      </w:r>
      <w:r>
        <w:rPr>
          <w:rFonts w:ascii="Book Antiqua"/>
          <w:color w:val="231F20"/>
          <w:spacing w:val="2"/>
          <w:sz w:val="17"/>
        </w:rPr>
        <w:t>do</w:t>
      </w:r>
      <w:r>
        <w:rPr>
          <w:rFonts w:ascii="Book Antiqua"/>
          <w:color w:val="231F20"/>
          <w:spacing w:val="-14"/>
          <w:sz w:val="17"/>
        </w:rPr>
        <w:t> </w:t>
      </w:r>
      <w:r>
        <w:rPr>
          <w:rFonts w:ascii="Book Antiqua"/>
          <w:color w:val="231F20"/>
          <w:spacing w:val="3"/>
          <w:sz w:val="17"/>
        </w:rPr>
        <w:t>not</w:t>
      </w:r>
      <w:r>
        <w:rPr>
          <w:rFonts w:ascii="Book Antiqua"/>
          <w:color w:val="231F20"/>
          <w:spacing w:val="-17"/>
          <w:sz w:val="17"/>
        </w:rPr>
        <w:t> </w:t>
      </w:r>
      <w:r>
        <w:rPr>
          <w:rFonts w:ascii="Book Antiqua"/>
          <w:color w:val="231F20"/>
          <w:spacing w:val="2"/>
          <w:sz w:val="17"/>
        </w:rPr>
        <w:t>have</w:t>
      </w:r>
      <w:r>
        <w:rPr>
          <w:rFonts w:ascii="Book Antiqua"/>
          <w:color w:val="231F20"/>
          <w:spacing w:val="-14"/>
          <w:sz w:val="17"/>
        </w:rPr>
        <w:t> </w:t>
      </w:r>
      <w:r>
        <w:rPr>
          <w:rFonts w:ascii="Book Antiqua"/>
          <w:color w:val="231F20"/>
          <w:spacing w:val="2"/>
          <w:sz w:val="17"/>
        </w:rPr>
        <w:t>to</w:t>
      </w:r>
      <w:r>
        <w:rPr>
          <w:rFonts w:ascii="Book Antiqua"/>
          <w:color w:val="231F20"/>
          <w:spacing w:val="-14"/>
          <w:sz w:val="17"/>
        </w:rPr>
        <w:t> </w:t>
      </w:r>
      <w:r>
        <w:rPr>
          <w:rFonts w:ascii="Book Antiqua"/>
          <w:color w:val="231F20"/>
          <w:spacing w:val="3"/>
          <w:sz w:val="17"/>
        </w:rPr>
        <w:t>pay</w:t>
      </w:r>
      <w:r>
        <w:rPr>
          <w:rFonts w:ascii="Book Antiqua"/>
          <w:color w:val="231F20"/>
          <w:spacing w:val="-19"/>
          <w:sz w:val="17"/>
        </w:rPr>
        <w:t> </w:t>
      </w:r>
      <w:r>
        <w:rPr>
          <w:rFonts w:ascii="Book Antiqua"/>
          <w:color w:val="231F20"/>
          <w:spacing w:val="3"/>
          <w:sz w:val="17"/>
        </w:rPr>
        <w:t>high</w:t>
      </w:r>
      <w:r>
        <w:rPr>
          <w:rFonts w:ascii="Book Antiqua"/>
          <w:color w:val="231F20"/>
          <w:spacing w:val="-14"/>
          <w:sz w:val="17"/>
        </w:rPr>
        <w:t> </w:t>
      </w:r>
      <w:r>
        <w:rPr>
          <w:rFonts w:ascii="Book Antiqua"/>
          <w:color w:val="231F20"/>
          <w:spacing w:val="4"/>
          <w:sz w:val="17"/>
        </w:rPr>
        <w:t>fares.</w:t>
      </w:r>
      <w:r>
        <w:rPr>
          <w:rFonts w:ascii="Book Antiqua"/>
          <w:color w:val="231F20"/>
          <w:spacing w:val="-14"/>
          <w:sz w:val="17"/>
        </w:rPr>
        <w:t> </w:t>
      </w:r>
      <w:r>
        <w:rPr>
          <w:rFonts w:ascii="Book Antiqua"/>
          <w:color w:val="231F20"/>
          <w:spacing w:val="2"/>
          <w:sz w:val="17"/>
        </w:rPr>
        <w:t>Given</w:t>
      </w:r>
      <w:r>
        <w:rPr>
          <w:rFonts w:ascii="Book Antiqua"/>
          <w:color w:val="231F20"/>
          <w:spacing w:val="-14"/>
          <w:sz w:val="17"/>
        </w:rPr>
        <w:t> </w:t>
      </w:r>
      <w:r>
        <w:rPr>
          <w:rFonts w:ascii="Book Antiqua"/>
          <w:color w:val="231F20"/>
          <w:spacing w:val="3"/>
          <w:sz w:val="17"/>
        </w:rPr>
        <w:t>the</w:t>
      </w:r>
      <w:r>
        <w:rPr>
          <w:rFonts w:ascii="Book Antiqua"/>
          <w:color w:val="231F20"/>
          <w:spacing w:val="-16"/>
          <w:sz w:val="17"/>
        </w:rPr>
        <w:t> </w:t>
      </w:r>
      <w:r>
        <w:rPr>
          <w:rFonts w:ascii="Book Antiqua"/>
          <w:color w:val="231F20"/>
          <w:spacing w:val="3"/>
          <w:sz w:val="17"/>
        </w:rPr>
        <w:t>weak </w:t>
      </w:r>
      <w:r>
        <w:rPr>
          <w:rFonts w:ascii="Book Antiqua"/>
          <w:color w:val="231F20"/>
          <w:spacing w:val="5"/>
          <w:sz w:val="17"/>
        </w:rPr>
        <w:t>financial</w:t>
      </w:r>
      <w:r>
        <w:rPr>
          <w:rFonts w:ascii="Book Antiqua"/>
          <w:color w:val="231F20"/>
          <w:spacing w:val="-7"/>
          <w:sz w:val="17"/>
        </w:rPr>
        <w:t> </w:t>
      </w:r>
      <w:r>
        <w:rPr>
          <w:rFonts w:ascii="Book Antiqua"/>
          <w:color w:val="231F20"/>
          <w:spacing w:val="4"/>
          <w:sz w:val="17"/>
        </w:rPr>
        <w:t>condition</w:t>
      </w:r>
      <w:r>
        <w:rPr>
          <w:rFonts w:ascii="Book Antiqua"/>
          <w:color w:val="231F20"/>
          <w:spacing w:val="-7"/>
          <w:sz w:val="17"/>
        </w:rPr>
        <w:t> </w:t>
      </w:r>
      <w:r>
        <w:rPr>
          <w:rFonts w:ascii="Book Antiqua"/>
          <w:color w:val="231F20"/>
          <w:spacing w:val="2"/>
          <w:sz w:val="17"/>
        </w:rPr>
        <w:t>of</w:t>
      </w:r>
      <w:r>
        <w:rPr>
          <w:rFonts w:ascii="Book Antiqua"/>
          <w:color w:val="231F20"/>
          <w:spacing w:val="-7"/>
          <w:sz w:val="17"/>
        </w:rPr>
        <w:t> </w:t>
      </w:r>
      <w:r>
        <w:rPr>
          <w:rFonts w:ascii="Book Antiqua"/>
          <w:color w:val="231F20"/>
          <w:spacing w:val="3"/>
          <w:sz w:val="17"/>
        </w:rPr>
        <w:t>the</w:t>
      </w:r>
      <w:r>
        <w:rPr>
          <w:rFonts w:ascii="Book Antiqua"/>
          <w:color w:val="231F20"/>
          <w:spacing w:val="-7"/>
          <w:sz w:val="17"/>
        </w:rPr>
        <w:t> </w:t>
      </w:r>
      <w:r>
        <w:rPr>
          <w:rFonts w:ascii="Book Antiqua"/>
          <w:color w:val="231F20"/>
          <w:spacing w:val="3"/>
          <w:sz w:val="17"/>
        </w:rPr>
        <w:t>industry,</w:t>
      </w:r>
      <w:r>
        <w:rPr>
          <w:rFonts w:ascii="Book Antiqua"/>
          <w:color w:val="231F20"/>
          <w:spacing w:val="-12"/>
          <w:sz w:val="17"/>
        </w:rPr>
        <w:t> </w:t>
      </w:r>
      <w:r>
        <w:rPr>
          <w:rFonts w:ascii="Book Antiqua"/>
          <w:color w:val="231F20"/>
          <w:sz w:val="17"/>
        </w:rPr>
        <w:t>we</w:t>
      </w:r>
      <w:r>
        <w:rPr>
          <w:rFonts w:ascii="Book Antiqua"/>
          <w:color w:val="231F20"/>
          <w:spacing w:val="-7"/>
          <w:sz w:val="17"/>
        </w:rPr>
        <w:t> </w:t>
      </w:r>
      <w:r>
        <w:rPr>
          <w:rFonts w:ascii="Book Antiqua"/>
          <w:color w:val="231F20"/>
          <w:spacing w:val="3"/>
          <w:sz w:val="17"/>
        </w:rPr>
        <w:t>are</w:t>
      </w:r>
      <w:r>
        <w:rPr>
          <w:rFonts w:ascii="Book Antiqua"/>
          <w:color w:val="231F20"/>
          <w:spacing w:val="-7"/>
          <w:sz w:val="17"/>
        </w:rPr>
        <w:t> </w:t>
      </w:r>
      <w:r>
        <w:rPr>
          <w:rFonts w:ascii="Book Antiqua"/>
          <w:color w:val="231F20"/>
          <w:spacing w:val="4"/>
          <w:sz w:val="17"/>
        </w:rPr>
        <w:t>uniquely</w:t>
      </w:r>
      <w:r>
        <w:rPr>
          <w:rFonts w:ascii="Book Antiqua"/>
          <w:color w:val="231F20"/>
          <w:spacing w:val="-11"/>
          <w:sz w:val="17"/>
        </w:rPr>
        <w:t> </w:t>
      </w:r>
      <w:r>
        <w:rPr>
          <w:rFonts w:ascii="Book Antiqua"/>
          <w:color w:val="231F20"/>
          <w:spacing w:val="4"/>
          <w:sz w:val="17"/>
        </w:rPr>
        <w:t>positioned</w:t>
      </w:r>
      <w:r>
        <w:rPr>
          <w:rFonts w:ascii="Book Antiqua"/>
          <w:color w:val="231F20"/>
          <w:spacing w:val="-7"/>
          <w:sz w:val="17"/>
        </w:rPr>
        <w:t> </w:t>
      </w:r>
      <w:r>
        <w:rPr>
          <w:rFonts w:ascii="Book Antiqua"/>
          <w:color w:val="231F20"/>
          <w:spacing w:val="5"/>
          <w:sz w:val="17"/>
        </w:rPr>
        <w:t>to </w:t>
      </w:r>
      <w:r>
        <w:rPr>
          <w:rFonts w:ascii="Book Antiqua"/>
          <w:color w:val="231F20"/>
          <w:spacing w:val="2"/>
          <w:w w:val="95"/>
          <w:sz w:val="17"/>
        </w:rPr>
        <w:t>meet</w:t>
      </w:r>
      <w:r>
        <w:rPr>
          <w:rFonts w:ascii="Book Antiqua"/>
          <w:color w:val="231F20"/>
          <w:spacing w:val="-8"/>
          <w:w w:val="95"/>
          <w:sz w:val="17"/>
        </w:rPr>
        <w:t> </w:t>
      </w:r>
      <w:r>
        <w:rPr>
          <w:rFonts w:ascii="Book Antiqua"/>
          <w:color w:val="231F20"/>
          <w:w w:val="95"/>
          <w:sz w:val="17"/>
        </w:rPr>
        <w:t>the</w:t>
      </w:r>
      <w:r>
        <w:rPr>
          <w:rFonts w:ascii="Book Antiqua"/>
          <w:color w:val="231F20"/>
          <w:spacing w:val="-3"/>
          <w:w w:val="95"/>
          <w:sz w:val="17"/>
        </w:rPr>
        <w:t> </w:t>
      </w:r>
      <w:r>
        <w:rPr>
          <w:rFonts w:ascii="Book Antiqua"/>
          <w:color w:val="231F20"/>
          <w:spacing w:val="2"/>
          <w:w w:val="95"/>
          <w:sz w:val="17"/>
        </w:rPr>
        <w:t>increased</w:t>
      </w:r>
      <w:r>
        <w:rPr>
          <w:rFonts w:ascii="Book Antiqua"/>
          <w:color w:val="231F20"/>
          <w:spacing w:val="-3"/>
          <w:w w:val="95"/>
          <w:sz w:val="17"/>
        </w:rPr>
        <w:t> </w:t>
      </w:r>
      <w:r>
        <w:rPr>
          <w:rFonts w:ascii="Book Antiqua"/>
          <w:color w:val="231F20"/>
          <w:spacing w:val="2"/>
          <w:w w:val="95"/>
          <w:sz w:val="17"/>
        </w:rPr>
        <w:t>demand</w:t>
      </w:r>
      <w:r>
        <w:rPr>
          <w:rFonts w:ascii="Book Antiqua"/>
          <w:color w:val="231F20"/>
          <w:spacing w:val="-3"/>
          <w:w w:val="95"/>
          <w:sz w:val="17"/>
        </w:rPr>
        <w:t> </w:t>
      </w:r>
      <w:r>
        <w:rPr>
          <w:rFonts w:ascii="Book Antiqua"/>
          <w:color w:val="231F20"/>
          <w:w w:val="95"/>
          <w:sz w:val="17"/>
        </w:rPr>
        <w:t>for</w:t>
      </w:r>
      <w:r>
        <w:rPr>
          <w:rFonts w:ascii="Book Antiqua"/>
          <w:color w:val="231F20"/>
          <w:spacing w:val="-11"/>
          <w:w w:val="95"/>
          <w:sz w:val="17"/>
        </w:rPr>
        <w:t> </w:t>
      </w:r>
      <w:r>
        <w:rPr>
          <w:rFonts w:ascii="Book Antiqua"/>
          <w:color w:val="231F20"/>
          <w:w w:val="95"/>
          <w:sz w:val="17"/>
        </w:rPr>
        <w:t>low</w:t>
      </w:r>
      <w:r>
        <w:rPr>
          <w:rFonts w:ascii="Book Antiqua"/>
          <w:color w:val="231F20"/>
          <w:spacing w:val="-10"/>
          <w:w w:val="95"/>
          <w:sz w:val="17"/>
        </w:rPr>
        <w:t> </w:t>
      </w:r>
      <w:r>
        <w:rPr>
          <w:rFonts w:ascii="Book Antiqua"/>
          <w:color w:val="231F20"/>
          <w:spacing w:val="2"/>
          <w:w w:val="95"/>
          <w:sz w:val="17"/>
        </w:rPr>
        <w:t>fares.</w:t>
      </w:r>
      <w:r>
        <w:rPr>
          <w:rFonts w:ascii="Book Antiqua"/>
          <w:color w:val="231F20"/>
          <w:spacing w:val="-12"/>
          <w:w w:val="95"/>
          <w:sz w:val="17"/>
        </w:rPr>
        <w:t> </w:t>
      </w:r>
      <w:r>
        <w:rPr>
          <w:rFonts w:ascii="Book Antiqua"/>
          <w:color w:val="231F20"/>
          <w:spacing w:val="3"/>
          <w:w w:val="95"/>
          <w:sz w:val="17"/>
        </w:rPr>
        <w:t>After</w:t>
      </w:r>
      <w:r>
        <w:rPr>
          <w:rFonts w:ascii="Book Antiqua"/>
          <w:color w:val="231F20"/>
          <w:spacing w:val="-11"/>
          <w:w w:val="95"/>
          <w:sz w:val="17"/>
        </w:rPr>
        <w:t> </w:t>
      </w:r>
      <w:r>
        <w:rPr>
          <w:rFonts w:ascii="Book Antiqua"/>
          <w:color w:val="231F20"/>
          <w:spacing w:val="2"/>
          <w:w w:val="95"/>
          <w:sz w:val="17"/>
        </w:rPr>
        <w:t>all,</w:t>
      </w:r>
      <w:r>
        <w:rPr>
          <w:rFonts w:ascii="Book Antiqua"/>
          <w:color w:val="231F20"/>
          <w:spacing w:val="-8"/>
          <w:w w:val="95"/>
          <w:sz w:val="17"/>
        </w:rPr>
        <w:t> </w:t>
      </w:r>
      <w:r>
        <w:rPr>
          <w:rFonts w:ascii="Book Antiqua"/>
          <w:color w:val="231F20"/>
          <w:spacing w:val="3"/>
          <w:w w:val="95"/>
          <w:sz w:val="17"/>
        </w:rPr>
        <w:t>profitably</w:t>
      </w:r>
      <w:r>
        <w:rPr>
          <w:rFonts w:ascii="Book Antiqua"/>
          <w:color w:val="231F20"/>
          <w:spacing w:val="-10"/>
          <w:w w:val="95"/>
          <w:sz w:val="17"/>
        </w:rPr>
        <w:t> </w:t>
      </w:r>
      <w:r>
        <w:rPr>
          <w:rFonts w:ascii="Book Antiqua"/>
          <w:color w:val="231F20"/>
          <w:spacing w:val="3"/>
          <w:w w:val="95"/>
          <w:sz w:val="17"/>
        </w:rPr>
        <w:t>offering </w:t>
      </w:r>
      <w:r>
        <w:rPr>
          <w:rFonts w:ascii="Book Antiqua"/>
          <w:color w:val="231F20"/>
          <w:sz w:val="17"/>
        </w:rPr>
        <w:t>low</w:t>
      </w:r>
      <w:r>
        <w:rPr>
          <w:rFonts w:ascii="Book Antiqua"/>
          <w:color w:val="231F20"/>
          <w:spacing w:val="-14"/>
          <w:sz w:val="17"/>
        </w:rPr>
        <w:t> </w:t>
      </w:r>
      <w:r>
        <w:rPr>
          <w:rFonts w:ascii="Book Antiqua"/>
          <w:color w:val="231F20"/>
          <w:spacing w:val="4"/>
          <w:sz w:val="17"/>
        </w:rPr>
        <w:t>fares</w:t>
      </w:r>
      <w:r>
        <w:rPr>
          <w:rFonts w:ascii="Book Antiqua"/>
          <w:color w:val="231F20"/>
          <w:spacing w:val="-9"/>
          <w:sz w:val="17"/>
        </w:rPr>
        <w:t> </w:t>
      </w:r>
      <w:r>
        <w:rPr>
          <w:rFonts w:ascii="Book Antiqua"/>
          <w:color w:val="231F20"/>
          <w:spacing w:val="2"/>
          <w:sz w:val="17"/>
        </w:rPr>
        <w:t>is</w:t>
      </w:r>
      <w:r>
        <w:rPr>
          <w:rFonts w:ascii="Book Antiqua"/>
          <w:color w:val="231F20"/>
          <w:spacing w:val="-11"/>
          <w:sz w:val="17"/>
        </w:rPr>
        <w:t> </w:t>
      </w:r>
      <w:r>
        <w:rPr>
          <w:rFonts w:ascii="Book Antiqua"/>
          <w:color w:val="231F20"/>
          <w:spacing w:val="3"/>
          <w:sz w:val="17"/>
        </w:rPr>
        <w:t>what</w:t>
      </w:r>
      <w:r>
        <w:rPr>
          <w:rFonts w:ascii="Book Antiqua"/>
          <w:color w:val="231F20"/>
          <w:spacing w:val="-15"/>
          <w:sz w:val="17"/>
        </w:rPr>
        <w:t> </w:t>
      </w:r>
      <w:r>
        <w:rPr>
          <w:rFonts w:ascii="Book Antiqua"/>
          <w:color w:val="231F20"/>
          <w:sz w:val="17"/>
        </w:rPr>
        <w:t>we</w:t>
      </w:r>
      <w:r>
        <w:rPr>
          <w:rFonts w:ascii="Book Antiqua"/>
          <w:color w:val="231F20"/>
          <w:spacing w:val="-9"/>
          <w:sz w:val="17"/>
        </w:rPr>
        <w:t> </w:t>
      </w:r>
      <w:r>
        <w:rPr>
          <w:rFonts w:ascii="Book Antiqua"/>
          <w:color w:val="231F20"/>
          <w:spacing w:val="2"/>
          <w:sz w:val="17"/>
        </w:rPr>
        <w:t>do</w:t>
      </w:r>
      <w:r>
        <w:rPr>
          <w:rFonts w:ascii="Book Antiqua"/>
          <w:color w:val="231F20"/>
          <w:spacing w:val="-9"/>
          <w:sz w:val="17"/>
        </w:rPr>
        <w:t> </w:t>
      </w:r>
      <w:r>
        <w:rPr>
          <w:rFonts w:ascii="Book Antiqua"/>
          <w:color w:val="231F20"/>
          <w:spacing w:val="5"/>
          <w:sz w:val="17"/>
        </w:rPr>
        <w:t>best!</w:t>
      </w:r>
    </w:p>
    <w:p>
      <w:pPr>
        <w:spacing w:line="319" w:lineRule="auto" w:before="0"/>
        <w:ind w:left="43" w:right="1" w:firstLine="360"/>
        <w:jc w:val="right"/>
        <w:rPr>
          <w:rFonts w:ascii="Book Antiqua"/>
          <w:sz w:val="17"/>
        </w:rPr>
      </w:pPr>
      <w:r>
        <w:rPr>
          <w:rFonts w:ascii="Book Antiqua"/>
          <w:color w:val="231F20"/>
          <w:sz w:val="17"/>
        </w:rPr>
        <w:t>As a result of our improved longterm outlook and numerous</w:t>
      </w:r>
      <w:r>
        <w:rPr>
          <w:rFonts w:ascii="Book Antiqua"/>
          <w:color w:val="231F20"/>
          <w:w w:val="91"/>
          <w:sz w:val="17"/>
        </w:rPr>
        <w:t> </w:t>
      </w:r>
      <w:r>
        <w:rPr>
          <w:rFonts w:ascii="Book Antiqua"/>
          <w:color w:val="231F20"/>
          <w:sz w:val="17"/>
        </w:rPr>
        <w:t>opportunities to grow, we have stepped up our growth rate and</w:t>
      </w:r>
      <w:r>
        <w:rPr>
          <w:rFonts w:ascii="Book Antiqua"/>
          <w:color w:val="231F20"/>
          <w:w w:val="91"/>
          <w:sz w:val="17"/>
        </w:rPr>
        <w:t> </w:t>
      </w:r>
      <w:r>
        <w:rPr>
          <w:rFonts w:ascii="Book Antiqua"/>
          <w:color w:val="231F20"/>
          <w:sz w:val="17"/>
        </w:rPr>
        <w:t>currently expect to increase capacity almost eight percent in 2004 and over ten percent in 2005. In total, we have just under 400 Boeing</w:t>
      </w:r>
      <w:r>
        <w:rPr>
          <w:rFonts w:ascii="Book Antiqua"/>
          <w:color w:val="231F20"/>
          <w:w w:val="95"/>
          <w:sz w:val="17"/>
        </w:rPr>
        <w:t> </w:t>
      </w:r>
      <w:r>
        <w:rPr>
          <w:rFonts w:ascii="Book Antiqua"/>
          <w:color w:val="231F20"/>
          <w:sz w:val="17"/>
        </w:rPr>
        <w:t>737 aircraft on either firm order, option, or purchase rights with The</w:t>
      </w:r>
      <w:r>
        <w:rPr>
          <w:rFonts w:ascii="Book Antiqua"/>
          <w:color w:val="231F20"/>
          <w:w w:val="103"/>
          <w:sz w:val="17"/>
        </w:rPr>
        <w:t> </w:t>
      </w:r>
      <w:r>
        <w:rPr>
          <w:rFonts w:ascii="Book Antiqua"/>
          <w:color w:val="231F20"/>
          <w:sz w:val="17"/>
        </w:rPr>
        <w:t>Boeing Company from 2004 through 2012, which results in an</w:t>
      </w:r>
      <w:r>
        <w:rPr>
          <w:rFonts w:ascii="Book Antiqua"/>
          <w:color w:val="231F20"/>
          <w:w w:val="92"/>
          <w:sz w:val="17"/>
        </w:rPr>
        <w:t> </w:t>
      </w:r>
      <w:r>
        <w:rPr>
          <w:rFonts w:ascii="Book Antiqua"/>
          <w:color w:val="231F20"/>
          <w:w w:val="95"/>
          <w:sz w:val="17"/>
        </w:rPr>
        <w:t>annualized growth rate during this period of roughly eight percent.</w:t>
      </w:r>
      <w:r>
        <w:rPr>
          <w:rFonts w:ascii="Book Antiqua"/>
          <w:color w:val="231F20"/>
          <w:w w:val="93"/>
          <w:sz w:val="17"/>
        </w:rPr>
        <w:t> </w:t>
      </w:r>
      <w:r>
        <w:rPr>
          <w:rFonts w:ascii="Book Antiqua"/>
          <w:color w:val="231F20"/>
          <w:sz w:val="17"/>
        </w:rPr>
        <w:t>We are well positioned to grow our traditional low-fare,</w:t>
      </w:r>
      <w:r>
        <w:rPr>
          <w:rFonts w:ascii="Book Antiqua"/>
          <w:color w:val="231F20"/>
          <w:w w:val="90"/>
          <w:sz w:val="17"/>
        </w:rPr>
        <w:t> </w:t>
      </w:r>
      <w:r>
        <w:rPr>
          <w:rFonts w:ascii="Book Antiqua"/>
          <w:color w:val="231F20"/>
          <w:sz w:val="17"/>
        </w:rPr>
        <w:t>point-to-point market niche and are excited to bring the Freedom</w:t>
      </w:r>
      <w:r>
        <w:rPr>
          <w:rFonts w:ascii="Book Antiqua"/>
          <w:color w:val="231F20"/>
          <w:w w:val="93"/>
          <w:sz w:val="17"/>
        </w:rPr>
        <w:t> </w:t>
      </w:r>
      <w:r>
        <w:rPr>
          <w:rFonts w:ascii="Book Antiqua"/>
          <w:color w:val="231F20"/>
          <w:sz w:val="17"/>
        </w:rPr>
        <w:t>to Fly to Philadelphia in May 2004. From Philadelphia, we will</w:t>
      </w:r>
      <w:r>
        <w:rPr>
          <w:rFonts w:ascii="Book Antiqua"/>
          <w:color w:val="231F20"/>
          <w:w w:val="87"/>
          <w:sz w:val="17"/>
        </w:rPr>
        <w:t> </w:t>
      </w:r>
      <w:r>
        <w:rPr>
          <w:rFonts w:ascii="Book Antiqua"/>
          <w:color w:val="231F20"/>
          <w:sz w:val="17"/>
        </w:rPr>
        <w:t>initially begin service to Chicago Midway, Las Vegas, Orlando,</w:t>
      </w:r>
    </w:p>
    <w:p>
      <w:pPr>
        <w:spacing w:before="0"/>
        <w:ind w:left="120" w:right="0" w:firstLine="0"/>
        <w:jc w:val="both"/>
        <w:rPr>
          <w:rFonts w:ascii="Book Antiqua"/>
          <w:sz w:val="17"/>
        </w:rPr>
      </w:pPr>
      <w:r>
        <w:rPr>
          <w:rFonts w:ascii="Book Antiqua"/>
          <w:color w:val="231F20"/>
          <w:w w:val="95"/>
          <w:sz w:val="17"/>
        </w:rPr>
        <w:t>Phoenix, Providence, and Tampa Bay.</w:t>
      </w:r>
    </w:p>
    <w:p>
      <w:pPr>
        <w:pStyle w:val="BodyText"/>
        <w:rPr>
          <w:rFonts w:ascii="Book Antiqua"/>
          <w:sz w:val="20"/>
        </w:rPr>
      </w:pPr>
    </w:p>
    <w:p>
      <w:pPr>
        <w:spacing w:before="171"/>
        <w:ind w:left="120" w:right="0" w:firstLine="0"/>
        <w:jc w:val="both"/>
        <w:rPr>
          <w:rFonts w:ascii="Book Antiqua"/>
          <w:sz w:val="16"/>
        </w:rPr>
      </w:pPr>
      <w:r>
        <w:rPr>
          <w:rFonts w:ascii="Book Antiqua"/>
          <w:color w:val="231F20"/>
          <w:w w:val="95"/>
          <w:sz w:val="16"/>
        </w:rPr>
        <w:t>Airport Automation</w:t>
      </w:r>
    </w:p>
    <w:p>
      <w:pPr>
        <w:pStyle w:val="BodyText"/>
        <w:spacing w:before="1"/>
        <w:rPr>
          <w:rFonts w:ascii="Book Antiqua"/>
          <w:sz w:val="17"/>
        </w:rPr>
      </w:pPr>
    </w:p>
    <w:p>
      <w:pPr>
        <w:spacing w:line="319" w:lineRule="auto" w:before="0"/>
        <w:ind w:left="120" w:right="5" w:firstLine="360"/>
        <w:jc w:val="both"/>
        <w:rPr>
          <w:rFonts w:ascii="Book Antiqua"/>
          <w:sz w:val="17"/>
        </w:rPr>
      </w:pPr>
      <w:r>
        <w:rPr>
          <w:rFonts w:ascii="Book Antiqua"/>
          <w:color w:val="231F20"/>
          <w:spacing w:val="3"/>
          <w:sz w:val="17"/>
        </w:rPr>
        <w:t>Our People </w:t>
      </w:r>
      <w:r>
        <w:rPr>
          <w:rFonts w:ascii="Book Antiqua"/>
          <w:color w:val="231F20"/>
          <w:spacing w:val="2"/>
          <w:sz w:val="17"/>
        </w:rPr>
        <w:t>have </w:t>
      </w:r>
      <w:r>
        <w:rPr>
          <w:rFonts w:ascii="Book Antiqua"/>
          <w:color w:val="231F20"/>
          <w:spacing w:val="3"/>
          <w:sz w:val="17"/>
        </w:rPr>
        <w:t>done </w:t>
      </w:r>
      <w:r>
        <w:rPr>
          <w:rFonts w:ascii="Book Antiqua"/>
          <w:color w:val="231F20"/>
          <w:sz w:val="17"/>
        </w:rPr>
        <w:t>a </w:t>
      </w:r>
      <w:r>
        <w:rPr>
          <w:rFonts w:ascii="Book Antiqua"/>
          <w:color w:val="231F20"/>
          <w:spacing w:val="3"/>
          <w:sz w:val="17"/>
        </w:rPr>
        <w:t>wonderful job </w:t>
      </w:r>
      <w:r>
        <w:rPr>
          <w:rFonts w:ascii="Book Antiqua"/>
          <w:color w:val="231F20"/>
          <w:spacing w:val="2"/>
          <w:sz w:val="17"/>
        </w:rPr>
        <w:t>of </w:t>
      </w:r>
      <w:r>
        <w:rPr>
          <w:rFonts w:ascii="Book Antiqua"/>
          <w:color w:val="231F20"/>
          <w:spacing w:val="4"/>
          <w:sz w:val="17"/>
        </w:rPr>
        <w:t>responding </w:t>
      </w:r>
      <w:r>
        <w:rPr>
          <w:rFonts w:ascii="Book Antiqua"/>
          <w:color w:val="231F20"/>
          <w:spacing w:val="2"/>
          <w:sz w:val="17"/>
        </w:rPr>
        <w:t>to </w:t>
      </w:r>
      <w:r>
        <w:rPr>
          <w:rFonts w:ascii="Book Antiqua"/>
          <w:color w:val="231F20"/>
          <w:spacing w:val="5"/>
          <w:sz w:val="17"/>
        </w:rPr>
        <w:t>the </w:t>
      </w:r>
      <w:r>
        <w:rPr>
          <w:rFonts w:ascii="Book Antiqua"/>
          <w:color w:val="231F20"/>
          <w:spacing w:val="4"/>
          <w:sz w:val="17"/>
        </w:rPr>
        <w:t>multitude </w:t>
      </w:r>
      <w:r>
        <w:rPr>
          <w:rFonts w:ascii="Book Antiqua"/>
          <w:color w:val="231F20"/>
          <w:spacing w:val="2"/>
          <w:sz w:val="17"/>
        </w:rPr>
        <w:t>of </w:t>
      </w:r>
      <w:r>
        <w:rPr>
          <w:rFonts w:ascii="Book Antiqua"/>
          <w:color w:val="231F20"/>
          <w:spacing w:val="4"/>
          <w:sz w:val="17"/>
        </w:rPr>
        <w:t>complex security changes since </w:t>
      </w:r>
      <w:r>
        <w:rPr>
          <w:rFonts w:ascii="Book Antiqua"/>
          <w:color w:val="231F20"/>
          <w:spacing w:val="3"/>
          <w:sz w:val="17"/>
        </w:rPr>
        <w:t>the </w:t>
      </w:r>
      <w:r>
        <w:rPr>
          <w:rFonts w:ascii="Book Antiqua"/>
          <w:color w:val="231F20"/>
          <w:spacing w:val="4"/>
          <w:sz w:val="17"/>
        </w:rPr>
        <w:t>September </w:t>
      </w:r>
      <w:r>
        <w:rPr>
          <w:rFonts w:ascii="Book Antiqua"/>
          <w:color w:val="231F20"/>
          <w:sz w:val="17"/>
        </w:rPr>
        <w:t>11, 2001,</w:t>
      </w:r>
      <w:r>
        <w:rPr>
          <w:rFonts w:ascii="Book Antiqua"/>
          <w:color w:val="231F20"/>
          <w:spacing w:val="-26"/>
          <w:sz w:val="17"/>
        </w:rPr>
        <w:t> </w:t>
      </w:r>
      <w:r>
        <w:rPr>
          <w:rFonts w:ascii="Book Antiqua"/>
          <w:color w:val="231F20"/>
          <w:spacing w:val="3"/>
          <w:sz w:val="17"/>
        </w:rPr>
        <w:t>terrorist</w:t>
      </w:r>
      <w:r>
        <w:rPr>
          <w:rFonts w:ascii="Book Antiqua"/>
          <w:color w:val="231F20"/>
          <w:spacing w:val="-26"/>
          <w:sz w:val="17"/>
        </w:rPr>
        <w:t> </w:t>
      </w:r>
      <w:r>
        <w:rPr>
          <w:rFonts w:ascii="Book Antiqua"/>
          <w:color w:val="231F20"/>
          <w:spacing w:val="3"/>
          <w:sz w:val="17"/>
        </w:rPr>
        <w:t>attacks.</w:t>
      </w:r>
      <w:r>
        <w:rPr>
          <w:rFonts w:ascii="Book Antiqua"/>
          <w:color w:val="231F20"/>
          <w:spacing w:val="-24"/>
          <w:sz w:val="17"/>
        </w:rPr>
        <w:t> </w:t>
      </w:r>
      <w:r>
        <w:rPr>
          <w:rFonts w:ascii="Book Antiqua"/>
          <w:color w:val="231F20"/>
          <w:sz w:val="17"/>
        </w:rPr>
        <w:t>In</w:t>
      </w:r>
      <w:r>
        <w:rPr>
          <w:rFonts w:ascii="Book Antiqua"/>
          <w:color w:val="231F20"/>
          <w:spacing w:val="-24"/>
          <w:sz w:val="17"/>
        </w:rPr>
        <w:t> </w:t>
      </w:r>
      <w:r>
        <w:rPr>
          <w:rFonts w:ascii="Book Antiqua"/>
          <w:color w:val="231F20"/>
          <w:spacing w:val="3"/>
          <w:sz w:val="17"/>
        </w:rPr>
        <w:t>fact,</w:t>
      </w:r>
      <w:r>
        <w:rPr>
          <w:rFonts w:ascii="Book Antiqua"/>
          <w:color w:val="231F20"/>
          <w:spacing w:val="-25"/>
          <w:sz w:val="17"/>
        </w:rPr>
        <w:t> </w:t>
      </w:r>
      <w:r>
        <w:rPr>
          <w:rFonts w:ascii="Book Antiqua"/>
          <w:color w:val="231F20"/>
          <w:spacing w:val="2"/>
          <w:sz w:val="17"/>
        </w:rPr>
        <w:t>our</w:t>
      </w:r>
      <w:r>
        <w:rPr>
          <w:rFonts w:ascii="Book Antiqua"/>
          <w:color w:val="231F20"/>
          <w:spacing w:val="-27"/>
          <w:sz w:val="17"/>
        </w:rPr>
        <w:t> </w:t>
      </w:r>
      <w:r>
        <w:rPr>
          <w:rFonts w:ascii="Book Antiqua"/>
          <w:color w:val="231F20"/>
          <w:spacing w:val="3"/>
          <w:sz w:val="17"/>
        </w:rPr>
        <w:t>Chairman</w:t>
      </w:r>
      <w:r>
        <w:rPr>
          <w:rFonts w:ascii="Book Antiqua"/>
          <w:color w:val="231F20"/>
          <w:spacing w:val="-25"/>
          <w:sz w:val="17"/>
        </w:rPr>
        <w:t> </w:t>
      </w:r>
      <w:r>
        <w:rPr>
          <w:rFonts w:ascii="Book Antiqua"/>
          <w:color w:val="231F20"/>
          <w:spacing w:val="2"/>
          <w:sz w:val="17"/>
        </w:rPr>
        <w:t>was</w:t>
      </w:r>
      <w:r>
        <w:rPr>
          <w:rFonts w:ascii="Book Antiqua"/>
          <w:color w:val="231F20"/>
          <w:spacing w:val="-24"/>
          <w:sz w:val="17"/>
        </w:rPr>
        <w:t> </w:t>
      </w:r>
      <w:r>
        <w:rPr>
          <w:rFonts w:ascii="Book Antiqua"/>
          <w:color w:val="231F20"/>
          <w:spacing w:val="3"/>
          <w:sz w:val="17"/>
        </w:rPr>
        <w:t>recently</w:t>
      </w:r>
      <w:r>
        <w:rPr>
          <w:rFonts w:ascii="Book Antiqua"/>
          <w:color w:val="231F20"/>
          <w:spacing w:val="-27"/>
          <w:sz w:val="17"/>
        </w:rPr>
        <w:t> </w:t>
      </w:r>
      <w:r>
        <w:rPr>
          <w:rFonts w:ascii="Book Antiqua"/>
          <w:color w:val="231F20"/>
          <w:spacing w:val="4"/>
          <w:sz w:val="17"/>
        </w:rPr>
        <w:t>appointed </w:t>
      </w:r>
      <w:r>
        <w:rPr>
          <w:rFonts w:ascii="Book Antiqua"/>
          <w:color w:val="231F20"/>
          <w:spacing w:val="2"/>
          <w:sz w:val="17"/>
        </w:rPr>
        <w:t>to</w:t>
      </w:r>
      <w:r>
        <w:rPr>
          <w:rFonts w:ascii="Book Antiqua"/>
          <w:color w:val="231F20"/>
          <w:spacing w:val="-12"/>
          <w:sz w:val="17"/>
        </w:rPr>
        <w:t> </w:t>
      </w:r>
      <w:r>
        <w:rPr>
          <w:rFonts w:ascii="Book Antiqua"/>
          <w:color w:val="231F20"/>
          <w:spacing w:val="3"/>
          <w:sz w:val="17"/>
        </w:rPr>
        <w:t>the</w:t>
      </w:r>
      <w:r>
        <w:rPr>
          <w:rFonts w:ascii="Book Antiqua"/>
          <w:color w:val="231F20"/>
          <w:spacing w:val="-12"/>
          <w:sz w:val="17"/>
        </w:rPr>
        <w:t> </w:t>
      </w:r>
      <w:r>
        <w:rPr>
          <w:rFonts w:ascii="Book Antiqua"/>
          <w:color w:val="231F20"/>
          <w:spacing w:val="4"/>
          <w:sz w:val="17"/>
        </w:rPr>
        <w:t>Private</w:t>
      </w:r>
      <w:r>
        <w:rPr>
          <w:rFonts w:ascii="Book Antiqua"/>
          <w:color w:val="231F20"/>
          <w:spacing w:val="-12"/>
          <w:sz w:val="17"/>
        </w:rPr>
        <w:t> </w:t>
      </w:r>
      <w:r>
        <w:rPr>
          <w:rFonts w:ascii="Book Antiqua"/>
          <w:color w:val="231F20"/>
          <w:spacing w:val="4"/>
          <w:sz w:val="17"/>
        </w:rPr>
        <w:t>Sector</w:t>
      </w:r>
      <w:r>
        <w:rPr>
          <w:rFonts w:ascii="Book Antiqua"/>
          <w:color w:val="231F20"/>
          <w:spacing w:val="-17"/>
          <w:sz w:val="17"/>
        </w:rPr>
        <w:t> </w:t>
      </w:r>
      <w:r>
        <w:rPr>
          <w:rFonts w:ascii="Book Antiqua"/>
          <w:color w:val="231F20"/>
          <w:spacing w:val="4"/>
          <w:sz w:val="17"/>
        </w:rPr>
        <w:t>Senior</w:t>
      </w:r>
      <w:r>
        <w:rPr>
          <w:rFonts w:ascii="Book Antiqua"/>
          <w:color w:val="231F20"/>
          <w:spacing w:val="-22"/>
          <w:sz w:val="17"/>
        </w:rPr>
        <w:t> </w:t>
      </w:r>
      <w:r>
        <w:rPr>
          <w:rFonts w:ascii="Book Antiqua"/>
          <w:color w:val="231F20"/>
          <w:spacing w:val="4"/>
          <w:sz w:val="17"/>
        </w:rPr>
        <w:t>Advisory</w:t>
      </w:r>
      <w:r>
        <w:rPr>
          <w:rFonts w:ascii="Book Antiqua"/>
          <w:color w:val="231F20"/>
          <w:spacing w:val="-17"/>
          <w:sz w:val="17"/>
        </w:rPr>
        <w:t> </w:t>
      </w:r>
      <w:r>
        <w:rPr>
          <w:rFonts w:ascii="Book Antiqua"/>
          <w:color w:val="231F20"/>
          <w:spacing w:val="4"/>
          <w:sz w:val="17"/>
        </w:rPr>
        <w:t>Committee,</w:t>
      </w:r>
      <w:r>
        <w:rPr>
          <w:rFonts w:ascii="Book Antiqua"/>
          <w:color w:val="231F20"/>
          <w:spacing w:val="-15"/>
          <w:sz w:val="17"/>
        </w:rPr>
        <w:t> </w:t>
      </w:r>
      <w:r>
        <w:rPr>
          <w:rFonts w:ascii="Book Antiqua"/>
          <w:color w:val="231F20"/>
          <w:sz w:val="17"/>
        </w:rPr>
        <w:t>a</w:t>
      </w:r>
      <w:r>
        <w:rPr>
          <w:rFonts w:ascii="Book Antiqua"/>
          <w:color w:val="231F20"/>
          <w:spacing w:val="-12"/>
          <w:sz w:val="17"/>
        </w:rPr>
        <w:t> </w:t>
      </w:r>
      <w:r>
        <w:rPr>
          <w:rFonts w:ascii="Book Antiqua"/>
          <w:color w:val="231F20"/>
          <w:spacing w:val="5"/>
          <w:sz w:val="17"/>
        </w:rPr>
        <w:t>subcommittee</w:t>
      </w:r>
    </w:p>
    <w:p>
      <w:pPr>
        <w:pStyle w:val="BodyText"/>
        <w:rPr>
          <w:rFonts w:ascii="Book Antiqua"/>
          <w:sz w:val="20"/>
        </w:rPr>
      </w:pPr>
      <w:r>
        <w:rPr/>
        <w:br w:type="column"/>
      </w:r>
      <w:r>
        <w:rPr>
          <w:rFonts w:ascii="Book Antiqua"/>
          <w:sz w:val="20"/>
        </w:rPr>
      </w:r>
    </w:p>
    <w:p>
      <w:pPr>
        <w:pStyle w:val="BodyText"/>
        <w:rPr>
          <w:rFonts w:ascii="Book Antiqua"/>
          <w:sz w:val="20"/>
        </w:rPr>
      </w:pPr>
    </w:p>
    <w:p>
      <w:pPr>
        <w:pStyle w:val="BodyText"/>
        <w:spacing w:before="5"/>
        <w:rPr>
          <w:rFonts w:ascii="Book Antiqua"/>
          <w:sz w:val="25"/>
        </w:rPr>
      </w:pPr>
    </w:p>
    <w:p>
      <w:pPr>
        <w:spacing w:line="319" w:lineRule="auto" w:before="0"/>
        <w:ind w:left="120" w:right="551" w:firstLine="0"/>
        <w:jc w:val="both"/>
        <w:rPr>
          <w:rFonts w:ascii="Book Antiqua"/>
          <w:sz w:val="17"/>
        </w:rPr>
      </w:pPr>
      <w:r>
        <w:rPr>
          <w:rFonts w:ascii="Book Antiqua"/>
          <w:color w:val="231F20"/>
          <w:sz w:val="17"/>
        </w:rPr>
        <w:t>of the Homeland Security Advisory Council. Although these new requirements initially presented challenges and longer checkin times and lines for our Customers, the checkin times are back to </w:t>
      </w:r>
      <w:r>
        <w:rPr>
          <w:rFonts w:ascii="Book Antiqua"/>
          <w:color w:val="231F20"/>
          <w:w w:val="95"/>
          <w:sz w:val="17"/>
        </w:rPr>
        <w:t>normal for our Customers and, in many ways, the airport experience has been improved.</w:t>
      </w:r>
    </w:p>
    <w:p>
      <w:pPr>
        <w:spacing w:line="319" w:lineRule="auto" w:before="0"/>
        <w:ind w:left="120" w:right="551" w:firstLine="360"/>
        <w:jc w:val="both"/>
        <w:rPr>
          <w:rFonts w:ascii="Book Antiqua"/>
          <w:sz w:val="17"/>
        </w:rPr>
      </w:pPr>
      <w:r>
        <w:rPr>
          <w:rFonts w:ascii="Book Antiqua"/>
          <w:color w:val="231F20"/>
          <w:spacing w:val="-8"/>
          <w:sz w:val="17"/>
        </w:rPr>
        <w:t>To </w:t>
      </w:r>
      <w:r>
        <w:rPr>
          <w:rFonts w:ascii="Book Antiqua"/>
          <w:color w:val="231F20"/>
          <w:sz w:val="17"/>
        </w:rPr>
        <w:t>facilitate the many new security requirements, we have </w:t>
      </w:r>
      <w:r>
        <w:rPr>
          <w:rFonts w:ascii="Book Antiqua"/>
          <w:color w:val="231F20"/>
          <w:w w:val="95"/>
          <w:sz w:val="17"/>
        </w:rPr>
        <w:t>streamlined our airport operations with automation. </w:t>
      </w:r>
      <w:r>
        <w:rPr>
          <w:rFonts w:ascii="Book Antiqua"/>
          <w:color w:val="231F20"/>
          <w:spacing w:val="-8"/>
          <w:w w:val="95"/>
          <w:sz w:val="17"/>
        </w:rPr>
        <w:t>We </w:t>
      </w:r>
      <w:r>
        <w:rPr>
          <w:rFonts w:ascii="Book Antiqua"/>
          <w:color w:val="231F20"/>
          <w:w w:val="95"/>
          <w:sz w:val="17"/>
        </w:rPr>
        <w:t>implemented </w:t>
      </w:r>
      <w:r>
        <w:rPr>
          <w:rFonts w:ascii="Book Antiqua"/>
          <w:color w:val="231F20"/>
          <w:spacing w:val="4"/>
          <w:sz w:val="17"/>
        </w:rPr>
        <w:t>computer-generated baggage </w:t>
      </w:r>
      <w:r>
        <w:rPr>
          <w:rFonts w:ascii="Book Antiqua"/>
          <w:color w:val="231F20"/>
          <w:spacing w:val="3"/>
          <w:sz w:val="17"/>
        </w:rPr>
        <w:t>tags </w:t>
      </w:r>
      <w:r>
        <w:rPr>
          <w:rFonts w:ascii="Book Antiqua"/>
          <w:color w:val="231F20"/>
          <w:spacing w:val="2"/>
          <w:sz w:val="17"/>
        </w:rPr>
        <w:t>to </w:t>
      </w:r>
      <w:r>
        <w:rPr>
          <w:rFonts w:ascii="Book Antiqua"/>
          <w:color w:val="231F20"/>
          <w:spacing w:val="4"/>
          <w:sz w:val="17"/>
        </w:rPr>
        <w:t>electronically capture </w:t>
      </w:r>
      <w:r>
        <w:rPr>
          <w:rFonts w:ascii="Book Antiqua"/>
          <w:color w:val="231F20"/>
          <w:spacing w:val="5"/>
          <w:sz w:val="17"/>
        </w:rPr>
        <w:t>bags </w:t>
      </w:r>
      <w:r>
        <w:rPr>
          <w:rFonts w:ascii="Book Antiqua"/>
          <w:color w:val="231F20"/>
          <w:sz w:val="17"/>
        </w:rPr>
        <w:t>checked by </w:t>
      </w:r>
      <w:r>
        <w:rPr>
          <w:rFonts w:ascii="Book Antiqua"/>
          <w:color w:val="231F20"/>
          <w:spacing w:val="2"/>
          <w:sz w:val="17"/>
        </w:rPr>
        <w:t>Customers. </w:t>
      </w:r>
      <w:r>
        <w:rPr>
          <w:rFonts w:ascii="Book Antiqua"/>
          <w:color w:val="231F20"/>
          <w:spacing w:val="-6"/>
          <w:sz w:val="17"/>
        </w:rPr>
        <w:t>We </w:t>
      </w:r>
      <w:r>
        <w:rPr>
          <w:rFonts w:ascii="Book Antiqua"/>
          <w:color w:val="231F20"/>
          <w:spacing w:val="2"/>
          <w:sz w:val="17"/>
        </w:rPr>
        <w:t>then introduced computer-generated Automated</w:t>
      </w:r>
      <w:r>
        <w:rPr>
          <w:rFonts w:ascii="Book Antiqua"/>
          <w:color w:val="231F20"/>
          <w:spacing w:val="-24"/>
          <w:sz w:val="17"/>
        </w:rPr>
        <w:t> </w:t>
      </w:r>
      <w:r>
        <w:rPr>
          <w:rFonts w:ascii="Book Antiqua"/>
          <w:color w:val="231F20"/>
          <w:spacing w:val="2"/>
          <w:sz w:val="17"/>
        </w:rPr>
        <w:t>Boarding</w:t>
      </w:r>
      <w:r>
        <w:rPr>
          <w:rFonts w:ascii="Book Antiqua"/>
          <w:color w:val="231F20"/>
          <w:spacing w:val="-24"/>
          <w:sz w:val="17"/>
        </w:rPr>
        <w:t> </w:t>
      </w:r>
      <w:r>
        <w:rPr>
          <w:rFonts w:ascii="Book Antiqua"/>
          <w:color w:val="231F20"/>
          <w:sz w:val="17"/>
        </w:rPr>
        <w:t>Passes</w:t>
      </w:r>
      <w:r>
        <w:rPr>
          <w:rFonts w:ascii="Book Antiqua"/>
          <w:color w:val="231F20"/>
          <w:spacing w:val="-24"/>
          <w:sz w:val="17"/>
        </w:rPr>
        <w:t> </w:t>
      </w:r>
      <w:r>
        <w:rPr>
          <w:rFonts w:ascii="Book Antiqua"/>
          <w:color w:val="231F20"/>
          <w:spacing w:val="2"/>
          <w:sz w:val="17"/>
        </w:rPr>
        <w:t>from</w:t>
      </w:r>
      <w:r>
        <w:rPr>
          <w:rFonts w:ascii="Book Antiqua"/>
          <w:color w:val="231F20"/>
          <w:spacing w:val="-24"/>
          <w:sz w:val="17"/>
        </w:rPr>
        <w:t> </w:t>
      </w:r>
      <w:r>
        <w:rPr>
          <w:rFonts w:ascii="Book Antiqua"/>
          <w:color w:val="231F20"/>
          <w:spacing w:val="2"/>
          <w:sz w:val="17"/>
        </w:rPr>
        <w:t>multiple</w:t>
      </w:r>
      <w:r>
        <w:rPr>
          <w:rFonts w:ascii="Book Antiqua"/>
          <w:color w:val="231F20"/>
          <w:spacing w:val="-24"/>
          <w:sz w:val="17"/>
        </w:rPr>
        <w:t> </w:t>
      </w:r>
      <w:r>
        <w:rPr>
          <w:rFonts w:ascii="Book Antiqua"/>
          <w:color w:val="231F20"/>
          <w:spacing w:val="2"/>
          <w:sz w:val="17"/>
        </w:rPr>
        <w:t>points</w:t>
      </w:r>
      <w:r>
        <w:rPr>
          <w:rFonts w:ascii="Book Antiqua"/>
          <w:color w:val="231F20"/>
          <w:spacing w:val="-24"/>
          <w:sz w:val="17"/>
        </w:rPr>
        <w:t> </w:t>
      </w:r>
      <w:r>
        <w:rPr>
          <w:rFonts w:ascii="Book Antiqua"/>
          <w:color w:val="231F20"/>
          <w:sz w:val="17"/>
        </w:rPr>
        <w:t>at</w:t>
      </w:r>
      <w:r>
        <w:rPr>
          <w:rFonts w:ascii="Book Antiqua"/>
          <w:color w:val="231F20"/>
          <w:spacing w:val="-26"/>
          <w:sz w:val="17"/>
        </w:rPr>
        <w:t> </w:t>
      </w:r>
      <w:r>
        <w:rPr>
          <w:rFonts w:ascii="Book Antiqua"/>
          <w:color w:val="231F20"/>
          <w:sz w:val="17"/>
        </w:rPr>
        <w:t>the</w:t>
      </w:r>
      <w:r>
        <w:rPr>
          <w:rFonts w:ascii="Book Antiqua"/>
          <w:color w:val="231F20"/>
          <w:spacing w:val="-24"/>
          <w:sz w:val="17"/>
        </w:rPr>
        <w:t> </w:t>
      </w:r>
      <w:r>
        <w:rPr>
          <w:rFonts w:ascii="Book Antiqua"/>
          <w:color w:val="231F20"/>
          <w:spacing w:val="3"/>
          <w:sz w:val="17"/>
        </w:rPr>
        <w:t>airport.</w:t>
      </w:r>
      <w:r>
        <w:rPr>
          <w:rFonts w:ascii="Book Antiqua"/>
          <w:color w:val="231F20"/>
          <w:spacing w:val="-28"/>
          <w:sz w:val="17"/>
        </w:rPr>
        <w:t> </w:t>
      </w:r>
      <w:r>
        <w:rPr>
          <w:rFonts w:ascii="Book Antiqua"/>
          <w:color w:val="231F20"/>
          <w:sz w:val="17"/>
        </w:rPr>
        <w:t>This </w:t>
      </w:r>
      <w:r>
        <w:rPr>
          <w:rFonts w:ascii="Book Antiqua"/>
          <w:color w:val="231F20"/>
          <w:spacing w:val="-3"/>
          <w:w w:val="95"/>
          <w:sz w:val="17"/>
        </w:rPr>
        <w:t>allows </w:t>
      </w:r>
      <w:r>
        <w:rPr>
          <w:rFonts w:ascii="Book Antiqua"/>
          <w:color w:val="231F20"/>
          <w:w w:val="95"/>
          <w:sz w:val="17"/>
        </w:rPr>
        <w:t>us to identify the Customer </w:t>
      </w:r>
      <w:r>
        <w:rPr>
          <w:rFonts w:ascii="Book Antiqua"/>
          <w:color w:val="231F20"/>
          <w:spacing w:val="-3"/>
          <w:w w:val="95"/>
          <w:sz w:val="17"/>
        </w:rPr>
        <w:t>by </w:t>
      </w:r>
      <w:r>
        <w:rPr>
          <w:rFonts w:ascii="Book Antiqua"/>
          <w:color w:val="231F20"/>
          <w:w w:val="95"/>
          <w:sz w:val="17"/>
        </w:rPr>
        <w:t>name for boarding purposes and </w:t>
      </w:r>
      <w:r>
        <w:rPr>
          <w:rFonts w:ascii="Book Antiqua"/>
          <w:color w:val="231F20"/>
          <w:sz w:val="17"/>
        </w:rPr>
        <w:t>allows</w:t>
      </w:r>
      <w:r>
        <w:rPr>
          <w:rFonts w:ascii="Book Antiqua"/>
          <w:color w:val="231F20"/>
          <w:spacing w:val="-12"/>
          <w:sz w:val="17"/>
        </w:rPr>
        <w:t> </w:t>
      </w:r>
      <w:r>
        <w:rPr>
          <w:rFonts w:ascii="Book Antiqua"/>
          <w:color w:val="231F20"/>
          <w:sz w:val="17"/>
        </w:rPr>
        <w:t>the</w:t>
      </w:r>
      <w:r>
        <w:rPr>
          <w:rFonts w:ascii="Book Antiqua"/>
          <w:color w:val="231F20"/>
          <w:spacing w:val="-12"/>
          <w:sz w:val="17"/>
        </w:rPr>
        <w:t> </w:t>
      </w:r>
      <w:r>
        <w:rPr>
          <w:rFonts w:ascii="Book Antiqua"/>
          <w:color w:val="231F20"/>
          <w:spacing w:val="2"/>
          <w:sz w:val="17"/>
        </w:rPr>
        <w:t>Customer</w:t>
      </w:r>
      <w:r>
        <w:rPr>
          <w:rFonts w:ascii="Book Antiqua"/>
          <w:color w:val="231F20"/>
          <w:spacing w:val="-18"/>
          <w:sz w:val="17"/>
        </w:rPr>
        <w:t> </w:t>
      </w:r>
      <w:r>
        <w:rPr>
          <w:rFonts w:ascii="Book Antiqua"/>
          <w:color w:val="231F20"/>
          <w:sz w:val="17"/>
        </w:rPr>
        <w:t>a</w:t>
      </w:r>
      <w:r>
        <w:rPr>
          <w:rFonts w:ascii="Book Antiqua"/>
          <w:color w:val="231F20"/>
          <w:spacing w:val="-12"/>
          <w:sz w:val="17"/>
        </w:rPr>
        <w:t> </w:t>
      </w:r>
      <w:r>
        <w:rPr>
          <w:rFonts w:ascii="Book Antiqua"/>
          <w:color w:val="231F20"/>
          <w:spacing w:val="2"/>
          <w:sz w:val="17"/>
        </w:rPr>
        <w:t>more</w:t>
      </w:r>
      <w:r>
        <w:rPr>
          <w:rFonts w:ascii="Book Antiqua"/>
          <w:color w:val="231F20"/>
          <w:spacing w:val="-12"/>
          <w:sz w:val="17"/>
        </w:rPr>
        <w:t> </w:t>
      </w:r>
      <w:r>
        <w:rPr>
          <w:rFonts w:ascii="Book Antiqua"/>
          <w:color w:val="231F20"/>
          <w:sz w:val="17"/>
        </w:rPr>
        <w:t>convenient</w:t>
      </w:r>
      <w:r>
        <w:rPr>
          <w:rFonts w:ascii="Book Antiqua"/>
          <w:color w:val="231F20"/>
          <w:spacing w:val="-16"/>
          <w:sz w:val="17"/>
        </w:rPr>
        <w:t> </w:t>
      </w:r>
      <w:r>
        <w:rPr>
          <w:rFonts w:ascii="Book Antiqua"/>
          <w:color w:val="231F20"/>
          <w:spacing w:val="2"/>
          <w:sz w:val="17"/>
        </w:rPr>
        <w:t>checkin</w:t>
      </w:r>
      <w:r>
        <w:rPr>
          <w:rFonts w:ascii="Book Antiqua"/>
          <w:color w:val="231F20"/>
          <w:spacing w:val="-12"/>
          <w:sz w:val="17"/>
        </w:rPr>
        <w:t> </w:t>
      </w:r>
      <w:r>
        <w:rPr>
          <w:rFonts w:ascii="Book Antiqua"/>
          <w:color w:val="231F20"/>
          <w:sz w:val="17"/>
        </w:rPr>
        <w:t>at</w:t>
      </w:r>
      <w:r>
        <w:rPr>
          <w:rFonts w:ascii="Book Antiqua"/>
          <w:color w:val="231F20"/>
          <w:spacing w:val="-16"/>
          <w:sz w:val="17"/>
        </w:rPr>
        <w:t> </w:t>
      </w:r>
      <w:r>
        <w:rPr>
          <w:rFonts w:ascii="Book Antiqua"/>
          <w:color w:val="231F20"/>
          <w:spacing w:val="3"/>
          <w:sz w:val="17"/>
        </w:rPr>
        <w:t>airports</w:t>
      </w:r>
      <w:r>
        <w:rPr>
          <w:rFonts w:ascii="Book Antiqua"/>
          <w:color w:val="231F20"/>
          <w:spacing w:val="-12"/>
          <w:sz w:val="17"/>
        </w:rPr>
        <w:t> </w:t>
      </w:r>
      <w:r>
        <w:rPr>
          <w:rFonts w:ascii="Book Antiqua"/>
          <w:color w:val="231F20"/>
          <w:spacing w:val="3"/>
          <w:sz w:val="17"/>
        </w:rPr>
        <w:t>through </w:t>
      </w:r>
      <w:r>
        <w:rPr>
          <w:rFonts w:ascii="Book Antiqua"/>
          <w:color w:val="231F20"/>
          <w:spacing w:val="2"/>
          <w:sz w:val="17"/>
        </w:rPr>
        <w:t>standing</w:t>
      </w:r>
      <w:r>
        <w:rPr>
          <w:rFonts w:ascii="Book Antiqua"/>
          <w:color w:val="231F20"/>
          <w:spacing w:val="-14"/>
          <w:sz w:val="17"/>
        </w:rPr>
        <w:t> </w:t>
      </w:r>
      <w:r>
        <w:rPr>
          <w:rFonts w:ascii="Book Antiqua"/>
          <w:color w:val="231F20"/>
          <w:sz w:val="17"/>
        </w:rPr>
        <w:t>in</w:t>
      </w:r>
      <w:r>
        <w:rPr>
          <w:rFonts w:ascii="Book Antiqua"/>
          <w:color w:val="231F20"/>
          <w:spacing w:val="-14"/>
          <w:sz w:val="17"/>
        </w:rPr>
        <w:t> </w:t>
      </w:r>
      <w:r>
        <w:rPr>
          <w:rFonts w:ascii="Book Antiqua"/>
          <w:color w:val="231F20"/>
          <w:sz w:val="17"/>
        </w:rPr>
        <w:t>fewer</w:t>
      </w:r>
      <w:r>
        <w:rPr>
          <w:rFonts w:ascii="Book Antiqua"/>
          <w:color w:val="231F20"/>
          <w:spacing w:val="-18"/>
          <w:sz w:val="17"/>
        </w:rPr>
        <w:t> </w:t>
      </w:r>
      <w:r>
        <w:rPr>
          <w:rFonts w:ascii="Book Antiqua"/>
          <w:color w:val="231F20"/>
          <w:spacing w:val="2"/>
          <w:sz w:val="17"/>
        </w:rPr>
        <w:t>lines.</w:t>
      </w:r>
      <w:r>
        <w:rPr>
          <w:rFonts w:ascii="Book Antiqua"/>
          <w:color w:val="231F20"/>
          <w:spacing w:val="-19"/>
          <w:sz w:val="17"/>
        </w:rPr>
        <w:t> </w:t>
      </w:r>
      <w:r>
        <w:rPr>
          <w:rFonts w:ascii="Book Antiqua"/>
          <w:color w:val="231F20"/>
          <w:spacing w:val="-6"/>
          <w:sz w:val="17"/>
        </w:rPr>
        <w:t>We</w:t>
      </w:r>
      <w:r>
        <w:rPr>
          <w:rFonts w:ascii="Book Antiqua"/>
          <w:color w:val="231F20"/>
          <w:spacing w:val="-14"/>
          <w:sz w:val="17"/>
        </w:rPr>
        <w:t> </w:t>
      </w:r>
      <w:r>
        <w:rPr>
          <w:rFonts w:ascii="Book Antiqua"/>
          <w:color w:val="231F20"/>
          <w:spacing w:val="2"/>
          <w:sz w:val="17"/>
        </w:rPr>
        <w:t>also</w:t>
      </w:r>
      <w:r>
        <w:rPr>
          <w:rFonts w:ascii="Book Antiqua"/>
          <w:color w:val="231F20"/>
          <w:spacing w:val="-14"/>
          <w:sz w:val="17"/>
        </w:rPr>
        <w:t> </w:t>
      </w:r>
      <w:r>
        <w:rPr>
          <w:rFonts w:ascii="Book Antiqua"/>
          <w:color w:val="231F20"/>
          <w:spacing w:val="2"/>
          <w:sz w:val="17"/>
        </w:rPr>
        <w:t>implemented</w:t>
      </w:r>
      <w:r>
        <w:rPr>
          <w:rFonts w:ascii="Book Antiqua"/>
          <w:color w:val="231F20"/>
          <w:spacing w:val="-14"/>
          <w:sz w:val="17"/>
        </w:rPr>
        <w:t> </w:t>
      </w:r>
      <w:r>
        <w:rPr>
          <w:rFonts w:ascii="Book Antiqua"/>
          <w:color w:val="231F20"/>
          <w:spacing w:val="3"/>
          <w:sz w:val="17"/>
        </w:rPr>
        <w:t>self-service</w:t>
      </w:r>
      <w:r>
        <w:rPr>
          <w:rFonts w:ascii="Book Antiqua"/>
          <w:color w:val="231F20"/>
          <w:spacing w:val="-14"/>
          <w:sz w:val="17"/>
        </w:rPr>
        <w:t> </w:t>
      </w:r>
      <w:r>
        <w:rPr>
          <w:rFonts w:ascii="Book Antiqua"/>
          <w:color w:val="231F20"/>
          <w:spacing w:val="3"/>
          <w:sz w:val="17"/>
        </w:rPr>
        <w:t>boarding </w:t>
      </w:r>
      <w:r>
        <w:rPr>
          <w:rFonts w:ascii="Book Antiqua"/>
          <w:color w:val="231F20"/>
          <w:sz w:val="17"/>
        </w:rPr>
        <w:t>pass</w:t>
      </w:r>
      <w:r>
        <w:rPr>
          <w:rFonts w:ascii="Book Antiqua"/>
          <w:color w:val="231F20"/>
          <w:spacing w:val="-10"/>
          <w:sz w:val="17"/>
        </w:rPr>
        <w:t> </w:t>
      </w:r>
      <w:r>
        <w:rPr>
          <w:rFonts w:ascii="Book Antiqua"/>
          <w:color w:val="231F20"/>
          <w:sz w:val="17"/>
        </w:rPr>
        <w:t>kiosks,</w:t>
      </w:r>
      <w:r>
        <w:rPr>
          <w:rFonts w:ascii="Book Antiqua"/>
          <w:color w:val="231F20"/>
          <w:spacing w:val="-13"/>
          <w:sz w:val="17"/>
        </w:rPr>
        <w:t> </w:t>
      </w:r>
      <w:r>
        <w:rPr>
          <w:rFonts w:ascii="Book Antiqua"/>
          <w:color w:val="231F20"/>
          <w:sz w:val="17"/>
        </w:rPr>
        <w:t>or</w:t>
      </w:r>
      <w:r>
        <w:rPr>
          <w:rFonts w:ascii="Book Antiqua"/>
          <w:color w:val="231F20"/>
          <w:spacing w:val="-15"/>
          <w:sz w:val="17"/>
        </w:rPr>
        <w:t> </w:t>
      </w:r>
      <w:r>
        <w:rPr>
          <w:rFonts w:ascii="Book Antiqua"/>
          <w:color w:val="231F20"/>
          <w:sz w:val="17"/>
        </w:rPr>
        <w:t>RAPID</w:t>
      </w:r>
      <w:r>
        <w:rPr>
          <w:rFonts w:ascii="Book Antiqua"/>
          <w:color w:val="231F20"/>
          <w:spacing w:val="-10"/>
          <w:sz w:val="17"/>
        </w:rPr>
        <w:t> </w:t>
      </w:r>
      <w:r>
        <w:rPr>
          <w:rFonts w:ascii="Book Antiqua"/>
          <w:color w:val="231F20"/>
          <w:sz w:val="17"/>
        </w:rPr>
        <w:t>CHECK-IN,</w:t>
      </w:r>
      <w:r>
        <w:rPr>
          <w:rFonts w:ascii="Book Antiqua"/>
          <w:color w:val="231F20"/>
          <w:spacing w:val="-13"/>
          <w:sz w:val="17"/>
        </w:rPr>
        <w:t> </w:t>
      </w:r>
      <w:r>
        <w:rPr>
          <w:rFonts w:ascii="Book Antiqua"/>
          <w:color w:val="231F20"/>
          <w:sz w:val="17"/>
        </w:rPr>
        <w:t>to</w:t>
      </w:r>
      <w:r>
        <w:rPr>
          <w:rFonts w:ascii="Book Antiqua"/>
          <w:color w:val="231F20"/>
          <w:spacing w:val="-10"/>
          <w:sz w:val="17"/>
        </w:rPr>
        <w:t> </w:t>
      </w:r>
      <w:r>
        <w:rPr>
          <w:rFonts w:ascii="Book Antiqua"/>
          <w:color w:val="231F20"/>
          <w:sz w:val="17"/>
        </w:rPr>
        <w:t>allow</w:t>
      </w:r>
      <w:r>
        <w:rPr>
          <w:rFonts w:ascii="Book Antiqua"/>
          <w:color w:val="231F20"/>
          <w:spacing w:val="-15"/>
          <w:sz w:val="17"/>
        </w:rPr>
        <w:t> </w:t>
      </w:r>
      <w:r>
        <w:rPr>
          <w:rFonts w:ascii="Book Antiqua"/>
          <w:color w:val="231F20"/>
          <w:sz w:val="17"/>
        </w:rPr>
        <w:t>our</w:t>
      </w:r>
      <w:r>
        <w:rPr>
          <w:rFonts w:ascii="Book Antiqua"/>
          <w:color w:val="231F20"/>
          <w:spacing w:val="-15"/>
          <w:sz w:val="17"/>
        </w:rPr>
        <w:t> </w:t>
      </w:r>
      <w:r>
        <w:rPr>
          <w:rFonts w:ascii="Book Antiqua"/>
          <w:color w:val="231F20"/>
          <w:sz w:val="17"/>
        </w:rPr>
        <w:t>Customers</w:t>
      </w:r>
      <w:r>
        <w:rPr>
          <w:rFonts w:ascii="Book Antiqua"/>
          <w:color w:val="231F20"/>
          <w:spacing w:val="-12"/>
          <w:sz w:val="17"/>
        </w:rPr>
        <w:t> </w:t>
      </w:r>
      <w:r>
        <w:rPr>
          <w:rFonts w:ascii="Book Antiqua"/>
          <w:color w:val="231F20"/>
          <w:sz w:val="17"/>
        </w:rPr>
        <w:t>plenty</w:t>
      </w:r>
      <w:r>
        <w:rPr>
          <w:rFonts w:ascii="Book Antiqua"/>
          <w:color w:val="231F20"/>
          <w:spacing w:val="-16"/>
          <w:sz w:val="17"/>
        </w:rPr>
        <w:t> </w:t>
      </w:r>
      <w:r>
        <w:rPr>
          <w:rFonts w:ascii="Book Antiqua"/>
          <w:color w:val="231F20"/>
          <w:sz w:val="17"/>
        </w:rPr>
        <w:t>of options</w:t>
      </w:r>
      <w:r>
        <w:rPr>
          <w:rFonts w:ascii="Book Antiqua"/>
          <w:color w:val="231F20"/>
          <w:spacing w:val="-20"/>
          <w:sz w:val="17"/>
        </w:rPr>
        <w:t> </w:t>
      </w:r>
      <w:r>
        <w:rPr>
          <w:rFonts w:ascii="Book Antiqua"/>
          <w:color w:val="231F20"/>
          <w:sz w:val="17"/>
        </w:rPr>
        <w:t>to</w:t>
      </w:r>
      <w:r>
        <w:rPr>
          <w:rFonts w:ascii="Book Antiqua"/>
          <w:color w:val="231F20"/>
          <w:spacing w:val="-20"/>
          <w:sz w:val="17"/>
        </w:rPr>
        <w:t> </w:t>
      </w:r>
      <w:r>
        <w:rPr>
          <w:rFonts w:ascii="Book Antiqua"/>
          <w:color w:val="231F20"/>
          <w:sz w:val="17"/>
        </w:rPr>
        <w:t>acquire</w:t>
      </w:r>
      <w:r>
        <w:rPr>
          <w:rFonts w:ascii="Book Antiqua"/>
          <w:color w:val="231F20"/>
          <w:spacing w:val="-20"/>
          <w:sz w:val="17"/>
        </w:rPr>
        <w:t> </w:t>
      </w:r>
      <w:r>
        <w:rPr>
          <w:rFonts w:ascii="Book Antiqua"/>
          <w:color w:val="231F20"/>
          <w:sz w:val="17"/>
        </w:rPr>
        <w:t>boarding</w:t>
      </w:r>
      <w:r>
        <w:rPr>
          <w:rFonts w:ascii="Book Antiqua"/>
          <w:color w:val="231F20"/>
          <w:spacing w:val="-20"/>
          <w:sz w:val="17"/>
        </w:rPr>
        <w:t> </w:t>
      </w:r>
      <w:r>
        <w:rPr>
          <w:rFonts w:ascii="Book Antiqua"/>
          <w:color w:val="231F20"/>
          <w:sz w:val="17"/>
        </w:rPr>
        <w:t>passes</w:t>
      </w:r>
      <w:r>
        <w:rPr>
          <w:rFonts w:ascii="Book Antiqua"/>
          <w:color w:val="231F20"/>
          <w:spacing w:val="-20"/>
          <w:sz w:val="17"/>
        </w:rPr>
        <w:t> </w:t>
      </w:r>
      <w:r>
        <w:rPr>
          <w:rFonts w:ascii="Book Antiqua"/>
          <w:color w:val="231F20"/>
          <w:sz w:val="17"/>
        </w:rPr>
        <w:t>and</w:t>
      </w:r>
      <w:r>
        <w:rPr>
          <w:rFonts w:ascii="Book Antiqua"/>
          <w:color w:val="231F20"/>
          <w:spacing w:val="-20"/>
          <w:sz w:val="17"/>
        </w:rPr>
        <w:t> </w:t>
      </w:r>
      <w:r>
        <w:rPr>
          <w:rFonts w:ascii="Book Antiqua"/>
          <w:color w:val="231F20"/>
          <w:sz w:val="17"/>
        </w:rPr>
        <w:t>alleviate</w:t>
      </w:r>
      <w:r>
        <w:rPr>
          <w:rFonts w:ascii="Book Antiqua"/>
          <w:color w:val="231F20"/>
          <w:spacing w:val="-19"/>
          <w:sz w:val="17"/>
        </w:rPr>
        <w:t> </w:t>
      </w:r>
      <w:r>
        <w:rPr>
          <w:rFonts w:ascii="Book Antiqua"/>
          <w:color w:val="231F20"/>
          <w:sz w:val="17"/>
        </w:rPr>
        <w:t>checkin</w:t>
      </w:r>
      <w:r>
        <w:rPr>
          <w:rFonts w:ascii="Book Antiqua"/>
          <w:color w:val="231F20"/>
          <w:spacing w:val="-22"/>
          <w:sz w:val="17"/>
        </w:rPr>
        <w:t> </w:t>
      </w:r>
      <w:r>
        <w:rPr>
          <w:rFonts w:ascii="Book Antiqua"/>
          <w:color w:val="231F20"/>
          <w:sz w:val="17"/>
        </w:rPr>
        <w:t>lines</w:t>
      </w:r>
      <w:r>
        <w:rPr>
          <w:rFonts w:ascii="Book Antiqua"/>
          <w:color w:val="231F20"/>
          <w:spacing w:val="-22"/>
          <w:sz w:val="17"/>
        </w:rPr>
        <w:t> </w:t>
      </w:r>
      <w:r>
        <w:rPr>
          <w:rFonts w:ascii="Book Antiqua"/>
          <w:color w:val="231F20"/>
          <w:sz w:val="17"/>
        </w:rPr>
        <w:t>at</w:t>
      </w:r>
      <w:r>
        <w:rPr>
          <w:rFonts w:ascii="Book Antiqua"/>
          <w:color w:val="231F20"/>
          <w:spacing w:val="-26"/>
          <w:sz w:val="17"/>
        </w:rPr>
        <w:t> </w:t>
      </w:r>
      <w:r>
        <w:rPr>
          <w:rFonts w:ascii="Book Antiqua"/>
          <w:color w:val="231F20"/>
          <w:spacing w:val="-5"/>
          <w:sz w:val="17"/>
        </w:rPr>
        <w:t>ticket </w:t>
      </w:r>
      <w:r>
        <w:rPr>
          <w:rFonts w:ascii="Book Antiqua"/>
          <w:color w:val="231F20"/>
          <w:sz w:val="17"/>
        </w:rPr>
        <w:t>and</w:t>
      </w:r>
      <w:r>
        <w:rPr>
          <w:rFonts w:ascii="Book Antiqua"/>
          <w:color w:val="231F20"/>
          <w:spacing w:val="-22"/>
          <w:sz w:val="17"/>
        </w:rPr>
        <w:t> </w:t>
      </w:r>
      <w:r>
        <w:rPr>
          <w:rFonts w:ascii="Book Antiqua"/>
          <w:color w:val="231F20"/>
          <w:sz w:val="17"/>
        </w:rPr>
        <w:t>gate</w:t>
      </w:r>
      <w:r>
        <w:rPr>
          <w:rFonts w:ascii="Book Antiqua"/>
          <w:color w:val="231F20"/>
          <w:spacing w:val="-22"/>
          <w:sz w:val="17"/>
        </w:rPr>
        <w:t> </w:t>
      </w:r>
      <w:r>
        <w:rPr>
          <w:rFonts w:ascii="Book Antiqua"/>
          <w:color w:val="231F20"/>
          <w:sz w:val="17"/>
        </w:rPr>
        <w:t>counters.</w:t>
      </w:r>
      <w:r>
        <w:rPr>
          <w:rFonts w:ascii="Book Antiqua"/>
          <w:color w:val="231F20"/>
          <w:spacing w:val="-27"/>
          <w:sz w:val="17"/>
        </w:rPr>
        <w:t> </w:t>
      </w:r>
      <w:r>
        <w:rPr>
          <w:rFonts w:ascii="Book Antiqua"/>
          <w:color w:val="231F20"/>
          <w:sz w:val="17"/>
        </w:rPr>
        <w:t>As</w:t>
      </w:r>
      <w:r>
        <w:rPr>
          <w:rFonts w:ascii="Book Antiqua"/>
          <w:color w:val="231F20"/>
          <w:spacing w:val="-22"/>
          <w:sz w:val="17"/>
        </w:rPr>
        <w:t> </w:t>
      </w:r>
      <w:r>
        <w:rPr>
          <w:rFonts w:ascii="Book Antiqua"/>
          <w:color w:val="231F20"/>
          <w:sz w:val="17"/>
        </w:rPr>
        <w:t>a</w:t>
      </w:r>
      <w:r>
        <w:rPr>
          <w:rFonts w:ascii="Book Antiqua"/>
          <w:color w:val="231F20"/>
          <w:spacing w:val="-22"/>
          <w:sz w:val="17"/>
        </w:rPr>
        <w:t> </w:t>
      </w:r>
      <w:r>
        <w:rPr>
          <w:rFonts w:ascii="Book Antiqua"/>
          <w:color w:val="231F20"/>
          <w:sz w:val="17"/>
        </w:rPr>
        <w:t>result</w:t>
      </w:r>
      <w:r>
        <w:rPr>
          <w:rFonts w:ascii="Book Antiqua"/>
          <w:color w:val="231F20"/>
          <w:spacing w:val="-25"/>
          <w:sz w:val="17"/>
        </w:rPr>
        <w:t> </w:t>
      </w:r>
      <w:r>
        <w:rPr>
          <w:rFonts w:ascii="Book Antiqua"/>
          <w:color w:val="231F20"/>
          <w:sz w:val="17"/>
        </w:rPr>
        <w:t>of</w:t>
      </w:r>
      <w:r>
        <w:rPr>
          <w:rFonts w:ascii="Book Antiqua"/>
          <w:color w:val="231F20"/>
          <w:spacing w:val="-22"/>
          <w:sz w:val="17"/>
        </w:rPr>
        <w:t> </w:t>
      </w:r>
      <w:r>
        <w:rPr>
          <w:rFonts w:ascii="Book Antiqua"/>
          <w:color w:val="231F20"/>
          <w:sz w:val="17"/>
        </w:rPr>
        <w:t>this</w:t>
      </w:r>
      <w:r>
        <w:rPr>
          <w:rFonts w:ascii="Book Antiqua"/>
          <w:color w:val="231F20"/>
          <w:spacing w:val="-22"/>
          <w:sz w:val="17"/>
        </w:rPr>
        <w:t> </w:t>
      </w:r>
      <w:r>
        <w:rPr>
          <w:rFonts w:ascii="Book Antiqua"/>
          <w:color w:val="231F20"/>
          <w:sz w:val="17"/>
        </w:rPr>
        <w:t>technology,</w:t>
      </w:r>
      <w:r>
        <w:rPr>
          <w:rFonts w:ascii="Book Antiqua"/>
          <w:color w:val="231F20"/>
          <w:spacing w:val="-25"/>
          <w:sz w:val="17"/>
        </w:rPr>
        <w:t> </w:t>
      </w:r>
      <w:r>
        <w:rPr>
          <w:rFonts w:ascii="Book Antiqua"/>
          <w:color w:val="231F20"/>
          <w:sz w:val="17"/>
        </w:rPr>
        <w:t>we</w:t>
      </w:r>
      <w:r>
        <w:rPr>
          <w:rFonts w:ascii="Book Antiqua"/>
          <w:color w:val="231F20"/>
          <w:spacing w:val="-19"/>
          <w:sz w:val="17"/>
        </w:rPr>
        <w:t> </w:t>
      </w:r>
      <w:r>
        <w:rPr>
          <w:rFonts w:ascii="Book Antiqua"/>
          <w:color w:val="231F20"/>
          <w:spacing w:val="2"/>
          <w:sz w:val="17"/>
        </w:rPr>
        <w:t>recently</w:t>
      </w:r>
      <w:r>
        <w:rPr>
          <w:rFonts w:ascii="Book Antiqua"/>
          <w:color w:val="231F20"/>
          <w:spacing w:val="-23"/>
          <w:sz w:val="17"/>
        </w:rPr>
        <w:t> </w:t>
      </w:r>
      <w:r>
        <w:rPr>
          <w:rFonts w:ascii="Book Antiqua"/>
          <w:color w:val="231F20"/>
          <w:spacing w:val="2"/>
          <w:sz w:val="17"/>
        </w:rPr>
        <w:t>installed gate reconciliation devices </w:t>
      </w:r>
      <w:r>
        <w:rPr>
          <w:rFonts w:ascii="Book Antiqua"/>
          <w:color w:val="231F20"/>
          <w:sz w:val="17"/>
        </w:rPr>
        <w:t>at our </w:t>
      </w:r>
      <w:r>
        <w:rPr>
          <w:rFonts w:ascii="Book Antiqua"/>
          <w:color w:val="231F20"/>
          <w:spacing w:val="3"/>
          <w:sz w:val="17"/>
        </w:rPr>
        <w:t>airports </w:t>
      </w:r>
      <w:r>
        <w:rPr>
          <w:rFonts w:ascii="Book Antiqua"/>
          <w:color w:val="231F20"/>
          <w:sz w:val="17"/>
        </w:rPr>
        <w:t>to </w:t>
      </w:r>
      <w:r>
        <w:rPr>
          <w:rFonts w:ascii="Book Antiqua"/>
          <w:color w:val="231F20"/>
          <w:spacing w:val="2"/>
          <w:sz w:val="17"/>
        </w:rPr>
        <w:t>speed </w:t>
      </w:r>
      <w:r>
        <w:rPr>
          <w:rFonts w:ascii="Book Antiqua"/>
          <w:color w:val="231F20"/>
          <w:sz w:val="17"/>
        </w:rPr>
        <w:t>the </w:t>
      </w:r>
      <w:r>
        <w:rPr>
          <w:rFonts w:ascii="Book Antiqua"/>
          <w:color w:val="231F20"/>
          <w:spacing w:val="3"/>
          <w:sz w:val="17"/>
        </w:rPr>
        <w:t>boarding </w:t>
      </w:r>
      <w:r>
        <w:rPr>
          <w:rFonts w:ascii="Book Antiqua"/>
          <w:color w:val="231F20"/>
          <w:spacing w:val="2"/>
          <w:sz w:val="17"/>
        </w:rPr>
        <w:t>process. </w:t>
      </w:r>
      <w:r>
        <w:rPr>
          <w:rFonts w:ascii="Book Antiqua"/>
          <w:color w:val="231F20"/>
          <w:sz w:val="17"/>
        </w:rPr>
        <w:t>In </w:t>
      </w:r>
      <w:r>
        <w:rPr>
          <w:rFonts w:ascii="Book Antiqua"/>
          <w:color w:val="231F20"/>
          <w:spacing w:val="2"/>
          <w:sz w:val="17"/>
        </w:rPr>
        <w:t>2004, Customers will </w:t>
      </w:r>
      <w:r>
        <w:rPr>
          <w:rFonts w:ascii="Book Antiqua"/>
          <w:color w:val="231F20"/>
          <w:sz w:val="17"/>
        </w:rPr>
        <w:t>be </w:t>
      </w:r>
      <w:r>
        <w:rPr>
          <w:rFonts w:ascii="Book Antiqua"/>
          <w:color w:val="231F20"/>
          <w:spacing w:val="2"/>
          <w:sz w:val="17"/>
        </w:rPr>
        <w:t>able </w:t>
      </w:r>
      <w:r>
        <w:rPr>
          <w:rFonts w:ascii="Book Antiqua"/>
          <w:color w:val="231F20"/>
          <w:sz w:val="17"/>
        </w:rPr>
        <w:t>to </w:t>
      </w:r>
      <w:r>
        <w:rPr>
          <w:rFonts w:ascii="Book Antiqua"/>
          <w:color w:val="231F20"/>
          <w:spacing w:val="4"/>
          <w:sz w:val="17"/>
        </w:rPr>
        <w:t>check </w:t>
      </w:r>
      <w:r>
        <w:rPr>
          <w:rFonts w:ascii="Book Antiqua"/>
          <w:color w:val="231F20"/>
          <w:spacing w:val="3"/>
          <w:sz w:val="17"/>
        </w:rPr>
        <w:t>bags </w:t>
      </w:r>
      <w:r>
        <w:rPr>
          <w:rFonts w:ascii="Book Antiqua"/>
          <w:color w:val="231F20"/>
          <w:spacing w:val="4"/>
          <w:sz w:val="17"/>
        </w:rPr>
        <w:t>using </w:t>
      </w:r>
      <w:r>
        <w:rPr>
          <w:rFonts w:ascii="Book Antiqua"/>
          <w:color w:val="231F20"/>
          <w:spacing w:val="3"/>
          <w:sz w:val="17"/>
        </w:rPr>
        <w:t>our </w:t>
      </w:r>
      <w:r>
        <w:rPr>
          <w:rFonts w:ascii="Book Antiqua"/>
          <w:color w:val="231F20"/>
          <w:sz w:val="17"/>
        </w:rPr>
        <w:t>RAPID </w:t>
      </w:r>
      <w:r>
        <w:rPr>
          <w:rFonts w:ascii="Book Antiqua"/>
          <w:color w:val="231F20"/>
          <w:spacing w:val="10"/>
          <w:sz w:val="17"/>
        </w:rPr>
        <w:t>CHECK-IN kiosks </w:t>
      </w:r>
      <w:r>
        <w:rPr>
          <w:rFonts w:ascii="Book Antiqua"/>
          <w:color w:val="231F20"/>
          <w:spacing w:val="8"/>
          <w:sz w:val="17"/>
        </w:rPr>
        <w:t>and </w:t>
      </w:r>
      <w:r>
        <w:rPr>
          <w:rFonts w:ascii="Book Antiqua"/>
          <w:color w:val="231F20"/>
          <w:spacing w:val="9"/>
          <w:sz w:val="17"/>
        </w:rPr>
        <w:t>will </w:t>
      </w:r>
      <w:r>
        <w:rPr>
          <w:rFonts w:ascii="Book Antiqua"/>
          <w:color w:val="231F20"/>
          <w:spacing w:val="6"/>
          <w:sz w:val="17"/>
        </w:rPr>
        <w:t>be </w:t>
      </w:r>
      <w:r>
        <w:rPr>
          <w:rFonts w:ascii="Book Antiqua"/>
          <w:color w:val="231F20"/>
          <w:spacing w:val="9"/>
          <w:sz w:val="17"/>
        </w:rPr>
        <w:t>able </w:t>
      </w:r>
      <w:r>
        <w:rPr>
          <w:rFonts w:ascii="Book Antiqua"/>
          <w:color w:val="231F20"/>
          <w:spacing w:val="8"/>
          <w:sz w:val="17"/>
        </w:rPr>
        <w:t>to </w:t>
      </w:r>
      <w:r>
        <w:rPr>
          <w:rFonts w:ascii="Book Antiqua"/>
          <w:color w:val="231F20"/>
          <w:spacing w:val="13"/>
          <w:sz w:val="17"/>
        </w:rPr>
        <w:t>obtain </w:t>
      </w:r>
      <w:r>
        <w:rPr>
          <w:rFonts w:ascii="Book Antiqua"/>
          <w:color w:val="231F20"/>
          <w:spacing w:val="12"/>
          <w:sz w:val="17"/>
        </w:rPr>
        <w:t>their transfer</w:t>
      </w:r>
      <w:r>
        <w:rPr>
          <w:rFonts w:ascii="Book Antiqua"/>
          <w:color w:val="231F20"/>
          <w:spacing w:val="1"/>
          <w:sz w:val="17"/>
        </w:rPr>
        <w:t> </w:t>
      </w:r>
      <w:r>
        <w:rPr>
          <w:rFonts w:ascii="Book Antiqua"/>
          <w:color w:val="231F20"/>
          <w:spacing w:val="12"/>
          <w:sz w:val="17"/>
        </w:rPr>
        <w:t>boarding</w:t>
      </w:r>
      <w:r>
        <w:rPr>
          <w:rFonts w:ascii="Book Antiqua"/>
          <w:color w:val="231F20"/>
          <w:spacing w:val="7"/>
          <w:sz w:val="17"/>
        </w:rPr>
        <w:t> </w:t>
      </w:r>
      <w:r>
        <w:rPr>
          <w:rFonts w:ascii="Book Antiqua"/>
          <w:color w:val="231F20"/>
          <w:spacing w:val="11"/>
          <w:sz w:val="17"/>
        </w:rPr>
        <w:t>passes</w:t>
      </w:r>
      <w:r>
        <w:rPr>
          <w:rFonts w:ascii="Book Antiqua"/>
          <w:color w:val="231F20"/>
          <w:spacing w:val="7"/>
          <w:sz w:val="17"/>
        </w:rPr>
        <w:t> at</w:t>
      </w:r>
      <w:r>
        <w:rPr>
          <w:rFonts w:ascii="Book Antiqua"/>
          <w:color w:val="231F20"/>
          <w:spacing w:val="3"/>
          <w:sz w:val="17"/>
        </w:rPr>
        <w:t> </w:t>
      </w:r>
      <w:r>
        <w:rPr>
          <w:rFonts w:ascii="Book Antiqua"/>
          <w:color w:val="231F20"/>
          <w:spacing w:val="9"/>
          <w:sz w:val="17"/>
        </w:rPr>
        <w:t>the</w:t>
      </w:r>
      <w:r>
        <w:rPr>
          <w:rFonts w:ascii="Book Antiqua"/>
          <w:color w:val="231F20"/>
          <w:spacing w:val="7"/>
          <w:sz w:val="17"/>
        </w:rPr>
        <w:t> </w:t>
      </w:r>
      <w:r>
        <w:rPr>
          <w:rFonts w:ascii="Book Antiqua"/>
          <w:color w:val="231F20"/>
          <w:spacing w:val="10"/>
          <w:sz w:val="17"/>
        </w:rPr>
        <w:t>time</w:t>
      </w:r>
      <w:r>
        <w:rPr>
          <w:rFonts w:ascii="Book Antiqua"/>
          <w:color w:val="231F20"/>
          <w:spacing w:val="7"/>
          <w:sz w:val="17"/>
        </w:rPr>
        <w:t> of </w:t>
      </w:r>
      <w:r>
        <w:rPr>
          <w:rFonts w:ascii="Book Antiqua"/>
          <w:color w:val="231F20"/>
          <w:spacing w:val="12"/>
          <w:sz w:val="17"/>
        </w:rPr>
        <w:t>checkin.</w:t>
      </w:r>
      <w:r>
        <w:rPr>
          <w:rFonts w:ascii="Book Antiqua"/>
          <w:color w:val="231F20"/>
          <w:spacing w:val="-4"/>
          <w:sz w:val="17"/>
        </w:rPr>
        <w:t> </w:t>
      </w:r>
      <w:r>
        <w:rPr>
          <w:rFonts w:ascii="Book Antiqua"/>
          <w:color w:val="231F20"/>
          <w:spacing w:val="-3"/>
          <w:sz w:val="17"/>
        </w:rPr>
        <w:t>We</w:t>
      </w:r>
      <w:r>
        <w:rPr>
          <w:rFonts w:ascii="Book Antiqua"/>
          <w:color w:val="231F20"/>
          <w:spacing w:val="-2"/>
          <w:sz w:val="17"/>
        </w:rPr>
        <w:t> </w:t>
      </w:r>
      <w:r>
        <w:rPr>
          <w:rFonts w:ascii="Book Antiqua"/>
          <w:color w:val="231F20"/>
          <w:spacing w:val="6"/>
          <w:sz w:val="17"/>
        </w:rPr>
        <w:t>will</w:t>
      </w:r>
      <w:r>
        <w:rPr>
          <w:rFonts w:ascii="Book Antiqua"/>
          <w:color w:val="231F20"/>
          <w:spacing w:val="1"/>
          <w:sz w:val="17"/>
        </w:rPr>
        <w:t> </w:t>
      </w:r>
      <w:r>
        <w:rPr>
          <w:rFonts w:ascii="Book Antiqua"/>
          <w:color w:val="231F20"/>
          <w:spacing w:val="6"/>
          <w:sz w:val="17"/>
        </w:rPr>
        <w:t>also offer</w:t>
      </w:r>
      <w:r>
        <w:rPr>
          <w:rFonts w:ascii="Book Antiqua"/>
          <w:color w:val="231F20"/>
          <w:spacing w:val="-22"/>
          <w:sz w:val="17"/>
        </w:rPr>
        <w:t> </w:t>
      </w:r>
      <w:r>
        <w:rPr>
          <w:rFonts w:ascii="Book Antiqua"/>
          <w:color w:val="231F20"/>
          <w:spacing w:val="6"/>
          <w:sz w:val="17"/>
        </w:rPr>
        <w:t>Customer</w:t>
      </w:r>
      <w:r>
        <w:rPr>
          <w:rFonts w:ascii="Book Antiqua"/>
          <w:color w:val="231F20"/>
          <w:spacing w:val="-22"/>
          <w:sz w:val="17"/>
        </w:rPr>
        <w:t> </w:t>
      </w:r>
      <w:r>
        <w:rPr>
          <w:rFonts w:ascii="Book Antiqua"/>
          <w:color w:val="231F20"/>
          <w:spacing w:val="6"/>
          <w:sz w:val="17"/>
        </w:rPr>
        <w:t>checkin</w:t>
      </w:r>
      <w:r>
        <w:rPr>
          <w:rFonts w:ascii="Book Antiqua"/>
          <w:color w:val="231F20"/>
          <w:spacing w:val="-18"/>
          <w:sz w:val="17"/>
        </w:rPr>
        <w:t> </w:t>
      </w:r>
      <w:r>
        <w:rPr>
          <w:rFonts w:ascii="Book Antiqua"/>
          <w:color w:val="231F20"/>
          <w:spacing w:val="4"/>
          <w:sz w:val="17"/>
        </w:rPr>
        <w:t>and</w:t>
      </w:r>
      <w:r>
        <w:rPr>
          <w:rFonts w:ascii="Book Antiqua"/>
          <w:color w:val="231F20"/>
          <w:spacing w:val="-18"/>
          <w:sz w:val="17"/>
        </w:rPr>
        <w:t> </w:t>
      </w:r>
      <w:r>
        <w:rPr>
          <w:rFonts w:ascii="Book Antiqua"/>
          <w:color w:val="231F20"/>
          <w:spacing w:val="6"/>
          <w:sz w:val="17"/>
        </w:rPr>
        <w:t>boarding</w:t>
      </w:r>
      <w:r>
        <w:rPr>
          <w:rFonts w:ascii="Book Antiqua"/>
          <w:color w:val="231F20"/>
          <w:spacing w:val="-18"/>
          <w:sz w:val="17"/>
        </w:rPr>
        <w:t> </w:t>
      </w:r>
      <w:r>
        <w:rPr>
          <w:rFonts w:ascii="Book Antiqua"/>
          <w:color w:val="231F20"/>
          <w:spacing w:val="5"/>
          <w:sz w:val="17"/>
        </w:rPr>
        <w:t>passes</w:t>
      </w:r>
      <w:r>
        <w:rPr>
          <w:rFonts w:ascii="Book Antiqua"/>
          <w:color w:val="231F20"/>
          <w:spacing w:val="-18"/>
          <w:sz w:val="17"/>
        </w:rPr>
        <w:t> </w:t>
      </w:r>
      <w:r>
        <w:rPr>
          <w:rFonts w:ascii="Book Antiqua"/>
          <w:color w:val="231F20"/>
          <w:spacing w:val="3"/>
          <w:sz w:val="17"/>
        </w:rPr>
        <w:t>on</w:t>
      </w:r>
      <w:r>
        <w:rPr>
          <w:rFonts w:ascii="Book Antiqua"/>
          <w:color w:val="231F20"/>
          <w:spacing w:val="-18"/>
          <w:sz w:val="17"/>
        </w:rPr>
        <w:t> </w:t>
      </w:r>
      <w:r>
        <w:rPr>
          <w:rFonts w:ascii="Book Antiqua"/>
          <w:color w:val="231F20"/>
          <w:spacing w:val="6"/>
          <w:sz w:val="17"/>
        </w:rPr>
        <w:t>southwest.com.</w:t>
      </w:r>
    </w:p>
    <w:p>
      <w:pPr>
        <w:pStyle w:val="BodyText"/>
        <w:spacing w:before="2"/>
        <w:rPr>
          <w:rFonts w:ascii="Book Antiqua"/>
          <w:sz w:val="28"/>
        </w:rPr>
      </w:pPr>
    </w:p>
    <w:p>
      <w:pPr>
        <w:spacing w:before="1"/>
        <w:ind w:left="120" w:right="0" w:firstLine="0"/>
        <w:jc w:val="both"/>
        <w:rPr>
          <w:rFonts w:ascii="Book Antiqua"/>
          <w:sz w:val="16"/>
        </w:rPr>
      </w:pPr>
      <w:r>
        <w:rPr>
          <w:rFonts w:ascii="Book Antiqua"/>
          <w:color w:val="231F20"/>
          <w:sz w:val="16"/>
        </w:rPr>
        <w:t>All-Jet Fleet</w:t>
      </w:r>
    </w:p>
    <w:p>
      <w:pPr>
        <w:pStyle w:val="BodyText"/>
        <w:spacing w:before="2"/>
        <w:rPr>
          <w:rFonts w:ascii="Book Antiqua"/>
          <w:sz w:val="17"/>
        </w:rPr>
      </w:pPr>
    </w:p>
    <w:p>
      <w:pPr>
        <w:spacing w:line="319" w:lineRule="auto" w:before="0"/>
        <w:ind w:left="120" w:right="541" w:firstLine="360"/>
        <w:jc w:val="both"/>
        <w:rPr>
          <w:rFonts w:ascii="Book Antiqua"/>
          <w:sz w:val="17"/>
        </w:rPr>
      </w:pPr>
      <w:r>
        <w:rPr>
          <w:rFonts w:ascii="Book Antiqua"/>
          <w:color w:val="231F20"/>
          <w:spacing w:val="5"/>
          <w:sz w:val="17"/>
        </w:rPr>
        <w:t>At </w:t>
      </w:r>
      <w:r>
        <w:rPr>
          <w:rFonts w:ascii="Book Antiqua"/>
          <w:color w:val="231F20"/>
          <w:spacing w:val="10"/>
          <w:sz w:val="17"/>
        </w:rPr>
        <w:t>the end </w:t>
      </w:r>
      <w:r>
        <w:rPr>
          <w:rFonts w:ascii="Book Antiqua"/>
          <w:color w:val="231F20"/>
          <w:spacing w:val="7"/>
          <w:sz w:val="17"/>
        </w:rPr>
        <w:t>of </w:t>
      </w:r>
      <w:r>
        <w:rPr>
          <w:rFonts w:ascii="Book Antiqua"/>
          <w:color w:val="231F20"/>
          <w:spacing w:val="12"/>
          <w:sz w:val="17"/>
        </w:rPr>
        <w:t>2003, Southwest </w:t>
      </w:r>
      <w:r>
        <w:rPr>
          <w:rFonts w:ascii="Book Antiqua"/>
          <w:color w:val="231F20"/>
          <w:spacing w:val="13"/>
          <w:sz w:val="17"/>
        </w:rPr>
        <w:t>operated </w:t>
      </w:r>
      <w:r>
        <w:rPr>
          <w:rFonts w:ascii="Book Antiqua"/>
          <w:color w:val="231F20"/>
          <w:spacing w:val="7"/>
          <w:sz w:val="17"/>
        </w:rPr>
        <w:t>an </w:t>
      </w:r>
      <w:r>
        <w:rPr>
          <w:rFonts w:ascii="Book Antiqua"/>
          <w:color w:val="231F20"/>
          <w:spacing w:val="13"/>
          <w:sz w:val="17"/>
        </w:rPr>
        <w:t>all-coach, </w:t>
      </w:r>
      <w:r>
        <w:rPr>
          <w:rFonts w:ascii="Book Antiqua"/>
          <w:color w:val="231F20"/>
          <w:spacing w:val="4"/>
          <w:sz w:val="17"/>
        </w:rPr>
        <w:t>all-Boeing</w:t>
      </w:r>
      <w:r>
        <w:rPr>
          <w:rFonts w:ascii="Book Antiqua"/>
          <w:color w:val="231F20"/>
          <w:spacing w:val="-18"/>
          <w:sz w:val="17"/>
        </w:rPr>
        <w:t> </w:t>
      </w:r>
      <w:r>
        <w:rPr>
          <w:rFonts w:ascii="Book Antiqua"/>
          <w:color w:val="231F20"/>
          <w:sz w:val="17"/>
        </w:rPr>
        <w:t>737</w:t>
      </w:r>
      <w:r>
        <w:rPr>
          <w:rFonts w:ascii="Book Antiqua"/>
          <w:color w:val="231F20"/>
          <w:spacing w:val="-23"/>
          <w:sz w:val="17"/>
        </w:rPr>
        <w:t> </w:t>
      </w:r>
      <w:r>
        <w:rPr>
          <w:rFonts w:ascii="Book Antiqua"/>
          <w:color w:val="231F20"/>
          <w:sz w:val="17"/>
        </w:rPr>
        <w:t>f</w:t>
      </w:r>
      <w:r>
        <w:rPr>
          <w:rFonts w:ascii="Book Antiqua"/>
          <w:color w:val="231F20"/>
          <w:spacing w:val="-34"/>
          <w:sz w:val="17"/>
        </w:rPr>
        <w:t> </w:t>
      </w:r>
      <w:r>
        <w:rPr>
          <w:rFonts w:ascii="Book Antiqua"/>
          <w:color w:val="231F20"/>
          <w:spacing w:val="4"/>
          <w:sz w:val="17"/>
        </w:rPr>
        <w:t>leet.</w:t>
      </w:r>
      <w:r>
        <w:rPr>
          <w:rFonts w:ascii="Book Antiqua"/>
          <w:color w:val="231F20"/>
          <w:spacing w:val="-23"/>
          <w:sz w:val="17"/>
        </w:rPr>
        <w:t> </w:t>
      </w:r>
      <w:r>
        <w:rPr>
          <w:rFonts w:ascii="Book Antiqua"/>
          <w:color w:val="231F20"/>
          <w:spacing w:val="3"/>
          <w:sz w:val="17"/>
        </w:rPr>
        <w:t>All</w:t>
      </w:r>
      <w:r>
        <w:rPr>
          <w:rFonts w:ascii="Book Antiqua"/>
          <w:color w:val="231F20"/>
          <w:spacing w:val="-18"/>
          <w:sz w:val="17"/>
        </w:rPr>
        <w:t> </w:t>
      </w:r>
      <w:r>
        <w:rPr>
          <w:rFonts w:ascii="Book Antiqua"/>
          <w:color w:val="231F20"/>
          <w:spacing w:val="2"/>
          <w:sz w:val="17"/>
        </w:rPr>
        <w:t>of</w:t>
      </w:r>
      <w:r>
        <w:rPr>
          <w:rFonts w:ascii="Book Antiqua"/>
          <w:color w:val="231F20"/>
          <w:spacing w:val="-18"/>
          <w:sz w:val="17"/>
        </w:rPr>
        <w:t> </w:t>
      </w:r>
      <w:r>
        <w:rPr>
          <w:rFonts w:ascii="Book Antiqua"/>
          <w:color w:val="231F20"/>
          <w:spacing w:val="3"/>
          <w:sz w:val="17"/>
        </w:rPr>
        <w:t>our</w:t>
      </w:r>
      <w:r>
        <w:rPr>
          <w:rFonts w:ascii="Book Antiqua"/>
          <w:color w:val="231F20"/>
          <w:spacing w:val="-23"/>
          <w:sz w:val="17"/>
        </w:rPr>
        <w:t> </w:t>
      </w:r>
      <w:r>
        <w:rPr>
          <w:rFonts w:ascii="Book Antiqua"/>
          <w:color w:val="231F20"/>
          <w:spacing w:val="4"/>
          <w:sz w:val="17"/>
        </w:rPr>
        <w:t>future</w:t>
      </w:r>
      <w:r>
        <w:rPr>
          <w:rFonts w:ascii="Book Antiqua"/>
          <w:color w:val="231F20"/>
          <w:spacing w:val="-18"/>
          <w:sz w:val="17"/>
        </w:rPr>
        <w:t> </w:t>
      </w:r>
      <w:r>
        <w:rPr>
          <w:rFonts w:ascii="Book Antiqua"/>
          <w:color w:val="231F20"/>
          <w:spacing w:val="4"/>
          <w:sz w:val="17"/>
        </w:rPr>
        <w:t>orders,</w:t>
      </w:r>
      <w:r>
        <w:rPr>
          <w:rFonts w:ascii="Book Antiqua"/>
          <w:color w:val="231F20"/>
          <w:spacing w:val="-21"/>
          <w:sz w:val="17"/>
        </w:rPr>
        <w:t> </w:t>
      </w:r>
      <w:r>
        <w:rPr>
          <w:rFonts w:ascii="Book Antiqua"/>
          <w:color w:val="231F20"/>
          <w:spacing w:val="4"/>
          <w:sz w:val="17"/>
        </w:rPr>
        <w:t>options,</w:t>
      </w:r>
      <w:r>
        <w:rPr>
          <w:rFonts w:ascii="Book Antiqua"/>
          <w:color w:val="231F20"/>
          <w:spacing w:val="-21"/>
          <w:sz w:val="17"/>
        </w:rPr>
        <w:t> </w:t>
      </w:r>
      <w:r>
        <w:rPr>
          <w:rFonts w:ascii="Book Antiqua"/>
          <w:color w:val="231F20"/>
          <w:spacing w:val="3"/>
          <w:sz w:val="17"/>
        </w:rPr>
        <w:t>and</w:t>
      </w:r>
      <w:r>
        <w:rPr>
          <w:rFonts w:ascii="Book Antiqua"/>
          <w:color w:val="231F20"/>
          <w:spacing w:val="-18"/>
          <w:sz w:val="17"/>
        </w:rPr>
        <w:t> </w:t>
      </w:r>
      <w:r>
        <w:rPr>
          <w:rFonts w:ascii="Book Antiqua"/>
          <w:color w:val="231F20"/>
          <w:spacing w:val="5"/>
          <w:sz w:val="17"/>
        </w:rPr>
        <w:t>purchase </w:t>
      </w:r>
      <w:r>
        <w:rPr>
          <w:rFonts w:ascii="Book Antiqua"/>
          <w:color w:val="231F20"/>
          <w:spacing w:val="4"/>
          <w:sz w:val="17"/>
        </w:rPr>
        <w:t>rights </w:t>
      </w:r>
      <w:r>
        <w:rPr>
          <w:rFonts w:ascii="Book Antiqua"/>
          <w:color w:val="231F20"/>
          <w:spacing w:val="3"/>
          <w:sz w:val="17"/>
        </w:rPr>
        <w:t>with The </w:t>
      </w:r>
      <w:r>
        <w:rPr>
          <w:rFonts w:ascii="Book Antiqua"/>
          <w:color w:val="231F20"/>
          <w:spacing w:val="4"/>
          <w:sz w:val="17"/>
        </w:rPr>
        <w:t>Boeing </w:t>
      </w:r>
      <w:r>
        <w:rPr>
          <w:rFonts w:ascii="Book Antiqua"/>
          <w:color w:val="231F20"/>
          <w:spacing w:val="3"/>
          <w:sz w:val="17"/>
        </w:rPr>
        <w:t>Company for 2004 </w:t>
      </w:r>
      <w:r>
        <w:rPr>
          <w:rFonts w:ascii="Book Antiqua"/>
          <w:color w:val="231F20"/>
          <w:spacing w:val="4"/>
          <w:sz w:val="17"/>
        </w:rPr>
        <w:t>through </w:t>
      </w:r>
      <w:r>
        <w:rPr>
          <w:rFonts w:ascii="Book Antiqua"/>
          <w:color w:val="231F20"/>
          <w:sz w:val="17"/>
        </w:rPr>
        <w:t>2012 </w:t>
      </w:r>
      <w:r>
        <w:rPr>
          <w:rFonts w:ascii="Book Antiqua"/>
          <w:color w:val="231F20"/>
          <w:spacing w:val="3"/>
          <w:sz w:val="17"/>
        </w:rPr>
        <w:t>are </w:t>
      </w:r>
      <w:r>
        <w:rPr>
          <w:rFonts w:ascii="Book Antiqua"/>
          <w:color w:val="231F20"/>
          <w:spacing w:val="5"/>
          <w:sz w:val="17"/>
        </w:rPr>
        <w:t>for </w:t>
      </w:r>
      <w:r>
        <w:rPr>
          <w:rFonts w:ascii="Book Antiqua"/>
          <w:color w:val="231F20"/>
          <w:sz w:val="17"/>
        </w:rPr>
        <w:t>B737-700s.</w:t>
      </w:r>
      <w:r>
        <w:rPr>
          <w:rFonts w:ascii="Book Antiqua"/>
          <w:color w:val="231F20"/>
          <w:spacing w:val="-20"/>
          <w:sz w:val="17"/>
        </w:rPr>
        <w:t> </w:t>
      </w:r>
      <w:r>
        <w:rPr>
          <w:rFonts w:ascii="Book Antiqua"/>
          <w:color w:val="231F20"/>
          <w:spacing w:val="3"/>
          <w:sz w:val="17"/>
        </w:rPr>
        <w:t>The</w:t>
      </w:r>
      <w:r>
        <w:rPr>
          <w:rFonts w:ascii="Book Antiqua"/>
          <w:color w:val="231F20"/>
          <w:spacing w:val="-13"/>
          <w:sz w:val="17"/>
        </w:rPr>
        <w:t> </w:t>
      </w:r>
      <w:r>
        <w:rPr>
          <w:rFonts w:ascii="Book Antiqua"/>
          <w:color w:val="231F20"/>
          <w:spacing w:val="3"/>
          <w:sz w:val="17"/>
        </w:rPr>
        <w:t>average</w:t>
      </w:r>
      <w:r>
        <w:rPr>
          <w:rFonts w:ascii="Book Antiqua"/>
          <w:color w:val="231F20"/>
          <w:spacing w:val="-13"/>
          <w:sz w:val="17"/>
        </w:rPr>
        <w:t> </w:t>
      </w:r>
      <w:r>
        <w:rPr>
          <w:rFonts w:ascii="Book Antiqua"/>
          <w:color w:val="231F20"/>
          <w:spacing w:val="3"/>
          <w:sz w:val="17"/>
        </w:rPr>
        <w:t>age</w:t>
      </w:r>
      <w:r>
        <w:rPr>
          <w:rFonts w:ascii="Book Antiqua"/>
          <w:color w:val="231F20"/>
          <w:spacing w:val="-13"/>
          <w:sz w:val="17"/>
        </w:rPr>
        <w:t> </w:t>
      </w:r>
      <w:r>
        <w:rPr>
          <w:rFonts w:ascii="Book Antiqua"/>
          <w:color w:val="231F20"/>
          <w:spacing w:val="2"/>
          <w:sz w:val="17"/>
        </w:rPr>
        <w:t>of</w:t>
      </w:r>
      <w:r>
        <w:rPr>
          <w:rFonts w:ascii="Book Antiqua"/>
          <w:color w:val="231F20"/>
          <w:spacing w:val="-13"/>
          <w:sz w:val="17"/>
        </w:rPr>
        <w:t> </w:t>
      </w:r>
      <w:r>
        <w:rPr>
          <w:rFonts w:ascii="Book Antiqua"/>
          <w:color w:val="231F20"/>
          <w:spacing w:val="3"/>
          <w:sz w:val="17"/>
        </w:rPr>
        <w:t>our</w:t>
      </w:r>
      <w:r>
        <w:rPr>
          <w:rFonts w:ascii="Book Antiqua"/>
          <w:color w:val="231F20"/>
          <w:spacing w:val="-23"/>
          <w:sz w:val="17"/>
        </w:rPr>
        <w:t> </w:t>
      </w:r>
      <w:r>
        <w:rPr>
          <w:rFonts w:ascii="Book Antiqua"/>
          <w:color w:val="231F20"/>
          <w:spacing w:val="3"/>
          <w:sz w:val="17"/>
        </w:rPr>
        <w:t>young</w:t>
      </w:r>
      <w:r>
        <w:rPr>
          <w:rFonts w:ascii="Book Antiqua"/>
          <w:color w:val="231F20"/>
          <w:spacing w:val="-13"/>
          <w:sz w:val="17"/>
        </w:rPr>
        <w:t> </w:t>
      </w:r>
      <w:r>
        <w:rPr>
          <w:rFonts w:ascii="Book Antiqua"/>
          <w:color w:val="231F20"/>
          <w:sz w:val="17"/>
        </w:rPr>
        <w:t>f</w:t>
      </w:r>
      <w:r>
        <w:rPr>
          <w:rFonts w:ascii="Book Antiqua"/>
          <w:color w:val="231F20"/>
          <w:spacing w:val="-31"/>
          <w:sz w:val="17"/>
        </w:rPr>
        <w:t> </w:t>
      </w:r>
      <w:r>
        <w:rPr>
          <w:rFonts w:ascii="Book Antiqua"/>
          <w:color w:val="231F20"/>
          <w:spacing w:val="3"/>
          <w:sz w:val="17"/>
        </w:rPr>
        <w:t>leet</w:t>
      </w:r>
      <w:r>
        <w:rPr>
          <w:rFonts w:ascii="Book Antiqua"/>
          <w:color w:val="231F20"/>
          <w:spacing w:val="-16"/>
          <w:sz w:val="17"/>
        </w:rPr>
        <w:t> </w:t>
      </w:r>
      <w:r>
        <w:rPr>
          <w:rFonts w:ascii="Book Antiqua"/>
          <w:color w:val="231F20"/>
          <w:spacing w:val="2"/>
          <w:sz w:val="17"/>
        </w:rPr>
        <w:t>is</w:t>
      </w:r>
      <w:r>
        <w:rPr>
          <w:rFonts w:ascii="Book Antiqua"/>
          <w:color w:val="231F20"/>
          <w:spacing w:val="-13"/>
          <w:sz w:val="17"/>
        </w:rPr>
        <w:t> </w:t>
      </w:r>
      <w:r>
        <w:rPr>
          <w:rFonts w:ascii="Book Antiqua"/>
          <w:color w:val="231F20"/>
          <w:spacing w:val="3"/>
          <w:sz w:val="17"/>
        </w:rPr>
        <w:t>less</w:t>
      </w:r>
      <w:r>
        <w:rPr>
          <w:rFonts w:ascii="Book Antiqua"/>
          <w:color w:val="231F20"/>
          <w:spacing w:val="-13"/>
          <w:sz w:val="17"/>
        </w:rPr>
        <w:t> </w:t>
      </w:r>
      <w:r>
        <w:rPr>
          <w:rFonts w:ascii="Book Antiqua"/>
          <w:color w:val="231F20"/>
          <w:spacing w:val="3"/>
          <w:sz w:val="17"/>
        </w:rPr>
        <w:t>than</w:t>
      </w:r>
      <w:r>
        <w:rPr>
          <w:rFonts w:ascii="Book Antiqua"/>
          <w:color w:val="231F20"/>
          <w:spacing w:val="-13"/>
          <w:sz w:val="17"/>
        </w:rPr>
        <w:t> </w:t>
      </w:r>
      <w:r>
        <w:rPr>
          <w:rFonts w:ascii="Book Antiqua"/>
          <w:color w:val="231F20"/>
          <w:spacing w:val="3"/>
          <w:sz w:val="17"/>
        </w:rPr>
        <w:t>ten</w:t>
      </w:r>
      <w:r>
        <w:rPr>
          <w:rFonts w:ascii="Book Antiqua"/>
          <w:color w:val="231F20"/>
          <w:spacing w:val="-18"/>
          <w:sz w:val="17"/>
        </w:rPr>
        <w:t> </w:t>
      </w:r>
      <w:r>
        <w:rPr>
          <w:rFonts w:ascii="Book Antiqua"/>
          <w:color w:val="231F20"/>
          <w:spacing w:val="4"/>
          <w:sz w:val="17"/>
        </w:rPr>
        <w:t>years. </w:t>
      </w:r>
      <w:r>
        <w:rPr>
          <w:rFonts w:ascii="Book Antiqua"/>
          <w:color w:val="231F20"/>
          <w:spacing w:val="2"/>
          <w:sz w:val="17"/>
        </w:rPr>
        <w:t>As</w:t>
      </w:r>
      <w:r>
        <w:rPr>
          <w:rFonts w:ascii="Book Antiqua"/>
          <w:color w:val="231F20"/>
          <w:spacing w:val="-17"/>
          <w:sz w:val="17"/>
        </w:rPr>
        <w:t> </w:t>
      </w:r>
      <w:r>
        <w:rPr>
          <w:rFonts w:ascii="Book Antiqua"/>
          <w:color w:val="231F20"/>
          <w:spacing w:val="3"/>
          <w:sz w:val="17"/>
        </w:rPr>
        <w:t>the</w:t>
      </w:r>
      <w:r>
        <w:rPr>
          <w:rFonts w:ascii="Book Antiqua"/>
          <w:color w:val="231F20"/>
          <w:spacing w:val="-14"/>
          <w:sz w:val="17"/>
        </w:rPr>
        <w:t> </w:t>
      </w:r>
      <w:r>
        <w:rPr>
          <w:rFonts w:ascii="Book Antiqua"/>
          <w:color w:val="231F20"/>
          <w:sz w:val="17"/>
        </w:rPr>
        <w:t>-700</w:t>
      </w:r>
      <w:r>
        <w:rPr>
          <w:rFonts w:ascii="Book Antiqua"/>
          <w:color w:val="231F20"/>
          <w:spacing w:val="-17"/>
          <w:sz w:val="17"/>
        </w:rPr>
        <w:t> </w:t>
      </w:r>
      <w:r>
        <w:rPr>
          <w:rFonts w:ascii="Book Antiqua"/>
          <w:color w:val="231F20"/>
          <w:spacing w:val="4"/>
          <w:sz w:val="17"/>
        </w:rPr>
        <w:t>model</w:t>
      </w:r>
      <w:r>
        <w:rPr>
          <w:rFonts w:ascii="Book Antiqua"/>
          <w:color w:val="231F20"/>
          <w:spacing w:val="-17"/>
          <w:sz w:val="17"/>
        </w:rPr>
        <w:t> </w:t>
      </w:r>
      <w:r>
        <w:rPr>
          <w:rFonts w:ascii="Book Antiqua"/>
          <w:color w:val="231F20"/>
          <w:spacing w:val="2"/>
          <w:sz w:val="17"/>
        </w:rPr>
        <w:t>is</w:t>
      </w:r>
      <w:r>
        <w:rPr>
          <w:rFonts w:ascii="Book Antiqua"/>
          <w:color w:val="231F20"/>
          <w:spacing w:val="-17"/>
          <w:sz w:val="17"/>
        </w:rPr>
        <w:t> </w:t>
      </w:r>
      <w:r>
        <w:rPr>
          <w:rFonts w:ascii="Book Antiqua"/>
          <w:color w:val="231F20"/>
          <w:spacing w:val="3"/>
          <w:sz w:val="17"/>
        </w:rPr>
        <w:t>our</w:t>
      </w:r>
      <w:r>
        <w:rPr>
          <w:rFonts w:ascii="Book Antiqua"/>
          <w:color w:val="231F20"/>
          <w:spacing w:val="-22"/>
          <w:sz w:val="17"/>
        </w:rPr>
        <w:t> </w:t>
      </w:r>
      <w:r>
        <w:rPr>
          <w:rFonts w:ascii="Book Antiqua"/>
          <w:color w:val="231F20"/>
          <w:spacing w:val="4"/>
          <w:sz w:val="17"/>
        </w:rPr>
        <w:t>future,</w:t>
      </w:r>
      <w:r>
        <w:rPr>
          <w:rFonts w:ascii="Book Antiqua"/>
          <w:color w:val="231F20"/>
          <w:spacing w:val="-23"/>
          <w:sz w:val="17"/>
        </w:rPr>
        <w:t> </w:t>
      </w:r>
      <w:r>
        <w:rPr>
          <w:rFonts w:ascii="Book Antiqua"/>
          <w:color w:val="231F20"/>
          <w:sz w:val="17"/>
        </w:rPr>
        <w:t>we</w:t>
      </w:r>
      <w:r>
        <w:rPr>
          <w:rFonts w:ascii="Book Antiqua"/>
          <w:color w:val="231F20"/>
          <w:spacing w:val="-17"/>
          <w:sz w:val="17"/>
        </w:rPr>
        <w:t> </w:t>
      </w:r>
      <w:r>
        <w:rPr>
          <w:rFonts w:ascii="Book Antiqua"/>
          <w:color w:val="231F20"/>
          <w:spacing w:val="3"/>
          <w:sz w:val="17"/>
        </w:rPr>
        <w:t>are</w:t>
      </w:r>
      <w:r>
        <w:rPr>
          <w:rFonts w:ascii="Book Antiqua"/>
          <w:color w:val="231F20"/>
          <w:spacing w:val="-17"/>
          <w:sz w:val="17"/>
        </w:rPr>
        <w:t> </w:t>
      </w:r>
      <w:r>
        <w:rPr>
          <w:rFonts w:ascii="Book Antiqua"/>
          <w:color w:val="231F20"/>
          <w:spacing w:val="2"/>
          <w:sz w:val="17"/>
        </w:rPr>
        <w:t>in</w:t>
      </w:r>
      <w:r>
        <w:rPr>
          <w:rFonts w:ascii="Book Antiqua"/>
          <w:color w:val="231F20"/>
          <w:spacing w:val="-17"/>
          <w:sz w:val="17"/>
        </w:rPr>
        <w:t> </w:t>
      </w:r>
      <w:r>
        <w:rPr>
          <w:rFonts w:ascii="Book Antiqua"/>
          <w:color w:val="231F20"/>
          <w:spacing w:val="3"/>
          <w:sz w:val="17"/>
        </w:rPr>
        <w:t>the</w:t>
      </w:r>
      <w:r>
        <w:rPr>
          <w:rFonts w:ascii="Book Antiqua"/>
          <w:color w:val="231F20"/>
          <w:spacing w:val="-17"/>
          <w:sz w:val="17"/>
        </w:rPr>
        <w:t> </w:t>
      </w:r>
      <w:r>
        <w:rPr>
          <w:rFonts w:ascii="Book Antiqua"/>
          <w:color w:val="231F20"/>
          <w:spacing w:val="4"/>
          <w:sz w:val="17"/>
        </w:rPr>
        <w:t>process</w:t>
      </w:r>
      <w:r>
        <w:rPr>
          <w:rFonts w:ascii="Book Antiqua"/>
          <w:color w:val="231F20"/>
          <w:spacing w:val="-17"/>
          <w:sz w:val="17"/>
        </w:rPr>
        <w:t> </w:t>
      </w:r>
      <w:r>
        <w:rPr>
          <w:rFonts w:ascii="Book Antiqua"/>
          <w:color w:val="231F20"/>
          <w:spacing w:val="2"/>
          <w:sz w:val="17"/>
        </w:rPr>
        <w:t>of</w:t>
      </w:r>
      <w:r>
        <w:rPr>
          <w:rFonts w:ascii="Book Antiqua"/>
          <w:color w:val="231F20"/>
          <w:spacing w:val="-17"/>
          <w:sz w:val="17"/>
        </w:rPr>
        <w:t> </w:t>
      </w:r>
      <w:r>
        <w:rPr>
          <w:rFonts w:ascii="Book Antiqua"/>
          <w:color w:val="231F20"/>
          <w:spacing w:val="4"/>
          <w:sz w:val="17"/>
        </w:rPr>
        <w:t>retiring</w:t>
      </w:r>
      <w:r>
        <w:rPr>
          <w:rFonts w:ascii="Book Antiqua"/>
          <w:color w:val="231F20"/>
          <w:spacing w:val="-17"/>
          <w:sz w:val="17"/>
        </w:rPr>
        <w:t> </w:t>
      </w:r>
      <w:r>
        <w:rPr>
          <w:rFonts w:ascii="Book Antiqua"/>
          <w:color w:val="231F20"/>
          <w:spacing w:val="5"/>
          <w:sz w:val="17"/>
        </w:rPr>
        <w:t>our</w:t>
      </w:r>
    </w:p>
    <w:p>
      <w:pPr>
        <w:spacing w:line="319" w:lineRule="auto" w:before="0"/>
        <w:ind w:left="120" w:right="552" w:firstLine="0"/>
        <w:jc w:val="both"/>
        <w:rPr>
          <w:rFonts w:ascii="Book Antiqua"/>
          <w:sz w:val="17"/>
        </w:rPr>
      </w:pPr>
      <w:r>
        <w:rPr>
          <w:rFonts w:ascii="Book Antiqua"/>
          <w:color w:val="231F20"/>
          <w:sz w:val="17"/>
        </w:rPr>
        <w:t>-200 f leet over the next two years with 18 and f ive retirements scheduled in 2004 and 2005, respectively.</w:t>
      </w:r>
    </w:p>
    <w:p>
      <w:pPr>
        <w:spacing w:line="319" w:lineRule="auto" w:before="0"/>
        <w:ind w:left="120" w:right="552" w:firstLine="360"/>
        <w:jc w:val="both"/>
        <w:rPr>
          <w:rFonts w:ascii="Book Antiqua"/>
          <w:sz w:val="17"/>
        </w:rPr>
      </w:pPr>
      <w:r>
        <w:rPr>
          <w:rFonts w:ascii="Book Antiqua"/>
          <w:color w:val="231F20"/>
          <w:spacing w:val="3"/>
          <w:sz w:val="17"/>
        </w:rPr>
        <w:t>Since</w:t>
      </w:r>
      <w:r>
        <w:rPr>
          <w:rFonts w:ascii="Book Antiqua"/>
          <w:color w:val="231F20"/>
          <w:spacing w:val="-11"/>
          <w:sz w:val="17"/>
        </w:rPr>
        <w:t> </w:t>
      </w:r>
      <w:r>
        <w:rPr>
          <w:rFonts w:ascii="Book Antiqua"/>
          <w:color w:val="231F20"/>
          <w:sz w:val="17"/>
        </w:rPr>
        <w:t>2001,</w:t>
      </w:r>
      <w:r>
        <w:rPr>
          <w:rFonts w:ascii="Book Antiqua"/>
          <w:color w:val="231F20"/>
          <w:spacing w:val="-16"/>
          <w:sz w:val="17"/>
        </w:rPr>
        <w:t> </w:t>
      </w:r>
      <w:r>
        <w:rPr>
          <w:rFonts w:ascii="Book Antiqua"/>
          <w:color w:val="231F20"/>
          <w:sz w:val="17"/>
        </w:rPr>
        <w:t>we</w:t>
      </w:r>
      <w:r>
        <w:rPr>
          <w:rFonts w:ascii="Book Antiqua"/>
          <w:color w:val="231F20"/>
          <w:spacing w:val="-11"/>
          <w:sz w:val="17"/>
        </w:rPr>
        <w:t> </w:t>
      </w:r>
      <w:r>
        <w:rPr>
          <w:rFonts w:ascii="Book Antiqua"/>
          <w:color w:val="231F20"/>
          <w:sz w:val="17"/>
        </w:rPr>
        <w:t>have</w:t>
      </w:r>
      <w:r>
        <w:rPr>
          <w:rFonts w:ascii="Book Antiqua"/>
          <w:color w:val="231F20"/>
          <w:spacing w:val="-11"/>
          <w:sz w:val="17"/>
        </w:rPr>
        <w:t> </w:t>
      </w:r>
      <w:r>
        <w:rPr>
          <w:rFonts w:ascii="Book Antiqua"/>
          <w:color w:val="231F20"/>
          <w:spacing w:val="3"/>
          <w:sz w:val="17"/>
        </w:rPr>
        <w:t>been</w:t>
      </w:r>
      <w:r>
        <w:rPr>
          <w:rFonts w:ascii="Book Antiqua"/>
          <w:color w:val="231F20"/>
          <w:spacing w:val="-11"/>
          <w:sz w:val="17"/>
        </w:rPr>
        <w:t> </w:t>
      </w:r>
      <w:r>
        <w:rPr>
          <w:rFonts w:ascii="Book Antiqua"/>
          <w:color w:val="231F20"/>
          <w:spacing w:val="3"/>
          <w:sz w:val="17"/>
        </w:rPr>
        <w:t>renewing</w:t>
      </w:r>
      <w:r>
        <w:rPr>
          <w:rFonts w:ascii="Book Antiqua"/>
          <w:color w:val="231F20"/>
          <w:spacing w:val="-11"/>
          <w:sz w:val="17"/>
        </w:rPr>
        <w:t> </w:t>
      </w:r>
      <w:r>
        <w:rPr>
          <w:rFonts w:ascii="Book Antiqua"/>
          <w:color w:val="231F20"/>
          <w:spacing w:val="2"/>
          <w:sz w:val="17"/>
        </w:rPr>
        <w:t>the</w:t>
      </w:r>
      <w:r>
        <w:rPr>
          <w:rFonts w:ascii="Book Antiqua"/>
          <w:color w:val="231F20"/>
          <w:spacing w:val="-11"/>
          <w:sz w:val="17"/>
        </w:rPr>
        <w:t> </w:t>
      </w:r>
      <w:r>
        <w:rPr>
          <w:rFonts w:ascii="Book Antiqua"/>
          <w:color w:val="231F20"/>
          <w:spacing w:val="3"/>
          <w:sz w:val="17"/>
        </w:rPr>
        <w:t>interior</w:t>
      </w:r>
      <w:r>
        <w:rPr>
          <w:rFonts w:ascii="Book Antiqua"/>
          <w:color w:val="231F20"/>
          <w:spacing w:val="-16"/>
          <w:sz w:val="17"/>
        </w:rPr>
        <w:t> </w:t>
      </w:r>
      <w:r>
        <w:rPr>
          <w:rFonts w:ascii="Book Antiqua"/>
          <w:color w:val="231F20"/>
          <w:spacing w:val="2"/>
          <w:sz w:val="17"/>
        </w:rPr>
        <w:t>and</w:t>
      </w:r>
      <w:r>
        <w:rPr>
          <w:rFonts w:ascii="Book Antiqua"/>
          <w:color w:val="231F20"/>
          <w:spacing w:val="-11"/>
          <w:sz w:val="17"/>
        </w:rPr>
        <w:t> </w:t>
      </w:r>
      <w:r>
        <w:rPr>
          <w:rFonts w:ascii="Book Antiqua"/>
          <w:color w:val="231F20"/>
          <w:spacing w:val="3"/>
          <w:sz w:val="17"/>
        </w:rPr>
        <w:t>exterior</w:t>
      </w:r>
      <w:r>
        <w:rPr>
          <w:rFonts w:ascii="Book Antiqua"/>
          <w:color w:val="231F20"/>
          <w:spacing w:val="-16"/>
          <w:sz w:val="17"/>
        </w:rPr>
        <w:t> </w:t>
      </w:r>
      <w:r>
        <w:rPr>
          <w:rFonts w:ascii="Book Antiqua"/>
          <w:color w:val="231F20"/>
          <w:spacing w:val="4"/>
          <w:sz w:val="17"/>
        </w:rPr>
        <w:t>of </w:t>
      </w:r>
      <w:r>
        <w:rPr>
          <w:rFonts w:ascii="Book Antiqua"/>
          <w:color w:val="231F20"/>
          <w:spacing w:val="2"/>
          <w:sz w:val="17"/>
        </w:rPr>
        <w:t>our </w:t>
      </w:r>
      <w:r>
        <w:rPr>
          <w:rFonts w:ascii="Book Antiqua"/>
          <w:color w:val="231F20"/>
          <w:sz w:val="17"/>
        </w:rPr>
        <w:t>f </w:t>
      </w:r>
      <w:r>
        <w:rPr>
          <w:rFonts w:ascii="Book Antiqua"/>
          <w:color w:val="231F20"/>
          <w:spacing w:val="3"/>
          <w:sz w:val="17"/>
        </w:rPr>
        <w:t>leet, including </w:t>
      </w:r>
      <w:r>
        <w:rPr>
          <w:rFonts w:ascii="Book Antiqua"/>
          <w:color w:val="231F20"/>
          <w:spacing w:val="2"/>
          <w:sz w:val="17"/>
        </w:rPr>
        <w:t>leather-covered </w:t>
      </w:r>
      <w:r>
        <w:rPr>
          <w:rFonts w:ascii="Book Antiqua"/>
          <w:color w:val="231F20"/>
          <w:spacing w:val="3"/>
          <w:sz w:val="17"/>
        </w:rPr>
        <w:t>seats. Beginning </w:t>
      </w:r>
      <w:r>
        <w:rPr>
          <w:rFonts w:ascii="Book Antiqua"/>
          <w:color w:val="231F20"/>
          <w:sz w:val="17"/>
        </w:rPr>
        <w:t>in </w:t>
      </w:r>
      <w:r>
        <w:rPr>
          <w:rFonts w:ascii="Book Antiqua"/>
          <w:color w:val="231F20"/>
          <w:spacing w:val="4"/>
          <w:sz w:val="17"/>
        </w:rPr>
        <w:t>October </w:t>
      </w:r>
      <w:r>
        <w:rPr>
          <w:rFonts w:ascii="Book Antiqua"/>
          <w:color w:val="231F20"/>
          <w:spacing w:val="3"/>
          <w:sz w:val="17"/>
        </w:rPr>
        <w:t>2004, </w:t>
      </w:r>
      <w:r>
        <w:rPr>
          <w:rFonts w:ascii="Book Antiqua"/>
          <w:color w:val="231F20"/>
          <w:spacing w:val="2"/>
          <w:sz w:val="17"/>
        </w:rPr>
        <w:t>all </w:t>
      </w:r>
      <w:r>
        <w:rPr>
          <w:rFonts w:ascii="Book Antiqua"/>
          <w:color w:val="231F20"/>
          <w:sz w:val="17"/>
        </w:rPr>
        <w:t>of </w:t>
      </w:r>
      <w:r>
        <w:rPr>
          <w:rFonts w:ascii="Book Antiqua"/>
          <w:color w:val="231F20"/>
          <w:spacing w:val="2"/>
          <w:sz w:val="17"/>
        </w:rPr>
        <w:t>our </w:t>
      </w:r>
      <w:r>
        <w:rPr>
          <w:rFonts w:ascii="Book Antiqua"/>
          <w:color w:val="231F20"/>
          <w:sz w:val="17"/>
        </w:rPr>
        <w:t>-700s </w:t>
      </w:r>
      <w:r>
        <w:rPr>
          <w:rFonts w:ascii="Book Antiqua"/>
          <w:color w:val="231F20"/>
          <w:spacing w:val="2"/>
          <w:sz w:val="17"/>
        </w:rPr>
        <w:t>are </w:t>
      </w:r>
      <w:r>
        <w:rPr>
          <w:rFonts w:ascii="Book Antiqua"/>
          <w:color w:val="231F20"/>
          <w:spacing w:val="3"/>
          <w:sz w:val="17"/>
        </w:rPr>
        <w:t>expected </w:t>
      </w:r>
      <w:r>
        <w:rPr>
          <w:rFonts w:ascii="Book Antiqua"/>
          <w:color w:val="231F20"/>
          <w:sz w:val="17"/>
        </w:rPr>
        <w:t>to be </w:t>
      </w:r>
      <w:r>
        <w:rPr>
          <w:rFonts w:ascii="Book Antiqua"/>
          <w:color w:val="231F20"/>
          <w:spacing w:val="2"/>
          <w:sz w:val="17"/>
        </w:rPr>
        <w:t>delivered </w:t>
      </w:r>
      <w:r>
        <w:rPr>
          <w:rFonts w:ascii="Book Antiqua"/>
          <w:color w:val="231F20"/>
          <w:spacing w:val="3"/>
          <w:sz w:val="17"/>
        </w:rPr>
        <w:t>with </w:t>
      </w:r>
      <w:r>
        <w:rPr>
          <w:rFonts w:ascii="Book Antiqua"/>
          <w:color w:val="231F20"/>
          <w:spacing w:val="4"/>
          <w:sz w:val="17"/>
        </w:rPr>
        <w:t>Blended </w:t>
      </w:r>
      <w:r>
        <w:rPr>
          <w:rFonts w:ascii="Book Antiqua"/>
          <w:color w:val="231F20"/>
          <w:spacing w:val="3"/>
          <w:sz w:val="17"/>
        </w:rPr>
        <w:t>Winglets,</w:t>
      </w:r>
      <w:r>
        <w:rPr>
          <w:rFonts w:ascii="Book Antiqua"/>
          <w:color w:val="231F20"/>
          <w:spacing w:val="-20"/>
          <w:sz w:val="17"/>
        </w:rPr>
        <w:t> </w:t>
      </w:r>
      <w:r>
        <w:rPr>
          <w:rFonts w:ascii="Book Antiqua"/>
          <w:color w:val="231F20"/>
          <w:spacing w:val="2"/>
          <w:sz w:val="17"/>
        </w:rPr>
        <w:t>and</w:t>
      </w:r>
      <w:r>
        <w:rPr>
          <w:rFonts w:ascii="Book Antiqua"/>
          <w:color w:val="231F20"/>
          <w:spacing w:val="-19"/>
          <w:sz w:val="17"/>
        </w:rPr>
        <w:t> </w:t>
      </w:r>
      <w:r>
        <w:rPr>
          <w:rFonts w:ascii="Book Antiqua"/>
          <w:color w:val="231F20"/>
          <w:sz w:val="17"/>
        </w:rPr>
        <w:t>we</w:t>
      </w:r>
      <w:r>
        <w:rPr>
          <w:rFonts w:ascii="Book Antiqua"/>
          <w:color w:val="231F20"/>
          <w:spacing w:val="-17"/>
          <w:sz w:val="17"/>
        </w:rPr>
        <w:t> </w:t>
      </w:r>
      <w:r>
        <w:rPr>
          <w:rFonts w:ascii="Book Antiqua"/>
          <w:color w:val="231F20"/>
          <w:spacing w:val="2"/>
          <w:sz w:val="17"/>
        </w:rPr>
        <w:t>are</w:t>
      </w:r>
      <w:r>
        <w:rPr>
          <w:rFonts w:ascii="Book Antiqua"/>
          <w:color w:val="231F20"/>
          <w:spacing w:val="-17"/>
          <w:sz w:val="17"/>
        </w:rPr>
        <w:t> </w:t>
      </w:r>
      <w:r>
        <w:rPr>
          <w:rFonts w:ascii="Book Antiqua"/>
          <w:color w:val="231F20"/>
          <w:sz w:val="17"/>
        </w:rPr>
        <w:t>in</w:t>
      </w:r>
      <w:r>
        <w:rPr>
          <w:rFonts w:ascii="Book Antiqua"/>
          <w:color w:val="231F20"/>
          <w:spacing w:val="-17"/>
          <w:sz w:val="17"/>
        </w:rPr>
        <w:t> </w:t>
      </w:r>
      <w:r>
        <w:rPr>
          <w:rFonts w:ascii="Book Antiqua"/>
          <w:color w:val="231F20"/>
          <w:spacing w:val="2"/>
          <w:sz w:val="17"/>
        </w:rPr>
        <w:t>the</w:t>
      </w:r>
      <w:r>
        <w:rPr>
          <w:rFonts w:ascii="Book Antiqua"/>
          <w:color w:val="231F20"/>
          <w:spacing w:val="-17"/>
          <w:sz w:val="17"/>
        </w:rPr>
        <w:t> </w:t>
      </w:r>
      <w:r>
        <w:rPr>
          <w:rFonts w:ascii="Book Antiqua"/>
          <w:color w:val="231F20"/>
          <w:spacing w:val="3"/>
          <w:sz w:val="17"/>
        </w:rPr>
        <w:t>process</w:t>
      </w:r>
      <w:r>
        <w:rPr>
          <w:rFonts w:ascii="Book Antiqua"/>
          <w:color w:val="231F20"/>
          <w:spacing w:val="-17"/>
          <w:sz w:val="17"/>
        </w:rPr>
        <w:t> </w:t>
      </w:r>
      <w:r>
        <w:rPr>
          <w:rFonts w:ascii="Book Antiqua"/>
          <w:color w:val="231F20"/>
          <w:sz w:val="17"/>
        </w:rPr>
        <w:t>of</w:t>
      </w:r>
      <w:r>
        <w:rPr>
          <w:rFonts w:ascii="Book Antiqua"/>
          <w:color w:val="231F20"/>
          <w:spacing w:val="-17"/>
          <w:sz w:val="17"/>
        </w:rPr>
        <w:t> </w:t>
      </w:r>
      <w:r>
        <w:rPr>
          <w:rFonts w:ascii="Book Antiqua"/>
          <w:color w:val="231F20"/>
          <w:spacing w:val="4"/>
          <w:sz w:val="17"/>
        </w:rPr>
        <w:t>retrofitting</w:t>
      </w:r>
      <w:r>
        <w:rPr>
          <w:rFonts w:ascii="Book Antiqua"/>
          <w:color w:val="231F20"/>
          <w:spacing w:val="-17"/>
          <w:sz w:val="17"/>
        </w:rPr>
        <w:t> </w:t>
      </w:r>
      <w:r>
        <w:rPr>
          <w:rFonts w:ascii="Book Antiqua"/>
          <w:color w:val="231F20"/>
          <w:spacing w:val="2"/>
          <w:sz w:val="17"/>
        </w:rPr>
        <w:t>our</w:t>
      </w:r>
      <w:r>
        <w:rPr>
          <w:rFonts w:ascii="Book Antiqua"/>
          <w:color w:val="231F20"/>
          <w:spacing w:val="-22"/>
          <w:sz w:val="17"/>
        </w:rPr>
        <w:t> </w:t>
      </w:r>
      <w:r>
        <w:rPr>
          <w:rFonts w:ascii="Book Antiqua"/>
          <w:color w:val="231F20"/>
          <w:spacing w:val="3"/>
          <w:sz w:val="17"/>
        </w:rPr>
        <w:t>existing</w:t>
      </w:r>
      <w:r>
        <w:rPr>
          <w:rFonts w:ascii="Book Antiqua"/>
          <w:color w:val="231F20"/>
          <w:spacing w:val="-14"/>
          <w:sz w:val="17"/>
        </w:rPr>
        <w:t> </w:t>
      </w:r>
      <w:r>
        <w:rPr>
          <w:rFonts w:ascii="Book Antiqua"/>
          <w:color w:val="231F20"/>
          <w:sz w:val="17"/>
        </w:rPr>
        <w:t>-700s </w:t>
      </w:r>
      <w:r>
        <w:rPr>
          <w:rFonts w:ascii="Book Antiqua"/>
          <w:color w:val="231F20"/>
          <w:spacing w:val="3"/>
          <w:sz w:val="17"/>
        </w:rPr>
        <w:t>with </w:t>
      </w:r>
      <w:r>
        <w:rPr>
          <w:rFonts w:ascii="Book Antiqua"/>
          <w:color w:val="231F20"/>
          <w:spacing w:val="4"/>
          <w:sz w:val="17"/>
        </w:rPr>
        <w:t>winglets through </w:t>
      </w:r>
      <w:r>
        <w:rPr>
          <w:rFonts w:ascii="Book Antiqua"/>
          <w:color w:val="231F20"/>
          <w:spacing w:val="3"/>
          <w:sz w:val="17"/>
        </w:rPr>
        <w:t>early </w:t>
      </w:r>
      <w:r>
        <w:rPr>
          <w:rFonts w:ascii="Book Antiqua"/>
          <w:color w:val="231F20"/>
          <w:spacing w:val="4"/>
          <w:sz w:val="17"/>
        </w:rPr>
        <w:t>2005. </w:t>
      </w:r>
      <w:r>
        <w:rPr>
          <w:rFonts w:ascii="Book Antiqua"/>
          <w:color w:val="231F20"/>
          <w:spacing w:val="3"/>
          <w:sz w:val="17"/>
        </w:rPr>
        <w:t>The </w:t>
      </w:r>
      <w:r>
        <w:rPr>
          <w:rFonts w:ascii="Book Antiqua"/>
          <w:color w:val="231F20"/>
          <w:spacing w:val="4"/>
          <w:sz w:val="17"/>
        </w:rPr>
        <w:t>addition </w:t>
      </w:r>
      <w:r>
        <w:rPr>
          <w:rFonts w:ascii="Book Antiqua"/>
          <w:color w:val="231F20"/>
          <w:spacing w:val="2"/>
          <w:sz w:val="17"/>
        </w:rPr>
        <w:t>of </w:t>
      </w:r>
      <w:r>
        <w:rPr>
          <w:rFonts w:ascii="Book Antiqua"/>
          <w:color w:val="231F20"/>
          <w:spacing w:val="4"/>
          <w:sz w:val="17"/>
        </w:rPr>
        <w:t>these </w:t>
      </w:r>
      <w:r>
        <w:rPr>
          <w:rFonts w:ascii="Book Antiqua"/>
          <w:color w:val="231F20"/>
          <w:spacing w:val="5"/>
          <w:sz w:val="17"/>
        </w:rPr>
        <w:t>wing </w:t>
      </w:r>
      <w:r>
        <w:rPr>
          <w:rFonts w:ascii="Book Antiqua"/>
          <w:color w:val="231F20"/>
          <w:spacing w:val="4"/>
          <w:sz w:val="17"/>
        </w:rPr>
        <w:t>enhancements</w:t>
      </w:r>
      <w:r>
        <w:rPr>
          <w:rFonts w:ascii="Book Antiqua"/>
          <w:color w:val="231F20"/>
          <w:spacing w:val="-21"/>
          <w:sz w:val="17"/>
        </w:rPr>
        <w:t> </w:t>
      </w:r>
      <w:r>
        <w:rPr>
          <w:rFonts w:ascii="Book Antiqua"/>
          <w:color w:val="231F20"/>
          <w:spacing w:val="3"/>
          <w:sz w:val="17"/>
        </w:rPr>
        <w:t>will</w:t>
      </w:r>
      <w:r>
        <w:rPr>
          <w:rFonts w:ascii="Book Antiqua"/>
          <w:color w:val="231F20"/>
          <w:spacing w:val="-20"/>
          <w:sz w:val="17"/>
        </w:rPr>
        <w:t> </w:t>
      </w:r>
      <w:r>
        <w:rPr>
          <w:rFonts w:ascii="Book Antiqua"/>
          <w:color w:val="231F20"/>
          <w:spacing w:val="4"/>
          <w:sz w:val="17"/>
        </w:rPr>
        <w:t>extend</w:t>
      </w:r>
      <w:r>
        <w:rPr>
          <w:rFonts w:ascii="Book Antiqua"/>
          <w:color w:val="231F20"/>
          <w:spacing w:val="-20"/>
          <w:sz w:val="17"/>
        </w:rPr>
        <w:t> </w:t>
      </w:r>
      <w:r>
        <w:rPr>
          <w:rFonts w:ascii="Book Antiqua"/>
          <w:color w:val="231F20"/>
          <w:spacing w:val="3"/>
          <w:sz w:val="17"/>
        </w:rPr>
        <w:t>the</w:t>
      </w:r>
      <w:r>
        <w:rPr>
          <w:rFonts w:ascii="Book Antiqua"/>
          <w:color w:val="231F20"/>
          <w:spacing w:val="-20"/>
          <w:sz w:val="17"/>
        </w:rPr>
        <w:t> </w:t>
      </w:r>
      <w:r>
        <w:rPr>
          <w:rFonts w:ascii="Book Antiqua"/>
          <w:color w:val="231F20"/>
          <w:spacing w:val="4"/>
          <w:sz w:val="17"/>
        </w:rPr>
        <w:t>range</w:t>
      </w:r>
      <w:r>
        <w:rPr>
          <w:rFonts w:ascii="Book Antiqua"/>
          <w:color w:val="231F20"/>
          <w:spacing w:val="-20"/>
          <w:sz w:val="17"/>
        </w:rPr>
        <w:t> </w:t>
      </w:r>
      <w:r>
        <w:rPr>
          <w:rFonts w:ascii="Book Antiqua"/>
          <w:color w:val="231F20"/>
          <w:spacing w:val="2"/>
          <w:sz w:val="17"/>
        </w:rPr>
        <w:t>of</w:t>
      </w:r>
      <w:r>
        <w:rPr>
          <w:rFonts w:ascii="Book Antiqua"/>
          <w:color w:val="231F20"/>
          <w:spacing w:val="-20"/>
          <w:sz w:val="17"/>
        </w:rPr>
        <w:t> </w:t>
      </w:r>
      <w:r>
        <w:rPr>
          <w:rFonts w:ascii="Book Antiqua"/>
          <w:color w:val="231F20"/>
          <w:spacing w:val="3"/>
          <w:sz w:val="17"/>
        </w:rPr>
        <w:t>the</w:t>
      </w:r>
      <w:r>
        <w:rPr>
          <w:rFonts w:ascii="Book Antiqua"/>
          <w:color w:val="231F20"/>
          <w:spacing w:val="-20"/>
          <w:sz w:val="17"/>
        </w:rPr>
        <w:t> </w:t>
      </w:r>
      <w:r>
        <w:rPr>
          <w:rFonts w:ascii="Book Antiqua"/>
          <w:color w:val="231F20"/>
          <w:spacing w:val="4"/>
          <w:sz w:val="17"/>
        </w:rPr>
        <w:t>aircraft,</w:t>
      </w:r>
      <w:r>
        <w:rPr>
          <w:rFonts w:ascii="Book Antiqua"/>
          <w:color w:val="231F20"/>
          <w:spacing w:val="-22"/>
          <w:sz w:val="17"/>
        </w:rPr>
        <w:t> </w:t>
      </w:r>
      <w:r>
        <w:rPr>
          <w:rFonts w:ascii="Book Antiqua"/>
          <w:color w:val="231F20"/>
          <w:spacing w:val="2"/>
          <w:sz w:val="17"/>
        </w:rPr>
        <w:t>save</w:t>
      </w:r>
      <w:r>
        <w:rPr>
          <w:rFonts w:ascii="Book Antiqua"/>
          <w:color w:val="231F20"/>
          <w:spacing w:val="-20"/>
          <w:sz w:val="17"/>
        </w:rPr>
        <w:t> </w:t>
      </w:r>
      <w:r>
        <w:rPr>
          <w:rFonts w:ascii="Book Antiqua"/>
          <w:color w:val="231F20"/>
          <w:spacing w:val="4"/>
          <w:sz w:val="17"/>
        </w:rPr>
        <w:t>fuel,</w:t>
      </w:r>
      <w:r>
        <w:rPr>
          <w:rFonts w:ascii="Book Antiqua"/>
          <w:color w:val="231F20"/>
          <w:spacing w:val="-22"/>
          <w:sz w:val="17"/>
        </w:rPr>
        <w:t> </w:t>
      </w:r>
      <w:r>
        <w:rPr>
          <w:rFonts w:ascii="Book Antiqua"/>
          <w:color w:val="231F20"/>
          <w:spacing w:val="3"/>
          <w:sz w:val="17"/>
        </w:rPr>
        <w:t>lower </w:t>
      </w:r>
      <w:r>
        <w:rPr>
          <w:rFonts w:ascii="Book Antiqua"/>
          <w:color w:val="231F20"/>
          <w:spacing w:val="4"/>
          <w:w w:val="95"/>
          <w:sz w:val="17"/>
        </w:rPr>
        <w:t>engine maintenance costs, </w:t>
      </w:r>
      <w:r>
        <w:rPr>
          <w:rFonts w:ascii="Book Antiqua"/>
          <w:color w:val="231F20"/>
          <w:spacing w:val="3"/>
          <w:w w:val="95"/>
          <w:sz w:val="17"/>
        </w:rPr>
        <w:t>and </w:t>
      </w:r>
      <w:r>
        <w:rPr>
          <w:rFonts w:ascii="Book Antiqua"/>
          <w:color w:val="231F20"/>
          <w:spacing w:val="4"/>
          <w:w w:val="95"/>
          <w:sz w:val="17"/>
        </w:rPr>
        <w:t>reduce takeoff</w:t>
      </w:r>
      <w:r>
        <w:rPr>
          <w:rFonts w:ascii="Book Antiqua"/>
          <w:color w:val="231F20"/>
          <w:spacing w:val="30"/>
          <w:w w:val="95"/>
          <w:sz w:val="17"/>
        </w:rPr>
        <w:t> </w:t>
      </w:r>
      <w:r>
        <w:rPr>
          <w:rFonts w:ascii="Book Antiqua"/>
          <w:color w:val="231F20"/>
          <w:spacing w:val="5"/>
          <w:w w:val="95"/>
          <w:sz w:val="17"/>
        </w:rPr>
        <w:t>noise.</w:t>
      </w:r>
    </w:p>
    <w:p>
      <w:pPr>
        <w:spacing w:after="0" w:line="319" w:lineRule="auto"/>
        <w:jc w:val="both"/>
        <w:rPr>
          <w:rFonts w:ascii="Book Antiqua"/>
          <w:sz w:val="17"/>
        </w:rPr>
        <w:sectPr>
          <w:type w:val="continuous"/>
          <w:pgSz w:w="12240" w:h="15840"/>
          <w:pgMar w:top="320" w:bottom="280" w:left="780" w:right="340"/>
          <w:cols w:num="2" w:equalWidth="0">
            <w:col w:w="5175" w:space="225"/>
            <w:col w:w="5720"/>
          </w:cols>
        </w:sectPr>
      </w:pPr>
    </w:p>
    <w:p>
      <w:pPr>
        <w:pStyle w:val="BodyText"/>
        <w:rPr>
          <w:rFonts w:ascii="Book Antiqua"/>
          <w:sz w:val="20"/>
        </w:rPr>
      </w:pPr>
    </w:p>
    <w:p>
      <w:pPr>
        <w:pStyle w:val="BodyText"/>
        <w:spacing w:before="7"/>
        <w:rPr>
          <w:rFonts w:ascii="Book Antiqua"/>
          <w:sz w:val="28"/>
        </w:rPr>
      </w:pPr>
    </w:p>
    <w:p>
      <w:pPr>
        <w:tabs>
          <w:tab w:pos="3300" w:val="left" w:leader="none"/>
          <w:tab w:pos="6413" w:val="left" w:leader="none"/>
        </w:tabs>
        <w:spacing w:line="240" w:lineRule="auto"/>
        <w:ind w:left="111" w:right="0" w:firstLine="0"/>
        <w:rPr>
          <w:rFonts w:ascii="Book Antiqua"/>
          <w:sz w:val="20"/>
        </w:rPr>
      </w:pPr>
      <w:r>
        <w:rPr>
          <w:rFonts w:ascii="Book Antiqua"/>
          <w:sz w:val="20"/>
        </w:rPr>
        <w:pict>
          <v:shape style="width:129.4pt;height:90.7pt;mso-position-horizontal-relative:char;mso-position-vertical-relative:line" type="#_x0000_t202" filled="false" stroked="false">
            <w10:anchorlock/>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448"/>
                    <w:gridCol w:w="420"/>
                    <w:gridCol w:w="420"/>
                    <w:gridCol w:w="420"/>
                    <w:gridCol w:w="420"/>
                    <w:gridCol w:w="446"/>
                  </w:tblGrid>
                  <w:tr>
                    <w:trPr>
                      <w:trHeight w:val="1577" w:hRule="exact"/>
                    </w:trPr>
                    <w:tc>
                      <w:tcPr>
                        <w:tcW w:w="448" w:type="dxa"/>
                        <w:tcBorders>
                          <w:top w:val="nil"/>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spacing w:before="109"/>
                          <w:ind w:left="36" w:right="3"/>
                          <w:jc w:val="center"/>
                          <w:rPr>
                            <w:sz w:val="12"/>
                          </w:rPr>
                        </w:pPr>
                        <w:r>
                          <w:rPr>
                            <w:color w:val="231F20"/>
                            <w:sz w:val="12"/>
                          </w:rPr>
                          <w:t>11:10</w:t>
                        </w:r>
                      </w:p>
                    </w:tc>
                    <w:tc>
                      <w:tcPr>
                        <w:tcW w:w="420" w:type="dxa"/>
                        <w:tcBorders>
                          <w:top w:val="nil"/>
                          <w:left w:val="single" w:sz="4" w:space="0" w:color="BABCBE"/>
                          <w:right w:val="single" w:sz="4" w:space="0" w:color="BABCBE"/>
                        </w:tcBorders>
                      </w:tcPr>
                      <w:p>
                        <w:pPr>
                          <w:pStyle w:val="TableParagraph"/>
                          <w:spacing w:before="6"/>
                          <w:rPr>
                            <w:rFonts w:ascii="Book Antiqua"/>
                            <w:sz w:val="12"/>
                          </w:rPr>
                        </w:pPr>
                      </w:p>
                      <w:p>
                        <w:pPr>
                          <w:pStyle w:val="TableParagraph"/>
                          <w:ind w:left="10" w:right="10"/>
                          <w:jc w:val="center"/>
                          <w:rPr>
                            <w:sz w:val="12"/>
                          </w:rPr>
                        </w:pPr>
                        <w:r>
                          <w:rPr>
                            <w:color w:val="231F20"/>
                            <w:sz w:val="12"/>
                          </w:rPr>
                          <w:t>11:18</w:t>
                        </w:r>
                      </w:p>
                    </w:tc>
                    <w:tc>
                      <w:tcPr>
                        <w:tcW w:w="420" w:type="dxa"/>
                        <w:tcBorders>
                          <w:top w:val="nil"/>
                          <w:left w:val="single" w:sz="4" w:space="0" w:color="BABCBE"/>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spacing w:before="107"/>
                          <w:ind w:left="32" w:right="7"/>
                          <w:jc w:val="center"/>
                          <w:rPr>
                            <w:sz w:val="12"/>
                          </w:rPr>
                        </w:pPr>
                        <w:r>
                          <w:rPr>
                            <w:color w:val="231F20"/>
                            <w:sz w:val="12"/>
                          </w:rPr>
                          <w:t>11:10</w:t>
                        </w:r>
                      </w:p>
                    </w:tc>
                    <w:tc>
                      <w:tcPr>
                        <w:tcW w:w="420" w:type="dxa"/>
                        <w:tcBorders>
                          <w:top w:val="nil"/>
                          <w:left w:val="single" w:sz="4" w:space="0" w:color="BABCBE"/>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spacing w:before="1"/>
                          <w:rPr>
                            <w:rFonts w:ascii="Book Antiqua"/>
                            <w:sz w:val="18"/>
                          </w:rPr>
                        </w:pPr>
                      </w:p>
                      <w:p>
                        <w:pPr>
                          <w:pStyle w:val="TableParagraph"/>
                          <w:ind w:left="55"/>
                          <w:rPr>
                            <w:sz w:val="12"/>
                          </w:rPr>
                        </w:pPr>
                        <w:r>
                          <w:rPr>
                            <w:color w:val="231F20"/>
                            <w:sz w:val="12"/>
                          </w:rPr>
                          <w:t>11:12</w:t>
                        </w:r>
                      </w:p>
                    </w:tc>
                    <w:tc>
                      <w:tcPr>
                        <w:tcW w:w="420" w:type="dxa"/>
                        <w:tcBorders>
                          <w:top w:val="nil"/>
                          <w:left w:val="single" w:sz="4" w:space="0" w:color="BABCBE"/>
                        </w:tcBorders>
                      </w:tcPr>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spacing w:before="11"/>
                          <w:rPr>
                            <w:rFonts w:ascii="Book Antiqua"/>
                            <w:sz w:val="15"/>
                          </w:rPr>
                        </w:pPr>
                      </w:p>
                      <w:p>
                        <w:pPr>
                          <w:pStyle w:val="TableParagraph"/>
                          <w:ind w:left="55"/>
                          <w:rPr>
                            <w:sz w:val="12"/>
                          </w:rPr>
                        </w:pPr>
                        <w:r>
                          <w:rPr>
                            <w:color w:val="231F20"/>
                            <w:sz w:val="12"/>
                          </w:rPr>
                          <w:t>11:09</w:t>
                        </w:r>
                      </w:p>
                    </w:tc>
                    <w:tc>
                      <w:tcPr>
                        <w:tcW w:w="446" w:type="dxa"/>
                        <w:tcBorders>
                          <w:top w:val="nil"/>
                        </w:tcBorders>
                      </w:tcPr>
                      <w:p>
                        <w:pPr>
                          <w:pStyle w:val="TableParagraph"/>
                          <w:spacing w:before="4"/>
                          <w:rPr>
                            <w:rFonts w:ascii="Book Antiqua"/>
                            <w:sz w:val="11"/>
                          </w:rPr>
                        </w:pPr>
                      </w:p>
                      <w:p>
                        <w:pPr>
                          <w:pStyle w:val="TableParagraph"/>
                          <w:ind w:left="69"/>
                          <w:rPr>
                            <w:sz w:val="12"/>
                          </w:rPr>
                        </w:pPr>
                        <w:r>
                          <w:rPr>
                            <w:color w:val="231F20"/>
                            <w:sz w:val="12"/>
                          </w:rPr>
                          <w:t>11:20</w:t>
                        </w:r>
                      </w:p>
                      <w:p>
                        <w:pPr>
                          <w:pStyle w:val="TableParagraph"/>
                          <w:spacing w:before="2"/>
                          <w:rPr>
                            <w:rFonts w:ascii="Book Antiqua"/>
                            <w:sz w:val="11"/>
                          </w:rPr>
                        </w:pPr>
                      </w:p>
                      <w:p>
                        <w:pPr>
                          <w:pStyle w:val="TableParagraph"/>
                          <w:ind w:left="69"/>
                          <w:rPr>
                            <w:sz w:val="12"/>
                          </w:rPr>
                        </w:pPr>
                        <w:r>
                          <w:rPr>
                            <w:color w:val="231F20"/>
                            <w:sz w:val="12"/>
                          </w:rPr>
                          <w:t>11:15</w:t>
                        </w:r>
                      </w:p>
                      <w:p>
                        <w:pPr>
                          <w:pStyle w:val="TableParagraph"/>
                          <w:spacing w:before="2"/>
                          <w:rPr>
                            <w:rFonts w:ascii="Book Antiqua"/>
                            <w:sz w:val="11"/>
                          </w:rPr>
                        </w:pPr>
                      </w:p>
                      <w:p>
                        <w:pPr>
                          <w:pStyle w:val="TableParagraph"/>
                          <w:ind w:left="69"/>
                          <w:rPr>
                            <w:sz w:val="12"/>
                          </w:rPr>
                        </w:pPr>
                        <w:r>
                          <w:rPr>
                            <w:color w:val="231F20"/>
                            <w:sz w:val="12"/>
                          </w:rPr>
                          <w:t>11:10</w:t>
                        </w:r>
                      </w:p>
                      <w:p>
                        <w:pPr>
                          <w:pStyle w:val="TableParagraph"/>
                          <w:spacing w:before="2"/>
                          <w:rPr>
                            <w:rFonts w:ascii="Book Antiqua"/>
                            <w:sz w:val="11"/>
                          </w:rPr>
                        </w:pPr>
                      </w:p>
                      <w:p>
                        <w:pPr>
                          <w:pStyle w:val="TableParagraph"/>
                          <w:ind w:left="69"/>
                          <w:rPr>
                            <w:sz w:val="12"/>
                          </w:rPr>
                        </w:pPr>
                        <w:r>
                          <w:rPr>
                            <w:color w:val="231F20"/>
                            <w:sz w:val="12"/>
                          </w:rPr>
                          <w:t>11:05</w:t>
                        </w:r>
                      </w:p>
                      <w:p>
                        <w:pPr>
                          <w:pStyle w:val="TableParagraph"/>
                          <w:spacing w:before="2"/>
                          <w:rPr>
                            <w:rFonts w:ascii="Book Antiqua"/>
                            <w:sz w:val="11"/>
                          </w:rPr>
                        </w:pPr>
                      </w:p>
                      <w:p>
                        <w:pPr>
                          <w:pStyle w:val="TableParagraph"/>
                          <w:ind w:left="69"/>
                          <w:rPr>
                            <w:sz w:val="12"/>
                          </w:rPr>
                        </w:pPr>
                        <w:r>
                          <w:rPr>
                            <w:color w:val="231F20"/>
                            <w:sz w:val="12"/>
                          </w:rPr>
                          <w:t>11:00</w:t>
                        </w:r>
                      </w:p>
                    </w:tc>
                  </w:tr>
                  <w:tr>
                    <w:trPr>
                      <w:trHeight w:val="227" w:hRule="exact"/>
                    </w:trPr>
                    <w:tc>
                      <w:tcPr>
                        <w:tcW w:w="448" w:type="dxa"/>
                        <w:tcBorders>
                          <w:right w:val="single" w:sz="4" w:space="0" w:color="BABCBE"/>
                        </w:tcBorders>
                        <w:shd w:val="clear" w:color="auto" w:fill="DBDCDE"/>
                      </w:tcPr>
                      <w:p>
                        <w:pPr>
                          <w:pStyle w:val="TableParagraph"/>
                          <w:spacing w:before="38"/>
                          <w:ind w:left="36" w:right="5"/>
                          <w:jc w:val="center"/>
                          <w:rPr>
                            <w:sz w:val="12"/>
                          </w:rPr>
                        </w:pPr>
                        <w:r>
                          <w:rPr>
                            <w:color w:val="231F20"/>
                            <w:sz w:val="12"/>
                          </w:rPr>
                          <w:t>1999</w:t>
                        </w:r>
                      </w:p>
                    </w:tc>
                    <w:tc>
                      <w:tcPr>
                        <w:tcW w:w="420" w:type="dxa"/>
                        <w:tcBorders>
                          <w:left w:val="single" w:sz="4" w:space="0" w:color="BABCBE"/>
                          <w:right w:val="single" w:sz="4" w:space="0" w:color="BABCBE"/>
                        </w:tcBorders>
                        <w:shd w:val="clear" w:color="auto" w:fill="DBDCDE"/>
                      </w:tcPr>
                      <w:p>
                        <w:pPr>
                          <w:pStyle w:val="TableParagraph"/>
                          <w:spacing w:before="38"/>
                          <w:ind w:right="18"/>
                          <w:jc w:val="center"/>
                          <w:rPr>
                            <w:sz w:val="12"/>
                          </w:rPr>
                        </w:pPr>
                        <w:r>
                          <w:rPr>
                            <w:color w:val="231F20"/>
                            <w:sz w:val="12"/>
                          </w:rPr>
                          <w:t>2000</w:t>
                        </w:r>
                      </w:p>
                    </w:tc>
                    <w:tc>
                      <w:tcPr>
                        <w:tcW w:w="420" w:type="dxa"/>
                        <w:tcBorders>
                          <w:left w:val="single" w:sz="4" w:space="0" w:color="BABCBE"/>
                          <w:right w:val="single" w:sz="4" w:space="0" w:color="BABCBE"/>
                        </w:tcBorders>
                        <w:shd w:val="clear" w:color="auto" w:fill="DBDCDE"/>
                      </w:tcPr>
                      <w:p>
                        <w:pPr>
                          <w:pStyle w:val="TableParagraph"/>
                          <w:spacing w:before="38"/>
                          <w:ind w:left="10"/>
                          <w:jc w:val="center"/>
                          <w:rPr>
                            <w:sz w:val="12"/>
                          </w:rPr>
                        </w:pPr>
                        <w:r>
                          <w:rPr>
                            <w:color w:val="231F20"/>
                            <w:sz w:val="12"/>
                          </w:rPr>
                          <w:t>2001</w:t>
                        </w:r>
                      </w:p>
                    </w:tc>
                    <w:tc>
                      <w:tcPr>
                        <w:tcW w:w="420" w:type="dxa"/>
                        <w:tcBorders>
                          <w:left w:val="single" w:sz="4" w:space="0" w:color="BABCBE"/>
                          <w:right w:val="single" w:sz="4" w:space="0" w:color="BABCBE"/>
                        </w:tcBorders>
                        <w:shd w:val="clear" w:color="auto" w:fill="DBDCDE"/>
                      </w:tcPr>
                      <w:p>
                        <w:pPr>
                          <w:pStyle w:val="TableParagraph"/>
                          <w:spacing w:before="38"/>
                          <w:ind w:left="79"/>
                          <w:rPr>
                            <w:sz w:val="12"/>
                          </w:rPr>
                        </w:pPr>
                        <w:r>
                          <w:rPr>
                            <w:color w:val="231F20"/>
                            <w:sz w:val="12"/>
                          </w:rPr>
                          <w:t>2002</w:t>
                        </w:r>
                      </w:p>
                    </w:tc>
                    <w:tc>
                      <w:tcPr>
                        <w:tcW w:w="420" w:type="dxa"/>
                        <w:tcBorders>
                          <w:left w:val="single" w:sz="4" w:space="0" w:color="BABCBE"/>
                        </w:tcBorders>
                        <w:shd w:val="clear" w:color="auto" w:fill="DBDCDE"/>
                      </w:tcPr>
                      <w:p>
                        <w:pPr>
                          <w:pStyle w:val="TableParagraph"/>
                          <w:spacing w:before="38"/>
                          <w:ind w:left="79"/>
                          <w:rPr>
                            <w:sz w:val="12"/>
                          </w:rPr>
                        </w:pPr>
                        <w:r>
                          <w:rPr>
                            <w:color w:val="231F20"/>
                            <w:sz w:val="12"/>
                          </w:rPr>
                          <w:t>2003</w:t>
                        </w:r>
                      </w:p>
                    </w:tc>
                    <w:tc>
                      <w:tcPr>
                        <w:tcW w:w="446" w:type="dxa"/>
                        <w:tcBorders>
                          <w:bottom w:val="nil"/>
                          <w:right w:val="nil"/>
                        </w:tcBorders>
                      </w:tcPr>
                      <w:p>
                        <w:pPr/>
                      </w:p>
                    </w:tc>
                  </w:tr>
                </w:tbl>
                <w:p>
                  <w:pPr>
                    <w:pStyle w:val="BodyText"/>
                  </w:pPr>
                </w:p>
              </w:txbxContent>
            </v:textbox>
          </v:shape>
        </w:pict>
      </w:r>
      <w:r>
        <w:rPr>
          <w:rFonts w:ascii="Book Antiqua"/>
          <w:sz w:val="20"/>
        </w:rPr>
      </w:r>
      <w:r>
        <w:rPr>
          <w:rFonts w:ascii="Book Antiqua"/>
          <w:sz w:val="20"/>
        </w:rPr>
        <w:tab/>
      </w:r>
      <w:r>
        <w:rPr>
          <w:rFonts w:ascii="Book Antiqua"/>
          <w:sz w:val="20"/>
        </w:rPr>
        <w:pict>
          <v:shape style="width:125.7pt;height:90.7pt;mso-position-horizontal-relative:char;mso-position-vertical-relative:line" type="#_x0000_t202" filled="false" stroked="false">
            <w10:anchorlock/>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448"/>
                    <w:gridCol w:w="420"/>
                    <w:gridCol w:w="420"/>
                    <w:gridCol w:w="420"/>
                    <w:gridCol w:w="420"/>
                    <w:gridCol w:w="372"/>
                  </w:tblGrid>
                  <w:tr>
                    <w:trPr>
                      <w:trHeight w:val="1577" w:hRule="exact"/>
                    </w:trPr>
                    <w:tc>
                      <w:tcPr>
                        <w:tcW w:w="448" w:type="dxa"/>
                        <w:tcBorders>
                          <w:top w:val="nil"/>
                          <w:right w:val="single" w:sz="4" w:space="0" w:color="BABCBE"/>
                        </w:tcBorders>
                      </w:tcPr>
                      <w:p>
                        <w:pPr>
                          <w:pStyle w:val="TableParagraph"/>
                          <w:rPr>
                            <w:rFonts w:ascii="Book Antiqua"/>
                            <w:sz w:val="14"/>
                          </w:rPr>
                        </w:pPr>
                      </w:p>
                      <w:p>
                        <w:pPr>
                          <w:pStyle w:val="TableParagraph"/>
                          <w:spacing w:before="1"/>
                          <w:rPr>
                            <w:rFonts w:ascii="Book Antiqua"/>
                            <w:sz w:val="18"/>
                          </w:rPr>
                        </w:pPr>
                      </w:p>
                      <w:p>
                        <w:pPr>
                          <w:pStyle w:val="TableParagraph"/>
                          <w:ind w:left="134"/>
                          <w:rPr>
                            <w:sz w:val="12"/>
                          </w:rPr>
                        </w:pPr>
                        <w:r>
                          <w:rPr>
                            <w:color w:val="231F20"/>
                            <w:sz w:val="12"/>
                          </w:rPr>
                          <w:t>312</w:t>
                        </w:r>
                      </w:p>
                    </w:tc>
                    <w:tc>
                      <w:tcPr>
                        <w:tcW w:w="420" w:type="dxa"/>
                        <w:tcBorders>
                          <w:top w:val="nil"/>
                          <w:left w:val="single" w:sz="4" w:space="0" w:color="BABCBE"/>
                          <w:right w:val="single" w:sz="4" w:space="0" w:color="BABCBE"/>
                        </w:tcBorders>
                      </w:tcPr>
                      <w:p>
                        <w:pPr>
                          <w:pStyle w:val="TableParagraph"/>
                          <w:rPr>
                            <w:rFonts w:ascii="Book Antiqua"/>
                            <w:sz w:val="14"/>
                          </w:rPr>
                        </w:pPr>
                      </w:p>
                      <w:p>
                        <w:pPr>
                          <w:pStyle w:val="TableParagraph"/>
                          <w:spacing w:before="5"/>
                          <w:rPr>
                            <w:rFonts w:ascii="Book Antiqua"/>
                            <w:sz w:val="11"/>
                          </w:rPr>
                        </w:pPr>
                      </w:p>
                      <w:p>
                        <w:pPr>
                          <w:pStyle w:val="TableParagraph"/>
                          <w:ind w:left="107"/>
                          <w:rPr>
                            <w:sz w:val="12"/>
                          </w:rPr>
                        </w:pPr>
                        <w:r>
                          <w:rPr>
                            <w:color w:val="231F20"/>
                            <w:sz w:val="12"/>
                          </w:rPr>
                          <w:t>344</w:t>
                        </w:r>
                      </w:p>
                    </w:tc>
                    <w:tc>
                      <w:tcPr>
                        <w:tcW w:w="420" w:type="dxa"/>
                        <w:tcBorders>
                          <w:top w:val="nil"/>
                          <w:left w:val="single" w:sz="4" w:space="0" w:color="BABCBE"/>
                          <w:right w:val="single" w:sz="4" w:space="0" w:color="BABCBE"/>
                        </w:tcBorders>
                      </w:tcPr>
                      <w:p>
                        <w:pPr>
                          <w:pStyle w:val="TableParagraph"/>
                          <w:spacing w:before="10"/>
                          <w:rPr>
                            <w:rFonts w:ascii="Book Antiqua"/>
                            <w:sz w:val="19"/>
                          </w:rPr>
                        </w:pPr>
                      </w:p>
                      <w:p>
                        <w:pPr>
                          <w:pStyle w:val="TableParagraph"/>
                          <w:ind w:left="10" w:right="14"/>
                          <w:jc w:val="center"/>
                          <w:rPr>
                            <w:sz w:val="12"/>
                          </w:rPr>
                        </w:pPr>
                        <w:r>
                          <w:rPr>
                            <w:color w:val="231F20"/>
                            <w:sz w:val="12"/>
                          </w:rPr>
                          <w:t>355</w:t>
                        </w:r>
                      </w:p>
                    </w:tc>
                    <w:tc>
                      <w:tcPr>
                        <w:tcW w:w="420" w:type="dxa"/>
                        <w:tcBorders>
                          <w:top w:val="nil"/>
                          <w:left w:val="single" w:sz="4" w:space="0" w:color="BABCBE"/>
                          <w:right w:val="single" w:sz="4" w:space="0" w:color="BABCBE"/>
                        </w:tcBorders>
                      </w:tcPr>
                      <w:p>
                        <w:pPr>
                          <w:pStyle w:val="TableParagraph"/>
                          <w:spacing w:before="6"/>
                          <w:rPr>
                            <w:rFonts w:ascii="Book Antiqua"/>
                            <w:sz w:val="15"/>
                          </w:rPr>
                        </w:pPr>
                      </w:p>
                      <w:p>
                        <w:pPr>
                          <w:pStyle w:val="TableParagraph"/>
                          <w:ind w:left="31" w:right="36"/>
                          <w:jc w:val="center"/>
                          <w:rPr>
                            <w:sz w:val="12"/>
                          </w:rPr>
                        </w:pPr>
                        <w:r>
                          <w:rPr>
                            <w:color w:val="231F20"/>
                            <w:sz w:val="12"/>
                          </w:rPr>
                          <w:t>375</w:t>
                        </w:r>
                      </w:p>
                    </w:tc>
                    <w:tc>
                      <w:tcPr>
                        <w:tcW w:w="420" w:type="dxa"/>
                        <w:tcBorders>
                          <w:top w:val="nil"/>
                          <w:left w:val="single" w:sz="4" w:space="0" w:color="BABCBE"/>
                        </w:tcBorders>
                      </w:tcPr>
                      <w:p>
                        <w:pPr>
                          <w:pStyle w:val="TableParagraph"/>
                          <w:spacing w:before="5"/>
                          <w:rPr>
                            <w:rFonts w:ascii="Book Antiqua"/>
                            <w:sz w:val="11"/>
                          </w:rPr>
                        </w:pPr>
                      </w:p>
                      <w:p>
                        <w:pPr>
                          <w:pStyle w:val="TableParagraph"/>
                          <w:ind w:left="106"/>
                          <w:rPr>
                            <w:sz w:val="12"/>
                          </w:rPr>
                        </w:pPr>
                        <w:r>
                          <w:rPr>
                            <w:color w:val="231F20"/>
                            <w:sz w:val="12"/>
                          </w:rPr>
                          <w:t>388</w:t>
                        </w:r>
                      </w:p>
                    </w:tc>
                    <w:tc>
                      <w:tcPr>
                        <w:tcW w:w="372" w:type="dxa"/>
                        <w:tcBorders>
                          <w:top w:val="nil"/>
                        </w:tcBorders>
                      </w:tcPr>
                      <w:p>
                        <w:pPr>
                          <w:pStyle w:val="TableParagraph"/>
                          <w:spacing w:before="11"/>
                          <w:rPr>
                            <w:rFonts w:ascii="Book Antiqua"/>
                            <w:sz w:val="12"/>
                          </w:rPr>
                        </w:pPr>
                      </w:p>
                      <w:p>
                        <w:pPr>
                          <w:pStyle w:val="TableParagraph"/>
                          <w:ind w:left="82"/>
                          <w:rPr>
                            <w:sz w:val="12"/>
                          </w:rPr>
                        </w:pPr>
                        <w:r>
                          <w:rPr>
                            <w:color w:val="231F20"/>
                            <w:sz w:val="12"/>
                          </w:rPr>
                          <w:t>400</w:t>
                        </w:r>
                      </w:p>
                      <w:p>
                        <w:pPr>
                          <w:pStyle w:val="TableParagraph"/>
                          <w:spacing w:before="12"/>
                          <w:rPr>
                            <w:rFonts w:ascii="Book Antiqua"/>
                            <w:sz w:val="16"/>
                          </w:rPr>
                        </w:pPr>
                      </w:p>
                      <w:p>
                        <w:pPr>
                          <w:pStyle w:val="TableParagraph"/>
                          <w:ind w:left="82"/>
                          <w:rPr>
                            <w:sz w:val="12"/>
                          </w:rPr>
                        </w:pPr>
                        <w:r>
                          <w:rPr>
                            <w:color w:val="231F20"/>
                            <w:sz w:val="12"/>
                          </w:rPr>
                          <w:t>300</w:t>
                        </w:r>
                      </w:p>
                      <w:p>
                        <w:pPr>
                          <w:pStyle w:val="TableParagraph"/>
                          <w:spacing w:before="12"/>
                          <w:rPr>
                            <w:rFonts w:ascii="Book Antiqua"/>
                            <w:sz w:val="16"/>
                          </w:rPr>
                        </w:pPr>
                      </w:p>
                      <w:p>
                        <w:pPr>
                          <w:pStyle w:val="TableParagraph"/>
                          <w:ind w:left="82"/>
                          <w:rPr>
                            <w:sz w:val="12"/>
                          </w:rPr>
                        </w:pPr>
                        <w:r>
                          <w:rPr>
                            <w:color w:val="231F20"/>
                            <w:sz w:val="12"/>
                          </w:rPr>
                          <w:t>200</w:t>
                        </w:r>
                      </w:p>
                      <w:p>
                        <w:pPr>
                          <w:pStyle w:val="TableParagraph"/>
                          <w:spacing w:before="12"/>
                          <w:rPr>
                            <w:rFonts w:ascii="Book Antiqua"/>
                            <w:sz w:val="16"/>
                          </w:rPr>
                        </w:pPr>
                      </w:p>
                      <w:p>
                        <w:pPr>
                          <w:pStyle w:val="TableParagraph"/>
                          <w:ind w:left="82"/>
                          <w:rPr>
                            <w:sz w:val="12"/>
                          </w:rPr>
                        </w:pPr>
                        <w:r>
                          <w:rPr>
                            <w:color w:val="231F20"/>
                            <w:sz w:val="12"/>
                          </w:rPr>
                          <w:t>100</w:t>
                        </w:r>
                      </w:p>
                    </w:tc>
                  </w:tr>
                  <w:tr>
                    <w:trPr>
                      <w:trHeight w:val="227" w:hRule="exact"/>
                    </w:trPr>
                    <w:tc>
                      <w:tcPr>
                        <w:tcW w:w="448" w:type="dxa"/>
                        <w:tcBorders>
                          <w:right w:val="single" w:sz="4" w:space="0" w:color="BABCBE"/>
                        </w:tcBorders>
                        <w:shd w:val="clear" w:color="auto" w:fill="DBDCDE"/>
                      </w:tcPr>
                      <w:p>
                        <w:pPr>
                          <w:pStyle w:val="TableParagraph"/>
                          <w:spacing w:before="36"/>
                          <w:ind w:left="106"/>
                          <w:rPr>
                            <w:sz w:val="12"/>
                          </w:rPr>
                        </w:pPr>
                        <w:r>
                          <w:rPr>
                            <w:color w:val="231F20"/>
                            <w:sz w:val="12"/>
                          </w:rPr>
                          <w:t>1999</w:t>
                        </w:r>
                      </w:p>
                    </w:tc>
                    <w:tc>
                      <w:tcPr>
                        <w:tcW w:w="420" w:type="dxa"/>
                        <w:tcBorders>
                          <w:left w:val="single" w:sz="4" w:space="0" w:color="BABCBE"/>
                          <w:right w:val="single" w:sz="4" w:space="0" w:color="BABCBE"/>
                        </w:tcBorders>
                        <w:shd w:val="clear" w:color="auto" w:fill="DBDCDE"/>
                      </w:tcPr>
                      <w:p>
                        <w:pPr>
                          <w:pStyle w:val="TableParagraph"/>
                          <w:spacing w:before="36"/>
                          <w:ind w:left="67"/>
                          <w:rPr>
                            <w:sz w:val="12"/>
                          </w:rPr>
                        </w:pPr>
                        <w:r>
                          <w:rPr>
                            <w:color w:val="231F20"/>
                            <w:sz w:val="12"/>
                          </w:rPr>
                          <w:t>2000</w:t>
                        </w:r>
                      </w:p>
                    </w:tc>
                    <w:tc>
                      <w:tcPr>
                        <w:tcW w:w="420" w:type="dxa"/>
                        <w:tcBorders>
                          <w:left w:val="single" w:sz="4" w:space="0" w:color="BABCBE"/>
                          <w:right w:val="single" w:sz="4" w:space="0" w:color="BABCBE"/>
                        </w:tcBorders>
                        <w:shd w:val="clear" w:color="auto" w:fill="DBDCDE"/>
                      </w:tcPr>
                      <w:p>
                        <w:pPr>
                          <w:pStyle w:val="TableParagraph"/>
                          <w:spacing w:before="36"/>
                          <w:ind w:left="10" w:right="6"/>
                          <w:jc w:val="center"/>
                          <w:rPr>
                            <w:sz w:val="12"/>
                          </w:rPr>
                        </w:pPr>
                        <w:r>
                          <w:rPr>
                            <w:color w:val="231F20"/>
                            <w:sz w:val="12"/>
                          </w:rPr>
                          <w:t>2001</w:t>
                        </w:r>
                      </w:p>
                    </w:tc>
                    <w:tc>
                      <w:tcPr>
                        <w:tcW w:w="420" w:type="dxa"/>
                        <w:tcBorders>
                          <w:left w:val="single" w:sz="4" w:space="0" w:color="BABCBE"/>
                          <w:right w:val="single" w:sz="4" w:space="0" w:color="BABCBE"/>
                        </w:tcBorders>
                        <w:shd w:val="clear" w:color="auto" w:fill="DBDCDE"/>
                      </w:tcPr>
                      <w:p>
                        <w:pPr>
                          <w:pStyle w:val="TableParagraph"/>
                          <w:spacing w:before="36"/>
                          <w:ind w:left="29" w:right="38"/>
                          <w:jc w:val="center"/>
                          <w:rPr>
                            <w:sz w:val="12"/>
                          </w:rPr>
                        </w:pPr>
                        <w:r>
                          <w:rPr>
                            <w:color w:val="231F20"/>
                            <w:sz w:val="12"/>
                          </w:rPr>
                          <w:t>2002</w:t>
                        </w:r>
                      </w:p>
                    </w:tc>
                    <w:tc>
                      <w:tcPr>
                        <w:tcW w:w="420" w:type="dxa"/>
                        <w:tcBorders>
                          <w:left w:val="single" w:sz="4" w:space="0" w:color="BABCBE"/>
                        </w:tcBorders>
                        <w:shd w:val="clear" w:color="auto" w:fill="DBDCDE"/>
                      </w:tcPr>
                      <w:p>
                        <w:pPr>
                          <w:pStyle w:val="TableParagraph"/>
                          <w:spacing w:before="36"/>
                          <w:ind w:left="75"/>
                          <w:rPr>
                            <w:sz w:val="12"/>
                          </w:rPr>
                        </w:pPr>
                        <w:r>
                          <w:rPr>
                            <w:color w:val="231F20"/>
                            <w:sz w:val="12"/>
                          </w:rPr>
                          <w:t>2003</w:t>
                        </w:r>
                      </w:p>
                    </w:tc>
                    <w:tc>
                      <w:tcPr>
                        <w:tcW w:w="372" w:type="dxa"/>
                        <w:tcBorders>
                          <w:bottom w:val="nil"/>
                          <w:right w:val="nil"/>
                        </w:tcBorders>
                      </w:tcPr>
                      <w:p>
                        <w:pPr/>
                      </w:p>
                    </w:tc>
                  </w:tr>
                </w:tbl>
                <w:p>
                  <w:pPr>
                    <w:pStyle w:val="BodyText"/>
                  </w:pPr>
                </w:p>
              </w:txbxContent>
            </v:textbox>
          </v:shape>
        </w:pict>
      </w:r>
      <w:r>
        <w:rPr>
          <w:rFonts w:ascii="Book Antiqua"/>
          <w:sz w:val="20"/>
        </w:rPr>
      </w:r>
      <w:r>
        <w:rPr>
          <w:rFonts w:ascii="Book Antiqua"/>
          <w:sz w:val="20"/>
        </w:rPr>
        <w:tab/>
      </w:r>
      <w:r>
        <w:rPr>
          <w:rFonts w:ascii="Book Antiqua"/>
          <w:position w:val="23"/>
          <w:sz w:val="20"/>
        </w:rPr>
        <w:pict>
          <v:shape style="width:208.3pt;height:67.6pt;mso-position-horizontal-relative:char;mso-position-vertical-relative:line" type="#_x0000_t202" filled="false" stroked="false">
            <w10:anchorlock/>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1168"/>
                    <w:gridCol w:w="426"/>
                    <w:gridCol w:w="426"/>
                    <w:gridCol w:w="426"/>
                    <w:gridCol w:w="426"/>
                    <w:gridCol w:w="426"/>
                    <w:gridCol w:w="426"/>
                    <w:gridCol w:w="428"/>
                  </w:tblGrid>
                  <w:tr>
                    <w:trPr>
                      <w:trHeight w:val="266" w:hRule="exact"/>
                    </w:trPr>
                    <w:tc>
                      <w:tcPr>
                        <w:tcW w:w="1168" w:type="dxa"/>
                        <w:tcBorders>
                          <w:bottom w:val="nil"/>
                          <w:right w:val="single" w:sz="4" w:space="0" w:color="FFFFFF"/>
                        </w:tcBorders>
                        <w:shd w:val="clear" w:color="auto" w:fill="DBDCDE"/>
                      </w:tcPr>
                      <w:p>
                        <w:pPr>
                          <w:pStyle w:val="TableParagraph"/>
                          <w:spacing w:before="70"/>
                          <w:ind w:left="101"/>
                          <w:rPr>
                            <w:sz w:val="12"/>
                          </w:rPr>
                        </w:pPr>
                        <w:r>
                          <w:rPr>
                            <w:color w:val="231F20"/>
                            <w:sz w:val="12"/>
                          </w:rPr>
                          <w:t>Type</w:t>
                        </w:r>
                      </w:p>
                    </w:tc>
                    <w:tc>
                      <w:tcPr>
                        <w:tcW w:w="426" w:type="dxa"/>
                        <w:tcBorders>
                          <w:left w:val="single" w:sz="4" w:space="0" w:color="FFFFFF"/>
                          <w:bottom w:val="nil"/>
                          <w:right w:val="single" w:sz="4" w:space="0" w:color="FFFFFF"/>
                        </w:tcBorders>
                        <w:shd w:val="clear" w:color="auto" w:fill="DBDCDE"/>
                      </w:tcPr>
                      <w:p>
                        <w:pPr>
                          <w:pStyle w:val="TableParagraph"/>
                          <w:spacing w:before="80"/>
                          <w:ind w:left="64" w:right="66"/>
                          <w:jc w:val="center"/>
                          <w:rPr>
                            <w:sz w:val="11"/>
                          </w:rPr>
                        </w:pPr>
                        <w:r>
                          <w:rPr>
                            <w:color w:val="231F20"/>
                            <w:sz w:val="11"/>
                          </w:rPr>
                          <w:t>2004</w:t>
                        </w:r>
                      </w:p>
                    </w:tc>
                    <w:tc>
                      <w:tcPr>
                        <w:tcW w:w="426" w:type="dxa"/>
                        <w:tcBorders>
                          <w:left w:val="single" w:sz="4" w:space="0" w:color="FFFFFF"/>
                          <w:bottom w:val="nil"/>
                          <w:right w:val="single" w:sz="4" w:space="0" w:color="FFFFFF"/>
                        </w:tcBorders>
                        <w:shd w:val="clear" w:color="auto" w:fill="DBDCDE"/>
                      </w:tcPr>
                      <w:p>
                        <w:pPr>
                          <w:pStyle w:val="TableParagraph"/>
                          <w:spacing w:before="80"/>
                          <w:ind w:right="108"/>
                          <w:jc w:val="right"/>
                          <w:rPr>
                            <w:sz w:val="11"/>
                          </w:rPr>
                        </w:pPr>
                        <w:r>
                          <w:rPr>
                            <w:color w:val="231F20"/>
                            <w:w w:val="85"/>
                            <w:sz w:val="11"/>
                          </w:rPr>
                          <w:t>2005</w:t>
                        </w:r>
                      </w:p>
                    </w:tc>
                    <w:tc>
                      <w:tcPr>
                        <w:tcW w:w="426" w:type="dxa"/>
                        <w:tcBorders>
                          <w:left w:val="single" w:sz="4" w:space="0" w:color="FFFFFF"/>
                          <w:bottom w:val="nil"/>
                          <w:right w:val="single" w:sz="4" w:space="0" w:color="FFFFFF"/>
                        </w:tcBorders>
                        <w:shd w:val="clear" w:color="auto" w:fill="DBDCDE"/>
                      </w:tcPr>
                      <w:p>
                        <w:pPr>
                          <w:pStyle w:val="TableParagraph"/>
                          <w:spacing w:before="80"/>
                          <w:ind w:right="110"/>
                          <w:jc w:val="right"/>
                          <w:rPr>
                            <w:sz w:val="11"/>
                          </w:rPr>
                        </w:pPr>
                        <w:r>
                          <w:rPr>
                            <w:color w:val="231F20"/>
                            <w:w w:val="85"/>
                            <w:sz w:val="11"/>
                          </w:rPr>
                          <w:t>2006</w:t>
                        </w:r>
                      </w:p>
                    </w:tc>
                    <w:tc>
                      <w:tcPr>
                        <w:tcW w:w="426" w:type="dxa"/>
                        <w:tcBorders>
                          <w:left w:val="single" w:sz="4" w:space="0" w:color="FFFFFF"/>
                          <w:bottom w:val="nil"/>
                          <w:right w:val="single" w:sz="4" w:space="0" w:color="FFFFFF"/>
                        </w:tcBorders>
                        <w:shd w:val="clear" w:color="auto" w:fill="DBDCDE"/>
                      </w:tcPr>
                      <w:p>
                        <w:pPr>
                          <w:pStyle w:val="TableParagraph"/>
                          <w:spacing w:before="80"/>
                          <w:ind w:left="62" w:right="68"/>
                          <w:jc w:val="center"/>
                          <w:rPr>
                            <w:sz w:val="11"/>
                          </w:rPr>
                        </w:pPr>
                        <w:r>
                          <w:rPr>
                            <w:color w:val="231F20"/>
                            <w:sz w:val="11"/>
                          </w:rPr>
                          <w:t>2007</w:t>
                        </w:r>
                      </w:p>
                    </w:tc>
                    <w:tc>
                      <w:tcPr>
                        <w:tcW w:w="426" w:type="dxa"/>
                        <w:tcBorders>
                          <w:left w:val="single" w:sz="4" w:space="0" w:color="FFFFFF"/>
                          <w:bottom w:val="nil"/>
                          <w:right w:val="single" w:sz="4" w:space="0" w:color="FFFFFF"/>
                        </w:tcBorders>
                        <w:shd w:val="clear" w:color="auto" w:fill="DBDCDE"/>
                      </w:tcPr>
                      <w:p>
                        <w:pPr>
                          <w:pStyle w:val="TableParagraph"/>
                          <w:spacing w:before="80"/>
                          <w:ind w:left="93"/>
                          <w:rPr>
                            <w:sz w:val="11"/>
                          </w:rPr>
                        </w:pPr>
                        <w:r>
                          <w:rPr>
                            <w:color w:val="231F20"/>
                            <w:sz w:val="11"/>
                          </w:rPr>
                          <w:t>2008</w:t>
                        </w:r>
                      </w:p>
                    </w:tc>
                    <w:tc>
                      <w:tcPr>
                        <w:tcW w:w="426" w:type="dxa"/>
                        <w:tcBorders>
                          <w:left w:val="single" w:sz="4" w:space="0" w:color="FFFFFF"/>
                          <w:bottom w:val="nil"/>
                          <w:right w:val="single" w:sz="4" w:space="0" w:color="FFFFFF"/>
                        </w:tcBorders>
                        <w:shd w:val="clear" w:color="auto" w:fill="DBDCDE"/>
                      </w:tcPr>
                      <w:p>
                        <w:pPr>
                          <w:pStyle w:val="TableParagraph"/>
                          <w:spacing w:line="113" w:lineRule="exact" w:before="21"/>
                          <w:ind w:left="92"/>
                          <w:rPr>
                            <w:sz w:val="11"/>
                          </w:rPr>
                        </w:pPr>
                        <w:r>
                          <w:rPr>
                            <w:color w:val="231F20"/>
                            <w:sz w:val="11"/>
                          </w:rPr>
                          <w:t>2009-</w:t>
                        </w:r>
                      </w:p>
                      <w:p>
                        <w:pPr>
                          <w:pStyle w:val="TableParagraph"/>
                          <w:spacing w:line="113" w:lineRule="exact"/>
                          <w:ind w:left="92"/>
                          <w:rPr>
                            <w:sz w:val="11"/>
                          </w:rPr>
                        </w:pPr>
                        <w:r>
                          <w:rPr>
                            <w:color w:val="231F20"/>
                            <w:sz w:val="11"/>
                          </w:rPr>
                          <w:t>2012</w:t>
                        </w:r>
                      </w:p>
                    </w:tc>
                    <w:tc>
                      <w:tcPr>
                        <w:tcW w:w="428" w:type="dxa"/>
                        <w:tcBorders>
                          <w:left w:val="single" w:sz="4" w:space="0" w:color="FFFFFF"/>
                          <w:bottom w:val="nil"/>
                        </w:tcBorders>
                        <w:shd w:val="clear" w:color="auto" w:fill="DBDCDE"/>
                      </w:tcPr>
                      <w:p>
                        <w:pPr>
                          <w:pStyle w:val="TableParagraph"/>
                          <w:spacing w:before="80"/>
                          <w:ind w:left="90"/>
                          <w:rPr>
                            <w:sz w:val="11"/>
                          </w:rPr>
                        </w:pPr>
                        <w:r>
                          <w:rPr>
                            <w:color w:val="231F20"/>
                            <w:sz w:val="11"/>
                          </w:rPr>
                          <w:t>Total</w:t>
                        </w:r>
                      </w:p>
                    </w:tc>
                  </w:tr>
                  <w:tr>
                    <w:trPr>
                      <w:trHeight w:val="277" w:hRule="exact"/>
                    </w:trPr>
                    <w:tc>
                      <w:tcPr>
                        <w:tcW w:w="4150" w:type="dxa"/>
                        <w:gridSpan w:val="8"/>
                        <w:tcBorders>
                          <w:top w:val="nil"/>
                          <w:bottom w:val="nil"/>
                        </w:tcBorders>
                      </w:tcPr>
                      <w:p>
                        <w:pPr>
                          <w:pStyle w:val="TableParagraph"/>
                          <w:tabs>
                            <w:tab w:pos="1323" w:val="left" w:leader="none"/>
                            <w:tab w:pos="1736" w:val="left" w:leader="none"/>
                            <w:tab w:pos="2170" w:val="left" w:leader="none"/>
                            <w:tab w:pos="2586" w:val="left" w:leader="none"/>
                            <w:tab w:pos="3042" w:val="left" w:leader="none"/>
                            <w:tab w:pos="3479" w:val="left" w:leader="none"/>
                            <w:tab w:pos="3992" w:val="right" w:leader="none"/>
                          </w:tabs>
                          <w:spacing w:before="74"/>
                          <w:ind w:left="80"/>
                          <w:rPr>
                            <w:sz w:val="11"/>
                          </w:rPr>
                        </w:pPr>
                        <w:r>
                          <w:rPr>
                            <w:color w:val="231F20"/>
                            <w:spacing w:val="3"/>
                            <w:sz w:val="12"/>
                          </w:rPr>
                          <w:t>Firm</w:t>
                        </w:r>
                        <w:r>
                          <w:rPr>
                            <w:color w:val="231F20"/>
                            <w:spacing w:val="-22"/>
                            <w:sz w:val="12"/>
                          </w:rPr>
                          <w:t> </w:t>
                        </w:r>
                        <w:r>
                          <w:rPr>
                            <w:color w:val="231F20"/>
                            <w:spacing w:val="3"/>
                            <w:sz w:val="12"/>
                          </w:rPr>
                          <w:t>Orders</w:t>
                          <w:tab/>
                        </w:r>
                        <w:r>
                          <w:rPr>
                            <w:color w:val="231F20"/>
                            <w:sz w:val="11"/>
                          </w:rPr>
                          <w:t>47</w:t>
                          <w:tab/>
                          <w:t>28</w:t>
                          <w:tab/>
                          <w:t>22</w:t>
                          <w:tab/>
                          <w:t>25</w:t>
                          <w:tab/>
                          <w:t>6</w:t>
                          <w:tab/>
                          <w:t>–</w:t>
                          <w:tab/>
                        </w:r>
                        <w:r>
                          <w:rPr>
                            <w:color w:val="231F20"/>
                            <w:spacing w:val="2"/>
                            <w:sz w:val="11"/>
                          </w:rPr>
                          <w:t>128</w:t>
                        </w:r>
                      </w:p>
                    </w:tc>
                  </w:tr>
                  <w:tr>
                    <w:trPr>
                      <w:trHeight w:val="263" w:hRule="exact"/>
                    </w:trPr>
                    <w:tc>
                      <w:tcPr>
                        <w:tcW w:w="1168" w:type="dxa"/>
                        <w:tcBorders>
                          <w:top w:val="nil"/>
                          <w:bottom w:val="nil"/>
                          <w:right w:val="single" w:sz="4" w:space="0" w:color="FFFFFF"/>
                        </w:tcBorders>
                        <w:shd w:val="clear" w:color="auto" w:fill="DBDCDE"/>
                      </w:tcPr>
                      <w:p>
                        <w:pPr>
                          <w:pStyle w:val="TableParagraph"/>
                          <w:spacing w:before="66"/>
                          <w:ind w:left="100"/>
                          <w:rPr>
                            <w:sz w:val="12"/>
                          </w:rPr>
                        </w:pPr>
                        <w:r>
                          <w:rPr>
                            <w:color w:val="231F20"/>
                            <w:sz w:val="12"/>
                          </w:rPr>
                          <w:t>Options</w:t>
                        </w:r>
                      </w:p>
                    </w:tc>
                    <w:tc>
                      <w:tcPr>
                        <w:tcW w:w="426" w:type="dxa"/>
                        <w:tcBorders>
                          <w:top w:val="nil"/>
                          <w:left w:val="single" w:sz="4" w:space="0" w:color="FFFFFF"/>
                          <w:bottom w:val="nil"/>
                          <w:right w:val="single" w:sz="4" w:space="0" w:color="FFFFFF"/>
                        </w:tcBorders>
                        <w:shd w:val="clear" w:color="auto" w:fill="DBDCDE"/>
                      </w:tcPr>
                      <w:p>
                        <w:pPr>
                          <w:pStyle w:val="TableParagraph"/>
                          <w:spacing w:before="87"/>
                          <w:ind w:left="1"/>
                          <w:jc w:val="center"/>
                          <w:rPr>
                            <w:sz w:val="11"/>
                          </w:rPr>
                        </w:pPr>
                        <w:r>
                          <w:rPr>
                            <w:color w:val="231F20"/>
                            <w:w w:val="89"/>
                            <w:sz w:val="11"/>
                          </w:rPr>
                          <w:t>–</w:t>
                        </w:r>
                      </w:p>
                    </w:tc>
                    <w:tc>
                      <w:tcPr>
                        <w:tcW w:w="426" w:type="dxa"/>
                        <w:tcBorders>
                          <w:top w:val="nil"/>
                          <w:left w:val="single" w:sz="4" w:space="0" w:color="FFFFFF"/>
                          <w:bottom w:val="nil"/>
                          <w:right w:val="single" w:sz="4" w:space="0" w:color="FFFFFF"/>
                        </w:tcBorders>
                        <w:shd w:val="clear" w:color="auto" w:fill="DBDCDE"/>
                      </w:tcPr>
                      <w:p>
                        <w:pPr>
                          <w:pStyle w:val="TableParagraph"/>
                          <w:spacing w:before="75"/>
                          <w:ind w:right="190"/>
                          <w:jc w:val="right"/>
                          <w:rPr>
                            <w:sz w:val="11"/>
                          </w:rPr>
                        </w:pPr>
                        <w:r>
                          <w:rPr>
                            <w:color w:val="231F20"/>
                            <w:w w:val="86"/>
                            <w:sz w:val="11"/>
                          </w:rPr>
                          <w:t>6</w:t>
                        </w:r>
                      </w:p>
                    </w:tc>
                    <w:tc>
                      <w:tcPr>
                        <w:tcW w:w="426" w:type="dxa"/>
                        <w:tcBorders>
                          <w:top w:val="nil"/>
                          <w:left w:val="single" w:sz="4" w:space="0" w:color="FFFFFF"/>
                          <w:bottom w:val="nil"/>
                          <w:right w:val="single" w:sz="4" w:space="0" w:color="FFFFFF"/>
                        </w:tcBorders>
                        <w:shd w:val="clear" w:color="auto" w:fill="DBDCDE"/>
                      </w:tcPr>
                      <w:p>
                        <w:pPr>
                          <w:pStyle w:val="TableParagraph"/>
                          <w:spacing w:before="75"/>
                          <w:ind w:left="52" w:right="66"/>
                          <w:jc w:val="center"/>
                          <w:rPr>
                            <w:sz w:val="11"/>
                          </w:rPr>
                        </w:pPr>
                        <w:r>
                          <w:rPr>
                            <w:color w:val="231F20"/>
                            <w:sz w:val="11"/>
                          </w:rPr>
                          <w:t>12</w:t>
                        </w:r>
                      </w:p>
                    </w:tc>
                    <w:tc>
                      <w:tcPr>
                        <w:tcW w:w="426" w:type="dxa"/>
                        <w:tcBorders>
                          <w:top w:val="nil"/>
                          <w:left w:val="single" w:sz="4" w:space="0" w:color="FFFFFF"/>
                          <w:bottom w:val="nil"/>
                          <w:right w:val="single" w:sz="4" w:space="0" w:color="FFFFFF"/>
                        </w:tcBorders>
                        <w:shd w:val="clear" w:color="auto" w:fill="DBDCDE"/>
                      </w:tcPr>
                      <w:p>
                        <w:pPr>
                          <w:pStyle w:val="TableParagraph"/>
                          <w:spacing w:before="75"/>
                          <w:ind w:right="14"/>
                          <w:jc w:val="center"/>
                          <w:rPr>
                            <w:sz w:val="11"/>
                          </w:rPr>
                        </w:pPr>
                        <w:r>
                          <w:rPr>
                            <w:color w:val="231F20"/>
                            <w:w w:val="86"/>
                            <w:sz w:val="11"/>
                          </w:rPr>
                          <w:t>9</w:t>
                        </w:r>
                      </w:p>
                    </w:tc>
                    <w:tc>
                      <w:tcPr>
                        <w:tcW w:w="426" w:type="dxa"/>
                        <w:tcBorders>
                          <w:top w:val="nil"/>
                          <w:left w:val="single" w:sz="4" w:space="0" w:color="FFFFFF"/>
                          <w:bottom w:val="nil"/>
                          <w:right w:val="single" w:sz="4" w:space="0" w:color="FFFFFF"/>
                        </w:tcBorders>
                        <w:shd w:val="clear" w:color="auto" w:fill="DBDCDE"/>
                      </w:tcPr>
                      <w:p>
                        <w:pPr>
                          <w:pStyle w:val="TableParagraph"/>
                          <w:spacing w:before="75"/>
                          <w:ind w:left="145"/>
                          <w:rPr>
                            <w:sz w:val="11"/>
                          </w:rPr>
                        </w:pPr>
                        <w:r>
                          <w:rPr>
                            <w:color w:val="231F20"/>
                            <w:sz w:val="11"/>
                          </w:rPr>
                          <w:t>25</w:t>
                        </w:r>
                      </w:p>
                    </w:tc>
                    <w:tc>
                      <w:tcPr>
                        <w:tcW w:w="426" w:type="dxa"/>
                        <w:tcBorders>
                          <w:top w:val="nil"/>
                          <w:left w:val="single" w:sz="4" w:space="0" w:color="FFFFFF"/>
                          <w:bottom w:val="nil"/>
                          <w:right w:val="single" w:sz="4" w:space="0" w:color="FFFFFF"/>
                        </w:tcBorders>
                        <w:shd w:val="clear" w:color="auto" w:fill="DBDCDE"/>
                      </w:tcPr>
                      <w:p>
                        <w:pPr>
                          <w:pStyle w:val="TableParagraph"/>
                          <w:spacing w:before="75"/>
                          <w:ind w:right="175"/>
                          <w:jc w:val="right"/>
                          <w:rPr>
                            <w:sz w:val="11"/>
                          </w:rPr>
                        </w:pPr>
                        <w:r>
                          <w:rPr>
                            <w:color w:val="231F20"/>
                            <w:w w:val="89"/>
                            <w:sz w:val="11"/>
                          </w:rPr>
                          <w:t>–</w:t>
                        </w:r>
                      </w:p>
                    </w:tc>
                    <w:tc>
                      <w:tcPr>
                        <w:tcW w:w="428" w:type="dxa"/>
                        <w:tcBorders>
                          <w:top w:val="nil"/>
                          <w:left w:val="single" w:sz="4" w:space="0" w:color="FFFFFF"/>
                          <w:bottom w:val="nil"/>
                        </w:tcBorders>
                        <w:shd w:val="clear" w:color="auto" w:fill="DBDCDE"/>
                      </w:tcPr>
                      <w:p>
                        <w:pPr>
                          <w:pStyle w:val="TableParagraph"/>
                          <w:spacing w:before="76"/>
                          <w:ind w:left="136"/>
                          <w:rPr>
                            <w:sz w:val="11"/>
                          </w:rPr>
                        </w:pPr>
                        <w:r>
                          <w:rPr>
                            <w:color w:val="231F20"/>
                            <w:sz w:val="11"/>
                          </w:rPr>
                          <w:t>52</w:t>
                        </w:r>
                      </w:p>
                    </w:tc>
                  </w:tr>
                  <w:tr>
                    <w:trPr>
                      <w:trHeight w:val="272" w:hRule="exact"/>
                    </w:trPr>
                    <w:tc>
                      <w:tcPr>
                        <w:tcW w:w="4150" w:type="dxa"/>
                        <w:gridSpan w:val="8"/>
                        <w:tcBorders>
                          <w:top w:val="nil"/>
                          <w:bottom w:val="nil"/>
                        </w:tcBorders>
                      </w:tcPr>
                      <w:p>
                        <w:pPr>
                          <w:pStyle w:val="TableParagraph"/>
                          <w:tabs>
                            <w:tab w:pos="1353" w:val="left" w:leader="none"/>
                            <w:tab w:pos="1766" w:val="left" w:leader="none"/>
                            <w:tab w:pos="2194" w:val="left" w:leader="none"/>
                            <w:tab w:pos="2589" w:val="left" w:leader="none"/>
                            <w:tab w:pos="3018" w:val="left" w:leader="none"/>
                            <w:tab w:pos="3431" w:val="left" w:leader="none"/>
                            <w:tab w:pos="3992" w:val="right" w:leader="none"/>
                          </w:tabs>
                          <w:spacing w:before="69"/>
                          <w:ind w:left="80"/>
                          <w:rPr>
                            <w:sz w:val="11"/>
                          </w:rPr>
                        </w:pPr>
                        <w:r>
                          <w:rPr>
                            <w:color w:val="231F20"/>
                            <w:spacing w:val="3"/>
                            <w:position w:val="1"/>
                            <w:sz w:val="12"/>
                          </w:rPr>
                          <w:t>Purchase</w:t>
                        </w:r>
                        <w:r>
                          <w:rPr>
                            <w:color w:val="231F20"/>
                            <w:spacing w:val="-27"/>
                            <w:position w:val="1"/>
                            <w:sz w:val="12"/>
                          </w:rPr>
                          <w:t> </w:t>
                        </w:r>
                        <w:r>
                          <w:rPr>
                            <w:color w:val="231F20"/>
                            <w:spacing w:val="3"/>
                            <w:position w:val="1"/>
                            <w:sz w:val="12"/>
                          </w:rPr>
                          <w:t>Rights</w:t>
                          <w:tab/>
                        </w:r>
                        <w:r>
                          <w:rPr>
                            <w:color w:val="231F20"/>
                            <w:sz w:val="11"/>
                          </w:rPr>
                          <w:t>–</w:t>
                          <w:tab/>
                          <w:t>–</w:t>
                          <w:tab/>
                          <w:t>–</w:t>
                          <w:tab/>
                          <w:t>20</w:t>
                          <w:tab/>
                          <w:t>20</w:t>
                          <w:tab/>
                        </w:r>
                        <w:r>
                          <w:rPr>
                            <w:color w:val="231F20"/>
                            <w:spacing w:val="2"/>
                            <w:sz w:val="11"/>
                          </w:rPr>
                          <w:t>177</w:t>
                          <w:tab/>
                          <w:t>217</w:t>
                        </w:r>
                      </w:p>
                    </w:tc>
                  </w:tr>
                  <w:tr>
                    <w:trPr>
                      <w:trHeight w:val="264" w:hRule="exact"/>
                    </w:trPr>
                    <w:tc>
                      <w:tcPr>
                        <w:tcW w:w="1168" w:type="dxa"/>
                        <w:tcBorders>
                          <w:top w:val="nil"/>
                          <w:right w:val="single" w:sz="4" w:space="0" w:color="FFFFFF"/>
                        </w:tcBorders>
                        <w:shd w:val="clear" w:color="auto" w:fill="DBDCDE"/>
                      </w:tcPr>
                      <w:p>
                        <w:pPr>
                          <w:pStyle w:val="TableParagraph"/>
                          <w:spacing w:before="65"/>
                          <w:ind w:left="105"/>
                          <w:rPr>
                            <w:sz w:val="12"/>
                          </w:rPr>
                        </w:pPr>
                        <w:r>
                          <w:rPr>
                            <w:color w:val="231F20"/>
                            <w:sz w:val="12"/>
                          </w:rPr>
                          <w:t>Total</w:t>
                        </w:r>
                      </w:p>
                    </w:tc>
                    <w:tc>
                      <w:tcPr>
                        <w:tcW w:w="426" w:type="dxa"/>
                        <w:tcBorders>
                          <w:top w:val="nil"/>
                          <w:left w:val="single" w:sz="4" w:space="0" w:color="FFFFFF"/>
                          <w:right w:val="single" w:sz="4" w:space="0" w:color="FFFFFF"/>
                        </w:tcBorders>
                        <w:shd w:val="clear" w:color="auto" w:fill="DBDCDE"/>
                      </w:tcPr>
                      <w:p>
                        <w:pPr>
                          <w:pStyle w:val="TableParagraph"/>
                          <w:spacing w:before="71"/>
                          <w:ind w:left="64" w:right="57"/>
                          <w:jc w:val="center"/>
                          <w:rPr>
                            <w:sz w:val="11"/>
                          </w:rPr>
                        </w:pPr>
                        <w:r>
                          <w:rPr>
                            <w:color w:val="231F20"/>
                            <w:sz w:val="11"/>
                          </w:rPr>
                          <w:t>47</w:t>
                        </w:r>
                      </w:p>
                    </w:tc>
                    <w:tc>
                      <w:tcPr>
                        <w:tcW w:w="426" w:type="dxa"/>
                        <w:tcBorders>
                          <w:top w:val="nil"/>
                          <w:left w:val="single" w:sz="4" w:space="0" w:color="FFFFFF"/>
                          <w:right w:val="single" w:sz="4" w:space="0" w:color="FFFFFF"/>
                        </w:tcBorders>
                        <w:shd w:val="clear" w:color="auto" w:fill="DBDCDE"/>
                      </w:tcPr>
                      <w:p>
                        <w:pPr>
                          <w:pStyle w:val="TableParagraph"/>
                          <w:spacing w:before="72"/>
                          <w:ind w:right="157"/>
                          <w:jc w:val="right"/>
                          <w:rPr>
                            <w:sz w:val="11"/>
                          </w:rPr>
                        </w:pPr>
                        <w:r>
                          <w:rPr>
                            <w:color w:val="231F20"/>
                            <w:w w:val="85"/>
                            <w:sz w:val="11"/>
                          </w:rPr>
                          <w:t>34</w:t>
                        </w:r>
                      </w:p>
                    </w:tc>
                    <w:tc>
                      <w:tcPr>
                        <w:tcW w:w="426" w:type="dxa"/>
                        <w:tcBorders>
                          <w:top w:val="nil"/>
                          <w:left w:val="single" w:sz="4" w:space="0" w:color="FFFFFF"/>
                          <w:right w:val="single" w:sz="4" w:space="0" w:color="FFFFFF"/>
                        </w:tcBorders>
                        <w:shd w:val="clear" w:color="auto" w:fill="DBDCDE"/>
                      </w:tcPr>
                      <w:p>
                        <w:pPr>
                          <w:pStyle w:val="TableParagraph"/>
                          <w:spacing w:before="71"/>
                          <w:ind w:right="152"/>
                          <w:jc w:val="right"/>
                          <w:rPr>
                            <w:sz w:val="11"/>
                          </w:rPr>
                        </w:pPr>
                        <w:r>
                          <w:rPr>
                            <w:color w:val="231F20"/>
                            <w:w w:val="85"/>
                            <w:sz w:val="11"/>
                          </w:rPr>
                          <w:t>34</w:t>
                        </w:r>
                      </w:p>
                    </w:tc>
                    <w:tc>
                      <w:tcPr>
                        <w:tcW w:w="426" w:type="dxa"/>
                        <w:tcBorders>
                          <w:top w:val="nil"/>
                          <w:left w:val="single" w:sz="4" w:space="0" w:color="FFFFFF"/>
                          <w:right w:val="single" w:sz="4" w:space="0" w:color="FFFFFF"/>
                        </w:tcBorders>
                        <w:shd w:val="clear" w:color="auto" w:fill="DBDCDE"/>
                      </w:tcPr>
                      <w:p>
                        <w:pPr>
                          <w:pStyle w:val="TableParagraph"/>
                          <w:spacing w:before="71"/>
                          <w:ind w:left="55" w:right="68"/>
                          <w:jc w:val="center"/>
                          <w:rPr>
                            <w:sz w:val="11"/>
                          </w:rPr>
                        </w:pPr>
                        <w:r>
                          <w:rPr>
                            <w:color w:val="231F20"/>
                            <w:sz w:val="11"/>
                          </w:rPr>
                          <w:t>54</w:t>
                        </w:r>
                      </w:p>
                    </w:tc>
                    <w:tc>
                      <w:tcPr>
                        <w:tcW w:w="426" w:type="dxa"/>
                        <w:tcBorders>
                          <w:top w:val="nil"/>
                          <w:left w:val="single" w:sz="4" w:space="0" w:color="FFFFFF"/>
                          <w:right w:val="single" w:sz="4" w:space="0" w:color="FFFFFF"/>
                        </w:tcBorders>
                        <w:shd w:val="clear" w:color="auto" w:fill="DBDCDE"/>
                      </w:tcPr>
                      <w:p>
                        <w:pPr>
                          <w:pStyle w:val="TableParagraph"/>
                          <w:spacing w:before="71"/>
                          <w:ind w:left="142"/>
                          <w:rPr>
                            <w:sz w:val="11"/>
                          </w:rPr>
                        </w:pPr>
                        <w:r>
                          <w:rPr>
                            <w:color w:val="231F20"/>
                            <w:sz w:val="11"/>
                          </w:rPr>
                          <w:t>51</w:t>
                        </w:r>
                      </w:p>
                    </w:tc>
                    <w:tc>
                      <w:tcPr>
                        <w:tcW w:w="426" w:type="dxa"/>
                        <w:tcBorders>
                          <w:top w:val="nil"/>
                          <w:left w:val="single" w:sz="4" w:space="0" w:color="FFFFFF"/>
                          <w:right w:val="single" w:sz="4" w:space="0" w:color="FFFFFF"/>
                        </w:tcBorders>
                        <w:shd w:val="clear" w:color="auto" w:fill="DBDCDE"/>
                      </w:tcPr>
                      <w:p>
                        <w:pPr>
                          <w:pStyle w:val="TableParagraph"/>
                          <w:spacing w:before="71"/>
                          <w:ind w:right="120"/>
                          <w:jc w:val="right"/>
                          <w:rPr>
                            <w:sz w:val="11"/>
                          </w:rPr>
                        </w:pPr>
                        <w:r>
                          <w:rPr>
                            <w:color w:val="231F20"/>
                            <w:w w:val="85"/>
                            <w:sz w:val="11"/>
                          </w:rPr>
                          <w:t>177</w:t>
                        </w:r>
                      </w:p>
                    </w:tc>
                    <w:tc>
                      <w:tcPr>
                        <w:tcW w:w="428" w:type="dxa"/>
                        <w:tcBorders>
                          <w:top w:val="nil"/>
                          <w:left w:val="single" w:sz="4" w:space="0" w:color="FFFFFF"/>
                        </w:tcBorders>
                        <w:shd w:val="clear" w:color="auto" w:fill="DBDCDE"/>
                      </w:tcPr>
                      <w:p>
                        <w:pPr>
                          <w:pStyle w:val="TableParagraph"/>
                          <w:spacing w:before="71"/>
                          <w:ind w:left="98"/>
                          <w:rPr>
                            <w:sz w:val="11"/>
                          </w:rPr>
                        </w:pPr>
                        <w:r>
                          <w:rPr>
                            <w:color w:val="231F20"/>
                            <w:sz w:val="11"/>
                          </w:rPr>
                          <w:t>397</w:t>
                        </w:r>
                      </w:p>
                    </w:tc>
                  </w:tr>
                </w:tbl>
                <w:p>
                  <w:pPr>
                    <w:pStyle w:val="BodyText"/>
                  </w:pPr>
                </w:p>
              </w:txbxContent>
            </v:textbox>
          </v:shape>
        </w:pict>
      </w:r>
      <w:r>
        <w:rPr>
          <w:rFonts w:ascii="Book Antiqua"/>
          <w:position w:val="23"/>
          <w:sz w:val="20"/>
        </w:rPr>
      </w:r>
    </w:p>
    <w:p>
      <w:pPr>
        <w:pStyle w:val="BodyText"/>
        <w:spacing w:before="7"/>
        <w:rPr>
          <w:rFonts w:ascii="Book Antiqua"/>
          <w:sz w:val="5"/>
        </w:rPr>
      </w:pPr>
    </w:p>
    <w:p>
      <w:pPr>
        <w:spacing w:after="0"/>
        <w:rPr>
          <w:rFonts w:ascii="Book Antiqua"/>
          <w:sz w:val="5"/>
        </w:rPr>
        <w:sectPr>
          <w:type w:val="continuous"/>
          <w:pgSz w:w="12240" w:h="15840"/>
          <w:pgMar w:top="320" w:bottom="280" w:left="780" w:right="340"/>
        </w:sectPr>
      </w:pPr>
    </w:p>
    <w:p>
      <w:pPr>
        <w:spacing w:before="65"/>
        <w:ind w:left="113" w:right="0" w:firstLine="0"/>
        <w:jc w:val="left"/>
        <w:rPr>
          <w:rFonts w:ascii="Arial"/>
          <w:sz w:val="11"/>
        </w:rPr>
      </w:pPr>
      <w:r>
        <w:rPr/>
        <w:pict>
          <v:rect style="position:absolute;margin-left:136.517395pt;margin-top:-48.958771pt;width:7.2793pt;height:33.7236pt;mso-position-horizontal-relative:page;mso-position-vertical-relative:paragraph;z-index:-234016" filled="true" fillcolor="#386ab3" stroked="false">
            <v:fill type="solid"/>
            <w10:wrap type="none"/>
          </v:rect>
        </w:pict>
      </w:r>
      <w:r>
        <w:rPr/>
        <w:pict>
          <v:rect style="position:absolute;margin-left:53.128201pt;margin-top:-53.61797pt;width:7.2784pt;height:38.6699pt;mso-position-horizontal-relative:page;mso-position-vertical-relative:paragraph;z-index:-233992" filled="true" fillcolor="#386ab3" stroked="false">
            <v:fill type="solid"/>
            <w10:wrap type="none"/>
          </v:rect>
        </w:pict>
      </w:r>
      <w:r>
        <w:rPr/>
        <w:pict>
          <v:rect style="position:absolute;margin-left:73.785896pt;margin-top:-77.528168pt;width:7.2774pt;height:62.3672pt;mso-position-horizontal-relative:page;mso-position-vertical-relative:paragraph;z-index:-233968" filled="true" fillcolor="#386ab3" stroked="false">
            <v:fill type="solid"/>
            <w10:wrap type="none"/>
          </v:rect>
        </w:pict>
      </w:r>
      <w:r>
        <w:rPr/>
        <w:pict>
          <v:rect style="position:absolute;margin-left:95.424599pt;margin-top:-53.52227pt;width:7.2793pt;height:38.2871pt;mso-position-horizontal-relative:page;mso-position-vertical-relative:paragraph;z-index:-233944" filled="true" fillcolor="#386ab3" stroked="false">
            <v:fill type="solid"/>
            <w10:wrap type="none"/>
          </v:rect>
        </w:pict>
      </w:r>
      <w:r>
        <w:rPr/>
        <w:pict>
          <v:rect style="position:absolute;margin-left:115.517403pt;margin-top:-56.291771pt;width:7.2793pt;height:41.056600pt;mso-position-horizontal-relative:page;mso-position-vertical-relative:paragraph;z-index:-233920" filled="true" fillcolor="#386ab3" stroked="false">
            <v:fill type="solid"/>
            <w10:wrap type="none"/>
          </v:rect>
        </w:pict>
      </w:r>
      <w:r>
        <w:rPr/>
        <w:pict>
          <v:rect style="position:absolute;margin-left:212.382996pt;margin-top:-65.223366pt;width:7.279pt;height:50.20410pt;mso-position-horizontal-relative:page;mso-position-vertical-relative:paragraph;z-index:-233896" filled="true" fillcolor="#386ab3" stroked="false">
            <v:fill type="solid"/>
            <w10:wrap type="none"/>
          </v:rect>
        </w:pict>
      </w:r>
      <w:r>
        <w:rPr/>
        <w:pict>
          <v:rect style="position:absolute;margin-left:233.041pt;margin-top:-69.563171pt;width:7.277pt;height:54.3311pt;mso-position-horizontal-relative:page;mso-position-vertical-relative:paragraph;z-index:-233872" filled="true" fillcolor="#386ab3" stroked="false">
            <v:fill type="solid"/>
            <w10:wrap type="none"/>
          </v:rect>
        </w:pict>
      </w:r>
      <w:r>
        <w:rPr/>
        <w:pict>
          <v:rect style="position:absolute;margin-left:254.679993pt;margin-top:-72.569969pt;width:7.279pt;height:57.2636pt;mso-position-horizontal-relative:page;mso-position-vertical-relative:paragraph;z-index:-233848" filled="true" fillcolor="#386ab3" stroked="false">
            <v:fill type="solid"/>
            <w10:wrap type="none"/>
          </v:rect>
        </w:pict>
      </w:r>
      <w:r>
        <w:rPr/>
        <w:pict>
          <v:rect style="position:absolute;margin-left:274.77301pt;margin-top:-75.077866pt;width:7.279pt;height:59.7715pt;mso-position-horizontal-relative:page;mso-position-vertical-relative:paragraph;z-index:-233824" filled="true" fillcolor="#386ab3" stroked="false">
            <v:fill type="solid"/>
            <w10:wrap type="none"/>
          </v:rect>
        </w:pict>
      </w:r>
      <w:r>
        <w:rPr/>
        <w:pict>
          <v:rect style="position:absolute;margin-left:295.72699pt;margin-top:-77.617867pt;width:7.279pt;height:62.3115pt;mso-position-horizontal-relative:page;mso-position-vertical-relative:paragraph;z-index:-233800" filled="true" fillcolor="#386ab3" stroked="false">
            <v:fill type="solid"/>
            <w10:wrap type="none"/>
          </v:rect>
        </w:pict>
      </w:r>
      <w:r>
        <w:rPr>
          <w:rFonts w:ascii="Arial"/>
          <w:b/>
          <w:color w:val="231F20"/>
          <w:w w:val="90"/>
          <w:sz w:val="12"/>
        </w:rPr>
        <w:t>Aircraft Utilization </w:t>
      </w:r>
      <w:r>
        <w:rPr>
          <w:rFonts w:ascii="Arial"/>
          <w:color w:val="231F20"/>
          <w:w w:val="90"/>
          <w:sz w:val="11"/>
        </w:rPr>
        <w:t>( hours and minutes per day)</w:t>
      </w:r>
    </w:p>
    <w:p>
      <w:pPr>
        <w:spacing w:before="59"/>
        <w:ind w:left="113" w:right="0" w:firstLine="0"/>
        <w:jc w:val="left"/>
        <w:rPr>
          <w:rFonts w:ascii="Arial"/>
          <w:sz w:val="11"/>
        </w:rPr>
      </w:pPr>
      <w:r>
        <w:rPr/>
        <w:br w:type="column"/>
      </w:r>
      <w:r>
        <w:rPr>
          <w:rFonts w:ascii="Arial"/>
          <w:b/>
          <w:color w:val="231F20"/>
          <w:w w:val="85"/>
          <w:sz w:val="12"/>
        </w:rPr>
        <w:t>Fleet Size </w:t>
      </w:r>
      <w:r>
        <w:rPr>
          <w:rFonts w:ascii="Arial"/>
          <w:color w:val="231F20"/>
          <w:w w:val="85"/>
          <w:sz w:val="11"/>
        </w:rPr>
        <w:t>(at yearend)</w:t>
      </w:r>
    </w:p>
    <w:p>
      <w:pPr>
        <w:spacing w:before="62"/>
        <w:ind w:left="113" w:right="0" w:firstLine="0"/>
        <w:jc w:val="left"/>
        <w:rPr>
          <w:rFonts w:ascii="Arial"/>
          <w:b/>
          <w:sz w:val="12"/>
        </w:rPr>
      </w:pPr>
      <w:r>
        <w:rPr/>
        <w:br w:type="column"/>
      </w:r>
      <w:r>
        <w:rPr>
          <w:rFonts w:ascii="Arial"/>
          <w:b/>
          <w:color w:val="231F20"/>
          <w:w w:val="85"/>
          <w:sz w:val="12"/>
        </w:rPr>
        <w:t>Boeing 737-700 Firm Orders and Options</w:t>
      </w:r>
    </w:p>
    <w:p>
      <w:pPr>
        <w:spacing w:after="0"/>
        <w:jc w:val="left"/>
        <w:rPr>
          <w:rFonts w:ascii="Arial"/>
          <w:sz w:val="12"/>
        </w:rPr>
        <w:sectPr>
          <w:type w:val="continuous"/>
          <w:pgSz w:w="12240" w:h="15840"/>
          <w:pgMar w:top="320" w:bottom="280" w:left="780" w:right="340"/>
          <w:cols w:num="3" w:equalWidth="0">
            <w:col w:w="2482" w:space="702"/>
            <w:col w:w="1241" w:space="1876"/>
            <w:col w:w="4819"/>
          </w:cols>
        </w:sectPr>
      </w:pPr>
    </w:p>
    <w:p>
      <w:pPr>
        <w:tabs>
          <w:tab w:pos="532" w:val="left" w:leader="none"/>
        </w:tabs>
        <w:spacing w:before="40"/>
        <w:ind w:left="112" w:right="0" w:firstLine="0"/>
        <w:jc w:val="left"/>
        <w:rPr>
          <w:rFonts w:ascii="Arial"/>
          <w:sz w:val="12"/>
        </w:rPr>
      </w:pPr>
      <w:r>
        <w:rPr/>
        <w:pict>
          <v:line style="position:absolute;mso-position-horizontal-relative:page;mso-position-vertical-relative:paragraph;z-index:-233536" from="36.605202pt,.9996pt" to="36.605202pt,18.9996pt" stroked="true" strokeweight=".5pt" strokecolor="#ffffff">
            <v:stroke dashstyle="solid"/>
            <w10:wrap type="none"/>
          </v:line>
        </w:pict>
      </w:r>
      <w:bookmarkStart w:name="System Map/Market Share/Capacity by Regi" w:id="14"/>
      <w:bookmarkEnd w:id="14"/>
      <w:r>
        <w:rPr/>
      </w:r>
      <w:r>
        <w:rPr>
          <w:rFonts w:ascii="Arial"/>
          <w:color w:val="FFFFFF"/>
          <w:w w:val="95"/>
          <w:sz w:val="14"/>
        </w:rPr>
        <w:t>12</w:t>
        <w:tab/>
      </w:r>
      <w:r>
        <w:rPr>
          <w:rFonts w:ascii="Arial"/>
          <w:color w:val="FFFFFF"/>
          <w:spacing w:val="9"/>
          <w:w w:val="90"/>
          <w:position w:val="1"/>
          <w:sz w:val="12"/>
        </w:rPr>
        <w:t>Southwest</w:t>
      </w:r>
      <w:r>
        <w:rPr>
          <w:rFonts w:ascii="Arial"/>
          <w:color w:val="FFFFFF"/>
          <w:spacing w:val="-9"/>
          <w:w w:val="90"/>
          <w:position w:val="1"/>
          <w:sz w:val="12"/>
        </w:rPr>
        <w:t> </w:t>
      </w:r>
      <w:r>
        <w:rPr>
          <w:rFonts w:ascii="Arial"/>
          <w:color w:val="FFFFFF"/>
          <w:spacing w:val="9"/>
          <w:w w:val="90"/>
          <w:position w:val="1"/>
          <w:sz w:val="12"/>
        </w:rPr>
        <w:t>Airlines</w:t>
      </w:r>
      <w:r>
        <w:rPr>
          <w:rFonts w:ascii="Arial"/>
          <w:color w:val="FFFFFF"/>
          <w:spacing w:val="-7"/>
          <w:w w:val="90"/>
          <w:position w:val="1"/>
          <w:sz w:val="12"/>
        </w:rPr>
        <w:t> </w:t>
      </w:r>
      <w:r>
        <w:rPr>
          <w:rFonts w:ascii="Arial"/>
          <w:color w:val="FFFFFF"/>
          <w:spacing w:val="7"/>
          <w:w w:val="90"/>
          <w:position w:val="1"/>
          <w:sz w:val="12"/>
        </w:rPr>
        <w:t>Co.</w:t>
      </w:r>
      <w:r>
        <w:rPr>
          <w:rFonts w:ascii="Arial"/>
          <w:color w:val="FFFFFF"/>
          <w:spacing w:val="-9"/>
          <w:w w:val="90"/>
          <w:position w:val="1"/>
          <w:sz w:val="12"/>
        </w:rPr>
        <w:t> </w:t>
      </w:r>
      <w:r>
        <w:rPr>
          <w:rFonts w:ascii="Arial"/>
          <w:color w:val="FFFFFF"/>
          <w:spacing w:val="8"/>
          <w:w w:val="90"/>
          <w:position w:val="1"/>
          <w:sz w:val="12"/>
        </w:rPr>
        <w:t>2003</w:t>
      </w:r>
      <w:r>
        <w:rPr>
          <w:rFonts w:ascii="Arial"/>
          <w:color w:val="FFFFFF"/>
          <w:spacing w:val="-9"/>
          <w:w w:val="90"/>
          <w:position w:val="1"/>
          <w:sz w:val="12"/>
        </w:rPr>
        <w:t> </w:t>
      </w:r>
      <w:r>
        <w:rPr>
          <w:rFonts w:ascii="Arial"/>
          <w:color w:val="FFFFFF"/>
          <w:spacing w:val="9"/>
          <w:w w:val="90"/>
          <w:position w:val="1"/>
          <w:sz w:val="12"/>
        </w:rPr>
        <w:t>Annual</w:t>
      </w:r>
      <w:r>
        <w:rPr>
          <w:rFonts w:ascii="Arial"/>
          <w:color w:val="FFFFFF"/>
          <w:spacing w:val="-7"/>
          <w:w w:val="90"/>
          <w:position w:val="1"/>
          <w:sz w:val="12"/>
        </w:rPr>
        <w:t> </w:t>
      </w:r>
      <w:r>
        <w:rPr>
          <w:rFonts w:ascii="Arial"/>
          <w:color w:val="FFFFFF"/>
          <w:spacing w:val="9"/>
          <w:w w:val="90"/>
          <w:position w:val="1"/>
          <w:sz w:val="12"/>
        </w:rPr>
        <w:t>Report    </w:t>
      </w:r>
      <w:r>
        <w:rPr>
          <w:rFonts w:ascii="Arial"/>
          <w:color w:val="FFFFFF"/>
          <w:spacing w:val="-11"/>
          <w:position w:val="-7"/>
          <w:sz w:val="12"/>
        </w:rPr>
        <w:drawing>
          <wp:inline distT="0" distB="0" distL="0" distR="0">
            <wp:extent cx="370521" cy="159750"/>
            <wp:effectExtent l="0" t="0" r="0" b="0"/>
            <wp:docPr id="73" name="image32.png" descr=""/>
            <wp:cNvGraphicFramePr>
              <a:graphicFrameLocks noChangeAspect="1"/>
            </wp:cNvGraphicFramePr>
            <a:graphic>
              <a:graphicData uri="http://schemas.openxmlformats.org/drawingml/2006/picture">
                <pic:pic>
                  <pic:nvPicPr>
                    <pic:cNvPr id="74" name="image32.png"/>
                    <pic:cNvPicPr/>
                  </pic:nvPicPr>
                  <pic:blipFill>
                    <a:blip r:embed="rId36" cstate="print"/>
                    <a:stretch>
                      <a:fillRect/>
                    </a:stretch>
                  </pic:blipFill>
                  <pic:spPr>
                    <a:xfrm>
                      <a:off x="0" y="0"/>
                      <a:ext cx="370521" cy="159750"/>
                    </a:xfrm>
                    <a:prstGeom prst="rect">
                      <a:avLst/>
                    </a:prstGeom>
                  </pic:spPr>
                </pic:pic>
              </a:graphicData>
            </a:graphic>
          </wp:inline>
        </w:drawing>
      </w:r>
      <w:r>
        <w:rPr>
          <w:rFonts w:ascii="Arial"/>
          <w:color w:val="FFFFFF"/>
          <w:spacing w:val="-11"/>
          <w:position w:val="-7"/>
          <w:sz w:val="12"/>
        </w:rPr>
      </w:r>
    </w:p>
    <w:p>
      <w:pPr>
        <w:pStyle w:val="BodyText"/>
        <w:rPr>
          <w:rFonts w:ascii="Arial"/>
          <w:sz w:val="24"/>
        </w:rPr>
      </w:pPr>
    </w:p>
    <w:p>
      <w:pPr>
        <w:pStyle w:val="BodyText"/>
        <w:spacing w:before="3"/>
        <w:rPr>
          <w:rFonts w:ascii="Arial"/>
          <w:sz w:val="33"/>
        </w:rPr>
      </w:pPr>
    </w:p>
    <w:p>
      <w:pPr>
        <w:spacing w:line="168" w:lineRule="auto" w:before="0"/>
        <w:ind w:left="2062" w:right="8358" w:hanging="2"/>
        <w:jc w:val="left"/>
        <w:rPr>
          <w:rFonts w:ascii="Arial"/>
          <w:sz w:val="13"/>
        </w:rPr>
      </w:pPr>
      <w:r>
        <w:rPr/>
        <w:pict>
          <v:group style="position:absolute;margin-left:74.939621pt;margin-top:-14.087696pt;width:454.1pt;height:284.45pt;mso-position-horizontal-relative:page;mso-position-vertical-relative:paragraph;z-index:-233512" coordorigin="1499,-282" coordsize="9082,5689">
            <v:shape style="position:absolute;left:1499;top:-282;width:8342;height:4956" type="#_x0000_t75" stroked="false">
              <v:imagedata r:id="rId37" o:title=""/>
            </v:shape>
            <v:shape style="position:absolute;left:9832;top:1492;width:257;height:206" type="#_x0000_t75" stroked="false">
              <v:imagedata r:id="rId38" o:title=""/>
            </v:shape>
            <v:shape style="position:absolute;left:8765;top:-50;width:1816;height:1673" type="#_x0000_t75" stroked="false">
              <v:imagedata r:id="rId39" o:title=""/>
            </v:shape>
            <v:shape style="position:absolute;left:9788;top:1267;width:430;height:377" type="#_x0000_t75" stroked="false">
              <v:imagedata r:id="rId40" o:title=""/>
            </v:shape>
            <v:shape style="position:absolute;left:4933;top:314;width:4853;height:5054" type="#_x0000_t75" stroked="false">
              <v:imagedata r:id="rId41" o:title=""/>
            </v:shape>
            <v:shape style="position:absolute;left:2738;top:2697;width:1170;height:1372" coordorigin="2738,2697" coordsize="1170,1372" path="m2909,2873l2899,2880,2895,2904,2894,2941,2894,2985,2895,3010,2895,3048,2893,3058,2857,3072,2841,3079,2841,3092,2851,3124,2857,3142,2860,3145,2860,3154,2859,3189,2860,3228,2864,3242,2870,3246,2881,3254,2891,3269,2895,3286,2891,3304,2880,3319,2859,3340,2839,3364,2824,3390,2816,3415,2815,3420,2811,3429,2802,3442,2784,3459,2777,3469,2779,3478,2786,3484,2788,3489,2781,3495,2770,3507,2767,3525,2782,3549,2794,3563,2803,3578,2799,3590,2775,3594,2751,3602,2744,3617,2744,3630,2743,3631,2747,3644,2745,3659,2741,3671,2738,3676,2836,3729,3390,4035,3543,4057,3570,4060,3605,4062,3748,4069,3766,3926,3781,3807,3794,3710,3805,3629,3814,3561,3823,3502,3830,3448,3837,3396,3844,3340,3852,3279,3859,3218,3863,3176,3869,3122,3872,3095,3876,3061,3883,3010,3893,2937,3895,2926,2980,2926,2972,2924,2969,2906,2965,2887,2928,2887,2909,2873xm3036,2697l3029,2748,3026,2777,3022,2804,3017,2846,3015,2857,3006,2857,3006,2857,2998,2865,2995,2875,2993,2887,2993,2904,2989,2918,2980,2926,3895,2926,3905,2857,3015,2857,3016,2849,3906,2849,3908,2835,3690,2804,3410,2760,3036,2697xm2951,2879l2936,2884,2928,2887,2965,2887,2964,2883,2951,2879xe" filled="true" fillcolor="#002d6a" stroked="false">
              <v:path arrowok="t"/>
              <v:fill type="solid"/>
            </v:shape>
            <v:shape style="position:absolute;left:2738;top:2697;width:1170;height:1372" coordorigin="2738,2697" coordsize="1170,1372" path="m2738,3676l2741,3671,2745,3659,2747,3644,2743,3631,2744,3630,2744,3617,2751,3602,2775,3594,2799,3590,2803,3578,2794,3563,2782,3549,2767,3525,2770,3507,2781,3495,2788,3489,2786,3484,2779,3478,2777,3469,2784,3459,2802,3442,2811,3429,2815,3420,2816,3415,2824,3390,2839,3364,2859,3340,2880,3319,2891,3304,2870,3246,2864,3242,2860,3228,2859,3189,2860,3154,2860,3145,2857,3142,2851,3124,2841,3092,2841,3079,2857,3072,2893,3058,2895,3048,2895,3022,2894,2985,2894,2941,2895,2904,2899,2880,2909,2873,2928,2887,2936,2884,2951,2879,2964,2883,2969,2906,2972,2924,2980,2926,2989,2918,2993,2904,2993,2887,2995,2875,2998,2865,3006,2857,3016,2849,3015,2857,3017,2846,3023,2803,3026,2777,3029,2748,3036,2697,3145,2715,3230,2729,3297,2741,3355,2751,3410,2760,3472,2770,3541,2781,3615,2793,3690,2804,3765,2815,3838,2826,3908,2835,3893,2937,3883,3010,3872,3095,3863,3176,3859,3218,3852,3279,3844,3341,3830,3448,3814,3561,3805,3629,3794,3710,3781,3808,3766,3926,3748,4069,3661,4065,3570,4060,3465,4045,3390,4035,3314,3992,3232,3947,3147,3899,3062,3853,2980,3807,2904,3765,2836,3729,2780,3698,2738,3676e" filled="false" stroked="true" strokeweight=".8269pt" strokecolor="#ffffff">
              <v:path arrowok="t"/>
              <v:stroke dashstyle="solid"/>
            </v:shape>
            <v:shape style="position:absolute;left:1639;top:281;width:1425;height:1236" coordorigin="1639,281" coordsize="1425,1236" path="m1718,889l1716,913,1707,915,1685,927,1678,942,1677,959,1673,973,1663,993,1661,1010,1661,1024,1658,1034,1643,1053,1639,1068,1643,1089,1651,1124,1655,1147,1657,1169,1659,1189,1662,1206,2157,1343,2295,1385,2476,1435,2790,1517,2806,1422,2823,1342,2839,1275,2854,1216,2867,1164,2881,1121,2895,1101,2908,1094,2919,1084,2932,1061,2933,1048,2923,1039,2902,1027,2876,1003,2872,980,2886,959,2924,932,2932,922,2936,912,2938,903,2939,899,2942,895,1736,895,1718,889xm1989,281l1985,292,1985,311,1986,323,1985,330,1980,339,1971,356,1963,380,1961,406,1959,436,1949,471,1938,497,1932,508,1927,515,1914,527,1892,555,1884,578,1879,602,1865,637,1850,671,1846,693,1843,708,1832,721,1795,755,1784,778,1789,794,1798,806,1805,818,1802,826,1783,829,1751,838,1730,852,1725,869,1742,885,1744,886,1736,895,2942,895,2944,892,2953,883,2967,871,2984,860,2994,851,3000,839,3007,816,3012,796,3017,779,3025,765,3037,757,3058,743,3064,726,3059,709,3049,695,3030,675,3030,656,3026,649,3014,643,2993,634,2959,619,2928,609,2861,594,2795,577,2739,563,2692,555,2669,553,2353,553,2342,546,2336,534,2330,524,2306,503,2283,489,2263,483,2146,483,2125,476,2122,457,2130,433,2143,410,2152,395,2153,385,2148,378,2139,374,2131,368,2125,359,2118,347,2105,332,2093,320,2092,320,2040,320,2026,315,2014,310,2005,305,2001,298,1995,282,1989,281xm2423,538l2397,539,2373,547,2353,553,2669,553,2656,552,2528,552,2500,551,2485,549,2452,542,2423,538xm2652,552l2528,552,2656,552,2652,552xm2225,478l2205,478,2190,479,2172,481,2146,483,2263,483,2258,481,2225,478xm2083,316l2067,316,2040,320,2092,320,2083,316xe" filled="true" fillcolor="#002d6a" stroked="false">
              <v:path arrowok="t"/>
              <v:fill type="solid"/>
            </v:shape>
            <v:shape style="position:absolute;left:1639;top:281;width:1425;height:1236" coordorigin="1639,281" coordsize="1425,1236" path="m1985,311l1985,292,1989,281,1995,282,2001,298,2005,305,2014,310,2026,315,2040,320,2067,316,2083,316,2093,320,2105,332,2118,347,2125,359,2131,368,2139,374,2148,378,2153,385,2152,395,2143,410,2130,433,2122,457,2125,476,2146,483,2172,481,2190,479,2205,478,2283,489,2336,534,2342,546,2353,553,2373,547,2397,539,2423,538,2452,542,2485,549,2500,551,2528,552,2577,552,2652,552,2692,555,2739,563,2795,577,2861,594,2898,602,2959,619,3014,643,3030,669,3030,672,3030,675,3049,695,3059,709,3064,726,3058,743,3037,757,3025,765,3017,779,3012,796,3007,816,3000,839,2994,851,2984,860,2967,871,2953,883,2944,892,2939,899,2938,903,2936,912,2932,922,2924,932,2911,941,2886,959,2872,980,2876,1003,2902,1027,2923,1039,2933,1048,2932,1061,2919,1084,2908,1094,2895,1101,2881,1121,2867,1164,2854,1216,2839,1275,2823,1342,2806,1422,2790,1517,2736,1503,2661,1484,2571,1460,2476,1435,2381,1409,2295,1385,2225,1364,2157,1343,2075,1320,1985,1295,1893,1269,1804,1245,1725,1224,1662,1206,1659,1189,1657,1169,1655,1147,1651,1124,1643,1089,1639,1068,1643,1053,1658,1034,1661,1024,1661,1010,1663,993,1673,973,1677,959,1678,942,1685,927,1707,915,1716,913,1718,889,1731,894,1736,895,1744,886,1742,885,1725,869,1730,852,1751,838,1783,829,1802,826,1805,818,1798,806,1789,794,1784,778,1795,755,1832,721,1843,708,1846,693,1850,671,1865,637,1879,602,1884,578,1892,555,1914,527,1927,515,1932,508,1959,436,1963,380,1971,356,1980,339,1985,330,1986,323,1985,311xe" filled="false" stroked="true" strokeweight=".8269pt" strokecolor="#ffffff">
              <v:path arrowok="t"/>
              <v:stroke dashstyle="solid"/>
            </v:shape>
            <v:shape style="position:absolute;left:7144;top:464;width:134;height:124" type="#_x0000_t75" stroked="false">
              <v:imagedata r:id="rId42" o:title=""/>
            </v:shape>
            <v:shape style="position:absolute;left:7534;top:1806;width:538;height:940" coordorigin="7534,1806" coordsize="538,940" path="m8004,1806l7970,1808,7696,1828,7673,1853,7644,1870,7609,1879,7569,1879,7573,1935,7579,2018,7586,2115,7593,2214,7598,2302,7599,2369,7591,2388,7592,2396,7599,2398,7612,2401,7616,2486,7606,2533,7590,2557,7582,2570,7581,2587,7582,2602,7582,2613,7577,2621,7565,2634,7565,2640,7569,2649,7568,2673,7565,2680,7560,2685,7553,2693,7543,2710,7534,2735,7539,2746,7554,2745,7577,2737,7593,2726,7595,2718,7598,2714,7623,2714,7631,2713,7633,2703,7633,2693,7644,2689,7663,2689,7678,2687,7744,2687,7745,2681,7753,2661,7767,2650,7822,2650,7831,2633,7843,2614,7854,2611,7924,2611,7937,2603,7946,2597,7959,2581,7971,2562,7976,2543,7974,2523,7974,2502,7982,2487,8026,2487,8027,2486,8032,2477,8034,2469,8067,2469,8071,2466,8071,2439,8072,2433,8071,2405,8070,2378,8070,2375,8065,2335,8046,2187,8035,2092,8023,1993,8012,1895,8011,1879,7609,1879,7569,1877,8011,1877,8004,1806xm7623,2714l7598,2714,7616,2715,7623,2714xm7744,2687l7678,2687,7692,2688,7706,2698,7721,2709,7732,2709,7740,2699,7744,2687xm7822,2650l7767,2650,7781,2651,7788,2666,7794,2675,7805,2671,7819,2657,7822,2650xm7924,2611l7854,2611,7865,2623,7875,2646,7885,2658,7897,2642,7914,2617,7924,2611xm8026,2487l7982,2487,8006,2491,8019,2493,8026,2487xm8067,2469l8034,2469,8047,2472,8061,2474,8067,2469xe" filled="true" fillcolor="#002d6a" stroked="false">
              <v:path arrowok="t"/>
              <v:fill type="solid"/>
            </v:shape>
            <v:shape style="position:absolute;left:7534;top:1806;width:538;height:940" coordorigin="7534,1806" coordsize="538,940" path="m8070,2375l8070,2378,8071,2405,8072,2433,8071,2439,8071,2466,8061,2474,8047,2472,8034,2469,8032,2477,8027,2486,8019,2493,8006,2491,7982,2487,7974,2502,7974,2523,7976,2543,7971,2562,7959,2581,7946,2597,7937,2603,7914,2617,7897,2642,7885,2658,7875,2646,7865,2623,7854,2611,7843,2614,7831,2633,7819,2657,7805,2671,7794,2675,7788,2666,7781,2651,7767,2650,7753,2661,7745,2681,7740,2699,7732,2709,7721,2709,7706,2698,7692,2688,7678,2687,7663,2689,7644,2689,7633,2693,7633,2703,7631,2713,7616,2715,7598,2714,7595,2718,7593,2726,7577,2737,7554,2745,7539,2746,7534,2735,7543,2710,7553,2693,7560,2685,7565,2680,7568,2673,7569,2649,7565,2640,7565,2634,7577,2621,7582,2613,7582,2602,7581,2587,7582,2570,7590,2557,7606,2533,7616,2486,7612,2401,7599,2398,7592,2396,7591,2388,7599,2369,7598,2302,7593,2214,7586,2115,7579,2018,7573,1935,7569,1877,7609,1879,7644,1870,7673,1853,7696,1828,7811,1820,7904,1813,7970,1808,8004,1806,8012,1895,8023,1993,8035,2092,8046,2187,8057,2270,8065,2335,8070,2375xe" filled="false" stroked="true" strokeweight=".8269pt" strokecolor="#ffffff">
              <v:path arrowok="t"/>
              <v:stroke dashstyle="solid"/>
            </v:shape>
            <v:shape style="position:absolute;left:3748;top:2835;width:1193;height:1243" coordorigin="3748,2835" coordsize="1193,1243" path="m3908,2835l3897,2919,3888,2983,3880,3050,3869,3141,3861,3211,3851,3290,3829,3465,3818,3552,3808,3634,3800,3707,3790,3789,3780,3857,3770,3920,3759,3987,3748,4069,3823,4073,3827,4073,3903,4078,3907,4050,3910,4029,3912,4014,3912,4004,4225,4004,4223,3999,4217,3981,4218,3972,4879,3972,4883,3904,4889,3822,4895,3742,4900,3664,4903,3589,4904,3515,4905,3453,4906,3407,4908,3360,4910,3298,4912,3207,4914,3072,4939,3072,4939,3064,4938,3040,4939,2999,4941,2938,4385,2889,4233,2873,3908,2835xm4225,4004l3912,4004,4059,4013,4126,4017,4233,4026,4230,4017,4225,4004xm4879,3972l4218,3972,4278,3974,4878,3989,4879,3972xm4939,3072l4914,3072,4939,3074,4939,3072xe" filled="true" fillcolor="#002d6a" stroked="false">
              <v:path arrowok="t"/>
              <v:fill type="solid"/>
            </v:shape>
            <v:shape style="position:absolute;left:3748;top:2835;width:1193;height:1243" coordorigin="3748,2835" coordsize="1193,1243" path="m4939,3072l4939,3074,4914,3072,4912,3207,4910,3298,4908,3360,4906,3407,4905,3453,4904,3515,4903,3589,4900,3664,4895,3742,4889,3822,4883,3904,4878,3989,4758,3986,4652,3984,4560,3982,4479,3980,4406,3978,4340,3976,4278,3974,4218,3972,4217,3981,4223,3999,4230,4017,4233,4026,4126,4017,4059,4013,3998,4009,3912,4004,3912,4014,3910,4029,3907,4050,3903,4078,3845,4074,3827,4073,3823,4073,3806,4072,3748,4069,3759,3987,3770,3920,3780,3857,3790,3789,3800,3707,3808,3634,3818,3552,3829,3465,3840,3377,3851,3290,3861,3211,3869,3141,3880,3050,3888,2983,3897,2919,3908,2835,4016,2847,4097,2857,4164,2865,4233,2873,4318,2883,4385,2889,4466,2897,4556,2905,4649,2913,4740,2921,4823,2928,4891,2934,4941,2938,4939,2999,4938,3040,4939,3064,4939,3072xe" filled="false" stroked="true" strokeweight=".8269pt" strokecolor="#ffffff">
              <v:path arrowok="t"/>
              <v:stroke dashstyle="solid"/>
            </v:shape>
            <v:shape style="position:absolute;left:3714;top:1066;width:1209;height:986" coordorigin="3714,1066" coordsize="1209,986" path="m3830,1066l3820,1153,3812,1226,3802,1297,3790,1381,3774,1491,3768,1535,3763,1563,3761,1579,3759,1588,3758,1595,3757,1603,3755,1617,3751,1642,3746,1681,3738,1739,3728,1820,3714,1929,4384,2014,4451,2021,4515,2027,4848,2052,4855,1981,4861,1911,4868,1841,4875,1768,4888,1627,4892,1572,4894,1544,4899,1483,4905,1405,4913,1310,4922,1196,4151,1100,3830,1066xm4894,1569l4894,1572,4892,1584,4890,1605,4888,1627,4887,1647,4886,1659,4886,1663,4887,1660,4887,1651,4889,1639,4890,1624,4892,1594,4894,1579,4894,1572,4894,1569xe" filled="true" fillcolor="#002d6a" stroked="false">
              <v:path arrowok="t"/>
              <v:fill type="solid"/>
            </v:shape>
            <v:shape style="position:absolute;left:3714;top:1066;width:1209;height:986" coordorigin="3714,1066" coordsize="1209,986" path="m4922,1196l4861,1187,4787,1178,4704,1167,4616,1156,4526,1145,4439,1134,4359,1124,4282,1115,4214,1107,4151,1100,4086,1092,4014,1085,3931,1076,3830,1066,3820,1153,3812,1226,3802,1297,3790,1381,3774,1491,3763,1563,3758,1595,3757,1603,3746,1681,3728,1820,3714,1929,3757,1934,3818,1942,3891,1951,3974,1962,4061,1973,4148,1984,4232,1995,4309,2005,4384,2014,4451,2021,4515,2027,4583,2032,4657,2037,4744,2044,4848,2052,4855,1981,4861,1911,4868,1841,4875,1768,4882,1690,4890,1605,4894,1544,4899,1483,4905,1405,4913,1310,4922,1196xe" filled="false" stroked="true" strokeweight=".8269pt" strokecolor="#ffffff">
              <v:path arrowok="t"/>
              <v:stroke dashstyle="solid"/>
            </v:shape>
            <v:shape style="position:absolute;left:2790;top:-21;width:1033;height:1720" coordorigin="2790,-21" coordsize="1033,1720" path="m3170,-21l3157,35,3137,113,3114,204,3066,394,3045,475,3030,535,3024,574,3027,593,3032,606,3034,628,3031,645,3027,658,3030,672,3045,691,3061,713,3064,732,3055,747,3037,757,3026,765,3017,781,3010,805,3002,834,2997,849,2992,854,2986,857,2976,863,2944,893,2938,908,2933,922,2902,945,2872,976,2875,1003,2895,1024,2917,1037,2928,1041,2934,1045,2935,1053,2928,1070,2924,1081,2923,1081,2903,1096,2887,1110,2879,1121,2875,1138,2868,1170,2859,1201,2849,1237,2834,1292,2815,1380,2790,1517,3235,1623,3293,1634,3379,1648,3581,1677,3744,1698,3751,1648,3759,1596,3768,1535,3778,1463,3791,1376,3805,1270,3822,1142,3803,1112,3671,1112,3654,1107,3646,1095,3641,1088,3612,1088,3605,1086,3599,1081,2924,1081,2923,1081,3598,1081,3594,1079,3583,1069,3571,1063,3564,1062,3519,1062,3497,1056,3489,1041,3488,1016,3489,984,3490,959,3491,950,3489,947,3481,941,3467,929,3456,911,3450,885,3453,850,3453,829,3446,817,3377,817,3360,803,3354,780,3364,753,3386,727,3398,717,3406,707,3420,682,3424,668,3424,652,3417,637,3405,626,3395,620,3385,615,3374,610,3360,605,3350,601,3349,599,3351,593,3351,574,3349,554,3348,542,3351,533,3355,520,3356,520,3360,489,3355,488,3338,484,3329,478,3324,472,3321,466,3298,422,3289,373,3287,334,3282,315,3256,299,3250,283,3255,267,3263,251,3264,246,3265,239,3266,226,3267,208,3266,203,3263,193,3262,179,3265,160,3267,148,3272,122,3281,78,3295,13,3253,3,3243,0,3241,-1,3224,-7,3170,-21xm3716,1102l3705,1104,3691,1111,3671,1112,3803,1112,3803,1112,3741,1112,3728,1108,3716,1102xm3770,1090l3755,1105,3741,1112,3803,1112,3799,1107,3783,1090,3770,1090xm3627,1082l3616,1086,3612,1088,3641,1088,3639,1084,3627,1082xm3555,1061l3538,1061,3519,1062,3564,1062,3555,1061xm3426,807l3396,816,3377,817,3446,817,3444,813,3426,807xe" filled="true" fillcolor="#002d6a" stroked="false">
              <v:path arrowok="t"/>
              <v:fill type="solid"/>
            </v:shape>
            <v:shape style="position:absolute;left:2790;top:-21;width:1033;height:1720" coordorigin="2790,-21" coordsize="1033,1720" path="m3744,1698l3759,1596,3768,1535,3778,1463,3791,1376,3805,1270,3822,1142,3799,1107,3783,1090,3770,1090,3755,1105,3741,1112,3728,1108,3716,1102,3705,1104,3691,1111,3671,1112,3654,1107,3646,1095,3639,1084,3627,1082,3616,1086,3612,1088,3605,1086,3594,1079,3585,1071,3583,1069,3571,1063,3555,1061,3538,1061,3519,1062,3497,1056,3489,1041,3488,1016,3489,984,3490,959,3491,950,3489,947,3481,941,3467,929,3456,911,3450,885,3453,850,3453,829,3444,813,3426,807,3396,816,3377,817,3360,803,3354,780,3364,753,3386,727,3398,717,3406,707,3420,682,3424,668,3424,652,3374,610,3350,601,3349,599,3351,592,3351,574,3349,554,3348,542,3351,533,3355,520,3356,520,3360,489,3298,422,3287,334,3282,315,3256,299,3250,283,3255,267,3263,251,3264,246,3265,239,3266,226,3267,208,3266,203,3263,193,3262,179,3265,160,3267,148,3272,122,3281,78,3295,13,3253,3,3243,0,3241,-1,3224,-7,3170,-21,3157,35,3137,113,3114,204,3089,301,3066,394,3045,475,3030,535,3024,574,3027,593,3032,606,3034,628,3031,645,3027,658,3030,672,3045,691,3061,713,3064,732,3055,747,3037,757,3026,765,3017,781,3010,805,3002,834,2997,849,2992,854,2986,857,2976,863,2944,893,2938,908,2933,922,2902,945,2872,976,2875,1003,2895,1024,2917,1037,2928,1041,2934,1045,2935,1053,2928,1070,2924,1081,2923,1081,2903,1096,2887,1110,2879,1121,2875,1138,2868,1170,2859,1201,2849,1237,2834,1292,2815,1380,2790,1517,2861,1534,2934,1551,3008,1569,3083,1587,3159,1605,3235,1623,3379,1648,3479,1663,3581,1677,3674,1689,3744,1698xe" filled="false" stroked="true" strokeweight=".8269pt" strokecolor="#ffffff">
              <v:path arrowok="t"/>
              <v:stroke dashstyle="solid"/>
            </v:shape>
            <v:shape style="position:absolute;left:9545;top:1930;width:211;height:312" type="#_x0000_t75" stroked="false">
              <v:imagedata r:id="rId43" o:title=""/>
            </v:shape>
            <v:shape style="position:absolute;left:9346;top:2173;width:79;height:48" coordorigin="9346,2173" coordsize="79,48" path="m9375,2173l9366,2176,9361,2177,9356,2178,9346,2181,9369,2195,9380,2200,9387,2205,9396,2220,9407,2215,9412,2213,9416,2211,9425,2207,9412,2196,9406,2192,9397,2188,9375,2173xe" filled="true" fillcolor="#002d6a" stroked="false">
              <v:path arrowok="t"/>
              <v:fill type="solid"/>
            </v:shape>
            <v:shape style="position:absolute;left:9346;top:2173;width:79;height:48" coordorigin="9346,2173" coordsize="79,48" path="m9346,2181l9356,2178,9361,2177,9366,2176,9375,2173,9397,2188,9406,2192,9412,2196,9425,2207,9416,2211,9412,2213,9407,2215,9396,2220,9387,2205,9380,2200,9369,2195,9346,2181xe" filled="false" stroked="true" strokeweight=".8269pt" strokecolor="#ffffff">
              <v:path arrowok="t"/>
              <v:stroke dashstyle="solid"/>
            </v:shape>
            <v:shape style="position:absolute;left:4190;top:3064;width:2651;height:2343" type="#_x0000_t75" stroked="false">
              <v:imagedata r:id="rId44" o:title=""/>
            </v:shape>
            <v:shape style="position:absolute;left:1688;top:1304;width:8458;height:3885" coordorigin="1688,1304" coordsize="8458,3885" path="m1764,2231l1761,2216,1753,2204,1741,2196,1726,2193,1711,2196,1699,2204,1691,2216,1688,2231,1691,2246,1699,2258,1711,2266,1726,2269,1741,2266,1753,2258,1761,2246,1764,2231m1787,2342l1784,2327,1775,2315,1763,2306,1749,2303,1734,2306,1722,2315,1714,2327,1711,2342,1714,2356,1722,2368,1734,2376,1749,2379,1763,2376,1775,2368,1784,2356,1787,2342m1923,2099l1920,2085,1912,2073,1900,2064,1885,2061,1871,2064,1858,2073,1850,2085,1847,2099,1850,2114,1858,2126,1871,2134,1885,2137,1900,2134,1912,2126,1920,2114,1923,2099m2299,1990l2296,1975,2287,1963,2275,1955,2261,1952,2246,1955,2234,1963,2226,1975,2223,1990,2226,2005,2234,2017,2246,2025,2261,2028,2275,2025,2287,2017,2296,2005,2299,1990m2311,3265l2308,3250,2299,3238,2287,3230,2272,3227,2258,3230,2246,3238,2237,3250,2234,3265,2237,3280,2246,3292,2258,3300,2272,3303,2287,3300,2299,3292,2308,3280,2311,3265m2406,3200l2403,3186,2395,3174,2383,3165,2368,3162,2353,3165,2341,3174,2333,3186,2330,3200,2333,3215,2341,3227,2353,3235,2368,3238,2383,3235,2395,3227,2403,3215,2406,3200m2431,3543l2428,3528,2420,3516,2408,3508,2393,3505,2378,3508,2366,3516,2358,3528,2355,3543,2358,3558,2366,3570,2378,3578,2393,3581,2408,3578,2420,3570,2428,3558,2431,3543m2554,3277l2551,3263,2543,3251,2531,3242,2516,3239,2502,3242,2489,3251,2481,3263,2478,3277,2481,3292,2489,3304,2502,3312,2516,3315,2531,3312,2543,3304,2551,3292,2554,3277m2876,2910l2873,2895,2865,2883,2853,2875,2838,2872,2824,2875,2811,2883,2803,2895,2800,2910,2803,2924,2811,2937,2824,2945,2838,2948,2853,2945,2865,2937,2873,2924,2876,2910m3277,3586l3274,3571,3266,3559,3254,3551,3239,3548,3225,3551,3212,3559,3204,3571,3201,3586,3204,3600,3212,3612,3225,3621,3239,3624,3254,3621,3266,3612,3274,3600,3277,3586m3367,3881l3364,3867,3355,3854,3343,3846,3329,3843,3314,3846,3302,3854,3294,3867,3291,3881,3294,3896,3302,3908,3314,3916,3329,3919,3343,3916,3355,3908,3364,3896,3367,3881m3571,1945l3568,1930,3560,1918,3548,1910,3533,1907,3518,1910,3506,1918,3498,1930,3495,1945,3498,1960,3506,1972,3518,1980,3533,1983,3548,1980,3560,1972,3568,1960,3571,1945m6149,2027l6146,2012,6138,2000,6126,1992,6111,1989,6096,1992,6084,2000,6076,2012,6073,2027,6076,2042,6084,2054,6096,2062,6111,2065,6126,2062,6138,2054,6146,2042,6149,2027m6480,2528l6477,2513,6469,2501,6457,2493,6442,2490,6428,2493,6416,2501,6407,2513,6404,2528,6407,2543,6416,2555,6428,2563,6442,2566,6457,2563,6469,2555,6477,2543,6480,2528m7159,2633l7156,2619,7148,2607,7136,2598,7121,2596,7107,2598,7094,2607,7086,2619,7083,2633,7086,2648,7094,2660,7107,2669,7121,2672,7136,2669,7148,2660,7156,2648,7159,2633m7399,3947l7396,3932,7388,3920,7376,3912,7361,3909,7346,3912,7334,3920,7326,3932,7323,3947,7326,3962,7334,3974,7346,3982,7361,3985,7376,3982,7388,3974,7396,3962,7399,3947m7430,4487l7427,4472,7419,4460,7407,4452,7392,4449,7377,4452,7365,4460,7357,4472,7354,4487,7357,4502,7365,4514,7377,4522,7392,4525,7407,4522,7419,4514,7427,4502,7430,4487m7546,1844l7543,1829,7535,1817,7523,1809,7508,1806,7493,1809,7481,1817,7473,1829,7470,1844,7473,1859,7481,1871,7493,1879,7508,1882,7523,1879,7535,1871,7543,1859,7546,1844m7831,2330l7828,2315,7820,2303,7808,2295,7793,2292,7779,2295,7766,2303,7758,2315,7755,2330,7758,2345,7766,2357,7779,2365,7793,2368,7808,2365,7820,2357,7828,2345,7831,2330m7872,3068l7869,3053,7861,3041,7849,3033,7834,3030,7819,3033,7807,3041,7799,3053,7796,3068,7799,3082,7807,3094,7819,3103,7834,3106,7849,3103,7861,3094,7869,3082,7872,3068m7879,2706l7876,2691,7868,2679,7856,2671,7841,2668,7826,2671,7814,2679,7806,2691,7803,2706,7806,2721,7814,2733,7826,2741,7841,2744,7856,2741,7868,2733,7876,2721,7879,2706m7906,3677l7903,3662,7895,3650,7882,3642,7868,3639,7853,3642,7841,3650,7833,3662,7830,3677,7833,3692,7841,3704,7853,3712,7868,3715,7882,3712,7895,3704,7903,3692,7906,3677m8273,1562l8270,1547,8262,1535,8250,1527,8235,1524,8220,1527,8208,1535,8200,1547,8197,1562,8200,1576,8208,1588,8220,1597,8235,1600,8250,1597,8262,1588,8270,1576,8273,1562m8410,2147l8407,2132,8398,2120,8386,2112,8372,2109,8357,2112,8345,2120,8337,2132,8334,2147,8337,2161,8345,2174,8357,2182,8372,2185,8386,2182,8398,2174,8407,2161,8410,2147m8571,1823l8568,1808,8560,1796,8548,1788,8533,1785,8519,1788,8506,1796,8498,1808,8495,1823,8498,1837,8506,1850,8519,1858,8533,1861,8548,1858,8560,1850,8568,1837,8571,1823m8918,4778l8915,4764,8907,4752,8895,4744,8880,4741,8865,4744,8853,4752,8845,4764,8842,4778,8845,4793,8853,4805,8865,4814,8880,4817,8895,4814,8907,4805,8915,4793,8918,4778m8952,4280l8949,4265,8941,4253,8929,4245,8914,4242,8899,4245,8887,4253,8879,4265,8876,4280,8879,4294,8887,4306,8899,4315,8914,4318,8929,4315,8941,4306,8949,4294,8952,4280m9260,5151l9257,5136,9249,5124,9237,5116,9222,5113,9207,5116,9195,5124,9187,5136,9184,5151,9187,5165,9195,5178,9207,5186,9222,5189,9237,5186,9249,5178,9257,5165,9260,5151m9598,2602l9595,2588,9587,2575,9575,2567,9560,2564,9545,2567,9533,2575,9525,2588,9522,2602,9525,2617,9533,2629,9545,2637,9560,2640,9575,2637,9587,2629,9595,2617,9598,2602m9957,1600l9954,1586,9945,1574,9933,1565,9919,1562,9904,1565,9892,1574,9884,1586,9881,1600,9884,1615,9892,1627,9904,1636,9919,1638,9933,1636,9945,1627,9954,1615,9957,1600m10145,1343l10142,1328,10134,1316,10122,1307,10107,1304,10092,1307,10080,1316,10072,1328,10069,1343,10072,1357,10080,1369,10092,1378,10107,1381,10122,1378,10134,1369,10142,1357,10145,1343e" filled="true" fillcolor="#b1b3b6" stroked="false">
              <v:path arrowok="t"/>
              <v:fill type="solid"/>
            </v:shape>
            <v:shape style="position:absolute;left:9552;top:1866;width:76;height:77" coordorigin="9552,1866" coordsize="76,77" path="m9590,1866l9575,1869,9563,1878,9555,1890,9552,1904,9555,1919,9563,1931,9575,1940,9590,1942,9605,1940,9617,1931,9625,1919,9628,1904,9625,1890,9617,1878,9605,1869,9590,1866xe" filled="true" fillcolor="#ef3e23" stroked="false">
              <v:path arrowok="t"/>
              <v:fill type="solid"/>
            </v:shape>
            <v:shape style="position:absolute;left:2061;top:76;width:7983;height:4929" coordorigin="2061,76" coordsize="7983,4929" path="m2137,528l2134,513,2126,501,2114,492,2099,489,2084,492,2072,501,2064,513,2061,528,2064,542,2072,554,2084,563,2099,566,2114,563,2126,554,2134,542,2137,528m2367,3355l2364,3341,2356,3329,2344,3320,2329,3317,2315,3320,2302,3329,2294,3341,2291,3355,2294,3370,2302,3382,2315,3390,2329,3393,2344,3390,2356,3382,2364,3370,2367,3355m2405,115l2402,100,2394,88,2381,79,2367,76,2352,79,2340,88,2332,100,2329,115,2332,129,2340,141,2352,149,2367,152,2381,149,2394,141,2402,129,2405,115m3060,1242l3057,1227,3048,1215,3036,1207,3022,1204,3007,1207,2995,1215,2986,1227,2984,1242,2986,1257,2995,1269,3007,1277,3022,1280,3036,1277,3048,1269,3057,1257,3060,1242m3074,209l3071,195,3063,182,3051,174,3036,171,3022,174,3010,182,3001,195,2998,209,3001,224,3010,236,3022,244,3036,247,3051,244,3063,236,3071,224,3074,209m8972,1348l8969,1333,8961,1321,8949,1313,8934,1310,8919,1313,8907,1321,8899,1333,8896,1348,8899,1362,8907,1374,8919,1383,8934,1386,8949,1383,8961,1374,8969,1362,8972,1348m9096,4645l9093,4630,9085,4618,9073,4610,9058,4607,9044,4610,9031,4618,9023,4630,9020,4645,9023,4659,9031,4671,9044,4680,9058,4683,9073,4680,9085,4671,9093,4659,9096,4645m9264,2933l9261,2918,9253,2906,9241,2898,9226,2895,9212,2898,9199,2906,9191,2918,9188,2933,9191,2948,9199,2960,9212,2968,9226,2971,9241,2968,9253,2960,9261,2948,9264,2933m9298,4967l9295,4952,9287,4940,9275,4932,9260,4929,9245,4932,9233,4940,9225,4952,9222,4967,9225,4982,9233,4994,9245,5002,9260,5005,9275,5002,9287,4994,9295,4982,9298,4967m9445,2130l9442,2115,9434,2103,9422,2095,9407,2092,9392,2095,9380,2103,9372,2115,9369,2130,9372,2145,9380,2157,9392,2165,9407,2168,9422,2165,9434,2157,9442,2145,9445,2130m9662,1355l9659,1340,9651,1328,9639,1320,9624,1317,9609,1320,9597,1328,9589,1340,9586,1355,9589,1370,9597,1382,9609,1390,9624,1393,9639,1390,9651,1382,9659,1370,9662,1355m10038,1025l10035,1010,10027,998,10015,990,10001,987,9986,990,9974,998,9965,1010,9962,1025,9965,1040,9974,1052,9986,1060,10001,1063,10015,1060,10027,1052,10035,1040,10038,1025m10043,1409l10040,1394,10032,1382,10020,1374,10005,1371,9990,1374,9978,1382,9970,1394,9967,1409,9970,1424,9978,1436,9990,1444,10005,1447,10020,1444,10032,1436,10040,1424,10043,1409e" filled="true" fillcolor="#b1b3b6" stroked="false">
              <v:path arrowok="t"/>
              <v:fill type="solid"/>
            </v:shape>
            <v:shape style="position:absolute;left:2848;top:1791;width:6918;height:1067" coordorigin="2848,1791" coordsize="6918,1067" path="m3133,2734l2848,2734,2848,2857,3133,2857,3133,2734m7298,1791l7019,1791,7019,2030,7298,2030,7298,1791m9766,2259l9766,2251,9765,2241,9761,2222,9755,2196,9750,2173,9747,2163,9734,2164,9001,2164,9001,2288,9763,2285,9765,2269,9766,2259e" filled="true" fillcolor="#002d6a" stroked="false">
              <v:path arrowok="t"/>
              <v:fill type="solid"/>
            </v:shape>
            <v:shape style="position:absolute;left:9369;top:2092;width:76;height:77" coordorigin="9369,2092" coordsize="76,77" path="m9407,2092l9392,2095,9380,2103,9372,2115,9369,2130,9372,2144,9380,2157,9392,2165,9407,2168,9422,2165,9434,2157,9442,2144,9445,2130,9442,2115,9434,2103,9422,2095,9407,2092xe" filled="true" fillcolor="#b1b3b6" stroked="false">
              <v:path arrowok="t"/>
              <v:fill type="solid"/>
            </v:shape>
            <w10:wrap type="none"/>
          </v:group>
        </w:pict>
      </w:r>
      <w:r>
        <w:rPr>
          <w:rFonts w:ascii="Arial"/>
          <w:color w:val="FFFFFF"/>
          <w:w w:val="90"/>
          <w:sz w:val="13"/>
        </w:rPr>
        <w:t>Seattle/ </w:t>
      </w:r>
      <w:r>
        <w:rPr>
          <w:rFonts w:ascii="Arial"/>
          <w:color w:val="FFFFFF"/>
          <w:w w:val="85"/>
          <w:sz w:val="13"/>
        </w:rPr>
        <w:t>Tacoma</w:t>
      </w:r>
    </w:p>
    <w:p>
      <w:pPr>
        <w:spacing w:before="6"/>
        <w:ind w:left="2226" w:right="0" w:firstLine="0"/>
        <w:jc w:val="left"/>
        <w:rPr>
          <w:rFonts w:ascii="Arial"/>
          <w:sz w:val="13"/>
        </w:rPr>
      </w:pPr>
      <w:r>
        <w:rPr>
          <w:rFonts w:ascii="Arial"/>
          <w:color w:val="FFFFFF"/>
          <w:w w:val="95"/>
          <w:sz w:val="13"/>
        </w:rPr>
        <w:t>Spokane</w:t>
      </w:r>
    </w:p>
    <w:p>
      <w:pPr>
        <w:spacing w:after="0"/>
        <w:jc w:val="left"/>
        <w:rPr>
          <w:rFonts w:ascii="Arial"/>
          <w:sz w:val="13"/>
        </w:rPr>
        <w:sectPr>
          <w:pgSz w:w="12240" w:h="15840"/>
          <w:pgMar w:top="280" w:bottom="280" w:left="380" w:right="1020"/>
        </w:sectPr>
      </w:pPr>
    </w:p>
    <w:p>
      <w:pPr>
        <w:pStyle w:val="BodyText"/>
        <w:spacing w:before="8"/>
        <w:rPr>
          <w:rFonts w:ascii="Arial"/>
          <w:sz w:val="16"/>
        </w:rPr>
      </w:pPr>
    </w:p>
    <w:p>
      <w:pPr>
        <w:spacing w:before="0"/>
        <w:ind w:left="0" w:right="0" w:firstLine="0"/>
        <w:jc w:val="right"/>
        <w:rPr>
          <w:rFonts w:ascii="Arial"/>
          <w:sz w:val="13"/>
        </w:rPr>
      </w:pPr>
      <w:r>
        <w:rPr>
          <w:rFonts w:ascii="Arial"/>
          <w:color w:val="FFFFFF"/>
          <w:w w:val="85"/>
          <w:sz w:val="13"/>
        </w:rPr>
        <w:t>Portland</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8"/>
        <w:rPr>
          <w:rFonts w:ascii="Arial"/>
          <w:sz w:val="12"/>
        </w:rPr>
      </w:pPr>
    </w:p>
    <w:p>
      <w:pPr>
        <w:spacing w:before="0"/>
        <w:ind w:left="0" w:right="0" w:firstLine="0"/>
        <w:jc w:val="right"/>
        <w:rPr>
          <w:rFonts w:ascii="Arial"/>
          <w:sz w:val="13"/>
        </w:rPr>
      </w:pPr>
      <w:r>
        <w:rPr>
          <w:rFonts w:ascii="Arial"/>
          <w:color w:val="FFFFFF"/>
          <w:w w:val="85"/>
          <w:sz w:val="13"/>
        </w:rPr>
        <w:t>Boise</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5"/>
        <w:rPr>
          <w:rFonts w:ascii="Arial"/>
          <w:sz w:val="12"/>
        </w:rPr>
      </w:pPr>
    </w:p>
    <w:p>
      <w:pPr>
        <w:spacing w:line="139" w:lineRule="exact" w:before="0"/>
        <w:ind w:left="0" w:right="0" w:firstLine="0"/>
        <w:jc w:val="right"/>
        <w:rPr>
          <w:rFonts w:ascii="Arial"/>
          <w:sz w:val="13"/>
        </w:rPr>
      </w:pPr>
      <w:r>
        <w:rPr>
          <w:rFonts w:ascii="Arial"/>
          <w:color w:val="FFFFFF"/>
          <w:w w:val="90"/>
          <w:sz w:val="13"/>
        </w:rPr>
        <w:t>Detroit</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spacing w:before="6"/>
        <w:rPr>
          <w:rFonts w:ascii="Arial"/>
          <w:sz w:val="14"/>
        </w:rPr>
      </w:pPr>
    </w:p>
    <w:p>
      <w:pPr>
        <w:spacing w:line="189" w:lineRule="auto" w:before="0"/>
        <w:ind w:left="194" w:right="-6" w:firstLine="165"/>
        <w:jc w:val="left"/>
        <w:rPr>
          <w:rFonts w:ascii="Arial"/>
          <w:sz w:val="13"/>
        </w:rPr>
      </w:pPr>
      <w:r>
        <w:rPr>
          <w:rFonts w:ascii="Arial"/>
          <w:color w:val="FFFFFF"/>
          <w:sz w:val="13"/>
        </w:rPr>
        <w:t>Buffalo/ </w:t>
      </w:r>
      <w:r>
        <w:rPr>
          <w:rFonts w:ascii="Arial"/>
          <w:color w:val="FFFFFF"/>
          <w:w w:val="85"/>
          <w:sz w:val="13"/>
        </w:rPr>
        <w:t>Niagara Falls</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9"/>
        <w:rPr>
          <w:rFonts w:ascii="Arial"/>
          <w:sz w:val="20"/>
        </w:rPr>
      </w:pPr>
    </w:p>
    <w:p>
      <w:pPr>
        <w:spacing w:before="0"/>
        <w:ind w:left="126" w:right="0" w:firstLine="0"/>
        <w:jc w:val="left"/>
        <w:rPr>
          <w:rFonts w:ascii="Arial"/>
          <w:sz w:val="13"/>
        </w:rPr>
      </w:pPr>
      <w:r>
        <w:rPr>
          <w:rFonts w:ascii="Arial"/>
          <w:color w:val="FFFFFF"/>
          <w:w w:val="85"/>
          <w:sz w:val="13"/>
        </w:rPr>
        <w:t>Albany</w:t>
      </w:r>
    </w:p>
    <w:p>
      <w:pPr>
        <w:pStyle w:val="BodyText"/>
        <w:rPr>
          <w:rFonts w:ascii="Arial"/>
          <w:sz w:val="14"/>
        </w:rPr>
      </w:pPr>
      <w:r>
        <w:rPr/>
        <w:br w:type="column"/>
      </w:r>
      <w:r>
        <w:rPr>
          <w:rFonts w:ascii="Arial"/>
          <w:sz w:val="14"/>
        </w:rPr>
      </w:r>
    </w:p>
    <w:p>
      <w:pPr>
        <w:pStyle w:val="BodyText"/>
        <w:rPr>
          <w:rFonts w:ascii="Arial"/>
          <w:sz w:val="14"/>
        </w:rPr>
      </w:pPr>
    </w:p>
    <w:p>
      <w:pPr>
        <w:pStyle w:val="BodyText"/>
        <w:spacing w:before="9"/>
        <w:rPr>
          <w:rFonts w:ascii="Arial"/>
          <w:sz w:val="19"/>
        </w:rPr>
      </w:pPr>
    </w:p>
    <w:p>
      <w:pPr>
        <w:spacing w:line="136" w:lineRule="exact" w:before="0"/>
        <w:ind w:left="543" w:right="0" w:firstLine="0"/>
        <w:jc w:val="left"/>
        <w:rPr>
          <w:rFonts w:ascii="Arial"/>
          <w:sz w:val="13"/>
        </w:rPr>
      </w:pPr>
      <w:r>
        <w:rPr>
          <w:rFonts w:ascii="Arial"/>
          <w:color w:val="FFFFFF"/>
          <w:sz w:val="13"/>
        </w:rPr>
        <w:t>Manchester</w:t>
      </w:r>
    </w:p>
    <w:p>
      <w:pPr>
        <w:spacing w:line="90" w:lineRule="exact" w:before="0"/>
        <w:ind w:left="314" w:right="54" w:firstLine="0"/>
        <w:jc w:val="center"/>
        <w:rPr>
          <w:rFonts w:ascii="Arial"/>
          <w:sz w:val="9"/>
        </w:rPr>
      </w:pPr>
      <w:r>
        <w:rPr>
          <w:rFonts w:ascii="Arial"/>
          <w:color w:val="FFFFFF"/>
          <w:w w:val="85"/>
          <w:sz w:val="9"/>
        </w:rPr>
        <w:t>(Boston Area)</w:t>
      </w:r>
    </w:p>
    <w:p>
      <w:pPr>
        <w:spacing w:line="134" w:lineRule="exact" w:before="65"/>
        <w:ind w:left="559" w:right="54" w:firstLine="0"/>
        <w:jc w:val="center"/>
        <w:rPr>
          <w:rFonts w:ascii="Arial"/>
          <w:sz w:val="13"/>
        </w:rPr>
      </w:pPr>
      <w:r>
        <w:rPr>
          <w:rFonts w:ascii="Arial"/>
          <w:color w:val="FFFFFF"/>
          <w:w w:val="95"/>
          <w:sz w:val="13"/>
        </w:rPr>
        <w:t>Providence</w:t>
      </w:r>
    </w:p>
    <w:p>
      <w:pPr>
        <w:spacing w:line="86" w:lineRule="exact" w:before="0"/>
        <w:ind w:left="667" w:right="54" w:firstLine="0"/>
        <w:jc w:val="center"/>
        <w:rPr>
          <w:rFonts w:ascii="Arial"/>
          <w:sz w:val="9"/>
        </w:rPr>
      </w:pPr>
      <w:r>
        <w:rPr>
          <w:rFonts w:ascii="Arial"/>
          <w:color w:val="FFFFFF"/>
          <w:w w:val="85"/>
          <w:sz w:val="9"/>
        </w:rPr>
        <w:t>(Boston Area)</w:t>
      </w:r>
    </w:p>
    <w:p>
      <w:pPr>
        <w:spacing w:line="147" w:lineRule="exact" w:before="0"/>
        <w:ind w:left="444" w:right="54" w:firstLine="0"/>
        <w:jc w:val="center"/>
        <w:rPr>
          <w:rFonts w:ascii="Arial"/>
          <w:sz w:val="13"/>
        </w:rPr>
      </w:pPr>
      <w:r>
        <w:rPr>
          <w:rFonts w:ascii="Arial"/>
          <w:color w:val="FFFFFF"/>
          <w:w w:val="95"/>
          <w:sz w:val="13"/>
        </w:rPr>
        <w:t>Hartford/Springfield</w:t>
      </w:r>
    </w:p>
    <w:p>
      <w:pPr>
        <w:spacing w:after="0" w:line="147" w:lineRule="exact"/>
        <w:jc w:val="center"/>
        <w:rPr>
          <w:rFonts w:ascii="Arial"/>
          <w:sz w:val="13"/>
        </w:rPr>
        <w:sectPr>
          <w:type w:val="continuous"/>
          <w:pgSz w:w="12240" w:h="15840"/>
          <w:pgMar w:top="320" w:bottom="280" w:left="380" w:right="1020"/>
          <w:cols w:num="6" w:equalWidth="0">
            <w:col w:w="1966" w:space="40"/>
            <w:col w:w="990" w:space="2905"/>
            <w:col w:w="1887" w:space="40"/>
            <w:col w:w="859" w:space="40"/>
            <w:col w:w="470" w:space="40"/>
            <w:col w:w="1603"/>
          </w:cols>
        </w:sectPr>
      </w:pPr>
    </w:p>
    <w:p>
      <w:pPr>
        <w:pStyle w:val="BodyText"/>
        <w:rPr>
          <w:rFonts w:ascii="Arial"/>
          <w:sz w:val="14"/>
        </w:rPr>
      </w:pPr>
    </w:p>
    <w:p>
      <w:pPr>
        <w:spacing w:before="126"/>
        <w:ind w:left="952" w:right="0" w:firstLine="0"/>
        <w:jc w:val="left"/>
        <w:rPr>
          <w:rFonts w:ascii="Arial"/>
          <w:sz w:val="13"/>
        </w:rPr>
      </w:pPr>
      <w:r>
        <w:rPr>
          <w:rFonts w:ascii="Arial"/>
          <w:color w:val="FFFFFF"/>
          <w:w w:val="85"/>
          <w:sz w:val="13"/>
        </w:rPr>
        <w:t>Sacramento</w:t>
      </w:r>
    </w:p>
    <w:p>
      <w:pPr>
        <w:pStyle w:val="BodyText"/>
        <w:rPr>
          <w:rFonts w:ascii="Arial"/>
          <w:sz w:val="14"/>
        </w:rPr>
      </w:pPr>
      <w:r>
        <w:rPr/>
        <w:br w:type="column"/>
      </w:r>
      <w:r>
        <w:rPr>
          <w:rFonts w:ascii="Arial"/>
          <w:sz w:val="14"/>
        </w:rPr>
      </w:r>
    </w:p>
    <w:p>
      <w:pPr>
        <w:pStyle w:val="BodyText"/>
        <w:spacing w:before="7"/>
        <w:rPr>
          <w:rFonts w:ascii="Arial"/>
          <w:sz w:val="11"/>
        </w:rPr>
      </w:pPr>
    </w:p>
    <w:p>
      <w:pPr>
        <w:spacing w:before="0"/>
        <w:ind w:left="320" w:right="0" w:firstLine="0"/>
        <w:jc w:val="left"/>
        <w:rPr>
          <w:rFonts w:ascii="Arial"/>
          <w:sz w:val="13"/>
        </w:rPr>
      </w:pPr>
      <w:r>
        <w:rPr>
          <w:rFonts w:ascii="Arial"/>
          <w:color w:val="FFFFFF"/>
          <w:spacing w:val="-2"/>
          <w:w w:val="85"/>
          <w:sz w:val="13"/>
        </w:rPr>
        <w:t>Reno/Tahoe</w:t>
      </w:r>
    </w:p>
    <w:p>
      <w:pPr>
        <w:pStyle w:val="BodyText"/>
        <w:rPr>
          <w:rFonts w:ascii="Arial"/>
          <w:sz w:val="14"/>
        </w:rPr>
      </w:pPr>
      <w:r>
        <w:rPr/>
        <w:br w:type="column"/>
      </w:r>
      <w:r>
        <w:rPr>
          <w:rFonts w:ascii="Arial"/>
          <w:sz w:val="14"/>
        </w:rPr>
      </w:r>
    </w:p>
    <w:p>
      <w:pPr>
        <w:pStyle w:val="BodyText"/>
        <w:spacing w:before="1"/>
        <w:rPr>
          <w:rFonts w:ascii="Arial"/>
          <w:sz w:val="17"/>
        </w:rPr>
      </w:pPr>
    </w:p>
    <w:p>
      <w:pPr>
        <w:spacing w:before="0"/>
        <w:ind w:left="266" w:right="0" w:firstLine="0"/>
        <w:jc w:val="left"/>
        <w:rPr>
          <w:rFonts w:ascii="Arial"/>
          <w:sz w:val="13"/>
        </w:rPr>
      </w:pPr>
      <w:r>
        <w:rPr>
          <w:rFonts w:ascii="Arial"/>
          <w:color w:val="FFFFFF"/>
          <w:w w:val="90"/>
          <w:sz w:val="13"/>
        </w:rPr>
        <w:t>Salt</w:t>
      </w:r>
      <w:r>
        <w:rPr>
          <w:rFonts w:ascii="Arial"/>
          <w:color w:val="FFFFFF"/>
          <w:spacing w:val="-19"/>
          <w:w w:val="90"/>
          <w:sz w:val="13"/>
        </w:rPr>
        <w:t> </w:t>
      </w:r>
      <w:r>
        <w:rPr>
          <w:rFonts w:ascii="Arial"/>
          <w:color w:val="FFFFFF"/>
          <w:w w:val="90"/>
          <w:sz w:val="13"/>
        </w:rPr>
        <w:t>Lake</w:t>
      </w:r>
      <w:r>
        <w:rPr>
          <w:rFonts w:ascii="Arial"/>
          <w:color w:val="FFFFFF"/>
          <w:spacing w:val="-21"/>
          <w:w w:val="90"/>
          <w:sz w:val="13"/>
        </w:rPr>
        <w:t> </w:t>
      </w:r>
      <w:r>
        <w:rPr>
          <w:rFonts w:ascii="Arial"/>
          <w:color w:val="FFFFFF"/>
          <w:w w:val="90"/>
          <w:sz w:val="13"/>
        </w:rPr>
        <w:t>City</w:t>
      </w:r>
    </w:p>
    <w:p>
      <w:pPr>
        <w:pStyle w:val="BodyText"/>
        <w:rPr>
          <w:rFonts w:ascii="Arial"/>
          <w:sz w:val="14"/>
        </w:rPr>
      </w:pPr>
      <w:r>
        <w:rPr/>
        <w:br w:type="column"/>
      </w:r>
      <w:r>
        <w:rPr>
          <w:rFonts w:ascii="Arial"/>
          <w:sz w:val="14"/>
        </w:rPr>
      </w:r>
    </w:p>
    <w:p>
      <w:pPr>
        <w:pStyle w:val="BodyText"/>
        <w:spacing w:before="11"/>
        <w:rPr>
          <w:rFonts w:ascii="Arial"/>
          <w:sz w:val="13"/>
        </w:rPr>
      </w:pPr>
    </w:p>
    <w:p>
      <w:pPr>
        <w:spacing w:before="0"/>
        <w:ind w:left="0" w:right="0" w:firstLine="0"/>
        <w:jc w:val="right"/>
        <w:rPr>
          <w:rFonts w:ascii="Arial"/>
          <w:sz w:val="13"/>
        </w:rPr>
      </w:pPr>
      <w:r>
        <w:rPr>
          <w:rFonts w:ascii="Arial"/>
          <w:color w:val="FFFFFF"/>
          <w:w w:val="80"/>
          <w:sz w:val="13"/>
        </w:rPr>
        <w:t>Omaha</w:t>
      </w:r>
    </w:p>
    <w:p>
      <w:pPr>
        <w:pStyle w:val="BodyText"/>
        <w:spacing w:before="6"/>
        <w:rPr>
          <w:rFonts w:ascii="Arial"/>
          <w:sz w:val="16"/>
        </w:rPr>
      </w:pPr>
      <w:r>
        <w:rPr/>
        <w:br w:type="column"/>
      </w:r>
      <w:r>
        <w:rPr>
          <w:rFonts w:ascii="Arial"/>
          <w:sz w:val="16"/>
        </w:rPr>
      </w:r>
    </w:p>
    <w:p>
      <w:pPr>
        <w:spacing w:line="137" w:lineRule="exact" w:before="0"/>
        <w:ind w:left="0" w:right="0" w:firstLine="0"/>
        <w:jc w:val="right"/>
        <w:rPr>
          <w:rFonts w:ascii="Arial"/>
          <w:sz w:val="13"/>
        </w:rPr>
      </w:pPr>
      <w:r>
        <w:rPr>
          <w:rFonts w:ascii="Arial"/>
          <w:color w:val="FFFFFF"/>
          <w:w w:val="85"/>
          <w:sz w:val="13"/>
        </w:rPr>
        <w:t>Chicago</w:t>
      </w:r>
    </w:p>
    <w:p>
      <w:pPr>
        <w:spacing w:line="114" w:lineRule="exact" w:before="0"/>
        <w:ind w:left="0" w:right="10" w:firstLine="0"/>
        <w:jc w:val="right"/>
        <w:rPr>
          <w:rFonts w:ascii="Arial"/>
          <w:sz w:val="11"/>
        </w:rPr>
      </w:pPr>
      <w:r>
        <w:rPr>
          <w:rFonts w:ascii="Arial"/>
          <w:color w:val="FFFFFF"/>
          <w:w w:val="85"/>
          <w:sz w:val="11"/>
        </w:rPr>
        <w:t>(Midway)</w:t>
      </w:r>
    </w:p>
    <w:p>
      <w:pPr>
        <w:pStyle w:val="BodyText"/>
        <w:spacing w:before="3"/>
        <w:rPr>
          <w:rFonts w:ascii="Arial"/>
          <w:sz w:val="19"/>
        </w:rPr>
      </w:pPr>
      <w:r>
        <w:rPr/>
        <w:br w:type="column"/>
      </w:r>
      <w:r>
        <w:rPr>
          <w:rFonts w:ascii="Arial"/>
          <w:sz w:val="19"/>
        </w:rPr>
      </w:r>
    </w:p>
    <w:p>
      <w:pPr>
        <w:spacing w:before="0"/>
        <w:ind w:left="679" w:right="0" w:firstLine="0"/>
        <w:jc w:val="left"/>
        <w:rPr>
          <w:rFonts w:ascii="Arial"/>
          <w:sz w:val="13"/>
        </w:rPr>
      </w:pPr>
      <w:r>
        <w:rPr>
          <w:rFonts w:ascii="Arial"/>
          <w:color w:val="FFFFFF"/>
          <w:w w:val="85"/>
          <w:sz w:val="13"/>
        </w:rPr>
        <w:t>Cleveland</w:t>
      </w:r>
    </w:p>
    <w:p>
      <w:pPr>
        <w:spacing w:before="96"/>
        <w:ind w:left="241" w:right="0" w:firstLine="0"/>
        <w:jc w:val="left"/>
        <w:rPr>
          <w:rFonts w:ascii="Arial"/>
          <w:sz w:val="13"/>
        </w:rPr>
      </w:pPr>
      <w:r>
        <w:rPr/>
        <w:br w:type="column"/>
      </w:r>
      <w:r>
        <w:rPr>
          <w:rFonts w:ascii="Arial"/>
          <w:color w:val="FFFFFF"/>
          <w:w w:val="85"/>
          <w:sz w:val="13"/>
        </w:rPr>
        <w:t>Philadelphia</w:t>
      </w:r>
    </w:p>
    <w:p>
      <w:pPr>
        <w:spacing w:before="3"/>
        <w:ind w:left="370" w:right="0" w:firstLine="0"/>
        <w:jc w:val="left"/>
        <w:rPr>
          <w:rFonts w:ascii="Arial"/>
          <w:sz w:val="13"/>
        </w:rPr>
      </w:pPr>
      <w:r>
        <w:rPr/>
        <w:br w:type="column"/>
      </w:r>
      <w:r>
        <w:rPr>
          <w:rFonts w:ascii="Arial"/>
          <w:color w:val="FFFFFF"/>
          <w:w w:val="90"/>
          <w:sz w:val="13"/>
        </w:rPr>
        <w:t>Long Island/Islip</w:t>
      </w:r>
    </w:p>
    <w:p>
      <w:pPr>
        <w:spacing w:after="0"/>
        <w:jc w:val="left"/>
        <w:rPr>
          <w:rFonts w:ascii="Arial"/>
          <w:sz w:val="13"/>
        </w:rPr>
        <w:sectPr>
          <w:type w:val="continuous"/>
          <w:pgSz w:w="12240" w:h="15840"/>
          <w:pgMar w:top="320" w:bottom="280" w:left="380" w:right="1020"/>
          <w:cols w:num="8" w:equalWidth="0">
            <w:col w:w="1578" w:space="40"/>
            <w:col w:w="922" w:space="40"/>
            <w:col w:w="951" w:space="817"/>
            <w:col w:w="1310" w:space="40"/>
            <w:col w:w="1361" w:space="40"/>
            <w:col w:w="1181" w:space="40"/>
            <w:col w:w="864" w:space="40"/>
            <w:col w:w="1616"/>
          </w:cols>
        </w:sectPr>
      </w:pPr>
    </w:p>
    <w:p>
      <w:pPr>
        <w:spacing w:line="141" w:lineRule="exact" w:before="37"/>
        <w:ind w:left="807" w:right="0" w:firstLine="0"/>
        <w:jc w:val="left"/>
        <w:rPr>
          <w:rFonts w:ascii="Arial"/>
          <w:sz w:val="13"/>
        </w:rPr>
      </w:pPr>
      <w:r>
        <w:rPr>
          <w:rFonts w:ascii="Arial"/>
          <w:color w:val="FFFFFF"/>
          <w:spacing w:val="-2"/>
          <w:w w:val="85"/>
          <w:sz w:val="13"/>
        </w:rPr>
        <w:t>Oakland</w:t>
      </w:r>
    </w:p>
    <w:p>
      <w:pPr>
        <w:spacing w:line="95" w:lineRule="exact" w:before="0"/>
        <w:ind w:left="508" w:right="0" w:firstLine="0"/>
        <w:jc w:val="left"/>
        <w:rPr>
          <w:rFonts w:ascii="Arial"/>
          <w:sz w:val="9"/>
        </w:rPr>
      </w:pPr>
      <w:r>
        <w:rPr>
          <w:rFonts w:ascii="Arial"/>
          <w:color w:val="FFFFFF"/>
          <w:w w:val="85"/>
          <w:sz w:val="9"/>
        </w:rPr>
        <w:t>(San Francisco</w:t>
      </w:r>
      <w:r>
        <w:rPr>
          <w:rFonts w:ascii="Arial"/>
          <w:color w:val="FFFFFF"/>
          <w:spacing w:val="-15"/>
          <w:w w:val="85"/>
          <w:sz w:val="9"/>
        </w:rPr>
        <w:t> </w:t>
      </w:r>
      <w:r>
        <w:rPr>
          <w:rFonts w:ascii="Arial"/>
          <w:color w:val="FFFFFF"/>
          <w:w w:val="85"/>
          <w:sz w:val="9"/>
        </w:rPr>
        <w:t>Area)</w:t>
      </w:r>
    </w:p>
    <w:p>
      <w:pPr>
        <w:pStyle w:val="BodyText"/>
        <w:rPr>
          <w:rFonts w:ascii="Arial"/>
          <w:sz w:val="14"/>
        </w:rPr>
      </w:pPr>
      <w:r>
        <w:rPr/>
        <w:br w:type="column"/>
      </w:r>
      <w:r>
        <w:rPr>
          <w:rFonts w:ascii="Arial"/>
          <w:sz w:val="14"/>
        </w:rPr>
      </w:r>
    </w:p>
    <w:p>
      <w:pPr>
        <w:spacing w:line="143" w:lineRule="exact" w:before="83"/>
        <w:ind w:left="138" w:right="0" w:firstLine="0"/>
        <w:jc w:val="left"/>
        <w:rPr>
          <w:rFonts w:ascii="Arial"/>
          <w:sz w:val="13"/>
        </w:rPr>
      </w:pPr>
      <w:r>
        <w:rPr>
          <w:rFonts w:ascii="Arial"/>
          <w:color w:val="FFFFFF"/>
          <w:w w:val="90"/>
          <w:sz w:val="13"/>
        </w:rPr>
        <w:t>San Jose</w:t>
      </w:r>
    </w:p>
    <w:p>
      <w:pPr>
        <w:spacing w:line="97" w:lineRule="exact" w:before="0"/>
        <w:ind w:left="105" w:right="0" w:firstLine="0"/>
        <w:jc w:val="left"/>
        <w:rPr>
          <w:rFonts w:ascii="Arial"/>
          <w:sz w:val="9"/>
        </w:rPr>
      </w:pPr>
      <w:r>
        <w:rPr>
          <w:rFonts w:ascii="Arial"/>
          <w:color w:val="FFFFFF"/>
          <w:w w:val="85"/>
          <w:sz w:val="9"/>
        </w:rPr>
        <w:t>(San Francisco</w:t>
      </w:r>
      <w:r>
        <w:rPr>
          <w:rFonts w:ascii="Arial"/>
          <w:color w:val="FFFFFF"/>
          <w:spacing w:val="-15"/>
          <w:w w:val="85"/>
          <w:sz w:val="9"/>
        </w:rPr>
        <w:t> </w:t>
      </w:r>
      <w:r>
        <w:rPr>
          <w:rFonts w:ascii="Arial"/>
          <w:color w:val="FFFFFF"/>
          <w:w w:val="85"/>
          <w:sz w:val="9"/>
        </w:rPr>
        <w:t>Area)</w:t>
      </w:r>
    </w:p>
    <w:p>
      <w:pPr>
        <w:pStyle w:val="BodyText"/>
        <w:spacing w:before="3"/>
        <w:rPr>
          <w:rFonts w:ascii="Arial"/>
          <w:sz w:val="16"/>
        </w:rPr>
      </w:pPr>
      <w:r>
        <w:rPr/>
        <w:br w:type="column"/>
      </w:r>
      <w:r>
        <w:rPr>
          <w:rFonts w:ascii="Arial"/>
          <w:sz w:val="16"/>
        </w:rPr>
      </w:r>
    </w:p>
    <w:p>
      <w:pPr>
        <w:spacing w:before="0"/>
        <w:ind w:left="508" w:right="0" w:firstLine="0"/>
        <w:jc w:val="left"/>
        <w:rPr>
          <w:rFonts w:ascii="Arial"/>
          <w:sz w:val="13"/>
        </w:rPr>
      </w:pPr>
      <w:r>
        <w:rPr>
          <w:rFonts w:ascii="Arial"/>
          <w:color w:val="FFFFFF"/>
          <w:w w:val="90"/>
          <w:sz w:val="13"/>
        </w:rPr>
        <w:t>Kansas</w:t>
      </w:r>
      <w:r>
        <w:rPr>
          <w:rFonts w:ascii="Arial"/>
          <w:color w:val="FFFFFF"/>
          <w:spacing w:val="-20"/>
          <w:w w:val="90"/>
          <w:sz w:val="13"/>
        </w:rPr>
        <w:t> </w:t>
      </w:r>
      <w:r>
        <w:rPr>
          <w:rFonts w:ascii="Arial"/>
          <w:color w:val="FFFFFF"/>
          <w:w w:val="90"/>
          <w:sz w:val="13"/>
        </w:rPr>
        <w:t>City</w:t>
      </w:r>
    </w:p>
    <w:p>
      <w:pPr>
        <w:pStyle w:val="BodyText"/>
        <w:spacing w:before="4"/>
        <w:rPr>
          <w:rFonts w:ascii="Arial"/>
          <w:sz w:val="19"/>
        </w:rPr>
      </w:pPr>
      <w:r>
        <w:rPr/>
        <w:br w:type="column"/>
      </w:r>
      <w:r>
        <w:rPr>
          <w:rFonts w:ascii="Arial"/>
          <w:sz w:val="19"/>
        </w:rPr>
      </w:r>
    </w:p>
    <w:p>
      <w:pPr>
        <w:spacing w:before="0"/>
        <w:ind w:left="368" w:right="0" w:firstLine="0"/>
        <w:jc w:val="left"/>
        <w:rPr>
          <w:rFonts w:ascii="Arial"/>
          <w:sz w:val="13"/>
        </w:rPr>
      </w:pPr>
      <w:r>
        <w:rPr>
          <w:rFonts w:ascii="Arial"/>
          <w:color w:val="FFFFFF"/>
          <w:w w:val="85"/>
          <w:sz w:val="13"/>
        </w:rPr>
        <w:t>In</w:t>
      </w:r>
      <w:r>
        <w:rPr>
          <w:rFonts w:ascii="Arial"/>
          <w:color w:val="FFFFFF"/>
          <w:w w:val="85"/>
          <w:sz w:val="13"/>
          <w:shd w:fill="002D6A" w:color="auto" w:val="clear"/>
        </w:rPr>
        <w:t>dia</w:t>
      </w:r>
      <w:r>
        <w:rPr>
          <w:rFonts w:ascii="Arial"/>
          <w:color w:val="FFFFFF"/>
          <w:w w:val="85"/>
          <w:sz w:val="13"/>
        </w:rPr>
        <w:t>napolis</w:t>
      </w:r>
    </w:p>
    <w:p>
      <w:pPr>
        <w:spacing w:before="45"/>
        <w:ind w:left="28" w:right="0" w:firstLine="0"/>
        <w:jc w:val="left"/>
        <w:rPr>
          <w:rFonts w:ascii="Arial"/>
          <w:sz w:val="13"/>
        </w:rPr>
      </w:pPr>
      <w:r>
        <w:rPr/>
        <w:br w:type="column"/>
      </w:r>
      <w:r>
        <w:rPr>
          <w:rFonts w:ascii="Arial"/>
          <w:color w:val="FFFFFF"/>
          <w:w w:val="85"/>
          <w:sz w:val="13"/>
        </w:rPr>
        <w:t>Columbus</w:t>
      </w:r>
    </w:p>
    <w:p>
      <w:pPr>
        <w:spacing w:line="146" w:lineRule="exact" w:before="27"/>
        <w:ind w:left="376" w:right="0" w:firstLine="0"/>
        <w:jc w:val="left"/>
        <w:rPr>
          <w:rFonts w:ascii="Arial"/>
          <w:sz w:val="13"/>
        </w:rPr>
      </w:pPr>
      <w:r>
        <w:rPr/>
        <w:br w:type="column"/>
      </w:r>
      <w:r>
        <w:rPr>
          <w:rFonts w:ascii="Arial"/>
          <w:color w:val="FFFFFF"/>
          <w:w w:val="85"/>
          <w:sz w:val="13"/>
        </w:rPr>
        <w:t>Baltimore/ Washington (BWI)</w:t>
      </w:r>
    </w:p>
    <w:p>
      <w:pPr>
        <w:spacing w:line="100" w:lineRule="exact" w:before="0"/>
        <w:ind w:left="1420" w:right="0" w:firstLine="0"/>
        <w:jc w:val="left"/>
        <w:rPr>
          <w:rFonts w:ascii="Arial"/>
          <w:sz w:val="9"/>
        </w:rPr>
      </w:pPr>
      <w:r>
        <w:rPr>
          <w:rFonts w:ascii="Arial"/>
          <w:color w:val="FFFFFF"/>
          <w:w w:val="80"/>
          <w:sz w:val="9"/>
        </w:rPr>
        <w:t>(D.C. Area)</w:t>
      </w:r>
    </w:p>
    <w:p>
      <w:pPr>
        <w:pStyle w:val="BodyText"/>
        <w:spacing w:before="3"/>
        <w:rPr>
          <w:rFonts w:ascii="Arial"/>
          <w:sz w:val="8"/>
        </w:rPr>
      </w:pPr>
    </w:p>
    <w:p>
      <w:pPr>
        <w:spacing w:line="131" w:lineRule="exact" w:before="0"/>
        <w:ind w:left="766" w:right="758" w:firstLine="0"/>
        <w:jc w:val="center"/>
        <w:rPr>
          <w:rFonts w:ascii="Arial"/>
          <w:sz w:val="13"/>
        </w:rPr>
      </w:pPr>
      <w:r>
        <w:rPr>
          <w:rFonts w:ascii="Arial"/>
          <w:color w:val="FFFFFF"/>
          <w:sz w:val="13"/>
        </w:rPr>
        <w:t>Norfolk</w:t>
      </w:r>
    </w:p>
    <w:p>
      <w:pPr>
        <w:spacing w:after="0" w:line="131" w:lineRule="exact"/>
        <w:jc w:val="center"/>
        <w:rPr>
          <w:rFonts w:ascii="Arial"/>
          <w:sz w:val="13"/>
        </w:rPr>
        <w:sectPr>
          <w:type w:val="continuous"/>
          <w:pgSz w:w="12240" w:h="15840"/>
          <w:pgMar w:top="320" w:bottom="280" w:left="380" w:right="1020"/>
          <w:cols w:num="6" w:equalWidth="0">
            <w:col w:w="1218" w:space="40"/>
            <w:col w:w="816" w:space="3402"/>
            <w:col w:w="1118" w:space="40"/>
            <w:col w:w="993" w:space="40"/>
            <w:col w:w="541" w:space="40"/>
            <w:col w:w="2592"/>
          </w:cols>
        </w:sectPr>
      </w:pPr>
    </w:p>
    <w:p>
      <w:pPr>
        <w:pStyle w:val="BodyText"/>
        <w:rPr>
          <w:rFonts w:ascii="Arial"/>
          <w:sz w:val="14"/>
        </w:rPr>
      </w:pPr>
    </w:p>
    <w:p>
      <w:pPr>
        <w:pStyle w:val="BodyText"/>
        <w:rPr>
          <w:rFonts w:ascii="Arial"/>
          <w:sz w:val="14"/>
        </w:rPr>
      </w:pPr>
    </w:p>
    <w:p>
      <w:pPr>
        <w:pStyle w:val="BodyText"/>
        <w:rPr>
          <w:rFonts w:ascii="Arial"/>
          <w:sz w:val="14"/>
        </w:rPr>
      </w:pPr>
    </w:p>
    <w:p>
      <w:pPr>
        <w:spacing w:before="90"/>
        <w:ind w:left="844" w:right="0" w:firstLine="0"/>
        <w:jc w:val="left"/>
        <w:rPr>
          <w:rFonts w:ascii="Arial"/>
          <w:sz w:val="13"/>
        </w:rPr>
      </w:pPr>
      <w:r>
        <w:rPr>
          <w:rFonts w:ascii="Arial"/>
          <w:color w:val="FFFFFF"/>
          <w:w w:val="85"/>
          <w:sz w:val="13"/>
        </w:rPr>
        <w:t>Los Angeles (LAX)</w:t>
      </w:r>
    </w:p>
    <w:p>
      <w:pPr>
        <w:spacing w:line="135" w:lineRule="exact" w:before="13"/>
        <w:ind w:left="1127" w:right="0" w:firstLine="0"/>
        <w:jc w:val="left"/>
        <w:rPr>
          <w:rFonts w:ascii="Arial"/>
          <w:sz w:val="13"/>
        </w:rPr>
      </w:pPr>
      <w:r>
        <w:rPr>
          <w:rFonts w:ascii="Arial"/>
          <w:color w:val="FFFFFF"/>
          <w:w w:val="85"/>
          <w:sz w:val="13"/>
        </w:rPr>
        <w:t>Orange</w:t>
      </w:r>
      <w:r>
        <w:rPr>
          <w:rFonts w:ascii="Arial"/>
          <w:color w:val="FFFFFF"/>
          <w:spacing w:val="-3"/>
          <w:w w:val="85"/>
          <w:sz w:val="13"/>
        </w:rPr>
        <w:t> </w:t>
      </w:r>
      <w:r>
        <w:rPr>
          <w:rFonts w:ascii="Arial"/>
          <w:color w:val="FFFFFF"/>
          <w:w w:val="85"/>
          <w:sz w:val="13"/>
        </w:rPr>
        <w:t>County</w:t>
      </w:r>
    </w:p>
    <w:p>
      <w:pPr>
        <w:spacing w:before="77"/>
        <w:ind w:left="381" w:right="0" w:firstLine="0"/>
        <w:jc w:val="left"/>
        <w:rPr>
          <w:rFonts w:ascii="Arial"/>
          <w:sz w:val="13"/>
        </w:rPr>
      </w:pPr>
      <w:r>
        <w:rPr/>
        <w:br w:type="column"/>
      </w:r>
      <w:r>
        <w:rPr>
          <w:rFonts w:ascii="Arial"/>
          <w:color w:val="FFFFFF"/>
          <w:w w:val="85"/>
          <w:sz w:val="13"/>
        </w:rPr>
        <w:t>Las Vegas</w:t>
      </w:r>
    </w:p>
    <w:p>
      <w:pPr>
        <w:pStyle w:val="BodyText"/>
        <w:spacing w:before="6"/>
        <w:rPr>
          <w:rFonts w:ascii="Arial"/>
          <w:sz w:val="14"/>
        </w:rPr>
      </w:pPr>
    </w:p>
    <w:p>
      <w:pPr>
        <w:spacing w:before="0"/>
        <w:ind w:left="4" w:right="0" w:firstLine="0"/>
        <w:jc w:val="left"/>
        <w:rPr>
          <w:rFonts w:ascii="Arial"/>
          <w:sz w:val="13"/>
        </w:rPr>
      </w:pPr>
      <w:r>
        <w:rPr>
          <w:rFonts w:ascii="Arial"/>
          <w:color w:val="FFFFFF"/>
          <w:sz w:val="13"/>
        </w:rPr>
        <w:t>Burbank</w:t>
      </w:r>
    </w:p>
    <w:p>
      <w:pPr>
        <w:spacing w:line="138" w:lineRule="exact" w:before="33"/>
        <w:ind w:left="281" w:right="0" w:firstLine="0"/>
        <w:jc w:val="left"/>
        <w:rPr>
          <w:rFonts w:ascii="Arial"/>
          <w:sz w:val="13"/>
        </w:rPr>
      </w:pPr>
      <w:r>
        <w:rPr>
          <w:rFonts w:ascii="Arial"/>
          <w:color w:val="FFFFFF"/>
          <w:sz w:val="13"/>
        </w:rPr>
        <w:t>O</w:t>
      </w:r>
      <w:r>
        <w:rPr>
          <w:rFonts w:ascii="Arial"/>
          <w:color w:val="FFFFFF"/>
          <w:sz w:val="13"/>
          <w:shd w:fill="002D6A" w:color="auto" w:val="clear"/>
        </w:rPr>
        <w:t>ntario </w:t>
      </w:r>
    </w:p>
    <w:p>
      <w:pPr>
        <w:spacing w:line="92" w:lineRule="exact" w:before="0"/>
        <w:ind w:left="278" w:right="0" w:firstLine="0"/>
        <w:jc w:val="left"/>
        <w:rPr>
          <w:rFonts w:ascii="Arial"/>
          <w:sz w:val="9"/>
        </w:rPr>
      </w:pPr>
      <w:r>
        <w:rPr>
          <w:rFonts w:ascii="Arial"/>
          <w:color w:val="FFFFFF"/>
          <w:w w:val="85"/>
          <w:sz w:val="9"/>
        </w:rPr>
        <w:t>(Palm Springs</w:t>
      </w:r>
      <w:r>
        <w:rPr>
          <w:rFonts w:ascii="Arial"/>
          <w:color w:val="FFFFFF"/>
          <w:spacing w:val="-11"/>
          <w:w w:val="85"/>
          <w:sz w:val="9"/>
        </w:rPr>
        <w:t> </w:t>
      </w:r>
      <w:r>
        <w:rPr>
          <w:rFonts w:ascii="Arial"/>
          <w:color w:val="FFFFFF"/>
          <w:w w:val="85"/>
          <w:sz w:val="9"/>
        </w:rPr>
        <w:t>Area)</w:t>
      </w:r>
    </w:p>
    <w:p>
      <w:pPr>
        <w:pStyle w:val="BodyText"/>
        <w:rPr>
          <w:rFonts w:ascii="Arial"/>
          <w:sz w:val="14"/>
        </w:rPr>
      </w:pPr>
      <w:r>
        <w:rPr/>
        <w:br w:type="column"/>
      </w:r>
      <w:r>
        <w:rPr>
          <w:rFonts w:ascii="Arial"/>
          <w:sz w:val="14"/>
        </w:rPr>
      </w:r>
    </w:p>
    <w:p>
      <w:pPr>
        <w:pStyle w:val="BodyText"/>
        <w:spacing w:before="7"/>
        <w:rPr>
          <w:rFonts w:ascii="Arial"/>
          <w:sz w:val="19"/>
        </w:rPr>
      </w:pPr>
    </w:p>
    <w:p>
      <w:pPr>
        <w:spacing w:line="147" w:lineRule="exact" w:before="0"/>
        <w:ind w:left="643" w:right="0" w:firstLine="0"/>
        <w:jc w:val="left"/>
        <w:rPr>
          <w:rFonts w:ascii="Arial"/>
          <w:sz w:val="13"/>
        </w:rPr>
      </w:pPr>
      <w:r>
        <w:rPr>
          <w:rFonts w:ascii="Arial"/>
          <w:color w:val="FFFFFF"/>
          <w:spacing w:val="-2"/>
          <w:w w:val="85"/>
          <w:sz w:val="13"/>
        </w:rPr>
        <w:t>Albuquerque</w:t>
      </w:r>
    </w:p>
    <w:p>
      <w:pPr>
        <w:spacing w:line="101" w:lineRule="exact" w:before="0"/>
        <w:ind w:left="699" w:right="0" w:firstLine="0"/>
        <w:jc w:val="left"/>
        <w:rPr>
          <w:rFonts w:ascii="Arial"/>
          <w:sz w:val="9"/>
        </w:rPr>
      </w:pPr>
      <w:r>
        <w:rPr>
          <w:rFonts w:ascii="Arial"/>
          <w:color w:val="FFFFFF"/>
          <w:w w:val="85"/>
          <w:sz w:val="9"/>
        </w:rPr>
        <w:t>(Santa Fe Area)</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spacing w:before="4"/>
        <w:rPr>
          <w:rFonts w:ascii="Arial"/>
          <w:sz w:val="12"/>
        </w:rPr>
      </w:pPr>
    </w:p>
    <w:p>
      <w:pPr>
        <w:spacing w:before="0"/>
        <w:ind w:left="371" w:right="0" w:firstLine="0"/>
        <w:jc w:val="left"/>
        <w:rPr>
          <w:rFonts w:ascii="Arial"/>
          <w:sz w:val="13"/>
        </w:rPr>
      </w:pPr>
      <w:r>
        <w:rPr>
          <w:rFonts w:ascii="Arial"/>
          <w:color w:val="FFFFFF"/>
          <w:w w:val="90"/>
          <w:sz w:val="13"/>
        </w:rPr>
        <w:t>Amarillo</w:t>
      </w:r>
    </w:p>
    <w:p>
      <w:pPr>
        <w:pStyle w:val="BodyText"/>
        <w:spacing w:before="6"/>
        <w:rPr>
          <w:rFonts w:ascii="Arial"/>
          <w:sz w:val="12"/>
        </w:rPr>
      </w:pPr>
      <w:r>
        <w:rPr/>
        <w:br w:type="column"/>
      </w:r>
      <w:r>
        <w:rPr>
          <w:rFonts w:ascii="Arial"/>
          <w:sz w:val="12"/>
        </w:rPr>
      </w:r>
    </w:p>
    <w:p>
      <w:pPr>
        <w:spacing w:line="370" w:lineRule="atLeast" w:before="1"/>
        <w:ind w:left="131" w:right="-14" w:firstLine="565"/>
        <w:jc w:val="left"/>
        <w:rPr>
          <w:rFonts w:ascii="Arial"/>
          <w:sz w:val="13"/>
        </w:rPr>
      </w:pPr>
      <w:r>
        <w:rPr>
          <w:rFonts w:ascii="Arial"/>
          <w:color w:val="FFFFFF"/>
          <w:spacing w:val="-2"/>
          <w:w w:val="85"/>
          <w:sz w:val="13"/>
        </w:rPr>
        <w:t>Tulsa Oklahoma </w:t>
      </w:r>
      <w:r>
        <w:rPr>
          <w:rFonts w:ascii="Arial"/>
          <w:color w:val="FFFFFF"/>
          <w:spacing w:val="-1"/>
          <w:w w:val="85"/>
          <w:sz w:val="13"/>
        </w:rPr>
        <w:t>City</w:t>
      </w:r>
    </w:p>
    <w:p>
      <w:pPr>
        <w:spacing w:before="44"/>
        <w:ind w:left="274" w:right="0" w:firstLine="0"/>
        <w:jc w:val="left"/>
        <w:rPr>
          <w:rFonts w:ascii="Arial"/>
          <w:sz w:val="13"/>
        </w:rPr>
      </w:pPr>
      <w:r>
        <w:rPr/>
        <w:br w:type="column"/>
      </w:r>
      <w:r>
        <w:rPr>
          <w:rFonts w:ascii="Arial"/>
          <w:color w:val="FFFFFF"/>
          <w:w w:val="90"/>
          <w:sz w:val="13"/>
        </w:rPr>
        <w:t>St.</w:t>
      </w:r>
      <w:r>
        <w:rPr>
          <w:rFonts w:ascii="Arial"/>
          <w:color w:val="FFFFFF"/>
          <w:spacing w:val="-26"/>
          <w:w w:val="90"/>
          <w:sz w:val="13"/>
        </w:rPr>
        <w:t> </w:t>
      </w:r>
      <w:r>
        <w:rPr>
          <w:rFonts w:ascii="Arial"/>
          <w:color w:val="FFFFFF"/>
          <w:w w:val="90"/>
          <w:sz w:val="13"/>
        </w:rPr>
        <w:t>Louis</w:t>
      </w:r>
    </w:p>
    <w:p>
      <w:pPr>
        <w:pStyle w:val="BodyText"/>
        <w:rPr>
          <w:rFonts w:ascii="Arial"/>
          <w:sz w:val="14"/>
        </w:rPr>
      </w:pPr>
    </w:p>
    <w:p>
      <w:pPr>
        <w:pStyle w:val="BodyText"/>
        <w:spacing w:before="4"/>
        <w:rPr>
          <w:rFonts w:ascii="Arial"/>
          <w:sz w:val="15"/>
        </w:rPr>
      </w:pPr>
    </w:p>
    <w:p>
      <w:pPr>
        <w:spacing w:before="1"/>
        <w:ind w:left="92" w:right="0" w:firstLine="0"/>
        <w:jc w:val="left"/>
        <w:rPr>
          <w:rFonts w:ascii="Arial"/>
          <w:sz w:val="13"/>
        </w:rPr>
      </w:pPr>
      <w:r>
        <w:rPr>
          <w:rFonts w:ascii="Arial"/>
          <w:color w:val="FFFFFF"/>
          <w:w w:val="90"/>
          <w:sz w:val="13"/>
        </w:rPr>
        <w:t>Little Rock</w:t>
      </w:r>
    </w:p>
    <w:p>
      <w:pPr>
        <w:spacing w:line="549" w:lineRule="auto" w:before="20"/>
        <w:ind w:left="694" w:right="-17" w:firstLine="15"/>
        <w:jc w:val="left"/>
        <w:rPr>
          <w:rFonts w:ascii="Arial"/>
          <w:sz w:val="13"/>
        </w:rPr>
      </w:pPr>
      <w:r>
        <w:rPr/>
        <w:br w:type="column"/>
      </w:r>
      <w:r>
        <w:rPr>
          <w:rFonts w:ascii="Arial"/>
          <w:color w:val="FFFFFF"/>
          <w:spacing w:val="-2"/>
          <w:w w:val="90"/>
          <w:sz w:val="13"/>
        </w:rPr>
        <w:t>Louisville </w:t>
      </w:r>
      <w:r>
        <w:rPr>
          <w:rFonts w:ascii="Arial"/>
          <w:color w:val="FFFFFF"/>
          <w:spacing w:val="-1"/>
          <w:w w:val="90"/>
          <w:sz w:val="13"/>
        </w:rPr>
        <w:t>Nashville</w:t>
      </w:r>
    </w:p>
    <w:p>
      <w:pPr>
        <w:pStyle w:val="BodyText"/>
        <w:rPr>
          <w:rFonts w:ascii="Arial"/>
          <w:sz w:val="14"/>
        </w:rPr>
      </w:pPr>
      <w:r>
        <w:rPr/>
        <w:br w:type="column"/>
      </w:r>
      <w:r>
        <w:rPr>
          <w:rFonts w:ascii="Arial"/>
          <w:sz w:val="14"/>
        </w:rPr>
      </w:r>
    </w:p>
    <w:p>
      <w:pPr>
        <w:pStyle w:val="BodyText"/>
        <w:spacing w:before="1"/>
        <w:rPr>
          <w:rFonts w:ascii="Arial"/>
          <w:sz w:val="14"/>
        </w:rPr>
      </w:pPr>
    </w:p>
    <w:p>
      <w:pPr>
        <w:spacing w:before="1"/>
        <w:ind w:left="271" w:right="0" w:firstLine="0"/>
        <w:jc w:val="left"/>
        <w:rPr>
          <w:rFonts w:ascii="Arial"/>
          <w:sz w:val="13"/>
        </w:rPr>
      </w:pPr>
      <w:r>
        <w:rPr>
          <w:rFonts w:ascii="Arial"/>
          <w:color w:val="FFFFFF"/>
          <w:w w:val="85"/>
          <w:sz w:val="13"/>
        </w:rPr>
        <w:t>Raleigh-Durham</w:t>
      </w:r>
    </w:p>
    <w:p>
      <w:pPr>
        <w:spacing w:before="0"/>
        <w:ind w:left="261" w:right="0" w:firstLine="0"/>
        <w:jc w:val="left"/>
        <w:rPr>
          <w:rFonts w:ascii="Arial"/>
          <w:sz w:val="9"/>
        </w:rPr>
      </w:pPr>
      <w:r>
        <w:rPr/>
        <w:br w:type="column"/>
      </w:r>
      <w:r>
        <w:rPr>
          <w:rFonts w:ascii="Arial"/>
          <w:color w:val="FFFFFF"/>
          <w:w w:val="85"/>
          <w:sz w:val="9"/>
        </w:rPr>
        <w:t>(Southern Virginia)</w:t>
      </w:r>
    </w:p>
    <w:p>
      <w:pPr>
        <w:spacing w:after="0"/>
        <w:jc w:val="left"/>
        <w:rPr>
          <w:rFonts w:ascii="Arial"/>
          <w:sz w:val="9"/>
        </w:rPr>
        <w:sectPr>
          <w:type w:val="continuous"/>
          <w:pgSz w:w="12240" w:h="15840"/>
          <w:pgMar w:top="320" w:bottom="280" w:left="380" w:right="1020"/>
          <w:cols w:num="9" w:equalWidth="0">
            <w:col w:w="1875" w:space="40"/>
            <w:col w:w="959" w:space="40"/>
            <w:col w:w="1269" w:space="40"/>
            <w:col w:w="811" w:space="40"/>
            <w:col w:w="963" w:space="40"/>
            <w:col w:w="708" w:space="40"/>
            <w:col w:w="1174" w:space="40"/>
            <w:col w:w="1099" w:space="40"/>
            <w:col w:w="1662"/>
          </w:cols>
        </w:sectPr>
      </w:pPr>
    </w:p>
    <w:p>
      <w:pPr>
        <w:tabs>
          <w:tab w:pos="2915" w:val="left" w:leader="none"/>
        </w:tabs>
        <w:spacing w:line="216" w:lineRule="exact" w:before="17"/>
        <w:ind w:left="2999" w:right="0" w:hanging="1456"/>
        <w:jc w:val="right"/>
        <w:rPr>
          <w:rFonts w:ascii="Arial"/>
          <w:sz w:val="13"/>
        </w:rPr>
      </w:pPr>
      <w:r>
        <w:rPr>
          <w:rFonts w:ascii="Arial"/>
          <w:color w:val="FFFFFF"/>
          <w:w w:val="95"/>
          <w:sz w:val="13"/>
        </w:rPr>
        <w:t>San</w:t>
      </w:r>
      <w:r>
        <w:rPr>
          <w:rFonts w:ascii="Arial"/>
          <w:color w:val="FFFFFF"/>
          <w:spacing w:val="-17"/>
          <w:w w:val="95"/>
          <w:sz w:val="13"/>
        </w:rPr>
        <w:t> </w:t>
      </w:r>
      <w:r>
        <w:rPr>
          <w:rFonts w:ascii="Arial"/>
          <w:color w:val="FFFFFF"/>
          <w:w w:val="95"/>
          <w:sz w:val="13"/>
        </w:rPr>
        <w:t>Diego</w:t>
        <w:tab/>
      </w:r>
      <w:r>
        <w:rPr>
          <w:rFonts w:ascii="Arial"/>
          <w:color w:val="FFFFFF"/>
          <w:spacing w:val="-1"/>
          <w:w w:val="85"/>
          <w:position w:val="9"/>
          <w:sz w:val="13"/>
        </w:rPr>
        <w:t>Phoenix </w:t>
      </w:r>
      <w:r>
        <w:rPr>
          <w:rFonts w:ascii="Arial"/>
          <w:color w:val="FFFFFF"/>
          <w:spacing w:val="-2"/>
          <w:w w:val="85"/>
          <w:sz w:val="13"/>
        </w:rPr>
        <w:t>Tucson</w:t>
      </w:r>
    </w:p>
    <w:p>
      <w:pPr>
        <w:pStyle w:val="BodyText"/>
        <w:rPr>
          <w:rFonts w:ascii="Arial"/>
          <w:sz w:val="14"/>
        </w:rPr>
      </w:pPr>
      <w:r>
        <w:rPr/>
        <w:br w:type="column"/>
      </w:r>
      <w:r>
        <w:rPr>
          <w:rFonts w:ascii="Arial"/>
          <w:sz w:val="14"/>
        </w:rPr>
      </w:r>
    </w:p>
    <w:p>
      <w:pPr>
        <w:pStyle w:val="BodyText"/>
        <w:rPr>
          <w:rFonts w:ascii="Arial"/>
          <w:sz w:val="14"/>
        </w:rPr>
      </w:pPr>
    </w:p>
    <w:p>
      <w:pPr>
        <w:pStyle w:val="BodyText"/>
        <w:spacing w:before="2"/>
        <w:rPr>
          <w:rFonts w:ascii="Arial"/>
          <w:sz w:val="14"/>
        </w:rPr>
      </w:pPr>
    </w:p>
    <w:p>
      <w:pPr>
        <w:spacing w:before="0"/>
        <w:ind w:left="601" w:right="0" w:firstLine="0"/>
        <w:jc w:val="left"/>
        <w:rPr>
          <w:rFonts w:ascii="Arial"/>
          <w:sz w:val="13"/>
        </w:rPr>
      </w:pPr>
      <w:r>
        <w:rPr>
          <w:rFonts w:ascii="Arial"/>
          <w:color w:val="FFFFFF"/>
          <w:spacing w:val="2"/>
          <w:w w:val="85"/>
          <w:sz w:val="13"/>
        </w:rPr>
        <w:t>El</w:t>
      </w:r>
      <w:r>
        <w:rPr>
          <w:rFonts w:ascii="Arial"/>
          <w:color w:val="FFFFFF"/>
          <w:spacing w:val="-9"/>
          <w:w w:val="85"/>
          <w:sz w:val="13"/>
        </w:rPr>
        <w:t> </w:t>
      </w:r>
      <w:r>
        <w:rPr>
          <w:rFonts w:ascii="Arial"/>
          <w:color w:val="FFFFFF"/>
          <w:w w:val="85"/>
          <w:sz w:val="13"/>
        </w:rPr>
        <w:t>Paso</w:t>
      </w:r>
    </w:p>
    <w:p>
      <w:pPr>
        <w:spacing w:before="58"/>
        <w:ind w:left="222" w:right="0" w:hanging="11"/>
        <w:jc w:val="left"/>
        <w:rPr>
          <w:rFonts w:ascii="Arial"/>
          <w:sz w:val="13"/>
        </w:rPr>
      </w:pPr>
      <w:r>
        <w:rPr/>
        <w:br w:type="column"/>
      </w:r>
      <w:r>
        <w:rPr>
          <w:rFonts w:ascii="Arial"/>
          <w:color w:val="FFFFFF"/>
          <w:w w:val="90"/>
          <w:sz w:val="13"/>
        </w:rPr>
        <w:t>Lubbock</w:t>
      </w:r>
    </w:p>
    <w:p>
      <w:pPr>
        <w:pStyle w:val="BodyText"/>
        <w:rPr>
          <w:rFonts w:ascii="Arial"/>
          <w:sz w:val="14"/>
        </w:rPr>
      </w:pPr>
    </w:p>
    <w:p>
      <w:pPr>
        <w:pStyle w:val="BodyText"/>
        <w:spacing w:before="3"/>
        <w:rPr>
          <w:rFonts w:ascii="Arial"/>
          <w:sz w:val="14"/>
        </w:rPr>
      </w:pPr>
    </w:p>
    <w:p>
      <w:pPr>
        <w:spacing w:line="172" w:lineRule="auto" w:before="0"/>
        <w:ind w:left="254" w:right="-3" w:hanging="32"/>
        <w:jc w:val="left"/>
        <w:rPr>
          <w:rFonts w:ascii="Arial"/>
          <w:sz w:val="13"/>
        </w:rPr>
      </w:pPr>
      <w:r>
        <w:rPr>
          <w:rFonts w:ascii="Arial"/>
          <w:color w:val="FFFFFF"/>
          <w:w w:val="90"/>
          <w:sz w:val="13"/>
        </w:rPr>
        <w:t>Midland/ Odessa</w:t>
      </w:r>
    </w:p>
    <w:p>
      <w:pPr>
        <w:pStyle w:val="BodyText"/>
        <w:rPr>
          <w:rFonts w:ascii="Arial"/>
          <w:sz w:val="14"/>
        </w:rPr>
      </w:pPr>
      <w:r>
        <w:rPr/>
        <w:br w:type="column"/>
      </w:r>
      <w:r>
        <w:rPr>
          <w:rFonts w:ascii="Arial"/>
          <w:sz w:val="14"/>
        </w:rPr>
      </w:r>
    </w:p>
    <w:p>
      <w:pPr>
        <w:pStyle w:val="BodyText"/>
        <w:rPr>
          <w:rFonts w:ascii="Arial"/>
          <w:sz w:val="14"/>
        </w:rPr>
      </w:pPr>
    </w:p>
    <w:p>
      <w:pPr>
        <w:spacing w:line="137" w:lineRule="exact" w:before="124"/>
        <w:ind w:left="462" w:right="0" w:firstLine="0"/>
        <w:jc w:val="left"/>
        <w:rPr>
          <w:rFonts w:ascii="Arial"/>
          <w:sz w:val="13"/>
        </w:rPr>
      </w:pPr>
      <w:r>
        <w:rPr>
          <w:rFonts w:ascii="Arial"/>
          <w:color w:val="FFFFFF"/>
          <w:w w:val="95"/>
          <w:sz w:val="13"/>
        </w:rPr>
        <w:t>Dallas</w:t>
      </w:r>
    </w:p>
    <w:p>
      <w:pPr>
        <w:spacing w:line="114" w:lineRule="exact" w:before="0"/>
        <w:ind w:left="335" w:right="0" w:firstLine="0"/>
        <w:jc w:val="left"/>
        <w:rPr>
          <w:rFonts w:ascii="Arial"/>
          <w:sz w:val="11"/>
        </w:rPr>
      </w:pPr>
      <w:r>
        <w:rPr>
          <w:rFonts w:ascii="Arial"/>
          <w:color w:val="FFFFFF"/>
          <w:w w:val="85"/>
          <w:sz w:val="11"/>
        </w:rPr>
        <w:t>(</w:t>
      </w:r>
      <w:r>
        <w:rPr>
          <w:rFonts w:ascii="Arial"/>
          <w:color w:val="FFFFFF"/>
          <w:spacing w:val="-18"/>
          <w:w w:val="85"/>
          <w:sz w:val="11"/>
        </w:rPr>
        <w:t> </w:t>
      </w:r>
      <w:r>
        <w:rPr>
          <w:rFonts w:ascii="Arial"/>
          <w:color w:val="FFFFFF"/>
          <w:spacing w:val="-3"/>
          <w:w w:val="85"/>
          <w:sz w:val="11"/>
        </w:rPr>
        <w:t>Love </w:t>
      </w:r>
      <w:r>
        <w:rPr>
          <w:rFonts w:ascii="Arial"/>
          <w:color w:val="FFFFFF"/>
          <w:spacing w:val="2"/>
          <w:w w:val="85"/>
          <w:sz w:val="11"/>
        </w:rPr>
        <w:t>Field)</w:t>
      </w:r>
    </w:p>
    <w:p>
      <w:pPr>
        <w:spacing w:before="47"/>
        <w:ind w:left="24" w:right="0" w:firstLine="0"/>
        <w:jc w:val="left"/>
        <w:rPr>
          <w:rFonts w:ascii="Arial"/>
          <w:sz w:val="13"/>
        </w:rPr>
      </w:pPr>
      <w:r>
        <w:rPr>
          <w:rFonts w:ascii="Arial"/>
          <w:color w:val="FFFFFF"/>
          <w:sz w:val="13"/>
        </w:rPr>
        <w:t>Austin</w:t>
      </w:r>
    </w:p>
    <w:p>
      <w:pPr>
        <w:pStyle w:val="BodyText"/>
        <w:spacing w:before="1"/>
        <w:rPr>
          <w:rFonts w:ascii="Arial"/>
          <w:sz w:val="16"/>
        </w:rPr>
      </w:pPr>
      <w:r>
        <w:rPr/>
        <w:br w:type="column"/>
      </w:r>
      <w:r>
        <w:rPr>
          <w:rFonts w:ascii="Arial"/>
          <w:sz w:val="16"/>
        </w:rPr>
      </w:r>
    </w:p>
    <w:p>
      <w:pPr>
        <w:spacing w:line="444" w:lineRule="auto" w:before="0"/>
        <w:ind w:left="765" w:right="-7" w:firstLine="312"/>
        <w:jc w:val="left"/>
        <w:rPr>
          <w:rFonts w:ascii="Arial"/>
          <w:sz w:val="13"/>
        </w:rPr>
      </w:pPr>
      <w:r>
        <w:rPr>
          <w:rFonts w:ascii="Arial"/>
          <w:color w:val="FFFFFF"/>
          <w:w w:val="87"/>
          <w:sz w:val="13"/>
          <w:shd w:fill="002D6A" w:color="auto" w:val="clear"/>
        </w:rPr>
        <w:t> </w:t>
      </w:r>
      <w:r>
        <w:rPr>
          <w:rFonts w:ascii="Arial"/>
          <w:color w:val="FFFFFF"/>
          <w:w w:val="90"/>
          <w:sz w:val="13"/>
          <w:shd w:fill="002D6A" w:color="auto" w:val="clear"/>
        </w:rPr>
        <w:t>Birm</w:t>
      </w:r>
      <w:r>
        <w:rPr>
          <w:rFonts w:ascii="Arial"/>
          <w:color w:val="FFFFFF"/>
          <w:w w:val="90"/>
          <w:sz w:val="13"/>
        </w:rPr>
        <w:t>ingham </w:t>
      </w:r>
      <w:r>
        <w:rPr>
          <w:rFonts w:ascii="Arial"/>
          <w:color w:val="FFFFFF"/>
          <w:sz w:val="13"/>
        </w:rPr>
        <w:t>Jackson</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spacing w:before="1"/>
        <w:rPr>
          <w:rFonts w:ascii="Arial"/>
          <w:sz w:val="15"/>
        </w:rPr>
      </w:pPr>
    </w:p>
    <w:p>
      <w:pPr>
        <w:spacing w:before="0"/>
        <w:ind w:left="819" w:right="0" w:firstLine="0"/>
        <w:jc w:val="left"/>
        <w:rPr>
          <w:rFonts w:ascii="Arial"/>
          <w:sz w:val="13"/>
        </w:rPr>
      </w:pPr>
      <w:r>
        <w:rPr>
          <w:rFonts w:ascii="Arial"/>
          <w:color w:val="FFFFFF"/>
          <w:sz w:val="13"/>
        </w:rPr>
        <w:t>Jacksonville</w:t>
      </w:r>
    </w:p>
    <w:p>
      <w:pPr>
        <w:spacing w:after="0"/>
        <w:jc w:val="left"/>
        <w:rPr>
          <w:rFonts w:ascii="Arial"/>
          <w:sz w:val="13"/>
        </w:rPr>
        <w:sectPr>
          <w:type w:val="continuous"/>
          <w:pgSz w:w="12240" w:h="15840"/>
          <w:pgMar w:top="320" w:bottom="280" w:left="380" w:right="1020"/>
          <w:cols w:num="6" w:equalWidth="0">
            <w:col w:w="3357" w:space="40"/>
            <w:col w:w="981" w:space="40"/>
            <w:col w:w="682" w:space="40"/>
            <w:col w:w="842" w:space="40"/>
            <w:col w:w="1746" w:space="40"/>
            <w:col w:w="3032"/>
          </w:cols>
        </w:sectPr>
      </w:pPr>
    </w:p>
    <w:p>
      <w:pPr>
        <w:pStyle w:val="BodyText"/>
        <w:rPr>
          <w:rFonts w:ascii="Arial"/>
          <w:sz w:val="16"/>
        </w:rPr>
      </w:pPr>
    </w:p>
    <w:p>
      <w:pPr>
        <w:pStyle w:val="BodyText"/>
        <w:rPr>
          <w:rFonts w:ascii="Arial"/>
          <w:sz w:val="16"/>
        </w:rPr>
      </w:pPr>
    </w:p>
    <w:p>
      <w:pPr>
        <w:pStyle w:val="BodyText"/>
        <w:spacing w:before="2"/>
        <w:rPr>
          <w:rFonts w:ascii="Arial"/>
        </w:rPr>
      </w:pPr>
    </w:p>
    <w:p>
      <w:pPr>
        <w:spacing w:before="0"/>
        <w:ind w:left="557" w:right="0" w:firstLine="0"/>
        <w:jc w:val="left"/>
        <w:rPr>
          <w:rFonts w:ascii="Arial"/>
          <w:sz w:val="14"/>
        </w:rPr>
      </w:pPr>
      <w:r>
        <w:rPr>
          <w:rFonts w:ascii="Arial"/>
          <w:color w:val="FFFFFF"/>
          <w:w w:val="90"/>
          <w:sz w:val="14"/>
        </w:rPr>
        <w:t>Southwest System Map</w:t>
      </w:r>
    </w:p>
    <w:p>
      <w:pPr>
        <w:pStyle w:val="ListParagraph"/>
        <w:numPr>
          <w:ilvl w:val="0"/>
          <w:numId w:val="2"/>
        </w:numPr>
        <w:tabs>
          <w:tab w:pos="557" w:val="left" w:leader="none"/>
        </w:tabs>
        <w:spacing w:line="240" w:lineRule="auto" w:before="31" w:after="0"/>
        <w:ind w:left="556" w:right="0" w:hanging="136"/>
        <w:jc w:val="left"/>
        <w:rPr>
          <w:rFonts w:ascii="Arial"/>
          <w:sz w:val="14"/>
        </w:rPr>
      </w:pPr>
      <w:r>
        <w:rPr>
          <w:rFonts w:ascii="Arial"/>
          <w:color w:val="FFFFFF"/>
          <w:spacing w:val="3"/>
          <w:w w:val="95"/>
          <w:sz w:val="14"/>
        </w:rPr>
        <w:t>Service</w:t>
      </w:r>
      <w:r>
        <w:rPr>
          <w:rFonts w:ascii="Arial"/>
          <w:color w:val="FFFFFF"/>
          <w:spacing w:val="-22"/>
          <w:w w:val="95"/>
          <w:sz w:val="14"/>
        </w:rPr>
        <w:t> </w:t>
      </w:r>
      <w:r>
        <w:rPr>
          <w:rFonts w:ascii="Arial"/>
          <w:color w:val="FFFFFF"/>
          <w:w w:val="95"/>
          <w:sz w:val="14"/>
        </w:rPr>
        <w:t>to</w:t>
      </w:r>
      <w:r>
        <w:rPr>
          <w:rFonts w:ascii="Arial"/>
          <w:color w:val="FFFFFF"/>
          <w:spacing w:val="-22"/>
          <w:w w:val="95"/>
          <w:sz w:val="14"/>
        </w:rPr>
        <w:t> </w:t>
      </w:r>
      <w:r>
        <w:rPr>
          <w:rFonts w:ascii="Arial"/>
          <w:color w:val="FFFFFF"/>
          <w:spacing w:val="3"/>
          <w:w w:val="95"/>
          <w:sz w:val="14"/>
        </w:rPr>
        <w:t>Philadelphia</w:t>
      </w:r>
      <w:r>
        <w:rPr>
          <w:rFonts w:ascii="Arial"/>
          <w:color w:val="FFFFFF"/>
          <w:spacing w:val="-22"/>
          <w:w w:val="95"/>
          <w:sz w:val="14"/>
        </w:rPr>
        <w:t> </w:t>
      </w:r>
      <w:r>
        <w:rPr>
          <w:rFonts w:ascii="Arial"/>
          <w:color w:val="FFFFFF"/>
          <w:spacing w:val="3"/>
          <w:w w:val="95"/>
          <w:sz w:val="14"/>
        </w:rPr>
        <w:t>starts</w:t>
      </w:r>
      <w:r>
        <w:rPr>
          <w:rFonts w:ascii="Arial"/>
          <w:color w:val="FFFFFF"/>
          <w:spacing w:val="-22"/>
          <w:w w:val="95"/>
          <w:sz w:val="14"/>
        </w:rPr>
        <w:t> </w:t>
      </w:r>
      <w:r>
        <w:rPr>
          <w:rFonts w:ascii="Arial"/>
          <w:color w:val="FFFFFF"/>
          <w:spacing w:val="2"/>
          <w:w w:val="95"/>
          <w:sz w:val="14"/>
        </w:rPr>
        <w:t>May</w:t>
      </w:r>
      <w:r>
        <w:rPr>
          <w:rFonts w:ascii="Arial"/>
          <w:color w:val="FFFFFF"/>
          <w:spacing w:val="-22"/>
          <w:w w:val="95"/>
          <w:sz w:val="14"/>
        </w:rPr>
        <w:t> </w:t>
      </w:r>
      <w:r>
        <w:rPr>
          <w:rFonts w:ascii="Arial"/>
          <w:color w:val="FFFFFF"/>
          <w:w w:val="95"/>
          <w:sz w:val="14"/>
        </w:rPr>
        <w:t>9,</w:t>
      </w:r>
      <w:r>
        <w:rPr>
          <w:rFonts w:ascii="Arial"/>
          <w:color w:val="FFFFFF"/>
          <w:spacing w:val="-24"/>
          <w:w w:val="95"/>
          <w:sz w:val="14"/>
        </w:rPr>
        <w:t> </w:t>
      </w:r>
      <w:r>
        <w:rPr>
          <w:rFonts w:ascii="Arial"/>
          <w:color w:val="FFFFFF"/>
          <w:spacing w:val="4"/>
          <w:w w:val="95"/>
          <w:sz w:val="14"/>
        </w:rPr>
        <w:t>2004</w:t>
      </w:r>
    </w:p>
    <w:p>
      <w:pPr>
        <w:spacing w:before="11"/>
        <w:ind w:left="0" w:right="53" w:firstLine="0"/>
        <w:jc w:val="right"/>
        <w:rPr>
          <w:rFonts w:ascii="Arial"/>
          <w:sz w:val="12"/>
        </w:rPr>
      </w:pPr>
      <w:r>
        <w:rPr/>
        <w:br w:type="column"/>
      </w:r>
      <w:r>
        <w:rPr>
          <w:rFonts w:ascii="Arial"/>
          <w:color w:val="FFFFFF"/>
          <w:w w:val="90"/>
          <w:sz w:val="12"/>
        </w:rPr>
        <w:t>San Antonio</w:t>
      </w:r>
    </w:p>
    <w:p>
      <w:pPr>
        <w:pStyle w:val="BodyText"/>
        <w:spacing w:before="1"/>
        <w:rPr>
          <w:rFonts w:ascii="Arial"/>
          <w:sz w:val="19"/>
        </w:rPr>
      </w:pPr>
    </w:p>
    <w:p>
      <w:pPr>
        <w:spacing w:line="120" w:lineRule="exact" w:before="0"/>
        <w:ind w:left="689" w:right="0" w:hanging="11"/>
        <w:jc w:val="right"/>
        <w:rPr>
          <w:rFonts w:ascii="Arial"/>
          <w:sz w:val="13"/>
        </w:rPr>
      </w:pPr>
      <w:r>
        <w:rPr>
          <w:rFonts w:ascii="Arial"/>
          <w:color w:val="FFFFFF"/>
          <w:w w:val="85"/>
          <w:sz w:val="13"/>
        </w:rPr>
        <w:t>Corpus </w:t>
      </w:r>
      <w:r>
        <w:rPr>
          <w:rFonts w:ascii="Arial"/>
          <w:color w:val="FFFFFF"/>
          <w:w w:val="90"/>
          <w:sz w:val="13"/>
        </w:rPr>
        <w:t>Christi</w:t>
      </w:r>
    </w:p>
    <w:p>
      <w:pPr>
        <w:pStyle w:val="BodyText"/>
        <w:spacing w:before="3"/>
        <w:rPr>
          <w:rFonts w:ascii="Arial"/>
          <w:sz w:val="19"/>
        </w:rPr>
      </w:pPr>
      <w:r>
        <w:rPr/>
        <w:br w:type="column"/>
      </w:r>
      <w:r>
        <w:rPr>
          <w:rFonts w:ascii="Arial"/>
          <w:sz w:val="19"/>
        </w:rPr>
      </w:r>
    </w:p>
    <w:p>
      <w:pPr>
        <w:spacing w:line="137" w:lineRule="exact" w:before="0"/>
        <w:ind w:left="474" w:right="0" w:firstLine="0"/>
        <w:jc w:val="left"/>
        <w:rPr>
          <w:rFonts w:ascii="Arial"/>
          <w:sz w:val="13"/>
        </w:rPr>
      </w:pPr>
      <w:r>
        <w:rPr>
          <w:rFonts w:ascii="Arial"/>
          <w:color w:val="FFFFFF"/>
          <w:w w:val="95"/>
          <w:sz w:val="13"/>
        </w:rPr>
        <w:t>Houston</w:t>
      </w:r>
    </w:p>
    <w:p>
      <w:pPr>
        <w:spacing w:line="114" w:lineRule="exact" w:before="0"/>
        <w:ind w:left="60" w:right="0" w:firstLine="413"/>
        <w:jc w:val="left"/>
        <w:rPr>
          <w:rFonts w:ascii="Arial"/>
          <w:sz w:val="11"/>
        </w:rPr>
      </w:pPr>
      <w:r>
        <w:rPr>
          <w:rFonts w:ascii="Arial"/>
          <w:color w:val="FFFFFF"/>
          <w:w w:val="85"/>
          <w:sz w:val="11"/>
        </w:rPr>
        <w:t>(Hobby &amp; Intercontinental)</w:t>
      </w:r>
    </w:p>
    <w:p>
      <w:pPr>
        <w:pStyle w:val="BodyText"/>
        <w:rPr>
          <w:rFonts w:ascii="Arial"/>
          <w:sz w:val="12"/>
        </w:rPr>
      </w:pPr>
    </w:p>
    <w:p>
      <w:pPr>
        <w:pStyle w:val="BodyText"/>
        <w:spacing w:before="7"/>
        <w:rPr>
          <w:rFonts w:ascii="Arial"/>
          <w:sz w:val="17"/>
        </w:rPr>
      </w:pPr>
    </w:p>
    <w:p>
      <w:pPr>
        <w:spacing w:before="1"/>
        <w:ind w:left="60" w:right="0" w:firstLine="0"/>
        <w:jc w:val="left"/>
        <w:rPr>
          <w:rFonts w:ascii="Arial"/>
          <w:sz w:val="13"/>
        </w:rPr>
      </w:pPr>
      <w:r>
        <w:rPr>
          <w:rFonts w:ascii="Arial"/>
          <w:color w:val="FFFFFF"/>
          <w:w w:val="90"/>
          <w:sz w:val="13"/>
        </w:rPr>
        <w:t>Harlingen/South</w:t>
      </w:r>
      <w:r>
        <w:rPr>
          <w:rFonts w:ascii="Arial"/>
          <w:color w:val="FFFFFF"/>
          <w:spacing w:val="-15"/>
          <w:w w:val="90"/>
          <w:sz w:val="13"/>
        </w:rPr>
        <w:t> </w:t>
      </w:r>
      <w:r>
        <w:rPr>
          <w:rFonts w:ascii="Arial"/>
          <w:color w:val="FFFFFF"/>
          <w:w w:val="90"/>
          <w:sz w:val="13"/>
        </w:rPr>
        <w:t>Padre</w:t>
      </w:r>
      <w:r>
        <w:rPr>
          <w:rFonts w:ascii="Arial"/>
          <w:color w:val="FFFFFF"/>
          <w:spacing w:val="-15"/>
          <w:w w:val="90"/>
          <w:sz w:val="13"/>
        </w:rPr>
        <w:t> </w:t>
      </w:r>
      <w:r>
        <w:rPr>
          <w:rFonts w:ascii="Arial"/>
          <w:color w:val="FFFFFF"/>
          <w:w w:val="90"/>
          <w:sz w:val="13"/>
        </w:rPr>
        <w:t>Island</w:t>
      </w:r>
    </w:p>
    <w:p>
      <w:pPr>
        <w:spacing w:before="16"/>
        <w:ind w:left="-31" w:right="0" w:firstLine="0"/>
        <w:jc w:val="left"/>
        <w:rPr>
          <w:rFonts w:ascii="Arial"/>
          <w:sz w:val="13"/>
        </w:rPr>
      </w:pPr>
      <w:r>
        <w:rPr/>
        <w:br w:type="column"/>
      </w:r>
      <w:r>
        <w:rPr>
          <w:rFonts w:ascii="Arial"/>
          <w:color w:val="FFFFFF"/>
          <w:w w:val="85"/>
          <w:sz w:val="13"/>
        </w:rPr>
        <w:t>New Orleans</w:t>
      </w:r>
    </w:p>
    <w:p>
      <w:pPr>
        <w:pStyle w:val="BodyText"/>
        <w:rPr>
          <w:rFonts w:ascii="Arial"/>
          <w:sz w:val="14"/>
        </w:rPr>
      </w:pPr>
      <w:r>
        <w:rPr/>
        <w:br w:type="column"/>
      </w:r>
      <w:r>
        <w:rPr>
          <w:rFonts w:ascii="Arial"/>
          <w:sz w:val="14"/>
        </w:rPr>
      </w:r>
    </w:p>
    <w:p>
      <w:pPr>
        <w:pStyle w:val="BodyText"/>
        <w:spacing w:before="7"/>
        <w:rPr>
          <w:rFonts w:ascii="Arial"/>
          <w:sz w:val="11"/>
        </w:rPr>
      </w:pPr>
    </w:p>
    <w:p>
      <w:pPr>
        <w:spacing w:before="0"/>
        <w:ind w:left="-39" w:right="0" w:firstLine="0"/>
        <w:jc w:val="left"/>
        <w:rPr>
          <w:rFonts w:ascii="Arial"/>
          <w:sz w:val="13"/>
        </w:rPr>
      </w:pPr>
      <w:r>
        <w:rPr>
          <w:rFonts w:ascii="Arial"/>
          <w:color w:val="FFFFFF"/>
          <w:w w:val="85"/>
          <w:sz w:val="13"/>
        </w:rPr>
        <w:t>Tampa Bay</w:t>
      </w:r>
    </w:p>
    <w:p>
      <w:pPr>
        <w:spacing w:before="64"/>
        <w:ind w:left="413" w:right="0" w:firstLine="0"/>
        <w:jc w:val="left"/>
        <w:rPr>
          <w:rFonts w:ascii="Arial"/>
          <w:sz w:val="13"/>
        </w:rPr>
      </w:pPr>
      <w:r>
        <w:rPr/>
        <w:br w:type="column"/>
      </w:r>
      <w:r>
        <w:rPr>
          <w:rFonts w:ascii="Arial"/>
          <w:color w:val="FFFFFF"/>
          <w:w w:val="95"/>
          <w:sz w:val="13"/>
        </w:rPr>
        <w:t>Orlando</w:t>
      </w:r>
    </w:p>
    <w:p>
      <w:pPr>
        <w:pStyle w:val="BodyText"/>
        <w:spacing w:before="10"/>
        <w:rPr>
          <w:rFonts w:ascii="Arial"/>
          <w:sz w:val="18"/>
        </w:rPr>
      </w:pPr>
    </w:p>
    <w:p>
      <w:pPr>
        <w:spacing w:line="190" w:lineRule="atLeast" w:before="1"/>
        <w:ind w:left="606" w:right="922" w:hanging="26"/>
        <w:jc w:val="left"/>
        <w:rPr>
          <w:rFonts w:ascii="Arial"/>
          <w:sz w:val="13"/>
        </w:rPr>
      </w:pPr>
      <w:r>
        <w:rPr>
          <w:rFonts w:ascii="Arial"/>
          <w:color w:val="FFFFFF"/>
          <w:w w:val="90"/>
          <w:sz w:val="13"/>
        </w:rPr>
        <w:t>West Palm Beach</w:t>
      </w:r>
      <w:r>
        <w:rPr>
          <w:rFonts w:ascii="Arial"/>
          <w:color w:val="FFFFFF"/>
          <w:w w:val="85"/>
          <w:sz w:val="13"/>
        </w:rPr>
        <w:t> </w:t>
      </w:r>
      <w:r>
        <w:rPr>
          <w:rFonts w:ascii="Arial"/>
          <w:color w:val="FFFFFF"/>
          <w:w w:val="85"/>
          <w:sz w:val="13"/>
        </w:rPr>
        <w:t>Ft. Lauderdale</w:t>
      </w:r>
    </w:p>
    <w:p>
      <w:pPr>
        <w:spacing w:line="76" w:lineRule="exact" w:before="0"/>
        <w:ind w:left="598" w:right="0" w:firstLine="0"/>
        <w:jc w:val="left"/>
        <w:rPr>
          <w:rFonts w:ascii="Arial"/>
          <w:sz w:val="9"/>
        </w:rPr>
      </w:pPr>
      <w:r>
        <w:rPr>
          <w:rFonts w:ascii="Arial"/>
          <w:color w:val="FFFFFF"/>
          <w:w w:val="85"/>
          <w:sz w:val="9"/>
        </w:rPr>
        <w:t>(Miami Area)</w:t>
      </w:r>
    </w:p>
    <w:p>
      <w:pPr>
        <w:spacing w:after="0" w:line="76" w:lineRule="exact"/>
        <w:jc w:val="left"/>
        <w:rPr>
          <w:rFonts w:ascii="Arial"/>
          <w:sz w:val="9"/>
        </w:rPr>
        <w:sectPr>
          <w:type w:val="continuous"/>
          <w:pgSz w:w="12240" w:h="15840"/>
          <w:pgMar w:top="320" w:bottom="280" w:left="380" w:right="1020"/>
          <w:cols w:num="6" w:equalWidth="0">
            <w:col w:w="3009" w:space="1433"/>
            <w:col w:w="1073" w:space="40"/>
            <w:col w:w="1571" w:space="40"/>
            <w:col w:w="614" w:space="40"/>
            <w:col w:w="528" w:space="40"/>
            <w:col w:w="2452"/>
          </w:cols>
        </w:sectPr>
      </w:pPr>
    </w:p>
    <w:p>
      <w:pPr>
        <w:pStyle w:val="BodyText"/>
        <w:rPr>
          <w:rFonts w:ascii="Arial"/>
          <w:sz w:val="20"/>
        </w:rPr>
      </w:pPr>
      <w:r>
        <w:rPr/>
        <w:pict>
          <v:rect style="position:absolute;margin-left:0pt;margin-top:0pt;width:612pt;height:792pt;mso-position-horizontal-relative:page;mso-position-vertical-relative:page;z-index:-233560" filled="true" fillcolor="#386ab3" stroked="false">
            <v:fill type="solid"/>
            <w10:wrap type="none"/>
          </v:rect>
        </w:pict>
      </w:r>
    </w:p>
    <w:p>
      <w:pPr>
        <w:pStyle w:val="BodyText"/>
        <w:spacing w:before="10"/>
        <w:rPr>
          <w:rFonts w:ascii="Arial"/>
          <w:sz w:val="22"/>
        </w:rPr>
      </w:pPr>
    </w:p>
    <w:p>
      <w:pPr>
        <w:tabs>
          <w:tab w:pos="6346" w:val="left" w:leader="none"/>
        </w:tabs>
        <w:spacing w:line="240" w:lineRule="auto"/>
        <w:ind w:left="1913" w:right="0" w:firstLine="0"/>
        <w:rPr>
          <w:rFonts w:ascii="Arial"/>
          <w:sz w:val="20"/>
        </w:rPr>
      </w:pPr>
      <w:r>
        <w:rPr>
          <w:rFonts w:ascii="Arial"/>
          <w:sz w:val="20"/>
        </w:rPr>
        <w:pict>
          <v:group style="width:160.4pt;height:162.7pt;mso-position-horizontal-relative:char;mso-position-vertical-relative:line" coordorigin="0,0" coordsize="3208,3254">
            <v:shape style="position:absolute;left:155;top:201;width:3052;height:3052" coordorigin="155,201" coordsize="3052,3052" path="m1681,201l1605,203,1530,209,1456,218,1383,230,1311,246,1241,266,1171,288,1104,314,1038,343,974,375,911,410,850,447,792,487,735,530,680,576,628,623,577,674,530,726,484,781,441,837,401,896,364,957,329,1020,297,1084,268,1150,242,1217,220,1286,200,1357,184,1429,172,1502,163,1576,157,1651,155,1727,157,1803,163,1879,172,1953,184,2026,200,2097,220,2168,242,2237,268,2305,297,2371,329,2435,364,2497,401,2558,441,2617,484,2674,530,2728,577,2781,628,2831,680,2879,735,2924,792,2967,850,3007,911,3045,974,3080,1038,3111,1104,3140,1171,3166,1241,3189,1311,3208,1383,3224,1456,3237,1530,3246,1605,3251,1681,3253,1757,3251,1833,3246,1907,3237,1980,3224,2052,3208,2122,3189,2191,3166,2259,3140,2325,3111,2389,3080,2451,3045,2512,3007,2571,2967,2628,2924,2682,2879,2735,2831,2785,2781,2833,2728,2878,2674,2921,2617,2961,2558,2999,2497,3034,2435,3065,2371,3094,2305,3120,2237,3143,2168,3162,2097,3178,2026,3191,1953,3200,1879,3205,1803,3207,1727,3205,1651,3200,1576,3191,1502,3178,1429,3162,1357,3143,1286,3120,1217,3094,1150,3065,1084,3034,1020,2999,957,2961,896,2921,837,2878,781,2833,726,2785,674,2735,623,2682,576,2628,530,2571,487,2512,447,2451,410,2389,375,2325,343,2259,314,2191,288,2122,266,2052,246,1980,230,1907,218,1833,209,1757,203,1681,201xe" filled="true" fillcolor="#002d6a" stroked="false">
              <v:path arrowok="t"/>
              <v:fill type="solid"/>
            </v:shape>
            <v:shape style="position:absolute;left:9;top:12;width:3052;height:3052" coordorigin="9,12" coordsize="3052,3052" path="m1535,12l1459,14,1384,20,1310,29,1237,41,1165,57,1094,77,1025,99,958,125,892,154,827,186,765,221,704,258,645,298,589,341,534,386,481,434,431,485,383,537,338,592,295,648,255,707,217,768,183,831,151,895,122,961,96,1028,74,1097,54,1168,38,1240,26,1313,16,1387,11,1462,9,1538,11,1614,16,1690,26,1764,38,1837,54,1908,74,1979,96,2048,122,2116,151,2181,183,2246,217,2308,255,2369,295,2428,338,2485,383,2539,431,2592,481,2642,534,2690,589,2735,645,2778,704,2818,765,2856,827,2891,892,2922,958,2951,1025,2977,1094,3000,1165,3019,1237,3035,1310,3048,1384,3057,1459,3062,1535,3064,1611,3062,1686,3057,1761,3048,1834,3035,1905,3019,1976,3000,2045,2977,2112,2951,2178,2922,2243,2891,2305,2856,2366,2818,2425,2778,2481,2735,2536,2690,2589,2642,2639,2592,2687,2539,2732,2485,2775,2428,2815,2369,2853,2308,2887,2246,2919,2181,2948,2116,2974,2048,2996,1979,3016,1908,3032,1837,3044,1764,3054,1690,3059,1614,3061,1538,3059,1462,3054,1387,3044,1313,3032,1240,3016,1168,2996,1097,2974,1028,2948,961,2919,895,2887,831,2853,768,2815,707,2775,648,2732,592,2687,537,2639,485,2589,434,2536,386,2481,341,2425,298,2366,258,2305,221,2243,186,2178,154,2112,125,2045,99,1976,77,1905,57,1834,41,1761,29,1686,20,1611,14,1535,12xe" filled="true" fillcolor="#ed1b2d" stroked="false">
              <v:path arrowok="t"/>
              <v:fill type="solid"/>
            </v:shape>
            <v:shape style="position:absolute;left:9;top:12;width:3052;height:3052" coordorigin="9,12" coordsize="3052,3052" path="m3061,1538l3059,1614,3054,1690,3044,1764,3032,1837,3016,1908,2996,1979,2974,2048,2948,2116,2919,2181,2887,2246,2853,2308,2815,2369,2775,2428,2732,2485,2687,2539,2639,2592,2589,2642,2536,2690,2481,2735,2425,2778,2366,2818,2305,2856,2243,2891,2178,2922,2112,2951,2045,2977,1976,3000,1905,3019,1834,3035,1761,3048,1686,3057,1611,3062,1535,3064,1459,3062,1384,3057,1310,3048,1237,3035,1165,3019,1094,3000,1025,2977,958,2951,892,2922,827,2891,765,2856,704,2818,645,2778,589,2735,534,2690,481,2642,431,2592,383,2539,338,2485,295,2428,255,2369,217,2308,183,2246,151,2181,122,2116,96,2048,74,1979,54,1908,38,1837,26,1764,16,1690,11,1614,9,1538,11,1462,16,1387,26,1313,38,1240,54,1168,74,1097,96,1028,122,961,151,895,183,831,217,768,255,707,295,648,338,592,383,537,431,485,481,434,534,386,589,341,645,298,704,258,765,221,827,186,892,154,958,125,1025,99,1094,77,1165,57,1237,41,1310,29,1384,20,1459,14,1535,12,1611,14,1686,20,1761,29,1834,41,1905,57,1976,77,2045,99,2112,125,2178,154,2243,186,2305,221,2366,258,2425,298,2481,341,2536,386,2589,434,2639,485,2687,537,2732,592,2775,648,2815,707,2853,768,2887,831,2919,895,2948,961,2974,1028,2996,1097,3016,1168,3032,1240,3044,1313,3054,1387,3059,1462,3061,1538xe" filled="false" stroked="true" strokeweight=".901pt" strokecolor="#ffffff">
              <v:path arrowok="t"/>
              <v:stroke dashstyle="solid"/>
            </v:shape>
            <v:shape style="position:absolute;left:1522;top:13;width:1309;height:2333" coordorigin="1522,13" coordsize="1309,2333" path="m1522,13l1522,1538,2830,2345e" filled="false" stroked="true" strokeweight="1.2015pt" strokecolor="#ffffff">
              <v:path arrowok="t"/>
              <v:stroke dashstyle="solid"/>
            </v:shape>
            <v:shape style="position:absolute;left:1779;top:968;width:930;height:336" type="#_x0000_t202" filled="false" stroked="false">
              <v:textbox inset="0,0,0,0">
                <w:txbxContent>
                  <w:p>
                    <w:pPr>
                      <w:spacing w:line="160" w:lineRule="exact" w:before="14"/>
                      <w:ind w:left="315" w:right="8" w:hanging="316"/>
                      <w:jc w:val="left"/>
                      <w:rPr>
                        <w:rFonts w:ascii="Arial"/>
                        <w:sz w:val="15"/>
                      </w:rPr>
                    </w:pPr>
                    <w:r>
                      <w:rPr>
                        <w:rFonts w:ascii="Arial"/>
                        <w:color w:val="FFFFFF"/>
                        <w:w w:val="95"/>
                        <w:sz w:val="15"/>
                      </w:rPr>
                      <w:t>Other Carriers 35%</w:t>
                    </w:r>
                  </w:p>
                </w:txbxContent>
              </v:textbox>
              <w10:wrap type="none"/>
            </v:shape>
            <v:shape style="position:absolute;left:392;top:1613;width:709;height:336" type="#_x0000_t202" filled="false" stroked="false">
              <v:textbox inset="0,0,0,0">
                <w:txbxContent>
                  <w:p>
                    <w:pPr>
                      <w:spacing w:line="160" w:lineRule="exact" w:before="14"/>
                      <w:ind w:left="202" w:right="0" w:hanging="203"/>
                      <w:jc w:val="left"/>
                      <w:rPr>
                        <w:rFonts w:ascii="Arial"/>
                        <w:sz w:val="15"/>
                      </w:rPr>
                    </w:pPr>
                    <w:r>
                      <w:rPr>
                        <w:rFonts w:ascii="Arial"/>
                        <w:color w:val="FFFFFF"/>
                        <w:w w:val="90"/>
                        <w:sz w:val="15"/>
                      </w:rPr>
                      <w:t>Southwest </w:t>
                    </w:r>
                    <w:r>
                      <w:rPr>
                        <w:rFonts w:ascii="Arial"/>
                        <w:color w:val="FFFFFF"/>
                        <w:sz w:val="15"/>
                      </w:rPr>
                      <w:t>65%</w:t>
                    </w:r>
                  </w:p>
                </w:txbxContent>
              </v:textbox>
              <w10:wrap type="none"/>
            </v:shape>
          </v:group>
        </w:pict>
      </w:r>
      <w:r>
        <w:rPr>
          <w:rFonts w:ascii="Arial"/>
          <w:sz w:val="20"/>
        </w:rPr>
      </w:r>
      <w:r>
        <w:rPr>
          <w:rFonts w:ascii="Arial"/>
          <w:sz w:val="20"/>
        </w:rPr>
        <w:tab/>
      </w:r>
      <w:r>
        <w:rPr>
          <w:rFonts w:ascii="Arial"/>
          <w:position w:val="2"/>
          <w:sz w:val="20"/>
        </w:rPr>
        <w:pict>
          <v:group style="width:160.35pt;height:162.7pt;mso-position-horizontal-relative:char;mso-position-vertical-relative:line" coordorigin="0,0" coordsize="3207,3254">
            <v:shape style="position:absolute;left:155;top:202;width:3052;height:3052" coordorigin="155,202" coordsize="3052,3052" path="m1681,202l1605,203,1530,209,1455,218,1382,231,1311,247,1240,266,1171,289,1104,315,1038,343,973,375,911,410,850,447,791,488,734,530,680,576,627,624,577,674,529,726,484,781,441,838,401,897,363,957,329,1020,297,1084,268,1150,242,1218,220,1287,200,1357,184,1429,171,1502,162,1576,157,1651,155,1728,157,1804,162,1879,171,1953,184,2026,200,2098,220,2168,242,2237,268,2305,297,2371,329,2435,363,2498,401,2558,441,2617,484,2674,529,2729,577,2781,627,2831,680,2879,734,2925,791,2967,850,3008,911,3045,973,3080,1038,3112,1104,3140,1171,3166,1240,3189,1311,3208,1382,3224,1455,3237,1530,3246,1605,3252,1681,3253,1757,3252,1832,3246,1906,3237,1979,3224,2051,3208,2122,3189,2191,3166,2258,3140,2324,3112,2389,3080,2451,3045,2512,3008,2571,2967,2627,2925,2682,2879,2735,2831,2785,2781,2833,2729,2878,2674,2921,2617,2961,2558,2999,2498,3033,2435,3065,2371,3094,2305,3120,2237,3142,2168,3162,2098,3178,2026,3190,1953,3199,1879,3205,1804,3207,1728,3205,1651,3199,1576,3190,1502,3178,1429,3162,1357,3142,1287,3120,1218,3094,1150,3065,1084,3033,1020,2999,957,2961,897,2921,838,2878,781,2833,726,2785,674,2735,624,2682,576,2627,530,2571,488,2512,447,2451,410,2389,375,2324,343,2258,315,2191,289,2122,266,2051,247,1979,231,1906,218,1832,209,1757,203,1681,202xe" filled="true" fillcolor="#002d6a" stroked="false">
              <v:path arrowok="t"/>
              <v:fill type="solid"/>
            </v:shape>
            <v:shape style="position:absolute;left:9;top:13;width:3052;height:3052" coordorigin="9,13" coordsize="3052,3052" path="m1535,13l1459,14,1384,20,1309,29,1236,42,1165,58,1094,77,1025,100,958,125,892,154,827,186,765,221,704,258,645,299,588,341,534,387,481,435,431,485,383,537,338,592,295,649,255,708,217,768,183,831,151,895,122,961,96,1029,74,1098,54,1168,38,1240,26,1313,16,1387,11,1462,9,1539,11,1615,16,1690,26,1764,38,1837,54,1909,74,1979,96,2048,122,2116,151,2182,183,2246,217,2309,255,2369,295,2428,338,2485,383,2540,431,2592,481,2642,534,2690,588,2736,645,2778,704,2819,765,2856,827,2891,892,2923,958,2951,1025,2977,1094,3000,1165,3019,1236,3035,1309,3048,1384,3057,1459,3063,1535,3064,1611,3063,1686,3057,1760,3048,1833,3035,1905,3019,1976,3000,2045,2977,2112,2951,2178,2923,2243,2891,2305,2856,2366,2819,2425,2778,2481,2736,2536,2690,2589,2642,2639,2592,2687,2540,2732,2485,2775,2428,2815,2369,2853,2309,2887,2246,2919,2182,2948,2116,2974,2048,2996,1979,3016,1909,3032,1837,3044,1764,3054,1690,3059,1615,3061,1539,3059,1462,3054,1387,3044,1313,3032,1240,3016,1168,2996,1098,2974,1029,2948,961,2919,895,2887,831,2853,768,2815,708,2775,649,2732,592,2687,537,2639,485,2589,435,2536,387,2481,341,2425,299,2366,258,2305,221,2243,186,2178,154,2112,125,2045,100,1976,77,1905,58,1833,42,1760,29,1686,20,1611,14,1535,13xe" filled="true" fillcolor="#ed1b2d" stroked="false">
              <v:path arrowok="t"/>
              <v:fill type="solid"/>
            </v:shape>
            <v:shape style="position:absolute;left:9;top:13;width:3052;height:3052" coordorigin="9,13" coordsize="3052,3052" path="m3061,1539l3059,1615,3054,1690,3044,1764,3032,1837,3016,1909,2996,1979,2974,2048,2948,2116,2919,2182,2887,2246,2853,2309,2815,2369,2775,2428,2732,2485,2687,2540,2639,2592,2589,2642,2536,2690,2481,2736,2425,2778,2366,2819,2305,2856,2243,2891,2178,2923,2112,2951,2045,2977,1976,3000,1905,3019,1833,3035,1760,3048,1686,3057,1611,3063,1535,3064,1459,3063,1384,3057,1309,3048,1236,3035,1165,3019,1094,3000,1025,2977,958,2951,892,2923,827,2891,765,2856,704,2819,645,2778,588,2736,534,2690,481,2642,431,2592,383,2540,338,2485,295,2428,255,2369,217,2309,183,2246,151,2182,122,2116,96,2048,74,1979,54,1909,38,1837,26,1764,16,1690,11,1615,9,1539,11,1462,16,1387,26,1313,38,1240,54,1168,74,1098,96,1029,122,961,151,895,183,831,217,768,255,708,295,649,338,592,383,537,431,485,481,435,534,387,588,341,645,299,704,258,765,221,827,186,892,154,958,125,1025,100,1094,77,1165,58,1236,42,1309,29,1384,20,1459,14,1535,13,1611,14,1686,20,1760,29,1833,42,1905,58,1976,77,2045,100,2112,125,2178,154,2243,186,2305,221,2366,258,2425,299,2481,341,2536,387,2589,435,2639,485,2687,537,2732,592,2775,649,2815,708,2853,768,2887,831,2919,895,2948,961,2974,1029,2996,1098,3016,1168,3032,1240,3044,1313,3054,1387,3059,1462,3061,1539xe" filled="false" stroked="true" strokeweight=".901pt" strokecolor="#ffffff">
              <v:path arrowok="t"/>
              <v:stroke dashstyle="solid"/>
            </v:shape>
            <v:line style="position:absolute" from="1524,13" to="1524,1533" stroked="true" strokeweight="1.2015pt" strokecolor="#ffffff">
              <v:stroke dashstyle="solid"/>
            </v:line>
            <v:line style="position:absolute" from="153,891" to="1527,1538" stroked="true" strokeweight="1.2015pt" strokecolor="#ffffff">
              <v:stroke dashstyle="solid"/>
            </v:line>
            <v:line style="position:absolute" from="1054,2987" to="1526,1532" stroked="true" strokeweight="1.2015pt" strokecolor="#ffffff">
              <v:stroke dashstyle="solid"/>
            </v:line>
            <v:line style="position:absolute" from="2262,2880" to="1523,1535" stroked="true" strokeweight="1.2015pt" strokecolor="#ffffff">
              <v:stroke dashstyle="solid"/>
            </v:line>
            <v:line style="position:absolute" from="3049,1727" to="1524,1534" stroked="true" strokeweight="1.2015pt" strokecolor="#ffffff">
              <v:stroke dashstyle="solid"/>
            </v:line>
            <v:shape style="position:absolute;left:717;top:575;width:641;height:336" type="#_x0000_t202" filled="false" stroked="false">
              <v:textbox inset="0,0,0,0">
                <w:txbxContent>
                  <w:p>
                    <w:pPr>
                      <w:spacing w:line="160" w:lineRule="exact" w:before="14"/>
                      <w:ind w:left="170" w:right="0" w:hanging="171"/>
                      <w:jc w:val="left"/>
                      <w:rPr>
                        <w:rFonts w:ascii="Arial"/>
                        <w:sz w:val="15"/>
                      </w:rPr>
                    </w:pPr>
                    <w:r>
                      <w:rPr>
                        <w:rFonts w:ascii="Arial"/>
                        <w:color w:val="FFFFFF"/>
                        <w:w w:val="90"/>
                        <w:sz w:val="15"/>
                      </w:rPr>
                      <w:t>California </w:t>
                    </w:r>
                    <w:r>
                      <w:rPr>
                        <w:rFonts w:ascii="Arial"/>
                        <w:color w:val="FFFFFF"/>
                        <w:sz w:val="15"/>
                      </w:rPr>
                      <w:t>18%</w:t>
                    </w:r>
                  </w:p>
                </w:txbxContent>
              </v:textbox>
              <w10:wrap type="none"/>
            </v:shape>
            <v:shape style="position:absolute;left:2169;top:793;width:300;height:336" type="#_x0000_t202" filled="false" stroked="false">
              <v:textbox inset="0,0,0,0">
                <w:txbxContent>
                  <w:p>
                    <w:pPr>
                      <w:spacing w:line="160" w:lineRule="exact" w:before="14"/>
                      <w:ind w:left="0" w:right="9" w:firstLine="1"/>
                      <w:jc w:val="left"/>
                      <w:rPr>
                        <w:rFonts w:ascii="Arial"/>
                        <w:sz w:val="15"/>
                      </w:rPr>
                    </w:pPr>
                    <w:r>
                      <w:rPr>
                        <w:rFonts w:ascii="Arial"/>
                        <w:color w:val="FFFFFF"/>
                        <w:w w:val="85"/>
                        <w:sz w:val="15"/>
                      </w:rPr>
                      <w:t>East </w:t>
                    </w:r>
                    <w:r>
                      <w:rPr>
                        <w:rFonts w:ascii="Arial"/>
                        <w:color w:val="FFFFFF"/>
                        <w:w w:val="90"/>
                        <w:sz w:val="15"/>
                      </w:rPr>
                      <w:t>29%</w:t>
                    </w:r>
                  </w:p>
                </w:txbxContent>
              </v:textbox>
              <w10:wrap type="none"/>
            </v:shape>
            <v:shape style="position:absolute;left:220;top:1585;width:1052;height:336" type="#_x0000_t202" filled="false" stroked="false">
              <v:textbox inset="0,0,0,0">
                <w:txbxContent>
                  <w:p>
                    <w:pPr>
                      <w:spacing w:line="160" w:lineRule="exact" w:before="14"/>
                      <w:ind w:left="376" w:right="0" w:hanging="377"/>
                      <w:jc w:val="left"/>
                      <w:rPr>
                        <w:rFonts w:ascii="Arial"/>
                        <w:sz w:val="15"/>
                      </w:rPr>
                    </w:pPr>
                    <w:r>
                      <w:rPr>
                        <w:rFonts w:ascii="Arial"/>
                        <w:color w:val="FFFFFF"/>
                        <w:w w:val="90"/>
                        <w:sz w:val="15"/>
                      </w:rPr>
                      <w:t>Remaining West </w:t>
                    </w:r>
                    <w:r>
                      <w:rPr>
                        <w:rFonts w:ascii="Arial"/>
                        <w:color w:val="FFFFFF"/>
                        <w:w w:val="95"/>
                        <w:sz w:val="15"/>
                      </w:rPr>
                      <w:t>26%</w:t>
                    </w:r>
                  </w:p>
                </w:txbxContent>
              </v:textbox>
              <w10:wrap type="none"/>
            </v:shape>
            <v:shape style="position:absolute;left:2145;top:1864;width:562;height:336" type="#_x0000_t202" filled="false" stroked="false">
              <v:textbox inset="0,0,0,0">
                <w:txbxContent>
                  <w:p>
                    <w:pPr>
                      <w:spacing w:line="160" w:lineRule="exact" w:before="14"/>
                      <w:ind w:left="131" w:right="0" w:hanging="132"/>
                      <w:jc w:val="left"/>
                      <w:rPr>
                        <w:rFonts w:ascii="Arial"/>
                        <w:sz w:val="15"/>
                      </w:rPr>
                    </w:pPr>
                    <w:r>
                      <w:rPr>
                        <w:rFonts w:ascii="Arial"/>
                        <w:color w:val="FFFFFF"/>
                        <w:w w:val="90"/>
                        <w:sz w:val="15"/>
                      </w:rPr>
                      <w:t>Midwest </w:t>
                    </w:r>
                    <w:r>
                      <w:rPr>
                        <w:rFonts w:ascii="Arial"/>
                        <w:color w:val="FFFFFF"/>
                        <w:sz w:val="15"/>
                      </w:rPr>
                      <w:t>15%</w:t>
                    </w:r>
                  </w:p>
                </w:txbxContent>
              </v:textbox>
              <w10:wrap type="none"/>
            </v:shape>
            <v:shape style="position:absolute;left:1322;top:2518;width:630;height:336" type="#_x0000_t202" filled="false" stroked="false">
              <v:textbox inset="0,0,0,0">
                <w:txbxContent>
                  <w:p>
                    <w:pPr>
                      <w:spacing w:line="160" w:lineRule="exact" w:before="14"/>
                      <w:ind w:left="167" w:right="0" w:hanging="168"/>
                      <w:jc w:val="left"/>
                      <w:rPr>
                        <w:rFonts w:ascii="Arial"/>
                        <w:sz w:val="15"/>
                      </w:rPr>
                    </w:pPr>
                    <w:r>
                      <w:rPr>
                        <w:rFonts w:ascii="Arial"/>
                        <w:color w:val="FFFFFF"/>
                        <w:w w:val="90"/>
                        <w:sz w:val="15"/>
                      </w:rPr>
                      <w:t>Heartland </w:t>
                    </w:r>
                    <w:r>
                      <w:rPr>
                        <w:rFonts w:ascii="Arial"/>
                        <w:color w:val="FFFFFF"/>
                        <w:sz w:val="15"/>
                      </w:rPr>
                      <w:t>12%</w:t>
                    </w:r>
                  </w:p>
                </w:txbxContent>
              </v:textbox>
              <w10:wrap type="none"/>
            </v:shape>
          </v:group>
        </w:pict>
      </w:r>
      <w:r>
        <w:rPr>
          <w:rFonts w:ascii="Arial"/>
          <w:position w:val="2"/>
          <w:sz w:val="20"/>
        </w:rPr>
      </w:r>
    </w:p>
    <w:p>
      <w:pPr>
        <w:spacing w:line="150" w:lineRule="exact" w:before="0"/>
        <w:ind w:left="540" w:right="0" w:firstLine="0"/>
        <w:jc w:val="left"/>
        <w:rPr>
          <w:rFonts w:ascii="Arial" w:hAnsi="Arial"/>
          <w:sz w:val="14"/>
        </w:rPr>
      </w:pPr>
      <w:r>
        <w:rPr>
          <w:rFonts w:ascii="Arial" w:hAnsi="Arial"/>
          <w:color w:val="FFFFFF"/>
          <w:w w:val="90"/>
          <w:sz w:val="14"/>
        </w:rPr>
        <w:t>Southwest’s Market Share</w:t>
      </w:r>
    </w:p>
    <w:p>
      <w:pPr>
        <w:tabs>
          <w:tab w:pos="6337" w:val="left" w:leader="none"/>
        </w:tabs>
        <w:spacing w:before="19"/>
        <w:ind w:left="540" w:right="0" w:firstLine="0"/>
        <w:jc w:val="left"/>
        <w:rPr>
          <w:rFonts w:ascii="Arial" w:hAnsi="Arial"/>
          <w:sz w:val="14"/>
        </w:rPr>
      </w:pPr>
      <w:r>
        <w:rPr>
          <w:rFonts w:ascii="Arial" w:hAnsi="Arial"/>
          <w:color w:val="FFFFFF"/>
          <w:w w:val="95"/>
          <w:sz w:val="14"/>
        </w:rPr>
        <w:t>(</w:t>
      </w:r>
      <w:r>
        <w:rPr>
          <w:rFonts w:ascii="Arial" w:hAnsi="Arial"/>
          <w:color w:val="FFFFFF"/>
          <w:w w:val="95"/>
          <w:sz w:val="12"/>
        </w:rPr>
        <w:t>Southwest’s</w:t>
      </w:r>
      <w:r>
        <w:rPr>
          <w:rFonts w:ascii="Arial" w:hAnsi="Arial"/>
          <w:color w:val="FFFFFF"/>
          <w:spacing w:val="-11"/>
          <w:w w:val="95"/>
          <w:sz w:val="12"/>
        </w:rPr>
        <w:t> </w:t>
      </w:r>
      <w:r>
        <w:rPr>
          <w:rFonts w:ascii="Arial" w:hAnsi="Arial"/>
          <w:color w:val="FFFFFF"/>
          <w:w w:val="95"/>
          <w:sz w:val="12"/>
        </w:rPr>
        <w:t>top</w:t>
      </w:r>
      <w:r>
        <w:rPr>
          <w:rFonts w:ascii="Arial" w:hAnsi="Arial"/>
          <w:color w:val="FFFFFF"/>
          <w:spacing w:val="-11"/>
          <w:w w:val="95"/>
          <w:sz w:val="12"/>
        </w:rPr>
        <w:t> </w:t>
      </w:r>
      <w:r>
        <w:rPr>
          <w:rFonts w:ascii="Arial" w:hAnsi="Arial"/>
          <w:color w:val="FFFFFF"/>
          <w:w w:val="95"/>
          <w:sz w:val="12"/>
        </w:rPr>
        <w:t>100</w:t>
      </w:r>
      <w:r>
        <w:rPr>
          <w:rFonts w:ascii="Arial" w:hAnsi="Arial"/>
          <w:color w:val="FFFFFF"/>
          <w:spacing w:val="-11"/>
          <w:w w:val="95"/>
          <w:sz w:val="12"/>
        </w:rPr>
        <w:t> </w:t>
      </w:r>
      <w:r>
        <w:rPr>
          <w:rFonts w:ascii="Arial" w:hAnsi="Arial"/>
          <w:color w:val="FFFFFF"/>
          <w:w w:val="95"/>
          <w:sz w:val="12"/>
        </w:rPr>
        <w:t>city-pair</w:t>
      </w:r>
      <w:r>
        <w:rPr>
          <w:rFonts w:ascii="Arial" w:hAnsi="Arial"/>
          <w:color w:val="FFFFFF"/>
          <w:spacing w:val="-11"/>
          <w:w w:val="95"/>
          <w:sz w:val="12"/>
        </w:rPr>
        <w:t> </w:t>
      </w:r>
      <w:r>
        <w:rPr>
          <w:rFonts w:ascii="Arial" w:hAnsi="Arial"/>
          <w:color w:val="FFFFFF"/>
          <w:w w:val="95"/>
          <w:sz w:val="12"/>
        </w:rPr>
        <w:t>markets</w:t>
      </w:r>
      <w:r>
        <w:rPr>
          <w:rFonts w:ascii="Arial" w:hAnsi="Arial"/>
          <w:color w:val="FFFFFF"/>
          <w:spacing w:val="-11"/>
          <w:w w:val="95"/>
          <w:sz w:val="12"/>
        </w:rPr>
        <w:t> </w:t>
      </w:r>
      <w:r>
        <w:rPr>
          <w:rFonts w:ascii="Arial" w:hAnsi="Arial"/>
          <w:color w:val="FFFFFF"/>
          <w:w w:val="95"/>
          <w:sz w:val="12"/>
        </w:rPr>
        <w:t>based</w:t>
      </w:r>
      <w:r>
        <w:rPr>
          <w:rFonts w:ascii="Arial" w:hAnsi="Arial"/>
          <w:color w:val="FFFFFF"/>
          <w:spacing w:val="-11"/>
          <w:w w:val="95"/>
          <w:sz w:val="12"/>
        </w:rPr>
        <w:t> </w:t>
      </w:r>
      <w:r>
        <w:rPr>
          <w:rFonts w:ascii="Arial" w:hAnsi="Arial"/>
          <w:color w:val="FFFFFF"/>
          <w:w w:val="95"/>
          <w:sz w:val="12"/>
        </w:rPr>
        <w:t>on</w:t>
      </w:r>
      <w:r>
        <w:rPr>
          <w:rFonts w:ascii="Arial" w:hAnsi="Arial"/>
          <w:color w:val="FFFFFF"/>
          <w:spacing w:val="-11"/>
          <w:w w:val="95"/>
          <w:sz w:val="12"/>
        </w:rPr>
        <w:t> </w:t>
      </w:r>
      <w:r>
        <w:rPr>
          <w:rFonts w:ascii="Arial" w:hAnsi="Arial"/>
          <w:color w:val="FFFFFF"/>
          <w:w w:val="95"/>
          <w:sz w:val="12"/>
        </w:rPr>
        <w:t>passengers</w:t>
      </w:r>
      <w:r>
        <w:rPr>
          <w:rFonts w:ascii="Arial" w:hAnsi="Arial"/>
          <w:color w:val="FFFFFF"/>
          <w:spacing w:val="-11"/>
          <w:w w:val="95"/>
          <w:sz w:val="12"/>
        </w:rPr>
        <w:t> </w:t>
      </w:r>
      <w:r>
        <w:rPr>
          <w:rFonts w:ascii="Arial" w:hAnsi="Arial"/>
          <w:color w:val="FFFFFF"/>
          <w:w w:val="95"/>
          <w:sz w:val="12"/>
        </w:rPr>
        <w:t>carried)</w:t>
        <w:tab/>
      </w:r>
      <w:r>
        <w:rPr>
          <w:rFonts w:ascii="Arial" w:hAnsi="Arial"/>
          <w:color w:val="FFFFFF"/>
          <w:spacing w:val="3"/>
          <w:w w:val="90"/>
          <w:sz w:val="14"/>
        </w:rPr>
        <w:t>Southwest’s</w:t>
      </w:r>
      <w:r>
        <w:rPr>
          <w:rFonts w:ascii="Arial" w:hAnsi="Arial"/>
          <w:color w:val="FFFFFF"/>
          <w:spacing w:val="-16"/>
          <w:w w:val="90"/>
          <w:sz w:val="14"/>
        </w:rPr>
        <w:t> </w:t>
      </w:r>
      <w:r>
        <w:rPr>
          <w:rFonts w:ascii="Arial" w:hAnsi="Arial"/>
          <w:color w:val="FFFFFF"/>
          <w:spacing w:val="3"/>
          <w:w w:val="90"/>
          <w:sz w:val="14"/>
        </w:rPr>
        <w:t>Capacity</w:t>
      </w:r>
      <w:r>
        <w:rPr>
          <w:rFonts w:ascii="Arial" w:hAnsi="Arial"/>
          <w:color w:val="FFFFFF"/>
          <w:spacing w:val="-16"/>
          <w:w w:val="90"/>
          <w:sz w:val="14"/>
        </w:rPr>
        <w:t> </w:t>
      </w:r>
      <w:r>
        <w:rPr>
          <w:rFonts w:ascii="Arial" w:hAnsi="Arial"/>
          <w:color w:val="FFFFFF"/>
          <w:w w:val="90"/>
          <w:sz w:val="14"/>
        </w:rPr>
        <w:t>By</w:t>
      </w:r>
      <w:r>
        <w:rPr>
          <w:rFonts w:ascii="Arial" w:hAnsi="Arial"/>
          <w:color w:val="FFFFFF"/>
          <w:spacing w:val="-16"/>
          <w:w w:val="90"/>
          <w:sz w:val="14"/>
        </w:rPr>
        <w:t> </w:t>
      </w:r>
      <w:r>
        <w:rPr>
          <w:rFonts w:ascii="Arial" w:hAnsi="Arial"/>
          <w:color w:val="FFFFFF"/>
          <w:spacing w:val="4"/>
          <w:w w:val="90"/>
          <w:sz w:val="14"/>
        </w:rPr>
        <w:t>Region</w:t>
      </w:r>
    </w:p>
    <w:p>
      <w:pPr>
        <w:pStyle w:val="BodyText"/>
        <w:rPr>
          <w:rFonts w:ascii="Arial"/>
          <w:sz w:val="20"/>
        </w:rPr>
      </w:pPr>
    </w:p>
    <w:p>
      <w:pPr>
        <w:pStyle w:val="BodyText"/>
        <w:spacing w:before="2"/>
        <w:rPr>
          <w:rFonts w:ascii="Arial"/>
          <w:sz w:val="22"/>
        </w:rPr>
      </w:pPr>
    </w:p>
    <w:tbl>
      <w:tblPr>
        <w:tblW w:w="0" w:type="auto"/>
        <w:jc w:val="left"/>
        <w:tblInd w:w="123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814"/>
        <w:gridCol w:w="797"/>
        <w:gridCol w:w="849"/>
        <w:gridCol w:w="849"/>
        <w:gridCol w:w="828"/>
        <w:gridCol w:w="828"/>
        <w:gridCol w:w="800"/>
        <w:gridCol w:w="860"/>
        <w:gridCol w:w="860"/>
        <w:gridCol w:w="900"/>
        <w:gridCol w:w="598"/>
      </w:tblGrid>
      <w:tr>
        <w:trPr>
          <w:trHeight w:val="361" w:hRule="exact"/>
        </w:trPr>
        <w:tc>
          <w:tcPr>
            <w:tcW w:w="814" w:type="dxa"/>
            <w:tcBorders>
              <w:top w:val="nil"/>
              <w:bottom w:val="nil"/>
            </w:tcBorders>
            <w:shd w:val="clear" w:color="auto" w:fill="386AB3"/>
          </w:tcPr>
          <w:p>
            <w:pPr/>
          </w:p>
        </w:tc>
        <w:tc>
          <w:tcPr>
            <w:tcW w:w="797" w:type="dxa"/>
            <w:tcBorders>
              <w:top w:val="nil"/>
              <w:bottom w:val="nil"/>
            </w:tcBorders>
            <w:shd w:val="clear" w:color="auto" w:fill="386AB3"/>
          </w:tcPr>
          <w:p>
            <w:pPr/>
          </w:p>
        </w:tc>
        <w:tc>
          <w:tcPr>
            <w:tcW w:w="849" w:type="dxa"/>
            <w:tcBorders>
              <w:top w:val="nil"/>
              <w:bottom w:val="nil"/>
            </w:tcBorders>
            <w:shd w:val="clear" w:color="auto" w:fill="386AB3"/>
          </w:tcPr>
          <w:p>
            <w:pPr/>
          </w:p>
        </w:tc>
        <w:tc>
          <w:tcPr>
            <w:tcW w:w="849" w:type="dxa"/>
            <w:tcBorders>
              <w:top w:val="nil"/>
              <w:bottom w:val="nil"/>
            </w:tcBorders>
            <w:shd w:val="clear" w:color="auto" w:fill="386AB3"/>
          </w:tcPr>
          <w:p>
            <w:pPr/>
          </w:p>
        </w:tc>
        <w:tc>
          <w:tcPr>
            <w:tcW w:w="828" w:type="dxa"/>
            <w:tcBorders>
              <w:top w:val="nil"/>
              <w:bottom w:val="nil"/>
            </w:tcBorders>
          </w:tcPr>
          <w:p>
            <w:pPr/>
          </w:p>
        </w:tc>
        <w:tc>
          <w:tcPr>
            <w:tcW w:w="828" w:type="dxa"/>
            <w:tcBorders>
              <w:top w:val="nil"/>
              <w:bottom w:val="nil"/>
            </w:tcBorders>
          </w:tcPr>
          <w:p>
            <w:pPr/>
          </w:p>
        </w:tc>
        <w:tc>
          <w:tcPr>
            <w:tcW w:w="800" w:type="dxa"/>
            <w:tcBorders>
              <w:top w:val="nil"/>
              <w:bottom w:val="nil"/>
            </w:tcBorders>
          </w:tcPr>
          <w:p>
            <w:pPr/>
          </w:p>
        </w:tc>
        <w:tc>
          <w:tcPr>
            <w:tcW w:w="860" w:type="dxa"/>
            <w:tcBorders>
              <w:top w:val="nil"/>
              <w:bottom w:val="nil"/>
            </w:tcBorders>
          </w:tcPr>
          <w:p>
            <w:pPr/>
          </w:p>
        </w:tc>
        <w:tc>
          <w:tcPr>
            <w:tcW w:w="860" w:type="dxa"/>
            <w:tcBorders>
              <w:top w:val="nil"/>
              <w:bottom w:val="nil"/>
            </w:tcBorders>
          </w:tcPr>
          <w:p>
            <w:pPr>
              <w:pStyle w:val="TableParagraph"/>
              <w:spacing w:before="135"/>
              <w:ind w:left="143" w:right="145"/>
              <w:jc w:val="center"/>
              <w:rPr>
                <w:sz w:val="15"/>
              </w:rPr>
            </w:pPr>
            <w:r>
              <w:rPr>
                <w:color w:val="FFFFFF"/>
                <w:sz w:val="15"/>
              </w:rPr>
              <w:t>183</w:t>
            </w:r>
          </w:p>
        </w:tc>
        <w:tc>
          <w:tcPr>
            <w:tcW w:w="900" w:type="dxa"/>
            <w:tcBorders>
              <w:top w:val="nil"/>
              <w:bottom w:val="nil"/>
            </w:tcBorders>
          </w:tcPr>
          <w:p>
            <w:pPr>
              <w:pStyle w:val="TableParagraph"/>
              <w:spacing w:before="55"/>
              <w:ind w:left="107" w:right="120"/>
              <w:jc w:val="center"/>
              <w:rPr>
                <w:sz w:val="15"/>
              </w:rPr>
            </w:pPr>
            <w:r>
              <w:rPr>
                <w:color w:val="FFFFFF"/>
                <w:sz w:val="15"/>
              </w:rPr>
              <w:t>185</w:t>
            </w:r>
          </w:p>
        </w:tc>
        <w:tc>
          <w:tcPr>
            <w:tcW w:w="598" w:type="dxa"/>
            <w:tcBorders>
              <w:top w:val="nil"/>
              <w:bottom w:val="nil"/>
            </w:tcBorders>
            <w:shd w:val="clear" w:color="auto" w:fill="386AB3"/>
          </w:tcPr>
          <w:p>
            <w:pPr>
              <w:pStyle w:val="TableParagraph"/>
              <w:spacing w:line="184" w:lineRule="exact"/>
              <w:ind w:left="126"/>
              <w:rPr>
                <w:sz w:val="18"/>
              </w:rPr>
            </w:pPr>
            <w:r>
              <w:rPr>
                <w:color w:val="FFFFFF"/>
                <w:w w:val="95"/>
                <w:sz w:val="18"/>
              </w:rPr>
              <w:t>200</w:t>
            </w:r>
          </w:p>
        </w:tc>
      </w:tr>
      <w:tr>
        <w:trPr>
          <w:trHeight w:val="448" w:hRule="exact"/>
        </w:trPr>
        <w:tc>
          <w:tcPr>
            <w:tcW w:w="814" w:type="dxa"/>
            <w:tcBorders>
              <w:top w:val="nil"/>
              <w:bottom w:val="nil"/>
            </w:tcBorders>
            <w:shd w:val="clear" w:color="auto" w:fill="386AB3"/>
          </w:tcPr>
          <w:p>
            <w:pPr/>
          </w:p>
        </w:tc>
        <w:tc>
          <w:tcPr>
            <w:tcW w:w="797" w:type="dxa"/>
            <w:tcBorders>
              <w:top w:val="nil"/>
              <w:bottom w:val="nil"/>
            </w:tcBorders>
            <w:shd w:val="clear" w:color="auto" w:fill="386AB3"/>
          </w:tcPr>
          <w:p>
            <w:pPr/>
          </w:p>
        </w:tc>
        <w:tc>
          <w:tcPr>
            <w:tcW w:w="849" w:type="dxa"/>
            <w:tcBorders>
              <w:top w:val="nil"/>
              <w:bottom w:val="nil"/>
            </w:tcBorders>
            <w:shd w:val="clear" w:color="auto" w:fill="386AB3"/>
          </w:tcPr>
          <w:p>
            <w:pPr/>
          </w:p>
        </w:tc>
        <w:tc>
          <w:tcPr>
            <w:tcW w:w="849" w:type="dxa"/>
            <w:tcBorders>
              <w:top w:val="nil"/>
              <w:bottom w:val="nil"/>
            </w:tcBorders>
            <w:shd w:val="clear" w:color="auto" w:fill="386AB3"/>
          </w:tcPr>
          <w:p>
            <w:pPr/>
          </w:p>
        </w:tc>
        <w:tc>
          <w:tcPr>
            <w:tcW w:w="828" w:type="dxa"/>
            <w:tcBorders>
              <w:top w:val="nil"/>
              <w:bottom w:val="nil"/>
            </w:tcBorders>
          </w:tcPr>
          <w:p>
            <w:pPr/>
          </w:p>
        </w:tc>
        <w:tc>
          <w:tcPr>
            <w:tcW w:w="828" w:type="dxa"/>
            <w:tcBorders>
              <w:top w:val="nil"/>
              <w:bottom w:val="nil"/>
            </w:tcBorders>
          </w:tcPr>
          <w:p>
            <w:pPr/>
          </w:p>
        </w:tc>
        <w:tc>
          <w:tcPr>
            <w:tcW w:w="800" w:type="dxa"/>
            <w:tcBorders>
              <w:top w:val="nil"/>
              <w:bottom w:val="nil"/>
            </w:tcBorders>
          </w:tcPr>
          <w:p>
            <w:pPr/>
          </w:p>
        </w:tc>
        <w:tc>
          <w:tcPr>
            <w:tcW w:w="860" w:type="dxa"/>
            <w:tcBorders>
              <w:top w:val="nil"/>
              <w:bottom w:val="nil"/>
            </w:tcBorders>
          </w:tcPr>
          <w:p>
            <w:pPr>
              <w:pStyle w:val="TableParagraph"/>
              <w:spacing w:before="10"/>
              <w:rPr>
                <w:sz w:val="20"/>
              </w:rPr>
            </w:pPr>
          </w:p>
          <w:p>
            <w:pPr>
              <w:pStyle w:val="TableParagraph"/>
              <w:ind w:left="143" w:right="136"/>
              <w:jc w:val="center"/>
              <w:rPr>
                <w:sz w:val="15"/>
              </w:rPr>
            </w:pPr>
            <w:r>
              <w:rPr>
                <w:color w:val="FFFFFF"/>
                <w:sz w:val="15"/>
              </w:rPr>
              <w:t>161</w:t>
            </w:r>
          </w:p>
        </w:tc>
        <w:tc>
          <w:tcPr>
            <w:tcW w:w="860" w:type="dxa"/>
            <w:tcBorders>
              <w:top w:val="nil"/>
              <w:bottom w:val="nil"/>
            </w:tcBorders>
          </w:tcPr>
          <w:p>
            <w:pPr/>
          </w:p>
        </w:tc>
        <w:tc>
          <w:tcPr>
            <w:tcW w:w="900" w:type="dxa"/>
            <w:tcBorders>
              <w:top w:val="nil"/>
              <w:bottom w:val="nil"/>
            </w:tcBorders>
          </w:tcPr>
          <w:p>
            <w:pPr/>
          </w:p>
        </w:tc>
        <w:tc>
          <w:tcPr>
            <w:tcW w:w="598" w:type="dxa"/>
            <w:tcBorders>
              <w:top w:val="nil"/>
              <w:bottom w:val="nil"/>
            </w:tcBorders>
            <w:shd w:val="clear" w:color="auto" w:fill="386AB3"/>
          </w:tcPr>
          <w:p>
            <w:pPr>
              <w:pStyle w:val="TableParagraph"/>
              <w:spacing w:before="55"/>
              <w:ind w:left="136"/>
              <w:rPr>
                <w:sz w:val="18"/>
              </w:rPr>
            </w:pPr>
            <w:r>
              <w:rPr>
                <w:color w:val="FFFFFF"/>
                <w:w w:val="95"/>
                <w:sz w:val="18"/>
              </w:rPr>
              <w:t>175</w:t>
            </w:r>
          </w:p>
        </w:tc>
      </w:tr>
      <w:tr>
        <w:trPr>
          <w:trHeight w:val="882" w:hRule="exact"/>
        </w:trPr>
        <w:tc>
          <w:tcPr>
            <w:tcW w:w="814" w:type="dxa"/>
            <w:tcBorders>
              <w:top w:val="nil"/>
              <w:bottom w:val="nil"/>
            </w:tcBorders>
            <w:shd w:val="clear" w:color="auto" w:fill="386AB3"/>
          </w:tcPr>
          <w:p>
            <w:pPr/>
          </w:p>
        </w:tc>
        <w:tc>
          <w:tcPr>
            <w:tcW w:w="797" w:type="dxa"/>
            <w:tcBorders>
              <w:top w:val="nil"/>
              <w:bottom w:val="nil"/>
            </w:tcBorders>
            <w:shd w:val="clear" w:color="auto" w:fill="386AB3"/>
          </w:tcPr>
          <w:p>
            <w:pPr/>
          </w:p>
        </w:tc>
        <w:tc>
          <w:tcPr>
            <w:tcW w:w="849" w:type="dxa"/>
            <w:tcBorders>
              <w:top w:val="nil"/>
              <w:bottom w:val="nil"/>
            </w:tcBorders>
            <w:shd w:val="clear" w:color="auto" w:fill="386AB3"/>
          </w:tcPr>
          <w:p>
            <w:pPr>
              <w:pStyle w:val="TableParagraph"/>
              <w:rPr>
                <w:sz w:val="18"/>
              </w:rPr>
            </w:pPr>
          </w:p>
          <w:p>
            <w:pPr>
              <w:pStyle w:val="TableParagraph"/>
              <w:rPr>
                <w:sz w:val="18"/>
              </w:rPr>
            </w:pPr>
          </w:p>
          <w:p>
            <w:pPr>
              <w:pStyle w:val="TableParagraph"/>
              <w:spacing w:before="9"/>
              <w:rPr>
                <w:sz w:val="23"/>
              </w:rPr>
            </w:pPr>
          </w:p>
          <w:p>
            <w:pPr>
              <w:pStyle w:val="TableParagraph"/>
              <w:ind w:left="52" w:right="25"/>
              <w:jc w:val="center"/>
              <w:rPr>
                <w:sz w:val="15"/>
              </w:rPr>
            </w:pPr>
            <w:r>
              <w:rPr>
                <w:color w:val="FFFFFF"/>
                <w:sz w:val="15"/>
              </w:rPr>
              <w:t>114</w:t>
            </w:r>
          </w:p>
        </w:tc>
        <w:tc>
          <w:tcPr>
            <w:tcW w:w="849" w:type="dxa"/>
            <w:tcBorders>
              <w:top w:val="nil"/>
              <w:bottom w:val="nil"/>
            </w:tcBorders>
            <w:shd w:val="clear" w:color="auto" w:fill="386AB3"/>
          </w:tcPr>
          <w:p>
            <w:pPr>
              <w:pStyle w:val="TableParagraph"/>
              <w:rPr>
                <w:sz w:val="18"/>
              </w:rPr>
            </w:pPr>
          </w:p>
          <w:p>
            <w:pPr>
              <w:pStyle w:val="TableParagraph"/>
              <w:spacing w:before="5"/>
              <w:rPr>
                <w:sz w:val="25"/>
              </w:rPr>
            </w:pPr>
          </w:p>
          <w:p>
            <w:pPr>
              <w:pStyle w:val="TableParagraph"/>
              <w:ind w:left="132" w:right="130"/>
              <w:jc w:val="center"/>
              <w:rPr>
                <w:sz w:val="15"/>
              </w:rPr>
            </w:pPr>
            <w:r>
              <w:rPr>
                <w:color w:val="FFFFFF"/>
                <w:sz w:val="15"/>
              </w:rPr>
              <w:t>122</w:t>
            </w:r>
          </w:p>
        </w:tc>
        <w:tc>
          <w:tcPr>
            <w:tcW w:w="828" w:type="dxa"/>
            <w:tcBorders>
              <w:top w:val="nil"/>
              <w:bottom w:val="nil"/>
            </w:tcBorders>
          </w:tcPr>
          <w:p>
            <w:pPr>
              <w:pStyle w:val="TableParagraph"/>
              <w:rPr>
                <w:sz w:val="18"/>
              </w:rPr>
            </w:pPr>
          </w:p>
          <w:p>
            <w:pPr>
              <w:pStyle w:val="TableParagraph"/>
              <w:spacing w:before="127"/>
              <w:ind w:left="19" w:right="33"/>
              <w:jc w:val="center"/>
              <w:rPr>
                <w:sz w:val="15"/>
              </w:rPr>
            </w:pPr>
            <w:r>
              <w:rPr>
                <w:color w:val="FFFFFF"/>
                <w:sz w:val="15"/>
              </w:rPr>
              <w:t>130</w:t>
            </w:r>
          </w:p>
        </w:tc>
        <w:tc>
          <w:tcPr>
            <w:tcW w:w="828" w:type="dxa"/>
            <w:tcBorders>
              <w:top w:val="nil"/>
              <w:bottom w:val="nil"/>
            </w:tcBorders>
          </w:tcPr>
          <w:p>
            <w:pPr>
              <w:pStyle w:val="TableParagraph"/>
              <w:spacing w:before="3"/>
              <w:rPr>
                <w:sz w:val="17"/>
              </w:rPr>
            </w:pPr>
          </w:p>
          <w:p>
            <w:pPr>
              <w:pStyle w:val="TableParagraph"/>
              <w:spacing w:before="1"/>
              <w:ind w:left="265" w:right="263"/>
              <w:jc w:val="center"/>
              <w:rPr>
                <w:sz w:val="15"/>
              </w:rPr>
            </w:pPr>
            <w:r>
              <w:rPr>
                <w:color w:val="FFFFFF"/>
                <w:sz w:val="15"/>
              </w:rPr>
              <w:t>134</w:t>
            </w:r>
          </w:p>
        </w:tc>
        <w:tc>
          <w:tcPr>
            <w:tcW w:w="800" w:type="dxa"/>
            <w:tcBorders>
              <w:top w:val="nil"/>
              <w:bottom w:val="nil"/>
            </w:tcBorders>
          </w:tcPr>
          <w:p>
            <w:pPr>
              <w:pStyle w:val="TableParagraph"/>
              <w:spacing w:before="101"/>
              <w:ind w:left="245" w:right="253"/>
              <w:jc w:val="center"/>
              <w:rPr>
                <w:sz w:val="15"/>
              </w:rPr>
            </w:pPr>
            <w:r>
              <w:rPr>
                <w:color w:val="FFFFFF"/>
                <w:sz w:val="15"/>
              </w:rPr>
              <w:t>143</w:t>
            </w:r>
          </w:p>
        </w:tc>
        <w:tc>
          <w:tcPr>
            <w:tcW w:w="860" w:type="dxa"/>
            <w:tcBorders>
              <w:top w:val="nil"/>
              <w:bottom w:val="nil"/>
            </w:tcBorders>
          </w:tcPr>
          <w:p>
            <w:pPr/>
          </w:p>
        </w:tc>
        <w:tc>
          <w:tcPr>
            <w:tcW w:w="860" w:type="dxa"/>
            <w:tcBorders>
              <w:top w:val="nil"/>
              <w:bottom w:val="nil"/>
            </w:tcBorders>
          </w:tcPr>
          <w:p>
            <w:pPr/>
          </w:p>
        </w:tc>
        <w:tc>
          <w:tcPr>
            <w:tcW w:w="900" w:type="dxa"/>
            <w:tcBorders>
              <w:top w:val="nil"/>
              <w:bottom w:val="nil"/>
            </w:tcBorders>
          </w:tcPr>
          <w:p>
            <w:pPr/>
          </w:p>
        </w:tc>
        <w:tc>
          <w:tcPr>
            <w:tcW w:w="598" w:type="dxa"/>
            <w:tcBorders>
              <w:top w:val="nil"/>
              <w:bottom w:val="nil"/>
            </w:tcBorders>
            <w:shd w:val="clear" w:color="auto" w:fill="386AB3"/>
          </w:tcPr>
          <w:p>
            <w:pPr>
              <w:pStyle w:val="TableParagraph"/>
              <w:spacing w:before="36"/>
              <w:ind w:left="136"/>
              <w:rPr>
                <w:sz w:val="18"/>
              </w:rPr>
            </w:pPr>
            <w:r>
              <w:rPr>
                <w:color w:val="FFFFFF"/>
                <w:w w:val="95"/>
                <w:sz w:val="18"/>
              </w:rPr>
              <w:t>150</w:t>
            </w:r>
          </w:p>
          <w:p>
            <w:pPr>
              <w:pStyle w:val="TableParagraph"/>
              <w:rPr>
                <w:sz w:val="21"/>
              </w:rPr>
            </w:pPr>
          </w:p>
          <w:p>
            <w:pPr>
              <w:pStyle w:val="TableParagraph"/>
              <w:ind w:left="136"/>
              <w:rPr>
                <w:sz w:val="18"/>
              </w:rPr>
            </w:pPr>
            <w:r>
              <w:rPr>
                <w:color w:val="FFFFFF"/>
                <w:w w:val="95"/>
                <w:sz w:val="18"/>
              </w:rPr>
              <w:t>125</w:t>
            </w:r>
          </w:p>
        </w:tc>
      </w:tr>
      <w:tr>
        <w:trPr>
          <w:trHeight w:val="230" w:hRule="exact"/>
        </w:trPr>
        <w:tc>
          <w:tcPr>
            <w:tcW w:w="814" w:type="dxa"/>
            <w:tcBorders>
              <w:top w:val="nil"/>
              <w:bottom w:val="nil"/>
            </w:tcBorders>
            <w:shd w:val="clear" w:color="auto" w:fill="386AB3"/>
          </w:tcPr>
          <w:p>
            <w:pPr/>
          </w:p>
        </w:tc>
        <w:tc>
          <w:tcPr>
            <w:tcW w:w="797" w:type="dxa"/>
            <w:tcBorders>
              <w:top w:val="nil"/>
              <w:bottom w:val="nil"/>
            </w:tcBorders>
            <w:shd w:val="clear" w:color="auto" w:fill="386AB3"/>
          </w:tcPr>
          <w:p>
            <w:pPr/>
          </w:p>
        </w:tc>
        <w:tc>
          <w:tcPr>
            <w:tcW w:w="849" w:type="dxa"/>
            <w:tcBorders>
              <w:top w:val="nil"/>
              <w:bottom w:val="nil"/>
            </w:tcBorders>
            <w:shd w:val="clear" w:color="auto" w:fill="386AB3"/>
          </w:tcPr>
          <w:p>
            <w:pPr/>
          </w:p>
        </w:tc>
        <w:tc>
          <w:tcPr>
            <w:tcW w:w="849" w:type="dxa"/>
            <w:tcBorders>
              <w:top w:val="nil"/>
              <w:bottom w:val="nil"/>
            </w:tcBorders>
            <w:shd w:val="clear" w:color="auto" w:fill="386AB3"/>
          </w:tcPr>
          <w:p>
            <w:pPr/>
          </w:p>
        </w:tc>
        <w:tc>
          <w:tcPr>
            <w:tcW w:w="828" w:type="dxa"/>
            <w:tcBorders>
              <w:top w:val="nil"/>
              <w:bottom w:val="nil"/>
            </w:tcBorders>
          </w:tcPr>
          <w:p>
            <w:pPr/>
          </w:p>
        </w:tc>
        <w:tc>
          <w:tcPr>
            <w:tcW w:w="828" w:type="dxa"/>
            <w:tcBorders>
              <w:top w:val="nil"/>
              <w:bottom w:val="nil"/>
            </w:tcBorders>
          </w:tcPr>
          <w:p>
            <w:pPr/>
          </w:p>
        </w:tc>
        <w:tc>
          <w:tcPr>
            <w:tcW w:w="800" w:type="dxa"/>
            <w:tcBorders>
              <w:top w:val="nil"/>
              <w:bottom w:val="nil"/>
            </w:tcBorders>
          </w:tcPr>
          <w:p>
            <w:pPr/>
          </w:p>
        </w:tc>
        <w:tc>
          <w:tcPr>
            <w:tcW w:w="860" w:type="dxa"/>
            <w:tcBorders>
              <w:top w:val="nil"/>
              <w:bottom w:val="nil"/>
            </w:tcBorders>
          </w:tcPr>
          <w:p>
            <w:pPr/>
          </w:p>
        </w:tc>
        <w:tc>
          <w:tcPr>
            <w:tcW w:w="860" w:type="dxa"/>
            <w:tcBorders>
              <w:top w:val="nil"/>
              <w:bottom w:val="nil"/>
            </w:tcBorders>
          </w:tcPr>
          <w:p>
            <w:pPr/>
          </w:p>
        </w:tc>
        <w:tc>
          <w:tcPr>
            <w:tcW w:w="900" w:type="dxa"/>
            <w:tcBorders>
              <w:top w:val="nil"/>
              <w:bottom w:val="nil"/>
            </w:tcBorders>
          </w:tcPr>
          <w:p>
            <w:pPr/>
          </w:p>
        </w:tc>
        <w:tc>
          <w:tcPr>
            <w:tcW w:w="598" w:type="dxa"/>
            <w:tcBorders>
              <w:top w:val="nil"/>
              <w:bottom w:val="nil"/>
            </w:tcBorders>
            <w:shd w:val="clear" w:color="auto" w:fill="386AB3"/>
          </w:tcPr>
          <w:p>
            <w:pPr>
              <w:pStyle w:val="TableParagraph"/>
              <w:spacing w:before="23"/>
              <w:ind w:left="136"/>
              <w:rPr>
                <w:sz w:val="18"/>
              </w:rPr>
            </w:pPr>
            <w:r>
              <w:rPr>
                <w:color w:val="FFFFFF"/>
                <w:w w:val="95"/>
                <w:sz w:val="18"/>
              </w:rPr>
              <w:t>100</w:t>
            </w:r>
          </w:p>
        </w:tc>
      </w:tr>
      <w:tr>
        <w:trPr>
          <w:trHeight w:val="557" w:hRule="exact"/>
        </w:trPr>
        <w:tc>
          <w:tcPr>
            <w:tcW w:w="814" w:type="dxa"/>
            <w:tcBorders>
              <w:top w:val="nil"/>
              <w:bottom w:val="nil"/>
            </w:tcBorders>
            <w:shd w:val="clear" w:color="auto" w:fill="386AB3"/>
          </w:tcPr>
          <w:p>
            <w:pPr>
              <w:pStyle w:val="TableParagraph"/>
              <w:spacing w:before="82"/>
              <w:ind w:left="84" w:right="81"/>
              <w:jc w:val="center"/>
              <w:rPr>
                <w:sz w:val="15"/>
              </w:rPr>
            </w:pPr>
            <w:r>
              <w:rPr>
                <w:color w:val="FFFFFF"/>
                <w:sz w:val="15"/>
              </w:rPr>
              <w:t>83</w:t>
            </w:r>
          </w:p>
        </w:tc>
        <w:tc>
          <w:tcPr>
            <w:tcW w:w="797" w:type="dxa"/>
            <w:tcBorders>
              <w:top w:val="nil"/>
              <w:bottom w:val="nil"/>
            </w:tcBorders>
            <w:shd w:val="clear" w:color="auto" w:fill="386AB3"/>
          </w:tcPr>
          <w:p>
            <w:pPr>
              <w:pStyle w:val="TableParagraph"/>
              <w:spacing w:before="4"/>
              <w:ind w:left="75" w:right="75"/>
              <w:jc w:val="center"/>
              <w:rPr>
                <w:sz w:val="15"/>
              </w:rPr>
            </w:pPr>
            <w:r>
              <w:rPr>
                <w:color w:val="FFFFFF"/>
                <w:sz w:val="15"/>
              </w:rPr>
              <w:t>86</w:t>
            </w:r>
          </w:p>
        </w:tc>
        <w:tc>
          <w:tcPr>
            <w:tcW w:w="849" w:type="dxa"/>
            <w:tcBorders>
              <w:top w:val="nil"/>
              <w:bottom w:val="nil"/>
            </w:tcBorders>
            <w:shd w:val="clear" w:color="auto" w:fill="386AB3"/>
          </w:tcPr>
          <w:p>
            <w:pPr/>
          </w:p>
        </w:tc>
        <w:tc>
          <w:tcPr>
            <w:tcW w:w="849" w:type="dxa"/>
            <w:tcBorders>
              <w:top w:val="nil"/>
              <w:bottom w:val="nil"/>
            </w:tcBorders>
            <w:shd w:val="clear" w:color="auto" w:fill="386AB3"/>
          </w:tcPr>
          <w:p>
            <w:pPr/>
          </w:p>
        </w:tc>
        <w:tc>
          <w:tcPr>
            <w:tcW w:w="828" w:type="dxa"/>
            <w:tcBorders>
              <w:top w:val="nil"/>
              <w:bottom w:val="nil"/>
            </w:tcBorders>
          </w:tcPr>
          <w:p>
            <w:pPr/>
          </w:p>
        </w:tc>
        <w:tc>
          <w:tcPr>
            <w:tcW w:w="828" w:type="dxa"/>
            <w:tcBorders>
              <w:top w:val="nil"/>
              <w:bottom w:val="nil"/>
            </w:tcBorders>
          </w:tcPr>
          <w:p>
            <w:pPr/>
          </w:p>
        </w:tc>
        <w:tc>
          <w:tcPr>
            <w:tcW w:w="800" w:type="dxa"/>
            <w:tcBorders>
              <w:top w:val="nil"/>
              <w:bottom w:val="nil"/>
            </w:tcBorders>
          </w:tcPr>
          <w:p>
            <w:pPr/>
          </w:p>
        </w:tc>
        <w:tc>
          <w:tcPr>
            <w:tcW w:w="860" w:type="dxa"/>
            <w:tcBorders>
              <w:top w:val="nil"/>
              <w:bottom w:val="nil"/>
            </w:tcBorders>
          </w:tcPr>
          <w:p>
            <w:pPr/>
          </w:p>
        </w:tc>
        <w:tc>
          <w:tcPr>
            <w:tcW w:w="860" w:type="dxa"/>
            <w:tcBorders>
              <w:top w:val="nil"/>
              <w:bottom w:val="nil"/>
            </w:tcBorders>
          </w:tcPr>
          <w:p>
            <w:pPr/>
          </w:p>
        </w:tc>
        <w:tc>
          <w:tcPr>
            <w:tcW w:w="900" w:type="dxa"/>
            <w:tcBorders>
              <w:top w:val="nil"/>
              <w:bottom w:val="nil"/>
            </w:tcBorders>
          </w:tcPr>
          <w:p>
            <w:pPr/>
          </w:p>
        </w:tc>
        <w:tc>
          <w:tcPr>
            <w:tcW w:w="598" w:type="dxa"/>
            <w:tcBorders>
              <w:top w:val="nil"/>
              <w:bottom w:val="nil"/>
            </w:tcBorders>
            <w:shd w:val="clear" w:color="auto" w:fill="386AB3"/>
          </w:tcPr>
          <w:p>
            <w:pPr>
              <w:pStyle w:val="TableParagraph"/>
              <w:spacing w:before="2"/>
              <w:rPr>
                <w:sz w:val="20"/>
              </w:rPr>
            </w:pPr>
          </w:p>
          <w:p>
            <w:pPr>
              <w:pStyle w:val="TableParagraph"/>
              <w:ind w:left="136"/>
              <w:rPr>
                <w:sz w:val="18"/>
              </w:rPr>
            </w:pPr>
            <w:r>
              <w:rPr>
                <w:color w:val="FFFFFF"/>
                <w:w w:val="95"/>
                <w:sz w:val="18"/>
              </w:rPr>
              <w:t>75</w:t>
            </w:r>
          </w:p>
        </w:tc>
      </w:tr>
      <w:tr>
        <w:trPr>
          <w:trHeight w:val="458" w:hRule="exact"/>
        </w:trPr>
        <w:tc>
          <w:tcPr>
            <w:tcW w:w="814" w:type="dxa"/>
            <w:tcBorders>
              <w:top w:val="nil"/>
            </w:tcBorders>
            <w:shd w:val="clear" w:color="auto" w:fill="386AB3"/>
          </w:tcPr>
          <w:p>
            <w:pPr/>
          </w:p>
        </w:tc>
        <w:tc>
          <w:tcPr>
            <w:tcW w:w="797" w:type="dxa"/>
            <w:tcBorders>
              <w:top w:val="nil"/>
            </w:tcBorders>
            <w:shd w:val="clear" w:color="auto" w:fill="386AB3"/>
          </w:tcPr>
          <w:p>
            <w:pPr/>
          </w:p>
        </w:tc>
        <w:tc>
          <w:tcPr>
            <w:tcW w:w="849" w:type="dxa"/>
            <w:tcBorders>
              <w:top w:val="nil"/>
            </w:tcBorders>
            <w:shd w:val="clear" w:color="auto" w:fill="386AB3"/>
          </w:tcPr>
          <w:p>
            <w:pPr/>
          </w:p>
        </w:tc>
        <w:tc>
          <w:tcPr>
            <w:tcW w:w="849" w:type="dxa"/>
            <w:tcBorders>
              <w:top w:val="nil"/>
            </w:tcBorders>
            <w:shd w:val="clear" w:color="auto" w:fill="386AB3"/>
          </w:tcPr>
          <w:p>
            <w:pPr/>
          </w:p>
        </w:tc>
        <w:tc>
          <w:tcPr>
            <w:tcW w:w="828" w:type="dxa"/>
            <w:tcBorders>
              <w:top w:val="nil"/>
            </w:tcBorders>
          </w:tcPr>
          <w:p>
            <w:pPr/>
          </w:p>
        </w:tc>
        <w:tc>
          <w:tcPr>
            <w:tcW w:w="828" w:type="dxa"/>
            <w:tcBorders>
              <w:top w:val="nil"/>
            </w:tcBorders>
          </w:tcPr>
          <w:p>
            <w:pPr/>
          </w:p>
        </w:tc>
        <w:tc>
          <w:tcPr>
            <w:tcW w:w="800" w:type="dxa"/>
            <w:tcBorders>
              <w:top w:val="nil"/>
            </w:tcBorders>
          </w:tcPr>
          <w:p>
            <w:pPr/>
          </w:p>
        </w:tc>
        <w:tc>
          <w:tcPr>
            <w:tcW w:w="860" w:type="dxa"/>
            <w:tcBorders>
              <w:top w:val="nil"/>
            </w:tcBorders>
          </w:tcPr>
          <w:p>
            <w:pPr/>
          </w:p>
        </w:tc>
        <w:tc>
          <w:tcPr>
            <w:tcW w:w="860" w:type="dxa"/>
            <w:tcBorders>
              <w:top w:val="nil"/>
            </w:tcBorders>
          </w:tcPr>
          <w:p>
            <w:pPr/>
          </w:p>
        </w:tc>
        <w:tc>
          <w:tcPr>
            <w:tcW w:w="900" w:type="dxa"/>
            <w:tcBorders>
              <w:top w:val="nil"/>
            </w:tcBorders>
          </w:tcPr>
          <w:p>
            <w:pPr/>
          </w:p>
        </w:tc>
        <w:tc>
          <w:tcPr>
            <w:tcW w:w="598" w:type="dxa"/>
            <w:tcBorders>
              <w:top w:val="nil"/>
            </w:tcBorders>
            <w:shd w:val="clear" w:color="auto" w:fill="386AB3"/>
          </w:tcPr>
          <w:p>
            <w:pPr>
              <w:pStyle w:val="TableParagraph"/>
              <w:spacing w:before="119"/>
              <w:ind w:left="136"/>
              <w:rPr>
                <w:sz w:val="18"/>
              </w:rPr>
            </w:pPr>
            <w:r>
              <w:rPr>
                <w:color w:val="FFFFFF"/>
                <w:w w:val="95"/>
                <w:sz w:val="18"/>
              </w:rPr>
              <w:t>50</w:t>
            </w:r>
          </w:p>
        </w:tc>
      </w:tr>
      <w:tr>
        <w:trPr>
          <w:trHeight w:val="506" w:hRule="exact"/>
        </w:trPr>
        <w:tc>
          <w:tcPr>
            <w:tcW w:w="814" w:type="dxa"/>
            <w:shd w:val="clear" w:color="auto" w:fill="002D6A"/>
          </w:tcPr>
          <w:p>
            <w:pPr>
              <w:pStyle w:val="TableParagraph"/>
              <w:spacing w:before="2"/>
              <w:rPr>
                <w:sz w:val="14"/>
              </w:rPr>
            </w:pPr>
          </w:p>
          <w:p>
            <w:pPr>
              <w:pStyle w:val="TableParagraph"/>
              <w:ind w:left="84" w:right="84"/>
              <w:jc w:val="center"/>
              <w:rPr>
                <w:sz w:val="15"/>
              </w:rPr>
            </w:pPr>
            <w:r>
              <w:rPr>
                <w:color w:val="FFFFFF"/>
                <w:w w:val="85"/>
                <w:sz w:val="15"/>
              </w:rPr>
              <w:t>San Diego</w:t>
            </w:r>
          </w:p>
        </w:tc>
        <w:tc>
          <w:tcPr>
            <w:tcW w:w="797" w:type="dxa"/>
            <w:shd w:val="clear" w:color="auto" w:fill="002D6A"/>
          </w:tcPr>
          <w:p>
            <w:pPr>
              <w:pStyle w:val="TableParagraph"/>
              <w:spacing w:before="8"/>
              <w:rPr>
                <w:sz w:val="14"/>
              </w:rPr>
            </w:pPr>
          </w:p>
          <w:p>
            <w:pPr>
              <w:pStyle w:val="TableParagraph"/>
              <w:ind w:left="75" w:right="93"/>
              <w:jc w:val="center"/>
              <w:rPr>
                <w:sz w:val="15"/>
              </w:rPr>
            </w:pPr>
            <w:r>
              <w:rPr>
                <w:color w:val="FFFFFF"/>
                <w:w w:val="95"/>
                <w:sz w:val="15"/>
              </w:rPr>
              <w:t>Nashville</w:t>
            </w:r>
          </w:p>
        </w:tc>
        <w:tc>
          <w:tcPr>
            <w:tcW w:w="849" w:type="dxa"/>
            <w:shd w:val="clear" w:color="auto" w:fill="002D6A"/>
          </w:tcPr>
          <w:p>
            <w:pPr>
              <w:pStyle w:val="TableParagraph"/>
              <w:spacing w:before="10"/>
              <w:rPr>
                <w:sz w:val="14"/>
              </w:rPr>
            </w:pPr>
          </w:p>
          <w:p>
            <w:pPr>
              <w:pStyle w:val="TableParagraph"/>
              <w:ind w:left="52" w:right="45"/>
              <w:jc w:val="center"/>
              <w:rPr>
                <w:sz w:val="15"/>
              </w:rPr>
            </w:pPr>
            <w:r>
              <w:rPr>
                <w:color w:val="FFFFFF"/>
                <w:w w:val="85"/>
                <w:sz w:val="15"/>
              </w:rPr>
              <w:t>Los Angeles</w:t>
            </w:r>
          </w:p>
        </w:tc>
        <w:tc>
          <w:tcPr>
            <w:tcW w:w="849" w:type="dxa"/>
            <w:shd w:val="clear" w:color="auto" w:fill="002D6A"/>
          </w:tcPr>
          <w:p>
            <w:pPr>
              <w:pStyle w:val="TableParagraph"/>
              <w:spacing w:before="10"/>
              <w:rPr>
                <w:sz w:val="14"/>
              </w:rPr>
            </w:pPr>
          </w:p>
          <w:p>
            <w:pPr>
              <w:pStyle w:val="TableParagraph"/>
              <w:ind w:left="138" w:right="130"/>
              <w:jc w:val="center"/>
              <w:rPr>
                <w:sz w:val="15"/>
              </w:rPr>
            </w:pPr>
            <w:r>
              <w:rPr>
                <w:color w:val="FFFFFF"/>
                <w:w w:val="95"/>
                <w:sz w:val="15"/>
              </w:rPr>
              <w:t>Oakland</w:t>
            </w:r>
          </w:p>
        </w:tc>
        <w:tc>
          <w:tcPr>
            <w:tcW w:w="828" w:type="dxa"/>
            <w:shd w:val="clear" w:color="auto" w:fill="002D6A"/>
          </w:tcPr>
          <w:p>
            <w:pPr>
              <w:pStyle w:val="TableParagraph"/>
              <w:spacing w:before="2"/>
              <w:rPr>
                <w:sz w:val="14"/>
              </w:rPr>
            </w:pPr>
          </w:p>
          <w:p>
            <w:pPr>
              <w:pStyle w:val="TableParagraph"/>
              <w:ind w:left="39" w:right="33"/>
              <w:jc w:val="center"/>
              <w:rPr>
                <w:sz w:val="15"/>
              </w:rPr>
            </w:pPr>
            <w:r>
              <w:rPr>
                <w:color w:val="FFFFFF"/>
                <w:w w:val="90"/>
                <w:sz w:val="15"/>
              </w:rPr>
              <w:t>Dallas Love</w:t>
            </w:r>
          </w:p>
        </w:tc>
        <w:tc>
          <w:tcPr>
            <w:tcW w:w="828" w:type="dxa"/>
            <w:shd w:val="clear" w:color="auto" w:fill="002D6A"/>
          </w:tcPr>
          <w:p>
            <w:pPr>
              <w:pStyle w:val="TableParagraph"/>
              <w:spacing w:line="164" w:lineRule="exact" w:before="87"/>
              <w:ind w:left="171" w:hanging="9"/>
              <w:rPr>
                <w:sz w:val="15"/>
              </w:rPr>
            </w:pPr>
            <w:r>
              <w:rPr>
                <w:color w:val="FFFFFF"/>
                <w:w w:val="85"/>
                <w:sz w:val="15"/>
              </w:rPr>
              <w:t>Chicago </w:t>
            </w:r>
            <w:r>
              <w:rPr>
                <w:color w:val="FFFFFF"/>
                <w:w w:val="90"/>
                <w:sz w:val="15"/>
              </w:rPr>
              <w:t>Midway</w:t>
            </w:r>
          </w:p>
        </w:tc>
        <w:tc>
          <w:tcPr>
            <w:tcW w:w="800" w:type="dxa"/>
            <w:shd w:val="clear" w:color="auto" w:fill="002D6A"/>
          </w:tcPr>
          <w:p>
            <w:pPr>
              <w:pStyle w:val="TableParagraph"/>
              <w:spacing w:line="164" w:lineRule="exact" w:before="102"/>
              <w:ind w:left="181" w:hanging="63"/>
              <w:rPr>
                <w:sz w:val="15"/>
              </w:rPr>
            </w:pPr>
            <w:r>
              <w:rPr>
                <w:color w:val="FFFFFF"/>
                <w:w w:val="85"/>
                <w:sz w:val="15"/>
              </w:rPr>
              <w:t>Houston </w:t>
            </w:r>
            <w:r>
              <w:rPr>
                <w:color w:val="FFFFFF"/>
                <w:w w:val="95"/>
                <w:sz w:val="15"/>
              </w:rPr>
              <w:t>Hobby</w:t>
            </w:r>
          </w:p>
        </w:tc>
        <w:tc>
          <w:tcPr>
            <w:tcW w:w="860" w:type="dxa"/>
            <w:shd w:val="clear" w:color="auto" w:fill="002D6A"/>
          </w:tcPr>
          <w:p>
            <w:pPr>
              <w:pStyle w:val="TableParagraph"/>
              <w:spacing w:line="164" w:lineRule="exact" w:before="94"/>
              <w:ind w:left="55" w:firstLine="39"/>
              <w:rPr>
                <w:sz w:val="15"/>
              </w:rPr>
            </w:pPr>
            <w:r>
              <w:rPr>
                <w:color w:val="FFFFFF"/>
                <w:w w:val="95"/>
                <w:sz w:val="15"/>
              </w:rPr>
              <w:t>Baltimore/ </w:t>
            </w:r>
            <w:r>
              <w:rPr>
                <w:color w:val="FFFFFF"/>
                <w:w w:val="85"/>
                <w:sz w:val="15"/>
              </w:rPr>
              <w:t>Washington</w:t>
            </w:r>
          </w:p>
        </w:tc>
        <w:tc>
          <w:tcPr>
            <w:tcW w:w="860" w:type="dxa"/>
            <w:shd w:val="clear" w:color="auto" w:fill="002D6A"/>
          </w:tcPr>
          <w:p>
            <w:pPr>
              <w:pStyle w:val="TableParagraph"/>
              <w:rPr>
                <w:sz w:val="15"/>
              </w:rPr>
            </w:pPr>
          </w:p>
          <w:p>
            <w:pPr>
              <w:pStyle w:val="TableParagraph"/>
              <w:ind w:left="143" w:right="150"/>
              <w:jc w:val="center"/>
              <w:rPr>
                <w:sz w:val="15"/>
              </w:rPr>
            </w:pPr>
            <w:r>
              <w:rPr>
                <w:color w:val="FFFFFF"/>
                <w:w w:val="95"/>
                <w:sz w:val="15"/>
              </w:rPr>
              <w:t>Phoenix</w:t>
            </w:r>
          </w:p>
        </w:tc>
        <w:tc>
          <w:tcPr>
            <w:tcW w:w="900" w:type="dxa"/>
            <w:shd w:val="clear" w:color="auto" w:fill="002D6A"/>
          </w:tcPr>
          <w:p>
            <w:pPr>
              <w:pStyle w:val="TableParagraph"/>
              <w:spacing w:before="2"/>
              <w:rPr>
                <w:sz w:val="14"/>
              </w:rPr>
            </w:pPr>
          </w:p>
          <w:p>
            <w:pPr>
              <w:pStyle w:val="TableParagraph"/>
              <w:ind w:left="126" w:right="120"/>
              <w:jc w:val="center"/>
              <w:rPr>
                <w:sz w:val="15"/>
              </w:rPr>
            </w:pPr>
            <w:r>
              <w:rPr>
                <w:color w:val="FFFFFF"/>
                <w:w w:val="85"/>
                <w:sz w:val="15"/>
              </w:rPr>
              <w:t>Las Vegas</w:t>
            </w:r>
          </w:p>
        </w:tc>
        <w:tc>
          <w:tcPr>
            <w:tcW w:w="598" w:type="dxa"/>
            <w:tcBorders>
              <w:bottom w:val="nil"/>
              <w:right w:val="nil"/>
            </w:tcBorders>
            <w:shd w:val="clear" w:color="auto" w:fill="386AB3"/>
          </w:tcPr>
          <w:p>
            <w:pPr/>
          </w:p>
        </w:tc>
      </w:tr>
    </w:tbl>
    <w:p>
      <w:pPr>
        <w:pStyle w:val="BodyText"/>
        <w:spacing w:before="10"/>
        <w:rPr>
          <w:rFonts w:ascii="Arial"/>
          <w:sz w:val="6"/>
        </w:rPr>
      </w:pPr>
    </w:p>
    <w:p>
      <w:pPr>
        <w:spacing w:before="102"/>
        <w:ind w:left="520" w:right="0" w:firstLine="0"/>
        <w:jc w:val="left"/>
        <w:rPr>
          <w:rFonts w:ascii="Arial" w:hAnsi="Arial"/>
          <w:sz w:val="14"/>
        </w:rPr>
      </w:pPr>
      <w:r>
        <w:rPr/>
        <w:pict>
          <v:rect style="position:absolute;margin-left:94.039001pt;margin-top:-64.430580pt;width:14.458pt;height:35.03pt;mso-position-horizontal-relative:page;mso-position-vertical-relative:paragraph;z-index:-233488" filled="true" fillcolor="#fcaf17" stroked="false">
            <v:fill type="solid"/>
            <w10:wrap type="none"/>
          </v:rect>
        </w:pict>
      </w:r>
      <w:r>
        <w:rPr/>
        <w:pict>
          <v:rect style="position:absolute;margin-left:134.186905pt;margin-top:-67.524582pt;width:14.4581pt;height:38.124pt;mso-position-horizontal-relative:page;mso-position-vertical-relative:paragraph;z-index:-233464" filled="true" fillcolor="#fcaf17" stroked="false">
            <v:fill type="solid"/>
            <w10:wrap type="none"/>
          </v:rect>
        </w:pict>
      </w:r>
      <w:r>
        <w:rPr/>
        <w:pict>
          <v:rect style="position:absolute;margin-left:175.857803pt;margin-top:-89.224579pt;width:14.4582pt;height:59.824pt;mso-position-horizontal-relative:page;mso-position-vertical-relative:paragraph;z-index:-233440" filled="true" fillcolor="#fcaf17" stroked="false">
            <v:fill type="solid"/>
            <w10:wrap type="none"/>
          </v:rect>
        </w:pict>
      </w:r>
      <w:r>
        <w:rPr/>
        <w:pict>
          <v:rect style="position:absolute;margin-left:218.100006pt;margin-top:-99.422585pt;width:14.458pt;height:70.022pt;mso-position-horizontal-relative:page;mso-position-vertical-relative:paragraph;z-index:-233416" filled="true" fillcolor="#fcaf17" stroked="false">
            <v:fill type="solid"/>
            <w10:wrap type="none"/>
          </v:rect>
        </w:pict>
      </w:r>
      <w:r>
        <w:rPr/>
        <w:pict>
          <v:rect style="position:absolute;margin-left:259.962006pt;margin-top:-107.105583pt;width:14.459pt;height:77.705pt;mso-position-horizontal-relative:page;mso-position-vertical-relative:paragraph;z-index:-233392" filled="true" fillcolor="#fcaf17" stroked="false">
            <v:fill type="solid"/>
            <w10:wrap type="none"/>
          </v:rect>
        </w:pict>
      </w:r>
      <w:r>
        <w:rPr/>
        <w:pict>
          <v:rect style="position:absolute;margin-left:301.429993pt;margin-top:-111.98658pt;width:14.458pt;height:82.63pt;mso-position-horizontal-relative:page;mso-position-vertical-relative:paragraph;z-index:-233368" filled="true" fillcolor="#fcaf17" stroked="false">
            <v:fill type="solid"/>
            <w10:wrap type="none"/>
          </v:rect>
        </w:pict>
      </w:r>
      <w:r>
        <w:rPr/>
        <w:pict>
          <v:rect style="position:absolute;margin-left:341.917999pt;margin-top:-117.483582pt;width:14.459pt;height:87.816pt;mso-position-horizontal-relative:page;mso-position-vertical-relative:paragraph;z-index:-233344" filled="true" fillcolor="#fcaf17" stroked="false">
            <v:fill type="solid"/>
            <w10:wrap type="none"/>
          </v:rect>
        </w:pict>
      </w:r>
      <w:r>
        <w:rPr/>
        <w:pict>
          <v:rect style="position:absolute;margin-left:383.589996pt;margin-top:-133.724579pt;width:14.457pt;height:104.057pt;mso-position-horizontal-relative:page;mso-position-vertical-relative:paragraph;z-index:-233320" filled="true" fillcolor="#fcaf17" stroked="false">
            <v:fill type="solid"/>
            <w10:wrap type="none"/>
          </v:rect>
        </w:pict>
      </w:r>
      <w:r>
        <w:rPr/>
        <w:pict>
          <v:rect style="position:absolute;margin-left:426.634003pt;margin-top:-156.375580pt;width:14.459pt;height:126.708pt;mso-position-horizontal-relative:page;mso-position-vertical-relative:paragraph;z-index:-233296" filled="true" fillcolor="#fcaf17" stroked="false">
            <v:fill type="solid"/>
            <w10:wrap type="none"/>
          </v:rect>
        </w:pict>
      </w:r>
      <w:r>
        <w:rPr/>
        <w:pict>
          <v:rect style="position:absolute;margin-left:470.556pt;margin-top:-160.837585pt;width:14.457pt;height:131.170pt;mso-position-horizontal-relative:page;mso-position-vertical-relative:paragraph;z-index:-233272" filled="true" fillcolor="#fcaf17" stroked="false">
            <v:fill type="solid"/>
            <w10:wrap type="none"/>
          </v:rect>
        </w:pict>
      </w:r>
      <w:r>
        <w:rPr>
          <w:rFonts w:ascii="Arial" w:hAnsi="Arial"/>
          <w:color w:val="FFFFFF"/>
          <w:w w:val="90"/>
          <w:sz w:val="14"/>
        </w:rPr>
        <w:t>Southwest’s Top Ten Airports — Daily Departures</w:t>
      </w:r>
    </w:p>
    <w:p>
      <w:pPr>
        <w:spacing w:after="0"/>
        <w:jc w:val="left"/>
        <w:rPr>
          <w:rFonts w:ascii="Arial" w:hAnsi="Arial"/>
          <w:sz w:val="14"/>
        </w:rPr>
        <w:sectPr>
          <w:type w:val="continuous"/>
          <w:pgSz w:w="12240" w:h="15840"/>
          <w:pgMar w:top="320" w:bottom="280" w:left="380" w:right="1020"/>
        </w:sectPr>
      </w:pPr>
    </w:p>
    <w:p>
      <w:pPr>
        <w:pStyle w:val="BodyText"/>
        <w:rPr>
          <w:rFonts w:ascii="Arial"/>
          <w:sz w:val="18"/>
        </w:rPr>
      </w:pPr>
    </w:p>
    <w:p>
      <w:pPr>
        <w:pStyle w:val="BodyText"/>
        <w:rPr>
          <w:rFonts w:ascii="Arial"/>
          <w:sz w:val="18"/>
        </w:rPr>
      </w:pPr>
    </w:p>
    <w:p>
      <w:pPr>
        <w:pStyle w:val="BodyText"/>
        <w:spacing w:before="3"/>
        <w:rPr>
          <w:rFonts w:ascii="Arial"/>
          <w:sz w:val="18"/>
        </w:rPr>
      </w:pPr>
    </w:p>
    <w:p>
      <w:pPr>
        <w:spacing w:before="1"/>
        <w:ind w:left="138" w:right="0" w:firstLine="0"/>
        <w:jc w:val="left"/>
        <w:rPr>
          <w:rFonts w:ascii="Book Antiqua"/>
          <w:sz w:val="16"/>
        </w:rPr>
      </w:pPr>
      <w:r>
        <w:rPr/>
        <w:pict>
          <v:line style="position:absolute;mso-position-horizontal-relative:page;mso-position-vertical-relative:paragraph;z-index:-233248" from="575.042725pt,-30.432497pt" to="575.042725pt,-12.432497pt" stroked="true" strokeweight=".5pt" strokecolor="#231f20">
            <v:stroke dashstyle="solid"/>
            <w10:wrap type="none"/>
          </v:line>
        </w:pict>
      </w:r>
      <w:r>
        <w:rPr/>
        <w:drawing>
          <wp:anchor distT="0" distB="0" distL="0" distR="0" allowOverlap="1" layoutInCell="1" locked="0" behindDoc="0" simplePos="0" relativeHeight="5176">
            <wp:simplePos x="0" y="0"/>
            <wp:positionH relativeFrom="page">
              <wp:posOffset>5233727</wp:posOffset>
            </wp:positionH>
            <wp:positionV relativeFrom="paragraph">
              <wp:posOffset>-370630</wp:posOffset>
            </wp:positionV>
            <wp:extent cx="370521" cy="153417"/>
            <wp:effectExtent l="0" t="0" r="0" b="0"/>
            <wp:wrapNone/>
            <wp:docPr id="75" name="image2.png" descr=""/>
            <wp:cNvGraphicFramePr>
              <a:graphicFrameLocks noChangeAspect="1"/>
            </wp:cNvGraphicFramePr>
            <a:graphic>
              <a:graphicData uri="http://schemas.openxmlformats.org/drawingml/2006/picture">
                <pic:pic>
                  <pic:nvPicPr>
                    <pic:cNvPr id="76" name="image2.png"/>
                    <pic:cNvPicPr/>
                  </pic:nvPicPr>
                  <pic:blipFill>
                    <a:blip r:embed="rId6" cstate="print"/>
                    <a:stretch>
                      <a:fillRect/>
                    </a:stretch>
                  </pic:blipFill>
                  <pic:spPr>
                    <a:xfrm>
                      <a:off x="0" y="0"/>
                      <a:ext cx="370521" cy="153417"/>
                    </a:xfrm>
                    <a:prstGeom prst="rect">
                      <a:avLst/>
                    </a:prstGeom>
                  </pic:spPr>
                </pic:pic>
              </a:graphicData>
            </a:graphic>
          </wp:anchor>
        </w:drawing>
      </w:r>
      <w:bookmarkStart w:name="Quarterly Financial Data/Stock Price and" w:id="15"/>
      <w:bookmarkEnd w:id="15"/>
      <w:r>
        <w:rPr/>
      </w:r>
      <w:r>
        <w:rPr>
          <w:rFonts w:ascii="Book Antiqua"/>
          <w:color w:val="231F20"/>
          <w:sz w:val="16"/>
        </w:rPr>
        <w:t>QUARTERLY FINANCIAL DATA  (UNAUDITED)</w:t>
      </w:r>
    </w:p>
    <w:p>
      <w:pPr>
        <w:tabs>
          <w:tab w:pos="3683" w:val="right" w:leader="none"/>
        </w:tabs>
        <w:spacing w:before="72"/>
        <w:ind w:left="806" w:right="0" w:firstLine="0"/>
        <w:jc w:val="left"/>
        <w:rPr>
          <w:rFonts w:ascii="Arial"/>
          <w:sz w:val="14"/>
        </w:rPr>
      </w:pPr>
      <w:r>
        <w:rPr/>
        <w:br w:type="column"/>
      </w:r>
      <w:r>
        <w:rPr>
          <w:rFonts w:ascii="Arial"/>
          <w:color w:val="231F20"/>
          <w:spacing w:val="9"/>
          <w:w w:val="95"/>
          <w:position w:val="1"/>
          <w:sz w:val="12"/>
        </w:rPr>
        <w:t>Southwest</w:t>
      </w:r>
      <w:r>
        <w:rPr>
          <w:rFonts w:ascii="Arial"/>
          <w:color w:val="231F20"/>
          <w:spacing w:val="-3"/>
          <w:w w:val="95"/>
          <w:position w:val="1"/>
          <w:sz w:val="12"/>
        </w:rPr>
        <w:t> </w:t>
      </w:r>
      <w:r>
        <w:rPr>
          <w:rFonts w:ascii="Arial"/>
          <w:color w:val="231F20"/>
          <w:spacing w:val="9"/>
          <w:w w:val="95"/>
          <w:position w:val="1"/>
          <w:sz w:val="12"/>
        </w:rPr>
        <w:t>Airlines</w:t>
      </w:r>
      <w:r>
        <w:rPr>
          <w:rFonts w:ascii="Arial"/>
          <w:color w:val="231F20"/>
          <w:spacing w:val="-1"/>
          <w:w w:val="95"/>
          <w:position w:val="1"/>
          <w:sz w:val="12"/>
        </w:rPr>
        <w:t> </w:t>
      </w:r>
      <w:r>
        <w:rPr>
          <w:rFonts w:ascii="Arial"/>
          <w:color w:val="231F20"/>
          <w:spacing w:val="7"/>
          <w:w w:val="95"/>
          <w:position w:val="1"/>
          <w:sz w:val="12"/>
        </w:rPr>
        <w:t>Co.</w:t>
      </w:r>
      <w:r>
        <w:rPr>
          <w:rFonts w:ascii="Arial"/>
          <w:color w:val="231F20"/>
          <w:spacing w:val="-3"/>
          <w:w w:val="95"/>
          <w:position w:val="1"/>
          <w:sz w:val="12"/>
        </w:rPr>
        <w:t> </w:t>
      </w:r>
      <w:r>
        <w:rPr>
          <w:rFonts w:ascii="Arial"/>
          <w:color w:val="231F20"/>
          <w:spacing w:val="8"/>
          <w:w w:val="95"/>
          <w:position w:val="1"/>
          <w:sz w:val="12"/>
        </w:rPr>
        <w:t>2003</w:t>
      </w:r>
      <w:r>
        <w:rPr>
          <w:rFonts w:ascii="Arial"/>
          <w:color w:val="231F20"/>
          <w:spacing w:val="-3"/>
          <w:w w:val="95"/>
          <w:position w:val="1"/>
          <w:sz w:val="12"/>
        </w:rPr>
        <w:t> </w:t>
      </w:r>
      <w:r>
        <w:rPr>
          <w:rFonts w:ascii="Arial"/>
          <w:color w:val="231F20"/>
          <w:spacing w:val="9"/>
          <w:w w:val="95"/>
          <w:position w:val="1"/>
          <w:sz w:val="12"/>
        </w:rPr>
        <w:t>Annual</w:t>
      </w:r>
      <w:r>
        <w:rPr>
          <w:rFonts w:ascii="Arial"/>
          <w:color w:val="231F20"/>
          <w:spacing w:val="-1"/>
          <w:w w:val="95"/>
          <w:position w:val="1"/>
          <w:sz w:val="12"/>
        </w:rPr>
        <w:t> </w:t>
      </w:r>
      <w:r>
        <w:rPr>
          <w:rFonts w:ascii="Arial"/>
          <w:color w:val="231F20"/>
          <w:spacing w:val="11"/>
          <w:w w:val="95"/>
          <w:position w:val="1"/>
          <w:sz w:val="12"/>
        </w:rPr>
        <w:t>Report</w:t>
      </w:r>
      <w:r>
        <w:rPr>
          <w:rFonts w:ascii="Arial"/>
          <w:color w:val="231F20"/>
          <w:spacing w:val="11"/>
          <w:w w:val="95"/>
          <w:sz w:val="14"/>
        </w:rPr>
        <w:tab/>
      </w:r>
      <w:r>
        <w:rPr>
          <w:rFonts w:ascii="Arial"/>
          <w:color w:val="231F20"/>
          <w:w w:val="95"/>
          <w:sz w:val="14"/>
        </w:rPr>
        <w:t>13</w:t>
      </w:r>
    </w:p>
    <w:p>
      <w:pPr>
        <w:spacing w:after="0"/>
        <w:jc w:val="left"/>
        <w:rPr>
          <w:rFonts w:ascii="Arial"/>
          <w:sz w:val="14"/>
        </w:rPr>
        <w:sectPr>
          <w:pgSz w:w="12240" w:h="15840"/>
          <w:pgMar w:top="280" w:bottom="280" w:left="800" w:right="340"/>
          <w:cols w:num="2" w:equalWidth="0">
            <w:col w:w="3940" w:space="3364"/>
            <w:col w:w="3796"/>
          </w:cols>
        </w:sectPr>
      </w:pPr>
    </w:p>
    <w:p>
      <w:pPr>
        <w:pStyle w:val="BodyText"/>
        <w:rPr>
          <w:rFonts w:ascii="Arial"/>
          <w:sz w:val="18"/>
        </w:rPr>
      </w:pPr>
    </w:p>
    <w:p>
      <w:pPr>
        <w:pStyle w:val="BodyText"/>
        <w:rPr>
          <w:rFonts w:ascii="Arial"/>
          <w:sz w:val="18"/>
        </w:rPr>
      </w:pPr>
    </w:p>
    <w:p>
      <w:pPr>
        <w:tabs>
          <w:tab w:pos="5907" w:val="left" w:leader="none"/>
          <w:tab w:pos="10538" w:val="left" w:leader="none"/>
        </w:tabs>
        <w:spacing w:before="127"/>
        <w:ind w:left="3378" w:right="0" w:firstLine="0"/>
        <w:jc w:val="left"/>
        <w:rPr>
          <w:rFonts w:ascii="Book Antiqua"/>
          <w:sz w:val="16"/>
        </w:rPr>
      </w:pPr>
      <w:r>
        <w:rPr>
          <w:rFonts w:ascii="Book Antiqua"/>
          <w:color w:val="231F20"/>
          <w:w w:val="108"/>
          <w:sz w:val="16"/>
          <w:u w:val="single" w:color="231F20"/>
        </w:rPr>
        <w:t> </w:t>
      </w:r>
      <w:r>
        <w:rPr>
          <w:rFonts w:ascii="Book Antiqua"/>
          <w:color w:val="231F20"/>
          <w:sz w:val="16"/>
          <w:u w:val="single" w:color="231F20"/>
        </w:rPr>
        <w:tab/>
      </w:r>
      <w:r>
        <w:rPr>
          <w:rFonts w:ascii="Book Antiqua"/>
          <w:color w:val="231F20"/>
          <w:spacing w:val="6"/>
          <w:sz w:val="16"/>
          <w:u w:val="single" w:color="231F20"/>
        </w:rPr>
        <w:t>THREE  MONTHS</w:t>
      </w:r>
      <w:r>
        <w:rPr>
          <w:rFonts w:ascii="Book Antiqua"/>
          <w:color w:val="231F20"/>
          <w:spacing w:val="30"/>
          <w:sz w:val="16"/>
          <w:u w:val="single" w:color="231F20"/>
        </w:rPr>
        <w:t> </w:t>
      </w:r>
      <w:r>
        <w:rPr>
          <w:rFonts w:ascii="Book Antiqua"/>
          <w:color w:val="231F20"/>
          <w:spacing w:val="6"/>
          <w:sz w:val="16"/>
          <w:u w:val="single" w:color="231F20"/>
        </w:rPr>
        <w:t>ENDED</w:t>
        <w:tab/>
      </w:r>
    </w:p>
    <w:p>
      <w:pPr>
        <w:pStyle w:val="BodyText"/>
        <w:spacing w:before="4"/>
        <w:rPr>
          <w:rFonts w:ascii="Book Antiqua"/>
          <w:sz w:val="5"/>
        </w:rPr>
      </w:pPr>
    </w:p>
    <w:tbl>
      <w:tblPr>
        <w:tblW w:w="0" w:type="auto"/>
        <w:jc w:val="left"/>
        <w:tblInd w:w="10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029"/>
        <w:gridCol w:w="2134"/>
        <w:gridCol w:w="1714"/>
        <w:gridCol w:w="2061"/>
        <w:gridCol w:w="1495"/>
      </w:tblGrid>
      <w:tr>
        <w:trPr>
          <w:trHeight w:val="195" w:hRule="exact"/>
        </w:trPr>
        <w:tc>
          <w:tcPr>
            <w:tcW w:w="3029" w:type="dxa"/>
            <w:tcBorders>
              <w:bottom w:val="single" w:sz="4" w:space="0" w:color="231F20"/>
            </w:tcBorders>
          </w:tcPr>
          <w:p>
            <w:pPr>
              <w:pStyle w:val="TableParagraph"/>
              <w:spacing w:before="13"/>
              <w:ind w:left="32"/>
              <w:rPr>
                <w:rFonts w:ascii="Book Antiqua"/>
                <w:sz w:val="14"/>
              </w:rPr>
            </w:pPr>
            <w:r>
              <w:rPr>
                <w:rFonts w:ascii="Book Antiqua"/>
                <w:color w:val="231F20"/>
                <w:w w:val="95"/>
                <w:sz w:val="14"/>
              </w:rPr>
              <w:t>(In millions, except per share amounts)</w:t>
            </w:r>
          </w:p>
        </w:tc>
        <w:tc>
          <w:tcPr>
            <w:tcW w:w="2134" w:type="dxa"/>
            <w:tcBorders>
              <w:bottom w:val="single" w:sz="4" w:space="0" w:color="231F20"/>
            </w:tcBorders>
          </w:tcPr>
          <w:p>
            <w:pPr>
              <w:pStyle w:val="TableParagraph"/>
              <w:spacing w:line="193" w:lineRule="exact"/>
              <w:ind w:left="725"/>
              <w:rPr>
                <w:rFonts w:ascii="Book Antiqua"/>
                <w:sz w:val="16"/>
              </w:rPr>
            </w:pPr>
            <w:r>
              <w:rPr>
                <w:rFonts w:ascii="Book Antiqua"/>
                <w:color w:val="231F20"/>
                <w:sz w:val="16"/>
              </w:rPr>
              <w:t>MARCH 31</w:t>
            </w:r>
          </w:p>
        </w:tc>
        <w:tc>
          <w:tcPr>
            <w:tcW w:w="1714" w:type="dxa"/>
            <w:tcBorders>
              <w:bottom w:val="single" w:sz="4" w:space="0" w:color="231F20"/>
            </w:tcBorders>
          </w:tcPr>
          <w:p>
            <w:pPr>
              <w:pStyle w:val="TableParagraph"/>
              <w:spacing w:line="193" w:lineRule="exact"/>
              <w:ind w:right="510"/>
              <w:jc w:val="right"/>
              <w:rPr>
                <w:rFonts w:ascii="Book Antiqua"/>
                <w:sz w:val="16"/>
              </w:rPr>
            </w:pPr>
            <w:r>
              <w:rPr>
                <w:rFonts w:ascii="Book Antiqua"/>
                <w:color w:val="231F20"/>
                <w:sz w:val="16"/>
              </w:rPr>
              <w:t>JUNE 30</w:t>
            </w:r>
          </w:p>
        </w:tc>
        <w:tc>
          <w:tcPr>
            <w:tcW w:w="2061" w:type="dxa"/>
            <w:tcBorders>
              <w:bottom w:val="single" w:sz="4" w:space="0" w:color="231F20"/>
            </w:tcBorders>
          </w:tcPr>
          <w:p>
            <w:pPr>
              <w:pStyle w:val="TableParagraph"/>
              <w:spacing w:line="193" w:lineRule="exact"/>
              <w:ind w:left="512"/>
              <w:rPr>
                <w:rFonts w:ascii="Book Antiqua"/>
                <w:sz w:val="16"/>
              </w:rPr>
            </w:pPr>
            <w:r>
              <w:rPr>
                <w:rFonts w:ascii="Book Antiqua"/>
                <w:color w:val="231F20"/>
                <w:sz w:val="16"/>
              </w:rPr>
              <w:t>SEPTEMBER 30</w:t>
            </w:r>
          </w:p>
        </w:tc>
        <w:tc>
          <w:tcPr>
            <w:tcW w:w="1495" w:type="dxa"/>
            <w:tcBorders>
              <w:bottom w:val="single" w:sz="4" w:space="0" w:color="231F20"/>
            </w:tcBorders>
          </w:tcPr>
          <w:p>
            <w:pPr>
              <w:pStyle w:val="TableParagraph"/>
              <w:spacing w:line="193" w:lineRule="exact"/>
              <w:ind w:left="390"/>
              <w:rPr>
                <w:rFonts w:ascii="Book Antiqua"/>
                <w:sz w:val="16"/>
              </w:rPr>
            </w:pPr>
            <w:r>
              <w:rPr>
                <w:rFonts w:ascii="Book Antiqua"/>
                <w:color w:val="231F20"/>
                <w:sz w:val="16"/>
              </w:rPr>
              <w:t>DECEMBER 31</w:t>
            </w:r>
          </w:p>
        </w:tc>
      </w:tr>
      <w:tr>
        <w:trPr>
          <w:trHeight w:val="525" w:hRule="exact"/>
        </w:trPr>
        <w:tc>
          <w:tcPr>
            <w:tcW w:w="3029" w:type="dxa"/>
            <w:tcBorders>
              <w:top w:val="single" w:sz="4" w:space="0" w:color="231F20"/>
              <w:bottom w:val="single" w:sz="4" w:space="0" w:color="231F20"/>
            </w:tcBorders>
          </w:tcPr>
          <w:p>
            <w:pPr>
              <w:pStyle w:val="TableParagraph"/>
              <w:spacing w:before="60"/>
              <w:ind w:left="32"/>
              <w:rPr>
                <w:rFonts w:ascii="Book Antiqua"/>
                <w:sz w:val="16"/>
              </w:rPr>
            </w:pPr>
            <w:r>
              <w:rPr>
                <w:rFonts w:ascii="Book Antiqua"/>
                <w:color w:val="231F20"/>
                <w:sz w:val="16"/>
              </w:rPr>
              <w:t>2003</w:t>
            </w:r>
          </w:p>
          <w:p>
            <w:pPr>
              <w:pStyle w:val="TableParagraph"/>
              <w:spacing w:before="61"/>
              <w:ind w:left="32"/>
              <w:rPr>
                <w:rFonts w:ascii="Book Antiqua"/>
                <w:sz w:val="16"/>
              </w:rPr>
            </w:pPr>
            <w:r>
              <w:rPr>
                <w:rFonts w:ascii="Book Antiqua"/>
                <w:color w:val="231F20"/>
                <w:w w:val="90"/>
                <w:sz w:val="16"/>
              </w:rPr>
              <w:t>Operating revenues</w:t>
            </w:r>
          </w:p>
        </w:tc>
        <w:tc>
          <w:tcPr>
            <w:tcW w:w="2134" w:type="dxa"/>
            <w:tcBorders>
              <w:top w:val="single" w:sz="4" w:space="0" w:color="231F20"/>
              <w:bottom w:val="single" w:sz="4" w:space="0" w:color="231F20"/>
            </w:tcBorders>
          </w:tcPr>
          <w:p>
            <w:pPr>
              <w:pStyle w:val="TableParagraph"/>
              <w:spacing w:before="9"/>
              <w:rPr>
                <w:rFonts w:ascii="Book Antiqua"/>
                <w:sz w:val="25"/>
              </w:rPr>
            </w:pPr>
          </w:p>
          <w:p>
            <w:pPr>
              <w:pStyle w:val="TableParagraph"/>
              <w:ind w:left="900" w:right="745"/>
              <w:jc w:val="center"/>
              <w:rPr>
                <w:rFonts w:ascii="Book Antiqua"/>
                <w:sz w:val="16"/>
              </w:rPr>
            </w:pPr>
            <w:r>
              <w:rPr>
                <w:rFonts w:ascii="Book Antiqua"/>
                <w:color w:val="231F20"/>
                <w:sz w:val="16"/>
              </w:rPr>
              <w:t>$1,351</w:t>
            </w:r>
          </w:p>
        </w:tc>
        <w:tc>
          <w:tcPr>
            <w:tcW w:w="1714" w:type="dxa"/>
            <w:tcBorders>
              <w:top w:val="single" w:sz="4" w:space="0" w:color="231F20"/>
              <w:bottom w:val="single" w:sz="4" w:space="0" w:color="231F20"/>
            </w:tcBorders>
          </w:tcPr>
          <w:p>
            <w:pPr>
              <w:pStyle w:val="TableParagraph"/>
              <w:spacing w:before="9"/>
              <w:rPr>
                <w:rFonts w:ascii="Book Antiqua"/>
                <w:sz w:val="25"/>
              </w:rPr>
            </w:pPr>
          </w:p>
          <w:p>
            <w:pPr>
              <w:pStyle w:val="TableParagraph"/>
              <w:ind w:left="665" w:right="564"/>
              <w:jc w:val="center"/>
              <w:rPr>
                <w:rFonts w:ascii="Book Antiqua"/>
                <w:sz w:val="16"/>
              </w:rPr>
            </w:pPr>
            <w:r>
              <w:rPr>
                <w:rFonts w:ascii="Book Antiqua"/>
                <w:color w:val="231F20"/>
                <w:sz w:val="16"/>
              </w:rPr>
              <w:t>$1,515</w:t>
            </w:r>
          </w:p>
        </w:tc>
        <w:tc>
          <w:tcPr>
            <w:tcW w:w="2061" w:type="dxa"/>
            <w:tcBorders>
              <w:top w:val="single" w:sz="4" w:space="0" w:color="231F20"/>
              <w:bottom w:val="single" w:sz="4" w:space="0" w:color="231F20"/>
            </w:tcBorders>
          </w:tcPr>
          <w:p>
            <w:pPr>
              <w:pStyle w:val="TableParagraph"/>
              <w:spacing w:before="9"/>
              <w:rPr>
                <w:rFonts w:ascii="Book Antiqua"/>
                <w:sz w:val="25"/>
              </w:rPr>
            </w:pPr>
          </w:p>
          <w:p>
            <w:pPr>
              <w:pStyle w:val="TableParagraph"/>
              <w:ind w:left="824" w:right="716"/>
              <w:jc w:val="center"/>
              <w:rPr>
                <w:rFonts w:ascii="Book Antiqua"/>
                <w:sz w:val="16"/>
              </w:rPr>
            </w:pPr>
            <w:r>
              <w:rPr>
                <w:rFonts w:ascii="Book Antiqua"/>
                <w:color w:val="231F20"/>
                <w:sz w:val="16"/>
              </w:rPr>
              <w:t>$1,553</w:t>
            </w:r>
          </w:p>
        </w:tc>
        <w:tc>
          <w:tcPr>
            <w:tcW w:w="1495" w:type="dxa"/>
            <w:tcBorders>
              <w:top w:val="single" w:sz="4" w:space="0" w:color="231F20"/>
              <w:bottom w:val="single" w:sz="4" w:space="0" w:color="231F20"/>
            </w:tcBorders>
          </w:tcPr>
          <w:p>
            <w:pPr>
              <w:pStyle w:val="TableParagraph"/>
              <w:spacing w:before="9"/>
              <w:rPr>
                <w:rFonts w:ascii="Book Antiqua"/>
                <w:sz w:val="25"/>
              </w:rPr>
            </w:pPr>
          </w:p>
          <w:p>
            <w:pPr>
              <w:pStyle w:val="TableParagraph"/>
              <w:ind w:left="704"/>
              <w:rPr>
                <w:rFonts w:ascii="Book Antiqua"/>
                <w:sz w:val="16"/>
              </w:rPr>
            </w:pPr>
            <w:r>
              <w:rPr>
                <w:rFonts w:ascii="Book Antiqua"/>
                <w:color w:val="231F20"/>
                <w:sz w:val="16"/>
              </w:rPr>
              <w:t>$1, 517</w:t>
            </w:r>
          </w:p>
        </w:tc>
      </w:tr>
      <w:tr>
        <w:trPr>
          <w:trHeight w:val="260" w:hRule="exact"/>
        </w:trPr>
        <w:tc>
          <w:tcPr>
            <w:tcW w:w="3029" w:type="dxa"/>
            <w:tcBorders>
              <w:top w:val="single" w:sz="4" w:space="0" w:color="231F20"/>
              <w:bottom w:val="single" w:sz="4" w:space="0" w:color="231F20"/>
            </w:tcBorders>
          </w:tcPr>
          <w:p>
            <w:pPr>
              <w:pStyle w:val="TableParagraph"/>
              <w:spacing w:before="50"/>
              <w:ind w:left="32"/>
              <w:rPr>
                <w:rFonts w:ascii="Book Antiqua"/>
                <w:sz w:val="16"/>
              </w:rPr>
            </w:pPr>
            <w:r>
              <w:rPr>
                <w:rFonts w:ascii="Book Antiqua"/>
                <w:color w:val="231F20"/>
                <w:w w:val="95"/>
                <w:sz w:val="16"/>
              </w:rPr>
              <w:t>Operating income</w:t>
            </w:r>
          </w:p>
        </w:tc>
        <w:tc>
          <w:tcPr>
            <w:tcW w:w="2134" w:type="dxa"/>
            <w:tcBorders>
              <w:top w:val="single" w:sz="4" w:space="0" w:color="231F20"/>
              <w:bottom w:val="single" w:sz="4" w:space="0" w:color="231F20"/>
            </w:tcBorders>
          </w:tcPr>
          <w:p>
            <w:pPr>
              <w:pStyle w:val="TableParagraph"/>
              <w:spacing w:before="50"/>
              <w:ind w:left="900" w:right="472"/>
              <w:jc w:val="center"/>
              <w:rPr>
                <w:rFonts w:ascii="Book Antiqua"/>
                <w:sz w:val="16"/>
              </w:rPr>
            </w:pPr>
            <w:r>
              <w:rPr>
                <w:rFonts w:ascii="Book Antiqua"/>
                <w:color w:val="231F20"/>
                <w:sz w:val="16"/>
              </w:rPr>
              <w:t>46</w:t>
            </w:r>
          </w:p>
        </w:tc>
        <w:tc>
          <w:tcPr>
            <w:tcW w:w="1714" w:type="dxa"/>
            <w:tcBorders>
              <w:top w:val="single" w:sz="4" w:space="0" w:color="231F20"/>
              <w:bottom w:val="single" w:sz="4" w:space="0" w:color="231F20"/>
            </w:tcBorders>
          </w:tcPr>
          <w:p>
            <w:pPr>
              <w:pStyle w:val="TableParagraph"/>
              <w:spacing w:before="50"/>
              <w:ind w:right="589"/>
              <w:jc w:val="right"/>
              <w:rPr>
                <w:rFonts w:ascii="Book Antiqua"/>
                <w:sz w:val="16"/>
              </w:rPr>
            </w:pPr>
            <w:r>
              <w:rPr>
                <w:rFonts w:ascii="Book Antiqua"/>
                <w:color w:val="231F20"/>
                <w:sz w:val="16"/>
              </w:rPr>
              <w:t>140</w:t>
            </w:r>
          </w:p>
        </w:tc>
        <w:tc>
          <w:tcPr>
            <w:tcW w:w="2061" w:type="dxa"/>
            <w:tcBorders>
              <w:top w:val="single" w:sz="4" w:space="0" w:color="231F20"/>
              <w:bottom w:val="single" w:sz="4" w:space="0" w:color="231F20"/>
            </w:tcBorders>
          </w:tcPr>
          <w:p>
            <w:pPr>
              <w:pStyle w:val="TableParagraph"/>
              <w:spacing w:before="50"/>
              <w:ind w:left="824" w:right="513"/>
              <w:jc w:val="center"/>
              <w:rPr>
                <w:rFonts w:ascii="Book Antiqua"/>
                <w:sz w:val="16"/>
              </w:rPr>
            </w:pPr>
            <w:r>
              <w:rPr>
                <w:rFonts w:ascii="Book Antiqua"/>
                <w:color w:val="231F20"/>
                <w:sz w:val="16"/>
              </w:rPr>
              <w:t>185</w:t>
            </w:r>
          </w:p>
        </w:tc>
        <w:tc>
          <w:tcPr>
            <w:tcW w:w="1495" w:type="dxa"/>
            <w:tcBorders>
              <w:top w:val="single" w:sz="4" w:space="0" w:color="231F20"/>
              <w:bottom w:val="single" w:sz="4" w:space="0" w:color="231F20"/>
            </w:tcBorders>
          </w:tcPr>
          <w:p>
            <w:pPr>
              <w:pStyle w:val="TableParagraph"/>
              <w:spacing w:before="50"/>
              <w:ind w:left="914"/>
              <w:rPr>
                <w:rFonts w:ascii="Book Antiqua"/>
                <w:sz w:val="16"/>
              </w:rPr>
            </w:pPr>
            <w:r>
              <w:rPr>
                <w:rFonts w:ascii="Book Antiqua"/>
                <w:color w:val="231F20"/>
                <w:sz w:val="16"/>
              </w:rPr>
              <w:t>111</w:t>
            </w:r>
          </w:p>
        </w:tc>
      </w:tr>
      <w:tr>
        <w:trPr>
          <w:trHeight w:val="260" w:hRule="exact"/>
        </w:trPr>
        <w:tc>
          <w:tcPr>
            <w:tcW w:w="3029" w:type="dxa"/>
            <w:tcBorders>
              <w:top w:val="single" w:sz="4" w:space="0" w:color="231F20"/>
              <w:bottom w:val="single" w:sz="4" w:space="0" w:color="231F20"/>
            </w:tcBorders>
          </w:tcPr>
          <w:p>
            <w:pPr>
              <w:pStyle w:val="TableParagraph"/>
              <w:spacing w:before="50"/>
              <w:ind w:left="32"/>
              <w:rPr>
                <w:rFonts w:ascii="Book Antiqua"/>
                <w:sz w:val="16"/>
              </w:rPr>
            </w:pPr>
            <w:r>
              <w:rPr>
                <w:rFonts w:ascii="Book Antiqua"/>
                <w:color w:val="231F20"/>
                <w:w w:val="95"/>
                <w:sz w:val="16"/>
              </w:rPr>
              <w:t>Income before income taxes</w:t>
            </w:r>
          </w:p>
        </w:tc>
        <w:tc>
          <w:tcPr>
            <w:tcW w:w="2134" w:type="dxa"/>
            <w:tcBorders>
              <w:top w:val="single" w:sz="4" w:space="0" w:color="231F20"/>
              <w:bottom w:val="single" w:sz="4" w:space="0" w:color="231F20"/>
            </w:tcBorders>
          </w:tcPr>
          <w:p>
            <w:pPr>
              <w:pStyle w:val="TableParagraph"/>
              <w:spacing w:before="50"/>
              <w:ind w:left="900" w:right="465"/>
              <w:jc w:val="center"/>
              <w:rPr>
                <w:rFonts w:ascii="Book Antiqua"/>
                <w:sz w:val="16"/>
              </w:rPr>
            </w:pPr>
            <w:r>
              <w:rPr>
                <w:rFonts w:ascii="Book Antiqua"/>
                <w:color w:val="231F20"/>
                <w:sz w:val="16"/>
              </w:rPr>
              <w:t>39</w:t>
            </w:r>
          </w:p>
        </w:tc>
        <w:tc>
          <w:tcPr>
            <w:tcW w:w="1714" w:type="dxa"/>
            <w:tcBorders>
              <w:top w:val="single" w:sz="4" w:space="0" w:color="231F20"/>
              <w:bottom w:val="single" w:sz="4" w:space="0" w:color="231F20"/>
            </w:tcBorders>
          </w:tcPr>
          <w:p>
            <w:pPr>
              <w:pStyle w:val="TableParagraph"/>
              <w:spacing w:before="50"/>
              <w:ind w:right="588"/>
              <w:jc w:val="right"/>
              <w:rPr>
                <w:rFonts w:ascii="Book Antiqua"/>
                <w:sz w:val="16"/>
              </w:rPr>
            </w:pPr>
            <w:r>
              <w:rPr>
                <w:rFonts w:ascii="Book Antiqua"/>
                <w:color w:val="231F20"/>
                <w:sz w:val="16"/>
              </w:rPr>
              <w:t>397</w:t>
            </w:r>
          </w:p>
        </w:tc>
        <w:tc>
          <w:tcPr>
            <w:tcW w:w="2061" w:type="dxa"/>
            <w:tcBorders>
              <w:top w:val="single" w:sz="4" w:space="0" w:color="231F20"/>
              <w:bottom w:val="single" w:sz="4" w:space="0" w:color="231F20"/>
            </w:tcBorders>
          </w:tcPr>
          <w:p>
            <w:pPr>
              <w:pStyle w:val="TableParagraph"/>
              <w:spacing w:before="50"/>
              <w:ind w:left="824" w:right="513"/>
              <w:jc w:val="center"/>
              <w:rPr>
                <w:rFonts w:ascii="Book Antiqua"/>
                <w:sz w:val="16"/>
              </w:rPr>
            </w:pPr>
            <w:r>
              <w:rPr>
                <w:rFonts w:ascii="Book Antiqua"/>
                <w:color w:val="231F20"/>
                <w:sz w:val="16"/>
              </w:rPr>
              <w:t>171</w:t>
            </w:r>
          </w:p>
        </w:tc>
        <w:tc>
          <w:tcPr>
            <w:tcW w:w="1495" w:type="dxa"/>
            <w:tcBorders>
              <w:top w:val="single" w:sz="4" w:space="0" w:color="231F20"/>
              <w:bottom w:val="single" w:sz="4" w:space="0" w:color="231F20"/>
            </w:tcBorders>
          </w:tcPr>
          <w:p>
            <w:pPr>
              <w:pStyle w:val="TableParagraph"/>
              <w:spacing w:before="50"/>
              <w:ind w:left="911"/>
              <w:rPr>
                <w:rFonts w:ascii="Book Antiqua"/>
                <w:sz w:val="16"/>
              </w:rPr>
            </w:pPr>
            <w:r>
              <w:rPr>
                <w:rFonts w:ascii="Book Antiqua"/>
                <w:color w:val="231F20"/>
                <w:sz w:val="16"/>
              </w:rPr>
              <w:t>101</w:t>
            </w:r>
          </w:p>
        </w:tc>
      </w:tr>
      <w:tr>
        <w:trPr>
          <w:trHeight w:val="260" w:hRule="exact"/>
        </w:trPr>
        <w:tc>
          <w:tcPr>
            <w:tcW w:w="3029" w:type="dxa"/>
            <w:tcBorders>
              <w:top w:val="single" w:sz="4" w:space="0" w:color="231F20"/>
              <w:bottom w:val="single" w:sz="4" w:space="0" w:color="231F20"/>
            </w:tcBorders>
          </w:tcPr>
          <w:p>
            <w:pPr>
              <w:pStyle w:val="TableParagraph"/>
              <w:spacing w:before="50"/>
              <w:ind w:left="32"/>
              <w:rPr>
                <w:rFonts w:ascii="Book Antiqua"/>
                <w:sz w:val="16"/>
              </w:rPr>
            </w:pPr>
            <w:r>
              <w:rPr>
                <w:rFonts w:ascii="Book Antiqua"/>
                <w:color w:val="231F20"/>
                <w:w w:val="95"/>
                <w:sz w:val="16"/>
              </w:rPr>
              <w:t>Net income</w:t>
            </w:r>
          </w:p>
        </w:tc>
        <w:tc>
          <w:tcPr>
            <w:tcW w:w="2134" w:type="dxa"/>
            <w:tcBorders>
              <w:top w:val="single" w:sz="4" w:space="0" w:color="231F20"/>
              <w:bottom w:val="single" w:sz="4" w:space="0" w:color="231F20"/>
            </w:tcBorders>
          </w:tcPr>
          <w:p>
            <w:pPr>
              <w:pStyle w:val="TableParagraph"/>
              <w:spacing w:before="50"/>
              <w:ind w:left="900" w:right="467"/>
              <w:jc w:val="center"/>
              <w:rPr>
                <w:rFonts w:ascii="Book Antiqua"/>
                <w:sz w:val="16"/>
              </w:rPr>
            </w:pPr>
            <w:r>
              <w:rPr>
                <w:rFonts w:ascii="Book Antiqua"/>
                <w:color w:val="231F20"/>
                <w:sz w:val="16"/>
              </w:rPr>
              <w:t>24</w:t>
            </w:r>
          </w:p>
        </w:tc>
        <w:tc>
          <w:tcPr>
            <w:tcW w:w="1714" w:type="dxa"/>
            <w:tcBorders>
              <w:top w:val="single" w:sz="4" w:space="0" w:color="231F20"/>
              <w:bottom w:val="single" w:sz="4" w:space="0" w:color="231F20"/>
            </w:tcBorders>
          </w:tcPr>
          <w:p>
            <w:pPr>
              <w:pStyle w:val="TableParagraph"/>
              <w:spacing w:before="50"/>
              <w:ind w:right="589"/>
              <w:jc w:val="right"/>
              <w:rPr>
                <w:rFonts w:ascii="Book Antiqua"/>
                <w:sz w:val="16"/>
              </w:rPr>
            </w:pPr>
            <w:r>
              <w:rPr>
                <w:rFonts w:ascii="Book Antiqua"/>
                <w:color w:val="231F20"/>
                <w:sz w:val="16"/>
              </w:rPr>
              <w:t>246</w:t>
            </w:r>
          </w:p>
        </w:tc>
        <w:tc>
          <w:tcPr>
            <w:tcW w:w="2061" w:type="dxa"/>
            <w:tcBorders>
              <w:top w:val="single" w:sz="4" w:space="0" w:color="231F20"/>
              <w:bottom w:val="single" w:sz="4" w:space="0" w:color="231F20"/>
            </w:tcBorders>
          </w:tcPr>
          <w:p>
            <w:pPr>
              <w:pStyle w:val="TableParagraph"/>
              <w:spacing w:before="50"/>
              <w:ind w:left="824" w:right="518"/>
              <w:jc w:val="center"/>
              <w:rPr>
                <w:rFonts w:ascii="Book Antiqua"/>
                <w:sz w:val="16"/>
              </w:rPr>
            </w:pPr>
            <w:r>
              <w:rPr>
                <w:rFonts w:ascii="Book Antiqua"/>
                <w:color w:val="231F20"/>
                <w:sz w:val="16"/>
              </w:rPr>
              <w:t>106</w:t>
            </w:r>
          </w:p>
        </w:tc>
        <w:tc>
          <w:tcPr>
            <w:tcW w:w="1495" w:type="dxa"/>
            <w:tcBorders>
              <w:top w:val="single" w:sz="4" w:space="0" w:color="231F20"/>
              <w:bottom w:val="single" w:sz="4" w:space="0" w:color="231F20"/>
            </w:tcBorders>
          </w:tcPr>
          <w:p>
            <w:pPr>
              <w:pStyle w:val="TableParagraph"/>
              <w:spacing w:before="50"/>
              <w:ind w:left="975"/>
              <w:rPr>
                <w:rFonts w:ascii="Book Antiqua"/>
                <w:sz w:val="16"/>
              </w:rPr>
            </w:pPr>
            <w:r>
              <w:rPr>
                <w:rFonts w:ascii="Book Antiqua"/>
                <w:color w:val="231F20"/>
                <w:sz w:val="16"/>
              </w:rPr>
              <w:t>66</w:t>
            </w:r>
          </w:p>
        </w:tc>
      </w:tr>
      <w:tr>
        <w:trPr>
          <w:trHeight w:val="260" w:hRule="exact"/>
        </w:trPr>
        <w:tc>
          <w:tcPr>
            <w:tcW w:w="3029" w:type="dxa"/>
            <w:tcBorders>
              <w:top w:val="single" w:sz="4" w:space="0" w:color="231F20"/>
              <w:bottom w:val="single" w:sz="4" w:space="0" w:color="231F20"/>
            </w:tcBorders>
          </w:tcPr>
          <w:p>
            <w:pPr>
              <w:pStyle w:val="TableParagraph"/>
              <w:spacing w:before="50"/>
              <w:ind w:left="32"/>
              <w:rPr>
                <w:rFonts w:ascii="Book Antiqua"/>
                <w:sz w:val="16"/>
              </w:rPr>
            </w:pPr>
            <w:r>
              <w:rPr>
                <w:rFonts w:ascii="Book Antiqua"/>
                <w:color w:val="231F20"/>
                <w:w w:val="95"/>
                <w:sz w:val="16"/>
              </w:rPr>
              <w:t>Net income per share, basic</w:t>
            </w:r>
          </w:p>
        </w:tc>
        <w:tc>
          <w:tcPr>
            <w:tcW w:w="2134" w:type="dxa"/>
            <w:tcBorders>
              <w:top w:val="single" w:sz="4" w:space="0" w:color="231F20"/>
              <w:bottom w:val="single" w:sz="4" w:space="0" w:color="231F20"/>
            </w:tcBorders>
          </w:tcPr>
          <w:p>
            <w:pPr>
              <w:pStyle w:val="TableParagraph"/>
              <w:spacing w:before="50"/>
              <w:ind w:left="900" w:right="502"/>
              <w:jc w:val="center"/>
              <w:rPr>
                <w:rFonts w:ascii="Book Antiqua"/>
                <w:sz w:val="16"/>
              </w:rPr>
            </w:pPr>
            <w:r>
              <w:rPr>
                <w:rFonts w:ascii="Book Antiqua"/>
                <w:color w:val="231F20"/>
                <w:sz w:val="16"/>
              </w:rPr>
              <w:t>.03</w:t>
            </w:r>
          </w:p>
        </w:tc>
        <w:tc>
          <w:tcPr>
            <w:tcW w:w="1714" w:type="dxa"/>
            <w:tcBorders>
              <w:top w:val="single" w:sz="4" w:space="0" w:color="231F20"/>
              <w:bottom w:val="single" w:sz="4" w:space="0" w:color="231F20"/>
            </w:tcBorders>
          </w:tcPr>
          <w:p>
            <w:pPr>
              <w:pStyle w:val="TableParagraph"/>
              <w:spacing w:before="50"/>
              <w:ind w:right="588"/>
              <w:jc w:val="right"/>
              <w:rPr>
                <w:rFonts w:ascii="Book Antiqua"/>
                <w:sz w:val="16"/>
              </w:rPr>
            </w:pPr>
            <w:r>
              <w:rPr>
                <w:rFonts w:ascii="Book Antiqua"/>
                <w:color w:val="231F20"/>
                <w:w w:val="95"/>
                <w:sz w:val="16"/>
              </w:rPr>
              <w:t>.32</w:t>
            </w:r>
          </w:p>
        </w:tc>
        <w:tc>
          <w:tcPr>
            <w:tcW w:w="2061" w:type="dxa"/>
            <w:tcBorders>
              <w:top w:val="single" w:sz="4" w:space="0" w:color="231F20"/>
              <w:bottom w:val="single" w:sz="4" w:space="0" w:color="231F20"/>
            </w:tcBorders>
          </w:tcPr>
          <w:p>
            <w:pPr>
              <w:pStyle w:val="TableParagraph"/>
              <w:spacing w:before="50"/>
              <w:ind w:left="824" w:right="461"/>
              <w:jc w:val="center"/>
              <w:rPr>
                <w:rFonts w:ascii="Book Antiqua"/>
                <w:sz w:val="16"/>
              </w:rPr>
            </w:pPr>
            <w:r>
              <w:rPr>
                <w:rFonts w:ascii="Book Antiqua"/>
                <w:color w:val="231F20"/>
                <w:sz w:val="16"/>
              </w:rPr>
              <w:t>.14</w:t>
            </w:r>
          </w:p>
        </w:tc>
        <w:tc>
          <w:tcPr>
            <w:tcW w:w="1495" w:type="dxa"/>
            <w:tcBorders>
              <w:top w:val="single" w:sz="4" w:space="0" w:color="231F20"/>
              <w:bottom w:val="single" w:sz="4" w:space="0" w:color="231F20"/>
            </w:tcBorders>
          </w:tcPr>
          <w:p>
            <w:pPr>
              <w:pStyle w:val="TableParagraph"/>
              <w:spacing w:before="50"/>
              <w:ind w:left="942"/>
              <w:rPr>
                <w:rFonts w:ascii="Book Antiqua"/>
                <w:sz w:val="16"/>
              </w:rPr>
            </w:pPr>
            <w:r>
              <w:rPr>
                <w:rFonts w:ascii="Book Antiqua"/>
                <w:color w:val="231F20"/>
                <w:sz w:val="16"/>
              </w:rPr>
              <w:t>.08</w:t>
            </w:r>
          </w:p>
        </w:tc>
      </w:tr>
      <w:tr>
        <w:trPr>
          <w:trHeight w:val="260" w:hRule="exact"/>
        </w:trPr>
        <w:tc>
          <w:tcPr>
            <w:tcW w:w="3029" w:type="dxa"/>
            <w:tcBorders>
              <w:top w:val="single" w:sz="4" w:space="0" w:color="231F20"/>
              <w:bottom w:val="single" w:sz="4" w:space="0" w:color="231F20"/>
            </w:tcBorders>
          </w:tcPr>
          <w:p>
            <w:pPr>
              <w:pStyle w:val="TableParagraph"/>
              <w:spacing w:before="50"/>
              <w:ind w:left="32"/>
              <w:rPr>
                <w:rFonts w:ascii="Book Antiqua"/>
                <w:sz w:val="16"/>
              </w:rPr>
            </w:pPr>
            <w:r>
              <w:rPr>
                <w:rFonts w:ascii="Book Antiqua"/>
                <w:color w:val="231F20"/>
                <w:w w:val="95"/>
                <w:sz w:val="16"/>
              </w:rPr>
              <w:t>Net income per share, diluted</w:t>
            </w:r>
          </w:p>
        </w:tc>
        <w:tc>
          <w:tcPr>
            <w:tcW w:w="2134" w:type="dxa"/>
            <w:tcBorders>
              <w:top w:val="single" w:sz="4" w:space="0" w:color="231F20"/>
              <w:bottom w:val="single" w:sz="4" w:space="0" w:color="231F20"/>
            </w:tcBorders>
          </w:tcPr>
          <w:p>
            <w:pPr>
              <w:pStyle w:val="TableParagraph"/>
              <w:spacing w:before="50"/>
              <w:ind w:left="900" w:right="501"/>
              <w:jc w:val="center"/>
              <w:rPr>
                <w:rFonts w:ascii="Book Antiqua"/>
                <w:sz w:val="16"/>
              </w:rPr>
            </w:pPr>
            <w:r>
              <w:rPr>
                <w:rFonts w:ascii="Book Antiqua"/>
                <w:color w:val="231F20"/>
                <w:sz w:val="16"/>
              </w:rPr>
              <w:t>.03</w:t>
            </w:r>
          </w:p>
        </w:tc>
        <w:tc>
          <w:tcPr>
            <w:tcW w:w="1714" w:type="dxa"/>
            <w:tcBorders>
              <w:top w:val="single" w:sz="4" w:space="0" w:color="231F20"/>
              <w:bottom w:val="single" w:sz="4" w:space="0" w:color="231F20"/>
            </w:tcBorders>
          </w:tcPr>
          <w:p>
            <w:pPr>
              <w:pStyle w:val="TableParagraph"/>
              <w:spacing w:before="50"/>
              <w:ind w:right="588"/>
              <w:jc w:val="right"/>
              <w:rPr>
                <w:rFonts w:ascii="Book Antiqua"/>
                <w:sz w:val="16"/>
              </w:rPr>
            </w:pPr>
            <w:r>
              <w:rPr>
                <w:rFonts w:ascii="Book Antiqua"/>
                <w:color w:val="231F20"/>
                <w:w w:val="95"/>
                <w:sz w:val="16"/>
              </w:rPr>
              <w:t>.30</w:t>
            </w:r>
          </w:p>
        </w:tc>
        <w:tc>
          <w:tcPr>
            <w:tcW w:w="2061" w:type="dxa"/>
            <w:tcBorders>
              <w:top w:val="single" w:sz="4" w:space="0" w:color="231F20"/>
              <w:bottom w:val="single" w:sz="4" w:space="0" w:color="231F20"/>
            </w:tcBorders>
          </w:tcPr>
          <w:p>
            <w:pPr>
              <w:pStyle w:val="TableParagraph"/>
              <w:spacing w:before="50"/>
              <w:ind w:left="824" w:right="462"/>
              <w:jc w:val="center"/>
              <w:rPr>
                <w:rFonts w:ascii="Book Antiqua"/>
                <w:sz w:val="16"/>
              </w:rPr>
            </w:pPr>
            <w:r>
              <w:rPr>
                <w:rFonts w:ascii="Book Antiqua"/>
                <w:color w:val="231F20"/>
                <w:sz w:val="16"/>
              </w:rPr>
              <w:t>.13</w:t>
            </w:r>
          </w:p>
        </w:tc>
        <w:tc>
          <w:tcPr>
            <w:tcW w:w="1495" w:type="dxa"/>
            <w:tcBorders>
              <w:top w:val="single" w:sz="4" w:space="0" w:color="231F20"/>
              <w:bottom w:val="single" w:sz="4" w:space="0" w:color="231F20"/>
            </w:tcBorders>
          </w:tcPr>
          <w:p>
            <w:pPr>
              <w:pStyle w:val="TableParagraph"/>
              <w:spacing w:before="50"/>
              <w:ind w:left="942"/>
              <w:rPr>
                <w:rFonts w:ascii="Book Antiqua"/>
                <w:sz w:val="16"/>
              </w:rPr>
            </w:pPr>
            <w:r>
              <w:rPr>
                <w:rFonts w:ascii="Book Antiqua"/>
                <w:color w:val="231F20"/>
                <w:sz w:val="16"/>
              </w:rPr>
              <w:t>.08</w:t>
            </w:r>
          </w:p>
        </w:tc>
      </w:tr>
      <w:tr>
        <w:trPr>
          <w:trHeight w:val="780" w:hRule="exact"/>
        </w:trPr>
        <w:tc>
          <w:tcPr>
            <w:tcW w:w="3029" w:type="dxa"/>
            <w:tcBorders>
              <w:top w:val="single" w:sz="4" w:space="0" w:color="231F20"/>
              <w:bottom w:val="single" w:sz="4" w:space="0" w:color="231F20"/>
            </w:tcBorders>
          </w:tcPr>
          <w:p>
            <w:pPr>
              <w:pStyle w:val="TableParagraph"/>
              <w:spacing w:before="11"/>
              <w:rPr>
                <w:rFonts w:ascii="Book Antiqua"/>
                <w:sz w:val="24"/>
              </w:rPr>
            </w:pPr>
          </w:p>
          <w:p>
            <w:pPr>
              <w:pStyle w:val="TableParagraph"/>
              <w:ind w:left="32"/>
              <w:rPr>
                <w:rFonts w:ascii="Book Antiqua"/>
                <w:sz w:val="16"/>
              </w:rPr>
            </w:pPr>
            <w:r>
              <w:rPr>
                <w:rFonts w:ascii="Book Antiqua"/>
                <w:color w:val="231F20"/>
                <w:sz w:val="16"/>
              </w:rPr>
              <w:t>2002</w:t>
            </w:r>
          </w:p>
          <w:p>
            <w:pPr>
              <w:pStyle w:val="TableParagraph"/>
              <w:spacing w:before="60"/>
              <w:ind w:left="32"/>
              <w:rPr>
                <w:rFonts w:ascii="Book Antiqua"/>
                <w:sz w:val="16"/>
              </w:rPr>
            </w:pPr>
            <w:r>
              <w:rPr>
                <w:rFonts w:ascii="Book Antiqua"/>
                <w:color w:val="231F20"/>
                <w:w w:val="90"/>
                <w:sz w:val="16"/>
              </w:rPr>
              <w:t>Operating revenues</w:t>
            </w:r>
          </w:p>
        </w:tc>
        <w:tc>
          <w:tcPr>
            <w:tcW w:w="2134" w:type="dxa"/>
            <w:tcBorders>
              <w:top w:val="single" w:sz="4" w:space="0" w:color="231F20"/>
              <w:bottom w:val="single" w:sz="4" w:space="0" w:color="231F20"/>
            </w:tcBorders>
          </w:tcPr>
          <w:p>
            <w:pPr>
              <w:pStyle w:val="TableParagraph"/>
              <w:rPr>
                <w:rFonts w:ascii="Book Antiqua"/>
                <w:sz w:val="18"/>
              </w:rPr>
            </w:pPr>
          </w:p>
          <w:p>
            <w:pPr>
              <w:pStyle w:val="TableParagraph"/>
              <w:rPr>
                <w:rFonts w:ascii="Book Antiqua"/>
                <w:sz w:val="18"/>
              </w:rPr>
            </w:pPr>
          </w:p>
          <w:p>
            <w:pPr>
              <w:pStyle w:val="TableParagraph"/>
              <w:spacing w:before="122"/>
              <w:ind w:left="893" w:right="747"/>
              <w:jc w:val="center"/>
              <w:rPr>
                <w:rFonts w:ascii="Book Antiqua"/>
                <w:sz w:val="16"/>
              </w:rPr>
            </w:pPr>
            <w:r>
              <w:rPr>
                <w:rFonts w:ascii="Book Antiqua"/>
                <w:color w:val="231F20"/>
                <w:sz w:val="16"/>
              </w:rPr>
              <w:t>$1,257</w:t>
            </w:r>
          </w:p>
        </w:tc>
        <w:tc>
          <w:tcPr>
            <w:tcW w:w="1714" w:type="dxa"/>
            <w:tcBorders>
              <w:top w:val="single" w:sz="4" w:space="0" w:color="231F20"/>
              <w:bottom w:val="single" w:sz="4" w:space="0" w:color="231F20"/>
            </w:tcBorders>
          </w:tcPr>
          <w:p>
            <w:pPr>
              <w:pStyle w:val="TableParagraph"/>
              <w:rPr>
                <w:rFonts w:ascii="Book Antiqua"/>
                <w:sz w:val="18"/>
              </w:rPr>
            </w:pPr>
          </w:p>
          <w:p>
            <w:pPr>
              <w:pStyle w:val="TableParagraph"/>
              <w:rPr>
                <w:rFonts w:ascii="Book Antiqua"/>
                <w:sz w:val="18"/>
              </w:rPr>
            </w:pPr>
          </w:p>
          <w:p>
            <w:pPr>
              <w:pStyle w:val="TableParagraph"/>
              <w:spacing w:before="122"/>
              <w:ind w:left="664" w:right="566"/>
              <w:jc w:val="center"/>
              <w:rPr>
                <w:rFonts w:ascii="Book Antiqua"/>
                <w:sz w:val="16"/>
              </w:rPr>
            </w:pPr>
            <w:r>
              <w:rPr>
                <w:rFonts w:ascii="Book Antiqua"/>
                <w:color w:val="231F20"/>
                <w:sz w:val="16"/>
              </w:rPr>
              <w:t>$1,473</w:t>
            </w:r>
          </w:p>
        </w:tc>
        <w:tc>
          <w:tcPr>
            <w:tcW w:w="2061" w:type="dxa"/>
            <w:tcBorders>
              <w:top w:val="single" w:sz="4" w:space="0" w:color="231F20"/>
              <w:bottom w:val="single" w:sz="4" w:space="0" w:color="231F20"/>
            </w:tcBorders>
          </w:tcPr>
          <w:p>
            <w:pPr>
              <w:pStyle w:val="TableParagraph"/>
              <w:rPr>
                <w:rFonts w:ascii="Book Antiqua"/>
                <w:sz w:val="18"/>
              </w:rPr>
            </w:pPr>
          </w:p>
          <w:p>
            <w:pPr>
              <w:pStyle w:val="TableParagraph"/>
              <w:rPr>
                <w:rFonts w:ascii="Book Antiqua"/>
                <w:sz w:val="18"/>
              </w:rPr>
            </w:pPr>
          </w:p>
          <w:p>
            <w:pPr>
              <w:pStyle w:val="TableParagraph"/>
              <w:spacing w:before="122"/>
              <w:ind w:left="824" w:right="717"/>
              <w:jc w:val="center"/>
              <w:rPr>
                <w:rFonts w:ascii="Book Antiqua"/>
                <w:sz w:val="16"/>
              </w:rPr>
            </w:pPr>
            <w:r>
              <w:rPr>
                <w:rFonts w:ascii="Book Antiqua"/>
                <w:color w:val="231F20"/>
                <w:sz w:val="16"/>
              </w:rPr>
              <w:t>$1, 391</w:t>
            </w:r>
          </w:p>
        </w:tc>
        <w:tc>
          <w:tcPr>
            <w:tcW w:w="1495" w:type="dxa"/>
            <w:tcBorders>
              <w:top w:val="single" w:sz="4" w:space="0" w:color="231F20"/>
              <w:bottom w:val="single" w:sz="4" w:space="0" w:color="231F20"/>
            </w:tcBorders>
          </w:tcPr>
          <w:p>
            <w:pPr>
              <w:pStyle w:val="TableParagraph"/>
              <w:rPr>
                <w:rFonts w:ascii="Book Antiqua"/>
                <w:sz w:val="18"/>
              </w:rPr>
            </w:pPr>
          </w:p>
          <w:p>
            <w:pPr>
              <w:pStyle w:val="TableParagraph"/>
              <w:rPr>
                <w:rFonts w:ascii="Book Antiqua"/>
                <w:sz w:val="18"/>
              </w:rPr>
            </w:pPr>
          </w:p>
          <w:p>
            <w:pPr>
              <w:pStyle w:val="TableParagraph"/>
              <w:spacing w:before="122"/>
              <w:ind w:left="690"/>
              <w:rPr>
                <w:rFonts w:ascii="Book Antiqua"/>
                <w:sz w:val="16"/>
              </w:rPr>
            </w:pPr>
            <w:r>
              <w:rPr>
                <w:rFonts w:ascii="Book Antiqua"/>
                <w:color w:val="231F20"/>
                <w:sz w:val="16"/>
              </w:rPr>
              <w:t>$1, 401</w:t>
            </w:r>
          </w:p>
        </w:tc>
      </w:tr>
      <w:tr>
        <w:trPr>
          <w:trHeight w:val="260" w:hRule="exact"/>
        </w:trPr>
        <w:tc>
          <w:tcPr>
            <w:tcW w:w="3029" w:type="dxa"/>
            <w:tcBorders>
              <w:top w:val="single" w:sz="4" w:space="0" w:color="231F20"/>
              <w:bottom w:val="single" w:sz="4" w:space="0" w:color="231F20"/>
            </w:tcBorders>
          </w:tcPr>
          <w:p>
            <w:pPr>
              <w:pStyle w:val="TableParagraph"/>
              <w:spacing w:before="50"/>
              <w:ind w:left="32"/>
              <w:rPr>
                <w:rFonts w:ascii="Book Antiqua"/>
                <w:sz w:val="16"/>
              </w:rPr>
            </w:pPr>
            <w:r>
              <w:rPr>
                <w:rFonts w:ascii="Book Antiqua"/>
                <w:color w:val="231F20"/>
                <w:w w:val="95"/>
                <w:sz w:val="16"/>
              </w:rPr>
              <w:t>Operating income</w:t>
            </w:r>
          </w:p>
        </w:tc>
        <w:tc>
          <w:tcPr>
            <w:tcW w:w="2134" w:type="dxa"/>
            <w:tcBorders>
              <w:top w:val="single" w:sz="4" w:space="0" w:color="231F20"/>
              <w:bottom w:val="single" w:sz="4" w:space="0" w:color="231F20"/>
            </w:tcBorders>
          </w:tcPr>
          <w:p>
            <w:pPr>
              <w:pStyle w:val="TableParagraph"/>
              <w:spacing w:before="50"/>
              <w:ind w:left="900" w:right="470"/>
              <w:jc w:val="center"/>
              <w:rPr>
                <w:rFonts w:ascii="Book Antiqua"/>
                <w:sz w:val="16"/>
              </w:rPr>
            </w:pPr>
            <w:r>
              <w:rPr>
                <w:rFonts w:ascii="Book Antiqua"/>
                <w:color w:val="231F20"/>
                <w:sz w:val="16"/>
              </w:rPr>
              <w:t>49</w:t>
            </w:r>
          </w:p>
        </w:tc>
        <w:tc>
          <w:tcPr>
            <w:tcW w:w="1714" w:type="dxa"/>
            <w:tcBorders>
              <w:top w:val="single" w:sz="4" w:space="0" w:color="231F20"/>
              <w:bottom w:val="single" w:sz="4" w:space="0" w:color="231F20"/>
            </w:tcBorders>
          </w:tcPr>
          <w:p>
            <w:pPr>
              <w:pStyle w:val="TableParagraph"/>
              <w:spacing w:before="50"/>
              <w:ind w:right="589"/>
              <w:jc w:val="right"/>
              <w:rPr>
                <w:rFonts w:ascii="Book Antiqua"/>
                <w:sz w:val="16"/>
              </w:rPr>
            </w:pPr>
            <w:r>
              <w:rPr>
                <w:rFonts w:ascii="Book Antiqua"/>
                <w:color w:val="231F20"/>
                <w:sz w:val="16"/>
              </w:rPr>
              <w:t>189</w:t>
            </w:r>
          </w:p>
        </w:tc>
        <w:tc>
          <w:tcPr>
            <w:tcW w:w="2061" w:type="dxa"/>
            <w:tcBorders>
              <w:top w:val="single" w:sz="4" w:space="0" w:color="231F20"/>
              <w:bottom w:val="single" w:sz="4" w:space="0" w:color="231F20"/>
            </w:tcBorders>
          </w:tcPr>
          <w:p>
            <w:pPr>
              <w:pStyle w:val="TableParagraph"/>
              <w:spacing w:before="50"/>
              <w:ind w:left="824" w:right="433"/>
              <w:jc w:val="center"/>
              <w:rPr>
                <w:rFonts w:ascii="Book Antiqua"/>
                <w:sz w:val="16"/>
              </w:rPr>
            </w:pPr>
            <w:r>
              <w:rPr>
                <w:rFonts w:ascii="Book Antiqua"/>
                <w:color w:val="231F20"/>
                <w:sz w:val="16"/>
              </w:rPr>
              <w:t>91</w:t>
            </w:r>
          </w:p>
        </w:tc>
        <w:tc>
          <w:tcPr>
            <w:tcW w:w="1495" w:type="dxa"/>
            <w:tcBorders>
              <w:top w:val="single" w:sz="4" w:space="0" w:color="231F20"/>
              <w:bottom w:val="single" w:sz="4" w:space="0" w:color="231F20"/>
            </w:tcBorders>
          </w:tcPr>
          <w:p>
            <w:pPr>
              <w:pStyle w:val="TableParagraph"/>
              <w:spacing w:before="50"/>
              <w:ind w:left="975"/>
              <w:rPr>
                <w:rFonts w:ascii="Book Antiqua"/>
                <w:sz w:val="16"/>
              </w:rPr>
            </w:pPr>
            <w:r>
              <w:rPr>
                <w:rFonts w:ascii="Book Antiqua"/>
                <w:color w:val="231F20"/>
                <w:sz w:val="16"/>
              </w:rPr>
              <w:t>88</w:t>
            </w:r>
          </w:p>
        </w:tc>
      </w:tr>
      <w:tr>
        <w:trPr>
          <w:trHeight w:val="260" w:hRule="exact"/>
        </w:trPr>
        <w:tc>
          <w:tcPr>
            <w:tcW w:w="3029" w:type="dxa"/>
            <w:tcBorders>
              <w:top w:val="single" w:sz="4" w:space="0" w:color="231F20"/>
              <w:bottom w:val="single" w:sz="4" w:space="0" w:color="231F20"/>
            </w:tcBorders>
          </w:tcPr>
          <w:p>
            <w:pPr>
              <w:pStyle w:val="TableParagraph"/>
              <w:spacing w:before="50"/>
              <w:ind w:left="32"/>
              <w:rPr>
                <w:rFonts w:ascii="Book Antiqua"/>
                <w:sz w:val="16"/>
              </w:rPr>
            </w:pPr>
            <w:r>
              <w:rPr>
                <w:rFonts w:ascii="Book Antiqua"/>
                <w:color w:val="231F20"/>
                <w:w w:val="95"/>
                <w:sz w:val="16"/>
              </w:rPr>
              <w:t>Income before income taxes</w:t>
            </w:r>
          </w:p>
        </w:tc>
        <w:tc>
          <w:tcPr>
            <w:tcW w:w="2134" w:type="dxa"/>
            <w:tcBorders>
              <w:top w:val="single" w:sz="4" w:space="0" w:color="231F20"/>
              <w:bottom w:val="single" w:sz="4" w:space="0" w:color="231F20"/>
            </w:tcBorders>
          </w:tcPr>
          <w:p>
            <w:pPr>
              <w:pStyle w:val="TableParagraph"/>
              <w:spacing w:before="50"/>
              <w:ind w:left="900" w:right="467"/>
              <w:jc w:val="center"/>
              <w:rPr>
                <w:rFonts w:ascii="Book Antiqua"/>
                <w:sz w:val="16"/>
              </w:rPr>
            </w:pPr>
            <w:r>
              <w:rPr>
                <w:rFonts w:ascii="Book Antiqua"/>
                <w:color w:val="231F20"/>
                <w:sz w:val="16"/>
              </w:rPr>
              <w:t>35</w:t>
            </w:r>
          </w:p>
        </w:tc>
        <w:tc>
          <w:tcPr>
            <w:tcW w:w="1714" w:type="dxa"/>
            <w:tcBorders>
              <w:top w:val="single" w:sz="4" w:space="0" w:color="231F20"/>
              <w:bottom w:val="single" w:sz="4" w:space="0" w:color="231F20"/>
            </w:tcBorders>
          </w:tcPr>
          <w:p>
            <w:pPr>
              <w:pStyle w:val="TableParagraph"/>
              <w:spacing w:before="50"/>
              <w:ind w:right="588"/>
              <w:jc w:val="right"/>
              <w:rPr>
                <w:rFonts w:ascii="Book Antiqua"/>
                <w:sz w:val="16"/>
              </w:rPr>
            </w:pPr>
            <w:r>
              <w:rPr>
                <w:rFonts w:ascii="Book Antiqua"/>
                <w:color w:val="231F20"/>
                <w:sz w:val="16"/>
              </w:rPr>
              <w:t>169</w:t>
            </w:r>
          </w:p>
        </w:tc>
        <w:tc>
          <w:tcPr>
            <w:tcW w:w="2061" w:type="dxa"/>
            <w:tcBorders>
              <w:top w:val="single" w:sz="4" w:space="0" w:color="231F20"/>
              <w:bottom w:val="single" w:sz="4" w:space="0" w:color="231F20"/>
            </w:tcBorders>
          </w:tcPr>
          <w:p>
            <w:pPr>
              <w:pStyle w:val="TableParagraph"/>
              <w:spacing w:before="50"/>
              <w:ind w:left="824" w:right="517"/>
              <w:jc w:val="center"/>
              <w:rPr>
                <w:rFonts w:ascii="Book Antiqua"/>
                <w:sz w:val="16"/>
              </w:rPr>
            </w:pPr>
            <w:r>
              <w:rPr>
                <w:rFonts w:ascii="Book Antiqua"/>
                <w:color w:val="231F20"/>
                <w:sz w:val="16"/>
              </w:rPr>
              <w:t>124</w:t>
            </w:r>
          </w:p>
        </w:tc>
        <w:tc>
          <w:tcPr>
            <w:tcW w:w="1495" w:type="dxa"/>
            <w:tcBorders>
              <w:top w:val="single" w:sz="4" w:space="0" w:color="231F20"/>
              <w:bottom w:val="single" w:sz="4" w:space="0" w:color="231F20"/>
            </w:tcBorders>
          </w:tcPr>
          <w:p>
            <w:pPr>
              <w:pStyle w:val="TableParagraph"/>
              <w:spacing w:before="50"/>
              <w:ind w:left="976"/>
              <w:rPr>
                <w:rFonts w:ascii="Book Antiqua"/>
                <w:sz w:val="16"/>
              </w:rPr>
            </w:pPr>
            <w:r>
              <w:rPr>
                <w:rFonts w:ascii="Book Antiqua"/>
                <w:color w:val="231F20"/>
                <w:sz w:val="16"/>
              </w:rPr>
              <w:t>64</w:t>
            </w:r>
          </w:p>
        </w:tc>
      </w:tr>
      <w:tr>
        <w:trPr>
          <w:trHeight w:val="260" w:hRule="exact"/>
        </w:trPr>
        <w:tc>
          <w:tcPr>
            <w:tcW w:w="3029" w:type="dxa"/>
            <w:tcBorders>
              <w:top w:val="single" w:sz="4" w:space="0" w:color="231F20"/>
              <w:bottom w:val="single" w:sz="4" w:space="0" w:color="231F20"/>
            </w:tcBorders>
          </w:tcPr>
          <w:p>
            <w:pPr>
              <w:pStyle w:val="TableParagraph"/>
              <w:spacing w:before="50"/>
              <w:ind w:left="32"/>
              <w:rPr>
                <w:rFonts w:ascii="Book Antiqua"/>
                <w:sz w:val="16"/>
              </w:rPr>
            </w:pPr>
            <w:r>
              <w:rPr>
                <w:rFonts w:ascii="Book Antiqua"/>
                <w:color w:val="231F20"/>
                <w:w w:val="95"/>
                <w:sz w:val="16"/>
              </w:rPr>
              <w:t>Net income</w:t>
            </w:r>
          </w:p>
        </w:tc>
        <w:tc>
          <w:tcPr>
            <w:tcW w:w="2134" w:type="dxa"/>
            <w:tcBorders>
              <w:top w:val="single" w:sz="4" w:space="0" w:color="231F20"/>
              <w:bottom w:val="single" w:sz="4" w:space="0" w:color="231F20"/>
            </w:tcBorders>
          </w:tcPr>
          <w:p>
            <w:pPr>
              <w:pStyle w:val="TableParagraph"/>
              <w:spacing w:before="50"/>
              <w:ind w:left="900" w:right="464"/>
              <w:jc w:val="center"/>
              <w:rPr>
                <w:rFonts w:ascii="Book Antiqua"/>
                <w:sz w:val="16"/>
              </w:rPr>
            </w:pPr>
            <w:r>
              <w:rPr>
                <w:rFonts w:ascii="Book Antiqua"/>
                <w:color w:val="231F20"/>
                <w:sz w:val="16"/>
              </w:rPr>
              <w:t>21</w:t>
            </w:r>
          </w:p>
        </w:tc>
        <w:tc>
          <w:tcPr>
            <w:tcW w:w="1714" w:type="dxa"/>
            <w:tcBorders>
              <w:top w:val="single" w:sz="4" w:space="0" w:color="231F20"/>
              <w:bottom w:val="single" w:sz="4" w:space="0" w:color="231F20"/>
            </w:tcBorders>
          </w:tcPr>
          <w:p>
            <w:pPr>
              <w:pStyle w:val="TableParagraph"/>
              <w:spacing w:before="50"/>
              <w:ind w:right="589"/>
              <w:jc w:val="right"/>
              <w:rPr>
                <w:rFonts w:ascii="Book Antiqua"/>
                <w:sz w:val="16"/>
              </w:rPr>
            </w:pPr>
            <w:r>
              <w:rPr>
                <w:rFonts w:ascii="Book Antiqua"/>
                <w:color w:val="231F20"/>
                <w:sz w:val="16"/>
              </w:rPr>
              <w:t>102</w:t>
            </w:r>
          </w:p>
        </w:tc>
        <w:tc>
          <w:tcPr>
            <w:tcW w:w="2061" w:type="dxa"/>
            <w:tcBorders>
              <w:top w:val="single" w:sz="4" w:space="0" w:color="231F20"/>
              <w:bottom w:val="single" w:sz="4" w:space="0" w:color="231F20"/>
            </w:tcBorders>
          </w:tcPr>
          <w:p>
            <w:pPr>
              <w:pStyle w:val="TableParagraph"/>
              <w:spacing w:before="50"/>
              <w:ind w:left="824" w:right="436"/>
              <w:jc w:val="center"/>
              <w:rPr>
                <w:rFonts w:ascii="Book Antiqua"/>
                <w:sz w:val="16"/>
              </w:rPr>
            </w:pPr>
            <w:r>
              <w:rPr>
                <w:rFonts w:ascii="Book Antiqua"/>
                <w:color w:val="231F20"/>
                <w:sz w:val="16"/>
              </w:rPr>
              <w:t>75</w:t>
            </w:r>
          </w:p>
        </w:tc>
        <w:tc>
          <w:tcPr>
            <w:tcW w:w="1495" w:type="dxa"/>
            <w:tcBorders>
              <w:top w:val="single" w:sz="4" w:space="0" w:color="231F20"/>
              <w:bottom w:val="single" w:sz="4" w:space="0" w:color="231F20"/>
            </w:tcBorders>
          </w:tcPr>
          <w:p>
            <w:pPr>
              <w:pStyle w:val="TableParagraph"/>
              <w:spacing w:before="50"/>
              <w:ind w:left="975"/>
              <w:rPr>
                <w:rFonts w:ascii="Book Antiqua"/>
                <w:sz w:val="16"/>
              </w:rPr>
            </w:pPr>
            <w:r>
              <w:rPr>
                <w:rFonts w:ascii="Book Antiqua"/>
                <w:color w:val="231F20"/>
                <w:sz w:val="16"/>
              </w:rPr>
              <w:t>42</w:t>
            </w:r>
          </w:p>
        </w:tc>
      </w:tr>
      <w:tr>
        <w:trPr>
          <w:trHeight w:val="260" w:hRule="exact"/>
        </w:trPr>
        <w:tc>
          <w:tcPr>
            <w:tcW w:w="3029" w:type="dxa"/>
            <w:tcBorders>
              <w:top w:val="single" w:sz="4" w:space="0" w:color="231F20"/>
              <w:bottom w:val="single" w:sz="4" w:space="0" w:color="231F20"/>
            </w:tcBorders>
          </w:tcPr>
          <w:p>
            <w:pPr>
              <w:pStyle w:val="TableParagraph"/>
              <w:spacing w:before="50"/>
              <w:ind w:left="32"/>
              <w:rPr>
                <w:rFonts w:ascii="Book Antiqua"/>
                <w:sz w:val="16"/>
              </w:rPr>
            </w:pPr>
            <w:r>
              <w:rPr>
                <w:rFonts w:ascii="Book Antiqua"/>
                <w:color w:val="231F20"/>
                <w:w w:val="95"/>
                <w:sz w:val="16"/>
              </w:rPr>
              <w:t>Net income per share, basic</w:t>
            </w:r>
          </w:p>
        </w:tc>
        <w:tc>
          <w:tcPr>
            <w:tcW w:w="2134" w:type="dxa"/>
            <w:tcBorders>
              <w:top w:val="single" w:sz="4" w:space="0" w:color="231F20"/>
              <w:bottom w:val="single" w:sz="4" w:space="0" w:color="231F20"/>
            </w:tcBorders>
          </w:tcPr>
          <w:p>
            <w:pPr>
              <w:pStyle w:val="TableParagraph"/>
              <w:spacing w:before="50"/>
              <w:ind w:left="900" w:right="504"/>
              <w:jc w:val="center"/>
              <w:rPr>
                <w:rFonts w:ascii="Book Antiqua"/>
                <w:sz w:val="16"/>
              </w:rPr>
            </w:pPr>
            <w:r>
              <w:rPr>
                <w:rFonts w:ascii="Book Antiqua"/>
                <w:color w:val="231F20"/>
                <w:sz w:val="16"/>
              </w:rPr>
              <w:t>.03</w:t>
            </w:r>
          </w:p>
        </w:tc>
        <w:tc>
          <w:tcPr>
            <w:tcW w:w="1714" w:type="dxa"/>
            <w:tcBorders>
              <w:top w:val="single" w:sz="4" w:space="0" w:color="231F20"/>
              <w:bottom w:val="single" w:sz="4" w:space="0" w:color="231F20"/>
            </w:tcBorders>
          </w:tcPr>
          <w:p>
            <w:pPr>
              <w:pStyle w:val="TableParagraph"/>
              <w:spacing w:before="50"/>
              <w:ind w:right="588"/>
              <w:jc w:val="right"/>
              <w:rPr>
                <w:rFonts w:ascii="Book Antiqua"/>
                <w:sz w:val="16"/>
              </w:rPr>
            </w:pPr>
            <w:r>
              <w:rPr>
                <w:rFonts w:ascii="Book Antiqua"/>
                <w:color w:val="231F20"/>
                <w:w w:val="95"/>
                <w:sz w:val="16"/>
              </w:rPr>
              <w:t>.13</w:t>
            </w:r>
          </w:p>
        </w:tc>
        <w:tc>
          <w:tcPr>
            <w:tcW w:w="2061" w:type="dxa"/>
            <w:tcBorders>
              <w:top w:val="single" w:sz="4" w:space="0" w:color="231F20"/>
              <w:bottom w:val="single" w:sz="4" w:space="0" w:color="231F20"/>
            </w:tcBorders>
          </w:tcPr>
          <w:p>
            <w:pPr>
              <w:pStyle w:val="TableParagraph"/>
              <w:spacing w:before="50"/>
              <w:ind w:left="824" w:right="464"/>
              <w:jc w:val="center"/>
              <w:rPr>
                <w:rFonts w:ascii="Book Antiqua"/>
                <w:sz w:val="16"/>
              </w:rPr>
            </w:pPr>
            <w:r>
              <w:rPr>
                <w:rFonts w:ascii="Book Antiqua"/>
                <w:color w:val="231F20"/>
                <w:sz w:val="16"/>
              </w:rPr>
              <w:t>.10</w:t>
            </w:r>
          </w:p>
        </w:tc>
        <w:tc>
          <w:tcPr>
            <w:tcW w:w="1495" w:type="dxa"/>
            <w:tcBorders>
              <w:top w:val="single" w:sz="4" w:space="0" w:color="231F20"/>
              <w:bottom w:val="single" w:sz="4" w:space="0" w:color="231F20"/>
            </w:tcBorders>
          </w:tcPr>
          <w:p>
            <w:pPr>
              <w:pStyle w:val="TableParagraph"/>
              <w:spacing w:before="50"/>
              <w:ind w:left="942"/>
              <w:rPr>
                <w:rFonts w:ascii="Book Antiqua"/>
                <w:sz w:val="16"/>
              </w:rPr>
            </w:pPr>
            <w:r>
              <w:rPr>
                <w:rFonts w:ascii="Book Antiqua"/>
                <w:color w:val="231F20"/>
                <w:sz w:val="16"/>
              </w:rPr>
              <w:t>.05</w:t>
            </w:r>
          </w:p>
        </w:tc>
      </w:tr>
      <w:tr>
        <w:trPr>
          <w:trHeight w:val="260" w:hRule="exact"/>
        </w:trPr>
        <w:tc>
          <w:tcPr>
            <w:tcW w:w="3029" w:type="dxa"/>
            <w:tcBorders>
              <w:top w:val="single" w:sz="4" w:space="0" w:color="231F20"/>
              <w:bottom w:val="single" w:sz="4" w:space="0" w:color="231F20"/>
            </w:tcBorders>
          </w:tcPr>
          <w:p>
            <w:pPr>
              <w:pStyle w:val="TableParagraph"/>
              <w:spacing w:before="50"/>
              <w:ind w:left="32"/>
              <w:rPr>
                <w:rFonts w:ascii="Book Antiqua"/>
                <w:sz w:val="16"/>
              </w:rPr>
            </w:pPr>
            <w:r>
              <w:rPr>
                <w:rFonts w:ascii="Book Antiqua"/>
                <w:color w:val="231F20"/>
                <w:w w:val="95"/>
                <w:sz w:val="16"/>
              </w:rPr>
              <w:t>Net income per share, diluted</w:t>
            </w:r>
          </w:p>
        </w:tc>
        <w:tc>
          <w:tcPr>
            <w:tcW w:w="2134" w:type="dxa"/>
            <w:tcBorders>
              <w:top w:val="single" w:sz="4" w:space="0" w:color="231F20"/>
              <w:bottom w:val="single" w:sz="4" w:space="0" w:color="231F20"/>
            </w:tcBorders>
          </w:tcPr>
          <w:p>
            <w:pPr>
              <w:pStyle w:val="TableParagraph"/>
              <w:spacing w:before="50"/>
              <w:ind w:left="900" w:right="504"/>
              <w:jc w:val="center"/>
              <w:rPr>
                <w:rFonts w:ascii="Book Antiqua"/>
                <w:sz w:val="16"/>
              </w:rPr>
            </w:pPr>
            <w:r>
              <w:rPr>
                <w:rFonts w:ascii="Book Antiqua"/>
                <w:color w:val="231F20"/>
                <w:sz w:val="16"/>
              </w:rPr>
              <w:t>.03</w:t>
            </w:r>
          </w:p>
        </w:tc>
        <w:tc>
          <w:tcPr>
            <w:tcW w:w="1714" w:type="dxa"/>
            <w:tcBorders>
              <w:top w:val="single" w:sz="4" w:space="0" w:color="231F20"/>
              <w:bottom w:val="single" w:sz="4" w:space="0" w:color="231F20"/>
            </w:tcBorders>
          </w:tcPr>
          <w:p>
            <w:pPr>
              <w:pStyle w:val="TableParagraph"/>
              <w:spacing w:before="50"/>
              <w:ind w:right="588"/>
              <w:jc w:val="right"/>
              <w:rPr>
                <w:rFonts w:ascii="Book Antiqua"/>
                <w:sz w:val="16"/>
              </w:rPr>
            </w:pPr>
            <w:r>
              <w:rPr>
                <w:rFonts w:ascii="Book Antiqua"/>
                <w:color w:val="231F20"/>
                <w:w w:val="95"/>
                <w:sz w:val="16"/>
              </w:rPr>
              <w:t>.13</w:t>
            </w:r>
          </w:p>
        </w:tc>
        <w:tc>
          <w:tcPr>
            <w:tcW w:w="2061" w:type="dxa"/>
            <w:tcBorders>
              <w:top w:val="single" w:sz="4" w:space="0" w:color="231F20"/>
              <w:bottom w:val="single" w:sz="4" w:space="0" w:color="231F20"/>
            </w:tcBorders>
          </w:tcPr>
          <w:p>
            <w:pPr>
              <w:pStyle w:val="TableParagraph"/>
              <w:spacing w:before="50"/>
              <w:ind w:left="824" w:right="469"/>
              <w:jc w:val="center"/>
              <w:rPr>
                <w:rFonts w:ascii="Book Antiqua"/>
                <w:sz w:val="16"/>
              </w:rPr>
            </w:pPr>
            <w:r>
              <w:rPr>
                <w:rFonts w:ascii="Book Antiqua"/>
                <w:color w:val="231F20"/>
                <w:sz w:val="16"/>
              </w:rPr>
              <w:t>.09</w:t>
            </w:r>
          </w:p>
        </w:tc>
        <w:tc>
          <w:tcPr>
            <w:tcW w:w="1495" w:type="dxa"/>
            <w:tcBorders>
              <w:top w:val="single" w:sz="4" w:space="0" w:color="231F20"/>
              <w:bottom w:val="single" w:sz="4" w:space="0" w:color="231F20"/>
            </w:tcBorders>
          </w:tcPr>
          <w:p>
            <w:pPr>
              <w:pStyle w:val="TableParagraph"/>
              <w:spacing w:before="50"/>
              <w:ind w:left="942"/>
              <w:rPr>
                <w:rFonts w:ascii="Book Antiqua"/>
                <w:sz w:val="16"/>
              </w:rPr>
            </w:pPr>
            <w:r>
              <w:rPr>
                <w:rFonts w:ascii="Book Antiqua"/>
                <w:color w:val="231F20"/>
                <w:sz w:val="16"/>
              </w:rPr>
              <w:t>.05</w:t>
            </w:r>
          </w:p>
        </w:tc>
      </w:tr>
    </w:tbl>
    <w:p>
      <w:pPr>
        <w:pStyle w:val="BodyText"/>
        <w:rPr>
          <w:rFonts w:ascii="Book Antiqua"/>
          <w:sz w:val="18"/>
        </w:rPr>
      </w:pPr>
    </w:p>
    <w:p>
      <w:pPr>
        <w:pStyle w:val="BodyText"/>
        <w:rPr>
          <w:rFonts w:ascii="Book Antiqua"/>
          <w:sz w:val="18"/>
        </w:rPr>
      </w:pPr>
    </w:p>
    <w:p>
      <w:pPr>
        <w:pStyle w:val="BodyText"/>
        <w:rPr>
          <w:rFonts w:ascii="Book Antiqua"/>
          <w:sz w:val="18"/>
        </w:rPr>
      </w:pPr>
    </w:p>
    <w:p>
      <w:pPr>
        <w:pStyle w:val="BodyText"/>
        <w:spacing w:before="4"/>
        <w:rPr>
          <w:rFonts w:ascii="Book Antiqua"/>
          <w:sz w:val="25"/>
        </w:rPr>
      </w:pPr>
    </w:p>
    <w:p>
      <w:pPr>
        <w:spacing w:before="0"/>
        <w:ind w:left="138" w:right="0" w:firstLine="0"/>
        <w:jc w:val="left"/>
        <w:rPr>
          <w:rFonts w:ascii="Book Antiqua"/>
          <w:sz w:val="16"/>
        </w:rPr>
      </w:pPr>
      <w:r>
        <w:rPr>
          <w:rFonts w:ascii="Book Antiqua"/>
          <w:color w:val="231F20"/>
          <w:sz w:val="16"/>
        </w:rPr>
        <w:t>COMMON STOCK PRICE RANGES AND DIVIDENDS</w:t>
      </w:r>
    </w:p>
    <w:p>
      <w:pPr>
        <w:pStyle w:val="BodyText"/>
        <w:rPr>
          <w:rFonts w:ascii="Book Antiqua"/>
          <w:sz w:val="18"/>
        </w:rPr>
      </w:pPr>
    </w:p>
    <w:p>
      <w:pPr>
        <w:pStyle w:val="BodyText"/>
        <w:spacing w:before="6"/>
        <w:rPr>
          <w:rFonts w:ascii="Book Antiqua"/>
          <w:sz w:val="24"/>
        </w:rPr>
      </w:pPr>
    </w:p>
    <w:p>
      <w:pPr>
        <w:spacing w:line="314" w:lineRule="auto" w:before="0"/>
        <w:ind w:left="138" w:right="351" w:firstLine="0"/>
        <w:jc w:val="left"/>
        <w:rPr>
          <w:rFonts w:ascii="Book Antiqua" w:hAnsi="Book Antiqua"/>
          <w:sz w:val="16"/>
        </w:rPr>
      </w:pPr>
      <w:r>
        <w:rPr>
          <w:rFonts w:ascii="Book Antiqua" w:hAnsi="Book Antiqua"/>
          <w:color w:val="231F20"/>
          <w:sz w:val="16"/>
        </w:rPr>
        <w:t>Southwest’s</w:t>
      </w:r>
      <w:r>
        <w:rPr>
          <w:rFonts w:ascii="Book Antiqua" w:hAnsi="Book Antiqua"/>
          <w:color w:val="231F20"/>
          <w:spacing w:val="-18"/>
          <w:sz w:val="16"/>
        </w:rPr>
        <w:t> </w:t>
      </w:r>
      <w:r>
        <w:rPr>
          <w:rFonts w:ascii="Book Antiqua" w:hAnsi="Book Antiqua"/>
          <w:color w:val="231F20"/>
          <w:sz w:val="16"/>
        </w:rPr>
        <w:t>common</w:t>
      </w:r>
      <w:r>
        <w:rPr>
          <w:rFonts w:ascii="Book Antiqua" w:hAnsi="Book Antiqua"/>
          <w:color w:val="231F20"/>
          <w:spacing w:val="-18"/>
          <w:sz w:val="16"/>
        </w:rPr>
        <w:t> </w:t>
      </w:r>
      <w:r>
        <w:rPr>
          <w:rFonts w:ascii="Book Antiqua" w:hAnsi="Book Antiqua"/>
          <w:color w:val="231F20"/>
          <w:sz w:val="16"/>
        </w:rPr>
        <w:t>stock</w:t>
      </w:r>
      <w:r>
        <w:rPr>
          <w:rFonts w:ascii="Book Antiqua" w:hAnsi="Book Antiqua"/>
          <w:color w:val="231F20"/>
          <w:spacing w:val="-21"/>
          <w:sz w:val="16"/>
        </w:rPr>
        <w:t> </w:t>
      </w:r>
      <w:r>
        <w:rPr>
          <w:rFonts w:ascii="Book Antiqua" w:hAnsi="Book Antiqua"/>
          <w:color w:val="231F20"/>
          <w:sz w:val="16"/>
        </w:rPr>
        <w:t>is</w:t>
      </w:r>
      <w:r>
        <w:rPr>
          <w:rFonts w:ascii="Book Antiqua" w:hAnsi="Book Antiqua"/>
          <w:color w:val="231F20"/>
          <w:spacing w:val="-18"/>
          <w:sz w:val="16"/>
        </w:rPr>
        <w:t> </w:t>
      </w:r>
      <w:r>
        <w:rPr>
          <w:rFonts w:ascii="Book Antiqua" w:hAnsi="Book Antiqua"/>
          <w:color w:val="231F20"/>
          <w:sz w:val="16"/>
        </w:rPr>
        <w:t>listed</w:t>
      </w:r>
      <w:r>
        <w:rPr>
          <w:rFonts w:ascii="Book Antiqua" w:hAnsi="Book Antiqua"/>
          <w:color w:val="231F20"/>
          <w:spacing w:val="-18"/>
          <w:sz w:val="16"/>
        </w:rPr>
        <w:t> </w:t>
      </w:r>
      <w:r>
        <w:rPr>
          <w:rFonts w:ascii="Book Antiqua" w:hAnsi="Book Antiqua"/>
          <w:color w:val="231F20"/>
          <w:sz w:val="16"/>
        </w:rPr>
        <w:t>on</w:t>
      </w:r>
      <w:r>
        <w:rPr>
          <w:rFonts w:ascii="Book Antiqua" w:hAnsi="Book Antiqua"/>
          <w:color w:val="231F20"/>
          <w:spacing w:val="-18"/>
          <w:sz w:val="16"/>
        </w:rPr>
        <w:t> </w:t>
      </w:r>
      <w:r>
        <w:rPr>
          <w:rFonts w:ascii="Book Antiqua" w:hAnsi="Book Antiqua"/>
          <w:color w:val="231F20"/>
          <w:sz w:val="16"/>
        </w:rPr>
        <w:t>the</w:t>
      </w:r>
      <w:r>
        <w:rPr>
          <w:rFonts w:ascii="Book Antiqua" w:hAnsi="Book Antiqua"/>
          <w:color w:val="231F20"/>
          <w:spacing w:val="-18"/>
          <w:sz w:val="16"/>
        </w:rPr>
        <w:t> </w:t>
      </w:r>
      <w:r>
        <w:rPr>
          <w:rFonts w:ascii="Book Antiqua" w:hAnsi="Book Antiqua"/>
          <w:color w:val="231F20"/>
          <w:sz w:val="16"/>
        </w:rPr>
        <w:t>New</w:t>
      </w:r>
      <w:r>
        <w:rPr>
          <w:rFonts w:ascii="Book Antiqua" w:hAnsi="Book Antiqua"/>
          <w:color w:val="231F20"/>
          <w:spacing w:val="-27"/>
          <w:sz w:val="16"/>
        </w:rPr>
        <w:t> </w:t>
      </w:r>
      <w:r>
        <w:rPr>
          <w:rFonts w:ascii="Book Antiqua" w:hAnsi="Book Antiqua"/>
          <w:color w:val="231F20"/>
          <w:spacing w:val="-4"/>
          <w:sz w:val="16"/>
        </w:rPr>
        <w:t>York</w:t>
      </w:r>
      <w:r>
        <w:rPr>
          <w:rFonts w:ascii="Book Antiqua" w:hAnsi="Book Antiqua"/>
          <w:color w:val="231F20"/>
          <w:spacing w:val="-21"/>
          <w:sz w:val="16"/>
        </w:rPr>
        <w:t> </w:t>
      </w:r>
      <w:r>
        <w:rPr>
          <w:rFonts w:ascii="Book Antiqua" w:hAnsi="Book Antiqua"/>
          <w:color w:val="231F20"/>
          <w:sz w:val="16"/>
        </w:rPr>
        <w:t>Stock</w:t>
      </w:r>
      <w:r>
        <w:rPr>
          <w:rFonts w:ascii="Book Antiqua" w:hAnsi="Book Antiqua"/>
          <w:color w:val="231F20"/>
          <w:spacing w:val="-21"/>
          <w:sz w:val="16"/>
        </w:rPr>
        <w:t> </w:t>
      </w:r>
      <w:r>
        <w:rPr>
          <w:rFonts w:ascii="Book Antiqua" w:hAnsi="Book Antiqua"/>
          <w:color w:val="231F20"/>
          <w:sz w:val="16"/>
        </w:rPr>
        <w:t>Exchange</w:t>
      </w:r>
      <w:r>
        <w:rPr>
          <w:rFonts w:ascii="Book Antiqua" w:hAnsi="Book Antiqua"/>
          <w:color w:val="231F20"/>
          <w:spacing w:val="-18"/>
          <w:sz w:val="16"/>
        </w:rPr>
        <w:t> </w:t>
      </w:r>
      <w:r>
        <w:rPr>
          <w:rFonts w:ascii="Book Antiqua" w:hAnsi="Book Antiqua"/>
          <w:color w:val="231F20"/>
          <w:sz w:val="16"/>
        </w:rPr>
        <w:t>and</w:t>
      </w:r>
      <w:r>
        <w:rPr>
          <w:rFonts w:ascii="Book Antiqua" w:hAnsi="Book Antiqua"/>
          <w:color w:val="231F20"/>
          <w:spacing w:val="-18"/>
          <w:sz w:val="16"/>
        </w:rPr>
        <w:t> </w:t>
      </w:r>
      <w:r>
        <w:rPr>
          <w:rFonts w:ascii="Book Antiqua" w:hAnsi="Book Antiqua"/>
          <w:color w:val="231F20"/>
          <w:sz w:val="16"/>
        </w:rPr>
        <w:t>is</w:t>
      </w:r>
      <w:r>
        <w:rPr>
          <w:rFonts w:ascii="Book Antiqua" w:hAnsi="Book Antiqua"/>
          <w:color w:val="231F20"/>
          <w:spacing w:val="-18"/>
          <w:sz w:val="16"/>
        </w:rPr>
        <w:t> </w:t>
      </w:r>
      <w:r>
        <w:rPr>
          <w:rFonts w:ascii="Book Antiqua" w:hAnsi="Book Antiqua"/>
          <w:color w:val="231F20"/>
          <w:sz w:val="16"/>
        </w:rPr>
        <w:t>traded</w:t>
      </w:r>
      <w:r>
        <w:rPr>
          <w:rFonts w:ascii="Book Antiqua" w:hAnsi="Book Antiqua"/>
          <w:color w:val="231F20"/>
          <w:spacing w:val="-18"/>
          <w:sz w:val="16"/>
        </w:rPr>
        <w:t> </w:t>
      </w:r>
      <w:r>
        <w:rPr>
          <w:rFonts w:ascii="Book Antiqua" w:hAnsi="Book Antiqua"/>
          <w:color w:val="231F20"/>
          <w:sz w:val="16"/>
        </w:rPr>
        <w:t>under</w:t>
      </w:r>
      <w:r>
        <w:rPr>
          <w:rFonts w:ascii="Book Antiqua" w:hAnsi="Book Antiqua"/>
          <w:color w:val="231F20"/>
          <w:spacing w:val="-22"/>
          <w:sz w:val="16"/>
        </w:rPr>
        <w:t> </w:t>
      </w:r>
      <w:r>
        <w:rPr>
          <w:rFonts w:ascii="Book Antiqua" w:hAnsi="Book Antiqua"/>
          <w:color w:val="231F20"/>
          <w:sz w:val="16"/>
        </w:rPr>
        <w:t>the</w:t>
      </w:r>
      <w:r>
        <w:rPr>
          <w:rFonts w:ascii="Book Antiqua" w:hAnsi="Book Antiqua"/>
          <w:color w:val="231F20"/>
          <w:spacing w:val="-18"/>
          <w:sz w:val="16"/>
        </w:rPr>
        <w:t> </w:t>
      </w:r>
      <w:r>
        <w:rPr>
          <w:rFonts w:ascii="Book Antiqua" w:hAnsi="Book Antiqua"/>
          <w:color w:val="231F20"/>
          <w:sz w:val="16"/>
        </w:rPr>
        <w:t>symbol</w:t>
      </w:r>
      <w:r>
        <w:rPr>
          <w:rFonts w:ascii="Book Antiqua" w:hAnsi="Book Antiqua"/>
          <w:color w:val="231F20"/>
          <w:spacing w:val="-18"/>
          <w:sz w:val="16"/>
        </w:rPr>
        <w:t> </w:t>
      </w:r>
      <w:r>
        <w:rPr>
          <w:rFonts w:ascii="Book Antiqua" w:hAnsi="Book Antiqua"/>
          <w:color w:val="231F20"/>
          <w:spacing w:val="-5"/>
          <w:sz w:val="16"/>
        </w:rPr>
        <w:t>LUV.</w:t>
      </w:r>
      <w:r>
        <w:rPr>
          <w:rFonts w:ascii="Book Antiqua" w:hAnsi="Book Antiqua"/>
          <w:color w:val="231F20"/>
          <w:spacing w:val="-23"/>
          <w:sz w:val="16"/>
        </w:rPr>
        <w:t> </w:t>
      </w:r>
      <w:r>
        <w:rPr>
          <w:rFonts w:ascii="Book Antiqua" w:hAnsi="Book Antiqua"/>
          <w:color w:val="231F20"/>
          <w:sz w:val="16"/>
        </w:rPr>
        <w:t>The</w:t>
      </w:r>
      <w:r>
        <w:rPr>
          <w:rFonts w:ascii="Book Antiqua" w:hAnsi="Book Antiqua"/>
          <w:color w:val="231F20"/>
          <w:spacing w:val="-18"/>
          <w:sz w:val="16"/>
        </w:rPr>
        <w:t> </w:t>
      </w:r>
      <w:r>
        <w:rPr>
          <w:rFonts w:ascii="Book Antiqua" w:hAnsi="Book Antiqua"/>
          <w:color w:val="231F20"/>
          <w:sz w:val="16"/>
        </w:rPr>
        <w:t>high</w:t>
      </w:r>
      <w:r>
        <w:rPr>
          <w:rFonts w:ascii="Book Antiqua" w:hAnsi="Book Antiqua"/>
          <w:color w:val="231F20"/>
          <w:spacing w:val="-18"/>
          <w:sz w:val="16"/>
        </w:rPr>
        <w:t> </w:t>
      </w:r>
      <w:r>
        <w:rPr>
          <w:rFonts w:ascii="Book Antiqua" w:hAnsi="Book Antiqua"/>
          <w:color w:val="231F20"/>
          <w:sz w:val="16"/>
        </w:rPr>
        <w:t>and</w:t>
      </w:r>
      <w:r>
        <w:rPr>
          <w:rFonts w:ascii="Book Antiqua" w:hAnsi="Book Antiqua"/>
          <w:color w:val="231F20"/>
          <w:spacing w:val="-18"/>
          <w:sz w:val="16"/>
        </w:rPr>
        <w:t> </w:t>
      </w:r>
      <w:r>
        <w:rPr>
          <w:rFonts w:ascii="Book Antiqua" w:hAnsi="Book Antiqua"/>
          <w:color w:val="231F20"/>
          <w:sz w:val="16"/>
        </w:rPr>
        <w:t>low</w:t>
      </w:r>
      <w:r>
        <w:rPr>
          <w:rFonts w:ascii="Book Antiqua" w:hAnsi="Book Antiqua"/>
          <w:color w:val="231F20"/>
          <w:spacing w:val="-22"/>
          <w:sz w:val="16"/>
        </w:rPr>
        <w:t> </w:t>
      </w:r>
      <w:r>
        <w:rPr>
          <w:rFonts w:ascii="Book Antiqua" w:hAnsi="Book Antiqua"/>
          <w:color w:val="231F20"/>
          <w:sz w:val="16"/>
        </w:rPr>
        <w:t>sales</w:t>
      </w:r>
      <w:r>
        <w:rPr>
          <w:rFonts w:ascii="Book Antiqua" w:hAnsi="Book Antiqua"/>
          <w:color w:val="231F20"/>
          <w:spacing w:val="-18"/>
          <w:sz w:val="16"/>
        </w:rPr>
        <w:t> </w:t>
      </w:r>
      <w:r>
        <w:rPr>
          <w:rFonts w:ascii="Book Antiqua" w:hAnsi="Book Antiqua"/>
          <w:color w:val="231F20"/>
          <w:sz w:val="16"/>
        </w:rPr>
        <w:t>prices</w:t>
      </w:r>
      <w:r>
        <w:rPr>
          <w:rFonts w:ascii="Book Antiqua" w:hAnsi="Book Antiqua"/>
          <w:color w:val="231F20"/>
          <w:spacing w:val="-18"/>
          <w:sz w:val="16"/>
        </w:rPr>
        <w:t> </w:t>
      </w:r>
      <w:r>
        <w:rPr>
          <w:rFonts w:ascii="Book Antiqua" w:hAnsi="Book Antiqua"/>
          <w:color w:val="231F20"/>
          <w:sz w:val="16"/>
        </w:rPr>
        <w:t>of</w:t>
      </w:r>
      <w:r>
        <w:rPr>
          <w:rFonts w:ascii="Book Antiqua" w:hAnsi="Book Antiqua"/>
          <w:color w:val="231F20"/>
          <w:spacing w:val="-18"/>
          <w:sz w:val="16"/>
        </w:rPr>
        <w:t> </w:t>
      </w:r>
      <w:r>
        <w:rPr>
          <w:rFonts w:ascii="Book Antiqua" w:hAnsi="Book Antiqua"/>
          <w:color w:val="231F20"/>
          <w:sz w:val="16"/>
        </w:rPr>
        <w:t>the</w:t>
      </w:r>
      <w:r>
        <w:rPr>
          <w:rFonts w:ascii="Book Antiqua" w:hAnsi="Book Antiqua"/>
          <w:color w:val="231F20"/>
          <w:spacing w:val="-18"/>
          <w:sz w:val="16"/>
        </w:rPr>
        <w:t> </w:t>
      </w:r>
      <w:r>
        <w:rPr>
          <w:rFonts w:ascii="Book Antiqua" w:hAnsi="Book Antiqua"/>
          <w:color w:val="231F20"/>
          <w:sz w:val="16"/>
        </w:rPr>
        <w:t>common </w:t>
      </w:r>
      <w:r>
        <w:rPr>
          <w:rFonts w:ascii="Book Antiqua" w:hAnsi="Book Antiqua"/>
          <w:color w:val="231F20"/>
          <w:w w:val="95"/>
          <w:sz w:val="16"/>
        </w:rPr>
        <w:t>stock on the Composite </w:t>
      </w:r>
      <w:r>
        <w:rPr>
          <w:rFonts w:ascii="Book Antiqua" w:hAnsi="Book Antiqua"/>
          <w:color w:val="231F20"/>
          <w:spacing w:val="-4"/>
          <w:w w:val="95"/>
          <w:sz w:val="16"/>
        </w:rPr>
        <w:t>Tape </w:t>
      </w:r>
      <w:r>
        <w:rPr>
          <w:rFonts w:ascii="Book Antiqua" w:hAnsi="Book Antiqua"/>
          <w:color w:val="231F20"/>
          <w:w w:val="95"/>
          <w:sz w:val="16"/>
        </w:rPr>
        <w:t>and the quarterly dividends per share</w:t>
      </w:r>
      <w:r>
        <w:rPr>
          <w:rFonts w:ascii="Book Antiqua" w:hAnsi="Book Antiqua"/>
          <w:color w:val="231F20"/>
          <w:spacing w:val="-25"/>
          <w:w w:val="95"/>
          <w:sz w:val="16"/>
        </w:rPr>
        <w:t> </w:t>
      </w:r>
      <w:r>
        <w:rPr>
          <w:rFonts w:ascii="Book Antiqua" w:hAnsi="Book Antiqua"/>
          <w:color w:val="231F20"/>
          <w:w w:val="95"/>
          <w:sz w:val="16"/>
        </w:rPr>
        <w:t>were:</w:t>
      </w:r>
    </w:p>
    <w:p>
      <w:pPr>
        <w:pStyle w:val="BodyText"/>
        <w:spacing w:before="3"/>
        <w:rPr>
          <w:rFonts w:ascii="Book Antiqua"/>
        </w:rPr>
      </w:pPr>
    </w:p>
    <w:tbl>
      <w:tblPr>
        <w:tblW w:w="0" w:type="auto"/>
        <w:jc w:val="left"/>
        <w:tblInd w:w="10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736"/>
        <w:gridCol w:w="3520"/>
        <w:gridCol w:w="2038"/>
        <w:gridCol w:w="2120"/>
      </w:tblGrid>
      <w:tr>
        <w:trPr>
          <w:trHeight w:val="195" w:hRule="exact"/>
        </w:trPr>
        <w:tc>
          <w:tcPr>
            <w:tcW w:w="2736" w:type="dxa"/>
            <w:tcBorders>
              <w:bottom w:val="single" w:sz="4" w:space="0" w:color="231F20"/>
            </w:tcBorders>
          </w:tcPr>
          <w:p>
            <w:pPr>
              <w:pStyle w:val="TableParagraph"/>
              <w:spacing w:line="193" w:lineRule="exact"/>
              <w:ind w:left="32"/>
              <w:rPr>
                <w:rFonts w:ascii="Book Antiqua"/>
                <w:sz w:val="16"/>
              </w:rPr>
            </w:pPr>
            <w:r>
              <w:rPr>
                <w:rFonts w:ascii="Book Antiqua"/>
                <w:color w:val="231F20"/>
                <w:sz w:val="16"/>
              </w:rPr>
              <w:t>PERIOD</w:t>
            </w:r>
          </w:p>
        </w:tc>
        <w:tc>
          <w:tcPr>
            <w:tcW w:w="3520" w:type="dxa"/>
            <w:tcBorders>
              <w:bottom w:val="single" w:sz="4" w:space="0" w:color="231F20"/>
            </w:tcBorders>
          </w:tcPr>
          <w:p>
            <w:pPr>
              <w:pStyle w:val="TableParagraph"/>
              <w:spacing w:line="193" w:lineRule="exact"/>
              <w:ind w:left="1848" w:right="722"/>
              <w:jc w:val="center"/>
              <w:rPr>
                <w:rFonts w:ascii="Book Antiqua"/>
                <w:sz w:val="16"/>
              </w:rPr>
            </w:pPr>
            <w:r>
              <w:rPr>
                <w:rFonts w:ascii="Book Antiqua"/>
                <w:color w:val="231F20"/>
                <w:sz w:val="16"/>
              </w:rPr>
              <w:t>DIVIDENDS</w:t>
            </w:r>
          </w:p>
        </w:tc>
        <w:tc>
          <w:tcPr>
            <w:tcW w:w="2038" w:type="dxa"/>
            <w:tcBorders>
              <w:bottom w:val="single" w:sz="4" w:space="0" w:color="231F20"/>
            </w:tcBorders>
          </w:tcPr>
          <w:p>
            <w:pPr>
              <w:pStyle w:val="TableParagraph"/>
              <w:spacing w:line="193" w:lineRule="exact"/>
              <w:ind w:right="848"/>
              <w:jc w:val="right"/>
              <w:rPr>
                <w:rFonts w:ascii="Book Antiqua"/>
                <w:sz w:val="16"/>
              </w:rPr>
            </w:pPr>
            <w:r>
              <w:rPr>
                <w:rFonts w:ascii="Book Antiqua"/>
                <w:color w:val="231F20"/>
                <w:w w:val="95"/>
                <w:sz w:val="16"/>
              </w:rPr>
              <w:t>HIGH</w:t>
            </w:r>
          </w:p>
        </w:tc>
        <w:tc>
          <w:tcPr>
            <w:tcW w:w="2120" w:type="dxa"/>
            <w:tcBorders>
              <w:bottom w:val="single" w:sz="4" w:space="0" w:color="231F20"/>
            </w:tcBorders>
          </w:tcPr>
          <w:p>
            <w:pPr>
              <w:pStyle w:val="TableParagraph"/>
              <w:spacing w:line="193" w:lineRule="exact"/>
              <w:ind w:left="820" w:right="766"/>
              <w:jc w:val="center"/>
              <w:rPr>
                <w:rFonts w:ascii="Book Antiqua"/>
                <w:sz w:val="16"/>
              </w:rPr>
            </w:pPr>
            <w:r>
              <w:rPr>
                <w:rFonts w:ascii="Book Antiqua"/>
                <w:color w:val="231F20"/>
                <w:w w:val="105"/>
                <w:sz w:val="16"/>
              </w:rPr>
              <w:t>LOW</w:t>
            </w:r>
          </w:p>
        </w:tc>
      </w:tr>
      <w:tr>
        <w:trPr>
          <w:trHeight w:val="520" w:hRule="exact"/>
        </w:trPr>
        <w:tc>
          <w:tcPr>
            <w:tcW w:w="2736" w:type="dxa"/>
            <w:tcBorders>
              <w:top w:val="single" w:sz="4" w:space="0" w:color="231F20"/>
              <w:bottom w:val="single" w:sz="4" w:space="0" w:color="231F20"/>
            </w:tcBorders>
          </w:tcPr>
          <w:p>
            <w:pPr>
              <w:pStyle w:val="TableParagraph"/>
              <w:spacing w:before="60"/>
              <w:ind w:left="32"/>
              <w:rPr>
                <w:rFonts w:ascii="Book Antiqua"/>
                <w:sz w:val="16"/>
              </w:rPr>
            </w:pPr>
            <w:r>
              <w:rPr>
                <w:rFonts w:ascii="Book Antiqua"/>
                <w:color w:val="231F20"/>
                <w:sz w:val="16"/>
              </w:rPr>
              <w:t>2003</w:t>
            </w:r>
          </w:p>
          <w:p>
            <w:pPr>
              <w:pStyle w:val="TableParagraph"/>
              <w:spacing w:before="61"/>
              <w:ind w:left="32"/>
              <w:rPr>
                <w:rFonts w:ascii="Book Antiqua"/>
                <w:sz w:val="16"/>
              </w:rPr>
            </w:pPr>
            <w:r>
              <w:rPr>
                <w:rFonts w:ascii="Book Antiqua"/>
                <w:color w:val="231F20"/>
                <w:w w:val="95"/>
                <w:sz w:val="16"/>
              </w:rPr>
              <w:t>1st Quarter</w:t>
            </w:r>
          </w:p>
        </w:tc>
        <w:tc>
          <w:tcPr>
            <w:tcW w:w="3520" w:type="dxa"/>
            <w:tcBorders>
              <w:top w:val="single" w:sz="4" w:space="0" w:color="231F20"/>
              <w:bottom w:val="single" w:sz="4" w:space="0" w:color="231F20"/>
            </w:tcBorders>
          </w:tcPr>
          <w:p>
            <w:pPr>
              <w:pStyle w:val="TableParagraph"/>
              <w:spacing w:before="9"/>
              <w:rPr>
                <w:rFonts w:ascii="Book Antiqua"/>
                <w:sz w:val="25"/>
              </w:rPr>
            </w:pPr>
          </w:p>
          <w:p>
            <w:pPr>
              <w:pStyle w:val="TableParagraph"/>
              <w:ind w:left="1848" w:right="675"/>
              <w:jc w:val="center"/>
              <w:rPr>
                <w:rFonts w:ascii="Book Antiqua"/>
                <w:sz w:val="16"/>
              </w:rPr>
            </w:pPr>
            <w:r>
              <w:rPr>
                <w:rFonts w:ascii="Book Antiqua"/>
                <w:color w:val="231F20"/>
                <w:sz w:val="16"/>
              </w:rPr>
              <w:t>$.0045</w:t>
            </w:r>
          </w:p>
        </w:tc>
        <w:tc>
          <w:tcPr>
            <w:tcW w:w="2038" w:type="dxa"/>
            <w:tcBorders>
              <w:top w:val="single" w:sz="4" w:space="0" w:color="231F20"/>
              <w:bottom w:val="single" w:sz="4" w:space="0" w:color="231F20"/>
            </w:tcBorders>
          </w:tcPr>
          <w:p>
            <w:pPr>
              <w:pStyle w:val="TableParagraph"/>
              <w:spacing w:before="9"/>
              <w:rPr>
                <w:rFonts w:ascii="Book Antiqua"/>
                <w:sz w:val="25"/>
              </w:rPr>
            </w:pPr>
          </w:p>
          <w:p>
            <w:pPr>
              <w:pStyle w:val="TableParagraph"/>
              <w:ind w:right="849"/>
              <w:jc w:val="right"/>
              <w:rPr>
                <w:rFonts w:ascii="Book Antiqua"/>
                <w:sz w:val="16"/>
              </w:rPr>
            </w:pPr>
            <w:r>
              <w:rPr>
                <w:rFonts w:ascii="Book Antiqua"/>
                <w:color w:val="231F20"/>
                <w:w w:val="95"/>
                <w:sz w:val="16"/>
              </w:rPr>
              <w:t>$15.33</w:t>
            </w:r>
          </w:p>
        </w:tc>
        <w:tc>
          <w:tcPr>
            <w:tcW w:w="2120" w:type="dxa"/>
            <w:tcBorders>
              <w:top w:val="single" w:sz="4" w:space="0" w:color="231F20"/>
              <w:bottom w:val="single" w:sz="4" w:space="0" w:color="231F20"/>
            </w:tcBorders>
          </w:tcPr>
          <w:p>
            <w:pPr>
              <w:pStyle w:val="TableParagraph"/>
              <w:spacing w:before="9"/>
              <w:rPr>
                <w:rFonts w:ascii="Book Antiqua"/>
                <w:sz w:val="25"/>
              </w:rPr>
            </w:pPr>
          </w:p>
          <w:p>
            <w:pPr>
              <w:pStyle w:val="TableParagraph"/>
              <w:ind w:left="813" w:right="811"/>
              <w:jc w:val="center"/>
              <w:rPr>
                <w:rFonts w:ascii="Book Antiqua"/>
                <w:sz w:val="16"/>
              </w:rPr>
            </w:pPr>
            <w:r>
              <w:rPr>
                <w:rFonts w:ascii="Book Antiqua"/>
                <w:color w:val="231F20"/>
                <w:sz w:val="16"/>
              </w:rPr>
              <w:t>$11.72</w:t>
            </w:r>
          </w:p>
        </w:tc>
      </w:tr>
      <w:tr>
        <w:trPr>
          <w:trHeight w:val="260" w:hRule="exact"/>
        </w:trPr>
        <w:tc>
          <w:tcPr>
            <w:tcW w:w="2736" w:type="dxa"/>
            <w:tcBorders>
              <w:top w:val="single" w:sz="4" w:space="0" w:color="231F20"/>
              <w:bottom w:val="single" w:sz="4" w:space="0" w:color="231F20"/>
            </w:tcBorders>
          </w:tcPr>
          <w:p>
            <w:pPr>
              <w:pStyle w:val="TableParagraph"/>
              <w:spacing w:before="60"/>
              <w:ind w:left="32"/>
              <w:rPr>
                <w:rFonts w:ascii="Book Antiqua"/>
                <w:sz w:val="16"/>
              </w:rPr>
            </w:pPr>
            <w:r>
              <w:rPr>
                <w:rFonts w:ascii="Book Antiqua"/>
                <w:color w:val="231F20"/>
                <w:w w:val="95"/>
                <w:sz w:val="16"/>
              </w:rPr>
              <w:t>2nd Quarter</w:t>
            </w:r>
          </w:p>
        </w:tc>
        <w:tc>
          <w:tcPr>
            <w:tcW w:w="3520" w:type="dxa"/>
            <w:tcBorders>
              <w:top w:val="single" w:sz="4" w:space="0" w:color="231F20"/>
              <w:bottom w:val="single" w:sz="4" w:space="0" w:color="231F20"/>
            </w:tcBorders>
          </w:tcPr>
          <w:p>
            <w:pPr>
              <w:pStyle w:val="TableParagraph"/>
              <w:spacing w:before="60"/>
              <w:ind w:left="1848" w:right="596"/>
              <w:jc w:val="center"/>
              <w:rPr>
                <w:rFonts w:ascii="Book Antiqua"/>
                <w:sz w:val="16"/>
              </w:rPr>
            </w:pPr>
            <w:r>
              <w:rPr>
                <w:rFonts w:ascii="Book Antiqua"/>
                <w:color w:val="231F20"/>
                <w:sz w:val="16"/>
              </w:rPr>
              <w:t>.0045</w:t>
            </w:r>
          </w:p>
        </w:tc>
        <w:tc>
          <w:tcPr>
            <w:tcW w:w="2038" w:type="dxa"/>
            <w:tcBorders>
              <w:top w:val="single" w:sz="4" w:space="0" w:color="231F20"/>
              <w:bottom w:val="single" w:sz="4" w:space="0" w:color="231F20"/>
            </w:tcBorders>
          </w:tcPr>
          <w:p>
            <w:pPr>
              <w:pStyle w:val="TableParagraph"/>
              <w:spacing w:before="60"/>
              <w:ind w:right="855"/>
              <w:jc w:val="right"/>
              <w:rPr>
                <w:rFonts w:ascii="Book Antiqua"/>
                <w:sz w:val="16"/>
              </w:rPr>
            </w:pPr>
            <w:r>
              <w:rPr>
                <w:rFonts w:ascii="Book Antiqua"/>
                <w:color w:val="231F20"/>
                <w:w w:val="95"/>
                <w:sz w:val="16"/>
              </w:rPr>
              <w:t>17.70</w:t>
            </w:r>
          </w:p>
        </w:tc>
        <w:tc>
          <w:tcPr>
            <w:tcW w:w="2120" w:type="dxa"/>
            <w:tcBorders>
              <w:top w:val="single" w:sz="4" w:space="0" w:color="231F20"/>
              <w:bottom w:val="single" w:sz="4" w:space="0" w:color="231F20"/>
            </w:tcBorders>
          </w:tcPr>
          <w:p>
            <w:pPr>
              <w:pStyle w:val="TableParagraph"/>
              <w:spacing w:before="60"/>
              <w:ind w:left="820" w:right="735"/>
              <w:jc w:val="center"/>
              <w:rPr>
                <w:rFonts w:ascii="Book Antiqua"/>
                <w:sz w:val="16"/>
              </w:rPr>
            </w:pPr>
            <w:r>
              <w:rPr>
                <w:rFonts w:ascii="Book Antiqua"/>
                <w:color w:val="231F20"/>
                <w:sz w:val="16"/>
              </w:rPr>
              <w:t>14.09</w:t>
            </w:r>
          </w:p>
        </w:tc>
      </w:tr>
      <w:tr>
        <w:trPr>
          <w:trHeight w:val="260" w:hRule="exact"/>
        </w:trPr>
        <w:tc>
          <w:tcPr>
            <w:tcW w:w="2736" w:type="dxa"/>
            <w:tcBorders>
              <w:top w:val="single" w:sz="4" w:space="0" w:color="231F20"/>
              <w:bottom w:val="single" w:sz="4" w:space="0" w:color="231F20"/>
            </w:tcBorders>
          </w:tcPr>
          <w:p>
            <w:pPr>
              <w:pStyle w:val="TableParagraph"/>
              <w:spacing w:before="60"/>
              <w:ind w:left="32"/>
              <w:rPr>
                <w:rFonts w:ascii="Book Antiqua"/>
                <w:sz w:val="16"/>
              </w:rPr>
            </w:pPr>
            <w:r>
              <w:rPr>
                <w:rFonts w:ascii="Book Antiqua"/>
                <w:color w:val="231F20"/>
                <w:w w:val="95"/>
                <w:sz w:val="16"/>
              </w:rPr>
              <w:t>3rd Quarter</w:t>
            </w:r>
          </w:p>
        </w:tc>
        <w:tc>
          <w:tcPr>
            <w:tcW w:w="3520" w:type="dxa"/>
            <w:tcBorders>
              <w:top w:val="single" w:sz="4" w:space="0" w:color="231F20"/>
              <w:bottom w:val="single" w:sz="4" w:space="0" w:color="231F20"/>
            </w:tcBorders>
          </w:tcPr>
          <w:p>
            <w:pPr>
              <w:pStyle w:val="TableParagraph"/>
              <w:spacing w:before="60"/>
              <w:ind w:left="1848" w:right="595"/>
              <w:jc w:val="center"/>
              <w:rPr>
                <w:rFonts w:ascii="Book Antiqua"/>
                <w:sz w:val="16"/>
              </w:rPr>
            </w:pPr>
            <w:r>
              <w:rPr>
                <w:rFonts w:ascii="Book Antiqua"/>
                <w:color w:val="231F20"/>
                <w:sz w:val="16"/>
              </w:rPr>
              <w:t>.0045</w:t>
            </w:r>
          </w:p>
        </w:tc>
        <w:tc>
          <w:tcPr>
            <w:tcW w:w="2038" w:type="dxa"/>
            <w:tcBorders>
              <w:top w:val="single" w:sz="4" w:space="0" w:color="231F20"/>
              <w:bottom w:val="single" w:sz="4" w:space="0" w:color="231F20"/>
            </w:tcBorders>
          </w:tcPr>
          <w:p>
            <w:pPr>
              <w:pStyle w:val="TableParagraph"/>
              <w:spacing w:before="60"/>
              <w:ind w:right="856"/>
              <w:jc w:val="right"/>
              <w:rPr>
                <w:rFonts w:ascii="Book Antiqua"/>
                <w:sz w:val="16"/>
              </w:rPr>
            </w:pPr>
            <w:r>
              <w:rPr>
                <w:rFonts w:ascii="Book Antiqua"/>
                <w:color w:val="231F20"/>
                <w:w w:val="95"/>
                <w:sz w:val="16"/>
              </w:rPr>
              <w:t>18.99</w:t>
            </w:r>
          </w:p>
        </w:tc>
        <w:tc>
          <w:tcPr>
            <w:tcW w:w="2120" w:type="dxa"/>
            <w:tcBorders>
              <w:top w:val="single" w:sz="4" w:space="0" w:color="231F20"/>
              <w:bottom w:val="single" w:sz="4" w:space="0" w:color="231F20"/>
            </w:tcBorders>
          </w:tcPr>
          <w:p>
            <w:pPr>
              <w:pStyle w:val="TableParagraph"/>
              <w:spacing w:before="60"/>
              <w:ind w:left="820" w:right="732"/>
              <w:jc w:val="center"/>
              <w:rPr>
                <w:rFonts w:ascii="Book Antiqua"/>
                <w:sz w:val="16"/>
              </w:rPr>
            </w:pPr>
            <w:r>
              <w:rPr>
                <w:rFonts w:ascii="Book Antiqua"/>
                <w:color w:val="231F20"/>
                <w:sz w:val="16"/>
              </w:rPr>
              <w:t>15.86</w:t>
            </w:r>
          </w:p>
        </w:tc>
      </w:tr>
      <w:tr>
        <w:trPr>
          <w:trHeight w:val="260" w:hRule="exact"/>
        </w:trPr>
        <w:tc>
          <w:tcPr>
            <w:tcW w:w="2736" w:type="dxa"/>
            <w:tcBorders>
              <w:top w:val="single" w:sz="4" w:space="0" w:color="231F20"/>
              <w:bottom w:val="single" w:sz="4" w:space="0" w:color="231F20"/>
            </w:tcBorders>
          </w:tcPr>
          <w:p>
            <w:pPr>
              <w:pStyle w:val="TableParagraph"/>
              <w:spacing w:before="60"/>
              <w:ind w:left="32"/>
              <w:rPr>
                <w:rFonts w:ascii="Book Antiqua"/>
                <w:sz w:val="16"/>
              </w:rPr>
            </w:pPr>
            <w:r>
              <w:rPr>
                <w:rFonts w:ascii="Book Antiqua"/>
                <w:color w:val="231F20"/>
                <w:w w:val="95"/>
                <w:sz w:val="16"/>
              </w:rPr>
              <w:t>4th Quarter</w:t>
            </w:r>
          </w:p>
        </w:tc>
        <w:tc>
          <w:tcPr>
            <w:tcW w:w="3520" w:type="dxa"/>
            <w:tcBorders>
              <w:top w:val="single" w:sz="4" w:space="0" w:color="231F20"/>
              <w:bottom w:val="single" w:sz="4" w:space="0" w:color="231F20"/>
            </w:tcBorders>
          </w:tcPr>
          <w:p>
            <w:pPr>
              <w:pStyle w:val="TableParagraph"/>
              <w:spacing w:before="60"/>
              <w:ind w:left="1848" w:right="595"/>
              <w:jc w:val="center"/>
              <w:rPr>
                <w:rFonts w:ascii="Book Antiqua"/>
                <w:sz w:val="16"/>
              </w:rPr>
            </w:pPr>
            <w:r>
              <w:rPr>
                <w:rFonts w:ascii="Book Antiqua"/>
                <w:color w:val="231F20"/>
                <w:sz w:val="16"/>
              </w:rPr>
              <w:t>.0045</w:t>
            </w:r>
          </w:p>
        </w:tc>
        <w:tc>
          <w:tcPr>
            <w:tcW w:w="2038" w:type="dxa"/>
            <w:tcBorders>
              <w:top w:val="single" w:sz="4" w:space="0" w:color="231F20"/>
              <w:bottom w:val="single" w:sz="4" w:space="0" w:color="231F20"/>
            </w:tcBorders>
          </w:tcPr>
          <w:p>
            <w:pPr>
              <w:pStyle w:val="TableParagraph"/>
              <w:spacing w:before="60"/>
              <w:ind w:right="850"/>
              <w:jc w:val="right"/>
              <w:rPr>
                <w:rFonts w:ascii="Book Antiqua"/>
                <w:sz w:val="16"/>
              </w:rPr>
            </w:pPr>
            <w:r>
              <w:rPr>
                <w:rFonts w:ascii="Book Antiqua"/>
                <w:color w:val="231F20"/>
                <w:w w:val="95"/>
                <w:sz w:val="16"/>
              </w:rPr>
              <w:t>19.69</w:t>
            </w:r>
          </w:p>
        </w:tc>
        <w:tc>
          <w:tcPr>
            <w:tcW w:w="2120" w:type="dxa"/>
            <w:tcBorders>
              <w:top w:val="single" w:sz="4" w:space="0" w:color="231F20"/>
              <w:bottom w:val="single" w:sz="4" w:space="0" w:color="231F20"/>
            </w:tcBorders>
          </w:tcPr>
          <w:p>
            <w:pPr>
              <w:pStyle w:val="TableParagraph"/>
              <w:spacing w:before="60"/>
              <w:ind w:left="820" w:right="734"/>
              <w:jc w:val="center"/>
              <w:rPr>
                <w:rFonts w:ascii="Book Antiqua"/>
                <w:sz w:val="16"/>
              </w:rPr>
            </w:pPr>
            <w:r>
              <w:rPr>
                <w:rFonts w:ascii="Book Antiqua"/>
                <w:color w:val="231F20"/>
                <w:sz w:val="16"/>
              </w:rPr>
              <w:t>15.30</w:t>
            </w:r>
          </w:p>
        </w:tc>
      </w:tr>
      <w:tr>
        <w:trPr>
          <w:trHeight w:val="780" w:hRule="exact"/>
        </w:trPr>
        <w:tc>
          <w:tcPr>
            <w:tcW w:w="2736" w:type="dxa"/>
            <w:tcBorders>
              <w:top w:val="single" w:sz="4" w:space="0" w:color="231F20"/>
              <w:bottom w:val="single" w:sz="4" w:space="0" w:color="231F20"/>
            </w:tcBorders>
          </w:tcPr>
          <w:p>
            <w:pPr>
              <w:pStyle w:val="TableParagraph"/>
              <w:spacing w:before="9"/>
              <w:rPr>
                <w:rFonts w:ascii="Book Antiqua"/>
                <w:sz w:val="25"/>
              </w:rPr>
            </w:pPr>
          </w:p>
          <w:p>
            <w:pPr>
              <w:pStyle w:val="TableParagraph"/>
              <w:ind w:left="32"/>
              <w:rPr>
                <w:rFonts w:ascii="Book Antiqua"/>
                <w:sz w:val="16"/>
              </w:rPr>
            </w:pPr>
            <w:r>
              <w:rPr>
                <w:rFonts w:ascii="Book Antiqua"/>
                <w:color w:val="231F20"/>
                <w:sz w:val="16"/>
              </w:rPr>
              <w:t>2002</w:t>
            </w:r>
          </w:p>
          <w:p>
            <w:pPr>
              <w:pStyle w:val="TableParagraph"/>
              <w:spacing w:before="60"/>
              <w:ind w:left="32"/>
              <w:rPr>
                <w:rFonts w:ascii="Book Antiqua"/>
                <w:sz w:val="16"/>
              </w:rPr>
            </w:pPr>
            <w:r>
              <w:rPr>
                <w:rFonts w:ascii="Book Antiqua"/>
                <w:color w:val="231F20"/>
                <w:w w:val="95"/>
                <w:sz w:val="16"/>
              </w:rPr>
              <w:t>1st Quarter</w:t>
            </w:r>
          </w:p>
        </w:tc>
        <w:tc>
          <w:tcPr>
            <w:tcW w:w="3520" w:type="dxa"/>
            <w:tcBorders>
              <w:top w:val="single" w:sz="4" w:space="0" w:color="231F20"/>
              <w:bottom w:val="single" w:sz="4" w:space="0" w:color="231F20"/>
            </w:tcBorders>
          </w:tcPr>
          <w:p>
            <w:pPr>
              <w:pStyle w:val="TableParagraph"/>
              <w:rPr>
                <w:rFonts w:ascii="Book Antiqua"/>
                <w:sz w:val="18"/>
              </w:rPr>
            </w:pPr>
          </w:p>
          <w:p>
            <w:pPr>
              <w:pStyle w:val="TableParagraph"/>
              <w:rPr>
                <w:rFonts w:ascii="Book Antiqua"/>
                <w:sz w:val="18"/>
              </w:rPr>
            </w:pPr>
          </w:p>
          <w:p>
            <w:pPr>
              <w:pStyle w:val="TableParagraph"/>
              <w:spacing w:before="133"/>
              <w:ind w:left="1848" w:right="675"/>
              <w:jc w:val="center"/>
              <w:rPr>
                <w:rFonts w:ascii="Book Antiqua"/>
                <w:sz w:val="16"/>
              </w:rPr>
            </w:pPr>
            <w:r>
              <w:rPr>
                <w:rFonts w:ascii="Book Antiqua"/>
                <w:color w:val="231F20"/>
                <w:sz w:val="16"/>
              </w:rPr>
              <w:t>$.0045</w:t>
            </w:r>
          </w:p>
        </w:tc>
        <w:tc>
          <w:tcPr>
            <w:tcW w:w="2038" w:type="dxa"/>
            <w:tcBorders>
              <w:top w:val="single" w:sz="4" w:space="0" w:color="231F20"/>
              <w:bottom w:val="single" w:sz="4" w:space="0" w:color="231F20"/>
            </w:tcBorders>
          </w:tcPr>
          <w:p>
            <w:pPr>
              <w:pStyle w:val="TableParagraph"/>
              <w:rPr>
                <w:rFonts w:ascii="Book Antiqua"/>
                <w:sz w:val="18"/>
              </w:rPr>
            </w:pPr>
          </w:p>
          <w:p>
            <w:pPr>
              <w:pStyle w:val="TableParagraph"/>
              <w:rPr>
                <w:rFonts w:ascii="Book Antiqua"/>
                <w:sz w:val="18"/>
              </w:rPr>
            </w:pPr>
          </w:p>
          <w:p>
            <w:pPr>
              <w:pStyle w:val="TableParagraph"/>
              <w:spacing w:before="133"/>
              <w:ind w:right="849"/>
              <w:jc w:val="right"/>
              <w:rPr>
                <w:rFonts w:ascii="Book Antiqua"/>
                <w:sz w:val="16"/>
              </w:rPr>
            </w:pPr>
            <w:r>
              <w:rPr>
                <w:rFonts w:ascii="Book Antiqua"/>
                <w:color w:val="231F20"/>
                <w:w w:val="95"/>
                <w:sz w:val="16"/>
              </w:rPr>
              <w:t>$22.00</w:t>
            </w:r>
          </w:p>
        </w:tc>
        <w:tc>
          <w:tcPr>
            <w:tcW w:w="2120" w:type="dxa"/>
            <w:tcBorders>
              <w:top w:val="single" w:sz="4" w:space="0" w:color="231F20"/>
              <w:bottom w:val="single" w:sz="4" w:space="0" w:color="231F20"/>
            </w:tcBorders>
          </w:tcPr>
          <w:p>
            <w:pPr>
              <w:pStyle w:val="TableParagraph"/>
              <w:rPr>
                <w:rFonts w:ascii="Book Antiqua"/>
                <w:sz w:val="18"/>
              </w:rPr>
            </w:pPr>
          </w:p>
          <w:p>
            <w:pPr>
              <w:pStyle w:val="TableParagraph"/>
              <w:rPr>
                <w:rFonts w:ascii="Book Antiqua"/>
                <w:sz w:val="18"/>
              </w:rPr>
            </w:pPr>
          </w:p>
          <w:p>
            <w:pPr>
              <w:pStyle w:val="TableParagraph"/>
              <w:spacing w:before="133"/>
              <w:ind w:left="811" w:right="811"/>
              <w:jc w:val="center"/>
              <w:rPr>
                <w:rFonts w:ascii="Book Antiqua"/>
                <w:sz w:val="16"/>
              </w:rPr>
            </w:pPr>
            <w:r>
              <w:rPr>
                <w:rFonts w:ascii="Book Antiqua"/>
                <w:color w:val="231F20"/>
                <w:sz w:val="16"/>
              </w:rPr>
              <w:t>$17.17</w:t>
            </w:r>
          </w:p>
        </w:tc>
      </w:tr>
      <w:tr>
        <w:trPr>
          <w:trHeight w:val="260" w:hRule="exact"/>
        </w:trPr>
        <w:tc>
          <w:tcPr>
            <w:tcW w:w="2736" w:type="dxa"/>
            <w:tcBorders>
              <w:top w:val="single" w:sz="4" w:space="0" w:color="231F20"/>
              <w:bottom w:val="single" w:sz="4" w:space="0" w:color="231F20"/>
            </w:tcBorders>
          </w:tcPr>
          <w:p>
            <w:pPr>
              <w:pStyle w:val="TableParagraph"/>
              <w:spacing w:before="60"/>
              <w:ind w:left="32"/>
              <w:rPr>
                <w:rFonts w:ascii="Book Antiqua"/>
                <w:sz w:val="16"/>
              </w:rPr>
            </w:pPr>
            <w:r>
              <w:rPr>
                <w:rFonts w:ascii="Book Antiqua"/>
                <w:color w:val="231F20"/>
                <w:w w:val="95"/>
                <w:sz w:val="16"/>
              </w:rPr>
              <w:t>2nd Quarter</w:t>
            </w:r>
          </w:p>
        </w:tc>
        <w:tc>
          <w:tcPr>
            <w:tcW w:w="3520" w:type="dxa"/>
            <w:tcBorders>
              <w:top w:val="single" w:sz="4" w:space="0" w:color="231F20"/>
              <w:bottom w:val="single" w:sz="4" w:space="0" w:color="231F20"/>
            </w:tcBorders>
          </w:tcPr>
          <w:p>
            <w:pPr>
              <w:pStyle w:val="TableParagraph"/>
              <w:spacing w:before="60"/>
              <w:ind w:left="1848" w:right="596"/>
              <w:jc w:val="center"/>
              <w:rPr>
                <w:rFonts w:ascii="Book Antiqua"/>
                <w:sz w:val="16"/>
              </w:rPr>
            </w:pPr>
            <w:r>
              <w:rPr>
                <w:rFonts w:ascii="Book Antiqua"/>
                <w:color w:val="231F20"/>
                <w:sz w:val="16"/>
              </w:rPr>
              <w:t>.0045</w:t>
            </w:r>
          </w:p>
        </w:tc>
        <w:tc>
          <w:tcPr>
            <w:tcW w:w="2038" w:type="dxa"/>
            <w:tcBorders>
              <w:top w:val="single" w:sz="4" w:space="0" w:color="231F20"/>
              <w:bottom w:val="single" w:sz="4" w:space="0" w:color="231F20"/>
            </w:tcBorders>
          </w:tcPr>
          <w:p>
            <w:pPr>
              <w:pStyle w:val="TableParagraph"/>
              <w:spacing w:before="60"/>
              <w:ind w:right="851"/>
              <w:jc w:val="right"/>
              <w:rPr>
                <w:rFonts w:ascii="Book Antiqua"/>
                <w:sz w:val="16"/>
              </w:rPr>
            </w:pPr>
            <w:r>
              <w:rPr>
                <w:rFonts w:ascii="Book Antiqua"/>
                <w:color w:val="231F20"/>
                <w:w w:val="95"/>
                <w:sz w:val="16"/>
              </w:rPr>
              <w:t>19.35</w:t>
            </w:r>
          </w:p>
        </w:tc>
        <w:tc>
          <w:tcPr>
            <w:tcW w:w="2120" w:type="dxa"/>
            <w:tcBorders>
              <w:top w:val="single" w:sz="4" w:space="0" w:color="231F20"/>
              <w:bottom w:val="single" w:sz="4" w:space="0" w:color="231F20"/>
            </w:tcBorders>
          </w:tcPr>
          <w:p>
            <w:pPr>
              <w:pStyle w:val="TableParagraph"/>
              <w:spacing w:before="60"/>
              <w:ind w:left="820" w:right="734"/>
              <w:jc w:val="center"/>
              <w:rPr>
                <w:rFonts w:ascii="Book Antiqua"/>
                <w:sz w:val="16"/>
              </w:rPr>
            </w:pPr>
            <w:r>
              <w:rPr>
                <w:rFonts w:ascii="Book Antiqua"/>
                <w:color w:val="231F20"/>
                <w:sz w:val="16"/>
              </w:rPr>
              <w:t>14.85</w:t>
            </w:r>
          </w:p>
        </w:tc>
      </w:tr>
      <w:tr>
        <w:trPr>
          <w:trHeight w:val="260" w:hRule="exact"/>
        </w:trPr>
        <w:tc>
          <w:tcPr>
            <w:tcW w:w="2736" w:type="dxa"/>
            <w:tcBorders>
              <w:top w:val="single" w:sz="4" w:space="0" w:color="231F20"/>
              <w:bottom w:val="single" w:sz="4" w:space="0" w:color="231F20"/>
            </w:tcBorders>
          </w:tcPr>
          <w:p>
            <w:pPr>
              <w:pStyle w:val="TableParagraph"/>
              <w:spacing w:before="60"/>
              <w:ind w:left="32"/>
              <w:rPr>
                <w:rFonts w:ascii="Book Antiqua"/>
                <w:sz w:val="16"/>
              </w:rPr>
            </w:pPr>
            <w:r>
              <w:rPr>
                <w:rFonts w:ascii="Book Antiqua"/>
                <w:color w:val="231F20"/>
                <w:w w:val="95"/>
                <w:sz w:val="16"/>
              </w:rPr>
              <w:t>3rd Quarter</w:t>
            </w:r>
          </w:p>
        </w:tc>
        <w:tc>
          <w:tcPr>
            <w:tcW w:w="3520" w:type="dxa"/>
            <w:tcBorders>
              <w:top w:val="single" w:sz="4" w:space="0" w:color="231F20"/>
              <w:bottom w:val="single" w:sz="4" w:space="0" w:color="231F20"/>
            </w:tcBorders>
          </w:tcPr>
          <w:p>
            <w:pPr>
              <w:pStyle w:val="TableParagraph"/>
              <w:spacing w:before="60"/>
              <w:ind w:left="1848" w:right="595"/>
              <w:jc w:val="center"/>
              <w:rPr>
                <w:rFonts w:ascii="Book Antiqua"/>
                <w:sz w:val="16"/>
              </w:rPr>
            </w:pPr>
            <w:r>
              <w:rPr>
                <w:rFonts w:ascii="Book Antiqua"/>
                <w:color w:val="231F20"/>
                <w:sz w:val="16"/>
              </w:rPr>
              <w:t>.0045</w:t>
            </w:r>
          </w:p>
        </w:tc>
        <w:tc>
          <w:tcPr>
            <w:tcW w:w="2038" w:type="dxa"/>
            <w:tcBorders>
              <w:top w:val="single" w:sz="4" w:space="0" w:color="231F20"/>
              <w:bottom w:val="single" w:sz="4" w:space="0" w:color="231F20"/>
            </w:tcBorders>
          </w:tcPr>
          <w:p>
            <w:pPr>
              <w:pStyle w:val="TableParagraph"/>
              <w:spacing w:before="60"/>
              <w:ind w:right="854"/>
              <w:jc w:val="right"/>
              <w:rPr>
                <w:rFonts w:ascii="Book Antiqua"/>
                <w:sz w:val="16"/>
              </w:rPr>
            </w:pPr>
            <w:r>
              <w:rPr>
                <w:rFonts w:ascii="Book Antiqua"/>
                <w:color w:val="231F20"/>
                <w:w w:val="95"/>
                <w:sz w:val="16"/>
              </w:rPr>
              <w:t>16.08</w:t>
            </w:r>
          </w:p>
        </w:tc>
        <w:tc>
          <w:tcPr>
            <w:tcW w:w="2120" w:type="dxa"/>
            <w:tcBorders>
              <w:top w:val="single" w:sz="4" w:space="0" w:color="231F20"/>
              <w:bottom w:val="single" w:sz="4" w:space="0" w:color="231F20"/>
            </w:tcBorders>
          </w:tcPr>
          <w:p>
            <w:pPr>
              <w:pStyle w:val="TableParagraph"/>
              <w:spacing w:before="60"/>
              <w:ind w:left="820" w:right="734"/>
              <w:jc w:val="center"/>
              <w:rPr>
                <w:rFonts w:ascii="Book Antiqua"/>
                <w:sz w:val="16"/>
              </w:rPr>
            </w:pPr>
            <w:r>
              <w:rPr>
                <w:rFonts w:ascii="Book Antiqua"/>
                <w:color w:val="231F20"/>
                <w:sz w:val="16"/>
              </w:rPr>
              <w:t>10.90</w:t>
            </w:r>
          </w:p>
        </w:tc>
      </w:tr>
      <w:tr>
        <w:trPr>
          <w:trHeight w:val="254" w:hRule="exact"/>
        </w:trPr>
        <w:tc>
          <w:tcPr>
            <w:tcW w:w="2736" w:type="dxa"/>
            <w:tcBorders>
              <w:top w:val="single" w:sz="4" w:space="0" w:color="231F20"/>
              <w:bottom w:val="single" w:sz="4" w:space="0" w:color="231F20"/>
            </w:tcBorders>
          </w:tcPr>
          <w:p>
            <w:pPr>
              <w:pStyle w:val="TableParagraph"/>
              <w:spacing w:before="60"/>
              <w:ind w:left="32"/>
              <w:rPr>
                <w:rFonts w:ascii="Book Antiqua"/>
                <w:sz w:val="16"/>
              </w:rPr>
            </w:pPr>
            <w:r>
              <w:rPr>
                <w:rFonts w:ascii="Book Antiqua"/>
                <w:color w:val="231F20"/>
                <w:w w:val="95"/>
                <w:sz w:val="16"/>
              </w:rPr>
              <w:t>4th Quarter</w:t>
            </w:r>
          </w:p>
        </w:tc>
        <w:tc>
          <w:tcPr>
            <w:tcW w:w="3520" w:type="dxa"/>
            <w:tcBorders>
              <w:top w:val="single" w:sz="4" w:space="0" w:color="231F20"/>
              <w:bottom w:val="single" w:sz="4" w:space="0" w:color="231F20"/>
            </w:tcBorders>
          </w:tcPr>
          <w:p>
            <w:pPr>
              <w:pStyle w:val="TableParagraph"/>
              <w:spacing w:before="60"/>
              <w:ind w:left="1848" w:right="595"/>
              <w:jc w:val="center"/>
              <w:rPr>
                <w:rFonts w:ascii="Book Antiqua"/>
                <w:sz w:val="16"/>
              </w:rPr>
            </w:pPr>
            <w:r>
              <w:rPr>
                <w:rFonts w:ascii="Book Antiqua"/>
                <w:color w:val="231F20"/>
                <w:sz w:val="16"/>
              </w:rPr>
              <w:t>.0045</w:t>
            </w:r>
          </w:p>
        </w:tc>
        <w:tc>
          <w:tcPr>
            <w:tcW w:w="2038" w:type="dxa"/>
            <w:tcBorders>
              <w:top w:val="single" w:sz="4" w:space="0" w:color="231F20"/>
              <w:bottom w:val="single" w:sz="4" w:space="0" w:color="231F20"/>
            </w:tcBorders>
          </w:tcPr>
          <w:p>
            <w:pPr>
              <w:pStyle w:val="TableParagraph"/>
              <w:spacing w:before="60"/>
              <w:ind w:right="854"/>
              <w:jc w:val="right"/>
              <w:rPr>
                <w:rFonts w:ascii="Book Antiqua"/>
                <w:sz w:val="16"/>
              </w:rPr>
            </w:pPr>
            <w:r>
              <w:rPr>
                <w:rFonts w:ascii="Book Antiqua"/>
                <w:color w:val="231F20"/>
                <w:w w:val="95"/>
                <w:sz w:val="16"/>
              </w:rPr>
              <w:t>16.70</w:t>
            </w:r>
          </w:p>
        </w:tc>
        <w:tc>
          <w:tcPr>
            <w:tcW w:w="2120" w:type="dxa"/>
            <w:tcBorders>
              <w:top w:val="single" w:sz="4" w:space="0" w:color="231F20"/>
              <w:bottom w:val="single" w:sz="4" w:space="0" w:color="231F20"/>
            </w:tcBorders>
          </w:tcPr>
          <w:p>
            <w:pPr>
              <w:pStyle w:val="TableParagraph"/>
              <w:spacing w:before="60"/>
              <w:ind w:left="820" w:right="733"/>
              <w:jc w:val="center"/>
              <w:rPr>
                <w:rFonts w:ascii="Book Antiqua"/>
                <w:sz w:val="16"/>
              </w:rPr>
            </w:pPr>
            <w:r>
              <w:rPr>
                <w:rFonts w:ascii="Book Antiqua"/>
                <w:color w:val="231F20"/>
                <w:sz w:val="16"/>
              </w:rPr>
              <w:t>11.23</w:t>
            </w:r>
          </w:p>
        </w:tc>
      </w:tr>
    </w:tbl>
    <w:p>
      <w:pPr>
        <w:pStyle w:val="BodyText"/>
        <w:rPr>
          <w:rFonts w:ascii="Book Antiqua"/>
          <w:sz w:val="20"/>
        </w:rPr>
      </w:pPr>
    </w:p>
    <w:p>
      <w:pPr>
        <w:pStyle w:val="BodyText"/>
        <w:rPr>
          <w:rFonts w:ascii="Book Antiqua"/>
          <w:sz w:val="20"/>
        </w:rPr>
      </w:pPr>
    </w:p>
    <w:p>
      <w:pPr>
        <w:pStyle w:val="BodyText"/>
        <w:rPr>
          <w:rFonts w:ascii="Book Antiqua"/>
          <w:sz w:val="20"/>
        </w:rPr>
      </w:pPr>
    </w:p>
    <w:p>
      <w:pPr>
        <w:pStyle w:val="BodyText"/>
        <w:spacing w:before="10"/>
        <w:rPr>
          <w:rFonts w:ascii="Book Antiqua"/>
          <w:sz w:val="11"/>
        </w:rPr>
      </w:pPr>
      <w:r>
        <w:rPr/>
        <w:pict>
          <v:shape style="position:absolute;margin-left:45.271pt;margin-top:9.643726pt;width:132.9pt;height:90.95pt;mso-position-horizontal-relative:page;mso-position-vertical-relative:paragraph;z-index:0;mso-wrap-distance-left:0;mso-wrap-distance-right:0" type="#_x0000_t202" filled="false" stroked="false">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448"/>
                    <w:gridCol w:w="420"/>
                    <w:gridCol w:w="420"/>
                    <w:gridCol w:w="420"/>
                    <w:gridCol w:w="420"/>
                    <w:gridCol w:w="516"/>
                  </w:tblGrid>
                  <w:tr>
                    <w:trPr>
                      <w:trHeight w:val="344" w:hRule="exact"/>
                    </w:trPr>
                    <w:tc>
                      <w:tcPr>
                        <w:tcW w:w="448" w:type="dxa"/>
                        <w:tcBorders>
                          <w:top w:val="nil"/>
                          <w:bottom w:val="nil"/>
                          <w:right w:val="single" w:sz="4" w:space="0" w:color="BABCBE"/>
                        </w:tcBorders>
                      </w:tcPr>
                      <w:p>
                        <w:pPr/>
                      </w:p>
                    </w:tc>
                    <w:tc>
                      <w:tcPr>
                        <w:tcW w:w="420" w:type="dxa"/>
                        <w:tcBorders>
                          <w:top w:val="nil"/>
                          <w:left w:val="single" w:sz="4" w:space="0" w:color="BABCBE"/>
                          <w:bottom w:val="nil"/>
                          <w:right w:val="single" w:sz="4" w:space="0" w:color="BABCBE"/>
                        </w:tcBorders>
                      </w:tcPr>
                      <w:p>
                        <w:pPr>
                          <w:pStyle w:val="TableParagraph"/>
                          <w:spacing w:before="1"/>
                          <w:rPr>
                            <w:rFonts w:ascii="Book Antiqua"/>
                            <w:sz w:val="11"/>
                          </w:rPr>
                        </w:pPr>
                      </w:p>
                      <w:p>
                        <w:pPr>
                          <w:pStyle w:val="TableParagraph"/>
                          <w:ind w:right="41"/>
                          <w:jc w:val="right"/>
                          <w:rPr>
                            <w:sz w:val="12"/>
                          </w:rPr>
                        </w:pPr>
                        <w:r>
                          <w:rPr>
                            <w:color w:val="231F20"/>
                            <w:w w:val="85"/>
                            <w:sz w:val="12"/>
                          </w:rPr>
                          <w:t>$5,650</w:t>
                        </w:r>
                      </w:p>
                    </w:tc>
                    <w:tc>
                      <w:tcPr>
                        <w:tcW w:w="420" w:type="dxa"/>
                        <w:tcBorders>
                          <w:top w:val="nil"/>
                          <w:left w:val="single" w:sz="4" w:space="0" w:color="BABCBE"/>
                          <w:bottom w:val="nil"/>
                          <w:right w:val="single" w:sz="4" w:space="0" w:color="BABCBE"/>
                        </w:tcBorders>
                      </w:tcPr>
                      <w:p>
                        <w:pPr>
                          <w:pStyle w:val="TableParagraph"/>
                          <w:spacing w:before="6"/>
                          <w:rPr>
                            <w:rFonts w:ascii="Book Antiqua"/>
                            <w:sz w:val="13"/>
                          </w:rPr>
                        </w:pPr>
                      </w:p>
                      <w:p>
                        <w:pPr>
                          <w:pStyle w:val="TableParagraph"/>
                          <w:ind w:left="7" w:right="31"/>
                          <w:jc w:val="center"/>
                          <w:rPr>
                            <w:sz w:val="12"/>
                          </w:rPr>
                        </w:pPr>
                        <w:r>
                          <w:rPr>
                            <w:color w:val="231F20"/>
                            <w:w w:val="90"/>
                            <w:sz w:val="12"/>
                          </w:rPr>
                          <w:t>$5,555</w:t>
                        </w:r>
                      </w:p>
                    </w:tc>
                    <w:tc>
                      <w:tcPr>
                        <w:tcW w:w="420" w:type="dxa"/>
                        <w:tcBorders>
                          <w:top w:val="nil"/>
                          <w:left w:val="single" w:sz="4" w:space="0" w:color="BABCBE"/>
                          <w:bottom w:val="nil"/>
                          <w:right w:val="single" w:sz="4" w:space="0" w:color="BABCBE"/>
                        </w:tcBorders>
                      </w:tcPr>
                      <w:p>
                        <w:pPr>
                          <w:pStyle w:val="TableParagraph"/>
                          <w:spacing w:before="2"/>
                          <w:rPr>
                            <w:rFonts w:ascii="Book Antiqua"/>
                            <w:sz w:val="15"/>
                          </w:rPr>
                        </w:pPr>
                      </w:p>
                      <w:p>
                        <w:pPr>
                          <w:pStyle w:val="TableParagraph"/>
                          <w:ind w:left="10" w:right="47"/>
                          <w:jc w:val="center"/>
                          <w:rPr>
                            <w:sz w:val="12"/>
                          </w:rPr>
                        </w:pPr>
                        <w:r>
                          <w:rPr>
                            <w:color w:val="231F20"/>
                            <w:w w:val="85"/>
                            <w:sz w:val="12"/>
                          </w:rPr>
                          <w:t>$5,522</w:t>
                        </w:r>
                      </w:p>
                    </w:tc>
                    <w:tc>
                      <w:tcPr>
                        <w:tcW w:w="420" w:type="dxa"/>
                        <w:tcBorders>
                          <w:top w:val="nil"/>
                          <w:left w:val="single" w:sz="4" w:space="0" w:color="BABCBE"/>
                          <w:bottom w:val="nil"/>
                        </w:tcBorders>
                      </w:tcPr>
                      <w:p>
                        <w:pPr>
                          <w:pStyle w:val="TableParagraph"/>
                          <w:spacing w:before="63"/>
                          <w:ind w:left="28"/>
                          <w:rPr>
                            <w:sz w:val="12"/>
                          </w:rPr>
                        </w:pPr>
                        <w:r>
                          <w:rPr>
                            <w:color w:val="231F20"/>
                            <w:w w:val="90"/>
                            <w:sz w:val="12"/>
                          </w:rPr>
                          <w:t>$5,937</w:t>
                        </w:r>
                      </w:p>
                    </w:tc>
                    <w:tc>
                      <w:tcPr>
                        <w:tcW w:w="516" w:type="dxa"/>
                        <w:tcBorders>
                          <w:top w:val="nil"/>
                          <w:bottom w:val="nil"/>
                        </w:tcBorders>
                      </w:tcPr>
                      <w:p>
                        <w:pPr>
                          <w:pStyle w:val="TableParagraph"/>
                          <w:spacing w:before="113"/>
                          <w:ind w:left="41" w:right="75"/>
                          <w:jc w:val="center"/>
                          <w:rPr>
                            <w:sz w:val="12"/>
                          </w:rPr>
                        </w:pPr>
                        <w:r>
                          <w:rPr>
                            <w:color w:val="231F20"/>
                            <w:w w:val="95"/>
                            <w:sz w:val="12"/>
                          </w:rPr>
                          <w:t>$6,000</w:t>
                        </w:r>
                      </w:p>
                    </w:tc>
                  </w:tr>
                  <w:tr>
                    <w:trPr>
                      <w:trHeight w:val="232" w:hRule="exact"/>
                    </w:trPr>
                    <w:tc>
                      <w:tcPr>
                        <w:tcW w:w="448" w:type="dxa"/>
                        <w:tcBorders>
                          <w:top w:val="nil"/>
                          <w:bottom w:val="nil"/>
                          <w:right w:val="single" w:sz="4" w:space="0" w:color="BABCBE"/>
                        </w:tcBorders>
                      </w:tcPr>
                      <w:p>
                        <w:pPr>
                          <w:pStyle w:val="TableParagraph"/>
                          <w:spacing w:before="58"/>
                          <w:ind w:left="36" w:right="28"/>
                          <w:jc w:val="center"/>
                          <w:rPr>
                            <w:sz w:val="12"/>
                          </w:rPr>
                        </w:pPr>
                        <w:r>
                          <w:rPr>
                            <w:color w:val="231F20"/>
                            <w:w w:val="90"/>
                            <w:sz w:val="12"/>
                          </w:rPr>
                          <w:t>$4,736</w:t>
                        </w: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tcBorders>
                      </w:tcPr>
                      <w:p>
                        <w:pPr/>
                      </w:p>
                    </w:tc>
                    <w:tc>
                      <w:tcPr>
                        <w:tcW w:w="516" w:type="dxa"/>
                        <w:tcBorders>
                          <w:top w:val="nil"/>
                          <w:bottom w:val="nil"/>
                        </w:tcBorders>
                      </w:tcPr>
                      <w:p>
                        <w:pPr>
                          <w:pStyle w:val="TableParagraph"/>
                          <w:spacing w:before="19"/>
                          <w:ind w:left="41" w:right="75"/>
                          <w:jc w:val="center"/>
                          <w:rPr>
                            <w:sz w:val="12"/>
                          </w:rPr>
                        </w:pPr>
                        <w:r>
                          <w:rPr>
                            <w:color w:val="231F20"/>
                            <w:w w:val="95"/>
                            <w:sz w:val="12"/>
                          </w:rPr>
                          <w:t>$5,000</w:t>
                        </w:r>
                      </w:p>
                    </w:tc>
                  </w:tr>
                  <w:tr>
                    <w:trPr>
                      <w:trHeight w:val="230" w:hRule="exact"/>
                    </w:trPr>
                    <w:tc>
                      <w:tcPr>
                        <w:tcW w:w="448" w:type="dxa"/>
                        <w:tcBorders>
                          <w:top w:val="nil"/>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tcBorders>
                      </w:tcPr>
                      <w:p>
                        <w:pPr/>
                      </w:p>
                    </w:tc>
                    <w:tc>
                      <w:tcPr>
                        <w:tcW w:w="516" w:type="dxa"/>
                        <w:tcBorders>
                          <w:top w:val="nil"/>
                          <w:bottom w:val="nil"/>
                        </w:tcBorders>
                      </w:tcPr>
                      <w:p>
                        <w:pPr>
                          <w:pStyle w:val="TableParagraph"/>
                          <w:spacing w:before="36"/>
                          <w:ind w:left="41" w:right="75"/>
                          <w:jc w:val="center"/>
                          <w:rPr>
                            <w:sz w:val="12"/>
                          </w:rPr>
                        </w:pPr>
                        <w:r>
                          <w:rPr>
                            <w:color w:val="231F20"/>
                            <w:w w:val="95"/>
                            <w:sz w:val="12"/>
                          </w:rPr>
                          <w:t>$4,000</w:t>
                        </w:r>
                      </w:p>
                    </w:tc>
                  </w:tr>
                  <w:tr>
                    <w:trPr>
                      <w:trHeight w:val="250" w:hRule="exact"/>
                    </w:trPr>
                    <w:tc>
                      <w:tcPr>
                        <w:tcW w:w="448" w:type="dxa"/>
                        <w:tcBorders>
                          <w:top w:val="nil"/>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tcBorders>
                      </w:tcPr>
                      <w:p>
                        <w:pPr/>
                      </w:p>
                    </w:tc>
                    <w:tc>
                      <w:tcPr>
                        <w:tcW w:w="516" w:type="dxa"/>
                        <w:tcBorders>
                          <w:top w:val="nil"/>
                          <w:bottom w:val="nil"/>
                        </w:tcBorders>
                      </w:tcPr>
                      <w:p>
                        <w:pPr>
                          <w:pStyle w:val="TableParagraph"/>
                          <w:spacing w:before="56"/>
                          <w:ind w:left="41" w:right="75"/>
                          <w:jc w:val="center"/>
                          <w:rPr>
                            <w:sz w:val="12"/>
                          </w:rPr>
                        </w:pPr>
                        <w:r>
                          <w:rPr>
                            <w:color w:val="231F20"/>
                            <w:w w:val="95"/>
                            <w:sz w:val="12"/>
                          </w:rPr>
                          <w:t>$3,000</w:t>
                        </w:r>
                      </w:p>
                    </w:tc>
                  </w:tr>
                  <w:tr>
                    <w:trPr>
                      <w:trHeight w:val="250" w:hRule="exact"/>
                    </w:trPr>
                    <w:tc>
                      <w:tcPr>
                        <w:tcW w:w="448" w:type="dxa"/>
                        <w:tcBorders>
                          <w:top w:val="nil"/>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tcBorders>
                      </w:tcPr>
                      <w:p>
                        <w:pPr/>
                      </w:p>
                    </w:tc>
                    <w:tc>
                      <w:tcPr>
                        <w:tcW w:w="516" w:type="dxa"/>
                        <w:tcBorders>
                          <w:top w:val="nil"/>
                          <w:bottom w:val="nil"/>
                        </w:tcBorders>
                      </w:tcPr>
                      <w:p>
                        <w:pPr>
                          <w:pStyle w:val="TableParagraph"/>
                          <w:spacing w:before="56"/>
                          <w:ind w:left="41" w:right="75"/>
                          <w:jc w:val="center"/>
                          <w:rPr>
                            <w:sz w:val="12"/>
                          </w:rPr>
                        </w:pPr>
                        <w:r>
                          <w:rPr>
                            <w:color w:val="231F20"/>
                            <w:w w:val="95"/>
                            <w:sz w:val="12"/>
                          </w:rPr>
                          <w:t>$2,000</w:t>
                        </w:r>
                      </w:p>
                    </w:tc>
                  </w:tr>
                  <w:tr>
                    <w:trPr>
                      <w:trHeight w:val="284" w:hRule="exact"/>
                    </w:trPr>
                    <w:tc>
                      <w:tcPr>
                        <w:tcW w:w="448" w:type="dxa"/>
                        <w:tcBorders>
                          <w:top w:val="nil"/>
                          <w:right w:val="single" w:sz="4" w:space="0" w:color="BABCBE"/>
                        </w:tcBorders>
                      </w:tcPr>
                      <w:p>
                        <w:pPr/>
                      </w:p>
                    </w:tc>
                    <w:tc>
                      <w:tcPr>
                        <w:tcW w:w="420" w:type="dxa"/>
                        <w:tcBorders>
                          <w:top w:val="nil"/>
                          <w:left w:val="single" w:sz="4" w:space="0" w:color="BABCBE"/>
                          <w:right w:val="single" w:sz="4" w:space="0" w:color="BABCBE"/>
                        </w:tcBorders>
                      </w:tcPr>
                      <w:p>
                        <w:pPr/>
                      </w:p>
                    </w:tc>
                    <w:tc>
                      <w:tcPr>
                        <w:tcW w:w="420" w:type="dxa"/>
                        <w:tcBorders>
                          <w:top w:val="nil"/>
                          <w:left w:val="single" w:sz="4" w:space="0" w:color="BABCBE"/>
                          <w:right w:val="single" w:sz="4" w:space="0" w:color="BABCBE"/>
                        </w:tcBorders>
                      </w:tcPr>
                      <w:p>
                        <w:pPr/>
                      </w:p>
                    </w:tc>
                    <w:tc>
                      <w:tcPr>
                        <w:tcW w:w="420" w:type="dxa"/>
                        <w:tcBorders>
                          <w:top w:val="nil"/>
                          <w:left w:val="single" w:sz="4" w:space="0" w:color="BABCBE"/>
                          <w:right w:val="single" w:sz="4" w:space="0" w:color="BABCBE"/>
                        </w:tcBorders>
                      </w:tcPr>
                      <w:p>
                        <w:pPr/>
                      </w:p>
                    </w:tc>
                    <w:tc>
                      <w:tcPr>
                        <w:tcW w:w="420" w:type="dxa"/>
                        <w:tcBorders>
                          <w:top w:val="nil"/>
                          <w:left w:val="single" w:sz="4" w:space="0" w:color="BABCBE"/>
                        </w:tcBorders>
                      </w:tcPr>
                      <w:p>
                        <w:pPr/>
                      </w:p>
                    </w:tc>
                    <w:tc>
                      <w:tcPr>
                        <w:tcW w:w="516" w:type="dxa"/>
                        <w:tcBorders>
                          <w:top w:val="nil"/>
                        </w:tcBorders>
                      </w:tcPr>
                      <w:p>
                        <w:pPr>
                          <w:pStyle w:val="TableParagraph"/>
                          <w:spacing w:before="56"/>
                          <w:ind w:left="41" w:right="75"/>
                          <w:jc w:val="center"/>
                          <w:rPr>
                            <w:sz w:val="12"/>
                          </w:rPr>
                        </w:pPr>
                        <w:r>
                          <w:rPr>
                            <w:color w:val="231F20"/>
                            <w:w w:val="95"/>
                            <w:sz w:val="12"/>
                          </w:rPr>
                          <w:t>$1,000</w:t>
                        </w:r>
                      </w:p>
                    </w:tc>
                  </w:tr>
                  <w:tr>
                    <w:trPr>
                      <w:trHeight w:val="218" w:hRule="exact"/>
                    </w:trPr>
                    <w:tc>
                      <w:tcPr>
                        <w:tcW w:w="448" w:type="dxa"/>
                        <w:tcBorders>
                          <w:right w:val="single" w:sz="4" w:space="0" w:color="BABCBE"/>
                        </w:tcBorders>
                        <w:shd w:val="clear" w:color="auto" w:fill="DBDCDE"/>
                      </w:tcPr>
                      <w:p>
                        <w:pPr>
                          <w:pStyle w:val="TableParagraph"/>
                          <w:spacing w:before="47"/>
                          <w:ind w:left="36" w:right="25"/>
                          <w:jc w:val="center"/>
                          <w:rPr>
                            <w:sz w:val="12"/>
                          </w:rPr>
                        </w:pPr>
                        <w:r>
                          <w:rPr>
                            <w:color w:val="231F20"/>
                            <w:w w:val="95"/>
                            <w:sz w:val="12"/>
                          </w:rPr>
                          <w:t>1999</w:t>
                        </w:r>
                      </w:p>
                    </w:tc>
                    <w:tc>
                      <w:tcPr>
                        <w:tcW w:w="420" w:type="dxa"/>
                        <w:tcBorders>
                          <w:left w:val="single" w:sz="4" w:space="0" w:color="BABCBE"/>
                          <w:right w:val="single" w:sz="4" w:space="0" w:color="BABCBE"/>
                        </w:tcBorders>
                        <w:shd w:val="clear" w:color="auto" w:fill="DBDCDE"/>
                      </w:tcPr>
                      <w:p>
                        <w:pPr>
                          <w:pStyle w:val="TableParagraph"/>
                          <w:spacing w:before="47"/>
                          <w:ind w:right="80"/>
                          <w:jc w:val="right"/>
                          <w:rPr>
                            <w:sz w:val="12"/>
                          </w:rPr>
                        </w:pPr>
                        <w:r>
                          <w:rPr>
                            <w:color w:val="231F20"/>
                            <w:w w:val="85"/>
                            <w:sz w:val="12"/>
                          </w:rPr>
                          <w:t>2000</w:t>
                        </w:r>
                      </w:p>
                    </w:tc>
                    <w:tc>
                      <w:tcPr>
                        <w:tcW w:w="420" w:type="dxa"/>
                        <w:tcBorders>
                          <w:left w:val="single" w:sz="4" w:space="0" w:color="BABCBE"/>
                          <w:right w:val="single" w:sz="4" w:space="0" w:color="BABCBE"/>
                        </w:tcBorders>
                        <w:shd w:val="clear" w:color="auto" w:fill="DBDCDE"/>
                      </w:tcPr>
                      <w:p>
                        <w:pPr>
                          <w:pStyle w:val="TableParagraph"/>
                          <w:spacing w:before="47"/>
                          <w:ind w:left="10" w:right="14"/>
                          <w:jc w:val="center"/>
                          <w:rPr>
                            <w:sz w:val="12"/>
                          </w:rPr>
                        </w:pPr>
                        <w:r>
                          <w:rPr>
                            <w:color w:val="231F20"/>
                            <w:w w:val="95"/>
                            <w:sz w:val="12"/>
                          </w:rPr>
                          <w:t>2001</w:t>
                        </w:r>
                      </w:p>
                    </w:tc>
                    <w:tc>
                      <w:tcPr>
                        <w:tcW w:w="420" w:type="dxa"/>
                        <w:tcBorders>
                          <w:left w:val="single" w:sz="4" w:space="0" w:color="BABCBE"/>
                          <w:right w:val="single" w:sz="4" w:space="0" w:color="BABCBE"/>
                        </w:tcBorders>
                        <w:shd w:val="clear" w:color="auto" w:fill="DBDCDE"/>
                      </w:tcPr>
                      <w:p>
                        <w:pPr>
                          <w:pStyle w:val="TableParagraph"/>
                          <w:spacing w:before="47"/>
                          <w:ind w:left="5" w:right="18"/>
                          <w:jc w:val="center"/>
                          <w:rPr>
                            <w:sz w:val="12"/>
                          </w:rPr>
                        </w:pPr>
                        <w:r>
                          <w:rPr>
                            <w:color w:val="231F20"/>
                            <w:w w:val="95"/>
                            <w:sz w:val="12"/>
                          </w:rPr>
                          <w:t>2002</w:t>
                        </w:r>
                      </w:p>
                    </w:tc>
                    <w:tc>
                      <w:tcPr>
                        <w:tcW w:w="420" w:type="dxa"/>
                        <w:tcBorders>
                          <w:left w:val="single" w:sz="4" w:space="0" w:color="BABCBE"/>
                        </w:tcBorders>
                        <w:shd w:val="clear" w:color="auto" w:fill="DBDCDE"/>
                      </w:tcPr>
                      <w:p>
                        <w:pPr>
                          <w:pStyle w:val="TableParagraph"/>
                          <w:spacing w:before="47"/>
                          <w:ind w:left="81"/>
                          <w:rPr>
                            <w:sz w:val="12"/>
                          </w:rPr>
                        </w:pPr>
                        <w:r>
                          <w:rPr>
                            <w:color w:val="231F20"/>
                            <w:w w:val="95"/>
                            <w:sz w:val="12"/>
                          </w:rPr>
                          <w:t>2003</w:t>
                        </w:r>
                      </w:p>
                    </w:tc>
                    <w:tc>
                      <w:tcPr>
                        <w:tcW w:w="516" w:type="dxa"/>
                        <w:tcBorders>
                          <w:bottom w:val="nil"/>
                          <w:right w:val="nil"/>
                        </w:tcBorders>
                      </w:tcPr>
                      <w:p>
                        <w:pPr/>
                      </w:p>
                    </w:tc>
                  </w:tr>
                </w:tbl>
                <w:p>
                  <w:pPr>
                    <w:pStyle w:val="BodyText"/>
                  </w:pPr>
                </w:p>
              </w:txbxContent>
            </v:textbox>
            <w10:wrap type="topAndBottom"/>
          </v:shape>
        </w:pict>
      </w:r>
      <w:r>
        <w:rPr/>
        <w:pict>
          <v:shape style="position:absolute;margin-left:246.684998pt;margin-top:10.002526pt;width:127.65pt;height:90.9pt;mso-position-horizontal-relative:page;mso-position-vertical-relative:paragraph;z-index:0;mso-wrap-distance-left:0;mso-wrap-distance-right:0" type="#_x0000_t202" filled="false" stroked="false">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448"/>
                    <w:gridCol w:w="420"/>
                    <w:gridCol w:w="420"/>
                    <w:gridCol w:w="420"/>
                    <w:gridCol w:w="420"/>
                    <w:gridCol w:w="410"/>
                  </w:tblGrid>
                  <w:tr>
                    <w:trPr>
                      <w:trHeight w:val="274" w:hRule="exact"/>
                    </w:trPr>
                    <w:tc>
                      <w:tcPr>
                        <w:tcW w:w="448" w:type="dxa"/>
                        <w:tcBorders>
                          <w:top w:val="nil"/>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tcBorders>
                      </w:tcPr>
                      <w:p>
                        <w:pPr/>
                      </w:p>
                    </w:tc>
                    <w:tc>
                      <w:tcPr>
                        <w:tcW w:w="410" w:type="dxa"/>
                        <w:tcBorders>
                          <w:top w:val="nil"/>
                          <w:bottom w:val="nil"/>
                        </w:tcBorders>
                      </w:tcPr>
                      <w:p>
                        <w:pPr>
                          <w:pStyle w:val="TableParagraph"/>
                          <w:spacing w:before="116"/>
                          <w:ind w:right="84"/>
                          <w:jc w:val="right"/>
                          <w:rPr>
                            <w:sz w:val="12"/>
                          </w:rPr>
                        </w:pPr>
                        <w:r>
                          <w:rPr>
                            <w:color w:val="231F20"/>
                            <w:w w:val="85"/>
                            <w:sz w:val="12"/>
                          </w:rPr>
                          <w:t>75%</w:t>
                        </w:r>
                      </w:p>
                    </w:tc>
                  </w:tr>
                  <w:tr>
                    <w:trPr>
                      <w:trHeight w:val="536" w:hRule="exact"/>
                    </w:trPr>
                    <w:tc>
                      <w:tcPr>
                        <w:tcW w:w="448" w:type="dxa"/>
                        <w:tcBorders>
                          <w:top w:val="nil"/>
                          <w:bottom w:val="nil"/>
                          <w:right w:val="single" w:sz="4" w:space="0" w:color="BABCBE"/>
                        </w:tcBorders>
                      </w:tcPr>
                      <w:p>
                        <w:pPr>
                          <w:pStyle w:val="TableParagraph"/>
                          <w:spacing w:before="57"/>
                          <w:ind w:left="44" w:right="29"/>
                          <w:jc w:val="center"/>
                          <w:rPr>
                            <w:sz w:val="12"/>
                          </w:rPr>
                        </w:pPr>
                        <w:r>
                          <w:rPr>
                            <w:color w:val="231F20"/>
                            <w:w w:val="95"/>
                            <w:sz w:val="12"/>
                          </w:rPr>
                          <w:t>69.0%</w:t>
                        </w:r>
                      </w:p>
                    </w:tc>
                    <w:tc>
                      <w:tcPr>
                        <w:tcW w:w="420" w:type="dxa"/>
                        <w:tcBorders>
                          <w:top w:val="nil"/>
                          <w:left w:val="single" w:sz="4" w:space="0" w:color="BABCBE"/>
                          <w:bottom w:val="nil"/>
                          <w:right w:val="single" w:sz="4" w:space="0" w:color="BABCBE"/>
                        </w:tcBorders>
                      </w:tcPr>
                      <w:p>
                        <w:pPr>
                          <w:pStyle w:val="TableParagraph"/>
                          <w:spacing w:before="20"/>
                          <w:ind w:left="42"/>
                          <w:rPr>
                            <w:sz w:val="12"/>
                          </w:rPr>
                        </w:pPr>
                        <w:r>
                          <w:rPr>
                            <w:color w:val="231F20"/>
                            <w:w w:val="95"/>
                            <w:sz w:val="12"/>
                          </w:rPr>
                          <w:t>70.5%</w:t>
                        </w:r>
                      </w:p>
                    </w:tc>
                    <w:tc>
                      <w:tcPr>
                        <w:tcW w:w="420" w:type="dxa"/>
                        <w:tcBorders>
                          <w:top w:val="nil"/>
                          <w:left w:val="single" w:sz="4" w:space="0" w:color="BABCBE"/>
                          <w:bottom w:val="nil"/>
                          <w:right w:val="single" w:sz="4" w:space="0" w:color="BABCBE"/>
                        </w:tcBorders>
                      </w:tcPr>
                      <w:p>
                        <w:pPr>
                          <w:pStyle w:val="TableParagraph"/>
                          <w:spacing w:before="8"/>
                          <w:rPr>
                            <w:rFonts w:ascii="Book Antiqua"/>
                            <w:sz w:val="12"/>
                          </w:rPr>
                        </w:pPr>
                      </w:p>
                      <w:p>
                        <w:pPr>
                          <w:pStyle w:val="TableParagraph"/>
                          <w:ind w:left="52"/>
                          <w:rPr>
                            <w:sz w:val="12"/>
                          </w:rPr>
                        </w:pPr>
                        <w:r>
                          <w:rPr>
                            <w:color w:val="231F20"/>
                            <w:w w:val="90"/>
                            <w:sz w:val="12"/>
                          </w:rPr>
                          <w:t>68.1%</w:t>
                        </w:r>
                      </w:p>
                    </w:tc>
                    <w:tc>
                      <w:tcPr>
                        <w:tcW w:w="420" w:type="dxa"/>
                        <w:tcBorders>
                          <w:top w:val="nil"/>
                          <w:left w:val="single" w:sz="4" w:space="0" w:color="BABCBE"/>
                          <w:bottom w:val="nil"/>
                          <w:right w:val="single" w:sz="4" w:space="0" w:color="BABCBE"/>
                        </w:tcBorders>
                      </w:tcPr>
                      <w:p>
                        <w:pPr>
                          <w:pStyle w:val="TableParagraph"/>
                          <w:rPr>
                            <w:rFonts w:ascii="Book Antiqua"/>
                            <w:sz w:val="14"/>
                          </w:rPr>
                        </w:pPr>
                      </w:p>
                      <w:p>
                        <w:pPr>
                          <w:pStyle w:val="TableParagraph"/>
                          <w:spacing w:before="121"/>
                          <w:ind w:left="43"/>
                          <w:rPr>
                            <w:sz w:val="12"/>
                          </w:rPr>
                        </w:pPr>
                        <w:r>
                          <w:rPr>
                            <w:color w:val="231F20"/>
                            <w:w w:val="95"/>
                            <w:sz w:val="12"/>
                          </w:rPr>
                          <w:t>65.9%</w:t>
                        </w:r>
                      </w:p>
                    </w:tc>
                    <w:tc>
                      <w:tcPr>
                        <w:tcW w:w="420" w:type="dxa"/>
                        <w:tcBorders>
                          <w:top w:val="nil"/>
                          <w:left w:val="single" w:sz="4" w:space="0" w:color="BABCBE"/>
                          <w:bottom w:val="nil"/>
                        </w:tcBorders>
                      </w:tcPr>
                      <w:p>
                        <w:pPr>
                          <w:pStyle w:val="TableParagraph"/>
                          <w:spacing w:before="3"/>
                          <w:rPr>
                            <w:rFonts w:ascii="Book Antiqua"/>
                            <w:sz w:val="17"/>
                          </w:rPr>
                        </w:pPr>
                      </w:p>
                      <w:p>
                        <w:pPr>
                          <w:pStyle w:val="TableParagraph"/>
                          <w:ind w:left="2" w:right="5"/>
                          <w:jc w:val="center"/>
                          <w:rPr>
                            <w:sz w:val="12"/>
                          </w:rPr>
                        </w:pPr>
                        <w:r>
                          <w:rPr>
                            <w:color w:val="231F20"/>
                            <w:w w:val="95"/>
                            <w:sz w:val="12"/>
                          </w:rPr>
                          <w:t>66.8%</w:t>
                        </w:r>
                      </w:p>
                    </w:tc>
                    <w:tc>
                      <w:tcPr>
                        <w:tcW w:w="410" w:type="dxa"/>
                        <w:tcBorders>
                          <w:top w:val="nil"/>
                          <w:bottom w:val="nil"/>
                        </w:tcBorders>
                      </w:tcPr>
                      <w:p>
                        <w:pPr>
                          <w:pStyle w:val="TableParagraph"/>
                          <w:spacing w:before="92"/>
                          <w:ind w:left="93"/>
                          <w:rPr>
                            <w:sz w:val="12"/>
                          </w:rPr>
                        </w:pPr>
                        <w:r>
                          <w:rPr>
                            <w:color w:val="231F20"/>
                            <w:w w:val="95"/>
                            <w:sz w:val="12"/>
                          </w:rPr>
                          <w:t>70%</w:t>
                        </w:r>
                      </w:p>
                      <w:p>
                        <w:pPr>
                          <w:pStyle w:val="TableParagraph"/>
                          <w:spacing w:before="111"/>
                          <w:ind w:left="93"/>
                          <w:rPr>
                            <w:sz w:val="12"/>
                          </w:rPr>
                        </w:pPr>
                        <w:r>
                          <w:rPr>
                            <w:color w:val="231F20"/>
                            <w:w w:val="95"/>
                            <w:sz w:val="12"/>
                          </w:rPr>
                          <w:t>65%</w:t>
                        </w:r>
                      </w:p>
                    </w:tc>
                  </w:tr>
                  <w:tr>
                    <w:trPr>
                      <w:trHeight w:val="250" w:hRule="exact"/>
                    </w:trPr>
                    <w:tc>
                      <w:tcPr>
                        <w:tcW w:w="448" w:type="dxa"/>
                        <w:tcBorders>
                          <w:top w:val="nil"/>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tcBorders>
                      </w:tcPr>
                      <w:p>
                        <w:pPr/>
                      </w:p>
                    </w:tc>
                    <w:tc>
                      <w:tcPr>
                        <w:tcW w:w="410" w:type="dxa"/>
                        <w:tcBorders>
                          <w:top w:val="nil"/>
                          <w:bottom w:val="nil"/>
                        </w:tcBorders>
                      </w:tcPr>
                      <w:p>
                        <w:pPr>
                          <w:pStyle w:val="TableParagraph"/>
                          <w:spacing w:before="56"/>
                          <w:ind w:right="84"/>
                          <w:jc w:val="right"/>
                          <w:rPr>
                            <w:sz w:val="12"/>
                          </w:rPr>
                        </w:pPr>
                        <w:r>
                          <w:rPr>
                            <w:color w:val="231F20"/>
                            <w:w w:val="85"/>
                            <w:sz w:val="12"/>
                          </w:rPr>
                          <w:t>60%</w:t>
                        </w:r>
                      </w:p>
                    </w:tc>
                  </w:tr>
                  <w:tr>
                    <w:trPr>
                      <w:trHeight w:val="250" w:hRule="exact"/>
                    </w:trPr>
                    <w:tc>
                      <w:tcPr>
                        <w:tcW w:w="448" w:type="dxa"/>
                        <w:tcBorders>
                          <w:top w:val="nil"/>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tcBorders>
                      </w:tcPr>
                      <w:p>
                        <w:pPr/>
                      </w:p>
                    </w:tc>
                    <w:tc>
                      <w:tcPr>
                        <w:tcW w:w="410" w:type="dxa"/>
                        <w:tcBorders>
                          <w:top w:val="nil"/>
                          <w:bottom w:val="nil"/>
                        </w:tcBorders>
                      </w:tcPr>
                      <w:p>
                        <w:pPr>
                          <w:pStyle w:val="TableParagraph"/>
                          <w:spacing w:before="56"/>
                          <w:ind w:right="84"/>
                          <w:jc w:val="right"/>
                          <w:rPr>
                            <w:sz w:val="12"/>
                          </w:rPr>
                        </w:pPr>
                        <w:r>
                          <w:rPr>
                            <w:color w:val="231F20"/>
                            <w:w w:val="85"/>
                            <w:sz w:val="12"/>
                          </w:rPr>
                          <w:t>55%</w:t>
                        </w:r>
                      </w:p>
                    </w:tc>
                  </w:tr>
                  <w:tr>
                    <w:trPr>
                      <w:trHeight w:val="279" w:hRule="exact"/>
                    </w:trPr>
                    <w:tc>
                      <w:tcPr>
                        <w:tcW w:w="448" w:type="dxa"/>
                        <w:tcBorders>
                          <w:top w:val="nil"/>
                          <w:right w:val="single" w:sz="4" w:space="0" w:color="BABCBE"/>
                        </w:tcBorders>
                      </w:tcPr>
                      <w:p>
                        <w:pPr/>
                      </w:p>
                    </w:tc>
                    <w:tc>
                      <w:tcPr>
                        <w:tcW w:w="420" w:type="dxa"/>
                        <w:tcBorders>
                          <w:top w:val="nil"/>
                          <w:left w:val="single" w:sz="4" w:space="0" w:color="BABCBE"/>
                          <w:right w:val="single" w:sz="4" w:space="0" w:color="BABCBE"/>
                        </w:tcBorders>
                      </w:tcPr>
                      <w:p>
                        <w:pPr/>
                      </w:p>
                    </w:tc>
                    <w:tc>
                      <w:tcPr>
                        <w:tcW w:w="420" w:type="dxa"/>
                        <w:tcBorders>
                          <w:top w:val="nil"/>
                          <w:left w:val="single" w:sz="4" w:space="0" w:color="BABCBE"/>
                          <w:right w:val="single" w:sz="4" w:space="0" w:color="BABCBE"/>
                        </w:tcBorders>
                      </w:tcPr>
                      <w:p>
                        <w:pPr/>
                      </w:p>
                    </w:tc>
                    <w:tc>
                      <w:tcPr>
                        <w:tcW w:w="420" w:type="dxa"/>
                        <w:tcBorders>
                          <w:top w:val="nil"/>
                          <w:left w:val="single" w:sz="4" w:space="0" w:color="BABCBE"/>
                          <w:right w:val="single" w:sz="4" w:space="0" w:color="BABCBE"/>
                        </w:tcBorders>
                      </w:tcPr>
                      <w:p>
                        <w:pPr/>
                      </w:p>
                    </w:tc>
                    <w:tc>
                      <w:tcPr>
                        <w:tcW w:w="420" w:type="dxa"/>
                        <w:tcBorders>
                          <w:top w:val="nil"/>
                          <w:left w:val="single" w:sz="4" w:space="0" w:color="BABCBE"/>
                        </w:tcBorders>
                      </w:tcPr>
                      <w:p>
                        <w:pPr/>
                      </w:p>
                    </w:tc>
                    <w:tc>
                      <w:tcPr>
                        <w:tcW w:w="410" w:type="dxa"/>
                        <w:tcBorders>
                          <w:top w:val="nil"/>
                        </w:tcBorders>
                      </w:tcPr>
                      <w:p>
                        <w:pPr>
                          <w:pStyle w:val="TableParagraph"/>
                          <w:spacing w:before="56"/>
                          <w:ind w:right="84"/>
                          <w:jc w:val="right"/>
                          <w:rPr>
                            <w:sz w:val="12"/>
                          </w:rPr>
                        </w:pPr>
                        <w:r>
                          <w:rPr>
                            <w:color w:val="231F20"/>
                            <w:w w:val="85"/>
                            <w:sz w:val="12"/>
                          </w:rPr>
                          <w:t>50%</w:t>
                        </w:r>
                      </w:p>
                    </w:tc>
                  </w:tr>
                  <w:tr>
                    <w:trPr>
                      <w:trHeight w:val="218" w:hRule="exact"/>
                    </w:trPr>
                    <w:tc>
                      <w:tcPr>
                        <w:tcW w:w="448" w:type="dxa"/>
                        <w:tcBorders>
                          <w:right w:val="single" w:sz="4" w:space="0" w:color="BABCBE"/>
                        </w:tcBorders>
                        <w:shd w:val="clear" w:color="auto" w:fill="DBDCDE"/>
                      </w:tcPr>
                      <w:p>
                        <w:pPr>
                          <w:pStyle w:val="TableParagraph"/>
                          <w:spacing w:before="44"/>
                          <w:ind w:left="23" w:right="29"/>
                          <w:jc w:val="center"/>
                          <w:rPr>
                            <w:sz w:val="12"/>
                          </w:rPr>
                        </w:pPr>
                        <w:r>
                          <w:rPr>
                            <w:color w:val="231F20"/>
                            <w:w w:val="95"/>
                            <w:sz w:val="12"/>
                          </w:rPr>
                          <w:t>1999</w:t>
                        </w:r>
                      </w:p>
                    </w:tc>
                    <w:tc>
                      <w:tcPr>
                        <w:tcW w:w="420" w:type="dxa"/>
                        <w:tcBorders>
                          <w:left w:val="single" w:sz="4" w:space="0" w:color="BABCBE"/>
                          <w:right w:val="single" w:sz="4" w:space="0" w:color="BABCBE"/>
                        </w:tcBorders>
                        <w:shd w:val="clear" w:color="auto" w:fill="DBDCDE"/>
                      </w:tcPr>
                      <w:p>
                        <w:pPr>
                          <w:pStyle w:val="TableParagraph"/>
                          <w:spacing w:before="44"/>
                          <w:ind w:left="73"/>
                          <w:rPr>
                            <w:sz w:val="12"/>
                          </w:rPr>
                        </w:pPr>
                        <w:r>
                          <w:rPr>
                            <w:color w:val="231F20"/>
                            <w:w w:val="95"/>
                            <w:sz w:val="12"/>
                          </w:rPr>
                          <w:t>2000</w:t>
                        </w:r>
                      </w:p>
                    </w:tc>
                    <w:tc>
                      <w:tcPr>
                        <w:tcW w:w="420" w:type="dxa"/>
                        <w:tcBorders>
                          <w:left w:val="single" w:sz="4" w:space="0" w:color="BABCBE"/>
                          <w:right w:val="single" w:sz="4" w:space="0" w:color="BABCBE"/>
                        </w:tcBorders>
                        <w:shd w:val="clear" w:color="auto" w:fill="DBDCDE"/>
                      </w:tcPr>
                      <w:p>
                        <w:pPr>
                          <w:pStyle w:val="TableParagraph"/>
                          <w:spacing w:before="46"/>
                          <w:ind w:left="78"/>
                          <w:rPr>
                            <w:sz w:val="12"/>
                          </w:rPr>
                        </w:pPr>
                        <w:r>
                          <w:rPr>
                            <w:color w:val="231F20"/>
                            <w:w w:val="95"/>
                            <w:sz w:val="12"/>
                          </w:rPr>
                          <w:t>2001</w:t>
                        </w:r>
                      </w:p>
                    </w:tc>
                    <w:tc>
                      <w:tcPr>
                        <w:tcW w:w="420" w:type="dxa"/>
                        <w:tcBorders>
                          <w:left w:val="single" w:sz="4" w:space="0" w:color="BABCBE"/>
                          <w:right w:val="single" w:sz="4" w:space="0" w:color="BABCBE"/>
                        </w:tcBorders>
                        <w:shd w:val="clear" w:color="auto" w:fill="DBDCDE"/>
                      </w:tcPr>
                      <w:p>
                        <w:pPr>
                          <w:pStyle w:val="TableParagraph"/>
                          <w:spacing w:before="43"/>
                          <w:ind w:left="79"/>
                          <w:rPr>
                            <w:sz w:val="12"/>
                          </w:rPr>
                        </w:pPr>
                        <w:r>
                          <w:rPr>
                            <w:color w:val="231F20"/>
                            <w:w w:val="95"/>
                            <w:sz w:val="12"/>
                          </w:rPr>
                          <w:t>2002</w:t>
                        </w:r>
                      </w:p>
                    </w:tc>
                    <w:tc>
                      <w:tcPr>
                        <w:tcW w:w="420" w:type="dxa"/>
                        <w:tcBorders>
                          <w:left w:val="single" w:sz="4" w:space="0" w:color="BABCBE"/>
                        </w:tcBorders>
                        <w:shd w:val="clear" w:color="auto" w:fill="DBDCDE"/>
                      </w:tcPr>
                      <w:p>
                        <w:pPr>
                          <w:pStyle w:val="TableParagraph"/>
                          <w:spacing w:before="46"/>
                          <w:ind w:left="1" w:right="5"/>
                          <w:jc w:val="center"/>
                          <w:rPr>
                            <w:sz w:val="12"/>
                          </w:rPr>
                        </w:pPr>
                        <w:r>
                          <w:rPr>
                            <w:color w:val="231F20"/>
                            <w:w w:val="95"/>
                            <w:sz w:val="12"/>
                          </w:rPr>
                          <w:t>2003</w:t>
                        </w:r>
                      </w:p>
                    </w:tc>
                    <w:tc>
                      <w:tcPr>
                        <w:tcW w:w="410" w:type="dxa"/>
                        <w:tcBorders>
                          <w:bottom w:val="nil"/>
                          <w:right w:val="nil"/>
                        </w:tcBorders>
                      </w:tcPr>
                      <w:p>
                        <w:pPr/>
                      </w:p>
                    </w:tc>
                  </w:tr>
                </w:tbl>
                <w:p>
                  <w:pPr>
                    <w:pStyle w:val="BodyText"/>
                  </w:pPr>
                </w:p>
              </w:txbxContent>
            </v:textbox>
            <w10:wrap type="topAndBottom"/>
          </v:shape>
        </w:pict>
      </w:r>
      <w:r>
        <w:rPr/>
        <w:pict>
          <v:shape style="position:absolute;margin-left:444.341003pt;margin-top:9.321727pt;width:123.8pt;height:91.3pt;mso-position-horizontal-relative:page;mso-position-vertical-relative:paragraph;z-index:0;mso-wrap-distance-left:0;mso-wrap-distance-right:0" type="#_x0000_t202" filled="false" stroked="false">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448"/>
                    <w:gridCol w:w="420"/>
                    <w:gridCol w:w="420"/>
                    <w:gridCol w:w="420"/>
                    <w:gridCol w:w="420"/>
                    <w:gridCol w:w="334"/>
                  </w:tblGrid>
                  <w:tr>
                    <w:trPr>
                      <w:trHeight w:val="654" w:hRule="exact"/>
                    </w:trPr>
                    <w:tc>
                      <w:tcPr>
                        <w:tcW w:w="448" w:type="dxa"/>
                        <w:tcBorders>
                          <w:top w:val="nil"/>
                          <w:bottom w:val="nil"/>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spacing w:before="10"/>
                          <w:rPr>
                            <w:rFonts w:ascii="Book Antiqua"/>
                            <w:sz w:val="10"/>
                          </w:rPr>
                        </w:pPr>
                      </w:p>
                      <w:p>
                        <w:pPr>
                          <w:pStyle w:val="TableParagraph"/>
                          <w:ind w:left="36" w:right="29"/>
                          <w:jc w:val="center"/>
                          <w:rPr>
                            <w:sz w:val="12"/>
                          </w:rPr>
                        </w:pPr>
                        <w:r>
                          <w:rPr>
                            <w:color w:val="231F20"/>
                            <w:w w:val="90"/>
                            <w:sz w:val="12"/>
                          </w:rPr>
                          <w:t>36,479</w:t>
                        </w:r>
                      </w:p>
                    </w:tc>
                    <w:tc>
                      <w:tcPr>
                        <w:tcW w:w="420" w:type="dxa"/>
                        <w:tcBorders>
                          <w:top w:val="nil"/>
                          <w:left w:val="single" w:sz="4" w:space="0" w:color="BABCBE"/>
                          <w:bottom w:val="nil"/>
                          <w:right w:val="single" w:sz="4" w:space="0" w:color="BABCBE"/>
                        </w:tcBorders>
                      </w:tcPr>
                      <w:p>
                        <w:pPr>
                          <w:pStyle w:val="TableParagraph"/>
                          <w:rPr>
                            <w:rFonts w:ascii="Book Antiqua"/>
                            <w:sz w:val="14"/>
                          </w:rPr>
                        </w:pPr>
                      </w:p>
                      <w:p>
                        <w:pPr>
                          <w:pStyle w:val="TableParagraph"/>
                          <w:spacing w:before="7"/>
                          <w:rPr>
                            <w:rFonts w:ascii="Book Antiqua"/>
                            <w:sz w:val="11"/>
                          </w:rPr>
                        </w:pPr>
                      </w:p>
                      <w:p>
                        <w:pPr>
                          <w:pStyle w:val="TableParagraph"/>
                          <w:ind w:left="25"/>
                          <w:rPr>
                            <w:sz w:val="12"/>
                          </w:rPr>
                        </w:pPr>
                        <w:r>
                          <w:rPr>
                            <w:color w:val="231F20"/>
                            <w:w w:val="90"/>
                            <w:sz w:val="12"/>
                          </w:rPr>
                          <w:t>42,215</w:t>
                        </w:r>
                      </w:p>
                    </w:tc>
                    <w:tc>
                      <w:tcPr>
                        <w:tcW w:w="420" w:type="dxa"/>
                        <w:tcBorders>
                          <w:top w:val="nil"/>
                          <w:left w:val="single" w:sz="4" w:space="0" w:color="BABCBE"/>
                          <w:bottom w:val="nil"/>
                          <w:right w:val="single" w:sz="4" w:space="0" w:color="BABCBE"/>
                        </w:tcBorders>
                      </w:tcPr>
                      <w:p>
                        <w:pPr>
                          <w:pStyle w:val="TableParagraph"/>
                          <w:rPr>
                            <w:rFonts w:ascii="Book Antiqua"/>
                            <w:sz w:val="14"/>
                          </w:rPr>
                        </w:pPr>
                      </w:p>
                      <w:p>
                        <w:pPr>
                          <w:pStyle w:val="TableParagraph"/>
                          <w:spacing w:before="88"/>
                          <w:ind w:right="30"/>
                          <w:jc w:val="right"/>
                          <w:rPr>
                            <w:sz w:val="12"/>
                          </w:rPr>
                        </w:pPr>
                        <w:r>
                          <w:rPr>
                            <w:color w:val="231F20"/>
                            <w:w w:val="85"/>
                            <w:sz w:val="12"/>
                          </w:rPr>
                          <w:t>44,494</w:t>
                        </w:r>
                      </w:p>
                    </w:tc>
                    <w:tc>
                      <w:tcPr>
                        <w:tcW w:w="420" w:type="dxa"/>
                        <w:tcBorders>
                          <w:top w:val="nil"/>
                          <w:left w:val="single" w:sz="4" w:space="0" w:color="BABCBE"/>
                          <w:bottom w:val="nil"/>
                          <w:right w:val="single" w:sz="4" w:space="0" w:color="BABCBE"/>
                        </w:tcBorders>
                      </w:tcPr>
                      <w:p>
                        <w:pPr>
                          <w:pStyle w:val="TableParagraph"/>
                          <w:spacing w:before="3"/>
                          <w:rPr>
                            <w:rFonts w:ascii="Book Antiqua"/>
                            <w:sz w:val="14"/>
                          </w:rPr>
                        </w:pPr>
                      </w:p>
                      <w:p>
                        <w:pPr>
                          <w:pStyle w:val="TableParagraph"/>
                          <w:ind w:left="10" w:right="18"/>
                          <w:jc w:val="center"/>
                          <w:rPr>
                            <w:sz w:val="12"/>
                          </w:rPr>
                        </w:pPr>
                        <w:r>
                          <w:rPr>
                            <w:color w:val="231F20"/>
                            <w:w w:val="90"/>
                            <w:sz w:val="12"/>
                          </w:rPr>
                          <w:t>45,392</w:t>
                        </w:r>
                      </w:p>
                    </w:tc>
                    <w:tc>
                      <w:tcPr>
                        <w:tcW w:w="420" w:type="dxa"/>
                        <w:tcBorders>
                          <w:top w:val="nil"/>
                          <w:left w:val="single" w:sz="4" w:space="0" w:color="BABCBE"/>
                          <w:bottom w:val="nil"/>
                        </w:tcBorders>
                      </w:tcPr>
                      <w:p>
                        <w:pPr>
                          <w:pStyle w:val="TableParagraph"/>
                          <w:spacing w:before="104"/>
                          <w:ind w:left="10" w:right="7"/>
                          <w:jc w:val="center"/>
                          <w:rPr>
                            <w:sz w:val="12"/>
                          </w:rPr>
                        </w:pPr>
                        <w:r>
                          <w:rPr>
                            <w:color w:val="231F20"/>
                            <w:w w:val="90"/>
                            <w:sz w:val="12"/>
                          </w:rPr>
                          <w:t>47,943</w:t>
                        </w:r>
                      </w:p>
                    </w:tc>
                    <w:tc>
                      <w:tcPr>
                        <w:tcW w:w="334" w:type="dxa"/>
                        <w:tcBorders>
                          <w:top w:val="nil"/>
                          <w:bottom w:val="nil"/>
                        </w:tcBorders>
                      </w:tcPr>
                      <w:p>
                        <w:pPr>
                          <w:pStyle w:val="TableParagraph"/>
                          <w:spacing w:before="93"/>
                          <w:ind w:left="94"/>
                          <w:rPr>
                            <w:sz w:val="12"/>
                          </w:rPr>
                        </w:pPr>
                        <w:r>
                          <w:rPr>
                            <w:color w:val="231F20"/>
                            <w:sz w:val="12"/>
                          </w:rPr>
                          <w:t>50</w:t>
                        </w:r>
                      </w:p>
                      <w:p>
                        <w:pPr>
                          <w:pStyle w:val="TableParagraph"/>
                          <w:spacing w:before="12"/>
                          <w:rPr>
                            <w:rFonts w:ascii="Book Antiqua"/>
                            <w:sz w:val="12"/>
                          </w:rPr>
                        </w:pPr>
                      </w:p>
                      <w:p>
                        <w:pPr>
                          <w:pStyle w:val="TableParagraph"/>
                          <w:ind w:left="94"/>
                          <w:rPr>
                            <w:sz w:val="12"/>
                          </w:rPr>
                        </w:pPr>
                        <w:r>
                          <w:rPr>
                            <w:color w:val="231F20"/>
                            <w:sz w:val="12"/>
                          </w:rPr>
                          <w:t>40</w:t>
                        </w:r>
                      </w:p>
                    </w:tc>
                  </w:tr>
                  <w:tr>
                    <w:trPr>
                      <w:trHeight w:val="256" w:hRule="exact"/>
                    </w:trPr>
                    <w:tc>
                      <w:tcPr>
                        <w:tcW w:w="448" w:type="dxa"/>
                        <w:tcBorders>
                          <w:top w:val="nil"/>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tcBorders>
                      </w:tcPr>
                      <w:p>
                        <w:pPr/>
                      </w:p>
                    </w:tc>
                    <w:tc>
                      <w:tcPr>
                        <w:tcW w:w="334" w:type="dxa"/>
                        <w:tcBorders>
                          <w:top w:val="nil"/>
                          <w:bottom w:val="nil"/>
                        </w:tcBorders>
                      </w:tcPr>
                      <w:p>
                        <w:pPr>
                          <w:pStyle w:val="TableParagraph"/>
                          <w:spacing w:before="39"/>
                          <w:ind w:left="71" w:right="78"/>
                          <w:jc w:val="center"/>
                          <w:rPr>
                            <w:sz w:val="12"/>
                          </w:rPr>
                        </w:pPr>
                        <w:r>
                          <w:rPr>
                            <w:color w:val="231F20"/>
                            <w:sz w:val="12"/>
                          </w:rPr>
                          <w:t>30</w:t>
                        </w:r>
                      </w:p>
                    </w:tc>
                  </w:tr>
                  <w:tr>
                    <w:trPr>
                      <w:trHeight w:val="300" w:hRule="exact"/>
                    </w:trPr>
                    <w:tc>
                      <w:tcPr>
                        <w:tcW w:w="448" w:type="dxa"/>
                        <w:tcBorders>
                          <w:top w:val="nil"/>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tcBorders>
                      </w:tcPr>
                      <w:p>
                        <w:pPr/>
                      </w:p>
                    </w:tc>
                    <w:tc>
                      <w:tcPr>
                        <w:tcW w:w="334" w:type="dxa"/>
                        <w:tcBorders>
                          <w:top w:val="nil"/>
                          <w:bottom w:val="nil"/>
                        </w:tcBorders>
                      </w:tcPr>
                      <w:p>
                        <w:pPr>
                          <w:pStyle w:val="TableParagraph"/>
                          <w:spacing w:before="83"/>
                          <w:ind w:left="71" w:right="78"/>
                          <w:jc w:val="center"/>
                          <w:rPr>
                            <w:sz w:val="12"/>
                          </w:rPr>
                        </w:pPr>
                        <w:r>
                          <w:rPr>
                            <w:color w:val="231F20"/>
                            <w:sz w:val="12"/>
                          </w:rPr>
                          <w:t>20</w:t>
                        </w:r>
                      </w:p>
                    </w:tc>
                  </w:tr>
                  <w:tr>
                    <w:trPr>
                      <w:trHeight w:val="388" w:hRule="exact"/>
                    </w:trPr>
                    <w:tc>
                      <w:tcPr>
                        <w:tcW w:w="448" w:type="dxa"/>
                        <w:tcBorders>
                          <w:top w:val="nil"/>
                          <w:right w:val="single" w:sz="4" w:space="0" w:color="BABCBE"/>
                        </w:tcBorders>
                      </w:tcPr>
                      <w:p>
                        <w:pPr/>
                      </w:p>
                    </w:tc>
                    <w:tc>
                      <w:tcPr>
                        <w:tcW w:w="420" w:type="dxa"/>
                        <w:tcBorders>
                          <w:top w:val="nil"/>
                          <w:left w:val="single" w:sz="4" w:space="0" w:color="BABCBE"/>
                          <w:right w:val="single" w:sz="4" w:space="0" w:color="BABCBE"/>
                        </w:tcBorders>
                      </w:tcPr>
                      <w:p>
                        <w:pPr/>
                      </w:p>
                    </w:tc>
                    <w:tc>
                      <w:tcPr>
                        <w:tcW w:w="420" w:type="dxa"/>
                        <w:tcBorders>
                          <w:top w:val="nil"/>
                          <w:left w:val="single" w:sz="4" w:space="0" w:color="BABCBE"/>
                          <w:right w:val="single" w:sz="4" w:space="0" w:color="BABCBE"/>
                        </w:tcBorders>
                      </w:tcPr>
                      <w:p>
                        <w:pPr/>
                      </w:p>
                    </w:tc>
                    <w:tc>
                      <w:tcPr>
                        <w:tcW w:w="420" w:type="dxa"/>
                        <w:tcBorders>
                          <w:top w:val="nil"/>
                          <w:left w:val="single" w:sz="4" w:space="0" w:color="BABCBE"/>
                          <w:right w:val="single" w:sz="4" w:space="0" w:color="BABCBE"/>
                        </w:tcBorders>
                      </w:tcPr>
                      <w:p>
                        <w:pPr/>
                      </w:p>
                    </w:tc>
                    <w:tc>
                      <w:tcPr>
                        <w:tcW w:w="420" w:type="dxa"/>
                        <w:tcBorders>
                          <w:top w:val="nil"/>
                          <w:left w:val="single" w:sz="4" w:space="0" w:color="BABCBE"/>
                        </w:tcBorders>
                      </w:tcPr>
                      <w:p>
                        <w:pPr/>
                      </w:p>
                    </w:tc>
                    <w:tc>
                      <w:tcPr>
                        <w:tcW w:w="334" w:type="dxa"/>
                        <w:tcBorders>
                          <w:top w:val="nil"/>
                        </w:tcBorders>
                      </w:tcPr>
                      <w:p>
                        <w:pPr>
                          <w:pStyle w:val="TableParagraph"/>
                          <w:spacing w:before="83"/>
                          <w:ind w:left="71" w:right="78"/>
                          <w:jc w:val="center"/>
                          <w:rPr>
                            <w:sz w:val="12"/>
                          </w:rPr>
                        </w:pPr>
                        <w:r>
                          <w:rPr>
                            <w:color w:val="231F20"/>
                            <w:sz w:val="12"/>
                          </w:rPr>
                          <w:t>10</w:t>
                        </w:r>
                      </w:p>
                    </w:tc>
                  </w:tr>
                  <w:tr>
                    <w:trPr>
                      <w:trHeight w:val="218" w:hRule="exact"/>
                    </w:trPr>
                    <w:tc>
                      <w:tcPr>
                        <w:tcW w:w="448" w:type="dxa"/>
                        <w:tcBorders>
                          <w:right w:val="single" w:sz="4" w:space="0" w:color="BABCBE"/>
                        </w:tcBorders>
                        <w:shd w:val="clear" w:color="auto" w:fill="DBDCDE"/>
                      </w:tcPr>
                      <w:p>
                        <w:pPr>
                          <w:pStyle w:val="TableParagraph"/>
                          <w:spacing w:before="38"/>
                          <w:ind w:left="36" w:right="25"/>
                          <w:jc w:val="center"/>
                          <w:rPr>
                            <w:sz w:val="12"/>
                          </w:rPr>
                        </w:pPr>
                        <w:r>
                          <w:rPr>
                            <w:color w:val="231F20"/>
                            <w:w w:val="95"/>
                            <w:sz w:val="12"/>
                          </w:rPr>
                          <w:t>1999</w:t>
                        </w:r>
                      </w:p>
                    </w:tc>
                    <w:tc>
                      <w:tcPr>
                        <w:tcW w:w="420" w:type="dxa"/>
                        <w:tcBorders>
                          <w:left w:val="single" w:sz="4" w:space="0" w:color="BABCBE"/>
                          <w:right w:val="single" w:sz="4" w:space="0" w:color="BABCBE"/>
                        </w:tcBorders>
                        <w:shd w:val="clear" w:color="auto" w:fill="DBDCDE"/>
                      </w:tcPr>
                      <w:p>
                        <w:pPr>
                          <w:pStyle w:val="TableParagraph"/>
                          <w:spacing w:before="38"/>
                          <w:ind w:left="83"/>
                          <w:rPr>
                            <w:sz w:val="12"/>
                          </w:rPr>
                        </w:pPr>
                        <w:r>
                          <w:rPr>
                            <w:color w:val="231F20"/>
                            <w:w w:val="95"/>
                            <w:sz w:val="12"/>
                          </w:rPr>
                          <w:t>2000</w:t>
                        </w:r>
                      </w:p>
                    </w:tc>
                    <w:tc>
                      <w:tcPr>
                        <w:tcW w:w="420" w:type="dxa"/>
                        <w:tcBorders>
                          <w:left w:val="single" w:sz="4" w:space="0" w:color="BABCBE"/>
                          <w:right w:val="single" w:sz="4" w:space="0" w:color="BABCBE"/>
                        </w:tcBorders>
                        <w:shd w:val="clear" w:color="auto" w:fill="DBDCDE"/>
                      </w:tcPr>
                      <w:p>
                        <w:pPr>
                          <w:pStyle w:val="TableParagraph"/>
                          <w:spacing w:before="38"/>
                          <w:ind w:right="74"/>
                          <w:jc w:val="right"/>
                          <w:rPr>
                            <w:sz w:val="12"/>
                          </w:rPr>
                        </w:pPr>
                        <w:r>
                          <w:rPr>
                            <w:color w:val="231F20"/>
                            <w:w w:val="85"/>
                            <w:sz w:val="12"/>
                          </w:rPr>
                          <w:t>2001</w:t>
                        </w:r>
                      </w:p>
                    </w:tc>
                    <w:tc>
                      <w:tcPr>
                        <w:tcW w:w="420" w:type="dxa"/>
                        <w:tcBorders>
                          <w:left w:val="single" w:sz="4" w:space="0" w:color="BABCBE"/>
                          <w:right w:val="single" w:sz="4" w:space="0" w:color="BABCBE"/>
                        </w:tcBorders>
                        <w:shd w:val="clear" w:color="auto" w:fill="DBDCDE"/>
                      </w:tcPr>
                      <w:p>
                        <w:pPr>
                          <w:pStyle w:val="TableParagraph"/>
                          <w:spacing w:before="38"/>
                          <w:ind w:left="10" w:right="11"/>
                          <w:jc w:val="center"/>
                          <w:rPr>
                            <w:sz w:val="12"/>
                          </w:rPr>
                        </w:pPr>
                        <w:r>
                          <w:rPr>
                            <w:color w:val="231F20"/>
                            <w:w w:val="95"/>
                            <w:sz w:val="12"/>
                          </w:rPr>
                          <w:t>2002</w:t>
                        </w:r>
                      </w:p>
                    </w:tc>
                    <w:tc>
                      <w:tcPr>
                        <w:tcW w:w="420" w:type="dxa"/>
                        <w:tcBorders>
                          <w:left w:val="single" w:sz="4" w:space="0" w:color="BABCBE"/>
                        </w:tcBorders>
                        <w:shd w:val="clear" w:color="auto" w:fill="DBDCDE"/>
                      </w:tcPr>
                      <w:p>
                        <w:pPr>
                          <w:pStyle w:val="TableParagraph"/>
                          <w:spacing w:before="38"/>
                          <w:ind w:left="10" w:right="8"/>
                          <w:jc w:val="center"/>
                          <w:rPr>
                            <w:sz w:val="12"/>
                          </w:rPr>
                        </w:pPr>
                        <w:r>
                          <w:rPr>
                            <w:color w:val="231F20"/>
                            <w:w w:val="95"/>
                            <w:sz w:val="12"/>
                          </w:rPr>
                          <w:t>2003</w:t>
                        </w:r>
                      </w:p>
                    </w:tc>
                    <w:tc>
                      <w:tcPr>
                        <w:tcW w:w="334" w:type="dxa"/>
                        <w:tcBorders>
                          <w:bottom w:val="nil"/>
                          <w:right w:val="nil"/>
                        </w:tcBorders>
                      </w:tcPr>
                      <w:p>
                        <w:pPr/>
                      </w:p>
                    </w:tc>
                  </w:tr>
                </w:tbl>
                <w:p>
                  <w:pPr>
                    <w:pStyle w:val="BodyText"/>
                  </w:pPr>
                </w:p>
              </w:txbxContent>
            </v:textbox>
            <w10:wrap type="topAndBottom"/>
          </v:shape>
        </w:pict>
      </w:r>
    </w:p>
    <w:p>
      <w:pPr>
        <w:pStyle w:val="BodyText"/>
        <w:spacing w:before="7"/>
        <w:rPr>
          <w:rFonts w:ascii="Book Antiqua"/>
          <w:sz w:val="5"/>
        </w:rPr>
      </w:pPr>
    </w:p>
    <w:p>
      <w:pPr>
        <w:spacing w:after="0"/>
        <w:rPr>
          <w:rFonts w:ascii="Book Antiqua"/>
          <w:sz w:val="5"/>
        </w:rPr>
        <w:sectPr>
          <w:type w:val="continuous"/>
          <w:pgSz w:w="12240" w:h="15840"/>
          <w:pgMar w:top="320" w:bottom="280" w:left="800" w:right="340"/>
        </w:sectPr>
      </w:pPr>
    </w:p>
    <w:p>
      <w:pPr>
        <w:spacing w:before="46"/>
        <w:ind w:left="100" w:right="0" w:firstLine="0"/>
        <w:jc w:val="left"/>
        <w:rPr>
          <w:rFonts w:ascii="Arial"/>
          <w:sz w:val="11"/>
        </w:rPr>
      </w:pPr>
      <w:r>
        <w:rPr/>
        <w:pict>
          <v:rect style="position:absolute;margin-left:137.639694pt;margin-top:-82.218971pt;width:7.2793pt;height:66.4824pt;mso-position-horizontal-relative:page;mso-position-vertical-relative:paragraph;z-index:-233200" filled="true" fillcolor="#386ab3" stroked="false">
            <v:fill type="solid"/>
            <w10:wrap type="none"/>
          </v:rect>
        </w:pict>
      </w:r>
      <w:r>
        <w:rPr/>
        <w:pict>
          <v:rect style="position:absolute;margin-left:53.165501pt;margin-top:-66.246368pt;width:7.2794pt;height:50.4454pt;mso-position-horizontal-relative:page;mso-position-vertical-relative:paragraph;z-index:-233176" filled="true" fillcolor="#386ab3" stroked="false">
            <v:fill type="solid"/>
            <w10:wrap type="none"/>
          </v:rect>
        </w:pict>
      </w:r>
      <w:r>
        <w:rPr/>
        <w:pict>
          <v:rect style="position:absolute;margin-left:74.557198pt;margin-top:-79.175072pt;width:7.2773pt;height:63.5118pt;mso-position-horizontal-relative:page;mso-position-vertical-relative:paragraph;z-index:-233152" filled="true" fillcolor="#386ab3" stroked="false">
            <v:fill type="solid"/>
            <w10:wrap type="none"/>
          </v:rect>
        </w:pict>
      </w:r>
      <w:r>
        <w:rPr/>
        <w:pict>
          <v:rect style="position:absolute;margin-left:95.755898pt;margin-top:-78.005074pt;width:7.2793pt;height:62.2685pt;mso-position-horizontal-relative:page;mso-position-vertical-relative:paragraph;z-index:-233128" filled="true" fillcolor="#386ab3" stroked="false">
            <v:fill type="solid"/>
            <w10:wrap type="none"/>
          </v:rect>
        </w:pict>
      </w:r>
      <w:r>
        <w:rPr/>
        <w:pict>
          <v:rect style="position:absolute;margin-left:116.682701pt;margin-top:-75.967972pt;width:7.2793pt;height:60.2314pt;mso-position-horizontal-relative:page;mso-position-vertical-relative:paragraph;z-index:-233104" filled="true" fillcolor="#386ab3" stroked="false">
            <v:fill type="solid"/>
            <w10:wrap type="none"/>
          </v:rect>
        </w:pict>
      </w:r>
      <w:r>
        <w:rPr/>
        <w:pict>
          <v:rect style="position:absolute;margin-left:339.089996pt;margin-top:-62.235168pt;width:7.28pt;height:46.8076pt;mso-position-horizontal-relative:page;mso-position-vertical-relative:paragraph;z-index:-233080" filled="true" fillcolor="#386ab3" stroked="false">
            <v:fill type="solid"/>
            <w10:wrap type="none"/>
          </v:rect>
        </w:pict>
      </w:r>
      <w:r>
        <w:rPr/>
        <w:pict>
          <v:rect style="position:absolute;margin-left:254.501999pt;margin-top:-69.27037pt;width:7.279pt;height:54.1299pt;mso-position-horizontal-relative:page;mso-position-vertical-relative:paragraph;z-index:-233056" filled="true" fillcolor="#386ab3" stroked="false">
            <v:fill type="solid"/>
            <w10:wrap type="none"/>
          </v:rect>
        </w:pict>
      </w:r>
      <w:r>
        <w:rPr/>
        <w:pict>
          <v:rect style="position:absolute;margin-left:275.858002pt;margin-top:-71.598473pt;width:7.278pt;height:56.2442pt;mso-position-horizontal-relative:page;mso-position-vertical-relative:paragraph;z-index:-233032" filled="true" fillcolor="#386ab3" stroked="false">
            <v:fill type="solid"/>
            <w10:wrap type="none"/>
          </v:rect>
        </w:pict>
      </w:r>
      <w:r>
        <w:rPr/>
        <w:pict>
          <v:rect style="position:absolute;margin-left:297.076996pt;margin-top:-64.112167pt;width:7.279pt;height:48.68460pt;mso-position-horizontal-relative:page;mso-position-vertical-relative:paragraph;z-index:-233008" filled="true" fillcolor="#386ab3" stroked="false">
            <v:fill type="solid"/>
            <w10:wrap type="none"/>
          </v:rect>
        </w:pict>
      </w:r>
      <w:r>
        <w:rPr/>
        <w:pict>
          <v:rect style="position:absolute;margin-left:318.089996pt;margin-top:-58.235168pt;width:7.28pt;height:42.8076pt;mso-position-horizontal-relative:page;mso-position-vertical-relative:paragraph;z-index:-232984" filled="true" fillcolor="#386ab3" stroked="false">
            <v:fill type="solid"/>
            <w10:wrap type="none"/>
          </v:rect>
        </w:pict>
      </w:r>
      <w:r>
        <w:rPr/>
        <w:pict>
          <v:rect style="position:absolute;margin-left:536.452026pt;margin-top:-81.19767pt;width:7.279pt;height:65.5249pt;mso-position-horizontal-relative:page;mso-position-vertical-relative:paragraph;z-index:-232960" filled="true" fillcolor="#386ab3" stroked="false">
            <v:fill type="solid"/>
            <w10:wrap type="none"/>
          </v:rect>
        </w:pict>
      </w:r>
      <w:r>
        <w:rPr/>
        <w:pict>
          <v:rect style="position:absolute;margin-left:452.29599pt;margin-top:-62.557571pt;width:7.279pt;height:47.1719pt;mso-position-horizontal-relative:page;mso-position-vertical-relative:paragraph;z-index:-232936" filled="true" fillcolor="#386ab3" stroked="false">
            <v:fill type="solid"/>
            <w10:wrap type="none"/>
          </v:rect>
        </w:pict>
      </w:r>
      <w:r>
        <w:rPr/>
        <w:pict>
          <v:rect style="position:absolute;margin-left:474.015991pt;margin-top:-70.616173pt;width:7.277pt;height:55.0166pt;mso-position-horizontal-relative:page;mso-position-vertical-relative:paragraph;z-index:-232912" filled="true" fillcolor="#386ab3" stroked="false">
            <v:fill type="solid"/>
            <w10:wrap type="none"/>
          </v:rect>
        </w:pict>
      </w:r>
      <w:r>
        <w:rPr/>
        <w:pict>
          <v:rect style="position:absolute;margin-left:494.806pt;margin-top:-73.856369pt;width:7.279pt;height:58.1836pt;mso-position-horizontal-relative:page;mso-position-vertical-relative:paragraph;z-index:-232888" filled="true" fillcolor="#386ab3" stroked="false">
            <v:fill type="solid"/>
            <w10:wrap type="none"/>
          </v:rect>
        </w:pict>
      </w:r>
      <w:r>
        <w:rPr/>
        <w:pict>
          <v:rect style="position:absolute;margin-left:515.747009pt;margin-top:-77.531174pt;width:7.279pt;height:61.8584pt;mso-position-horizontal-relative:page;mso-position-vertical-relative:paragraph;z-index:-232864" filled="true" fillcolor="#386ab3" stroked="false">
            <v:fill type="solid"/>
            <w10:wrap type="none"/>
          </v:rect>
        </w:pict>
      </w:r>
      <w:r>
        <w:rPr>
          <w:rFonts w:ascii="Arial"/>
          <w:b/>
          <w:color w:val="231F20"/>
          <w:w w:val="85"/>
          <w:sz w:val="12"/>
        </w:rPr>
        <w:t>Operating Revenue </w:t>
      </w:r>
      <w:r>
        <w:rPr>
          <w:rFonts w:ascii="Arial"/>
          <w:color w:val="231F20"/>
          <w:w w:val="85"/>
          <w:sz w:val="11"/>
        </w:rPr>
        <w:t>( in millions)</w:t>
      </w:r>
    </w:p>
    <w:p>
      <w:pPr>
        <w:spacing w:before="52"/>
        <w:ind w:left="100" w:right="0" w:firstLine="0"/>
        <w:jc w:val="left"/>
        <w:rPr>
          <w:rFonts w:ascii="Arial"/>
          <w:b/>
          <w:sz w:val="12"/>
        </w:rPr>
      </w:pPr>
      <w:r>
        <w:rPr/>
        <w:br w:type="column"/>
      </w:r>
      <w:r>
        <w:rPr>
          <w:rFonts w:ascii="Arial"/>
          <w:b/>
          <w:color w:val="231F20"/>
          <w:w w:val="85"/>
          <w:sz w:val="12"/>
        </w:rPr>
        <w:t>Passenger Load Factor</w:t>
      </w:r>
    </w:p>
    <w:p>
      <w:pPr>
        <w:spacing w:before="49"/>
        <w:ind w:left="100" w:right="0" w:firstLine="0"/>
        <w:jc w:val="left"/>
        <w:rPr>
          <w:rFonts w:ascii="Arial"/>
          <w:sz w:val="11"/>
        </w:rPr>
      </w:pPr>
      <w:r>
        <w:rPr/>
        <w:br w:type="column"/>
      </w:r>
      <w:r>
        <w:rPr>
          <w:rFonts w:ascii="Arial"/>
          <w:b/>
          <w:color w:val="231F20"/>
          <w:w w:val="85"/>
          <w:sz w:val="12"/>
        </w:rPr>
        <w:t>Revenue Passenger Miles </w:t>
      </w:r>
      <w:r>
        <w:rPr>
          <w:rFonts w:ascii="Arial"/>
          <w:color w:val="231F20"/>
          <w:w w:val="85"/>
          <w:sz w:val="11"/>
        </w:rPr>
        <w:t>( in millions)</w:t>
      </w:r>
    </w:p>
    <w:p>
      <w:pPr>
        <w:spacing w:after="0"/>
        <w:jc w:val="left"/>
        <w:rPr>
          <w:rFonts w:ascii="Arial"/>
          <w:sz w:val="11"/>
        </w:rPr>
        <w:sectPr>
          <w:type w:val="continuous"/>
          <w:pgSz w:w="12240" w:h="15840"/>
          <w:pgMar w:top="320" w:bottom="280" w:left="800" w:right="340"/>
          <w:cols w:num="3" w:equalWidth="0">
            <w:col w:w="1710" w:space="2320"/>
            <w:col w:w="1340" w:space="2618"/>
            <w:col w:w="3112"/>
          </w:cols>
        </w:sectPr>
      </w:pPr>
    </w:p>
    <w:tbl>
      <w:tblPr>
        <w:tblW w:w="0" w:type="auto"/>
        <w:jc w:val="left"/>
        <w:tblInd w:w="119"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13"/>
        <w:gridCol w:w="5777"/>
        <w:gridCol w:w="1781"/>
        <w:gridCol w:w="1726"/>
        <w:gridCol w:w="1344"/>
      </w:tblGrid>
      <w:tr>
        <w:trPr>
          <w:trHeight w:val="360" w:hRule="exact"/>
        </w:trPr>
        <w:tc>
          <w:tcPr>
            <w:tcW w:w="313" w:type="dxa"/>
            <w:tcBorders>
              <w:right w:val="single" w:sz="4" w:space="0" w:color="231F20"/>
            </w:tcBorders>
          </w:tcPr>
          <w:p>
            <w:pPr>
              <w:pStyle w:val="TableParagraph"/>
              <w:spacing w:before="57"/>
              <w:ind w:left="32"/>
              <w:rPr>
                <w:sz w:val="14"/>
              </w:rPr>
            </w:pPr>
            <w:bookmarkStart w:name="Ten-Year Summary" w:id="16"/>
            <w:bookmarkEnd w:id="16"/>
            <w:r>
              <w:rPr/>
            </w:r>
            <w:r>
              <w:rPr>
                <w:color w:val="231F20"/>
                <w:w w:val="95"/>
                <w:sz w:val="14"/>
              </w:rPr>
              <w:t>14</w:t>
            </w:r>
          </w:p>
        </w:tc>
        <w:tc>
          <w:tcPr>
            <w:tcW w:w="5777" w:type="dxa"/>
            <w:tcBorders>
              <w:left w:val="single" w:sz="4" w:space="0" w:color="231F20"/>
            </w:tcBorders>
          </w:tcPr>
          <w:p>
            <w:pPr>
              <w:pStyle w:val="TableParagraph"/>
              <w:spacing w:before="25"/>
              <w:ind w:left="175"/>
              <w:rPr>
                <w:sz w:val="12"/>
              </w:rPr>
            </w:pPr>
            <w:r>
              <w:rPr>
                <w:color w:val="231F20"/>
                <w:spacing w:val="9"/>
                <w:w w:val="90"/>
                <w:sz w:val="12"/>
              </w:rPr>
              <w:t>Southwest</w:t>
            </w:r>
            <w:r>
              <w:rPr>
                <w:color w:val="231F20"/>
                <w:spacing w:val="-9"/>
                <w:w w:val="90"/>
                <w:sz w:val="12"/>
              </w:rPr>
              <w:t> </w:t>
            </w:r>
            <w:r>
              <w:rPr>
                <w:color w:val="231F20"/>
                <w:spacing w:val="9"/>
                <w:w w:val="90"/>
                <w:sz w:val="12"/>
              </w:rPr>
              <w:t>Airlines</w:t>
            </w:r>
            <w:r>
              <w:rPr>
                <w:color w:val="231F20"/>
                <w:spacing w:val="-7"/>
                <w:w w:val="90"/>
                <w:sz w:val="12"/>
              </w:rPr>
              <w:t> </w:t>
            </w:r>
            <w:r>
              <w:rPr>
                <w:color w:val="231F20"/>
                <w:spacing w:val="7"/>
                <w:w w:val="90"/>
                <w:sz w:val="12"/>
              </w:rPr>
              <w:t>Co.</w:t>
            </w:r>
            <w:r>
              <w:rPr>
                <w:color w:val="231F20"/>
                <w:spacing w:val="-9"/>
                <w:w w:val="90"/>
                <w:sz w:val="12"/>
              </w:rPr>
              <w:t> </w:t>
            </w:r>
            <w:r>
              <w:rPr>
                <w:color w:val="231F20"/>
                <w:spacing w:val="8"/>
                <w:w w:val="90"/>
                <w:sz w:val="12"/>
              </w:rPr>
              <w:t>2003</w:t>
            </w:r>
            <w:r>
              <w:rPr>
                <w:color w:val="231F20"/>
                <w:spacing w:val="-9"/>
                <w:w w:val="90"/>
                <w:sz w:val="12"/>
              </w:rPr>
              <w:t> </w:t>
            </w:r>
            <w:r>
              <w:rPr>
                <w:color w:val="231F20"/>
                <w:spacing w:val="9"/>
                <w:w w:val="90"/>
                <w:sz w:val="12"/>
              </w:rPr>
              <w:t>Annual</w:t>
            </w:r>
            <w:r>
              <w:rPr>
                <w:color w:val="231F20"/>
                <w:spacing w:val="-7"/>
                <w:w w:val="90"/>
                <w:sz w:val="12"/>
              </w:rPr>
              <w:t> </w:t>
            </w:r>
            <w:r>
              <w:rPr>
                <w:color w:val="231F20"/>
                <w:spacing w:val="9"/>
                <w:w w:val="90"/>
                <w:sz w:val="12"/>
              </w:rPr>
              <w:t>Report    </w:t>
            </w:r>
            <w:r>
              <w:rPr>
                <w:color w:val="231F20"/>
                <w:spacing w:val="-11"/>
                <w:position w:val="-8"/>
                <w:sz w:val="12"/>
              </w:rPr>
              <w:drawing>
                <wp:inline distT="0" distB="0" distL="0" distR="0">
                  <wp:extent cx="371975" cy="154019"/>
                  <wp:effectExtent l="0" t="0" r="0" b="0"/>
                  <wp:docPr id="77" name="image41.png" descr=""/>
                  <wp:cNvGraphicFramePr>
                    <a:graphicFrameLocks noChangeAspect="1"/>
                  </wp:cNvGraphicFramePr>
                  <a:graphic>
                    <a:graphicData uri="http://schemas.openxmlformats.org/drawingml/2006/picture">
                      <pic:pic>
                        <pic:nvPicPr>
                          <pic:cNvPr id="78" name="image41.png"/>
                          <pic:cNvPicPr/>
                        </pic:nvPicPr>
                        <pic:blipFill>
                          <a:blip r:embed="rId45" cstate="print"/>
                          <a:stretch>
                            <a:fillRect/>
                          </a:stretch>
                        </pic:blipFill>
                        <pic:spPr>
                          <a:xfrm>
                            <a:off x="0" y="0"/>
                            <a:ext cx="371975" cy="154019"/>
                          </a:xfrm>
                          <a:prstGeom prst="rect">
                            <a:avLst/>
                          </a:prstGeom>
                        </pic:spPr>
                      </pic:pic>
                    </a:graphicData>
                  </a:graphic>
                </wp:inline>
              </w:drawing>
            </w:r>
            <w:r>
              <w:rPr>
                <w:color w:val="231F20"/>
                <w:spacing w:val="-11"/>
                <w:position w:val="-8"/>
                <w:sz w:val="12"/>
              </w:rPr>
            </w:r>
          </w:p>
        </w:tc>
        <w:tc>
          <w:tcPr>
            <w:tcW w:w="4851" w:type="dxa"/>
            <w:gridSpan w:val="3"/>
            <w:vMerge w:val="restart"/>
          </w:tcPr>
          <w:p>
            <w:pPr/>
          </w:p>
        </w:tc>
      </w:tr>
      <w:tr>
        <w:trPr>
          <w:trHeight w:val="528" w:hRule="exact"/>
        </w:trPr>
        <w:tc>
          <w:tcPr>
            <w:tcW w:w="313" w:type="dxa"/>
          </w:tcPr>
          <w:p>
            <w:pPr/>
          </w:p>
        </w:tc>
        <w:tc>
          <w:tcPr>
            <w:tcW w:w="5777" w:type="dxa"/>
          </w:tcPr>
          <w:p>
            <w:pPr>
              <w:pStyle w:val="TableParagraph"/>
              <w:spacing w:before="9"/>
              <w:rPr>
                <w:sz w:val="20"/>
              </w:rPr>
            </w:pPr>
          </w:p>
          <w:p>
            <w:pPr>
              <w:pStyle w:val="TableParagraph"/>
              <w:ind w:left="172"/>
              <w:rPr>
                <w:rFonts w:ascii="Book Antiqua"/>
                <w:sz w:val="16"/>
              </w:rPr>
            </w:pPr>
            <w:r>
              <w:rPr>
                <w:rFonts w:ascii="Book Antiqua"/>
                <w:color w:val="231F20"/>
                <w:w w:val="105"/>
                <w:sz w:val="16"/>
              </w:rPr>
              <w:t>TEN-YEAR SUMMARY</w:t>
            </w:r>
          </w:p>
        </w:tc>
        <w:tc>
          <w:tcPr>
            <w:tcW w:w="4851" w:type="dxa"/>
            <w:gridSpan w:val="3"/>
            <w:vMerge/>
          </w:tcPr>
          <w:p>
            <w:pPr/>
          </w:p>
        </w:tc>
      </w:tr>
      <w:tr>
        <w:trPr>
          <w:trHeight w:val="377" w:hRule="exact"/>
        </w:trPr>
        <w:tc>
          <w:tcPr>
            <w:tcW w:w="313" w:type="dxa"/>
          </w:tcPr>
          <w:p>
            <w:pPr/>
          </w:p>
        </w:tc>
        <w:tc>
          <w:tcPr>
            <w:tcW w:w="5777" w:type="dxa"/>
          </w:tcPr>
          <w:p>
            <w:pPr>
              <w:pStyle w:val="TableParagraph"/>
              <w:spacing w:before="82"/>
              <w:ind w:left="187"/>
              <w:rPr>
                <w:rFonts w:ascii="Book Antiqua"/>
                <w:sz w:val="17"/>
              </w:rPr>
            </w:pPr>
            <w:r>
              <w:rPr>
                <w:rFonts w:ascii="Book Antiqua"/>
                <w:color w:val="231F20"/>
                <w:sz w:val="17"/>
              </w:rPr>
              <w:t>SELECTED CONSOLIDATED FINANCIAL DATA</w:t>
            </w:r>
          </w:p>
        </w:tc>
        <w:tc>
          <w:tcPr>
            <w:tcW w:w="4851" w:type="dxa"/>
            <w:gridSpan w:val="3"/>
            <w:vMerge/>
          </w:tcPr>
          <w:p>
            <w:pPr/>
          </w:p>
        </w:tc>
      </w:tr>
      <w:tr>
        <w:trPr>
          <w:trHeight w:val="565" w:hRule="exact"/>
        </w:trPr>
        <w:tc>
          <w:tcPr>
            <w:tcW w:w="313" w:type="dxa"/>
          </w:tcPr>
          <w:p>
            <w:pPr/>
          </w:p>
        </w:tc>
        <w:tc>
          <w:tcPr>
            <w:tcW w:w="5777" w:type="dxa"/>
          </w:tcPr>
          <w:p>
            <w:pPr>
              <w:pStyle w:val="TableParagraph"/>
              <w:tabs>
                <w:tab w:pos="4694" w:val="left" w:leader="none"/>
              </w:tabs>
              <w:spacing w:line="252" w:lineRule="auto" w:before="24"/>
              <w:ind w:left="187" w:right="643" w:firstLine="126"/>
              <w:rPr>
                <w:rFonts w:ascii="Book Antiqua"/>
                <w:sz w:val="17"/>
              </w:rPr>
            </w:pPr>
            <w:r>
              <w:rPr>
                <w:rFonts w:ascii="Book Antiqua"/>
                <w:color w:val="231F20"/>
                <w:w w:val="93"/>
                <w:sz w:val="17"/>
              </w:rPr>
              <w:t>(Dollars</w:t>
            </w:r>
            <w:r>
              <w:rPr>
                <w:rFonts w:ascii="Book Antiqua"/>
                <w:color w:val="231F20"/>
                <w:spacing w:val="8"/>
                <w:sz w:val="17"/>
              </w:rPr>
              <w:t> </w:t>
            </w:r>
            <w:r>
              <w:rPr>
                <w:rFonts w:ascii="Book Antiqua"/>
                <w:color w:val="231F20"/>
                <w:w w:val="90"/>
                <w:sz w:val="17"/>
              </w:rPr>
              <w:t>in</w:t>
            </w:r>
            <w:r>
              <w:rPr>
                <w:rFonts w:ascii="Book Antiqua"/>
                <w:color w:val="231F20"/>
                <w:spacing w:val="8"/>
                <w:sz w:val="17"/>
              </w:rPr>
              <w:t> </w:t>
            </w:r>
            <w:r>
              <w:rPr>
                <w:rFonts w:ascii="Book Antiqua"/>
                <w:color w:val="231F20"/>
                <w:w w:val="90"/>
                <w:sz w:val="17"/>
              </w:rPr>
              <w:t>millions,</w:t>
            </w:r>
            <w:r>
              <w:rPr>
                <w:rFonts w:ascii="Book Antiqua"/>
                <w:color w:val="231F20"/>
                <w:spacing w:val="2"/>
                <w:sz w:val="17"/>
              </w:rPr>
              <w:t> </w:t>
            </w:r>
            <w:r>
              <w:rPr>
                <w:rFonts w:ascii="Book Antiqua"/>
                <w:color w:val="231F20"/>
                <w:w w:val="94"/>
                <w:sz w:val="17"/>
              </w:rPr>
              <w:t>e</w:t>
            </w:r>
            <w:r>
              <w:rPr>
                <w:rFonts w:ascii="Book Antiqua"/>
                <w:color w:val="231F20"/>
                <w:spacing w:val="-4"/>
                <w:w w:val="94"/>
                <w:sz w:val="17"/>
              </w:rPr>
              <w:t>x</w:t>
            </w:r>
            <w:r>
              <w:rPr>
                <w:rFonts w:ascii="Book Antiqua"/>
                <w:color w:val="231F20"/>
                <w:w w:val="95"/>
                <w:sz w:val="17"/>
              </w:rPr>
              <w:t>cept</w:t>
            </w:r>
            <w:r>
              <w:rPr>
                <w:rFonts w:ascii="Book Antiqua"/>
                <w:color w:val="231F20"/>
                <w:spacing w:val="1"/>
                <w:sz w:val="17"/>
              </w:rPr>
              <w:t> </w:t>
            </w:r>
            <w:r>
              <w:rPr>
                <w:rFonts w:ascii="Book Antiqua"/>
                <w:color w:val="231F20"/>
                <w:w w:val="91"/>
                <w:sz w:val="17"/>
              </w:rPr>
              <w:t>per</w:t>
            </w:r>
            <w:r>
              <w:rPr>
                <w:rFonts w:ascii="Book Antiqua"/>
                <w:color w:val="231F20"/>
                <w:spacing w:val="-2"/>
                <w:sz w:val="17"/>
              </w:rPr>
              <w:t> </w:t>
            </w:r>
            <w:r>
              <w:rPr>
                <w:rFonts w:ascii="Book Antiqua"/>
                <w:color w:val="231F20"/>
                <w:w w:val="92"/>
                <w:sz w:val="17"/>
              </w:rPr>
              <w:t>share</w:t>
            </w:r>
            <w:r>
              <w:rPr>
                <w:rFonts w:ascii="Book Antiqua"/>
                <w:color w:val="231F20"/>
                <w:spacing w:val="8"/>
                <w:sz w:val="17"/>
              </w:rPr>
              <w:t> </w:t>
            </w:r>
            <w:r>
              <w:rPr>
                <w:rFonts w:ascii="Book Antiqua"/>
                <w:color w:val="231F20"/>
                <w:w w:val="93"/>
                <w:sz w:val="17"/>
              </w:rPr>
              <w:t>amounts)</w:t>
            </w:r>
            <w:r>
              <w:rPr>
                <w:rFonts w:ascii="Book Antiqua"/>
                <w:color w:val="231F20"/>
                <w:sz w:val="17"/>
              </w:rPr>
              <w:tab/>
            </w:r>
            <w:r>
              <w:rPr>
                <w:rFonts w:ascii="Book Antiqua"/>
                <w:color w:val="231F20"/>
                <w:position w:val="-5"/>
                <w:sz w:val="17"/>
              </w:rPr>
              <w:t>2003</w:t>
            </w:r>
            <w:r>
              <w:rPr>
                <w:rFonts w:ascii="Book Antiqua"/>
                <w:color w:val="231F20"/>
                <w:spacing w:val="-2"/>
                <w:w w:val="106"/>
                <w:position w:val="3"/>
                <w:sz w:val="8"/>
              </w:rPr>
              <w:t>(</w:t>
            </w:r>
            <w:r>
              <w:rPr>
                <w:rFonts w:ascii="Book Antiqua"/>
                <w:color w:val="231F20"/>
                <w:w w:val="106"/>
                <w:position w:val="3"/>
                <w:sz w:val="8"/>
              </w:rPr>
              <w:t>4) </w:t>
            </w:r>
            <w:r>
              <w:rPr>
                <w:rFonts w:ascii="Book Antiqua"/>
                <w:color w:val="231F20"/>
                <w:w w:val="90"/>
                <w:sz w:val="17"/>
              </w:rPr>
              <w:t>Operating </w:t>
            </w:r>
            <w:r>
              <w:rPr>
                <w:rFonts w:ascii="Book Antiqua"/>
                <w:color w:val="231F20"/>
                <w:spacing w:val="3"/>
                <w:w w:val="90"/>
                <w:sz w:val="17"/>
              </w:rPr>
              <w:t> </w:t>
            </w:r>
            <w:r>
              <w:rPr>
                <w:rFonts w:ascii="Book Antiqua"/>
                <w:color w:val="231F20"/>
                <w:w w:val="90"/>
                <w:sz w:val="17"/>
              </w:rPr>
              <w:t>revenues:</w:t>
            </w:r>
          </w:p>
        </w:tc>
        <w:tc>
          <w:tcPr>
            <w:tcW w:w="1781" w:type="dxa"/>
          </w:tcPr>
          <w:p>
            <w:pPr>
              <w:pStyle w:val="TableParagraph"/>
              <w:spacing w:before="80"/>
              <w:ind w:left="678" w:right="624"/>
              <w:jc w:val="center"/>
              <w:rPr>
                <w:rFonts w:ascii="Book Antiqua"/>
                <w:sz w:val="8"/>
              </w:rPr>
            </w:pPr>
            <w:r>
              <w:rPr>
                <w:rFonts w:ascii="Book Antiqua"/>
                <w:color w:val="231F20"/>
                <w:sz w:val="17"/>
              </w:rPr>
              <w:t>2002</w:t>
            </w:r>
            <w:r>
              <w:rPr>
                <w:rFonts w:ascii="Book Antiqua"/>
                <w:color w:val="231F20"/>
                <w:w w:val="106"/>
                <w:position w:val="8"/>
                <w:sz w:val="8"/>
              </w:rPr>
              <w:t>(3)</w:t>
            </w:r>
          </w:p>
        </w:tc>
        <w:tc>
          <w:tcPr>
            <w:tcW w:w="1726" w:type="dxa"/>
          </w:tcPr>
          <w:p>
            <w:pPr>
              <w:pStyle w:val="TableParagraph"/>
              <w:spacing w:before="80"/>
              <w:ind w:left="609" w:right="647"/>
              <w:jc w:val="center"/>
              <w:rPr>
                <w:rFonts w:ascii="Book Antiqua"/>
                <w:sz w:val="8"/>
              </w:rPr>
            </w:pPr>
            <w:r>
              <w:rPr>
                <w:rFonts w:ascii="Book Antiqua"/>
                <w:color w:val="231F20"/>
                <w:sz w:val="17"/>
              </w:rPr>
              <w:t>20</w:t>
            </w:r>
            <w:r>
              <w:rPr>
                <w:rFonts w:ascii="Book Antiqua"/>
                <w:color w:val="231F20"/>
                <w:spacing w:val="-9"/>
                <w:sz w:val="17"/>
              </w:rPr>
              <w:t>0</w:t>
            </w:r>
            <w:r>
              <w:rPr>
                <w:rFonts w:ascii="Book Antiqua"/>
                <w:color w:val="231F20"/>
                <w:sz w:val="17"/>
              </w:rPr>
              <w:t>1</w:t>
            </w:r>
            <w:r>
              <w:rPr>
                <w:rFonts w:ascii="Book Antiqua"/>
                <w:color w:val="231F20"/>
                <w:w w:val="106"/>
                <w:position w:val="8"/>
                <w:sz w:val="8"/>
              </w:rPr>
              <w:t>(3)</w:t>
            </w:r>
          </w:p>
        </w:tc>
        <w:tc>
          <w:tcPr>
            <w:tcW w:w="1344" w:type="dxa"/>
          </w:tcPr>
          <w:p>
            <w:pPr>
              <w:pStyle w:val="TableParagraph"/>
              <w:spacing w:before="80"/>
              <w:ind w:left="626"/>
              <w:rPr>
                <w:rFonts w:ascii="Book Antiqua"/>
                <w:sz w:val="17"/>
              </w:rPr>
            </w:pPr>
            <w:r>
              <w:rPr>
                <w:rFonts w:ascii="Book Antiqua"/>
                <w:color w:val="231F20"/>
                <w:sz w:val="17"/>
              </w:rPr>
              <w:t>2000</w:t>
            </w:r>
          </w:p>
        </w:tc>
      </w:tr>
      <w:tr>
        <w:trPr>
          <w:trHeight w:val="253" w:hRule="exact"/>
        </w:trPr>
        <w:tc>
          <w:tcPr>
            <w:tcW w:w="313" w:type="dxa"/>
          </w:tcPr>
          <w:p>
            <w:pPr/>
          </w:p>
        </w:tc>
        <w:tc>
          <w:tcPr>
            <w:tcW w:w="5777" w:type="dxa"/>
            <w:tcBorders>
              <w:bottom w:val="single" w:sz="4" w:space="0" w:color="AAACAF"/>
            </w:tcBorders>
          </w:tcPr>
          <w:p>
            <w:pPr>
              <w:pStyle w:val="TableParagraph"/>
              <w:tabs>
                <w:tab w:pos="4419" w:val="left" w:leader="none"/>
                <w:tab w:pos="4884" w:val="left" w:leader="none"/>
              </w:tabs>
              <w:spacing w:before="40"/>
              <w:ind w:left="339"/>
              <w:rPr>
                <w:rFonts w:ascii="Book Antiqua"/>
                <w:sz w:val="17"/>
              </w:rPr>
            </w:pPr>
            <w:r>
              <w:rPr>
                <w:rFonts w:ascii="Book Antiqua"/>
                <w:color w:val="231F20"/>
                <w:spacing w:val="-4"/>
                <w:w w:val="93"/>
                <w:sz w:val="17"/>
              </w:rPr>
              <w:t>P</w:t>
            </w:r>
            <w:r>
              <w:rPr>
                <w:rFonts w:ascii="Book Antiqua"/>
                <w:color w:val="231F20"/>
                <w:w w:val="91"/>
                <w:sz w:val="17"/>
              </w:rPr>
              <w:t>assenge</w:t>
            </w:r>
            <w:r>
              <w:rPr>
                <w:rFonts w:ascii="Book Antiqua"/>
                <w:color w:val="231F20"/>
                <w:spacing w:val="8"/>
                <w:w w:val="91"/>
                <w:sz w:val="17"/>
              </w:rPr>
              <w:t>r</w:t>
            </w:r>
            <w:r>
              <w:rPr>
                <w:rFonts w:ascii="Book Antiqua"/>
                <w:color w:val="231F20"/>
                <w:w w:val="106"/>
                <w:position w:val="6"/>
                <w:sz w:val="8"/>
              </w:rPr>
              <w:t>(2)</w:t>
            </w:r>
            <w:r>
              <w:rPr>
                <w:rFonts w:ascii="Book Antiqua"/>
                <w:color w:val="231F20"/>
                <w:position w:val="6"/>
                <w:sz w:val="8"/>
              </w:rPr>
              <w:tab/>
            </w:r>
            <w:r>
              <w:rPr>
                <w:rFonts w:ascii="Book Antiqua"/>
                <w:color w:val="231F20"/>
                <w:sz w:val="17"/>
              </w:rPr>
              <w:t>$</w:t>
              <w:tab/>
            </w:r>
            <w:r>
              <w:rPr>
                <w:rFonts w:ascii="Book Antiqua"/>
                <w:color w:val="231F20"/>
                <w:w w:val="94"/>
                <w:sz w:val="17"/>
              </w:rPr>
              <w:t>5</w:t>
            </w:r>
            <w:r>
              <w:rPr>
                <w:rFonts w:ascii="Book Antiqua"/>
                <w:color w:val="231F20"/>
                <w:spacing w:val="-7"/>
                <w:w w:val="94"/>
                <w:sz w:val="17"/>
              </w:rPr>
              <w:t>,</w:t>
            </w:r>
            <w:r>
              <w:rPr>
                <w:rFonts w:ascii="Book Antiqua"/>
                <w:color w:val="231F20"/>
                <w:spacing w:val="-5"/>
                <w:sz w:val="17"/>
              </w:rPr>
              <w:t>7</w:t>
            </w:r>
            <w:r>
              <w:rPr>
                <w:rFonts w:ascii="Book Antiqua"/>
                <w:color w:val="231F20"/>
                <w:spacing w:val="-7"/>
                <w:sz w:val="17"/>
              </w:rPr>
              <w:t>4</w:t>
            </w:r>
            <w:r>
              <w:rPr>
                <w:rFonts w:ascii="Book Antiqua"/>
                <w:color w:val="231F20"/>
                <w:sz w:val="17"/>
              </w:rPr>
              <w:t>1</w:t>
            </w:r>
          </w:p>
        </w:tc>
        <w:tc>
          <w:tcPr>
            <w:tcW w:w="1781" w:type="dxa"/>
            <w:tcBorders>
              <w:bottom w:val="single" w:sz="4" w:space="0" w:color="AAACAF"/>
            </w:tcBorders>
          </w:tcPr>
          <w:p>
            <w:pPr>
              <w:pStyle w:val="TableParagraph"/>
              <w:tabs>
                <w:tab w:pos="876" w:val="left" w:leader="none"/>
              </w:tabs>
              <w:spacing w:before="40"/>
              <w:ind w:left="414"/>
              <w:rPr>
                <w:rFonts w:ascii="Book Antiqua"/>
                <w:sz w:val="17"/>
              </w:rPr>
            </w:pPr>
            <w:r>
              <w:rPr>
                <w:rFonts w:ascii="Book Antiqua"/>
                <w:color w:val="231F20"/>
                <w:sz w:val="17"/>
              </w:rPr>
              <w:t>$</w:t>
              <w:tab/>
            </w:r>
            <w:r>
              <w:rPr>
                <w:rFonts w:ascii="Book Antiqua"/>
                <w:color w:val="231F20"/>
                <w:spacing w:val="-3"/>
                <w:sz w:val="17"/>
              </w:rPr>
              <w:t>5,341</w:t>
            </w:r>
          </w:p>
        </w:tc>
        <w:tc>
          <w:tcPr>
            <w:tcW w:w="1726" w:type="dxa"/>
            <w:tcBorders>
              <w:bottom w:val="single" w:sz="4" w:space="0" w:color="AAACAF"/>
            </w:tcBorders>
          </w:tcPr>
          <w:p>
            <w:pPr>
              <w:pStyle w:val="TableParagraph"/>
              <w:tabs>
                <w:tab w:pos="862" w:val="left" w:leader="none"/>
              </w:tabs>
              <w:spacing w:before="40"/>
              <w:ind w:left="409"/>
              <w:rPr>
                <w:rFonts w:ascii="Book Antiqua"/>
                <w:sz w:val="17"/>
              </w:rPr>
            </w:pPr>
            <w:r>
              <w:rPr>
                <w:rFonts w:ascii="Book Antiqua"/>
                <w:color w:val="231F20"/>
                <w:sz w:val="17"/>
              </w:rPr>
              <w:t>$</w:t>
              <w:tab/>
            </w:r>
            <w:r>
              <w:rPr>
                <w:rFonts w:ascii="Book Antiqua"/>
                <w:color w:val="231F20"/>
                <w:spacing w:val="-3"/>
                <w:sz w:val="17"/>
              </w:rPr>
              <w:t>5,379</w:t>
            </w:r>
          </w:p>
        </w:tc>
        <w:tc>
          <w:tcPr>
            <w:tcW w:w="1344" w:type="dxa"/>
            <w:tcBorders>
              <w:bottom w:val="single" w:sz="4" w:space="0" w:color="AAACAF"/>
            </w:tcBorders>
          </w:tcPr>
          <w:p>
            <w:pPr>
              <w:pStyle w:val="TableParagraph"/>
              <w:tabs>
                <w:tab w:pos="796" w:val="left" w:leader="none"/>
              </w:tabs>
              <w:spacing w:before="40"/>
              <w:ind w:left="360"/>
              <w:rPr>
                <w:rFonts w:ascii="Book Antiqua"/>
                <w:sz w:val="17"/>
              </w:rPr>
            </w:pPr>
            <w:r>
              <w:rPr>
                <w:rFonts w:ascii="Book Antiqua"/>
                <w:color w:val="231F20"/>
                <w:sz w:val="17"/>
              </w:rPr>
              <w:t>$</w:t>
              <w:tab/>
              <w:t>5,468</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5242" w:val="right" w:leader="none"/>
              </w:tabs>
              <w:spacing w:before="98"/>
              <w:ind w:left="339"/>
              <w:rPr>
                <w:rFonts w:ascii="Book Antiqua"/>
                <w:sz w:val="17"/>
              </w:rPr>
            </w:pPr>
            <w:r>
              <w:rPr>
                <w:rFonts w:ascii="Book Antiqua"/>
                <w:color w:val="231F20"/>
                <w:sz w:val="17"/>
              </w:rPr>
              <w:t>Freight</w:t>
              <w:tab/>
              <w:t>94</w:t>
            </w:r>
          </w:p>
        </w:tc>
        <w:tc>
          <w:tcPr>
            <w:tcW w:w="1781" w:type="dxa"/>
            <w:tcBorders>
              <w:top w:val="single" w:sz="4" w:space="0" w:color="AAACAF"/>
              <w:bottom w:val="single" w:sz="4" w:space="0" w:color="AAACAF"/>
            </w:tcBorders>
          </w:tcPr>
          <w:p>
            <w:pPr>
              <w:pStyle w:val="TableParagraph"/>
              <w:spacing w:before="98"/>
              <w:ind w:right="536"/>
              <w:jc w:val="right"/>
              <w:rPr>
                <w:rFonts w:ascii="Book Antiqua"/>
                <w:sz w:val="17"/>
              </w:rPr>
            </w:pPr>
            <w:r>
              <w:rPr>
                <w:rFonts w:ascii="Book Antiqua"/>
                <w:color w:val="231F20"/>
                <w:sz w:val="17"/>
              </w:rPr>
              <w:t>85</w:t>
            </w:r>
          </w:p>
        </w:tc>
        <w:tc>
          <w:tcPr>
            <w:tcW w:w="1726" w:type="dxa"/>
            <w:tcBorders>
              <w:top w:val="single" w:sz="4" w:space="0" w:color="AAACAF"/>
              <w:bottom w:val="single" w:sz="4" w:space="0" w:color="AAACAF"/>
            </w:tcBorders>
          </w:tcPr>
          <w:p>
            <w:pPr>
              <w:pStyle w:val="TableParagraph"/>
              <w:spacing w:before="98"/>
              <w:ind w:right="496"/>
              <w:jc w:val="right"/>
              <w:rPr>
                <w:rFonts w:ascii="Book Antiqua"/>
                <w:sz w:val="17"/>
              </w:rPr>
            </w:pPr>
            <w:r>
              <w:rPr>
                <w:rFonts w:ascii="Book Antiqua"/>
                <w:color w:val="231F20"/>
                <w:sz w:val="17"/>
              </w:rPr>
              <w:t>91</w:t>
            </w:r>
          </w:p>
        </w:tc>
        <w:tc>
          <w:tcPr>
            <w:tcW w:w="1344" w:type="dxa"/>
            <w:tcBorders>
              <w:top w:val="single" w:sz="4" w:space="0" w:color="AAACAF"/>
              <w:bottom w:val="single" w:sz="4" w:space="0" w:color="AAACAF"/>
            </w:tcBorders>
          </w:tcPr>
          <w:p>
            <w:pPr>
              <w:pStyle w:val="TableParagraph"/>
              <w:spacing w:before="98"/>
              <w:ind w:right="158"/>
              <w:jc w:val="right"/>
              <w:rPr>
                <w:rFonts w:ascii="Book Antiqua"/>
                <w:sz w:val="17"/>
              </w:rPr>
            </w:pPr>
            <w:r>
              <w:rPr>
                <w:rFonts w:ascii="Book Antiqua"/>
                <w:color w:val="231F20"/>
                <w:sz w:val="17"/>
              </w:rPr>
              <w:t>111</w:t>
            </w:r>
          </w:p>
        </w:tc>
      </w:tr>
      <w:tr>
        <w:trPr>
          <w:trHeight w:val="300" w:hRule="exact"/>
        </w:trPr>
        <w:tc>
          <w:tcPr>
            <w:tcW w:w="313" w:type="dxa"/>
          </w:tcPr>
          <w:p>
            <w:pPr/>
          </w:p>
        </w:tc>
        <w:tc>
          <w:tcPr>
            <w:tcW w:w="5777" w:type="dxa"/>
            <w:tcBorders>
              <w:top w:val="single" w:sz="4" w:space="0" w:color="AAACAF"/>
              <w:bottom w:val="single" w:sz="4" w:space="0" w:color="231F20"/>
            </w:tcBorders>
          </w:tcPr>
          <w:p>
            <w:pPr>
              <w:pStyle w:val="TableParagraph"/>
              <w:tabs>
                <w:tab w:pos="5242" w:val="right" w:leader="none"/>
              </w:tabs>
              <w:spacing w:before="98"/>
              <w:ind w:left="340"/>
              <w:rPr>
                <w:rFonts w:ascii="Book Antiqua"/>
                <w:sz w:val="17"/>
              </w:rPr>
            </w:pPr>
            <w:r>
              <w:rPr>
                <w:rFonts w:ascii="Book Antiqua"/>
                <w:color w:val="231F20"/>
                <w:w w:val="96"/>
                <w:sz w:val="17"/>
              </w:rPr>
              <w:t>Othe</w:t>
            </w:r>
            <w:r>
              <w:rPr>
                <w:rFonts w:ascii="Book Antiqua"/>
                <w:color w:val="231F20"/>
                <w:spacing w:val="8"/>
                <w:w w:val="96"/>
                <w:sz w:val="17"/>
              </w:rPr>
              <w:t>r</w:t>
            </w:r>
            <w:r>
              <w:rPr>
                <w:rFonts w:ascii="Book Antiqua"/>
                <w:color w:val="231F20"/>
                <w:w w:val="106"/>
                <w:position w:val="6"/>
                <w:sz w:val="8"/>
              </w:rPr>
              <w:t>(2)</w:t>
            </w:r>
            <w:r>
              <w:rPr>
                <w:rFonts w:ascii="Book Antiqua"/>
                <w:color w:val="231F20"/>
                <w:w w:val="108"/>
                <w:sz w:val="17"/>
              </w:rPr>
              <w:t> </w:t>
            </w:r>
            <w:r>
              <w:rPr>
                <w:rFonts w:ascii="Book Antiqua"/>
                <w:color w:val="231F20"/>
                <w:sz w:val="17"/>
              </w:rPr>
              <w:tab/>
            </w:r>
            <w:r>
              <w:rPr>
                <w:rFonts w:ascii="Book Antiqua"/>
                <w:color w:val="231F20"/>
                <w:spacing w:val="-8"/>
                <w:sz w:val="17"/>
              </w:rPr>
              <w:t>1</w:t>
            </w:r>
            <w:r>
              <w:rPr>
                <w:rFonts w:ascii="Book Antiqua"/>
                <w:color w:val="231F20"/>
                <w:sz w:val="17"/>
              </w:rPr>
              <w:t>02</w:t>
            </w:r>
          </w:p>
        </w:tc>
        <w:tc>
          <w:tcPr>
            <w:tcW w:w="1781" w:type="dxa"/>
            <w:tcBorders>
              <w:top w:val="single" w:sz="4" w:space="0" w:color="AAACAF"/>
              <w:bottom w:val="double" w:sz="7" w:space="0" w:color="231F20"/>
            </w:tcBorders>
          </w:tcPr>
          <w:p>
            <w:pPr>
              <w:pStyle w:val="TableParagraph"/>
              <w:spacing w:line="210" w:lineRule="exact" w:before="98"/>
              <w:ind w:right="536"/>
              <w:jc w:val="right"/>
              <w:rPr>
                <w:rFonts w:ascii="Book Antiqua"/>
                <w:sz w:val="17"/>
              </w:rPr>
            </w:pPr>
            <w:r>
              <w:rPr>
                <w:rFonts w:ascii="Book Antiqua"/>
                <w:color w:val="231F20"/>
                <w:sz w:val="17"/>
              </w:rPr>
              <w:t>96</w:t>
            </w:r>
          </w:p>
        </w:tc>
        <w:tc>
          <w:tcPr>
            <w:tcW w:w="1726" w:type="dxa"/>
            <w:tcBorders>
              <w:top w:val="single" w:sz="4" w:space="0" w:color="AAACAF"/>
              <w:bottom w:val="double" w:sz="7" w:space="0" w:color="231F20"/>
            </w:tcBorders>
          </w:tcPr>
          <w:p>
            <w:pPr>
              <w:pStyle w:val="TableParagraph"/>
              <w:spacing w:line="209" w:lineRule="exact" w:before="98"/>
              <w:ind w:right="496"/>
              <w:jc w:val="right"/>
              <w:rPr>
                <w:rFonts w:ascii="Book Antiqua"/>
                <w:sz w:val="17"/>
              </w:rPr>
            </w:pPr>
            <w:r>
              <w:rPr>
                <w:rFonts w:ascii="Book Antiqua"/>
                <w:color w:val="231F20"/>
                <w:sz w:val="17"/>
              </w:rPr>
              <w:t>85</w:t>
            </w:r>
          </w:p>
        </w:tc>
        <w:tc>
          <w:tcPr>
            <w:tcW w:w="1344" w:type="dxa"/>
            <w:tcBorders>
              <w:top w:val="single" w:sz="4" w:space="0" w:color="AAACAF"/>
              <w:bottom w:val="double" w:sz="7" w:space="0" w:color="231F20"/>
            </w:tcBorders>
          </w:tcPr>
          <w:p>
            <w:pPr>
              <w:pStyle w:val="TableParagraph"/>
              <w:spacing w:line="210" w:lineRule="exact" w:before="98"/>
              <w:ind w:right="162"/>
              <w:jc w:val="right"/>
              <w:rPr>
                <w:rFonts w:ascii="Book Antiqua"/>
                <w:sz w:val="17"/>
              </w:rPr>
            </w:pPr>
            <w:r>
              <w:rPr>
                <w:rFonts w:ascii="Book Antiqua"/>
                <w:color w:val="231F20"/>
                <w:sz w:val="17"/>
              </w:rPr>
              <w:t>71</w:t>
            </w:r>
          </w:p>
        </w:tc>
      </w:tr>
      <w:tr>
        <w:trPr>
          <w:trHeight w:val="300" w:hRule="exact"/>
        </w:trPr>
        <w:tc>
          <w:tcPr>
            <w:tcW w:w="313" w:type="dxa"/>
          </w:tcPr>
          <w:p>
            <w:pPr/>
          </w:p>
        </w:tc>
        <w:tc>
          <w:tcPr>
            <w:tcW w:w="5777" w:type="dxa"/>
            <w:tcBorders>
              <w:top w:val="single" w:sz="4" w:space="0" w:color="231F20"/>
              <w:bottom w:val="single" w:sz="4" w:space="0" w:color="AAACAF"/>
            </w:tcBorders>
          </w:tcPr>
          <w:p>
            <w:pPr>
              <w:pStyle w:val="TableParagraph"/>
              <w:tabs>
                <w:tab w:pos="4884" w:val="left" w:leader="none"/>
              </w:tabs>
              <w:spacing w:before="98"/>
              <w:ind w:left="187"/>
              <w:rPr>
                <w:rFonts w:ascii="Book Antiqua"/>
                <w:sz w:val="17"/>
              </w:rPr>
            </w:pPr>
            <w:r>
              <w:rPr>
                <w:rFonts w:ascii="Book Antiqua"/>
                <w:color w:val="231F20"/>
                <w:spacing w:val="-4"/>
                <w:sz w:val="17"/>
              </w:rPr>
              <w:t>Total</w:t>
            </w:r>
            <w:r>
              <w:rPr>
                <w:rFonts w:ascii="Book Antiqua"/>
                <w:color w:val="231F20"/>
                <w:spacing w:val="-22"/>
                <w:sz w:val="17"/>
              </w:rPr>
              <w:t> </w:t>
            </w:r>
            <w:r>
              <w:rPr>
                <w:rFonts w:ascii="Book Antiqua"/>
                <w:color w:val="231F20"/>
                <w:sz w:val="17"/>
              </w:rPr>
              <w:t>operating</w:t>
            </w:r>
            <w:r>
              <w:rPr>
                <w:rFonts w:ascii="Book Antiqua"/>
                <w:color w:val="231F20"/>
                <w:spacing w:val="-22"/>
                <w:sz w:val="17"/>
              </w:rPr>
              <w:t> </w:t>
            </w:r>
            <w:r>
              <w:rPr>
                <w:rFonts w:ascii="Book Antiqua"/>
                <w:color w:val="231F20"/>
                <w:sz w:val="17"/>
              </w:rPr>
              <w:t>revenues</w:t>
              <w:tab/>
            </w:r>
            <w:r>
              <w:rPr>
                <w:rFonts w:ascii="Book Antiqua"/>
                <w:color w:val="231F20"/>
                <w:spacing w:val="-4"/>
                <w:sz w:val="17"/>
              </w:rPr>
              <w:t>5,937</w:t>
            </w:r>
          </w:p>
        </w:tc>
        <w:tc>
          <w:tcPr>
            <w:tcW w:w="1781" w:type="dxa"/>
            <w:tcBorders>
              <w:top w:val="double" w:sz="7" w:space="0" w:color="231F20"/>
              <w:bottom w:val="single" w:sz="4" w:space="0" w:color="AAACAF"/>
            </w:tcBorders>
          </w:tcPr>
          <w:p>
            <w:pPr>
              <w:pStyle w:val="TableParagraph"/>
              <w:spacing w:before="76"/>
              <w:ind w:right="535"/>
              <w:jc w:val="right"/>
              <w:rPr>
                <w:rFonts w:ascii="Book Antiqua"/>
                <w:sz w:val="17"/>
              </w:rPr>
            </w:pPr>
            <w:r>
              <w:rPr>
                <w:rFonts w:ascii="Book Antiqua"/>
                <w:color w:val="231F20"/>
                <w:w w:val="95"/>
                <w:sz w:val="17"/>
              </w:rPr>
              <w:t>5,522</w:t>
            </w:r>
          </w:p>
        </w:tc>
        <w:tc>
          <w:tcPr>
            <w:tcW w:w="1726" w:type="dxa"/>
            <w:tcBorders>
              <w:top w:val="double" w:sz="7" w:space="0" w:color="231F20"/>
              <w:bottom w:val="single" w:sz="4" w:space="0" w:color="AAACAF"/>
            </w:tcBorders>
          </w:tcPr>
          <w:p>
            <w:pPr>
              <w:pStyle w:val="TableParagraph"/>
              <w:spacing w:before="75"/>
              <w:ind w:right="496"/>
              <w:jc w:val="right"/>
              <w:rPr>
                <w:rFonts w:ascii="Book Antiqua"/>
                <w:sz w:val="17"/>
              </w:rPr>
            </w:pPr>
            <w:r>
              <w:rPr>
                <w:rFonts w:ascii="Book Antiqua"/>
                <w:color w:val="231F20"/>
                <w:w w:val="95"/>
                <w:sz w:val="17"/>
              </w:rPr>
              <w:t>5,555</w:t>
            </w:r>
          </w:p>
        </w:tc>
        <w:tc>
          <w:tcPr>
            <w:tcW w:w="1344" w:type="dxa"/>
            <w:tcBorders>
              <w:top w:val="double" w:sz="7" w:space="0" w:color="231F20"/>
              <w:bottom w:val="single" w:sz="4" w:space="0" w:color="AAACAF"/>
            </w:tcBorders>
          </w:tcPr>
          <w:p>
            <w:pPr>
              <w:pStyle w:val="TableParagraph"/>
              <w:spacing w:before="75"/>
              <w:ind w:left="795"/>
              <w:rPr>
                <w:rFonts w:ascii="Book Antiqua"/>
                <w:sz w:val="17"/>
              </w:rPr>
            </w:pPr>
            <w:r>
              <w:rPr>
                <w:rFonts w:ascii="Book Antiqua"/>
                <w:color w:val="231F20"/>
                <w:sz w:val="17"/>
              </w:rPr>
              <w:t>5, 650</w:t>
            </w:r>
          </w:p>
        </w:tc>
      </w:tr>
      <w:tr>
        <w:trPr>
          <w:trHeight w:val="300" w:hRule="exact"/>
        </w:trPr>
        <w:tc>
          <w:tcPr>
            <w:tcW w:w="313" w:type="dxa"/>
          </w:tcPr>
          <w:p>
            <w:pPr/>
          </w:p>
        </w:tc>
        <w:tc>
          <w:tcPr>
            <w:tcW w:w="5777" w:type="dxa"/>
            <w:tcBorders>
              <w:top w:val="single" w:sz="4" w:space="0" w:color="AAACAF"/>
              <w:bottom w:val="single" w:sz="4" w:space="0" w:color="231F20"/>
            </w:tcBorders>
          </w:tcPr>
          <w:p>
            <w:pPr>
              <w:pStyle w:val="TableParagraph"/>
              <w:tabs>
                <w:tab w:pos="4883" w:val="left" w:leader="none"/>
              </w:tabs>
              <w:spacing w:before="98"/>
              <w:ind w:left="187"/>
              <w:rPr>
                <w:rFonts w:ascii="Book Antiqua"/>
                <w:sz w:val="17"/>
              </w:rPr>
            </w:pPr>
            <w:r>
              <w:rPr>
                <w:rFonts w:ascii="Book Antiqua"/>
                <w:color w:val="231F20"/>
                <w:sz w:val="17"/>
              </w:rPr>
              <w:t>Operating</w:t>
            </w:r>
            <w:r>
              <w:rPr>
                <w:rFonts w:ascii="Book Antiqua"/>
                <w:color w:val="231F20"/>
                <w:spacing w:val="-26"/>
                <w:sz w:val="17"/>
              </w:rPr>
              <w:t> </w:t>
            </w:r>
            <w:r>
              <w:rPr>
                <w:rFonts w:ascii="Book Antiqua"/>
                <w:color w:val="231F20"/>
                <w:sz w:val="17"/>
              </w:rPr>
              <w:t>expenses</w:t>
              <w:tab/>
            </w:r>
            <w:r>
              <w:rPr>
                <w:rFonts w:ascii="Book Antiqua"/>
                <w:color w:val="231F20"/>
                <w:spacing w:val="-4"/>
                <w:sz w:val="17"/>
              </w:rPr>
              <w:t>5,454</w:t>
            </w:r>
          </w:p>
        </w:tc>
        <w:tc>
          <w:tcPr>
            <w:tcW w:w="1781" w:type="dxa"/>
            <w:tcBorders>
              <w:top w:val="single" w:sz="4" w:space="0" w:color="AAACAF"/>
              <w:bottom w:val="double" w:sz="7" w:space="0" w:color="231F20"/>
            </w:tcBorders>
          </w:tcPr>
          <w:p>
            <w:pPr>
              <w:pStyle w:val="TableParagraph"/>
              <w:spacing w:line="210" w:lineRule="exact" w:before="98"/>
              <w:ind w:right="536"/>
              <w:jc w:val="right"/>
              <w:rPr>
                <w:rFonts w:ascii="Book Antiqua"/>
                <w:sz w:val="17"/>
              </w:rPr>
            </w:pPr>
            <w:r>
              <w:rPr>
                <w:rFonts w:ascii="Book Antiqua"/>
                <w:color w:val="231F20"/>
                <w:w w:val="95"/>
                <w:sz w:val="17"/>
              </w:rPr>
              <w:t>5,105</w:t>
            </w:r>
          </w:p>
        </w:tc>
        <w:tc>
          <w:tcPr>
            <w:tcW w:w="1726" w:type="dxa"/>
            <w:tcBorders>
              <w:top w:val="single" w:sz="4" w:space="0" w:color="AAACAF"/>
              <w:bottom w:val="double" w:sz="7" w:space="0" w:color="231F20"/>
            </w:tcBorders>
          </w:tcPr>
          <w:p>
            <w:pPr>
              <w:pStyle w:val="TableParagraph"/>
              <w:spacing w:line="209" w:lineRule="exact" w:before="98"/>
              <w:ind w:right="496"/>
              <w:jc w:val="right"/>
              <w:rPr>
                <w:rFonts w:ascii="Book Antiqua"/>
                <w:sz w:val="17"/>
              </w:rPr>
            </w:pPr>
            <w:r>
              <w:rPr>
                <w:rFonts w:ascii="Book Antiqua"/>
                <w:color w:val="231F20"/>
                <w:w w:val="95"/>
                <w:sz w:val="17"/>
              </w:rPr>
              <w:t>4,924</w:t>
            </w:r>
          </w:p>
        </w:tc>
        <w:tc>
          <w:tcPr>
            <w:tcW w:w="1344" w:type="dxa"/>
            <w:tcBorders>
              <w:top w:val="single" w:sz="4" w:space="0" w:color="AAACAF"/>
              <w:bottom w:val="double" w:sz="7" w:space="0" w:color="231F20"/>
            </w:tcBorders>
          </w:tcPr>
          <w:p>
            <w:pPr>
              <w:pStyle w:val="TableParagraph"/>
              <w:spacing w:line="210" w:lineRule="exact" w:before="98"/>
              <w:ind w:left="794"/>
              <w:rPr>
                <w:rFonts w:ascii="Book Antiqua"/>
                <w:sz w:val="17"/>
              </w:rPr>
            </w:pPr>
            <w:r>
              <w:rPr>
                <w:rFonts w:ascii="Book Antiqua"/>
                <w:color w:val="231F20"/>
                <w:sz w:val="17"/>
              </w:rPr>
              <w:t>4,628</w:t>
            </w:r>
          </w:p>
        </w:tc>
      </w:tr>
      <w:tr>
        <w:trPr>
          <w:trHeight w:val="300" w:hRule="exact"/>
        </w:trPr>
        <w:tc>
          <w:tcPr>
            <w:tcW w:w="313" w:type="dxa"/>
          </w:tcPr>
          <w:p>
            <w:pPr/>
          </w:p>
        </w:tc>
        <w:tc>
          <w:tcPr>
            <w:tcW w:w="5777" w:type="dxa"/>
            <w:tcBorders>
              <w:top w:val="single" w:sz="4" w:space="0" w:color="231F20"/>
              <w:bottom w:val="single" w:sz="4" w:space="0" w:color="AAACAF"/>
            </w:tcBorders>
          </w:tcPr>
          <w:p>
            <w:pPr>
              <w:pStyle w:val="TableParagraph"/>
              <w:tabs>
                <w:tab w:pos="5242" w:val="right" w:leader="none"/>
              </w:tabs>
              <w:spacing w:before="98"/>
              <w:ind w:left="187"/>
              <w:rPr>
                <w:rFonts w:ascii="Book Antiqua"/>
                <w:sz w:val="17"/>
              </w:rPr>
            </w:pPr>
            <w:r>
              <w:rPr>
                <w:rFonts w:ascii="Book Antiqua"/>
                <w:color w:val="231F20"/>
                <w:sz w:val="17"/>
              </w:rPr>
              <w:t>Operating</w:t>
            </w:r>
            <w:r>
              <w:rPr>
                <w:rFonts w:ascii="Book Antiqua"/>
                <w:color w:val="231F20"/>
                <w:spacing w:val="6"/>
                <w:sz w:val="17"/>
              </w:rPr>
              <w:t> </w:t>
            </w:r>
            <w:r>
              <w:rPr>
                <w:rFonts w:ascii="Book Antiqua"/>
                <w:color w:val="231F20"/>
                <w:sz w:val="17"/>
              </w:rPr>
              <w:t>income</w:t>
              <w:tab/>
            </w:r>
            <w:r>
              <w:rPr>
                <w:rFonts w:ascii="Book Antiqua"/>
                <w:color w:val="231F20"/>
                <w:spacing w:val="-3"/>
                <w:sz w:val="17"/>
              </w:rPr>
              <w:t>483</w:t>
            </w:r>
          </w:p>
        </w:tc>
        <w:tc>
          <w:tcPr>
            <w:tcW w:w="1781" w:type="dxa"/>
            <w:tcBorders>
              <w:top w:val="double" w:sz="7" w:space="0" w:color="231F20"/>
              <w:bottom w:val="single" w:sz="4" w:space="0" w:color="AAACAF"/>
            </w:tcBorders>
          </w:tcPr>
          <w:p>
            <w:pPr>
              <w:pStyle w:val="TableParagraph"/>
              <w:spacing w:before="76"/>
              <w:ind w:right="536"/>
              <w:jc w:val="right"/>
              <w:rPr>
                <w:rFonts w:ascii="Book Antiqua"/>
                <w:sz w:val="17"/>
              </w:rPr>
            </w:pPr>
            <w:r>
              <w:rPr>
                <w:rFonts w:ascii="Book Antiqua"/>
                <w:color w:val="231F20"/>
                <w:sz w:val="17"/>
              </w:rPr>
              <w:t>417</w:t>
            </w:r>
          </w:p>
        </w:tc>
        <w:tc>
          <w:tcPr>
            <w:tcW w:w="1726" w:type="dxa"/>
            <w:tcBorders>
              <w:top w:val="double" w:sz="7" w:space="0" w:color="231F20"/>
              <w:bottom w:val="single" w:sz="4" w:space="0" w:color="AAACAF"/>
            </w:tcBorders>
          </w:tcPr>
          <w:p>
            <w:pPr>
              <w:pStyle w:val="TableParagraph"/>
              <w:spacing w:before="75"/>
              <w:ind w:right="496"/>
              <w:jc w:val="right"/>
              <w:rPr>
                <w:rFonts w:ascii="Book Antiqua"/>
                <w:sz w:val="17"/>
              </w:rPr>
            </w:pPr>
            <w:r>
              <w:rPr>
                <w:rFonts w:ascii="Book Antiqua"/>
                <w:color w:val="231F20"/>
                <w:sz w:val="17"/>
              </w:rPr>
              <w:t>631</w:t>
            </w:r>
          </w:p>
        </w:tc>
        <w:tc>
          <w:tcPr>
            <w:tcW w:w="1344" w:type="dxa"/>
            <w:tcBorders>
              <w:top w:val="double" w:sz="7" w:space="0" w:color="231F20"/>
              <w:bottom w:val="single" w:sz="4" w:space="0" w:color="AAACAF"/>
            </w:tcBorders>
          </w:tcPr>
          <w:p>
            <w:pPr>
              <w:pStyle w:val="TableParagraph"/>
              <w:spacing w:before="75"/>
              <w:ind w:left="800"/>
              <w:rPr>
                <w:rFonts w:ascii="Book Antiqua"/>
                <w:sz w:val="17"/>
              </w:rPr>
            </w:pPr>
            <w:r>
              <w:rPr>
                <w:rFonts w:ascii="Book Antiqua"/>
                <w:color w:val="231F20"/>
                <w:sz w:val="17"/>
              </w:rPr>
              <w:t>1,022</w:t>
            </w:r>
          </w:p>
        </w:tc>
      </w:tr>
      <w:tr>
        <w:trPr>
          <w:trHeight w:val="300" w:hRule="exact"/>
        </w:trPr>
        <w:tc>
          <w:tcPr>
            <w:tcW w:w="313" w:type="dxa"/>
          </w:tcPr>
          <w:p>
            <w:pPr/>
          </w:p>
        </w:tc>
        <w:tc>
          <w:tcPr>
            <w:tcW w:w="5777" w:type="dxa"/>
            <w:tcBorders>
              <w:top w:val="single" w:sz="4" w:space="0" w:color="AAACAF"/>
              <w:bottom w:val="single" w:sz="4" w:space="0" w:color="231F20"/>
            </w:tcBorders>
          </w:tcPr>
          <w:p>
            <w:pPr>
              <w:pStyle w:val="TableParagraph"/>
              <w:tabs>
                <w:tab w:pos="4926" w:val="left" w:leader="none"/>
              </w:tabs>
              <w:spacing w:before="98"/>
              <w:ind w:left="187"/>
              <w:rPr>
                <w:rFonts w:ascii="Book Antiqua"/>
                <w:sz w:val="17"/>
              </w:rPr>
            </w:pPr>
            <w:r>
              <w:rPr>
                <w:rFonts w:ascii="Book Antiqua"/>
                <w:color w:val="231F20"/>
                <w:sz w:val="17"/>
              </w:rPr>
              <w:t>Other</w:t>
            </w:r>
            <w:r>
              <w:rPr>
                <w:rFonts w:ascii="Book Antiqua"/>
                <w:color w:val="231F20"/>
                <w:spacing w:val="-34"/>
                <w:sz w:val="17"/>
              </w:rPr>
              <w:t> </w:t>
            </w:r>
            <w:r>
              <w:rPr>
                <w:rFonts w:ascii="Book Antiqua"/>
                <w:color w:val="231F20"/>
                <w:sz w:val="17"/>
              </w:rPr>
              <w:t>expenses (income),</w:t>
            </w:r>
            <w:r>
              <w:rPr>
                <w:rFonts w:ascii="Book Antiqua"/>
                <w:color w:val="231F20"/>
                <w:spacing w:val="-18"/>
                <w:sz w:val="17"/>
              </w:rPr>
              <w:t> </w:t>
            </w:r>
            <w:r>
              <w:rPr>
                <w:rFonts w:ascii="Book Antiqua"/>
                <w:color w:val="231F20"/>
                <w:sz w:val="17"/>
              </w:rPr>
              <w:t>net</w:t>
              <w:tab/>
              <w:t>(225)</w:t>
            </w:r>
          </w:p>
        </w:tc>
        <w:tc>
          <w:tcPr>
            <w:tcW w:w="1781" w:type="dxa"/>
            <w:tcBorders>
              <w:top w:val="single" w:sz="4" w:space="0" w:color="AAACAF"/>
              <w:bottom w:val="double" w:sz="7" w:space="0" w:color="231F20"/>
            </w:tcBorders>
          </w:tcPr>
          <w:p>
            <w:pPr>
              <w:pStyle w:val="TableParagraph"/>
              <w:spacing w:line="210" w:lineRule="exact" w:before="98"/>
              <w:ind w:right="536"/>
              <w:jc w:val="right"/>
              <w:rPr>
                <w:rFonts w:ascii="Book Antiqua"/>
                <w:sz w:val="17"/>
              </w:rPr>
            </w:pPr>
            <w:r>
              <w:rPr>
                <w:rFonts w:ascii="Book Antiqua"/>
                <w:color w:val="231F20"/>
                <w:sz w:val="17"/>
              </w:rPr>
              <w:t>24</w:t>
            </w:r>
          </w:p>
        </w:tc>
        <w:tc>
          <w:tcPr>
            <w:tcW w:w="1726" w:type="dxa"/>
            <w:tcBorders>
              <w:top w:val="single" w:sz="4" w:space="0" w:color="AAACAF"/>
              <w:bottom w:val="double" w:sz="7" w:space="0" w:color="231F20"/>
            </w:tcBorders>
          </w:tcPr>
          <w:p>
            <w:pPr>
              <w:pStyle w:val="TableParagraph"/>
              <w:spacing w:line="210" w:lineRule="exact" w:before="98"/>
              <w:ind w:right="453"/>
              <w:jc w:val="right"/>
              <w:rPr>
                <w:rFonts w:ascii="Book Antiqua"/>
                <w:sz w:val="17"/>
              </w:rPr>
            </w:pPr>
            <w:r>
              <w:rPr>
                <w:rFonts w:ascii="Book Antiqua"/>
                <w:color w:val="231F20"/>
                <w:sz w:val="17"/>
              </w:rPr>
              <w:t>(197)</w:t>
            </w:r>
          </w:p>
        </w:tc>
        <w:tc>
          <w:tcPr>
            <w:tcW w:w="1344" w:type="dxa"/>
            <w:tcBorders>
              <w:top w:val="single" w:sz="4" w:space="0" w:color="AAACAF"/>
              <w:bottom w:val="double" w:sz="7" w:space="0" w:color="231F20"/>
            </w:tcBorders>
          </w:tcPr>
          <w:p>
            <w:pPr>
              <w:pStyle w:val="TableParagraph"/>
              <w:spacing w:line="210" w:lineRule="exact" w:before="98"/>
              <w:ind w:right="162"/>
              <w:jc w:val="right"/>
              <w:rPr>
                <w:rFonts w:ascii="Book Antiqua"/>
                <w:sz w:val="17"/>
              </w:rPr>
            </w:pPr>
            <w:r>
              <w:rPr>
                <w:rFonts w:ascii="Book Antiqua"/>
                <w:color w:val="231F20"/>
                <w:sz w:val="17"/>
              </w:rPr>
              <w:t>4</w:t>
            </w:r>
          </w:p>
        </w:tc>
      </w:tr>
      <w:tr>
        <w:trPr>
          <w:trHeight w:val="300" w:hRule="exact"/>
        </w:trPr>
        <w:tc>
          <w:tcPr>
            <w:tcW w:w="313" w:type="dxa"/>
          </w:tcPr>
          <w:p>
            <w:pPr/>
          </w:p>
        </w:tc>
        <w:tc>
          <w:tcPr>
            <w:tcW w:w="5777" w:type="dxa"/>
            <w:tcBorders>
              <w:top w:val="single" w:sz="4" w:space="0" w:color="231F20"/>
              <w:bottom w:val="single" w:sz="4" w:space="0" w:color="AAACAF"/>
            </w:tcBorders>
          </w:tcPr>
          <w:p>
            <w:pPr>
              <w:pStyle w:val="TableParagraph"/>
              <w:tabs>
                <w:tab w:pos="5243" w:val="right" w:leader="none"/>
              </w:tabs>
              <w:spacing w:before="98"/>
              <w:ind w:left="187"/>
              <w:rPr>
                <w:rFonts w:ascii="Book Antiqua"/>
                <w:sz w:val="17"/>
              </w:rPr>
            </w:pPr>
            <w:r>
              <w:rPr>
                <w:rFonts w:ascii="Book Antiqua"/>
                <w:color w:val="231F20"/>
                <w:sz w:val="17"/>
              </w:rPr>
              <w:t>Income before</w:t>
            </w:r>
            <w:r>
              <w:rPr>
                <w:rFonts w:ascii="Book Antiqua"/>
                <w:color w:val="231F20"/>
                <w:spacing w:val="12"/>
                <w:sz w:val="17"/>
              </w:rPr>
              <w:t> </w:t>
            </w:r>
            <w:r>
              <w:rPr>
                <w:rFonts w:ascii="Book Antiqua"/>
                <w:color w:val="231F20"/>
                <w:sz w:val="17"/>
              </w:rPr>
              <w:t>income</w:t>
            </w:r>
            <w:r>
              <w:rPr>
                <w:rFonts w:ascii="Book Antiqua"/>
                <w:color w:val="231F20"/>
                <w:spacing w:val="6"/>
                <w:sz w:val="17"/>
              </w:rPr>
              <w:t> </w:t>
            </w:r>
            <w:r>
              <w:rPr>
                <w:rFonts w:ascii="Book Antiqua"/>
                <w:color w:val="231F20"/>
                <w:sz w:val="17"/>
              </w:rPr>
              <w:t>taxes</w:t>
              <w:tab/>
            </w:r>
            <w:r>
              <w:rPr>
                <w:rFonts w:ascii="Book Antiqua"/>
                <w:color w:val="231F20"/>
                <w:spacing w:val="-4"/>
                <w:sz w:val="17"/>
              </w:rPr>
              <w:t>708</w:t>
            </w:r>
          </w:p>
        </w:tc>
        <w:tc>
          <w:tcPr>
            <w:tcW w:w="1781" w:type="dxa"/>
            <w:tcBorders>
              <w:top w:val="double" w:sz="7" w:space="0" w:color="231F20"/>
              <w:bottom w:val="single" w:sz="4" w:space="0" w:color="AAACAF"/>
            </w:tcBorders>
          </w:tcPr>
          <w:p>
            <w:pPr>
              <w:pStyle w:val="TableParagraph"/>
              <w:spacing w:before="75"/>
              <w:ind w:right="535"/>
              <w:jc w:val="right"/>
              <w:rPr>
                <w:rFonts w:ascii="Book Antiqua"/>
                <w:sz w:val="17"/>
              </w:rPr>
            </w:pPr>
            <w:r>
              <w:rPr>
                <w:rFonts w:ascii="Book Antiqua"/>
                <w:color w:val="231F20"/>
                <w:sz w:val="17"/>
              </w:rPr>
              <w:t>393</w:t>
            </w:r>
          </w:p>
        </w:tc>
        <w:tc>
          <w:tcPr>
            <w:tcW w:w="1726" w:type="dxa"/>
            <w:tcBorders>
              <w:top w:val="double" w:sz="7" w:space="0" w:color="231F20"/>
              <w:bottom w:val="single" w:sz="4" w:space="0" w:color="AAACAF"/>
            </w:tcBorders>
          </w:tcPr>
          <w:p>
            <w:pPr>
              <w:pStyle w:val="TableParagraph"/>
              <w:spacing w:before="76"/>
              <w:ind w:right="498"/>
              <w:jc w:val="right"/>
              <w:rPr>
                <w:rFonts w:ascii="Book Antiqua"/>
                <w:sz w:val="17"/>
              </w:rPr>
            </w:pPr>
            <w:r>
              <w:rPr>
                <w:rFonts w:ascii="Book Antiqua"/>
                <w:color w:val="231F20"/>
                <w:sz w:val="17"/>
              </w:rPr>
              <w:t>828</w:t>
            </w:r>
          </w:p>
        </w:tc>
        <w:tc>
          <w:tcPr>
            <w:tcW w:w="1344" w:type="dxa"/>
            <w:tcBorders>
              <w:top w:val="double" w:sz="7" w:space="0" w:color="231F20"/>
              <w:bottom w:val="single" w:sz="4" w:space="0" w:color="AAACAF"/>
            </w:tcBorders>
          </w:tcPr>
          <w:p>
            <w:pPr>
              <w:pStyle w:val="TableParagraph"/>
              <w:spacing w:before="76"/>
              <w:ind w:left="802"/>
              <w:rPr>
                <w:rFonts w:ascii="Book Antiqua"/>
                <w:sz w:val="17"/>
              </w:rPr>
            </w:pPr>
            <w:r>
              <w:rPr>
                <w:rFonts w:ascii="Book Antiqua"/>
                <w:color w:val="231F20"/>
                <w:sz w:val="17"/>
              </w:rPr>
              <w:t>1, 018</w:t>
            </w:r>
          </w:p>
        </w:tc>
      </w:tr>
      <w:tr>
        <w:trPr>
          <w:trHeight w:val="300" w:hRule="exact"/>
        </w:trPr>
        <w:tc>
          <w:tcPr>
            <w:tcW w:w="313" w:type="dxa"/>
          </w:tcPr>
          <w:p>
            <w:pPr/>
          </w:p>
        </w:tc>
        <w:tc>
          <w:tcPr>
            <w:tcW w:w="5777" w:type="dxa"/>
            <w:tcBorders>
              <w:top w:val="single" w:sz="4" w:space="0" w:color="AAACAF"/>
              <w:bottom w:val="single" w:sz="4" w:space="0" w:color="231F20"/>
            </w:tcBorders>
          </w:tcPr>
          <w:p>
            <w:pPr>
              <w:pStyle w:val="TableParagraph"/>
              <w:tabs>
                <w:tab w:pos="5243" w:val="right" w:leader="none"/>
              </w:tabs>
              <w:spacing w:before="98"/>
              <w:ind w:left="187"/>
              <w:rPr>
                <w:rFonts w:ascii="Book Antiqua"/>
                <w:sz w:val="17"/>
              </w:rPr>
            </w:pPr>
            <w:r>
              <w:rPr>
                <w:rFonts w:ascii="Book Antiqua"/>
                <w:color w:val="231F20"/>
                <w:sz w:val="17"/>
              </w:rPr>
              <w:t>Provision for</w:t>
            </w:r>
            <w:r>
              <w:rPr>
                <w:rFonts w:ascii="Book Antiqua"/>
                <w:color w:val="231F20"/>
                <w:spacing w:val="1"/>
                <w:sz w:val="17"/>
              </w:rPr>
              <w:t> </w:t>
            </w:r>
            <w:r>
              <w:rPr>
                <w:rFonts w:ascii="Book Antiqua"/>
                <w:color w:val="231F20"/>
                <w:sz w:val="17"/>
              </w:rPr>
              <w:t>income</w:t>
            </w:r>
            <w:r>
              <w:rPr>
                <w:rFonts w:ascii="Book Antiqua"/>
                <w:color w:val="231F20"/>
                <w:spacing w:val="5"/>
                <w:sz w:val="17"/>
              </w:rPr>
              <w:t> </w:t>
            </w:r>
            <w:r>
              <w:rPr>
                <w:rFonts w:ascii="Book Antiqua"/>
                <w:color w:val="231F20"/>
                <w:sz w:val="17"/>
              </w:rPr>
              <w:t>taxes</w:t>
              <w:tab/>
            </w:r>
            <w:r>
              <w:rPr>
                <w:rFonts w:ascii="Book Antiqua"/>
                <w:color w:val="231F20"/>
                <w:spacing w:val="-5"/>
                <w:sz w:val="17"/>
              </w:rPr>
              <w:t>266</w:t>
            </w:r>
          </w:p>
        </w:tc>
        <w:tc>
          <w:tcPr>
            <w:tcW w:w="1781" w:type="dxa"/>
            <w:tcBorders>
              <w:top w:val="single" w:sz="4" w:space="0" w:color="AAACAF"/>
              <w:bottom w:val="double" w:sz="7" w:space="0" w:color="231F20"/>
            </w:tcBorders>
          </w:tcPr>
          <w:p>
            <w:pPr>
              <w:pStyle w:val="TableParagraph"/>
              <w:spacing w:line="209" w:lineRule="exact" w:before="98"/>
              <w:ind w:right="535"/>
              <w:jc w:val="right"/>
              <w:rPr>
                <w:rFonts w:ascii="Book Antiqua"/>
                <w:sz w:val="17"/>
              </w:rPr>
            </w:pPr>
            <w:r>
              <w:rPr>
                <w:rFonts w:ascii="Book Antiqua"/>
                <w:color w:val="231F20"/>
                <w:sz w:val="17"/>
              </w:rPr>
              <w:t>152</w:t>
            </w:r>
          </w:p>
        </w:tc>
        <w:tc>
          <w:tcPr>
            <w:tcW w:w="1726" w:type="dxa"/>
            <w:tcBorders>
              <w:top w:val="single" w:sz="4" w:space="0" w:color="AAACAF"/>
              <w:bottom w:val="double" w:sz="7" w:space="0" w:color="231F20"/>
            </w:tcBorders>
          </w:tcPr>
          <w:p>
            <w:pPr>
              <w:pStyle w:val="TableParagraph"/>
              <w:spacing w:line="209" w:lineRule="exact" w:before="98"/>
              <w:ind w:right="499"/>
              <w:jc w:val="right"/>
              <w:rPr>
                <w:rFonts w:ascii="Book Antiqua"/>
                <w:sz w:val="17"/>
              </w:rPr>
            </w:pPr>
            <w:r>
              <w:rPr>
                <w:rFonts w:ascii="Book Antiqua"/>
                <w:color w:val="231F20"/>
                <w:sz w:val="17"/>
              </w:rPr>
              <w:t>317</w:t>
            </w:r>
          </w:p>
        </w:tc>
        <w:tc>
          <w:tcPr>
            <w:tcW w:w="1344" w:type="dxa"/>
            <w:tcBorders>
              <w:top w:val="single" w:sz="4" w:space="0" w:color="AAACAF"/>
              <w:bottom w:val="double" w:sz="7" w:space="0" w:color="231F20"/>
            </w:tcBorders>
          </w:tcPr>
          <w:p>
            <w:pPr>
              <w:pStyle w:val="TableParagraph"/>
              <w:spacing w:line="210" w:lineRule="exact" w:before="98"/>
              <w:ind w:right="162"/>
              <w:jc w:val="right"/>
              <w:rPr>
                <w:rFonts w:ascii="Book Antiqua"/>
                <w:sz w:val="17"/>
              </w:rPr>
            </w:pPr>
            <w:r>
              <w:rPr>
                <w:rFonts w:ascii="Book Antiqua"/>
                <w:color w:val="231F20"/>
                <w:sz w:val="17"/>
              </w:rPr>
              <w:t>392</w:t>
            </w:r>
          </w:p>
        </w:tc>
      </w:tr>
      <w:tr>
        <w:trPr>
          <w:trHeight w:val="300" w:hRule="exact"/>
        </w:trPr>
        <w:tc>
          <w:tcPr>
            <w:tcW w:w="313" w:type="dxa"/>
          </w:tcPr>
          <w:p>
            <w:pPr/>
          </w:p>
        </w:tc>
        <w:tc>
          <w:tcPr>
            <w:tcW w:w="5777" w:type="dxa"/>
            <w:tcBorders>
              <w:top w:val="single" w:sz="4" w:space="0" w:color="231F20"/>
              <w:bottom w:val="single" w:sz="8" w:space="0" w:color="231F20"/>
            </w:tcBorders>
          </w:tcPr>
          <w:p>
            <w:pPr>
              <w:pStyle w:val="TableParagraph"/>
              <w:tabs>
                <w:tab w:pos="4429" w:val="left" w:leader="none"/>
                <w:tab w:pos="5242" w:val="right" w:leader="none"/>
              </w:tabs>
              <w:spacing w:before="98"/>
              <w:ind w:left="339"/>
              <w:rPr>
                <w:rFonts w:ascii="Book Antiqua"/>
                <w:sz w:val="17"/>
              </w:rPr>
            </w:pPr>
            <w:r>
              <w:rPr>
                <w:rFonts w:ascii="Book Antiqua"/>
                <w:color w:val="231F20"/>
                <w:sz w:val="17"/>
              </w:rPr>
              <w:t>Net</w:t>
            </w:r>
            <w:r>
              <w:rPr>
                <w:rFonts w:ascii="Book Antiqua"/>
                <w:color w:val="231F20"/>
                <w:spacing w:val="-8"/>
                <w:sz w:val="17"/>
              </w:rPr>
              <w:t> </w:t>
            </w:r>
            <w:r>
              <w:rPr>
                <w:rFonts w:ascii="Book Antiqua"/>
                <w:color w:val="231F20"/>
                <w:sz w:val="17"/>
              </w:rPr>
              <w:t>income</w:t>
            </w:r>
            <w:r>
              <w:rPr>
                <w:rFonts w:ascii="Book Antiqua"/>
                <w:color w:val="231F20"/>
                <w:spacing w:val="-30"/>
                <w:sz w:val="17"/>
              </w:rPr>
              <w:t> </w:t>
            </w:r>
            <w:r>
              <w:rPr>
                <w:rFonts w:ascii="Book Antiqua"/>
                <w:color w:val="231F20"/>
                <w:spacing w:val="-3"/>
                <w:position w:val="6"/>
                <w:sz w:val="8"/>
              </w:rPr>
              <w:t>(1)</w:t>
              <w:tab/>
            </w:r>
            <w:r>
              <w:rPr>
                <w:rFonts w:ascii="Book Antiqua"/>
                <w:color w:val="231F20"/>
                <w:sz w:val="17"/>
              </w:rPr>
              <w:t>$</w:t>
              <w:tab/>
            </w:r>
            <w:r>
              <w:rPr>
                <w:rFonts w:ascii="Book Antiqua"/>
                <w:color w:val="231F20"/>
                <w:spacing w:val="-3"/>
                <w:sz w:val="17"/>
              </w:rPr>
              <w:t>442</w:t>
            </w:r>
          </w:p>
        </w:tc>
        <w:tc>
          <w:tcPr>
            <w:tcW w:w="1781" w:type="dxa"/>
            <w:tcBorders>
              <w:top w:val="double" w:sz="7" w:space="0" w:color="231F20"/>
              <w:bottom w:val="thickThinMediumGap" w:sz="11" w:space="0" w:color="231F20"/>
            </w:tcBorders>
          </w:tcPr>
          <w:p>
            <w:pPr>
              <w:pStyle w:val="TableParagraph"/>
              <w:tabs>
                <w:tab w:pos="1000" w:val="left" w:leader="none"/>
              </w:tabs>
              <w:spacing w:line="209" w:lineRule="exact" w:before="75"/>
              <w:ind w:left="420"/>
              <w:rPr>
                <w:rFonts w:ascii="Book Antiqua"/>
                <w:sz w:val="17"/>
              </w:rPr>
            </w:pPr>
            <w:r>
              <w:rPr>
                <w:rFonts w:ascii="Book Antiqua"/>
                <w:color w:val="231F20"/>
                <w:sz w:val="17"/>
              </w:rPr>
              <w:t>$</w:t>
              <w:tab/>
            </w:r>
            <w:r>
              <w:rPr>
                <w:rFonts w:ascii="Book Antiqua"/>
                <w:color w:val="231F20"/>
                <w:spacing w:val="-5"/>
                <w:sz w:val="17"/>
              </w:rPr>
              <w:t>241</w:t>
            </w:r>
          </w:p>
        </w:tc>
        <w:tc>
          <w:tcPr>
            <w:tcW w:w="1726" w:type="dxa"/>
            <w:tcBorders>
              <w:top w:val="double" w:sz="7" w:space="0" w:color="231F20"/>
              <w:bottom w:val="thickThinMediumGap" w:sz="11" w:space="0" w:color="231F20"/>
            </w:tcBorders>
          </w:tcPr>
          <w:p>
            <w:pPr>
              <w:pStyle w:val="TableParagraph"/>
              <w:tabs>
                <w:tab w:pos="990" w:val="left" w:leader="none"/>
              </w:tabs>
              <w:spacing w:line="209" w:lineRule="exact" w:before="75"/>
              <w:ind w:left="399"/>
              <w:rPr>
                <w:rFonts w:ascii="Book Antiqua"/>
                <w:sz w:val="17"/>
              </w:rPr>
            </w:pPr>
            <w:r>
              <w:rPr>
                <w:rFonts w:ascii="Book Antiqua"/>
                <w:color w:val="231F20"/>
                <w:sz w:val="17"/>
              </w:rPr>
              <w:t>$</w:t>
              <w:tab/>
            </w:r>
            <w:r>
              <w:rPr>
                <w:rFonts w:ascii="Book Antiqua"/>
                <w:color w:val="231F20"/>
                <w:spacing w:val="-5"/>
                <w:sz w:val="17"/>
              </w:rPr>
              <w:t>511</w:t>
            </w:r>
          </w:p>
        </w:tc>
        <w:tc>
          <w:tcPr>
            <w:tcW w:w="1344" w:type="dxa"/>
            <w:tcBorders>
              <w:top w:val="double" w:sz="7" w:space="0" w:color="231F20"/>
              <w:bottom w:val="thickThinMediumGap" w:sz="12" w:space="0" w:color="231F20"/>
            </w:tcBorders>
          </w:tcPr>
          <w:p>
            <w:pPr>
              <w:pStyle w:val="TableParagraph"/>
              <w:tabs>
                <w:tab w:pos="941" w:val="left" w:leader="none"/>
              </w:tabs>
              <w:spacing w:line="208" w:lineRule="exact" w:before="75"/>
              <w:ind w:left="360"/>
              <w:rPr>
                <w:rFonts w:ascii="Book Antiqua"/>
                <w:sz w:val="17"/>
              </w:rPr>
            </w:pPr>
            <w:r>
              <w:rPr>
                <w:rFonts w:ascii="Book Antiqua"/>
                <w:color w:val="231F20"/>
                <w:sz w:val="17"/>
              </w:rPr>
              <w:t>$</w:t>
              <w:tab/>
            </w:r>
            <w:r>
              <w:rPr>
                <w:rFonts w:ascii="Book Antiqua"/>
                <w:color w:val="231F20"/>
                <w:spacing w:val="-7"/>
                <w:sz w:val="17"/>
              </w:rPr>
              <w:t>626</w:t>
            </w:r>
          </w:p>
        </w:tc>
      </w:tr>
      <w:tr>
        <w:trPr>
          <w:trHeight w:val="300" w:hRule="exact"/>
        </w:trPr>
        <w:tc>
          <w:tcPr>
            <w:tcW w:w="313" w:type="dxa"/>
          </w:tcPr>
          <w:p>
            <w:pPr/>
          </w:p>
        </w:tc>
        <w:tc>
          <w:tcPr>
            <w:tcW w:w="5777" w:type="dxa"/>
            <w:tcBorders>
              <w:top w:val="single" w:sz="8" w:space="0" w:color="231F20"/>
              <w:bottom w:val="single" w:sz="4" w:space="0" w:color="AAACAF"/>
            </w:tcBorders>
          </w:tcPr>
          <w:p>
            <w:pPr>
              <w:pStyle w:val="TableParagraph"/>
              <w:tabs>
                <w:tab w:pos="4952" w:val="left" w:leader="none"/>
              </w:tabs>
              <w:spacing w:before="93"/>
              <w:ind w:left="187"/>
              <w:rPr>
                <w:rFonts w:ascii="Book Antiqua"/>
                <w:sz w:val="17"/>
              </w:rPr>
            </w:pPr>
            <w:r>
              <w:rPr>
                <w:rFonts w:ascii="Book Antiqua"/>
                <w:color w:val="231F20"/>
                <w:sz w:val="17"/>
              </w:rPr>
              <w:t>Net</w:t>
            </w:r>
            <w:r>
              <w:rPr>
                <w:rFonts w:ascii="Book Antiqua"/>
                <w:color w:val="231F20"/>
                <w:spacing w:val="-16"/>
                <w:sz w:val="17"/>
              </w:rPr>
              <w:t> </w:t>
            </w:r>
            <w:r>
              <w:rPr>
                <w:rFonts w:ascii="Book Antiqua"/>
                <w:color w:val="231F20"/>
                <w:sz w:val="17"/>
              </w:rPr>
              <w:t>income</w:t>
            </w:r>
            <w:r>
              <w:rPr>
                <w:rFonts w:ascii="Book Antiqua"/>
                <w:color w:val="231F20"/>
                <w:spacing w:val="-12"/>
                <w:sz w:val="17"/>
              </w:rPr>
              <w:t> </w:t>
            </w:r>
            <w:r>
              <w:rPr>
                <w:rFonts w:ascii="Book Antiqua"/>
                <w:color w:val="231F20"/>
                <w:sz w:val="17"/>
              </w:rPr>
              <w:t>per</w:t>
            </w:r>
            <w:r>
              <w:rPr>
                <w:rFonts w:ascii="Book Antiqua"/>
                <w:color w:val="231F20"/>
                <w:spacing w:val="-18"/>
                <w:sz w:val="17"/>
              </w:rPr>
              <w:t> </w:t>
            </w:r>
            <w:r>
              <w:rPr>
                <w:rFonts w:ascii="Book Antiqua"/>
                <w:color w:val="231F20"/>
                <w:sz w:val="17"/>
              </w:rPr>
              <w:t>share,</w:t>
            </w:r>
            <w:r>
              <w:rPr>
                <w:rFonts w:ascii="Book Antiqua"/>
                <w:color w:val="231F20"/>
                <w:spacing w:val="-16"/>
                <w:sz w:val="17"/>
              </w:rPr>
              <w:t> </w:t>
            </w:r>
            <w:r>
              <w:rPr>
                <w:rFonts w:ascii="Book Antiqua"/>
                <w:color w:val="231F20"/>
                <w:sz w:val="17"/>
              </w:rPr>
              <w:t>basic</w:t>
            </w:r>
            <w:r>
              <w:rPr>
                <w:rFonts w:ascii="Book Antiqua"/>
                <w:color w:val="231F20"/>
                <w:spacing w:val="-33"/>
                <w:sz w:val="17"/>
              </w:rPr>
              <w:t> </w:t>
            </w:r>
            <w:r>
              <w:rPr>
                <w:rFonts w:ascii="Book Antiqua"/>
                <w:color w:val="231F20"/>
                <w:spacing w:val="-3"/>
                <w:position w:val="6"/>
                <w:sz w:val="8"/>
              </w:rPr>
              <w:t>(1)</w:t>
              <w:tab/>
            </w:r>
            <w:r>
              <w:rPr>
                <w:rFonts w:ascii="Book Antiqua"/>
                <w:color w:val="231F20"/>
                <w:sz w:val="17"/>
              </w:rPr>
              <w:t>$.56</w:t>
            </w:r>
          </w:p>
        </w:tc>
        <w:tc>
          <w:tcPr>
            <w:tcW w:w="1781" w:type="dxa"/>
            <w:tcBorders>
              <w:top w:val="thinThickMediumGap" w:sz="11" w:space="0" w:color="231F20"/>
              <w:bottom w:val="single" w:sz="4" w:space="0" w:color="AAACAF"/>
            </w:tcBorders>
          </w:tcPr>
          <w:p>
            <w:pPr>
              <w:pStyle w:val="TableParagraph"/>
              <w:spacing w:before="74"/>
              <w:ind w:right="536"/>
              <w:jc w:val="right"/>
              <w:rPr>
                <w:rFonts w:ascii="Book Antiqua"/>
                <w:sz w:val="17"/>
              </w:rPr>
            </w:pPr>
            <w:r>
              <w:rPr>
                <w:rFonts w:ascii="Book Antiqua"/>
                <w:color w:val="231F20"/>
                <w:w w:val="95"/>
                <w:sz w:val="17"/>
              </w:rPr>
              <w:t>$.31</w:t>
            </w:r>
          </w:p>
        </w:tc>
        <w:tc>
          <w:tcPr>
            <w:tcW w:w="1726" w:type="dxa"/>
            <w:tcBorders>
              <w:top w:val="thinThickMediumGap" w:sz="11" w:space="0" w:color="231F20"/>
              <w:bottom w:val="single" w:sz="4" w:space="0" w:color="AAACAF"/>
            </w:tcBorders>
          </w:tcPr>
          <w:p>
            <w:pPr>
              <w:pStyle w:val="TableParagraph"/>
              <w:spacing w:before="74"/>
              <w:ind w:right="499"/>
              <w:jc w:val="right"/>
              <w:rPr>
                <w:rFonts w:ascii="Book Antiqua"/>
                <w:sz w:val="17"/>
              </w:rPr>
            </w:pPr>
            <w:r>
              <w:rPr>
                <w:rFonts w:ascii="Book Antiqua"/>
                <w:color w:val="231F20"/>
                <w:w w:val="95"/>
                <w:sz w:val="17"/>
              </w:rPr>
              <w:t>$.67</w:t>
            </w:r>
          </w:p>
        </w:tc>
        <w:tc>
          <w:tcPr>
            <w:tcW w:w="1344" w:type="dxa"/>
            <w:tcBorders>
              <w:top w:val="thinThickMediumGap" w:sz="12" w:space="0" w:color="231F20"/>
              <w:bottom w:val="single" w:sz="4" w:space="0" w:color="AAACAF"/>
            </w:tcBorders>
          </w:tcPr>
          <w:p>
            <w:pPr>
              <w:pStyle w:val="TableParagraph"/>
              <w:spacing w:before="74"/>
              <w:ind w:left="888"/>
              <w:rPr>
                <w:rFonts w:ascii="Book Antiqua"/>
                <w:sz w:val="17"/>
              </w:rPr>
            </w:pPr>
            <w:r>
              <w:rPr>
                <w:rFonts w:ascii="Book Antiqua"/>
                <w:color w:val="231F20"/>
                <w:sz w:val="17"/>
              </w:rPr>
              <w:t>$.84</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952" w:val="left" w:leader="none"/>
              </w:tabs>
              <w:spacing w:before="98"/>
              <w:ind w:left="187"/>
              <w:rPr>
                <w:rFonts w:ascii="Book Antiqua"/>
                <w:sz w:val="17"/>
              </w:rPr>
            </w:pPr>
            <w:r>
              <w:rPr>
                <w:rFonts w:ascii="Book Antiqua"/>
                <w:color w:val="231F20"/>
                <w:sz w:val="17"/>
              </w:rPr>
              <w:t>Net</w:t>
            </w:r>
            <w:r>
              <w:rPr>
                <w:rFonts w:ascii="Book Antiqua"/>
                <w:color w:val="231F20"/>
                <w:spacing w:val="-21"/>
                <w:sz w:val="17"/>
              </w:rPr>
              <w:t> </w:t>
            </w:r>
            <w:r>
              <w:rPr>
                <w:rFonts w:ascii="Book Antiqua"/>
                <w:color w:val="231F20"/>
                <w:sz w:val="17"/>
              </w:rPr>
              <w:t>income</w:t>
            </w:r>
            <w:r>
              <w:rPr>
                <w:rFonts w:ascii="Book Antiqua"/>
                <w:color w:val="231F20"/>
                <w:spacing w:val="-17"/>
                <w:sz w:val="17"/>
              </w:rPr>
              <w:t> </w:t>
            </w:r>
            <w:r>
              <w:rPr>
                <w:rFonts w:ascii="Book Antiqua"/>
                <w:color w:val="231F20"/>
                <w:sz w:val="17"/>
              </w:rPr>
              <w:t>per</w:t>
            </w:r>
            <w:r>
              <w:rPr>
                <w:rFonts w:ascii="Book Antiqua"/>
                <w:color w:val="231F20"/>
                <w:spacing w:val="-22"/>
                <w:sz w:val="17"/>
              </w:rPr>
              <w:t> </w:t>
            </w:r>
            <w:r>
              <w:rPr>
                <w:rFonts w:ascii="Book Antiqua"/>
                <w:color w:val="231F20"/>
                <w:sz w:val="17"/>
              </w:rPr>
              <w:t>share,</w:t>
            </w:r>
            <w:r>
              <w:rPr>
                <w:rFonts w:ascii="Book Antiqua"/>
                <w:color w:val="231F20"/>
                <w:spacing w:val="-20"/>
                <w:sz w:val="17"/>
              </w:rPr>
              <w:t> </w:t>
            </w:r>
            <w:r>
              <w:rPr>
                <w:rFonts w:ascii="Book Antiqua"/>
                <w:color w:val="231F20"/>
                <w:sz w:val="17"/>
              </w:rPr>
              <w:t>diluted</w:t>
            </w:r>
            <w:r>
              <w:rPr>
                <w:rFonts w:ascii="Book Antiqua"/>
                <w:color w:val="231F20"/>
                <w:spacing w:val="-35"/>
                <w:sz w:val="17"/>
              </w:rPr>
              <w:t> </w:t>
            </w:r>
            <w:r>
              <w:rPr>
                <w:rFonts w:ascii="Book Antiqua"/>
                <w:color w:val="231F20"/>
                <w:spacing w:val="-3"/>
                <w:position w:val="6"/>
                <w:sz w:val="8"/>
              </w:rPr>
              <w:t>(1)</w:t>
              <w:tab/>
            </w:r>
            <w:r>
              <w:rPr>
                <w:rFonts w:ascii="Book Antiqua"/>
                <w:color w:val="231F20"/>
                <w:sz w:val="17"/>
              </w:rPr>
              <w:t>$.54</w:t>
            </w:r>
          </w:p>
        </w:tc>
        <w:tc>
          <w:tcPr>
            <w:tcW w:w="1781" w:type="dxa"/>
            <w:tcBorders>
              <w:top w:val="single" w:sz="4" w:space="0" w:color="AAACAF"/>
              <w:bottom w:val="single" w:sz="4" w:space="0" w:color="AAACAF"/>
            </w:tcBorders>
          </w:tcPr>
          <w:p>
            <w:pPr>
              <w:pStyle w:val="TableParagraph"/>
              <w:spacing w:before="98"/>
              <w:ind w:right="536"/>
              <w:jc w:val="right"/>
              <w:rPr>
                <w:rFonts w:ascii="Book Antiqua"/>
                <w:sz w:val="17"/>
              </w:rPr>
            </w:pPr>
            <w:r>
              <w:rPr>
                <w:rFonts w:ascii="Book Antiqua"/>
                <w:color w:val="231F20"/>
                <w:w w:val="95"/>
                <w:sz w:val="17"/>
              </w:rPr>
              <w:t>$.30</w:t>
            </w:r>
          </w:p>
        </w:tc>
        <w:tc>
          <w:tcPr>
            <w:tcW w:w="1726" w:type="dxa"/>
            <w:tcBorders>
              <w:top w:val="single" w:sz="4" w:space="0" w:color="AAACAF"/>
              <w:bottom w:val="single" w:sz="4" w:space="0" w:color="AAACAF"/>
            </w:tcBorders>
          </w:tcPr>
          <w:p>
            <w:pPr>
              <w:pStyle w:val="TableParagraph"/>
              <w:spacing w:before="98"/>
              <w:ind w:right="497"/>
              <w:jc w:val="right"/>
              <w:rPr>
                <w:rFonts w:ascii="Book Antiqua"/>
                <w:sz w:val="17"/>
              </w:rPr>
            </w:pPr>
            <w:r>
              <w:rPr>
                <w:rFonts w:ascii="Book Antiqua"/>
                <w:color w:val="231F20"/>
                <w:w w:val="95"/>
                <w:sz w:val="17"/>
              </w:rPr>
              <w:t>$.63</w:t>
            </w:r>
          </w:p>
        </w:tc>
        <w:tc>
          <w:tcPr>
            <w:tcW w:w="1344" w:type="dxa"/>
            <w:tcBorders>
              <w:top w:val="single" w:sz="4" w:space="0" w:color="AAACAF"/>
              <w:bottom w:val="single" w:sz="4" w:space="0" w:color="AAACAF"/>
            </w:tcBorders>
          </w:tcPr>
          <w:p>
            <w:pPr>
              <w:pStyle w:val="TableParagraph"/>
              <w:spacing w:before="98"/>
              <w:ind w:left="888"/>
              <w:rPr>
                <w:rFonts w:ascii="Book Antiqua"/>
                <w:sz w:val="17"/>
              </w:rPr>
            </w:pPr>
            <w:r>
              <w:rPr>
                <w:rFonts w:ascii="Book Antiqua"/>
                <w:color w:val="231F20"/>
                <w:sz w:val="17"/>
              </w:rPr>
              <w:t>$.79</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803" w:val="left" w:leader="none"/>
              </w:tabs>
              <w:spacing w:before="98"/>
              <w:ind w:left="187"/>
              <w:rPr>
                <w:rFonts w:ascii="Book Antiqua"/>
                <w:sz w:val="17"/>
              </w:rPr>
            </w:pPr>
            <w:r>
              <w:rPr>
                <w:rFonts w:ascii="Book Antiqua"/>
                <w:color w:val="231F20"/>
                <w:sz w:val="17"/>
              </w:rPr>
              <w:t>Cash</w:t>
            </w:r>
            <w:r>
              <w:rPr>
                <w:rFonts w:ascii="Book Antiqua"/>
                <w:color w:val="231F20"/>
                <w:spacing w:val="-22"/>
                <w:sz w:val="17"/>
              </w:rPr>
              <w:t> </w:t>
            </w:r>
            <w:r>
              <w:rPr>
                <w:rFonts w:ascii="Book Antiqua"/>
                <w:color w:val="231F20"/>
                <w:sz w:val="17"/>
              </w:rPr>
              <w:t>dividends</w:t>
            </w:r>
            <w:r>
              <w:rPr>
                <w:rFonts w:ascii="Book Antiqua"/>
                <w:color w:val="231F20"/>
                <w:spacing w:val="-22"/>
                <w:sz w:val="17"/>
              </w:rPr>
              <w:t> </w:t>
            </w:r>
            <w:r>
              <w:rPr>
                <w:rFonts w:ascii="Book Antiqua"/>
                <w:color w:val="231F20"/>
                <w:sz w:val="17"/>
              </w:rPr>
              <w:t>per</w:t>
            </w:r>
            <w:r>
              <w:rPr>
                <w:rFonts w:ascii="Book Antiqua"/>
                <w:color w:val="231F20"/>
                <w:spacing w:val="-26"/>
                <w:sz w:val="17"/>
              </w:rPr>
              <w:t> </w:t>
            </w:r>
            <w:r>
              <w:rPr>
                <w:rFonts w:ascii="Book Antiqua"/>
                <w:color w:val="231F20"/>
                <w:sz w:val="17"/>
              </w:rPr>
              <w:t>common</w:t>
            </w:r>
            <w:r>
              <w:rPr>
                <w:rFonts w:ascii="Book Antiqua"/>
                <w:color w:val="231F20"/>
                <w:spacing w:val="-22"/>
                <w:sz w:val="17"/>
              </w:rPr>
              <w:t> </w:t>
            </w:r>
            <w:r>
              <w:rPr>
                <w:rFonts w:ascii="Book Antiqua"/>
                <w:color w:val="231F20"/>
                <w:sz w:val="17"/>
              </w:rPr>
              <w:t>share</w:t>
              <w:tab/>
            </w:r>
            <w:r>
              <w:rPr>
                <w:rFonts w:ascii="Book Antiqua"/>
                <w:color w:val="231F20"/>
                <w:spacing w:val="-4"/>
                <w:sz w:val="17"/>
              </w:rPr>
              <w:t>$.0180</w:t>
            </w:r>
          </w:p>
        </w:tc>
        <w:tc>
          <w:tcPr>
            <w:tcW w:w="1781" w:type="dxa"/>
            <w:tcBorders>
              <w:top w:val="single" w:sz="4" w:space="0" w:color="AAACAF"/>
              <w:bottom w:val="single" w:sz="4" w:space="0" w:color="AAACAF"/>
            </w:tcBorders>
          </w:tcPr>
          <w:p>
            <w:pPr>
              <w:pStyle w:val="TableParagraph"/>
              <w:spacing w:before="98"/>
              <w:ind w:left="804"/>
              <w:rPr>
                <w:rFonts w:ascii="Book Antiqua"/>
                <w:sz w:val="17"/>
              </w:rPr>
            </w:pPr>
            <w:r>
              <w:rPr>
                <w:rFonts w:ascii="Book Antiqua"/>
                <w:color w:val="231F20"/>
                <w:sz w:val="17"/>
              </w:rPr>
              <w:t>$.0180</w:t>
            </w:r>
          </w:p>
        </w:tc>
        <w:tc>
          <w:tcPr>
            <w:tcW w:w="1726" w:type="dxa"/>
            <w:tcBorders>
              <w:top w:val="single" w:sz="4" w:space="0" w:color="AAACAF"/>
              <w:bottom w:val="single" w:sz="4" w:space="0" w:color="AAACAF"/>
            </w:tcBorders>
          </w:tcPr>
          <w:p>
            <w:pPr>
              <w:pStyle w:val="TableParagraph"/>
              <w:spacing w:before="98"/>
              <w:ind w:left="787"/>
              <w:rPr>
                <w:rFonts w:ascii="Book Antiqua"/>
                <w:sz w:val="17"/>
              </w:rPr>
            </w:pPr>
            <w:r>
              <w:rPr>
                <w:rFonts w:ascii="Book Antiqua"/>
                <w:color w:val="231F20"/>
                <w:sz w:val="17"/>
              </w:rPr>
              <w:t>$.0180</w:t>
            </w:r>
          </w:p>
        </w:tc>
        <w:tc>
          <w:tcPr>
            <w:tcW w:w="1344" w:type="dxa"/>
            <w:tcBorders>
              <w:top w:val="single" w:sz="4" w:space="0" w:color="AAACAF"/>
              <w:bottom w:val="single" w:sz="4" w:space="0" w:color="AAACAF"/>
            </w:tcBorders>
          </w:tcPr>
          <w:p>
            <w:pPr>
              <w:pStyle w:val="TableParagraph"/>
              <w:spacing w:before="98"/>
              <w:ind w:left="743"/>
              <w:rPr>
                <w:rFonts w:ascii="Book Antiqua"/>
                <w:sz w:val="17"/>
              </w:rPr>
            </w:pPr>
            <w:r>
              <w:rPr>
                <w:rFonts w:ascii="Book Antiqua"/>
                <w:color w:val="231F20"/>
                <w:sz w:val="17"/>
              </w:rPr>
              <w:t>$.0148</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427" w:val="left" w:leader="none"/>
                <w:tab w:pos="4882" w:val="left" w:leader="none"/>
              </w:tabs>
              <w:spacing w:before="98"/>
              <w:ind w:left="187"/>
              <w:rPr>
                <w:rFonts w:ascii="Book Antiqua"/>
                <w:sz w:val="17"/>
              </w:rPr>
            </w:pPr>
            <w:r>
              <w:rPr>
                <w:rFonts w:ascii="Book Antiqua"/>
                <w:color w:val="231F20"/>
                <w:spacing w:val="-4"/>
                <w:sz w:val="17"/>
              </w:rPr>
              <w:t>Total</w:t>
            </w:r>
            <w:r>
              <w:rPr>
                <w:rFonts w:ascii="Book Antiqua"/>
                <w:color w:val="231F20"/>
                <w:spacing w:val="-5"/>
                <w:sz w:val="17"/>
              </w:rPr>
              <w:t> </w:t>
            </w:r>
            <w:r>
              <w:rPr>
                <w:rFonts w:ascii="Book Antiqua"/>
                <w:color w:val="231F20"/>
                <w:sz w:val="17"/>
              </w:rPr>
              <w:t>assets</w:t>
              <w:tab/>
              <w:t>$</w:t>
              <w:tab/>
            </w:r>
            <w:r>
              <w:rPr>
                <w:rFonts w:ascii="Book Antiqua"/>
                <w:color w:val="231F20"/>
                <w:spacing w:val="-4"/>
                <w:sz w:val="17"/>
              </w:rPr>
              <w:t>9,878</w:t>
            </w:r>
          </w:p>
        </w:tc>
        <w:tc>
          <w:tcPr>
            <w:tcW w:w="1781" w:type="dxa"/>
            <w:tcBorders>
              <w:top w:val="single" w:sz="4" w:space="0" w:color="AAACAF"/>
              <w:bottom w:val="single" w:sz="4" w:space="0" w:color="AAACAF"/>
            </w:tcBorders>
          </w:tcPr>
          <w:p>
            <w:pPr>
              <w:pStyle w:val="TableParagraph"/>
              <w:tabs>
                <w:tab w:pos="873" w:val="left" w:leader="none"/>
              </w:tabs>
              <w:spacing w:before="98"/>
              <w:ind w:left="418"/>
              <w:rPr>
                <w:rFonts w:ascii="Book Antiqua"/>
                <w:sz w:val="17"/>
              </w:rPr>
            </w:pPr>
            <w:r>
              <w:rPr>
                <w:rFonts w:ascii="Book Antiqua"/>
                <w:color w:val="231F20"/>
                <w:sz w:val="17"/>
              </w:rPr>
              <w:t>$</w:t>
              <w:tab/>
              <w:t>8,954</w:t>
            </w:r>
          </w:p>
        </w:tc>
        <w:tc>
          <w:tcPr>
            <w:tcW w:w="1726" w:type="dxa"/>
            <w:tcBorders>
              <w:top w:val="single" w:sz="4" w:space="0" w:color="AAACAF"/>
              <w:bottom w:val="single" w:sz="4" w:space="0" w:color="AAACAF"/>
            </w:tcBorders>
          </w:tcPr>
          <w:p>
            <w:pPr>
              <w:pStyle w:val="TableParagraph"/>
              <w:tabs>
                <w:tab w:pos="859" w:val="left" w:leader="none"/>
              </w:tabs>
              <w:spacing w:before="98"/>
              <w:ind w:left="409"/>
              <w:rPr>
                <w:rFonts w:ascii="Book Antiqua"/>
                <w:sz w:val="17"/>
              </w:rPr>
            </w:pPr>
            <w:r>
              <w:rPr>
                <w:rFonts w:ascii="Book Antiqua"/>
                <w:color w:val="231F20"/>
                <w:sz w:val="17"/>
              </w:rPr>
              <w:t>$</w:t>
              <w:tab/>
              <w:t>8,997</w:t>
            </w:r>
          </w:p>
        </w:tc>
        <w:tc>
          <w:tcPr>
            <w:tcW w:w="1344" w:type="dxa"/>
            <w:tcBorders>
              <w:top w:val="single" w:sz="4" w:space="0" w:color="AAACAF"/>
              <w:bottom w:val="single" w:sz="4" w:space="0" w:color="AAACAF"/>
            </w:tcBorders>
          </w:tcPr>
          <w:p>
            <w:pPr>
              <w:pStyle w:val="TableParagraph"/>
              <w:tabs>
                <w:tab w:pos="794" w:val="left" w:leader="none"/>
              </w:tabs>
              <w:spacing w:before="98"/>
              <w:ind w:left="360"/>
              <w:rPr>
                <w:rFonts w:ascii="Book Antiqua"/>
                <w:sz w:val="17"/>
              </w:rPr>
            </w:pPr>
            <w:r>
              <w:rPr>
                <w:rFonts w:ascii="Book Antiqua"/>
                <w:color w:val="231F20"/>
                <w:sz w:val="17"/>
              </w:rPr>
              <w:t>$</w:t>
              <w:tab/>
            </w:r>
            <w:r>
              <w:rPr>
                <w:rFonts w:ascii="Book Antiqua"/>
                <w:color w:val="231F20"/>
                <w:spacing w:val="3"/>
                <w:sz w:val="17"/>
              </w:rPr>
              <w:t>6,</w:t>
            </w:r>
            <w:r>
              <w:rPr>
                <w:rFonts w:ascii="Book Antiqua"/>
                <w:color w:val="231F20"/>
                <w:spacing w:val="-35"/>
                <w:sz w:val="17"/>
              </w:rPr>
              <w:t> </w:t>
            </w:r>
            <w:r>
              <w:rPr>
                <w:rFonts w:ascii="Book Antiqua"/>
                <w:color w:val="231F20"/>
                <w:spacing w:val="-5"/>
                <w:sz w:val="17"/>
              </w:rPr>
              <w:t>670</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428" w:val="left" w:leader="none"/>
                <w:tab w:pos="4883" w:val="left" w:leader="none"/>
              </w:tabs>
              <w:spacing w:before="98"/>
              <w:ind w:left="187"/>
              <w:rPr>
                <w:rFonts w:ascii="Book Antiqua"/>
                <w:sz w:val="17"/>
              </w:rPr>
            </w:pPr>
            <w:r>
              <w:rPr>
                <w:rFonts w:ascii="Book Antiqua"/>
                <w:color w:val="231F20"/>
                <w:sz w:val="17"/>
              </w:rPr>
              <w:t>Long-term</w:t>
            </w:r>
            <w:r>
              <w:rPr>
                <w:rFonts w:ascii="Book Antiqua"/>
                <w:color w:val="231F20"/>
                <w:spacing w:val="-25"/>
                <w:sz w:val="17"/>
              </w:rPr>
              <w:t> </w:t>
            </w:r>
            <w:r>
              <w:rPr>
                <w:rFonts w:ascii="Book Antiqua"/>
                <w:color w:val="231F20"/>
                <w:sz w:val="17"/>
              </w:rPr>
              <w:t>debt</w:t>
            </w:r>
            <w:r>
              <w:rPr>
                <w:rFonts w:ascii="Book Antiqua"/>
                <w:color w:val="231F20"/>
                <w:spacing w:val="-27"/>
                <w:sz w:val="17"/>
              </w:rPr>
              <w:t> </w:t>
            </w:r>
            <w:r>
              <w:rPr>
                <w:rFonts w:ascii="Book Antiqua"/>
                <w:color w:val="231F20"/>
                <w:sz w:val="17"/>
              </w:rPr>
              <w:t>less</w:t>
            </w:r>
            <w:r>
              <w:rPr>
                <w:rFonts w:ascii="Book Antiqua"/>
                <w:color w:val="231F20"/>
                <w:spacing w:val="-25"/>
                <w:sz w:val="17"/>
              </w:rPr>
              <w:t> </w:t>
            </w:r>
            <w:r>
              <w:rPr>
                <w:rFonts w:ascii="Book Antiqua"/>
                <w:color w:val="231F20"/>
                <w:sz w:val="17"/>
              </w:rPr>
              <w:t>current</w:t>
            </w:r>
            <w:r>
              <w:rPr>
                <w:rFonts w:ascii="Book Antiqua"/>
                <w:color w:val="231F20"/>
                <w:spacing w:val="-27"/>
                <w:sz w:val="17"/>
              </w:rPr>
              <w:t> </w:t>
            </w:r>
            <w:r>
              <w:rPr>
                <w:rFonts w:ascii="Book Antiqua"/>
                <w:color w:val="231F20"/>
                <w:sz w:val="17"/>
              </w:rPr>
              <w:t>maturities</w:t>
              <w:tab/>
              <w:t>$</w:t>
              <w:tab/>
            </w:r>
            <w:r>
              <w:rPr>
                <w:rFonts w:ascii="Book Antiqua"/>
                <w:color w:val="231F20"/>
                <w:spacing w:val="-4"/>
                <w:sz w:val="17"/>
              </w:rPr>
              <w:t>1,332</w:t>
            </w:r>
          </w:p>
        </w:tc>
        <w:tc>
          <w:tcPr>
            <w:tcW w:w="1781" w:type="dxa"/>
            <w:tcBorders>
              <w:top w:val="single" w:sz="4" w:space="0" w:color="AAACAF"/>
              <w:bottom w:val="single" w:sz="4" w:space="0" w:color="AAACAF"/>
            </w:tcBorders>
          </w:tcPr>
          <w:p>
            <w:pPr>
              <w:pStyle w:val="TableParagraph"/>
              <w:tabs>
                <w:tab w:pos="874" w:val="left" w:leader="none"/>
              </w:tabs>
              <w:spacing w:before="98"/>
              <w:ind w:left="408"/>
              <w:rPr>
                <w:rFonts w:ascii="Book Antiqua"/>
                <w:sz w:val="17"/>
              </w:rPr>
            </w:pPr>
            <w:r>
              <w:rPr>
                <w:rFonts w:ascii="Book Antiqua"/>
                <w:color w:val="231F20"/>
                <w:sz w:val="17"/>
              </w:rPr>
              <w:t>$</w:t>
              <w:tab/>
              <w:t>1,553</w:t>
            </w:r>
          </w:p>
        </w:tc>
        <w:tc>
          <w:tcPr>
            <w:tcW w:w="1726" w:type="dxa"/>
            <w:tcBorders>
              <w:top w:val="single" w:sz="4" w:space="0" w:color="AAACAF"/>
              <w:bottom w:val="single" w:sz="4" w:space="0" w:color="AAACAF"/>
            </w:tcBorders>
          </w:tcPr>
          <w:p>
            <w:pPr>
              <w:pStyle w:val="TableParagraph"/>
              <w:tabs>
                <w:tab w:pos="860" w:val="left" w:leader="none"/>
              </w:tabs>
              <w:spacing w:before="98"/>
              <w:ind w:left="406"/>
              <w:rPr>
                <w:rFonts w:ascii="Book Antiqua"/>
                <w:sz w:val="17"/>
              </w:rPr>
            </w:pPr>
            <w:r>
              <w:rPr>
                <w:rFonts w:ascii="Book Antiqua"/>
                <w:color w:val="231F20"/>
                <w:sz w:val="17"/>
              </w:rPr>
              <w:t>$</w:t>
              <w:tab/>
              <w:t>1,327</w:t>
            </w:r>
          </w:p>
        </w:tc>
        <w:tc>
          <w:tcPr>
            <w:tcW w:w="1344" w:type="dxa"/>
            <w:tcBorders>
              <w:top w:val="single" w:sz="4" w:space="0" w:color="AAACAF"/>
              <w:bottom w:val="single" w:sz="4" w:space="0" w:color="AAACAF"/>
            </w:tcBorders>
          </w:tcPr>
          <w:p>
            <w:pPr>
              <w:pStyle w:val="TableParagraph"/>
              <w:tabs>
                <w:tab w:pos="948" w:val="left" w:leader="none"/>
              </w:tabs>
              <w:spacing w:before="98"/>
              <w:ind w:left="360"/>
              <w:rPr>
                <w:rFonts w:ascii="Book Antiqua"/>
                <w:sz w:val="17"/>
              </w:rPr>
            </w:pPr>
            <w:r>
              <w:rPr>
                <w:rFonts w:ascii="Book Antiqua"/>
                <w:color w:val="231F20"/>
                <w:sz w:val="17"/>
              </w:rPr>
              <w:t>$</w:t>
              <w:tab/>
            </w:r>
            <w:r>
              <w:rPr>
                <w:rFonts w:ascii="Book Antiqua"/>
                <w:color w:val="231F20"/>
                <w:spacing w:val="-9"/>
                <w:sz w:val="17"/>
              </w:rPr>
              <w:t>761</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432" w:val="left" w:leader="none"/>
                <w:tab w:pos="4883" w:val="left" w:leader="none"/>
              </w:tabs>
              <w:spacing w:before="98"/>
              <w:ind w:left="187"/>
              <w:rPr>
                <w:rFonts w:ascii="Book Antiqua" w:hAnsi="Book Antiqua"/>
                <w:sz w:val="17"/>
              </w:rPr>
            </w:pPr>
            <w:r>
              <w:rPr>
                <w:rFonts w:ascii="Book Antiqua" w:hAnsi="Book Antiqua"/>
                <w:color w:val="231F20"/>
                <w:w w:val="95"/>
                <w:sz w:val="17"/>
              </w:rPr>
              <w:t>Stockholders’</w:t>
            </w:r>
            <w:r>
              <w:rPr>
                <w:rFonts w:ascii="Book Antiqua" w:hAnsi="Book Antiqua"/>
                <w:color w:val="231F20"/>
                <w:spacing w:val="-11"/>
                <w:w w:val="95"/>
                <w:sz w:val="17"/>
              </w:rPr>
              <w:t> </w:t>
            </w:r>
            <w:r>
              <w:rPr>
                <w:rFonts w:ascii="Book Antiqua" w:hAnsi="Book Antiqua"/>
                <w:color w:val="231F20"/>
                <w:w w:val="95"/>
                <w:sz w:val="17"/>
              </w:rPr>
              <w:t>equity</w:t>
              <w:tab/>
            </w:r>
            <w:r>
              <w:rPr>
                <w:rFonts w:ascii="Book Antiqua" w:hAnsi="Book Antiqua"/>
                <w:color w:val="231F20"/>
                <w:sz w:val="17"/>
              </w:rPr>
              <w:t>$</w:t>
              <w:tab/>
            </w:r>
            <w:r>
              <w:rPr>
                <w:rFonts w:ascii="Book Antiqua" w:hAnsi="Book Antiqua"/>
                <w:color w:val="231F20"/>
                <w:spacing w:val="-4"/>
                <w:sz w:val="17"/>
              </w:rPr>
              <w:t>5,052</w:t>
            </w:r>
          </w:p>
        </w:tc>
        <w:tc>
          <w:tcPr>
            <w:tcW w:w="1781" w:type="dxa"/>
            <w:tcBorders>
              <w:top w:val="single" w:sz="4" w:space="0" w:color="AAACAF"/>
              <w:bottom w:val="single" w:sz="4" w:space="0" w:color="AAACAF"/>
            </w:tcBorders>
          </w:tcPr>
          <w:p>
            <w:pPr>
              <w:pStyle w:val="TableParagraph"/>
              <w:tabs>
                <w:tab w:pos="869" w:val="left" w:leader="none"/>
              </w:tabs>
              <w:spacing w:before="98"/>
              <w:ind w:left="418"/>
              <w:rPr>
                <w:rFonts w:ascii="Book Antiqua"/>
                <w:sz w:val="17"/>
              </w:rPr>
            </w:pPr>
            <w:r>
              <w:rPr>
                <w:rFonts w:ascii="Book Antiqua"/>
                <w:color w:val="231F20"/>
                <w:sz w:val="17"/>
              </w:rPr>
              <w:t>$</w:t>
              <w:tab/>
              <w:t>4,422</w:t>
            </w:r>
          </w:p>
        </w:tc>
        <w:tc>
          <w:tcPr>
            <w:tcW w:w="1726" w:type="dxa"/>
            <w:tcBorders>
              <w:top w:val="single" w:sz="4" w:space="0" w:color="AAACAF"/>
              <w:bottom w:val="single" w:sz="4" w:space="0" w:color="AAACAF"/>
            </w:tcBorders>
          </w:tcPr>
          <w:p>
            <w:pPr>
              <w:pStyle w:val="TableParagraph"/>
              <w:tabs>
                <w:tab w:pos="858" w:val="left" w:leader="none"/>
              </w:tabs>
              <w:spacing w:before="98"/>
              <w:ind w:left="406"/>
              <w:rPr>
                <w:rFonts w:ascii="Book Antiqua"/>
                <w:sz w:val="17"/>
              </w:rPr>
            </w:pPr>
            <w:r>
              <w:rPr>
                <w:rFonts w:ascii="Book Antiqua"/>
                <w:color w:val="231F20"/>
                <w:sz w:val="17"/>
              </w:rPr>
              <w:t>$</w:t>
              <w:tab/>
              <w:t>4,014</w:t>
            </w:r>
          </w:p>
        </w:tc>
        <w:tc>
          <w:tcPr>
            <w:tcW w:w="1344" w:type="dxa"/>
            <w:tcBorders>
              <w:top w:val="single" w:sz="4" w:space="0" w:color="AAACAF"/>
              <w:bottom w:val="single" w:sz="4" w:space="0" w:color="AAACAF"/>
            </w:tcBorders>
          </w:tcPr>
          <w:p>
            <w:pPr>
              <w:pStyle w:val="TableParagraph"/>
              <w:tabs>
                <w:tab w:pos="792" w:val="left" w:leader="none"/>
              </w:tabs>
              <w:spacing w:before="98"/>
              <w:ind w:left="360"/>
              <w:rPr>
                <w:rFonts w:ascii="Book Antiqua"/>
                <w:sz w:val="17"/>
              </w:rPr>
            </w:pPr>
            <w:r>
              <w:rPr>
                <w:rFonts w:ascii="Book Antiqua"/>
                <w:color w:val="231F20"/>
                <w:sz w:val="17"/>
              </w:rPr>
              <w:t>$</w:t>
              <w:tab/>
            </w:r>
            <w:r>
              <w:rPr>
                <w:rFonts w:ascii="Book Antiqua"/>
                <w:color w:val="231F20"/>
                <w:spacing w:val="4"/>
                <w:sz w:val="17"/>
              </w:rPr>
              <w:t>3,</w:t>
            </w:r>
            <w:r>
              <w:rPr>
                <w:rFonts w:ascii="Book Antiqua"/>
                <w:color w:val="231F20"/>
                <w:spacing w:val="-35"/>
                <w:sz w:val="17"/>
              </w:rPr>
              <w:t> </w:t>
            </w:r>
            <w:r>
              <w:rPr>
                <w:rFonts w:ascii="Book Antiqua"/>
                <w:color w:val="231F20"/>
                <w:spacing w:val="-5"/>
                <w:sz w:val="17"/>
              </w:rPr>
              <w:t>451</w:t>
            </w:r>
          </w:p>
        </w:tc>
      </w:tr>
      <w:tr>
        <w:trPr>
          <w:trHeight w:val="647" w:hRule="exact"/>
        </w:trPr>
        <w:tc>
          <w:tcPr>
            <w:tcW w:w="313" w:type="dxa"/>
          </w:tcPr>
          <w:p>
            <w:pPr/>
          </w:p>
        </w:tc>
        <w:tc>
          <w:tcPr>
            <w:tcW w:w="5777" w:type="dxa"/>
            <w:tcBorders>
              <w:top w:val="single" w:sz="4" w:space="0" w:color="AAACAF"/>
            </w:tcBorders>
          </w:tcPr>
          <w:p>
            <w:pPr>
              <w:pStyle w:val="TableParagraph"/>
              <w:rPr>
                <w:sz w:val="20"/>
              </w:rPr>
            </w:pPr>
          </w:p>
          <w:p>
            <w:pPr>
              <w:pStyle w:val="TableParagraph"/>
              <w:spacing w:before="168"/>
              <w:ind w:left="187"/>
              <w:rPr>
                <w:rFonts w:ascii="Book Antiqua"/>
                <w:sz w:val="17"/>
              </w:rPr>
            </w:pPr>
            <w:r>
              <w:rPr>
                <w:rFonts w:ascii="Book Antiqua"/>
                <w:color w:val="231F20"/>
                <w:sz w:val="17"/>
              </w:rPr>
              <w:t>CONSOLIDATED FINANCIAL RATIOS</w:t>
            </w:r>
          </w:p>
        </w:tc>
        <w:tc>
          <w:tcPr>
            <w:tcW w:w="1781" w:type="dxa"/>
            <w:tcBorders>
              <w:top w:val="single" w:sz="4" w:space="0" w:color="AAACAF"/>
            </w:tcBorders>
          </w:tcPr>
          <w:p>
            <w:pPr/>
          </w:p>
        </w:tc>
        <w:tc>
          <w:tcPr>
            <w:tcW w:w="1726" w:type="dxa"/>
            <w:tcBorders>
              <w:top w:val="single" w:sz="4" w:space="0" w:color="AAACAF"/>
            </w:tcBorders>
          </w:tcPr>
          <w:p>
            <w:pPr/>
          </w:p>
        </w:tc>
        <w:tc>
          <w:tcPr>
            <w:tcW w:w="1344" w:type="dxa"/>
            <w:tcBorders>
              <w:top w:val="single" w:sz="4" w:space="0" w:color="AAACAF"/>
            </w:tcBorders>
          </w:tcPr>
          <w:p>
            <w:pPr/>
          </w:p>
        </w:tc>
      </w:tr>
      <w:tr>
        <w:trPr>
          <w:trHeight w:val="253" w:hRule="exact"/>
        </w:trPr>
        <w:tc>
          <w:tcPr>
            <w:tcW w:w="313" w:type="dxa"/>
          </w:tcPr>
          <w:p>
            <w:pPr/>
          </w:p>
        </w:tc>
        <w:tc>
          <w:tcPr>
            <w:tcW w:w="5777" w:type="dxa"/>
            <w:tcBorders>
              <w:bottom w:val="single" w:sz="4" w:space="0" w:color="AAACAF"/>
            </w:tcBorders>
          </w:tcPr>
          <w:p>
            <w:pPr>
              <w:pStyle w:val="TableParagraph"/>
              <w:tabs>
                <w:tab w:pos="5035" w:val="left" w:leader="none"/>
              </w:tabs>
              <w:spacing w:before="40"/>
              <w:ind w:left="187"/>
              <w:rPr>
                <w:rFonts w:ascii="Book Antiqua"/>
                <w:sz w:val="17"/>
              </w:rPr>
            </w:pPr>
            <w:r>
              <w:rPr>
                <w:rFonts w:ascii="Book Antiqua"/>
                <w:color w:val="231F20"/>
                <w:sz w:val="17"/>
              </w:rPr>
              <w:t>Return</w:t>
            </w:r>
            <w:r>
              <w:rPr>
                <w:rFonts w:ascii="Book Antiqua"/>
                <w:color w:val="231F20"/>
                <w:spacing w:val="-19"/>
                <w:sz w:val="17"/>
              </w:rPr>
              <w:t> </w:t>
            </w:r>
            <w:r>
              <w:rPr>
                <w:rFonts w:ascii="Book Antiqua"/>
                <w:color w:val="231F20"/>
                <w:sz w:val="17"/>
              </w:rPr>
              <w:t>on</w:t>
            </w:r>
            <w:r>
              <w:rPr>
                <w:rFonts w:ascii="Book Antiqua"/>
                <w:color w:val="231F20"/>
                <w:spacing w:val="-19"/>
                <w:sz w:val="17"/>
              </w:rPr>
              <w:t> </w:t>
            </w:r>
            <w:r>
              <w:rPr>
                <w:rFonts w:ascii="Book Antiqua"/>
                <w:color w:val="231F20"/>
                <w:sz w:val="17"/>
              </w:rPr>
              <w:t>average</w:t>
            </w:r>
            <w:r>
              <w:rPr>
                <w:rFonts w:ascii="Book Antiqua"/>
                <w:color w:val="231F20"/>
                <w:spacing w:val="-19"/>
                <w:sz w:val="17"/>
              </w:rPr>
              <w:t> </w:t>
            </w:r>
            <w:r>
              <w:rPr>
                <w:rFonts w:ascii="Book Antiqua"/>
                <w:color w:val="231F20"/>
                <w:sz w:val="17"/>
              </w:rPr>
              <w:t>total</w:t>
            </w:r>
            <w:r>
              <w:rPr>
                <w:rFonts w:ascii="Book Antiqua"/>
                <w:color w:val="231F20"/>
                <w:spacing w:val="-19"/>
                <w:sz w:val="17"/>
              </w:rPr>
              <w:t> </w:t>
            </w:r>
            <w:r>
              <w:rPr>
                <w:rFonts w:ascii="Book Antiqua"/>
                <w:color w:val="231F20"/>
                <w:sz w:val="17"/>
              </w:rPr>
              <w:t>assets</w:t>
              <w:tab/>
              <w:t>4.7%</w:t>
            </w:r>
          </w:p>
        </w:tc>
        <w:tc>
          <w:tcPr>
            <w:tcW w:w="1781" w:type="dxa"/>
            <w:tcBorders>
              <w:bottom w:val="single" w:sz="4" w:space="0" w:color="AAACAF"/>
            </w:tcBorders>
          </w:tcPr>
          <w:p>
            <w:pPr>
              <w:pStyle w:val="TableParagraph"/>
              <w:spacing w:before="40"/>
              <w:ind w:right="427"/>
              <w:jc w:val="right"/>
              <w:rPr>
                <w:rFonts w:ascii="Book Antiqua"/>
                <w:sz w:val="17"/>
              </w:rPr>
            </w:pPr>
            <w:r>
              <w:rPr>
                <w:rFonts w:ascii="Book Antiqua"/>
                <w:color w:val="231F20"/>
                <w:w w:val="90"/>
                <w:sz w:val="17"/>
              </w:rPr>
              <w:t>2.7%</w:t>
            </w:r>
          </w:p>
        </w:tc>
        <w:tc>
          <w:tcPr>
            <w:tcW w:w="1726" w:type="dxa"/>
            <w:tcBorders>
              <w:bottom w:val="single" w:sz="4" w:space="0" w:color="AAACAF"/>
            </w:tcBorders>
          </w:tcPr>
          <w:p>
            <w:pPr>
              <w:pStyle w:val="TableParagraph"/>
              <w:spacing w:before="40"/>
              <w:ind w:right="363"/>
              <w:jc w:val="right"/>
              <w:rPr>
                <w:rFonts w:ascii="Book Antiqua"/>
                <w:sz w:val="17"/>
              </w:rPr>
            </w:pPr>
            <w:r>
              <w:rPr>
                <w:rFonts w:ascii="Book Antiqua"/>
                <w:color w:val="231F20"/>
                <w:w w:val="95"/>
                <w:sz w:val="17"/>
              </w:rPr>
              <w:t>6.5%</w:t>
            </w:r>
          </w:p>
        </w:tc>
        <w:tc>
          <w:tcPr>
            <w:tcW w:w="1344" w:type="dxa"/>
            <w:tcBorders>
              <w:bottom w:val="single" w:sz="4" w:space="0" w:color="AAACAF"/>
            </w:tcBorders>
          </w:tcPr>
          <w:p>
            <w:pPr>
              <w:pStyle w:val="TableParagraph"/>
              <w:spacing w:before="40"/>
              <w:ind w:right="16"/>
              <w:jc w:val="right"/>
              <w:rPr>
                <w:rFonts w:ascii="Book Antiqua"/>
                <w:sz w:val="17"/>
              </w:rPr>
            </w:pPr>
            <w:r>
              <w:rPr>
                <w:rFonts w:ascii="Book Antiqua"/>
                <w:color w:val="231F20"/>
                <w:w w:val="95"/>
                <w:sz w:val="17"/>
              </w:rPr>
              <w:t>10.1%</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5036" w:val="left" w:leader="none"/>
              </w:tabs>
              <w:spacing w:before="98"/>
              <w:ind w:left="187"/>
              <w:rPr>
                <w:rFonts w:ascii="Book Antiqua" w:hAnsi="Book Antiqua"/>
                <w:sz w:val="17"/>
              </w:rPr>
            </w:pPr>
            <w:r>
              <w:rPr>
                <w:rFonts w:ascii="Book Antiqua" w:hAnsi="Book Antiqua"/>
                <w:color w:val="231F20"/>
                <w:w w:val="95"/>
                <w:sz w:val="17"/>
              </w:rPr>
              <w:t>Return on average</w:t>
            </w:r>
            <w:r>
              <w:rPr>
                <w:rFonts w:ascii="Book Antiqua" w:hAnsi="Book Antiqua"/>
                <w:color w:val="231F20"/>
                <w:spacing w:val="-10"/>
                <w:w w:val="95"/>
                <w:sz w:val="17"/>
              </w:rPr>
              <w:t> </w:t>
            </w:r>
            <w:r>
              <w:rPr>
                <w:rFonts w:ascii="Book Antiqua" w:hAnsi="Book Antiqua"/>
                <w:color w:val="231F20"/>
                <w:w w:val="95"/>
                <w:sz w:val="17"/>
              </w:rPr>
              <w:t>stockholders’</w:t>
            </w:r>
            <w:r>
              <w:rPr>
                <w:rFonts w:ascii="Book Antiqua" w:hAnsi="Book Antiqua"/>
                <w:color w:val="231F20"/>
                <w:spacing w:val="-12"/>
                <w:w w:val="95"/>
                <w:sz w:val="17"/>
              </w:rPr>
              <w:t> </w:t>
            </w:r>
            <w:r>
              <w:rPr>
                <w:rFonts w:ascii="Book Antiqua" w:hAnsi="Book Antiqua"/>
                <w:color w:val="231F20"/>
                <w:w w:val="95"/>
                <w:sz w:val="17"/>
              </w:rPr>
              <w:t>equity</w:t>
              <w:tab/>
            </w:r>
            <w:r>
              <w:rPr>
                <w:rFonts w:ascii="Book Antiqua" w:hAnsi="Book Antiqua"/>
                <w:color w:val="231F20"/>
                <w:sz w:val="17"/>
              </w:rPr>
              <w:t>9.3%</w:t>
            </w:r>
          </w:p>
        </w:tc>
        <w:tc>
          <w:tcPr>
            <w:tcW w:w="1781" w:type="dxa"/>
            <w:tcBorders>
              <w:top w:val="single" w:sz="4" w:space="0" w:color="AAACAF"/>
              <w:bottom w:val="single" w:sz="4" w:space="0" w:color="AAACAF"/>
            </w:tcBorders>
          </w:tcPr>
          <w:p>
            <w:pPr>
              <w:pStyle w:val="TableParagraph"/>
              <w:spacing w:before="98"/>
              <w:ind w:right="427"/>
              <w:jc w:val="right"/>
              <w:rPr>
                <w:rFonts w:ascii="Book Antiqua"/>
                <w:sz w:val="17"/>
              </w:rPr>
            </w:pPr>
            <w:r>
              <w:rPr>
                <w:rFonts w:ascii="Book Antiqua"/>
                <w:color w:val="231F20"/>
                <w:w w:val="95"/>
                <w:sz w:val="17"/>
              </w:rPr>
              <w:t>5.7%</w:t>
            </w:r>
          </w:p>
        </w:tc>
        <w:tc>
          <w:tcPr>
            <w:tcW w:w="1726" w:type="dxa"/>
            <w:tcBorders>
              <w:top w:val="single" w:sz="4" w:space="0" w:color="AAACAF"/>
              <w:bottom w:val="single" w:sz="4" w:space="0" w:color="AAACAF"/>
            </w:tcBorders>
          </w:tcPr>
          <w:p>
            <w:pPr>
              <w:pStyle w:val="TableParagraph"/>
              <w:spacing w:before="98"/>
              <w:ind w:right="363"/>
              <w:jc w:val="right"/>
              <w:rPr>
                <w:rFonts w:ascii="Book Antiqua"/>
                <w:sz w:val="17"/>
              </w:rPr>
            </w:pPr>
            <w:r>
              <w:rPr>
                <w:rFonts w:ascii="Book Antiqua"/>
                <w:color w:val="231F20"/>
                <w:w w:val="95"/>
                <w:sz w:val="17"/>
              </w:rPr>
              <w:t>13.7%</w:t>
            </w:r>
          </w:p>
        </w:tc>
        <w:tc>
          <w:tcPr>
            <w:tcW w:w="1344" w:type="dxa"/>
            <w:tcBorders>
              <w:top w:val="single" w:sz="4" w:space="0" w:color="AAACAF"/>
              <w:bottom w:val="single" w:sz="4" w:space="0" w:color="AAACAF"/>
            </w:tcBorders>
          </w:tcPr>
          <w:p>
            <w:pPr>
              <w:pStyle w:val="TableParagraph"/>
              <w:spacing w:before="98"/>
              <w:ind w:right="16"/>
              <w:jc w:val="right"/>
              <w:rPr>
                <w:rFonts w:ascii="Book Antiqua"/>
                <w:sz w:val="17"/>
              </w:rPr>
            </w:pPr>
            <w:r>
              <w:rPr>
                <w:rFonts w:ascii="Book Antiqua"/>
                <w:color w:val="231F20"/>
                <w:w w:val="95"/>
                <w:sz w:val="17"/>
              </w:rPr>
              <w:t>19.9 %</w:t>
            </w:r>
          </w:p>
        </w:tc>
      </w:tr>
      <w:tr>
        <w:trPr>
          <w:trHeight w:val="647" w:hRule="exact"/>
        </w:trPr>
        <w:tc>
          <w:tcPr>
            <w:tcW w:w="313" w:type="dxa"/>
          </w:tcPr>
          <w:p>
            <w:pPr/>
          </w:p>
        </w:tc>
        <w:tc>
          <w:tcPr>
            <w:tcW w:w="5777" w:type="dxa"/>
            <w:tcBorders>
              <w:top w:val="single" w:sz="4" w:space="0" w:color="AAACAF"/>
            </w:tcBorders>
          </w:tcPr>
          <w:p>
            <w:pPr>
              <w:pStyle w:val="TableParagraph"/>
              <w:rPr>
                <w:sz w:val="20"/>
              </w:rPr>
            </w:pPr>
          </w:p>
          <w:p>
            <w:pPr>
              <w:pStyle w:val="TableParagraph"/>
              <w:spacing w:before="168"/>
              <w:ind w:left="187"/>
              <w:rPr>
                <w:rFonts w:ascii="Book Antiqua"/>
                <w:sz w:val="17"/>
              </w:rPr>
            </w:pPr>
            <w:r>
              <w:rPr>
                <w:rFonts w:ascii="Book Antiqua"/>
                <w:color w:val="231F20"/>
                <w:sz w:val="17"/>
              </w:rPr>
              <w:t>CONSOLIDATED  OPERATING STATISTICS</w:t>
            </w:r>
          </w:p>
        </w:tc>
        <w:tc>
          <w:tcPr>
            <w:tcW w:w="1781" w:type="dxa"/>
            <w:tcBorders>
              <w:top w:val="single" w:sz="4" w:space="0" w:color="AAACAF"/>
            </w:tcBorders>
          </w:tcPr>
          <w:p>
            <w:pPr/>
          </w:p>
        </w:tc>
        <w:tc>
          <w:tcPr>
            <w:tcW w:w="1726" w:type="dxa"/>
            <w:tcBorders>
              <w:top w:val="single" w:sz="4" w:space="0" w:color="AAACAF"/>
            </w:tcBorders>
          </w:tcPr>
          <w:p>
            <w:pPr/>
          </w:p>
        </w:tc>
        <w:tc>
          <w:tcPr>
            <w:tcW w:w="1344" w:type="dxa"/>
            <w:tcBorders>
              <w:top w:val="single" w:sz="4" w:space="0" w:color="AAACAF"/>
            </w:tcBorders>
          </w:tcPr>
          <w:p>
            <w:pPr/>
          </w:p>
        </w:tc>
      </w:tr>
      <w:tr>
        <w:trPr>
          <w:trHeight w:val="253" w:hRule="exact"/>
        </w:trPr>
        <w:tc>
          <w:tcPr>
            <w:tcW w:w="313" w:type="dxa"/>
          </w:tcPr>
          <w:p>
            <w:pPr/>
          </w:p>
        </w:tc>
        <w:tc>
          <w:tcPr>
            <w:tcW w:w="5777" w:type="dxa"/>
            <w:tcBorders>
              <w:bottom w:val="single" w:sz="4" w:space="0" w:color="AAACAF"/>
            </w:tcBorders>
          </w:tcPr>
          <w:p>
            <w:pPr>
              <w:pStyle w:val="TableParagraph"/>
              <w:tabs>
                <w:tab w:pos="4513" w:val="left" w:leader="none"/>
              </w:tabs>
              <w:spacing w:before="40"/>
              <w:ind w:left="187"/>
              <w:rPr>
                <w:rFonts w:ascii="Book Antiqua"/>
                <w:sz w:val="17"/>
              </w:rPr>
            </w:pPr>
            <w:r>
              <w:rPr>
                <w:rFonts w:ascii="Book Antiqua"/>
                <w:color w:val="231F20"/>
                <w:w w:val="95"/>
                <w:sz w:val="17"/>
              </w:rPr>
              <w:t>Revenue</w:t>
            </w:r>
            <w:r>
              <w:rPr>
                <w:rFonts w:ascii="Book Antiqua"/>
                <w:color w:val="231F20"/>
                <w:spacing w:val="-7"/>
                <w:w w:val="95"/>
                <w:sz w:val="17"/>
              </w:rPr>
              <w:t> </w:t>
            </w:r>
            <w:r>
              <w:rPr>
                <w:rFonts w:ascii="Book Antiqua"/>
                <w:color w:val="231F20"/>
                <w:w w:val="95"/>
                <w:sz w:val="17"/>
              </w:rPr>
              <w:t>passengers</w:t>
            </w:r>
            <w:r>
              <w:rPr>
                <w:rFonts w:ascii="Book Antiqua"/>
                <w:color w:val="231F20"/>
                <w:spacing w:val="-7"/>
                <w:w w:val="95"/>
                <w:sz w:val="17"/>
              </w:rPr>
              <w:t> </w:t>
            </w:r>
            <w:r>
              <w:rPr>
                <w:rFonts w:ascii="Book Antiqua"/>
                <w:color w:val="231F20"/>
                <w:w w:val="95"/>
                <w:sz w:val="17"/>
              </w:rPr>
              <w:t>carried</w:t>
              <w:tab/>
            </w:r>
            <w:r>
              <w:rPr>
                <w:rFonts w:ascii="Book Antiqua"/>
                <w:color w:val="231F20"/>
                <w:spacing w:val="-3"/>
                <w:sz w:val="17"/>
              </w:rPr>
              <w:t>65,673,945</w:t>
            </w:r>
          </w:p>
        </w:tc>
        <w:tc>
          <w:tcPr>
            <w:tcW w:w="1781" w:type="dxa"/>
            <w:tcBorders>
              <w:bottom w:val="single" w:sz="4" w:space="0" w:color="AAACAF"/>
            </w:tcBorders>
          </w:tcPr>
          <w:p>
            <w:pPr>
              <w:pStyle w:val="TableParagraph"/>
              <w:spacing w:before="40"/>
              <w:ind w:left="505"/>
              <w:rPr>
                <w:rFonts w:ascii="Book Antiqua"/>
                <w:sz w:val="17"/>
              </w:rPr>
            </w:pPr>
            <w:r>
              <w:rPr>
                <w:rFonts w:ascii="Book Antiqua"/>
                <w:color w:val="231F20"/>
                <w:sz w:val="17"/>
              </w:rPr>
              <w:t>63,045,988</w:t>
            </w:r>
          </w:p>
        </w:tc>
        <w:tc>
          <w:tcPr>
            <w:tcW w:w="1726" w:type="dxa"/>
            <w:tcBorders>
              <w:bottom w:val="single" w:sz="4" w:space="0" w:color="AAACAF"/>
            </w:tcBorders>
          </w:tcPr>
          <w:p>
            <w:pPr>
              <w:pStyle w:val="TableParagraph"/>
              <w:spacing w:before="40"/>
              <w:ind w:left="497"/>
              <w:rPr>
                <w:rFonts w:ascii="Book Antiqua"/>
                <w:sz w:val="17"/>
              </w:rPr>
            </w:pPr>
            <w:r>
              <w:rPr>
                <w:rFonts w:ascii="Book Antiqua"/>
                <w:color w:val="231F20"/>
                <w:sz w:val="17"/>
              </w:rPr>
              <w:t>64,446,773</w:t>
            </w:r>
          </w:p>
        </w:tc>
        <w:tc>
          <w:tcPr>
            <w:tcW w:w="1344" w:type="dxa"/>
            <w:tcBorders>
              <w:bottom w:val="single" w:sz="4" w:space="0" w:color="AAACAF"/>
            </w:tcBorders>
          </w:tcPr>
          <w:p>
            <w:pPr>
              <w:pStyle w:val="TableParagraph"/>
              <w:spacing w:before="40"/>
              <w:ind w:left="426"/>
              <w:rPr>
                <w:rFonts w:ascii="Book Antiqua"/>
                <w:sz w:val="17"/>
              </w:rPr>
            </w:pPr>
            <w:r>
              <w:rPr>
                <w:rFonts w:ascii="Book Antiqua"/>
                <w:color w:val="231F20"/>
                <w:sz w:val="17"/>
              </w:rPr>
              <w:t>63, 678,261</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517" w:val="left" w:leader="none"/>
              </w:tabs>
              <w:spacing w:before="98"/>
              <w:ind w:left="187"/>
              <w:rPr>
                <w:rFonts w:ascii="Book Antiqua"/>
                <w:sz w:val="17"/>
              </w:rPr>
            </w:pPr>
            <w:r>
              <w:rPr>
                <w:rFonts w:ascii="Book Antiqua"/>
                <w:color w:val="231F20"/>
                <w:sz w:val="17"/>
              </w:rPr>
              <w:t>RPMs</w:t>
            </w:r>
            <w:r>
              <w:rPr>
                <w:rFonts w:ascii="Book Antiqua"/>
                <w:color w:val="231F20"/>
                <w:spacing w:val="1"/>
                <w:sz w:val="17"/>
              </w:rPr>
              <w:t> </w:t>
            </w:r>
            <w:r>
              <w:rPr>
                <w:rFonts w:ascii="Book Antiqua"/>
                <w:color w:val="231F20"/>
                <w:sz w:val="17"/>
              </w:rPr>
              <w:t>(000s)</w:t>
              <w:tab/>
            </w:r>
            <w:r>
              <w:rPr>
                <w:rFonts w:ascii="Book Antiqua"/>
                <w:color w:val="231F20"/>
                <w:spacing w:val="-3"/>
                <w:sz w:val="17"/>
              </w:rPr>
              <w:t>47,943,066</w:t>
            </w:r>
          </w:p>
        </w:tc>
        <w:tc>
          <w:tcPr>
            <w:tcW w:w="1781" w:type="dxa"/>
            <w:tcBorders>
              <w:top w:val="single" w:sz="4" w:space="0" w:color="AAACAF"/>
              <w:bottom w:val="single" w:sz="4" w:space="0" w:color="AAACAF"/>
            </w:tcBorders>
          </w:tcPr>
          <w:p>
            <w:pPr>
              <w:pStyle w:val="TableParagraph"/>
              <w:spacing w:before="98"/>
              <w:ind w:left="503"/>
              <w:rPr>
                <w:rFonts w:ascii="Book Antiqua"/>
                <w:sz w:val="17"/>
              </w:rPr>
            </w:pPr>
            <w:r>
              <w:rPr>
                <w:rFonts w:ascii="Book Antiqua"/>
                <w:color w:val="231F20"/>
                <w:sz w:val="17"/>
              </w:rPr>
              <w:t>45,391,903</w:t>
            </w:r>
          </w:p>
        </w:tc>
        <w:tc>
          <w:tcPr>
            <w:tcW w:w="1726" w:type="dxa"/>
            <w:tcBorders>
              <w:top w:val="single" w:sz="4" w:space="0" w:color="AAACAF"/>
              <w:bottom w:val="single" w:sz="4" w:space="0" w:color="AAACAF"/>
            </w:tcBorders>
          </w:tcPr>
          <w:p>
            <w:pPr>
              <w:pStyle w:val="TableParagraph"/>
              <w:spacing w:before="98"/>
              <w:ind w:left="497"/>
              <w:rPr>
                <w:rFonts w:ascii="Book Antiqua"/>
                <w:sz w:val="17"/>
              </w:rPr>
            </w:pPr>
            <w:r>
              <w:rPr>
                <w:rFonts w:ascii="Book Antiqua"/>
                <w:color w:val="231F20"/>
                <w:sz w:val="17"/>
              </w:rPr>
              <w:t>44,493,916</w:t>
            </w:r>
          </w:p>
        </w:tc>
        <w:tc>
          <w:tcPr>
            <w:tcW w:w="1344" w:type="dxa"/>
            <w:tcBorders>
              <w:top w:val="single" w:sz="4" w:space="0" w:color="AAACAF"/>
              <w:bottom w:val="single" w:sz="4" w:space="0" w:color="AAACAF"/>
            </w:tcBorders>
          </w:tcPr>
          <w:p>
            <w:pPr>
              <w:pStyle w:val="TableParagraph"/>
              <w:spacing w:before="98"/>
              <w:ind w:left="426"/>
              <w:rPr>
                <w:rFonts w:ascii="Book Antiqua"/>
                <w:sz w:val="17"/>
              </w:rPr>
            </w:pPr>
            <w:r>
              <w:rPr>
                <w:rFonts w:ascii="Book Antiqua"/>
                <w:color w:val="231F20"/>
                <w:sz w:val="17"/>
              </w:rPr>
              <w:t>42,215,162</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518" w:val="left" w:leader="none"/>
              </w:tabs>
              <w:spacing w:before="98"/>
              <w:ind w:left="187"/>
              <w:rPr>
                <w:rFonts w:ascii="Book Antiqua"/>
                <w:sz w:val="17"/>
              </w:rPr>
            </w:pPr>
            <w:r>
              <w:rPr>
                <w:rFonts w:ascii="Book Antiqua"/>
                <w:color w:val="231F20"/>
                <w:sz w:val="17"/>
              </w:rPr>
              <w:t>ASMs</w:t>
            </w:r>
            <w:r>
              <w:rPr>
                <w:rFonts w:ascii="Book Antiqua"/>
                <w:color w:val="231F20"/>
                <w:spacing w:val="-1"/>
                <w:sz w:val="17"/>
              </w:rPr>
              <w:t> </w:t>
            </w:r>
            <w:r>
              <w:rPr>
                <w:rFonts w:ascii="Book Antiqua"/>
                <w:color w:val="231F20"/>
                <w:sz w:val="17"/>
              </w:rPr>
              <w:t>(000s)</w:t>
              <w:tab/>
            </w:r>
            <w:r>
              <w:rPr>
                <w:rFonts w:ascii="Book Antiqua"/>
                <w:color w:val="231F20"/>
                <w:spacing w:val="-3"/>
                <w:sz w:val="17"/>
              </w:rPr>
              <w:t>71,790,425</w:t>
            </w:r>
          </w:p>
        </w:tc>
        <w:tc>
          <w:tcPr>
            <w:tcW w:w="1781" w:type="dxa"/>
            <w:tcBorders>
              <w:top w:val="single" w:sz="4" w:space="0" w:color="AAACAF"/>
              <w:bottom w:val="single" w:sz="4" w:space="0" w:color="AAACAF"/>
            </w:tcBorders>
          </w:tcPr>
          <w:p>
            <w:pPr>
              <w:pStyle w:val="TableParagraph"/>
              <w:spacing w:before="98"/>
              <w:ind w:left="500"/>
              <w:rPr>
                <w:rFonts w:ascii="Book Antiqua"/>
                <w:sz w:val="17"/>
              </w:rPr>
            </w:pPr>
            <w:r>
              <w:rPr>
                <w:rFonts w:ascii="Book Antiqua"/>
                <w:color w:val="231F20"/>
                <w:sz w:val="17"/>
              </w:rPr>
              <w:t>68,886,546</w:t>
            </w:r>
          </w:p>
        </w:tc>
        <w:tc>
          <w:tcPr>
            <w:tcW w:w="1726" w:type="dxa"/>
            <w:tcBorders>
              <w:top w:val="single" w:sz="4" w:space="0" w:color="AAACAF"/>
              <w:bottom w:val="single" w:sz="4" w:space="0" w:color="AAACAF"/>
            </w:tcBorders>
          </w:tcPr>
          <w:p>
            <w:pPr>
              <w:pStyle w:val="TableParagraph"/>
              <w:spacing w:before="98"/>
              <w:ind w:left="498"/>
              <w:rPr>
                <w:rFonts w:ascii="Book Antiqua"/>
                <w:sz w:val="17"/>
              </w:rPr>
            </w:pPr>
            <w:r>
              <w:rPr>
                <w:rFonts w:ascii="Book Antiqua"/>
                <w:color w:val="231F20"/>
                <w:sz w:val="17"/>
              </w:rPr>
              <w:t>65,295,290</w:t>
            </w:r>
          </w:p>
        </w:tc>
        <w:tc>
          <w:tcPr>
            <w:tcW w:w="1344" w:type="dxa"/>
            <w:tcBorders>
              <w:top w:val="single" w:sz="4" w:space="0" w:color="AAACAF"/>
              <w:bottom w:val="single" w:sz="4" w:space="0" w:color="AAACAF"/>
            </w:tcBorders>
          </w:tcPr>
          <w:p>
            <w:pPr>
              <w:pStyle w:val="TableParagraph"/>
              <w:spacing w:before="98"/>
              <w:ind w:left="431"/>
              <w:rPr>
                <w:rFonts w:ascii="Book Antiqua"/>
                <w:sz w:val="17"/>
              </w:rPr>
            </w:pPr>
            <w:r>
              <w:rPr>
                <w:rFonts w:ascii="Book Antiqua"/>
                <w:color w:val="231F20"/>
                <w:sz w:val="17"/>
              </w:rPr>
              <w:t>59,909,965</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947" w:val="left" w:leader="none"/>
              </w:tabs>
              <w:spacing w:before="98"/>
              <w:ind w:left="187"/>
              <w:rPr>
                <w:rFonts w:ascii="Book Antiqua"/>
                <w:sz w:val="17"/>
              </w:rPr>
            </w:pPr>
            <w:r>
              <w:rPr>
                <w:rFonts w:ascii="Book Antiqua"/>
                <w:color w:val="231F20"/>
                <w:sz w:val="17"/>
              </w:rPr>
              <w:t>Passenger</w:t>
            </w:r>
            <w:r>
              <w:rPr>
                <w:rFonts w:ascii="Book Antiqua"/>
                <w:color w:val="231F20"/>
                <w:spacing w:val="-27"/>
                <w:sz w:val="17"/>
              </w:rPr>
              <w:t> </w:t>
            </w:r>
            <w:r>
              <w:rPr>
                <w:rFonts w:ascii="Book Antiqua"/>
                <w:color w:val="231F20"/>
                <w:sz w:val="17"/>
              </w:rPr>
              <w:t>load</w:t>
            </w:r>
            <w:r>
              <w:rPr>
                <w:rFonts w:ascii="Book Antiqua"/>
                <w:color w:val="231F20"/>
                <w:spacing w:val="-23"/>
                <w:sz w:val="17"/>
              </w:rPr>
              <w:t> </w:t>
            </w:r>
            <w:r>
              <w:rPr>
                <w:rFonts w:ascii="Book Antiqua"/>
                <w:color w:val="231F20"/>
                <w:sz w:val="17"/>
              </w:rPr>
              <w:t>factor</w:t>
              <w:tab/>
              <w:t>66.8%</w:t>
            </w:r>
          </w:p>
        </w:tc>
        <w:tc>
          <w:tcPr>
            <w:tcW w:w="1781" w:type="dxa"/>
            <w:tcBorders>
              <w:top w:val="single" w:sz="4" w:space="0" w:color="AAACAF"/>
              <w:bottom w:val="single" w:sz="4" w:space="0" w:color="AAACAF"/>
            </w:tcBorders>
          </w:tcPr>
          <w:p>
            <w:pPr>
              <w:pStyle w:val="TableParagraph"/>
              <w:spacing w:before="98"/>
              <w:ind w:right="397"/>
              <w:jc w:val="right"/>
              <w:rPr>
                <w:rFonts w:ascii="Book Antiqua"/>
                <w:sz w:val="17"/>
              </w:rPr>
            </w:pPr>
            <w:r>
              <w:rPr>
                <w:rFonts w:ascii="Book Antiqua"/>
                <w:color w:val="231F20"/>
                <w:w w:val="90"/>
                <w:sz w:val="17"/>
              </w:rPr>
              <w:t>65.9%</w:t>
            </w:r>
          </w:p>
        </w:tc>
        <w:tc>
          <w:tcPr>
            <w:tcW w:w="1726" w:type="dxa"/>
            <w:tcBorders>
              <w:top w:val="single" w:sz="4" w:space="0" w:color="AAACAF"/>
              <w:bottom w:val="single" w:sz="4" w:space="0" w:color="AAACAF"/>
            </w:tcBorders>
          </w:tcPr>
          <w:p>
            <w:pPr>
              <w:pStyle w:val="TableParagraph"/>
              <w:spacing w:before="98"/>
              <w:ind w:right="358"/>
              <w:jc w:val="right"/>
              <w:rPr>
                <w:rFonts w:ascii="Book Antiqua"/>
                <w:sz w:val="17"/>
              </w:rPr>
            </w:pPr>
            <w:r>
              <w:rPr>
                <w:rFonts w:ascii="Book Antiqua"/>
                <w:color w:val="231F20"/>
                <w:w w:val="95"/>
                <w:sz w:val="17"/>
              </w:rPr>
              <w:t>68.1%</w:t>
            </w:r>
          </w:p>
        </w:tc>
        <w:tc>
          <w:tcPr>
            <w:tcW w:w="1344" w:type="dxa"/>
            <w:tcBorders>
              <w:top w:val="single" w:sz="4" w:space="0" w:color="AAACAF"/>
              <w:bottom w:val="single" w:sz="4" w:space="0" w:color="AAACAF"/>
            </w:tcBorders>
          </w:tcPr>
          <w:p>
            <w:pPr>
              <w:pStyle w:val="TableParagraph"/>
              <w:spacing w:before="98"/>
              <w:ind w:right="22"/>
              <w:jc w:val="right"/>
              <w:rPr>
                <w:rFonts w:ascii="Book Antiqua"/>
                <w:sz w:val="17"/>
              </w:rPr>
            </w:pPr>
            <w:r>
              <w:rPr>
                <w:rFonts w:ascii="Book Antiqua"/>
                <w:color w:val="231F20"/>
                <w:w w:val="95"/>
                <w:sz w:val="17"/>
              </w:rPr>
              <w:t>70.5%</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5234" w:val="right" w:leader="none"/>
              </w:tabs>
              <w:spacing w:before="98"/>
              <w:ind w:left="187"/>
              <w:rPr>
                <w:rFonts w:ascii="Book Antiqua"/>
                <w:sz w:val="17"/>
              </w:rPr>
            </w:pPr>
            <w:r>
              <w:rPr>
                <w:rFonts w:ascii="Book Antiqua"/>
                <w:color w:val="231F20"/>
                <w:spacing w:val="-3"/>
                <w:sz w:val="17"/>
              </w:rPr>
              <w:t>Average </w:t>
            </w:r>
            <w:r>
              <w:rPr>
                <w:rFonts w:ascii="Book Antiqua"/>
                <w:color w:val="231F20"/>
                <w:sz w:val="17"/>
              </w:rPr>
              <w:t>length of</w:t>
            </w:r>
            <w:r>
              <w:rPr>
                <w:rFonts w:ascii="Book Antiqua"/>
                <w:color w:val="231F20"/>
                <w:spacing w:val="15"/>
                <w:sz w:val="17"/>
              </w:rPr>
              <w:t> </w:t>
            </w:r>
            <w:r>
              <w:rPr>
                <w:rFonts w:ascii="Book Antiqua"/>
                <w:color w:val="231F20"/>
                <w:sz w:val="17"/>
              </w:rPr>
              <w:t>passenger</w:t>
            </w:r>
            <w:r>
              <w:rPr>
                <w:rFonts w:ascii="Book Antiqua"/>
                <w:color w:val="231F20"/>
                <w:spacing w:val="-5"/>
                <w:sz w:val="17"/>
              </w:rPr>
              <w:t> </w:t>
            </w:r>
            <w:r>
              <w:rPr>
                <w:rFonts w:ascii="Book Antiqua"/>
                <w:color w:val="231F20"/>
                <w:sz w:val="17"/>
              </w:rPr>
              <w:t>haul</w:t>
              <w:tab/>
              <w:t>730</w:t>
            </w:r>
          </w:p>
        </w:tc>
        <w:tc>
          <w:tcPr>
            <w:tcW w:w="1781" w:type="dxa"/>
            <w:tcBorders>
              <w:top w:val="single" w:sz="4" w:space="0" w:color="AAACAF"/>
              <w:bottom w:val="single" w:sz="4" w:space="0" w:color="AAACAF"/>
            </w:tcBorders>
          </w:tcPr>
          <w:p>
            <w:pPr>
              <w:pStyle w:val="TableParagraph"/>
              <w:spacing w:before="98"/>
              <w:ind w:right="535"/>
              <w:jc w:val="right"/>
              <w:rPr>
                <w:rFonts w:ascii="Book Antiqua"/>
                <w:sz w:val="17"/>
              </w:rPr>
            </w:pPr>
            <w:r>
              <w:rPr>
                <w:rFonts w:ascii="Book Antiqua"/>
                <w:color w:val="231F20"/>
                <w:sz w:val="17"/>
              </w:rPr>
              <w:t>720</w:t>
            </w:r>
          </w:p>
        </w:tc>
        <w:tc>
          <w:tcPr>
            <w:tcW w:w="1726" w:type="dxa"/>
            <w:tcBorders>
              <w:top w:val="single" w:sz="4" w:space="0" w:color="AAACAF"/>
              <w:bottom w:val="single" w:sz="4" w:space="0" w:color="AAACAF"/>
            </w:tcBorders>
          </w:tcPr>
          <w:p>
            <w:pPr>
              <w:pStyle w:val="TableParagraph"/>
              <w:spacing w:before="98"/>
              <w:ind w:right="496"/>
              <w:jc w:val="right"/>
              <w:rPr>
                <w:rFonts w:ascii="Book Antiqua"/>
                <w:sz w:val="17"/>
              </w:rPr>
            </w:pPr>
            <w:r>
              <w:rPr>
                <w:rFonts w:ascii="Book Antiqua"/>
                <w:color w:val="231F20"/>
                <w:sz w:val="17"/>
              </w:rPr>
              <w:t>690</w:t>
            </w:r>
          </w:p>
        </w:tc>
        <w:tc>
          <w:tcPr>
            <w:tcW w:w="1344" w:type="dxa"/>
            <w:tcBorders>
              <w:top w:val="single" w:sz="4" w:space="0" w:color="AAACAF"/>
              <w:bottom w:val="single" w:sz="4" w:space="0" w:color="AAACAF"/>
            </w:tcBorders>
          </w:tcPr>
          <w:p>
            <w:pPr>
              <w:pStyle w:val="TableParagraph"/>
              <w:spacing w:before="98"/>
              <w:ind w:right="162"/>
              <w:jc w:val="right"/>
              <w:rPr>
                <w:rFonts w:ascii="Book Antiqua"/>
                <w:sz w:val="17"/>
              </w:rPr>
            </w:pPr>
            <w:r>
              <w:rPr>
                <w:rFonts w:ascii="Book Antiqua"/>
                <w:color w:val="231F20"/>
                <w:sz w:val="17"/>
              </w:rPr>
              <w:t>663</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704" w:val="left" w:leader="none"/>
              </w:tabs>
              <w:spacing w:before="98"/>
              <w:ind w:left="187"/>
              <w:rPr>
                <w:rFonts w:ascii="Book Antiqua"/>
                <w:sz w:val="17"/>
              </w:rPr>
            </w:pPr>
            <w:r>
              <w:rPr>
                <w:rFonts w:ascii="Book Antiqua"/>
                <w:color w:val="231F20"/>
                <w:spacing w:val="-3"/>
                <w:sz w:val="17"/>
              </w:rPr>
              <w:t>Trips</w:t>
            </w:r>
            <w:r>
              <w:rPr>
                <w:rFonts w:ascii="Book Antiqua"/>
                <w:color w:val="231F20"/>
                <w:spacing w:val="-10"/>
                <w:sz w:val="17"/>
              </w:rPr>
              <w:t> </w:t>
            </w:r>
            <w:r>
              <w:rPr>
                <w:rFonts w:ascii="Book Antiqua"/>
                <w:color w:val="231F20"/>
                <w:sz w:val="17"/>
              </w:rPr>
              <w:t>f</w:t>
            </w:r>
            <w:r>
              <w:rPr>
                <w:rFonts w:ascii="Book Antiqua"/>
                <w:color w:val="231F20"/>
                <w:spacing w:val="-33"/>
                <w:sz w:val="17"/>
              </w:rPr>
              <w:t> </w:t>
            </w:r>
            <w:r>
              <w:rPr>
                <w:rFonts w:ascii="Book Antiqua"/>
                <w:color w:val="231F20"/>
                <w:sz w:val="17"/>
              </w:rPr>
              <w:t>lown</w:t>
              <w:tab/>
              <w:t>949,882</w:t>
            </w:r>
          </w:p>
        </w:tc>
        <w:tc>
          <w:tcPr>
            <w:tcW w:w="1781" w:type="dxa"/>
            <w:tcBorders>
              <w:top w:val="single" w:sz="4" w:space="0" w:color="AAACAF"/>
              <w:bottom w:val="single" w:sz="4" w:space="0" w:color="AAACAF"/>
            </w:tcBorders>
          </w:tcPr>
          <w:p>
            <w:pPr>
              <w:pStyle w:val="TableParagraph"/>
              <w:spacing w:before="98"/>
              <w:ind w:left="719"/>
              <w:rPr>
                <w:rFonts w:ascii="Book Antiqua"/>
                <w:sz w:val="17"/>
              </w:rPr>
            </w:pPr>
            <w:r>
              <w:rPr>
                <w:rFonts w:ascii="Book Antiqua"/>
                <w:color w:val="231F20"/>
                <w:sz w:val="17"/>
              </w:rPr>
              <w:t>947,331</w:t>
            </w:r>
          </w:p>
        </w:tc>
        <w:tc>
          <w:tcPr>
            <w:tcW w:w="1726" w:type="dxa"/>
            <w:tcBorders>
              <w:top w:val="single" w:sz="4" w:space="0" w:color="AAACAF"/>
              <w:bottom w:val="single" w:sz="4" w:space="0" w:color="AAACAF"/>
            </w:tcBorders>
          </w:tcPr>
          <w:p>
            <w:pPr>
              <w:pStyle w:val="TableParagraph"/>
              <w:spacing w:before="98"/>
              <w:ind w:left="702"/>
              <w:rPr>
                <w:rFonts w:ascii="Book Antiqua"/>
                <w:sz w:val="17"/>
              </w:rPr>
            </w:pPr>
            <w:r>
              <w:rPr>
                <w:rFonts w:ascii="Book Antiqua"/>
                <w:color w:val="231F20"/>
                <w:sz w:val="17"/>
              </w:rPr>
              <w:t>940,426</w:t>
            </w:r>
          </w:p>
        </w:tc>
        <w:tc>
          <w:tcPr>
            <w:tcW w:w="1344" w:type="dxa"/>
            <w:tcBorders>
              <w:top w:val="single" w:sz="4" w:space="0" w:color="AAACAF"/>
              <w:bottom w:val="single" w:sz="4" w:space="0" w:color="AAACAF"/>
            </w:tcBorders>
          </w:tcPr>
          <w:p>
            <w:pPr>
              <w:pStyle w:val="TableParagraph"/>
              <w:spacing w:before="98"/>
              <w:ind w:left="636"/>
              <w:rPr>
                <w:rFonts w:ascii="Book Antiqua"/>
                <w:sz w:val="17"/>
              </w:rPr>
            </w:pPr>
            <w:r>
              <w:rPr>
                <w:rFonts w:ascii="Book Antiqua"/>
                <w:color w:val="231F20"/>
                <w:sz w:val="17"/>
              </w:rPr>
              <w:t>903,754</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796" w:val="left" w:leader="none"/>
              </w:tabs>
              <w:spacing w:before="98"/>
              <w:ind w:left="187"/>
              <w:rPr>
                <w:rFonts w:ascii="Book Antiqua"/>
                <w:sz w:val="17"/>
              </w:rPr>
            </w:pPr>
            <w:r>
              <w:rPr>
                <w:rFonts w:ascii="Book Antiqua"/>
                <w:color w:val="231F20"/>
                <w:spacing w:val="-10"/>
                <w:w w:val="93"/>
                <w:sz w:val="17"/>
              </w:rPr>
              <w:t>A</w:t>
            </w:r>
            <w:r>
              <w:rPr>
                <w:rFonts w:ascii="Book Antiqua"/>
                <w:color w:val="231F20"/>
                <w:spacing w:val="-6"/>
                <w:w w:val="84"/>
                <w:sz w:val="17"/>
              </w:rPr>
              <w:t>v</w:t>
            </w:r>
            <w:r>
              <w:rPr>
                <w:rFonts w:ascii="Book Antiqua"/>
                <w:color w:val="231F20"/>
                <w:w w:val="92"/>
                <w:sz w:val="17"/>
              </w:rPr>
              <w:t>erage</w:t>
            </w:r>
            <w:r>
              <w:rPr>
                <w:rFonts w:ascii="Book Antiqua"/>
                <w:color w:val="231F20"/>
                <w:spacing w:val="8"/>
                <w:sz w:val="17"/>
              </w:rPr>
              <w:t> </w:t>
            </w:r>
            <w:r>
              <w:rPr>
                <w:rFonts w:ascii="Book Antiqua"/>
                <w:color w:val="231F20"/>
                <w:w w:val="91"/>
                <w:sz w:val="17"/>
              </w:rPr>
              <w:t>passenger</w:t>
            </w:r>
            <w:r>
              <w:rPr>
                <w:rFonts w:ascii="Book Antiqua"/>
                <w:color w:val="231F20"/>
                <w:spacing w:val="-2"/>
                <w:sz w:val="17"/>
              </w:rPr>
              <w:t> </w:t>
            </w:r>
            <w:r>
              <w:rPr>
                <w:rFonts w:ascii="Book Antiqua"/>
                <w:color w:val="231F20"/>
                <w:w w:val="90"/>
                <w:sz w:val="17"/>
              </w:rPr>
              <w:t>far</w:t>
            </w:r>
            <w:r>
              <w:rPr>
                <w:rFonts w:ascii="Book Antiqua"/>
                <w:color w:val="231F20"/>
                <w:spacing w:val="8"/>
                <w:w w:val="90"/>
                <w:sz w:val="17"/>
              </w:rPr>
              <w:t>e</w:t>
            </w:r>
            <w:r>
              <w:rPr>
                <w:rFonts w:ascii="Book Antiqua"/>
                <w:color w:val="231F20"/>
                <w:w w:val="106"/>
                <w:position w:val="6"/>
                <w:sz w:val="8"/>
              </w:rPr>
              <w:t>(2)</w:t>
            </w:r>
            <w:r>
              <w:rPr>
                <w:rFonts w:ascii="Book Antiqua"/>
                <w:color w:val="231F20"/>
                <w:position w:val="6"/>
                <w:sz w:val="8"/>
              </w:rPr>
              <w:tab/>
            </w:r>
            <w:r>
              <w:rPr>
                <w:rFonts w:ascii="Book Antiqua"/>
                <w:color w:val="231F20"/>
                <w:sz w:val="17"/>
              </w:rPr>
              <w:t>$</w:t>
            </w:r>
            <w:r>
              <w:rPr>
                <w:rFonts w:ascii="Book Antiqua"/>
                <w:color w:val="231F20"/>
                <w:spacing w:val="-6"/>
                <w:sz w:val="17"/>
              </w:rPr>
              <w:t>8</w:t>
            </w:r>
            <w:r>
              <w:rPr>
                <w:rFonts w:ascii="Book Antiqua"/>
                <w:color w:val="231F20"/>
                <w:spacing w:val="-11"/>
                <w:sz w:val="17"/>
              </w:rPr>
              <w:t>7</w:t>
            </w:r>
            <w:r>
              <w:rPr>
                <w:rFonts w:ascii="Book Antiqua"/>
                <w:color w:val="231F20"/>
                <w:w w:val="96"/>
                <w:sz w:val="17"/>
              </w:rPr>
              <w:t>.42</w:t>
            </w:r>
          </w:p>
        </w:tc>
        <w:tc>
          <w:tcPr>
            <w:tcW w:w="1781" w:type="dxa"/>
            <w:tcBorders>
              <w:top w:val="single" w:sz="4" w:space="0" w:color="AAACAF"/>
              <w:bottom w:val="single" w:sz="4" w:space="0" w:color="AAACAF"/>
            </w:tcBorders>
          </w:tcPr>
          <w:p>
            <w:pPr>
              <w:pStyle w:val="TableParagraph"/>
              <w:spacing w:before="98"/>
              <w:ind w:left="777"/>
              <w:rPr>
                <w:rFonts w:ascii="Book Antiqua"/>
                <w:sz w:val="17"/>
              </w:rPr>
            </w:pPr>
            <w:r>
              <w:rPr>
                <w:rFonts w:ascii="Book Antiqua"/>
                <w:color w:val="231F20"/>
                <w:sz w:val="17"/>
              </w:rPr>
              <w:t>$84.72</w:t>
            </w:r>
          </w:p>
        </w:tc>
        <w:tc>
          <w:tcPr>
            <w:tcW w:w="1726" w:type="dxa"/>
            <w:tcBorders>
              <w:top w:val="single" w:sz="4" w:space="0" w:color="AAACAF"/>
              <w:bottom w:val="single" w:sz="4" w:space="0" w:color="AAACAF"/>
            </w:tcBorders>
          </w:tcPr>
          <w:p>
            <w:pPr>
              <w:pStyle w:val="TableParagraph"/>
              <w:spacing w:before="98"/>
              <w:ind w:right="496"/>
              <w:jc w:val="right"/>
              <w:rPr>
                <w:rFonts w:ascii="Book Antiqua"/>
                <w:sz w:val="17"/>
              </w:rPr>
            </w:pPr>
            <w:r>
              <w:rPr>
                <w:rFonts w:ascii="Book Antiqua"/>
                <w:color w:val="231F20"/>
                <w:w w:val="95"/>
                <w:sz w:val="17"/>
              </w:rPr>
              <w:t>$83.46</w:t>
            </w:r>
          </w:p>
        </w:tc>
        <w:tc>
          <w:tcPr>
            <w:tcW w:w="1344" w:type="dxa"/>
            <w:tcBorders>
              <w:top w:val="single" w:sz="4" w:space="0" w:color="AAACAF"/>
              <w:bottom w:val="single" w:sz="4" w:space="0" w:color="AAACAF"/>
            </w:tcBorders>
          </w:tcPr>
          <w:p>
            <w:pPr>
              <w:pStyle w:val="TableParagraph"/>
              <w:spacing w:before="98"/>
              <w:ind w:left="712"/>
              <w:rPr>
                <w:rFonts w:ascii="Book Antiqua"/>
                <w:sz w:val="17"/>
              </w:rPr>
            </w:pPr>
            <w:r>
              <w:rPr>
                <w:rFonts w:ascii="Book Antiqua"/>
                <w:color w:val="231F20"/>
                <w:sz w:val="17"/>
              </w:rPr>
              <w:t>$85.87</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878" w:val="left" w:leader="none"/>
              </w:tabs>
              <w:spacing w:before="98"/>
              <w:ind w:left="187"/>
              <w:rPr>
                <w:rFonts w:ascii="Book Antiqua" w:hAnsi="Book Antiqua"/>
                <w:sz w:val="17"/>
              </w:rPr>
            </w:pPr>
            <w:r>
              <w:rPr>
                <w:rFonts w:ascii="Book Antiqua" w:hAnsi="Book Antiqua"/>
                <w:color w:val="231F20"/>
                <w:spacing w:val="-4"/>
                <w:w w:val="93"/>
                <w:sz w:val="17"/>
              </w:rPr>
              <w:t>P</w:t>
            </w:r>
            <w:r>
              <w:rPr>
                <w:rFonts w:ascii="Book Antiqua" w:hAnsi="Book Antiqua"/>
                <w:color w:val="231F20"/>
                <w:w w:val="91"/>
                <w:sz w:val="17"/>
              </w:rPr>
              <w:t>assenger</w:t>
            </w:r>
            <w:r>
              <w:rPr>
                <w:rFonts w:ascii="Book Antiqua" w:hAnsi="Book Antiqua"/>
                <w:color w:val="231F20"/>
                <w:spacing w:val="-2"/>
                <w:sz w:val="17"/>
              </w:rPr>
              <w:t> </w:t>
            </w:r>
            <w:r>
              <w:rPr>
                <w:rFonts w:ascii="Book Antiqua" w:hAnsi="Book Antiqua"/>
                <w:color w:val="231F20"/>
                <w:w w:val="89"/>
                <w:sz w:val="17"/>
              </w:rPr>
              <w:t>re</w:t>
            </w:r>
            <w:r>
              <w:rPr>
                <w:rFonts w:ascii="Book Antiqua" w:hAnsi="Book Antiqua"/>
                <w:color w:val="231F20"/>
                <w:spacing w:val="-6"/>
                <w:w w:val="89"/>
                <w:sz w:val="17"/>
              </w:rPr>
              <w:t>v</w:t>
            </w:r>
            <w:r>
              <w:rPr>
                <w:rFonts w:ascii="Book Antiqua" w:hAnsi="Book Antiqua"/>
                <w:color w:val="231F20"/>
                <w:w w:val="92"/>
                <w:sz w:val="17"/>
              </w:rPr>
              <w:t>enue</w:t>
            </w:r>
            <w:r>
              <w:rPr>
                <w:rFonts w:ascii="Book Antiqua" w:hAnsi="Book Antiqua"/>
                <w:color w:val="231F20"/>
                <w:spacing w:val="-1"/>
                <w:sz w:val="17"/>
              </w:rPr>
              <w:t> </w:t>
            </w:r>
            <w:r>
              <w:rPr>
                <w:rFonts w:ascii="Book Antiqua" w:hAnsi="Book Antiqua"/>
                <w:color w:val="231F20"/>
                <w:w w:val="89"/>
                <w:sz w:val="17"/>
              </w:rPr>
              <w:t>yield</w:t>
            </w:r>
            <w:r>
              <w:rPr>
                <w:rFonts w:ascii="Book Antiqua" w:hAnsi="Book Antiqua"/>
                <w:color w:val="231F20"/>
                <w:spacing w:val="8"/>
                <w:sz w:val="17"/>
              </w:rPr>
              <w:t> </w:t>
            </w:r>
            <w:r>
              <w:rPr>
                <w:rFonts w:ascii="Book Antiqua" w:hAnsi="Book Antiqua"/>
                <w:color w:val="231F20"/>
                <w:w w:val="91"/>
                <w:sz w:val="17"/>
              </w:rPr>
              <w:t>per</w:t>
            </w:r>
            <w:r>
              <w:rPr>
                <w:rFonts w:ascii="Book Antiqua" w:hAnsi="Book Antiqua"/>
                <w:color w:val="231F20"/>
                <w:spacing w:val="-2"/>
                <w:sz w:val="17"/>
              </w:rPr>
              <w:t> </w:t>
            </w:r>
            <w:r>
              <w:rPr>
                <w:rFonts w:ascii="Book Antiqua" w:hAnsi="Book Antiqua"/>
                <w:color w:val="231F20"/>
                <w:w w:val="98"/>
                <w:sz w:val="17"/>
              </w:rPr>
              <w:t>RP</w:t>
            </w:r>
            <w:r>
              <w:rPr>
                <w:rFonts w:ascii="Book Antiqua" w:hAnsi="Book Antiqua"/>
                <w:color w:val="231F20"/>
                <w:spacing w:val="-1"/>
                <w:w w:val="98"/>
                <w:sz w:val="17"/>
              </w:rPr>
              <w:t>M</w:t>
            </w:r>
            <w:r>
              <w:rPr>
                <w:rFonts w:ascii="Book Antiqua" w:hAnsi="Book Antiqua"/>
                <w:color w:val="231F20"/>
                <w:w w:val="106"/>
                <w:position w:val="6"/>
                <w:sz w:val="8"/>
              </w:rPr>
              <w:t>(2)</w:t>
            </w:r>
            <w:r>
              <w:rPr>
                <w:rFonts w:ascii="Book Antiqua" w:hAnsi="Book Antiqua"/>
                <w:color w:val="231F20"/>
                <w:position w:val="6"/>
                <w:sz w:val="8"/>
              </w:rPr>
              <w:tab/>
            </w:r>
            <w:r>
              <w:rPr>
                <w:rFonts w:ascii="Book Antiqua" w:hAnsi="Book Antiqua"/>
                <w:color w:val="231F20"/>
                <w:spacing w:val="-10"/>
                <w:sz w:val="17"/>
              </w:rPr>
              <w:t>1</w:t>
            </w:r>
            <w:r>
              <w:rPr>
                <w:rFonts w:ascii="Book Antiqua" w:hAnsi="Book Antiqua"/>
                <w:color w:val="231F20"/>
                <w:spacing w:val="-6"/>
                <w:sz w:val="17"/>
              </w:rPr>
              <w:t>1</w:t>
            </w:r>
            <w:r>
              <w:rPr>
                <w:rFonts w:ascii="Book Antiqua" w:hAnsi="Book Antiqua"/>
                <w:color w:val="231F20"/>
                <w:w w:val="94"/>
                <w:sz w:val="17"/>
              </w:rPr>
              <w:t>.</w:t>
            </w:r>
            <w:r>
              <w:rPr>
                <w:rFonts w:ascii="Book Antiqua" w:hAnsi="Book Antiqua"/>
                <w:color w:val="231F20"/>
                <w:spacing w:val="-5"/>
                <w:w w:val="94"/>
                <w:sz w:val="17"/>
              </w:rPr>
              <w:t>9</w:t>
            </w:r>
            <w:r>
              <w:rPr>
                <w:rFonts w:ascii="Book Antiqua" w:hAnsi="Book Antiqua"/>
                <w:color w:val="231F20"/>
                <w:w w:val="97"/>
                <w:sz w:val="17"/>
              </w:rPr>
              <w:t>7¢</w:t>
            </w:r>
          </w:p>
        </w:tc>
        <w:tc>
          <w:tcPr>
            <w:tcW w:w="1781" w:type="dxa"/>
            <w:tcBorders>
              <w:top w:val="single" w:sz="4" w:space="0" w:color="AAACAF"/>
              <w:bottom w:val="single" w:sz="4" w:space="0" w:color="AAACAF"/>
            </w:tcBorders>
          </w:tcPr>
          <w:p>
            <w:pPr>
              <w:pStyle w:val="TableParagraph"/>
              <w:spacing w:before="98"/>
              <w:ind w:right="468"/>
              <w:jc w:val="right"/>
              <w:rPr>
                <w:rFonts w:ascii="Book Antiqua" w:hAnsi="Book Antiqua"/>
                <w:sz w:val="17"/>
              </w:rPr>
            </w:pPr>
            <w:r>
              <w:rPr>
                <w:rFonts w:ascii="Book Antiqua" w:hAnsi="Book Antiqua"/>
                <w:color w:val="231F20"/>
                <w:w w:val="95"/>
                <w:sz w:val="17"/>
              </w:rPr>
              <w:t>11.77¢</w:t>
            </w:r>
          </w:p>
        </w:tc>
        <w:tc>
          <w:tcPr>
            <w:tcW w:w="1726" w:type="dxa"/>
            <w:tcBorders>
              <w:top w:val="single" w:sz="4" w:space="0" w:color="AAACAF"/>
              <w:bottom w:val="single" w:sz="4" w:space="0" w:color="AAACAF"/>
            </w:tcBorders>
          </w:tcPr>
          <w:p>
            <w:pPr>
              <w:pStyle w:val="TableParagraph"/>
              <w:spacing w:before="98"/>
              <w:ind w:right="409"/>
              <w:jc w:val="right"/>
              <w:rPr>
                <w:rFonts w:ascii="Book Antiqua" w:hAnsi="Book Antiqua"/>
                <w:sz w:val="17"/>
              </w:rPr>
            </w:pPr>
            <w:r>
              <w:rPr>
                <w:rFonts w:ascii="Book Antiqua" w:hAnsi="Book Antiqua"/>
                <w:color w:val="231F20"/>
                <w:w w:val="95"/>
                <w:sz w:val="17"/>
              </w:rPr>
              <w:t>12.09¢</w:t>
            </w:r>
          </w:p>
        </w:tc>
        <w:tc>
          <w:tcPr>
            <w:tcW w:w="1344" w:type="dxa"/>
            <w:tcBorders>
              <w:top w:val="single" w:sz="4" w:space="0" w:color="AAACAF"/>
              <w:bottom w:val="single" w:sz="4" w:space="0" w:color="AAACAF"/>
            </w:tcBorders>
          </w:tcPr>
          <w:p>
            <w:pPr>
              <w:pStyle w:val="TableParagraph"/>
              <w:spacing w:before="98"/>
              <w:ind w:left="818"/>
              <w:rPr>
                <w:rFonts w:ascii="Book Antiqua" w:hAnsi="Book Antiqua"/>
                <w:sz w:val="17"/>
              </w:rPr>
            </w:pPr>
            <w:r>
              <w:rPr>
                <w:rFonts w:ascii="Book Antiqua" w:hAnsi="Book Antiqua"/>
                <w:color w:val="231F20"/>
                <w:sz w:val="17"/>
              </w:rPr>
              <w:t>12.95¢</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950" w:val="left" w:leader="none"/>
              </w:tabs>
              <w:spacing w:before="98"/>
              <w:ind w:left="187"/>
              <w:rPr>
                <w:rFonts w:ascii="Book Antiqua" w:hAnsi="Book Antiqua"/>
                <w:sz w:val="17"/>
              </w:rPr>
            </w:pPr>
            <w:r>
              <w:rPr>
                <w:rFonts w:ascii="Book Antiqua" w:hAnsi="Book Antiqua"/>
                <w:color w:val="231F20"/>
                <w:sz w:val="17"/>
              </w:rPr>
              <w:t>Operating</w:t>
            </w:r>
            <w:r>
              <w:rPr>
                <w:rFonts w:ascii="Book Antiqua" w:hAnsi="Book Antiqua"/>
                <w:color w:val="231F20"/>
                <w:spacing w:val="-26"/>
                <w:sz w:val="17"/>
              </w:rPr>
              <w:t> </w:t>
            </w:r>
            <w:r>
              <w:rPr>
                <w:rFonts w:ascii="Book Antiqua" w:hAnsi="Book Antiqua"/>
                <w:color w:val="231F20"/>
                <w:sz w:val="17"/>
              </w:rPr>
              <w:t>revenue</w:t>
            </w:r>
            <w:r>
              <w:rPr>
                <w:rFonts w:ascii="Book Antiqua" w:hAnsi="Book Antiqua"/>
                <w:color w:val="231F20"/>
                <w:spacing w:val="-29"/>
                <w:sz w:val="17"/>
              </w:rPr>
              <w:t> </w:t>
            </w:r>
            <w:r>
              <w:rPr>
                <w:rFonts w:ascii="Book Antiqua" w:hAnsi="Book Antiqua"/>
                <w:color w:val="231F20"/>
                <w:sz w:val="17"/>
              </w:rPr>
              <w:t>yield</w:t>
            </w:r>
            <w:r>
              <w:rPr>
                <w:rFonts w:ascii="Book Antiqua" w:hAnsi="Book Antiqua"/>
                <w:color w:val="231F20"/>
                <w:spacing w:val="-26"/>
                <w:sz w:val="17"/>
              </w:rPr>
              <w:t> </w:t>
            </w:r>
            <w:r>
              <w:rPr>
                <w:rFonts w:ascii="Book Antiqua" w:hAnsi="Book Antiqua"/>
                <w:color w:val="231F20"/>
                <w:sz w:val="17"/>
              </w:rPr>
              <w:t>per</w:t>
            </w:r>
            <w:r>
              <w:rPr>
                <w:rFonts w:ascii="Book Antiqua" w:hAnsi="Book Antiqua"/>
                <w:color w:val="231F20"/>
                <w:spacing w:val="-33"/>
                <w:sz w:val="17"/>
              </w:rPr>
              <w:t> </w:t>
            </w:r>
            <w:r>
              <w:rPr>
                <w:rFonts w:ascii="Book Antiqua" w:hAnsi="Book Antiqua"/>
                <w:color w:val="231F20"/>
                <w:sz w:val="17"/>
              </w:rPr>
              <w:t>ASM</w:t>
              <w:tab/>
              <w:t>8.27¢</w:t>
            </w:r>
          </w:p>
        </w:tc>
        <w:tc>
          <w:tcPr>
            <w:tcW w:w="1781" w:type="dxa"/>
            <w:tcBorders>
              <w:top w:val="single" w:sz="4" w:space="0" w:color="AAACAF"/>
              <w:bottom w:val="single" w:sz="4" w:space="0" w:color="AAACAF"/>
            </w:tcBorders>
          </w:tcPr>
          <w:p>
            <w:pPr>
              <w:pStyle w:val="TableParagraph"/>
              <w:spacing w:before="98"/>
              <w:ind w:right="446"/>
              <w:jc w:val="right"/>
              <w:rPr>
                <w:rFonts w:ascii="Book Antiqua" w:hAnsi="Book Antiqua"/>
                <w:sz w:val="17"/>
              </w:rPr>
            </w:pPr>
            <w:r>
              <w:rPr>
                <w:rFonts w:ascii="Book Antiqua" w:hAnsi="Book Antiqua"/>
                <w:color w:val="231F20"/>
                <w:w w:val="95"/>
                <w:sz w:val="17"/>
              </w:rPr>
              <w:t>8.02¢</w:t>
            </w:r>
          </w:p>
        </w:tc>
        <w:tc>
          <w:tcPr>
            <w:tcW w:w="1726" w:type="dxa"/>
            <w:tcBorders>
              <w:top w:val="single" w:sz="4" w:space="0" w:color="AAACAF"/>
              <w:bottom w:val="single" w:sz="4" w:space="0" w:color="AAACAF"/>
            </w:tcBorders>
          </w:tcPr>
          <w:p>
            <w:pPr>
              <w:pStyle w:val="TableParagraph"/>
              <w:spacing w:before="98"/>
              <w:ind w:right="408"/>
              <w:jc w:val="right"/>
              <w:rPr>
                <w:rFonts w:ascii="Book Antiqua" w:hAnsi="Book Antiqua"/>
                <w:sz w:val="17"/>
              </w:rPr>
            </w:pPr>
            <w:r>
              <w:rPr>
                <w:rFonts w:ascii="Book Antiqua" w:hAnsi="Book Antiqua"/>
                <w:color w:val="231F20"/>
                <w:w w:val="95"/>
                <w:sz w:val="17"/>
              </w:rPr>
              <w:t>8.51¢</w:t>
            </w:r>
          </w:p>
        </w:tc>
        <w:tc>
          <w:tcPr>
            <w:tcW w:w="1344" w:type="dxa"/>
            <w:tcBorders>
              <w:top w:val="single" w:sz="4" w:space="0" w:color="AAACAF"/>
              <w:bottom w:val="single" w:sz="4" w:space="0" w:color="AAACAF"/>
            </w:tcBorders>
          </w:tcPr>
          <w:p>
            <w:pPr>
              <w:pStyle w:val="TableParagraph"/>
              <w:spacing w:before="98"/>
              <w:ind w:right="87"/>
              <w:jc w:val="right"/>
              <w:rPr>
                <w:rFonts w:ascii="Book Antiqua" w:hAnsi="Book Antiqua"/>
                <w:sz w:val="17"/>
              </w:rPr>
            </w:pPr>
            <w:r>
              <w:rPr>
                <w:rFonts w:ascii="Book Antiqua" w:hAnsi="Book Antiqua"/>
                <w:color w:val="231F20"/>
                <w:w w:val="95"/>
                <w:sz w:val="17"/>
              </w:rPr>
              <w:t>9.43¢</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945" w:val="left" w:leader="none"/>
              </w:tabs>
              <w:spacing w:before="98"/>
              <w:ind w:left="187"/>
              <w:rPr>
                <w:rFonts w:ascii="Book Antiqua" w:hAnsi="Book Antiqua"/>
                <w:sz w:val="17"/>
              </w:rPr>
            </w:pPr>
            <w:r>
              <w:rPr>
                <w:rFonts w:ascii="Book Antiqua" w:hAnsi="Book Antiqua"/>
                <w:color w:val="231F20"/>
                <w:sz w:val="17"/>
              </w:rPr>
              <w:t>Operating</w:t>
            </w:r>
            <w:r>
              <w:rPr>
                <w:rFonts w:ascii="Book Antiqua" w:hAnsi="Book Antiqua"/>
                <w:color w:val="231F20"/>
                <w:spacing w:val="-21"/>
                <w:sz w:val="17"/>
              </w:rPr>
              <w:t> </w:t>
            </w:r>
            <w:r>
              <w:rPr>
                <w:rFonts w:ascii="Book Antiqua" w:hAnsi="Book Antiqua"/>
                <w:color w:val="231F20"/>
                <w:sz w:val="17"/>
              </w:rPr>
              <w:t>expenses</w:t>
            </w:r>
            <w:r>
              <w:rPr>
                <w:rFonts w:ascii="Book Antiqua" w:hAnsi="Book Antiqua"/>
                <w:color w:val="231F20"/>
                <w:spacing w:val="-21"/>
                <w:sz w:val="17"/>
              </w:rPr>
              <w:t> </w:t>
            </w:r>
            <w:r>
              <w:rPr>
                <w:rFonts w:ascii="Book Antiqua" w:hAnsi="Book Antiqua"/>
                <w:color w:val="231F20"/>
                <w:sz w:val="17"/>
              </w:rPr>
              <w:t>per</w:t>
            </w:r>
            <w:r>
              <w:rPr>
                <w:rFonts w:ascii="Book Antiqua" w:hAnsi="Book Antiqua"/>
                <w:color w:val="231F20"/>
                <w:spacing w:val="-31"/>
                <w:sz w:val="17"/>
              </w:rPr>
              <w:t> </w:t>
            </w:r>
            <w:r>
              <w:rPr>
                <w:rFonts w:ascii="Book Antiqua" w:hAnsi="Book Antiqua"/>
                <w:color w:val="231F20"/>
                <w:sz w:val="17"/>
              </w:rPr>
              <w:t>ASM</w:t>
              <w:tab/>
              <w:t>7.60¢</w:t>
            </w:r>
          </w:p>
        </w:tc>
        <w:tc>
          <w:tcPr>
            <w:tcW w:w="1781" w:type="dxa"/>
            <w:tcBorders>
              <w:top w:val="single" w:sz="4" w:space="0" w:color="AAACAF"/>
              <w:bottom w:val="single" w:sz="4" w:space="0" w:color="AAACAF"/>
            </w:tcBorders>
          </w:tcPr>
          <w:p>
            <w:pPr>
              <w:pStyle w:val="TableParagraph"/>
              <w:spacing w:before="98"/>
              <w:ind w:right="446"/>
              <w:jc w:val="right"/>
              <w:rPr>
                <w:rFonts w:ascii="Book Antiqua" w:hAnsi="Book Antiqua"/>
                <w:sz w:val="17"/>
              </w:rPr>
            </w:pPr>
            <w:r>
              <w:rPr>
                <w:rFonts w:ascii="Book Antiqua" w:hAnsi="Book Antiqua"/>
                <w:color w:val="231F20"/>
                <w:w w:val="95"/>
                <w:sz w:val="17"/>
              </w:rPr>
              <w:t>7. 41¢</w:t>
            </w:r>
          </w:p>
        </w:tc>
        <w:tc>
          <w:tcPr>
            <w:tcW w:w="1726" w:type="dxa"/>
            <w:tcBorders>
              <w:top w:val="single" w:sz="4" w:space="0" w:color="AAACAF"/>
              <w:bottom w:val="single" w:sz="4" w:space="0" w:color="AAACAF"/>
            </w:tcBorders>
          </w:tcPr>
          <w:p>
            <w:pPr>
              <w:pStyle w:val="TableParagraph"/>
              <w:spacing w:before="98"/>
              <w:ind w:right="408"/>
              <w:jc w:val="right"/>
              <w:rPr>
                <w:rFonts w:ascii="Book Antiqua" w:hAnsi="Book Antiqua"/>
                <w:sz w:val="17"/>
              </w:rPr>
            </w:pPr>
            <w:r>
              <w:rPr>
                <w:rFonts w:ascii="Book Antiqua" w:hAnsi="Book Antiqua"/>
                <w:color w:val="231F20"/>
                <w:w w:val="95"/>
                <w:sz w:val="17"/>
              </w:rPr>
              <w:t>7.54¢</w:t>
            </w:r>
          </w:p>
        </w:tc>
        <w:tc>
          <w:tcPr>
            <w:tcW w:w="1344" w:type="dxa"/>
            <w:tcBorders>
              <w:top w:val="single" w:sz="4" w:space="0" w:color="AAACAF"/>
              <w:bottom w:val="single" w:sz="4" w:space="0" w:color="AAACAF"/>
            </w:tcBorders>
          </w:tcPr>
          <w:p>
            <w:pPr>
              <w:pStyle w:val="TableParagraph"/>
              <w:spacing w:before="98"/>
              <w:ind w:right="87"/>
              <w:jc w:val="right"/>
              <w:rPr>
                <w:rFonts w:ascii="Book Antiqua" w:hAnsi="Book Antiqua"/>
                <w:sz w:val="17"/>
              </w:rPr>
            </w:pPr>
            <w:r>
              <w:rPr>
                <w:rFonts w:ascii="Book Antiqua" w:hAnsi="Book Antiqua"/>
                <w:color w:val="231F20"/>
                <w:w w:val="95"/>
                <w:sz w:val="17"/>
              </w:rPr>
              <w:t>7.73¢</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954" w:val="left" w:leader="none"/>
              </w:tabs>
              <w:spacing w:before="98"/>
              <w:ind w:left="187"/>
              <w:rPr>
                <w:rFonts w:ascii="Book Antiqua" w:hAnsi="Book Antiqua"/>
                <w:sz w:val="17"/>
              </w:rPr>
            </w:pPr>
            <w:r>
              <w:rPr>
                <w:rFonts w:ascii="Book Antiqua" w:hAnsi="Book Antiqua"/>
                <w:color w:val="231F20"/>
                <w:w w:val="95"/>
                <w:sz w:val="17"/>
              </w:rPr>
              <w:t>Operating expenses per</w:t>
            </w:r>
            <w:r>
              <w:rPr>
                <w:rFonts w:ascii="Book Antiqua" w:hAnsi="Book Antiqua"/>
                <w:color w:val="231F20"/>
                <w:spacing w:val="-33"/>
                <w:w w:val="95"/>
                <w:sz w:val="17"/>
              </w:rPr>
              <w:t> </w:t>
            </w:r>
            <w:r>
              <w:rPr>
                <w:rFonts w:ascii="Book Antiqua" w:hAnsi="Book Antiqua"/>
                <w:color w:val="231F20"/>
                <w:w w:val="95"/>
                <w:sz w:val="17"/>
              </w:rPr>
              <w:t>ASM, excluding</w:t>
            </w:r>
            <w:r>
              <w:rPr>
                <w:rFonts w:ascii="Book Antiqua" w:hAnsi="Book Antiqua"/>
                <w:color w:val="231F20"/>
                <w:spacing w:val="-3"/>
                <w:w w:val="95"/>
                <w:sz w:val="17"/>
              </w:rPr>
              <w:t> </w:t>
            </w:r>
            <w:r>
              <w:rPr>
                <w:rFonts w:ascii="Book Antiqua" w:hAnsi="Book Antiqua"/>
                <w:color w:val="231F20"/>
                <w:w w:val="95"/>
                <w:sz w:val="17"/>
              </w:rPr>
              <w:t>fuel</w:t>
              <w:tab/>
            </w:r>
            <w:r>
              <w:rPr>
                <w:rFonts w:ascii="Book Antiqua" w:hAnsi="Book Antiqua"/>
                <w:color w:val="231F20"/>
                <w:sz w:val="17"/>
              </w:rPr>
              <w:t>6.44¢</w:t>
            </w:r>
          </w:p>
        </w:tc>
        <w:tc>
          <w:tcPr>
            <w:tcW w:w="1781" w:type="dxa"/>
            <w:tcBorders>
              <w:top w:val="single" w:sz="4" w:space="0" w:color="AAACAF"/>
              <w:bottom w:val="single" w:sz="4" w:space="0" w:color="AAACAF"/>
            </w:tcBorders>
          </w:tcPr>
          <w:p>
            <w:pPr>
              <w:pStyle w:val="TableParagraph"/>
              <w:spacing w:before="98"/>
              <w:ind w:right="446"/>
              <w:jc w:val="right"/>
              <w:rPr>
                <w:rFonts w:ascii="Book Antiqua" w:hAnsi="Book Antiqua"/>
                <w:sz w:val="17"/>
              </w:rPr>
            </w:pPr>
            <w:r>
              <w:rPr>
                <w:rFonts w:ascii="Book Antiqua" w:hAnsi="Book Antiqua"/>
                <w:color w:val="231F20"/>
                <w:w w:val="95"/>
                <w:sz w:val="17"/>
              </w:rPr>
              <w:t>6. 30¢</w:t>
            </w:r>
          </w:p>
        </w:tc>
        <w:tc>
          <w:tcPr>
            <w:tcW w:w="1726" w:type="dxa"/>
            <w:tcBorders>
              <w:top w:val="single" w:sz="4" w:space="0" w:color="AAACAF"/>
              <w:bottom w:val="single" w:sz="4" w:space="0" w:color="AAACAF"/>
            </w:tcBorders>
          </w:tcPr>
          <w:p>
            <w:pPr>
              <w:pStyle w:val="TableParagraph"/>
              <w:spacing w:before="98"/>
              <w:ind w:right="408"/>
              <w:jc w:val="right"/>
              <w:rPr>
                <w:rFonts w:ascii="Book Antiqua" w:hAnsi="Book Antiqua"/>
                <w:sz w:val="17"/>
              </w:rPr>
            </w:pPr>
            <w:r>
              <w:rPr>
                <w:rFonts w:ascii="Book Antiqua" w:hAnsi="Book Antiqua"/>
                <w:color w:val="231F20"/>
                <w:w w:val="95"/>
                <w:sz w:val="17"/>
              </w:rPr>
              <w:t>6.36¢</w:t>
            </w:r>
          </w:p>
        </w:tc>
        <w:tc>
          <w:tcPr>
            <w:tcW w:w="1344" w:type="dxa"/>
            <w:tcBorders>
              <w:top w:val="single" w:sz="4" w:space="0" w:color="AAACAF"/>
              <w:bottom w:val="single" w:sz="4" w:space="0" w:color="AAACAF"/>
            </w:tcBorders>
          </w:tcPr>
          <w:p>
            <w:pPr>
              <w:pStyle w:val="TableParagraph"/>
              <w:spacing w:before="98"/>
              <w:ind w:right="87"/>
              <w:jc w:val="right"/>
              <w:rPr>
                <w:rFonts w:ascii="Book Antiqua" w:hAnsi="Book Antiqua"/>
                <w:sz w:val="17"/>
              </w:rPr>
            </w:pPr>
            <w:r>
              <w:rPr>
                <w:rFonts w:ascii="Book Antiqua" w:hAnsi="Book Antiqua"/>
                <w:color w:val="231F20"/>
                <w:w w:val="95"/>
                <w:sz w:val="17"/>
              </w:rPr>
              <w:t>6.38¢</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952" w:val="left" w:leader="none"/>
              </w:tabs>
              <w:spacing w:before="98"/>
              <w:ind w:left="187"/>
              <w:rPr>
                <w:rFonts w:ascii="Book Antiqua" w:hAnsi="Book Antiqua"/>
                <w:sz w:val="17"/>
              </w:rPr>
            </w:pPr>
            <w:r>
              <w:rPr>
                <w:rFonts w:ascii="Book Antiqua" w:hAnsi="Book Antiqua"/>
                <w:color w:val="231F20"/>
                <w:sz w:val="17"/>
              </w:rPr>
              <w:t>Fuel</w:t>
            </w:r>
            <w:r>
              <w:rPr>
                <w:rFonts w:ascii="Book Antiqua" w:hAnsi="Book Antiqua"/>
                <w:color w:val="231F20"/>
                <w:spacing w:val="-18"/>
                <w:sz w:val="17"/>
              </w:rPr>
              <w:t> </w:t>
            </w:r>
            <w:r>
              <w:rPr>
                <w:rFonts w:ascii="Book Antiqua" w:hAnsi="Book Antiqua"/>
                <w:color w:val="231F20"/>
                <w:sz w:val="17"/>
              </w:rPr>
              <w:t>cost</w:t>
            </w:r>
            <w:r>
              <w:rPr>
                <w:rFonts w:ascii="Book Antiqua" w:hAnsi="Book Antiqua"/>
                <w:color w:val="231F20"/>
                <w:spacing w:val="-21"/>
                <w:sz w:val="17"/>
              </w:rPr>
              <w:t> </w:t>
            </w:r>
            <w:r>
              <w:rPr>
                <w:rFonts w:ascii="Book Antiqua" w:hAnsi="Book Antiqua"/>
                <w:color w:val="231F20"/>
                <w:sz w:val="17"/>
              </w:rPr>
              <w:t>per</w:t>
            </w:r>
            <w:r>
              <w:rPr>
                <w:rFonts w:ascii="Book Antiqua" w:hAnsi="Book Antiqua"/>
                <w:color w:val="231F20"/>
                <w:spacing w:val="-23"/>
                <w:sz w:val="17"/>
              </w:rPr>
              <w:t> </w:t>
            </w:r>
            <w:r>
              <w:rPr>
                <w:rFonts w:ascii="Book Antiqua" w:hAnsi="Book Antiqua"/>
                <w:color w:val="231F20"/>
                <w:sz w:val="17"/>
              </w:rPr>
              <w:t>gallon</w:t>
            </w:r>
            <w:r>
              <w:rPr>
                <w:rFonts w:ascii="Book Antiqua" w:hAnsi="Book Antiqua"/>
                <w:color w:val="231F20"/>
                <w:spacing w:val="-18"/>
                <w:sz w:val="17"/>
              </w:rPr>
              <w:t> </w:t>
            </w:r>
            <w:r>
              <w:rPr>
                <w:rFonts w:ascii="Book Antiqua" w:hAnsi="Book Antiqua"/>
                <w:color w:val="231F20"/>
                <w:sz w:val="17"/>
              </w:rPr>
              <w:t>(average)</w:t>
              <w:tab/>
              <w:t>72.3¢</w:t>
            </w:r>
          </w:p>
        </w:tc>
        <w:tc>
          <w:tcPr>
            <w:tcW w:w="1781" w:type="dxa"/>
            <w:tcBorders>
              <w:top w:val="single" w:sz="4" w:space="0" w:color="AAACAF"/>
              <w:bottom w:val="single" w:sz="4" w:space="0" w:color="AAACAF"/>
            </w:tcBorders>
          </w:tcPr>
          <w:p>
            <w:pPr>
              <w:pStyle w:val="TableParagraph"/>
              <w:spacing w:before="98"/>
              <w:ind w:right="446"/>
              <w:jc w:val="right"/>
              <w:rPr>
                <w:rFonts w:ascii="Book Antiqua" w:hAnsi="Book Antiqua"/>
                <w:sz w:val="17"/>
              </w:rPr>
            </w:pPr>
            <w:r>
              <w:rPr>
                <w:rFonts w:ascii="Book Antiqua" w:hAnsi="Book Antiqua"/>
                <w:color w:val="231F20"/>
                <w:w w:val="95"/>
                <w:sz w:val="17"/>
              </w:rPr>
              <w:t>68.0¢</w:t>
            </w:r>
          </w:p>
        </w:tc>
        <w:tc>
          <w:tcPr>
            <w:tcW w:w="1726" w:type="dxa"/>
            <w:tcBorders>
              <w:top w:val="single" w:sz="4" w:space="0" w:color="AAACAF"/>
              <w:bottom w:val="single" w:sz="4" w:space="0" w:color="AAACAF"/>
            </w:tcBorders>
          </w:tcPr>
          <w:p>
            <w:pPr>
              <w:pStyle w:val="TableParagraph"/>
              <w:spacing w:before="98"/>
              <w:ind w:right="408"/>
              <w:jc w:val="right"/>
              <w:rPr>
                <w:rFonts w:ascii="Book Antiqua" w:hAnsi="Book Antiqua"/>
                <w:sz w:val="17"/>
              </w:rPr>
            </w:pPr>
            <w:r>
              <w:rPr>
                <w:rFonts w:ascii="Book Antiqua" w:hAnsi="Book Antiqua"/>
                <w:color w:val="231F20"/>
                <w:w w:val="95"/>
                <w:sz w:val="17"/>
              </w:rPr>
              <w:t>70.9¢</w:t>
            </w:r>
          </w:p>
        </w:tc>
        <w:tc>
          <w:tcPr>
            <w:tcW w:w="1344" w:type="dxa"/>
            <w:tcBorders>
              <w:top w:val="single" w:sz="4" w:space="0" w:color="AAACAF"/>
              <w:bottom w:val="single" w:sz="4" w:space="0" w:color="AAACAF"/>
            </w:tcBorders>
          </w:tcPr>
          <w:p>
            <w:pPr>
              <w:pStyle w:val="TableParagraph"/>
              <w:spacing w:before="98"/>
              <w:ind w:right="87"/>
              <w:jc w:val="right"/>
              <w:rPr>
                <w:rFonts w:ascii="Book Antiqua" w:hAnsi="Book Antiqua"/>
                <w:sz w:val="17"/>
              </w:rPr>
            </w:pPr>
            <w:r>
              <w:rPr>
                <w:rFonts w:ascii="Book Antiqua" w:hAnsi="Book Antiqua"/>
                <w:color w:val="231F20"/>
                <w:w w:val="95"/>
                <w:sz w:val="17"/>
              </w:rPr>
              <w:t>78.7¢</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786" w:val="left" w:leader="none"/>
              </w:tabs>
              <w:spacing w:before="98"/>
              <w:ind w:left="187"/>
              <w:rPr>
                <w:rFonts w:ascii="Book Antiqua"/>
                <w:sz w:val="17"/>
              </w:rPr>
            </w:pPr>
            <w:r>
              <w:rPr>
                <w:rFonts w:ascii="Book Antiqua"/>
                <w:color w:val="231F20"/>
                <w:sz w:val="17"/>
              </w:rPr>
              <w:t>Number</w:t>
            </w:r>
            <w:r>
              <w:rPr>
                <w:rFonts w:ascii="Book Antiqua"/>
                <w:color w:val="231F20"/>
                <w:spacing w:val="-28"/>
                <w:sz w:val="17"/>
              </w:rPr>
              <w:t> </w:t>
            </w:r>
            <w:r>
              <w:rPr>
                <w:rFonts w:ascii="Book Antiqua"/>
                <w:color w:val="231F20"/>
                <w:sz w:val="17"/>
              </w:rPr>
              <w:t>of</w:t>
            </w:r>
            <w:r>
              <w:rPr>
                <w:rFonts w:ascii="Book Antiqua"/>
                <w:color w:val="231F20"/>
                <w:spacing w:val="-25"/>
                <w:sz w:val="17"/>
              </w:rPr>
              <w:t> </w:t>
            </w:r>
            <w:r>
              <w:rPr>
                <w:rFonts w:ascii="Book Antiqua"/>
                <w:color w:val="231F20"/>
                <w:sz w:val="17"/>
              </w:rPr>
              <w:t>Employees</w:t>
            </w:r>
            <w:r>
              <w:rPr>
                <w:rFonts w:ascii="Book Antiqua"/>
                <w:color w:val="231F20"/>
                <w:spacing w:val="-25"/>
                <w:sz w:val="17"/>
              </w:rPr>
              <w:t> </w:t>
            </w:r>
            <w:r>
              <w:rPr>
                <w:rFonts w:ascii="Book Antiqua"/>
                <w:color w:val="231F20"/>
                <w:sz w:val="17"/>
              </w:rPr>
              <w:t>at</w:t>
            </w:r>
            <w:r>
              <w:rPr>
                <w:rFonts w:ascii="Book Antiqua"/>
                <w:color w:val="231F20"/>
                <w:spacing w:val="-30"/>
                <w:sz w:val="17"/>
              </w:rPr>
              <w:t> </w:t>
            </w:r>
            <w:r>
              <w:rPr>
                <w:rFonts w:ascii="Book Antiqua"/>
                <w:color w:val="231F20"/>
                <w:sz w:val="17"/>
              </w:rPr>
              <w:t>yearend</w:t>
              <w:tab/>
              <w:t>32,847</w:t>
            </w:r>
          </w:p>
        </w:tc>
        <w:tc>
          <w:tcPr>
            <w:tcW w:w="1781" w:type="dxa"/>
            <w:tcBorders>
              <w:top w:val="single" w:sz="4" w:space="0" w:color="AAACAF"/>
              <w:bottom w:val="single" w:sz="4" w:space="0" w:color="AAACAF"/>
            </w:tcBorders>
          </w:tcPr>
          <w:p>
            <w:pPr>
              <w:pStyle w:val="TableParagraph"/>
              <w:spacing w:before="98"/>
              <w:ind w:left="794"/>
              <w:rPr>
                <w:rFonts w:ascii="Book Antiqua"/>
                <w:sz w:val="17"/>
              </w:rPr>
            </w:pPr>
            <w:r>
              <w:rPr>
                <w:rFonts w:ascii="Book Antiqua"/>
                <w:color w:val="231F20"/>
                <w:sz w:val="17"/>
              </w:rPr>
              <w:t>33,705</w:t>
            </w:r>
          </w:p>
        </w:tc>
        <w:tc>
          <w:tcPr>
            <w:tcW w:w="1726" w:type="dxa"/>
            <w:tcBorders>
              <w:top w:val="single" w:sz="4" w:space="0" w:color="AAACAF"/>
              <w:bottom w:val="single" w:sz="4" w:space="0" w:color="AAACAF"/>
            </w:tcBorders>
          </w:tcPr>
          <w:p>
            <w:pPr>
              <w:pStyle w:val="TableParagraph"/>
              <w:spacing w:before="98"/>
              <w:ind w:right="498"/>
              <w:jc w:val="right"/>
              <w:rPr>
                <w:rFonts w:ascii="Book Antiqua"/>
                <w:sz w:val="17"/>
              </w:rPr>
            </w:pPr>
            <w:r>
              <w:rPr>
                <w:rFonts w:ascii="Book Antiqua"/>
                <w:color w:val="231F20"/>
                <w:w w:val="95"/>
                <w:sz w:val="17"/>
              </w:rPr>
              <w:t>31,580</w:t>
            </w:r>
          </w:p>
        </w:tc>
        <w:tc>
          <w:tcPr>
            <w:tcW w:w="1344" w:type="dxa"/>
            <w:tcBorders>
              <w:top w:val="single" w:sz="4" w:space="0" w:color="AAACAF"/>
              <w:bottom w:val="single" w:sz="4" w:space="0" w:color="AAACAF"/>
            </w:tcBorders>
          </w:tcPr>
          <w:p>
            <w:pPr>
              <w:pStyle w:val="TableParagraph"/>
              <w:spacing w:before="98"/>
              <w:ind w:left="719"/>
              <w:rPr>
                <w:rFonts w:ascii="Book Antiqua"/>
                <w:sz w:val="17"/>
              </w:rPr>
            </w:pPr>
            <w:r>
              <w:rPr>
                <w:rFonts w:ascii="Book Antiqua"/>
                <w:color w:val="231F20"/>
                <w:sz w:val="17"/>
              </w:rPr>
              <w:t>29, 274</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5242" w:val="right" w:leader="none"/>
              </w:tabs>
              <w:spacing w:before="98"/>
              <w:ind w:left="187"/>
              <w:rPr>
                <w:rFonts w:ascii="Book Antiqua"/>
                <w:sz w:val="17"/>
              </w:rPr>
            </w:pPr>
            <w:r>
              <w:rPr>
                <w:rFonts w:ascii="Book Antiqua"/>
                <w:color w:val="231F20"/>
                <w:sz w:val="17"/>
              </w:rPr>
              <w:t>Size of f leet at</w:t>
            </w:r>
            <w:r>
              <w:rPr>
                <w:rFonts w:ascii="Book Antiqua"/>
                <w:color w:val="231F20"/>
                <w:spacing w:val="-24"/>
                <w:sz w:val="17"/>
              </w:rPr>
              <w:t> </w:t>
            </w:r>
            <w:r>
              <w:rPr>
                <w:rFonts w:ascii="Book Antiqua"/>
                <w:color w:val="231F20"/>
                <w:sz w:val="17"/>
              </w:rPr>
              <w:t>yearend</w:t>
            </w:r>
            <w:r>
              <w:rPr>
                <w:rFonts w:ascii="Book Antiqua"/>
                <w:color w:val="231F20"/>
                <w:spacing w:val="-27"/>
                <w:sz w:val="17"/>
              </w:rPr>
              <w:t> </w:t>
            </w:r>
            <w:r>
              <w:rPr>
                <w:rFonts w:ascii="Book Antiqua"/>
                <w:color w:val="231F20"/>
                <w:position w:val="6"/>
                <w:sz w:val="8"/>
              </w:rPr>
              <w:t>(5)</w:t>
            </w:r>
            <w:r>
              <w:rPr>
                <w:rFonts w:ascii="Book Antiqua"/>
                <w:color w:val="231F20"/>
                <w:sz w:val="17"/>
              </w:rPr>
              <w:tab/>
              <w:t>388</w:t>
            </w:r>
          </w:p>
        </w:tc>
        <w:tc>
          <w:tcPr>
            <w:tcW w:w="1781" w:type="dxa"/>
            <w:tcBorders>
              <w:top w:val="single" w:sz="4" w:space="0" w:color="AAACAF"/>
              <w:bottom w:val="single" w:sz="4" w:space="0" w:color="AAACAF"/>
            </w:tcBorders>
          </w:tcPr>
          <w:p>
            <w:pPr>
              <w:pStyle w:val="TableParagraph"/>
              <w:spacing w:before="98"/>
              <w:ind w:right="536"/>
              <w:jc w:val="right"/>
              <w:rPr>
                <w:rFonts w:ascii="Book Antiqua"/>
                <w:sz w:val="17"/>
              </w:rPr>
            </w:pPr>
            <w:r>
              <w:rPr>
                <w:rFonts w:ascii="Book Antiqua"/>
                <w:color w:val="231F20"/>
                <w:sz w:val="17"/>
              </w:rPr>
              <w:t>375</w:t>
            </w:r>
          </w:p>
        </w:tc>
        <w:tc>
          <w:tcPr>
            <w:tcW w:w="1726" w:type="dxa"/>
            <w:tcBorders>
              <w:top w:val="single" w:sz="4" w:space="0" w:color="AAACAF"/>
              <w:bottom w:val="single" w:sz="4" w:space="0" w:color="AAACAF"/>
            </w:tcBorders>
          </w:tcPr>
          <w:p>
            <w:pPr>
              <w:pStyle w:val="TableParagraph"/>
              <w:spacing w:before="98"/>
              <w:ind w:right="496"/>
              <w:jc w:val="right"/>
              <w:rPr>
                <w:rFonts w:ascii="Book Antiqua"/>
                <w:sz w:val="17"/>
              </w:rPr>
            </w:pPr>
            <w:r>
              <w:rPr>
                <w:rFonts w:ascii="Book Antiqua"/>
                <w:color w:val="231F20"/>
                <w:sz w:val="17"/>
              </w:rPr>
              <w:t>355</w:t>
            </w:r>
          </w:p>
        </w:tc>
        <w:tc>
          <w:tcPr>
            <w:tcW w:w="1344" w:type="dxa"/>
            <w:tcBorders>
              <w:top w:val="single" w:sz="4" w:space="0" w:color="AAACAF"/>
              <w:bottom w:val="single" w:sz="4" w:space="0" w:color="AAACAF"/>
            </w:tcBorders>
          </w:tcPr>
          <w:p>
            <w:pPr>
              <w:pStyle w:val="TableParagraph"/>
              <w:spacing w:before="98"/>
              <w:ind w:right="162"/>
              <w:jc w:val="right"/>
              <w:rPr>
                <w:rFonts w:ascii="Book Antiqua"/>
                <w:sz w:val="17"/>
              </w:rPr>
            </w:pPr>
            <w:r>
              <w:rPr>
                <w:rFonts w:ascii="Book Antiqua"/>
                <w:color w:val="231F20"/>
                <w:sz w:val="17"/>
              </w:rPr>
              <w:t>344</w:t>
            </w:r>
          </w:p>
        </w:tc>
      </w:tr>
      <w:tr>
        <w:trPr>
          <w:trHeight w:val="560" w:hRule="exact"/>
        </w:trPr>
        <w:tc>
          <w:tcPr>
            <w:tcW w:w="313" w:type="dxa"/>
          </w:tcPr>
          <w:p>
            <w:pPr/>
          </w:p>
        </w:tc>
        <w:tc>
          <w:tcPr>
            <w:tcW w:w="5777" w:type="dxa"/>
            <w:tcBorders>
              <w:top w:val="single" w:sz="4" w:space="0" w:color="AAACAF"/>
            </w:tcBorders>
          </w:tcPr>
          <w:p>
            <w:pPr>
              <w:pStyle w:val="TableParagraph"/>
              <w:spacing w:before="4"/>
              <w:rPr>
                <w:sz w:val="29"/>
              </w:rPr>
            </w:pPr>
          </w:p>
          <w:p>
            <w:pPr>
              <w:pStyle w:val="TableParagraph"/>
              <w:ind w:left="187"/>
              <w:rPr>
                <w:rFonts w:ascii="Book Antiqua"/>
                <w:sz w:val="17"/>
              </w:rPr>
            </w:pPr>
            <w:r>
              <w:rPr>
                <w:rFonts w:ascii="Book Antiqua"/>
                <w:color w:val="231F20"/>
                <w:position w:val="2"/>
                <w:sz w:val="17"/>
              </w:rPr>
              <w:t>(1) </w:t>
            </w:r>
            <w:r>
              <w:rPr>
                <w:rFonts w:ascii="Book Antiqua"/>
                <w:color w:val="231F20"/>
                <w:sz w:val="17"/>
              </w:rPr>
              <w:t>Before cumulative effect of change in accounting principle</w:t>
            </w:r>
          </w:p>
        </w:tc>
        <w:tc>
          <w:tcPr>
            <w:tcW w:w="1781" w:type="dxa"/>
            <w:tcBorders>
              <w:top w:val="single" w:sz="4" w:space="0" w:color="AAACAF"/>
            </w:tcBorders>
          </w:tcPr>
          <w:p>
            <w:pPr/>
          </w:p>
        </w:tc>
        <w:tc>
          <w:tcPr>
            <w:tcW w:w="1726" w:type="dxa"/>
            <w:tcBorders>
              <w:top w:val="single" w:sz="4" w:space="0" w:color="AAACAF"/>
            </w:tcBorders>
          </w:tcPr>
          <w:p>
            <w:pPr/>
          </w:p>
        </w:tc>
        <w:tc>
          <w:tcPr>
            <w:tcW w:w="1344" w:type="dxa"/>
            <w:tcBorders>
              <w:top w:val="single" w:sz="4" w:space="0" w:color="AAACAF"/>
            </w:tcBorders>
          </w:tcPr>
          <w:p>
            <w:pPr/>
          </w:p>
        </w:tc>
      </w:tr>
    </w:tbl>
    <w:p>
      <w:pPr>
        <w:pStyle w:val="ListParagraph"/>
        <w:numPr>
          <w:ilvl w:val="1"/>
          <w:numId w:val="2"/>
        </w:numPr>
        <w:tabs>
          <w:tab w:pos="890" w:val="left" w:leader="none"/>
        </w:tabs>
        <w:spacing w:line="295" w:lineRule="auto" w:before="27" w:after="0"/>
        <w:ind w:left="889" w:right="2687" w:hanging="270"/>
        <w:jc w:val="left"/>
        <w:rPr>
          <w:rFonts w:ascii="Book Antiqua"/>
          <w:sz w:val="17"/>
        </w:rPr>
      </w:pPr>
      <w:r>
        <w:rPr/>
        <w:pict>
          <v:line style="position:absolute;mso-position-horizontal-relative:page;mso-position-vertical-relative:page;z-index:-232840" from="46.044998pt,91.474998pt" to="567.861998pt,91.474998pt" stroked="true" strokeweight=".5pt" strokecolor="#231f20">
            <v:stroke dashstyle="solid"/>
            <w10:wrap type="none"/>
          </v:line>
        </w:pict>
      </w:r>
      <w:r>
        <w:rPr>
          <w:rFonts w:ascii="Book Antiqua"/>
          <w:color w:val="231F20"/>
          <w:sz w:val="17"/>
        </w:rPr>
        <w:t>Includes</w:t>
      </w:r>
      <w:r>
        <w:rPr>
          <w:rFonts w:ascii="Book Antiqua"/>
          <w:color w:val="231F20"/>
          <w:spacing w:val="-23"/>
          <w:sz w:val="17"/>
        </w:rPr>
        <w:t> </w:t>
      </w:r>
      <w:r>
        <w:rPr>
          <w:rFonts w:ascii="Book Antiqua"/>
          <w:color w:val="231F20"/>
          <w:sz w:val="17"/>
        </w:rPr>
        <w:t>effect</w:t>
      </w:r>
      <w:r>
        <w:rPr>
          <w:rFonts w:ascii="Book Antiqua"/>
          <w:color w:val="231F20"/>
          <w:spacing w:val="-26"/>
          <w:sz w:val="17"/>
        </w:rPr>
        <w:t> </w:t>
      </w:r>
      <w:r>
        <w:rPr>
          <w:rFonts w:ascii="Book Antiqua"/>
          <w:color w:val="231F20"/>
          <w:sz w:val="17"/>
        </w:rPr>
        <w:t>of</w:t>
      </w:r>
      <w:r>
        <w:rPr>
          <w:rFonts w:ascii="Book Antiqua"/>
          <w:color w:val="231F20"/>
          <w:spacing w:val="-23"/>
          <w:sz w:val="17"/>
        </w:rPr>
        <w:t> </w:t>
      </w:r>
      <w:r>
        <w:rPr>
          <w:rFonts w:ascii="Book Antiqua"/>
          <w:color w:val="231F20"/>
          <w:sz w:val="17"/>
        </w:rPr>
        <w:t>reclassification</w:t>
      </w:r>
      <w:r>
        <w:rPr>
          <w:rFonts w:ascii="Book Antiqua"/>
          <w:color w:val="231F20"/>
          <w:spacing w:val="-23"/>
          <w:sz w:val="17"/>
        </w:rPr>
        <w:t> </w:t>
      </w:r>
      <w:r>
        <w:rPr>
          <w:rFonts w:ascii="Book Antiqua"/>
          <w:color w:val="231F20"/>
          <w:sz w:val="17"/>
        </w:rPr>
        <w:t>of</w:t>
      </w:r>
      <w:r>
        <w:rPr>
          <w:rFonts w:ascii="Book Antiqua"/>
          <w:color w:val="231F20"/>
          <w:spacing w:val="-23"/>
          <w:sz w:val="17"/>
        </w:rPr>
        <w:t> </w:t>
      </w:r>
      <w:r>
        <w:rPr>
          <w:rFonts w:ascii="Book Antiqua"/>
          <w:color w:val="231F20"/>
          <w:sz w:val="17"/>
        </w:rPr>
        <w:t>revenue</w:t>
      </w:r>
      <w:r>
        <w:rPr>
          <w:rFonts w:ascii="Book Antiqua"/>
          <w:color w:val="231F20"/>
          <w:spacing w:val="-23"/>
          <w:sz w:val="17"/>
        </w:rPr>
        <w:t> </w:t>
      </w:r>
      <w:r>
        <w:rPr>
          <w:rFonts w:ascii="Book Antiqua"/>
          <w:color w:val="231F20"/>
          <w:sz w:val="17"/>
        </w:rPr>
        <w:t>reported</w:t>
      </w:r>
      <w:r>
        <w:rPr>
          <w:rFonts w:ascii="Book Antiqua"/>
          <w:color w:val="231F20"/>
          <w:spacing w:val="-23"/>
          <w:sz w:val="17"/>
        </w:rPr>
        <w:t> </w:t>
      </w:r>
      <w:r>
        <w:rPr>
          <w:rFonts w:ascii="Book Antiqua"/>
          <w:color w:val="231F20"/>
          <w:sz w:val="17"/>
        </w:rPr>
        <w:t>in</w:t>
      </w:r>
      <w:r>
        <w:rPr>
          <w:rFonts w:ascii="Book Antiqua"/>
          <w:color w:val="231F20"/>
          <w:spacing w:val="-23"/>
          <w:sz w:val="17"/>
        </w:rPr>
        <w:t> </w:t>
      </w:r>
      <w:r>
        <w:rPr>
          <w:rFonts w:ascii="Book Antiqua"/>
          <w:color w:val="231F20"/>
          <w:spacing w:val="-3"/>
          <w:sz w:val="17"/>
        </w:rPr>
        <w:t>1999</w:t>
      </w:r>
      <w:r>
        <w:rPr>
          <w:rFonts w:ascii="Book Antiqua"/>
          <w:color w:val="231F20"/>
          <w:spacing w:val="-25"/>
          <w:sz w:val="17"/>
        </w:rPr>
        <w:t> </w:t>
      </w:r>
      <w:r>
        <w:rPr>
          <w:rFonts w:ascii="Book Antiqua"/>
          <w:color w:val="231F20"/>
          <w:sz w:val="17"/>
        </w:rPr>
        <w:t>through</w:t>
      </w:r>
      <w:r>
        <w:rPr>
          <w:rFonts w:ascii="Book Antiqua"/>
          <w:color w:val="231F20"/>
          <w:spacing w:val="-23"/>
          <w:sz w:val="17"/>
        </w:rPr>
        <w:t> </w:t>
      </w:r>
      <w:r>
        <w:rPr>
          <w:rFonts w:ascii="Book Antiqua"/>
          <w:color w:val="231F20"/>
          <w:spacing w:val="-3"/>
          <w:sz w:val="17"/>
        </w:rPr>
        <w:t>1995</w:t>
      </w:r>
      <w:r>
        <w:rPr>
          <w:rFonts w:ascii="Book Antiqua"/>
          <w:color w:val="231F20"/>
          <w:spacing w:val="-25"/>
          <w:sz w:val="17"/>
        </w:rPr>
        <w:t> </w:t>
      </w:r>
      <w:r>
        <w:rPr>
          <w:rFonts w:ascii="Book Antiqua"/>
          <w:color w:val="231F20"/>
          <w:sz w:val="17"/>
        </w:rPr>
        <w:t>related</w:t>
      </w:r>
      <w:r>
        <w:rPr>
          <w:rFonts w:ascii="Book Antiqua"/>
          <w:color w:val="231F20"/>
          <w:spacing w:val="-23"/>
          <w:sz w:val="17"/>
        </w:rPr>
        <w:t> </w:t>
      </w:r>
      <w:r>
        <w:rPr>
          <w:rFonts w:ascii="Book Antiqua"/>
          <w:color w:val="231F20"/>
          <w:sz w:val="17"/>
        </w:rPr>
        <w:t>to</w:t>
      </w:r>
      <w:r>
        <w:rPr>
          <w:rFonts w:ascii="Book Antiqua"/>
          <w:color w:val="231F20"/>
          <w:spacing w:val="-23"/>
          <w:sz w:val="17"/>
        </w:rPr>
        <w:t> </w:t>
      </w:r>
      <w:r>
        <w:rPr>
          <w:rFonts w:ascii="Book Antiqua"/>
          <w:color w:val="231F20"/>
          <w:sz w:val="17"/>
        </w:rPr>
        <w:t>sale</w:t>
      </w:r>
      <w:r>
        <w:rPr>
          <w:rFonts w:ascii="Book Antiqua"/>
          <w:color w:val="231F20"/>
          <w:spacing w:val="-23"/>
          <w:sz w:val="17"/>
        </w:rPr>
        <w:t> </w:t>
      </w:r>
      <w:r>
        <w:rPr>
          <w:rFonts w:ascii="Book Antiqua"/>
          <w:color w:val="231F20"/>
          <w:sz w:val="17"/>
        </w:rPr>
        <w:t>of</w:t>
      </w:r>
      <w:r>
        <w:rPr>
          <w:rFonts w:ascii="Book Antiqua"/>
          <w:color w:val="231F20"/>
          <w:spacing w:val="-23"/>
          <w:sz w:val="17"/>
        </w:rPr>
        <w:t> </w:t>
      </w:r>
      <w:r>
        <w:rPr>
          <w:rFonts w:ascii="Book Antiqua"/>
          <w:color w:val="231F20"/>
          <w:sz w:val="17"/>
        </w:rPr>
        <w:t>f</w:t>
      </w:r>
      <w:r>
        <w:rPr>
          <w:rFonts w:ascii="Book Antiqua"/>
          <w:color w:val="231F20"/>
          <w:spacing w:val="-37"/>
          <w:sz w:val="17"/>
        </w:rPr>
        <w:t> </w:t>
      </w:r>
      <w:r>
        <w:rPr>
          <w:rFonts w:ascii="Book Antiqua"/>
          <w:color w:val="231F20"/>
          <w:sz w:val="17"/>
        </w:rPr>
        <w:t>light</w:t>
      </w:r>
      <w:r>
        <w:rPr>
          <w:rFonts w:ascii="Book Antiqua"/>
          <w:color w:val="231F20"/>
          <w:spacing w:val="-26"/>
          <w:sz w:val="17"/>
        </w:rPr>
        <w:t> </w:t>
      </w:r>
      <w:r>
        <w:rPr>
          <w:rFonts w:ascii="Book Antiqua"/>
          <w:color w:val="231F20"/>
          <w:sz w:val="17"/>
        </w:rPr>
        <w:t>segment credits</w:t>
      </w:r>
      <w:r>
        <w:rPr>
          <w:rFonts w:ascii="Book Antiqua"/>
          <w:color w:val="231F20"/>
          <w:spacing w:val="-23"/>
          <w:sz w:val="17"/>
        </w:rPr>
        <w:t> </w:t>
      </w:r>
      <w:r>
        <w:rPr>
          <w:rFonts w:ascii="Book Antiqua"/>
          <w:color w:val="231F20"/>
          <w:sz w:val="17"/>
        </w:rPr>
        <w:t>from</w:t>
      </w:r>
      <w:r>
        <w:rPr>
          <w:rFonts w:ascii="Book Antiqua"/>
          <w:color w:val="231F20"/>
          <w:spacing w:val="-23"/>
          <w:sz w:val="17"/>
        </w:rPr>
        <w:t> </w:t>
      </w:r>
      <w:r>
        <w:rPr>
          <w:rFonts w:ascii="Book Antiqua"/>
          <w:color w:val="231F20"/>
          <w:sz w:val="17"/>
        </w:rPr>
        <w:t>Other</w:t>
      </w:r>
      <w:r>
        <w:rPr>
          <w:rFonts w:ascii="Book Antiqua"/>
          <w:color w:val="231F20"/>
          <w:spacing w:val="-27"/>
          <w:sz w:val="17"/>
        </w:rPr>
        <w:t> </w:t>
      </w:r>
      <w:r>
        <w:rPr>
          <w:rFonts w:ascii="Book Antiqua"/>
          <w:color w:val="231F20"/>
          <w:sz w:val="17"/>
        </w:rPr>
        <w:t>to</w:t>
      </w:r>
      <w:r>
        <w:rPr>
          <w:rFonts w:ascii="Book Antiqua"/>
          <w:color w:val="231F20"/>
          <w:spacing w:val="-23"/>
          <w:sz w:val="17"/>
        </w:rPr>
        <w:t> </w:t>
      </w:r>
      <w:r>
        <w:rPr>
          <w:rFonts w:ascii="Book Antiqua"/>
          <w:color w:val="231F20"/>
          <w:sz w:val="17"/>
        </w:rPr>
        <w:t>Passenger</w:t>
      </w:r>
      <w:r>
        <w:rPr>
          <w:rFonts w:ascii="Book Antiqua"/>
          <w:color w:val="231F20"/>
          <w:spacing w:val="-27"/>
          <w:sz w:val="17"/>
        </w:rPr>
        <w:t> </w:t>
      </w:r>
      <w:r>
        <w:rPr>
          <w:rFonts w:ascii="Book Antiqua"/>
          <w:color w:val="231F20"/>
          <w:sz w:val="17"/>
        </w:rPr>
        <w:t>due</w:t>
      </w:r>
      <w:r>
        <w:rPr>
          <w:rFonts w:ascii="Book Antiqua"/>
          <w:color w:val="231F20"/>
          <w:spacing w:val="-23"/>
          <w:sz w:val="17"/>
        </w:rPr>
        <w:t> </w:t>
      </w:r>
      <w:r>
        <w:rPr>
          <w:rFonts w:ascii="Book Antiqua"/>
          <w:color w:val="231F20"/>
          <w:sz w:val="17"/>
        </w:rPr>
        <w:t>to</w:t>
      </w:r>
      <w:r>
        <w:rPr>
          <w:rFonts w:ascii="Book Antiqua"/>
          <w:color w:val="231F20"/>
          <w:spacing w:val="-23"/>
          <w:sz w:val="17"/>
        </w:rPr>
        <w:t> </w:t>
      </w:r>
      <w:r>
        <w:rPr>
          <w:rFonts w:ascii="Book Antiqua"/>
          <w:color w:val="231F20"/>
          <w:sz w:val="17"/>
        </w:rPr>
        <w:t>the</w:t>
      </w:r>
      <w:r>
        <w:rPr>
          <w:rFonts w:ascii="Book Antiqua"/>
          <w:color w:val="231F20"/>
          <w:spacing w:val="-23"/>
          <w:sz w:val="17"/>
        </w:rPr>
        <w:t> </w:t>
      </w:r>
      <w:r>
        <w:rPr>
          <w:rFonts w:ascii="Book Antiqua"/>
          <w:color w:val="231F20"/>
          <w:sz w:val="17"/>
        </w:rPr>
        <w:t>accounting</w:t>
      </w:r>
      <w:r>
        <w:rPr>
          <w:rFonts w:ascii="Book Antiqua"/>
          <w:color w:val="231F20"/>
          <w:spacing w:val="-23"/>
          <w:sz w:val="17"/>
        </w:rPr>
        <w:t> </w:t>
      </w:r>
      <w:r>
        <w:rPr>
          <w:rFonts w:ascii="Book Antiqua"/>
          <w:color w:val="231F20"/>
          <w:sz w:val="17"/>
        </w:rPr>
        <w:t>change</w:t>
      </w:r>
      <w:r>
        <w:rPr>
          <w:rFonts w:ascii="Book Antiqua"/>
          <w:color w:val="231F20"/>
          <w:spacing w:val="-23"/>
          <w:sz w:val="17"/>
        </w:rPr>
        <w:t> </w:t>
      </w:r>
      <w:r>
        <w:rPr>
          <w:rFonts w:ascii="Book Antiqua"/>
          <w:color w:val="231F20"/>
          <w:sz w:val="17"/>
        </w:rPr>
        <w:t>implemented</w:t>
      </w:r>
      <w:r>
        <w:rPr>
          <w:rFonts w:ascii="Book Antiqua"/>
          <w:color w:val="231F20"/>
          <w:spacing w:val="-23"/>
          <w:sz w:val="17"/>
        </w:rPr>
        <w:t> </w:t>
      </w:r>
      <w:r>
        <w:rPr>
          <w:rFonts w:ascii="Book Antiqua"/>
          <w:color w:val="231F20"/>
          <w:sz w:val="17"/>
        </w:rPr>
        <w:t>in</w:t>
      </w:r>
      <w:r>
        <w:rPr>
          <w:rFonts w:ascii="Book Antiqua"/>
          <w:color w:val="231F20"/>
          <w:spacing w:val="-23"/>
          <w:sz w:val="17"/>
        </w:rPr>
        <w:t> </w:t>
      </w:r>
      <w:r>
        <w:rPr>
          <w:rFonts w:ascii="Book Antiqua"/>
          <w:color w:val="231F20"/>
          <w:sz w:val="17"/>
        </w:rPr>
        <w:t>2000</w:t>
      </w:r>
    </w:p>
    <w:p>
      <w:pPr>
        <w:pStyle w:val="ListParagraph"/>
        <w:numPr>
          <w:ilvl w:val="1"/>
          <w:numId w:val="2"/>
        </w:numPr>
        <w:tabs>
          <w:tab w:pos="890" w:val="left" w:leader="none"/>
        </w:tabs>
        <w:spacing w:line="211" w:lineRule="exact" w:before="0" w:after="0"/>
        <w:ind w:left="889" w:right="0" w:hanging="270"/>
        <w:jc w:val="left"/>
        <w:rPr>
          <w:rFonts w:ascii="Book Antiqua"/>
          <w:sz w:val="17"/>
        </w:rPr>
      </w:pPr>
      <w:r>
        <w:rPr>
          <w:rFonts w:ascii="Book Antiqua"/>
          <w:color w:val="231F20"/>
          <w:sz w:val="17"/>
        </w:rPr>
        <w:t>Certain</w:t>
      </w:r>
      <w:r>
        <w:rPr>
          <w:rFonts w:ascii="Book Antiqua"/>
          <w:color w:val="231F20"/>
          <w:spacing w:val="-23"/>
          <w:sz w:val="17"/>
        </w:rPr>
        <w:t> </w:t>
      </w:r>
      <w:r>
        <w:rPr>
          <w:rFonts w:ascii="Book Antiqua"/>
          <w:color w:val="231F20"/>
          <w:sz w:val="17"/>
        </w:rPr>
        <w:t>figures</w:t>
      </w:r>
      <w:r>
        <w:rPr>
          <w:rFonts w:ascii="Book Antiqua"/>
          <w:color w:val="231F20"/>
          <w:spacing w:val="-23"/>
          <w:sz w:val="17"/>
        </w:rPr>
        <w:t> </w:t>
      </w:r>
      <w:r>
        <w:rPr>
          <w:rFonts w:ascii="Book Antiqua"/>
          <w:color w:val="231F20"/>
          <w:sz w:val="17"/>
        </w:rPr>
        <w:t>in</w:t>
      </w:r>
      <w:r>
        <w:rPr>
          <w:rFonts w:ascii="Book Antiqua"/>
          <w:color w:val="231F20"/>
          <w:spacing w:val="-23"/>
          <w:sz w:val="17"/>
        </w:rPr>
        <w:t> </w:t>
      </w:r>
      <w:r>
        <w:rPr>
          <w:rFonts w:ascii="Book Antiqua"/>
          <w:color w:val="231F20"/>
          <w:spacing w:val="-3"/>
          <w:sz w:val="17"/>
        </w:rPr>
        <w:t>2001</w:t>
      </w:r>
      <w:r>
        <w:rPr>
          <w:rFonts w:ascii="Book Antiqua"/>
          <w:color w:val="231F20"/>
          <w:spacing w:val="-27"/>
          <w:sz w:val="17"/>
        </w:rPr>
        <w:t> </w:t>
      </w:r>
      <w:r>
        <w:rPr>
          <w:rFonts w:ascii="Book Antiqua"/>
          <w:color w:val="231F20"/>
          <w:sz w:val="17"/>
        </w:rPr>
        <w:t>and</w:t>
      </w:r>
      <w:r>
        <w:rPr>
          <w:rFonts w:ascii="Book Antiqua"/>
          <w:color w:val="231F20"/>
          <w:spacing w:val="-23"/>
          <w:sz w:val="17"/>
        </w:rPr>
        <w:t> </w:t>
      </w:r>
      <w:r>
        <w:rPr>
          <w:rFonts w:ascii="Book Antiqua"/>
          <w:color w:val="231F20"/>
          <w:sz w:val="17"/>
        </w:rPr>
        <w:t>2002</w:t>
      </w:r>
      <w:r>
        <w:rPr>
          <w:rFonts w:ascii="Book Antiqua"/>
          <w:color w:val="231F20"/>
          <w:spacing w:val="-25"/>
          <w:sz w:val="17"/>
        </w:rPr>
        <w:t> </w:t>
      </w:r>
      <w:r>
        <w:rPr>
          <w:rFonts w:ascii="Book Antiqua"/>
          <w:color w:val="231F20"/>
          <w:sz w:val="17"/>
        </w:rPr>
        <w:t>include</w:t>
      </w:r>
      <w:r>
        <w:rPr>
          <w:rFonts w:ascii="Book Antiqua"/>
          <w:color w:val="231F20"/>
          <w:spacing w:val="-23"/>
          <w:sz w:val="17"/>
        </w:rPr>
        <w:t> </w:t>
      </w:r>
      <w:r>
        <w:rPr>
          <w:rFonts w:ascii="Book Antiqua"/>
          <w:color w:val="231F20"/>
          <w:sz w:val="17"/>
        </w:rPr>
        <w:t>special</w:t>
      </w:r>
      <w:r>
        <w:rPr>
          <w:rFonts w:ascii="Book Antiqua"/>
          <w:color w:val="231F20"/>
          <w:spacing w:val="-23"/>
          <w:sz w:val="17"/>
        </w:rPr>
        <w:t> </w:t>
      </w:r>
      <w:r>
        <w:rPr>
          <w:rFonts w:ascii="Book Antiqua"/>
          <w:color w:val="231F20"/>
          <w:sz w:val="17"/>
        </w:rPr>
        <w:t>items</w:t>
      </w:r>
      <w:r>
        <w:rPr>
          <w:rFonts w:ascii="Book Antiqua"/>
          <w:color w:val="231F20"/>
          <w:spacing w:val="-23"/>
          <w:sz w:val="17"/>
        </w:rPr>
        <w:t> </w:t>
      </w:r>
      <w:r>
        <w:rPr>
          <w:rFonts w:ascii="Book Antiqua"/>
          <w:color w:val="231F20"/>
          <w:sz w:val="17"/>
        </w:rPr>
        <w:t>related</w:t>
      </w:r>
      <w:r>
        <w:rPr>
          <w:rFonts w:ascii="Book Antiqua"/>
          <w:color w:val="231F20"/>
          <w:spacing w:val="-23"/>
          <w:sz w:val="17"/>
        </w:rPr>
        <w:t> </w:t>
      </w:r>
      <w:r>
        <w:rPr>
          <w:rFonts w:ascii="Book Antiqua"/>
          <w:color w:val="231F20"/>
          <w:sz w:val="17"/>
        </w:rPr>
        <w:t>to</w:t>
      </w:r>
      <w:r>
        <w:rPr>
          <w:rFonts w:ascii="Book Antiqua"/>
          <w:color w:val="231F20"/>
          <w:spacing w:val="-23"/>
          <w:sz w:val="17"/>
        </w:rPr>
        <w:t> </w:t>
      </w:r>
      <w:r>
        <w:rPr>
          <w:rFonts w:ascii="Book Antiqua"/>
          <w:color w:val="231F20"/>
          <w:sz w:val="17"/>
        </w:rPr>
        <w:t>the</w:t>
      </w:r>
      <w:r>
        <w:rPr>
          <w:rFonts w:ascii="Book Antiqua"/>
          <w:color w:val="231F20"/>
          <w:spacing w:val="-23"/>
          <w:sz w:val="17"/>
        </w:rPr>
        <w:t> </w:t>
      </w:r>
      <w:r>
        <w:rPr>
          <w:rFonts w:ascii="Book Antiqua"/>
          <w:color w:val="231F20"/>
          <w:sz w:val="17"/>
        </w:rPr>
        <w:t>September</w:t>
      </w:r>
      <w:r>
        <w:rPr>
          <w:rFonts w:ascii="Book Antiqua"/>
          <w:color w:val="231F20"/>
          <w:spacing w:val="-27"/>
          <w:sz w:val="17"/>
        </w:rPr>
        <w:t> </w:t>
      </w:r>
      <w:r>
        <w:rPr>
          <w:rFonts w:ascii="Book Antiqua"/>
          <w:color w:val="231F20"/>
          <w:spacing w:val="-6"/>
          <w:sz w:val="17"/>
        </w:rPr>
        <w:t>11,</w:t>
      </w:r>
      <w:r>
        <w:rPr>
          <w:rFonts w:ascii="Book Antiqua"/>
          <w:color w:val="231F20"/>
          <w:spacing w:val="-25"/>
          <w:sz w:val="17"/>
        </w:rPr>
        <w:t> </w:t>
      </w:r>
      <w:r>
        <w:rPr>
          <w:rFonts w:ascii="Book Antiqua"/>
          <w:color w:val="231F20"/>
          <w:spacing w:val="-3"/>
          <w:sz w:val="17"/>
        </w:rPr>
        <w:t>2001,</w:t>
      </w:r>
      <w:r>
        <w:rPr>
          <w:rFonts w:ascii="Book Antiqua"/>
          <w:color w:val="231F20"/>
          <w:spacing w:val="-25"/>
          <w:sz w:val="17"/>
        </w:rPr>
        <w:t> </w:t>
      </w:r>
      <w:r>
        <w:rPr>
          <w:rFonts w:ascii="Book Antiqua"/>
          <w:color w:val="231F20"/>
          <w:sz w:val="17"/>
        </w:rPr>
        <w:t>terrorist</w:t>
      </w:r>
      <w:r>
        <w:rPr>
          <w:rFonts w:ascii="Book Antiqua"/>
          <w:color w:val="231F20"/>
          <w:spacing w:val="-25"/>
          <w:sz w:val="17"/>
        </w:rPr>
        <w:t> </w:t>
      </w:r>
      <w:r>
        <w:rPr>
          <w:rFonts w:ascii="Book Antiqua"/>
          <w:color w:val="231F20"/>
          <w:sz w:val="17"/>
        </w:rPr>
        <w:t>attacks</w:t>
      </w:r>
      <w:r>
        <w:rPr>
          <w:rFonts w:ascii="Book Antiqua"/>
          <w:color w:val="231F20"/>
          <w:spacing w:val="-23"/>
          <w:sz w:val="17"/>
        </w:rPr>
        <w:t> </w:t>
      </w:r>
      <w:r>
        <w:rPr>
          <w:rFonts w:ascii="Book Antiqua"/>
          <w:color w:val="231F20"/>
          <w:sz w:val="17"/>
        </w:rPr>
        <w:t>and</w:t>
      </w:r>
      <w:r>
        <w:rPr>
          <w:rFonts w:ascii="Book Antiqua"/>
          <w:color w:val="231F20"/>
          <w:spacing w:val="-23"/>
          <w:sz w:val="17"/>
        </w:rPr>
        <w:t> </w:t>
      </w:r>
      <w:r>
        <w:rPr>
          <w:rFonts w:ascii="Book Antiqua"/>
          <w:color w:val="231F20"/>
          <w:sz w:val="17"/>
        </w:rPr>
        <w:t>Stabilization</w:t>
      </w:r>
      <w:r>
        <w:rPr>
          <w:rFonts w:ascii="Book Antiqua"/>
          <w:color w:val="231F20"/>
          <w:spacing w:val="-27"/>
          <w:sz w:val="17"/>
        </w:rPr>
        <w:t> </w:t>
      </w:r>
      <w:r>
        <w:rPr>
          <w:rFonts w:ascii="Book Antiqua"/>
          <w:color w:val="231F20"/>
          <w:sz w:val="17"/>
        </w:rPr>
        <w:t>Act</w:t>
      </w:r>
      <w:r>
        <w:rPr>
          <w:rFonts w:ascii="Book Antiqua"/>
          <w:color w:val="231F20"/>
          <w:spacing w:val="-25"/>
          <w:sz w:val="17"/>
        </w:rPr>
        <w:t> </w:t>
      </w:r>
      <w:r>
        <w:rPr>
          <w:rFonts w:ascii="Book Antiqua"/>
          <w:color w:val="231F20"/>
          <w:sz w:val="17"/>
        </w:rPr>
        <w:t>grant</w:t>
      </w:r>
    </w:p>
    <w:p>
      <w:pPr>
        <w:pStyle w:val="ListParagraph"/>
        <w:numPr>
          <w:ilvl w:val="1"/>
          <w:numId w:val="2"/>
        </w:numPr>
        <w:tabs>
          <w:tab w:pos="891" w:val="left" w:leader="none"/>
        </w:tabs>
        <w:spacing w:line="240" w:lineRule="auto" w:before="37" w:after="0"/>
        <w:ind w:left="890" w:right="0" w:hanging="271"/>
        <w:jc w:val="left"/>
        <w:rPr>
          <w:rFonts w:ascii="Book Antiqua"/>
          <w:sz w:val="17"/>
        </w:rPr>
      </w:pPr>
      <w:r>
        <w:rPr>
          <w:rFonts w:ascii="Book Antiqua"/>
          <w:color w:val="231F20"/>
          <w:sz w:val="17"/>
        </w:rPr>
        <w:t>Certain</w:t>
      </w:r>
      <w:r>
        <w:rPr>
          <w:rFonts w:ascii="Book Antiqua"/>
          <w:color w:val="231F20"/>
          <w:spacing w:val="-24"/>
          <w:sz w:val="17"/>
        </w:rPr>
        <w:t> </w:t>
      </w:r>
      <w:r>
        <w:rPr>
          <w:rFonts w:ascii="Book Antiqua"/>
          <w:color w:val="231F20"/>
          <w:sz w:val="17"/>
        </w:rPr>
        <w:t>figures</w:t>
      </w:r>
      <w:r>
        <w:rPr>
          <w:rFonts w:ascii="Book Antiqua"/>
          <w:color w:val="231F20"/>
          <w:spacing w:val="-24"/>
          <w:sz w:val="17"/>
        </w:rPr>
        <w:t> </w:t>
      </w:r>
      <w:r>
        <w:rPr>
          <w:rFonts w:ascii="Book Antiqua"/>
          <w:color w:val="231F20"/>
          <w:sz w:val="17"/>
        </w:rPr>
        <w:t>in</w:t>
      </w:r>
      <w:r>
        <w:rPr>
          <w:rFonts w:ascii="Book Antiqua"/>
          <w:color w:val="231F20"/>
          <w:spacing w:val="-24"/>
          <w:sz w:val="17"/>
        </w:rPr>
        <w:t> </w:t>
      </w:r>
      <w:r>
        <w:rPr>
          <w:rFonts w:ascii="Book Antiqua"/>
          <w:color w:val="231F20"/>
          <w:sz w:val="17"/>
        </w:rPr>
        <w:t>2003</w:t>
      </w:r>
      <w:r>
        <w:rPr>
          <w:rFonts w:ascii="Book Antiqua"/>
          <w:color w:val="231F20"/>
          <w:spacing w:val="-26"/>
          <w:sz w:val="17"/>
        </w:rPr>
        <w:t> </w:t>
      </w:r>
      <w:r>
        <w:rPr>
          <w:rFonts w:ascii="Book Antiqua"/>
          <w:color w:val="231F20"/>
          <w:sz w:val="17"/>
        </w:rPr>
        <w:t>include</w:t>
      </w:r>
      <w:r>
        <w:rPr>
          <w:rFonts w:ascii="Book Antiqua"/>
          <w:color w:val="231F20"/>
          <w:spacing w:val="-24"/>
          <w:sz w:val="17"/>
        </w:rPr>
        <w:t> </w:t>
      </w:r>
      <w:r>
        <w:rPr>
          <w:rFonts w:ascii="Book Antiqua"/>
          <w:color w:val="231F20"/>
          <w:sz w:val="17"/>
        </w:rPr>
        <w:t>special</w:t>
      </w:r>
      <w:r>
        <w:rPr>
          <w:rFonts w:ascii="Book Antiqua"/>
          <w:color w:val="231F20"/>
          <w:spacing w:val="-24"/>
          <w:sz w:val="17"/>
        </w:rPr>
        <w:t> </w:t>
      </w:r>
      <w:r>
        <w:rPr>
          <w:rFonts w:ascii="Book Antiqua"/>
          <w:color w:val="231F20"/>
          <w:sz w:val="17"/>
        </w:rPr>
        <w:t>items</w:t>
      </w:r>
      <w:r>
        <w:rPr>
          <w:rFonts w:ascii="Book Antiqua"/>
          <w:color w:val="231F20"/>
          <w:spacing w:val="-24"/>
          <w:sz w:val="17"/>
        </w:rPr>
        <w:t> </w:t>
      </w:r>
      <w:r>
        <w:rPr>
          <w:rFonts w:ascii="Book Antiqua"/>
          <w:color w:val="231F20"/>
          <w:sz w:val="17"/>
        </w:rPr>
        <w:t>related</w:t>
      </w:r>
      <w:r>
        <w:rPr>
          <w:rFonts w:ascii="Book Antiqua"/>
          <w:color w:val="231F20"/>
          <w:spacing w:val="-24"/>
          <w:sz w:val="17"/>
        </w:rPr>
        <w:t> </w:t>
      </w:r>
      <w:r>
        <w:rPr>
          <w:rFonts w:ascii="Book Antiqua"/>
          <w:color w:val="231F20"/>
          <w:sz w:val="17"/>
        </w:rPr>
        <w:t>to</w:t>
      </w:r>
      <w:r>
        <w:rPr>
          <w:rFonts w:ascii="Book Antiqua"/>
          <w:color w:val="231F20"/>
          <w:spacing w:val="-24"/>
          <w:sz w:val="17"/>
        </w:rPr>
        <w:t> </w:t>
      </w:r>
      <w:r>
        <w:rPr>
          <w:rFonts w:ascii="Book Antiqua"/>
          <w:color w:val="231F20"/>
          <w:sz w:val="17"/>
        </w:rPr>
        <w:t>the</w:t>
      </w:r>
      <w:r>
        <w:rPr>
          <w:rFonts w:ascii="Book Antiqua"/>
          <w:color w:val="231F20"/>
          <w:spacing w:val="-28"/>
          <w:sz w:val="17"/>
        </w:rPr>
        <w:t> </w:t>
      </w:r>
      <w:r>
        <w:rPr>
          <w:rFonts w:ascii="Book Antiqua"/>
          <w:color w:val="231F20"/>
          <w:sz w:val="17"/>
        </w:rPr>
        <w:t>Wartime</w:t>
      </w:r>
      <w:r>
        <w:rPr>
          <w:rFonts w:ascii="Book Antiqua"/>
          <w:color w:val="231F20"/>
          <w:spacing w:val="-28"/>
          <w:sz w:val="17"/>
        </w:rPr>
        <w:t> </w:t>
      </w:r>
      <w:r>
        <w:rPr>
          <w:rFonts w:ascii="Book Antiqua"/>
          <w:color w:val="231F20"/>
          <w:sz w:val="17"/>
        </w:rPr>
        <w:t>Act</w:t>
      </w:r>
      <w:r>
        <w:rPr>
          <w:rFonts w:ascii="Book Antiqua"/>
          <w:color w:val="231F20"/>
          <w:spacing w:val="-26"/>
          <w:sz w:val="17"/>
        </w:rPr>
        <w:t> </w:t>
      </w:r>
      <w:r>
        <w:rPr>
          <w:rFonts w:ascii="Book Antiqua"/>
          <w:color w:val="231F20"/>
          <w:sz w:val="17"/>
        </w:rPr>
        <w:t>grant</w:t>
      </w:r>
    </w:p>
    <w:p>
      <w:pPr>
        <w:pStyle w:val="ListParagraph"/>
        <w:numPr>
          <w:ilvl w:val="1"/>
          <w:numId w:val="2"/>
        </w:numPr>
        <w:tabs>
          <w:tab w:pos="891" w:val="left" w:leader="none"/>
        </w:tabs>
        <w:spacing w:line="240" w:lineRule="auto" w:before="58" w:after="0"/>
        <w:ind w:left="890" w:right="0" w:hanging="271"/>
        <w:jc w:val="left"/>
        <w:rPr>
          <w:rFonts w:ascii="Book Antiqua"/>
          <w:sz w:val="17"/>
        </w:rPr>
      </w:pPr>
      <w:r>
        <w:rPr>
          <w:rFonts w:ascii="Book Antiqua"/>
          <w:color w:val="231F20"/>
          <w:w w:val="95"/>
          <w:sz w:val="17"/>
        </w:rPr>
        <w:t>Includes</w:t>
      </w:r>
      <w:r>
        <w:rPr>
          <w:rFonts w:ascii="Book Antiqua"/>
          <w:color w:val="231F20"/>
          <w:spacing w:val="-17"/>
          <w:w w:val="95"/>
          <w:sz w:val="17"/>
        </w:rPr>
        <w:t> </w:t>
      </w:r>
      <w:r>
        <w:rPr>
          <w:rFonts w:ascii="Book Antiqua"/>
          <w:color w:val="231F20"/>
          <w:w w:val="95"/>
          <w:sz w:val="17"/>
        </w:rPr>
        <w:t>leased</w:t>
      </w:r>
      <w:r>
        <w:rPr>
          <w:rFonts w:ascii="Book Antiqua"/>
          <w:color w:val="231F20"/>
          <w:spacing w:val="-17"/>
          <w:w w:val="95"/>
          <w:sz w:val="17"/>
        </w:rPr>
        <w:t> </w:t>
      </w:r>
      <w:r>
        <w:rPr>
          <w:rFonts w:ascii="Book Antiqua"/>
          <w:color w:val="231F20"/>
          <w:w w:val="95"/>
          <w:sz w:val="17"/>
        </w:rPr>
        <w:t>aircraft</w:t>
      </w:r>
    </w:p>
    <w:p>
      <w:pPr>
        <w:pStyle w:val="ListParagraph"/>
        <w:numPr>
          <w:ilvl w:val="1"/>
          <w:numId w:val="2"/>
        </w:numPr>
        <w:tabs>
          <w:tab w:pos="890" w:val="left" w:leader="none"/>
        </w:tabs>
        <w:spacing w:line="240" w:lineRule="auto" w:before="42" w:after="0"/>
        <w:ind w:left="889" w:right="0" w:hanging="270"/>
        <w:jc w:val="left"/>
        <w:rPr>
          <w:rFonts w:ascii="Book Antiqua"/>
          <w:sz w:val="17"/>
        </w:rPr>
      </w:pPr>
      <w:r>
        <w:rPr>
          <w:rFonts w:ascii="Book Antiqua"/>
          <w:color w:val="231F20"/>
          <w:w w:val="95"/>
          <w:sz w:val="17"/>
        </w:rPr>
        <w:t>Includes certain estimates for Morris Air Corporation, acquired </w:t>
      </w:r>
      <w:r>
        <w:rPr>
          <w:rFonts w:ascii="Book Antiqua"/>
          <w:color w:val="231F20"/>
          <w:spacing w:val="-3"/>
          <w:w w:val="95"/>
          <w:sz w:val="17"/>
        </w:rPr>
        <w:t>by </w:t>
      </w:r>
      <w:r>
        <w:rPr>
          <w:rFonts w:ascii="Book Antiqua"/>
          <w:color w:val="231F20"/>
          <w:w w:val="95"/>
          <w:sz w:val="17"/>
        </w:rPr>
        <w:t>the Company in</w:t>
      </w:r>
      <w:r>
        <w:rPr>
          <w:rFonts w:ascii="Book Antiqua"/>
          <w:color w:val="231F20"/>
          <w:spacing w:val="-26"/>
          <w:w w:val="95"/>
          <w:sz w:val="17"/>
        </w:rPr>
        <w:t> </w:t>
      </w:r>
      <w:r>
        <w:rPr>
          <w:rFonts w:ascii="Book Antiqua"/>
          <w:color w:val="231F20"/>
          <w:spacing w:val="-3"/>
          <w:w w:val="95"/>
          <w:sz w:val="17"/>
        </w:rPr>
        <w:t>1994</w:t>
      </w:r>
    </w:p>
    <w:p>
      <w:pPr>
        <w:spacing w:after="0" w:line="240" w:lineRule="auto"/>
        <w:jc w:val="left"/>
        <w:rPr>
          <w:rFonts w:ascii="Book Antiqua"/>
          <w:sz w:val="17"/>
        </w:rPr>
        <w:sectPr>
          <w:pgSz w:w="12240" w:h="15840"/>
          <w:pgMar w:top="300" w:bottom="280" w:left="300" w:right="760"/>
        </w:sectPr>
      </w:pPr>
    </w:p>
    <w:p>
      <w:pPr>
        <w:tabs>
          <w:tab w:pos="2877" w:val="right" w:leader="none"/>
        </w:tabs>
        <w:spacing w:before="72"/>
        <w:ind w:left="0" w:right="110" w:firstLine="0"/>
        <w:jc w:val="right"/>
        <w:rPr>
          <w:rFonts w:ascii="Arial"/>
          <w:sz w:val="14"/>
        </w:rPr>
      </w:pPr>
      <w:r>
        <w:rPr/>
        <w:pict>
          <v:line style="position:absolute;mso-position-horizontal-relative:page;mso-position-vertical-relative:paragraph;z-index:-232816" from="575.038391pt,.754048pt" to="575.038391pt,18.754048pt" stroked="true" strokeweight=".5pt" strokecolor="#231f20">
            <v:stroke dashstyle="solid"/>
            <w10:wrap type="none"/>
          </v:line>
        </w:pict>
      </w:r>
      <w:r>
        <w:rPr/>
        <w:drawing>
          <wp:anchor distT="0" distB="0" distL="0" distR="0" allowOverlap="1" layoutInCell="1" locked="0" behindDoc="0" simplePos="0" relativeHeight="5608">
            <wp:simplePos x="0" y="0"/>
            <wp:positionH relativeFrom="page">
              <wp:posOffset>5233677</wp:posOffset>
            </wp:positionH>
            <wp:positionV relativeFrom="paragraph">
              <wp:posOffset>25446</wp:posOffset>
            </wp:positionV>
            <wp:extent cx="370521" cy="153417"/>
            <wp:effectExtent l="0" t="0" r="0" b="0"/>
            <wp:wrapNone/>
            <wp:docPr id="79" name="image2.png" descr=""/>
            <wp:cNvGraphicFramePr>
              <a:graphicFrameLocks noChangeAspect="1"/>
            </wp:cNvGraphicFramePr>
            <a:graphic>
              <a:graphicData uri="http://schemas.openxmlformats.org/drawingml/2006/picture">
                <pic:pic>
                  <pic:nvPicPr>
                    <pic:cNvPr id="80" name="image2.png"/>
                    <pic:cNvPicPr/>
                  </pic:nvPicPr>
                  <pic:blipFill>
                    <a:blip r:embed="rId6" cstate="print"/>
                    <a:stretch>
                      <a:fillRect/>
                    </a:stretch>
                  </pic:blipFill>
                  <pic:spPr>
                    <a:xfrm>
                      <a:off x="0" y="0"/>
                      <a:ext cx="370521" cy="153417"/>
                    </a:xfrm>
                    <a:prstGeom prst="rect">
                      <a:avLst/>
                    </a:prstGeom>
                  </pic:spPr>
                </pic:pic>
              </a:graphicData>
            </a:graphic>
          </wp:anchor>
        </w:drawing>
      </w:r>
      <w:r>
        <w:rPr/>
        <w:pict>
          <v:line style="position:absolute;mso-position-horizontal-relative:page;mso-position-vertical-relative:paragraph;z-index:-232768" from="44.09pt,77.268349pt" to="568.244pt,77.268349pt" stroked="true" strokeweight=".5pt" strokecolor="#231f20">
            <v:stroke dashstyle="solid"/>
            <w10:wrap type="none"/>
          </v:line>
        </w:pict>
      </w:r>
      <w:r>
        <w:rPr>
          <w:rFonts w:ascii="Arial"/>
          <w:color w:val="231F20"/>
          <w:spacing w:val="9"/>
          <w:w w:val="95"/>
          <w:position w:val="1"/>
          <w:sz w:val="12"/>
        </w:rPr>
        <w:t>Southwest</w:t>
      </w:r>
      <w:r>
        <w:rPr>
          <w:rFonts w:ascii="Arial"/>
          <w:color w:val="231F20"/>
          <w:spacing w:val="-3"/>
          <w:w w:val="95"/>
          <w:position w:val="1"/>
          <w:sz w:val="12"/>
        </w:rPr>
        <w:t> </w:t>
      </w:r>
      <w:r>
        <w:rPr>
          <w:rFonts w:ascii="Arial"/>
          <w:color w:val="231F20"/>
          <w:spacing w:val="9"/>
          <w:w w:val="95"/>
          <w:position w:val="1"/>
          <w:sz w:val="12"/>
        </w:rPr>
        <w:t>Airlines</w:t>
      </w:r>
      <w:r>
        <w:rPr>
          <w:rFonts w:ascii="Arial"/>
          <w:color w:val="231F20"/>
          <w:spacing w:val="-1"/>
          <w:w w:val="95"/>
          <w:position w:val="1"/>
          <w:sz w:val="12"/>
        </w:rPr>
        <w:t> </w:t>
      </w:r>
      <w:r>
        <w:rPr>
          <w:rFonts w:ascii="Arial"/>
          <w:color w:val="231F20"/>
          <w:spacing w:val="7"/>
          <w:w w:val="95"/>
          <w:position w:val="1"/>
          <w:sz w:val="12"/>
        </w:rPr>
        <w:t>Co.</w:t>
      </w:r>
      <w:r>
        <w:rPr>
          <w:rFonts w:ascii="Arial"/>
          <w:color w:val="231F20"/>
          <w:spacing w:val="-3"/>
          <w:w w:val="95"/>
          <w:position w:val="1"/>
          <w:sz w:val="12"/>
        </w:rPr>
        <w:t> </w:t>
      </w:r>
      <w:r>
        <w:rPr>
          <w:rFonts w:ascii="Arial"/>
          <w:color w:val="231F20"/>
          <w:spacing w:val="8"/>
          <w:w w:val="95"/>
          <w:position w:val="1"/>
          <w:sz w:val="12"/>
        </w:rPr>
        <w:t>2003</w:t>
      </w:r>
      <w:r>
        <w:rPr>
          <w:rFonts w:ascii="Arial"/>
          <w:color w:val="231F20"/>
          <w:spacing w:val="-3"/>
          <w:w w:val="95"/>
          <w:position w:val="1"/>
          <w:sz w:val="12"/>
        </w:rPr>
        <w:t> </w:t>
      </w:r>
      <w:r>
        <w:rPr>
          <w:rFonts w:ascii="Arial"/>
          <w:color w:val="231F20"/>
          <w:spacing w:val="9"/>
          <w:w w:val="95"/>
          <w:position w:val="1"/>
          <w:sz w:val="12"/>
        </w:rPr>
        <w:t>Annual</w:t>
      </w:r>
      <w:r>
        <w:rPr>
          <w:rFonts w:ascii="Arial"/>
          <w:color w:val="231F20"/>
          <w:spacing w:val="-1"/>
          <w:w w:val="95"/>
          <w:position w:val="1"/>
          <w:sz w:val="12"/>
        </w:rPr>
        <w:t> </w:t>
      </w:r>
      <w:r>
        <w:rPr>
          <w:rFonts w:ascii="Arial"/>
          <w:color w:val="231F20"/>
          <w:spacing w:val="11"/>
          <w:w w:val="95"/>
          <w:position w:val="1"/>
          <w:sz w:val="12"/>
        </w:rPr>
        <w:t>Report</w:t>
      </w:r>
      <w:r>
        <w:rPr>
          <w:rFonts w:ascii="Arial"/>
          <w:color w:val="231F20"/>
          <w:spacing w:val="11"/>
          <w:w w:val="95"/>
          <w:sz w:val="14"/>
        </w:rPr>
        <w:tab/>
      </w:r>
      <w:r>
        <w:rPr>
          <w:rFonts w:ascii="Arial"/>
          <w:color w:val="231F20"/>
          <w:w w:val="95"/>
          <w:sz w:val="14"/>
        </w:rPr>
        <w:t>15</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8"/>
        <w:rPr>
          <w:rFonts w:ascii="Arial"/>
          <w:sz w:val="18"/>
        </w:rPr>
      </w:pPr>
    </w:p>
    <w:tbl>
      <w:tblPr>
        <w:tblW w:w="0" w:type="auto"/>
        <w:jc w:val="left"/>
        <w:tblInd w:w="119"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88"/>
        <w:gridCol w:w="839"/>
        <w:gridCol w:w="806"/>
        <w:gridCol w:w="1533"/>
        <w:gridCol w:w="1761"/>
        <w:gridCol w:w="1722"/>
        <w:gridCol w:w="1688"/>
        <w:gridCol w:w="1450"/>
      </w:tblGrid>
      <w:tr>
        <w:trPr>
          <w:trHeight w:val="403" w:hRule="exact"/>
        </w:trPr>
        <w:tc>
          <w:tcPr>
            <w:tcW w:w="1527" w:type="dxa"/>
            <w:gridSpan w:val="2"/>
          </w:tcPr>
          <w:p>
            <w:pPr>
              <w:pStyle w:val="TableParagraph"/>
              <w:spacing w:line="205" w:lineRule="exact"/>
              <w:ind w:left="955"/>
              <w:rPr>
                <w:rFonts w:ascii="Book Antiqua"/>
                <w:sz w:val="17"/>
              </w:rPr>
            </w:pPr>
            <w:r>
              <w:rPr>
                <w:rFonts w:ascii="Book Antiqua"/>
                <w:color w:val="231F20"/>
                <w:sz w:val="17"/>
              </w:rPr>
              <w:t>1999</w:t>
            </w:r>
          </w:p>
        </w:tc>
        <w:tc>
          <w:tcPr>
            <w:tcW w:w="2339" w:type="dxa"/>
            <w:gridSpan w:val="2"/>
          </w:tcPr>
          <w:p>
            <w:pPr>
              <w:pStyle w:val="TableParagraph"/>
              <w:spacing w:line="205" w:lineRule="exact"/>
              <w:ind w:left="1203" w:right="756"/>
              <w:jc w:val="center"/>
              <w:rPr>
                <w:rFonts w:ascii="Book Antiqua"/>
                <w:sz w:val="17"/>
              </w:rPr>
            </w:pPr>
            <w:r>
              <w:rPr>
                <w:rFonts w:ascii="Book Antiqua"/>
                <w:color w:val="231F20"/>
                <w:sz w:val="17"/>
              </w:rPr>
              <w:t>1998</w:t>
            </w:r>
          </w:p>
        </w:tc>
        <w:tc>
          <w:tcPr>
            <w:tcW w:w="1761" w:type="dxa"/>
          </w:tcPr>
          <w:p>
            <w:pPr>
              <w:pStyle w:val="TableParagraph"/>
              <w:spacing w:line="205" w:lineRule="exact"/>
              <w:ind w:left="675" w:right="705"/>
              <w:jc w:val="center"/>
              <w:rPr>
                <w:rFonts w:ascii="Book Antiqua"/>
                <w:sz w:val="17"/>
              </w:rPr>
            </w:pPr>
            <w:r>
              <w:rPr>
                <w:rFonts w:ascii="Book Antiqua"/>
                <w:color w:val="231F20"/>
                <w:sz w:val="17"/>
              </w:rPr>
              <w:t>1997</w:t>
            </w:r>
          </w:p>
        </w:tc>
        <w:tc>
          <w:tcPr>
            <w:tcW w:w="1722" w:type="dxa"/>
          </w:tcPr>
          <w:p>
            <w:pPr>
              <w:pStyle w:val="TableParagraph"/>
              <w:spacing w:line="205" w:lineRule="exact"/>
              <w:ind w:left="624" w:right="717"/>
              <w:jc w:val="center"/>
              <w:rPr>
                <w:rFonts w:ascii="Book Antiqua"/>
                <w:sz w:val="17"/>
              </w:rPr>
            </w:pPr>
            <w:r>
              <w:rPr>
                <w:rFonts w:ascii="Book Antiqua"/>
                <w:color w:val="231F20"/>
                <w:sz w:val="17"/>
              </w:rPr>
              <w:t>1996</w:t>
            </w:r>
          </w:p>
        </w:tc>
        <w:tc>
          <w:tcPr>
            <w:tcW w:w="1688" w:type="dxa"/>
          </w:tcPr>
          <w:p>
            <w:pPr>
              <w:pStyle w:val="TableParagraph"/>
              <w:spacing w:line="205" w:lineRule="exact"/>
              <w:ind w:left="652" w:right="655"/>
              <w:jc w:val="center"/>
              <w:rPr>
                <w:rFonts w:ascii="Book Antiqua"/>
                <w:sz w:val="17"/>
              </w:rPr>
            </w:pPr>
            <w:r>
              <w:rPr>
                <w:rFonts w:ascii="Book Antiqua"/>
                <w:color w:val="231F20"/>
                <w:sz w:val="17"/>
              </w:rPr>
              <w:t>1995</w:t>
            </w:r>
          </w:p>
        </w:tc>
        <w:tc>
          <w:tcPr>
            <w:tcW w:w="1450" w:type="dxa"/>
          </w:tcPr>
          <w:p>
            <w:pPr>
              <w:pStyle w:val="TableParagraph"/>
              <w:spacing w:line="205" w:lineRule="exact"/>
              <w:ind w:left="602" w:right="467"/>
              <w:jc w:val="center"/>
              <w:rPr>
                <w:rFonts w:ascii="Book Antiqua"/>
                <w:sz w:val="17"/>
              </w:rPr>
            </w:pPr>
            <w:r>
              <w:rPr>
                <w:rFonts w:ascii="Book Antiqua"/>
                <w:color w:val="231F20"/>
                <w:sz w:val="17"/>
              </w:rPr>
              <w:t>1994</w:t>
            </w:r>
          </w:p>
        </w:tc>
      </w:tr>
      <w:tr>
        <w:trPr>
          <w:trHeight w:val="403" w:hRule="exact"/>
        </w:trPr>
        <w:tc>
          <w:tcPr>
            <w:tcW w:w="688" w:type="dxa"/>
            <w:tcBorders>
              <w:bottom w:val="single" w:sz="4" w:space="0" w:color="AAACAF"/>
            </w:tcBorders>
          </w:tcPr>
          <w:p>
            <w:pPr/>
          </w:p>
        </w:tc>
        <w:tc>
          <w:tcPr>
            <w:tcW w:w="839" w:type="dxa"/>
            <w:tcBorders>
              <w:bottom w:val="single" w:sz="4" w:space="0" w:color="AAACAF"/>
            </w:tcBorders>
          </w:tcPr>
          <w:p>
            <w:pPr>
              <w:pStyle w:val="TableParagraph"/>
              <w:spacing w:before="6"/>
              <w:rPr>
                <w:sz w:val="16"/>
              </w:rPr>
            </w:pPr>
          </w:p>
          <w:p>
            <w:pPr>
              <w:pStyle w:val="TableParagraph"/>
              <w:tabs>
                <w:tab w:pos="418" w:val="left" w:leader="none"/>
              </w:tabs>
              <w:ind w:right="19"/>
              <w:jc w:val="right"/>
              <w:rPr>
                <w:rFonts w:ascii="Book Antiqua"/>
                <w:sz w:val="17"/>
              </w:rPr>
            </w:pPr>
            <w:r>
              <w:rPr>
                <w:rFonts w:ascii="Book Antiqua"/>
                <w:color w:val="231F20"/>
                <w:sz w:val="17"/>
              </w:rPr>
              <w:t>$</w:t>
              <w:tab/>
            </w:r>
            <w:r>
              <w:rPr>
                <w:rFonts w:ascii="Book Antiqua"/>
                <w:color w:val="231F20"/>
                <w:spacing w:val="3"/>
                <w:w w:val="95"/>
                <w:sz w:val="17"/>
              </w:rPr>
              <w:t>4,563</w:t>
            </w:r>
          </w:p>
        </w:tc>
        <w:tc>
          <w:tcPr>
            <w:tcW w:w="2339" w:type="dxa"/>
            <w:gridSpan w:val="2"/>
            <w:tcBorders>
              <w:bottom w:val="single" w:sz="4" w:space="0" w:color="AAACAF"/>
            </w:tcBorders>
          </w:tcPr>
          <w:p>
            <w:pPr>
              <w:pStyle w:val="TableParagraph"/>
              <w:spacing w:before="6"/>
              <w:rPr>
                <w:sz w:val="16"/>
              </w:rPr>
            </w:pPr>
          </w:p>
          <w:p>
            <w:pPr>
              <w:pStyle w:val="TableParagraph"/>
              <w:tabs>
                <w:tab w:pos="1384" w:val="left" w:leader="none"/>
              </w:tabs>
              <w:ind w:left="956"/>
              <w:rPr>
                <w:rFonts w:ascii="Book Antiqua"/>
                <w:sz w:val="17"/>
              </w:rPr>
            </w:pPr>
            <w:r>
              <w:rPr>
                <w:rFonts w:ascii="Book Antiqua"/>
                <w:color w:val="231F20"/>
                <w:sz w:val="17"/>
              </w:rPr>
              <w:t>$</w:t>
              <w:tab/>
              <w:t>4</w:t>
            </w:r>
            <w:r>
              <w:rPr>
                <w:rFonts w:ascii="Book Antiqua"/>
                <w:color w:val="231F20"/>
                <w:spacing w:val="-30"/>
                <w:sz w:val="17"/>
              </w:rPr>
              <w:t> </w:t>
            </w:r>
            <w:r>
              <w:rPr>
                <w:rFonts w:ascii="Book Antiqua"/>
                <w:color w:val="231F20"/>
                <w:spacing w:val="-4"/>
                <w:sz w:val="17"/>
              </w:rPr>
              <w:t>,010</w:t>
            </w:r>
          </w:p>
        </w:tc>
        <w:tc>
          <w:tcPr>
            <w:tcW w:w="1761" w:type="dxa"/>
            <w:tcBorders>
              <w:bottom w:val="single" w:sz="4" w:space="0" w:color="AAACAF"/>
            </w:tcBorders>
          </w:tcPr>
          <w:p>
            <w:pPr>
              <w:pStyle w:val="TableParagraph"/>
              <w:spacing w:before="6"/>
              <w:rPr>
                <w:sz w:val="16"/>
              </w:rPr>
            </w:pPr>
          </w:p>
          <w:p>
            <w:pPr>
              <w:pStyle w:val="TableParagraph"/>
              <w:tabs>
                <w:tab w:pos="849" w:val="left" w:leader="none"/>
              </w:tabs>
              <w:ind w:left="433"/>
              <w:rPr>
                <w:rFonts w:ascii="Book Antiqua"/>
                <w:sz w:val="17"/>
              </w:rPr>
            </w:pPr>
            <w:r>
              <w:rPr>
                <w:rFonts w:ascii="Book Antiqua"/>
                <w:color w:val="231F20"/>
                <w:sz w:val="17"/>
              </w:rPr>
              <w:t>$</w:t>
              <w:tab/>
            </w:r>
            <w:r>
              <w:rPr>
                <w:rFonts w:ascii="Book Antiqua"/>
                <w:color w:val="231F20"/>
                <w:spacing w:val="4"/>
                <w:sz w:val="17"/>
              </w:rPr>
              <w:t>3,</w:t>
            </w:r>
            <w:r>
              <w:rPr>
                <w:rFonts w:ascii="Book Antiqua"/>
                <w:color w:val="231F20"/>
                <w:spacing w:val="-31"/>
                <w:sz w:val="17"/>
              </w:rPr>
              <w:t> </w:t>
            </w:r>
            <w:r>
              <w:rPr>
                <w:rFonts w:ascii="Book Antiqua"/>
                <w:color w:val="231F20"/>
                <w:spacing w:val="-5"/>
                <w:sz w:val="17"/>
              </w:rPr>
              <w:t>670</w:t>
            </w:r>
          </w:p>
        </w:tc>
        <w:tc>
          <w:tcPr>
            <w:tcW w:w="1722" w:type="dxa"/>
            <w:tcBorders>
              <w:bottom w:val="single" w:sz="4" w:space="0" w:color="AAACAF"/>
            </w:tcBorders>
          </w:tcPr>
          <w:p>
            <w:pPr>
              <w:pStyle w:val="TableParagraph"/>
              <w:spacing w:before="6"/>
              <w:rPr>
                <w:sz w:val="16"/>
              </w:rPr>
            </w:pPr>
          </w:p>
          <w:p>
            <w:pPr>
              <w:pStyle w:val="TableParagraph"/>
              <w:tabs>
                <w:tab w:pos="791" w:val="left" w:leader="none"/>
              </w:tabs>
              <w:ind w:left="374"/>
              <w:rPr>
                <w:rFonts w:ascii="Book Antiqua"/>
                <w:sz w:val="17"/>
              </w:rPr>
            </w:pPr>
            <w:r>
              <w:rPr>
                <w:rFonts w:ascii="Book Antiqua"/>
                <w:color w:val="231F20"/>
                <w:sz w:val="17"/>
              </w:rPr>
              <w:t>$</w:t>
              <w:tab/>
            </w:r>
            <w:r>
              <w:rPr>
                <w:rFonts w:ascii="Book Antiqua"/>
                <w:color w:val="231F20"/>
                <w:spacing w:val="4"/>
                <w:sz w:val="17"/>
              </w:rPr>
              <w:t>3,</w:t>
            </w:r>
            <w:r>
              <w:rPr>
                <w:rFonts w:ascii="Book Antiqua"/>
                <w:color w:val="231F20"/>
                <w:spacing w:val="-33"/>
                <w:sz w:val="17"/>
              </w:rPr>
              <w:t> </w:t>
            </w:r>
            <w:r>
              <w:rPr>
                <w:rFonts w:ascii="Book Antiqua"/>
                <w:color w:val="231F20"/>
                <w:spacing w:val="-4"/>
                <w:sz w:val="17"/>
              </w:rPr>
              <w:t>285</w:t>
            </w:r>
          </w:p>
        </w:tc>
        <w:tc>
          <w:tcPr>
            <w:tcW w:w="1688" w:type="dxa"/>
            <w:tcBorders>
              <w:bottom w:val="single" w:sz="4" w:space="0" w:color="AAACAF"/>
            </w:tcBorders>
          </w:tcPr>
          <w:p>
            <w:pPr>
              <w:pStyle w:val="TableParagraph"/>
              <w:spacing w:before="6"/>
              <w:rPr>
                <w:sz w:val="16"/>
              </w:rPr>
            </w:pPr>
          </w:p>
          <w:p>
            <w:pPr>
              <w:pStyle w:val="TableParagraph"/>
              <w:tabs>
                <w:tab w:pos="821" w:val="left" w:leader="none"/>
              </w:tabs>
              <w:ind w:left="396"/>
              <w:rPr>
                <w:rFonts w:ascii="Book Antiqua"/>
                <w:sz w:val="17"/>
              </w:rPr>
            </w:pPr>
            <w:r>
              <w:rPr>
                <w:rFonts w:ascii="Book Antiqua"/>
                <w:color w:val="231F20"/>
                <w:sz w:val="17"/>
              </w:rPr>
              <w:t>$</w:t>
              <w:tab/>
              <w:t>2,768</w:t>
            </w:r>
          </w:p>
        </w:tc>
        <w:tc>
          <w:tcPr>
            <w:tcW w:w="1450" w:type="dxa"/>
            <w:tcBorders>
              <w:bottom w:val="single" w:sz="4" w:space="0" w:color="AAACAF"/>
            </w:tcBorders>
          </w:tcPr>
          <w:p>
            <w:pPr>
              <w:pStyle w:val="TableParagraph"/>
              <w:spacing w:before="6"/>
              <w:rPr>
                <w:sz w:val="16"/>
              </w:rPr>
            </w:pPr>
          </w:p>
          <w:p>
            <w:pPr>
              <w:pStyle w:val="TableParagraph"/>
              <w:tabs>
                <w:tab w:pos="782" w:val="left" w:leader="none"/>
              </w:tabs>
              <w:ind w:left="359"/>
              <w:rPr>
                <w:rFonts w:ascii="Book Antiqua"/>
                <w:sz w:val="17"/>
              </w:rPr>
            </w:pPr>
            <w:r>
              <w:rPr>
                <w:rFonts w:ascii="Book Antiqua"/>
                <w:color w:val="231F20"/>
                <w:sz w:val="17"/>
              </w:rPr>
              <w:t>$</w:t>
              <w:tab/>
            </w:r>
            <w:r>
              <w:rPr>
                <w:rFonts w:ascii="Book Antiqua"/>
                <w:color w:val="231F20"/>
                <w:spacing w:val="2"/>
                <w:sz w:val="17"/>
              </w:rPr>
              <w:t>2,498</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spacing w:before="98"/>
              <w:ind w:right="19"/>
              <w:jc w:val="right"/>
              <w:rPr>
                <w:rFonts w:ascii="Book Antiqua"/>
                <w:sz w:val="17"/>
              </w:rPr>
            </w:pPr>
            <w:r>
              <w:rPr>
                <w:rFonts w:ascii="Book Antiqua"/>
                <w:color w:val="231F20"/>
                <w:sz w:val="17"/>
              </w:rPr>
              <w:t>103</w:t>
            </w:r>
          </w:p>
        </w:tc>
        <w:tc>
          <w:tcPr>
            <w:tcW w:w="2339" w:type="dxa"/>
            <w:gridSpan w:val="2"/>
            <w:tcBorders>
              <w:top w:val="single" w:sz="4" w:space="0" w:color="AAACAF"/>
              <w:bottom w:val="single" w:sz="4" w:space="0" w:color="AAACAF"/>
            </w:tcBorders>
          </w:tcPr>
          <w:p>
            <w:pPr>
              <w:pStyle w:val="TableParagraph"/>
              <w:spacing w:before="98"/>
              <w:ind w:right="575"/>
              <w:jc w:val="right"/>
              <w:rPr>
                <w:rFonts w:ascii="Book Antiqua"/>
                <w:sz w:val="17"/>
              </w:rPr>
            </w:pPr>
            <w:r>
              <w:rPr>
                <w:rFonts w:ascii="Book Antiqua"/>
                <w:color w:val="231F20"/>
                <w:sz w:val="17"/>
              </w:rPr>
              <w:t>99</w:t>
            </w:r>
          </w:p>
        </w:tc>
        <w:tc>
          <w:tcPr>
            <w:tcW w:w="1761" w:type="dxa"/>
            <w:tcBorders>
              <w:top w:val="single" w:sz="4" w:space="0" w:color="AAACAF"/>
              <w:bottom w:val="single" w:sz="4" w:space="0" w:color="AAACAF"/>
            </w:tcBorders>
          </w:tcPr>
          <w:p>
            <w:pPr>
              <w:pStyle w:val="TableParagraph"/>
              <w:spacing w:before="98"/>
              <w:ind w:left="1074"/>
              <w:rPr>
                <w:rFonts w:ascii="Book Antiqua"/>
                <w:sz w:val="17"/>
              </w:rPr>
            </w:pPr>
            <w:r>
              <w:rPr>
                <w:rFonts w:ascii="Book Antiqua"/>
                <w:color w:val="231F20"/>
                <w:sz w:val="17"/>
              </w:rPr>
              <w:t>95</w:t>
            </w:r>
          </w:p>
        </w:tc>
        <w:tc>
          <w:tcPr>
            <w:tcW w:w="1722" w:type="dxa"/>
            <w:tcBorders>
              <w:top w:val="single" w:sz="4" w:space="0" w:color="AAACAF"/>
              <w:bottom w:val="single" w:sz="4" w:space="0" w:color="AAACAF"/>
            </w:tcBorders>
          </w:tcPr>
          <w:p>
            <w:pPr>
              <w:pStyle w:val="TableParagraph"/>
              <w:spacing w:before="98"/>
              <w:ind w:left="1017"/>
              <w:rPr>
                <w:rFonts w:ascii="Book Antiqua"/>
                <w:sz w:val="17"/>
              </w:rPr>
            </w:pPr>
            <w:r>
              <w:rPr>
                <w:rFonts w:ascii="Book Antiqua"/>
                <w:color w:val="231F20"/>
                <w:sz w:val="17"/>
              </w:rPr>
              <w:t>80</w:t>
            </w:r>
          </w:p>
        </w:tc>
        <w:tc>
          <w:tcPr>
            <w:tcW w:w="1688" w:type="dxa"/>
            <w:tcBorders>
              <w:top w:val="single" w:sz="4" w:space="0" w:color="AAACAF"/>
              <w:bottom w:val="single" w:sz="4" w:space="0" w:color="AAACAF"/>
            </w:tcBorders>
          </w:tcPr>
          <w:p>
            <w:pPr>
              <w:pStyle w:val="TableParagraph"/>
              <w:spacing w:before="98"/>
              <w:ind w:right="485"/>
              <w:jc w:val="right"/>
              <w:rPr>
                <w:rFonts w:ascii="Book Antiqua"/>
                <w:sz w:val="17"/>
              </w:rPr>
            </w:pPr>
            <w:r>
              <w:rPr>
                <w:rFonts w:ascii="Book Antiqua"/>
                <w:color w:val="231F20"/>
                <w:sz w:val="17"/>
              </w:rPr>
              <w:t>66</w:t>
            </w:r>
          </w:p>
        </w:tc>
        <w:tc>
          <w:tcPr>
            <w:tcW w:w="1450" w:type="dxa"/>
            <w:tcBorders>
              <w:top w:val="single" w:sz="4" w:space="0" w:color="AAACAF"/>
              <w:bottom w:val="single" w:sz="4" w:space="0" w:color="AAACAF"/>
            </w:tcBorders>
          </w:tcPr>
          <w:p>
            <w:pPr>
              <w:pStyle w:val="TableParagraph"/>
              <w:spacing w:before="98"/>
              <w:ind w:right="274"/>
              <w:jc w:val="right"/>
              <w:rPr>
                <w:rFonts w:ascii="Book Antiqua"/>
                <w:sz w:val="17"/>
              </w:rPr>
            </w:pPr>
            <w:r>
              <w:rPr>
                <w:rFonts w:ascii="Book Antiqua"/>
                <w:color w:val="231F20"/>
                <w:sz w:val="17"/>
              </w:rPr>
              <w:t>54</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tabs>
                <w:tab w:pos="607" w:val="left" w:leader="none"/>
              </w:tabs>
              <w:spacing w:before="98"/>
              <w:ind w:right="19"/>
              <w:jc w:val="right"/>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3"/>
                <w:sz w:val="17"/>
                <w:u w:val="single" w:color="231F20"/>
              </w:rPr>
              <w:t>70</w:t>
            </w:r>
          </w:p>
        </w:tc>
        <w:tc>
          <w:tcPr>
            <w:tcW w:w="2339" w:type="dxa"/>
            <w:gridSpan w:val="2"/>
            <w:tcBorders>
              <w:top w:val="single" w:sz="4" w:space="0" w:color="AAACAF"/>
              <w:bottom w:val="single" w:sz="4" w:space="0" w:color="AAACAF"/>
            </w:tcBorders>
          </w:tcPr>
          <w:p>
            <w:pPr>
              <w:pStyle w:val="TableParagraph"/>
              <w:tabs>
                <w:tab w:pos="1603" w:val="left" w:leader="none"/>
              </w:tabs>
              <w:spacing w:before="98"/>
              <w:ind w:left="1000"/>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7"/>
                <w:sz w:val="17"/>
                <w:u w:val="single" w:color="231F20"/>
              </w:rPr>
              <w:t>55</w:t>
            </w:r>
          </w:p>
        </w:tc>
        <w:tc>
          <w:tcPr>
            <w:tcW w:w="1761" w:type="dxa"/>
            <w:tcBorders>
              <w:top w:val="single" w:sz="4" w:space="0" w:color="AAACAF"/>
              <w:bottom w:val="single" w:sz="4" w:space="0" w:color="AAACAF"/>
            </w:tcBorders>
          </w:tcPr>
          <w:p>
            <w:pPr>
              <w:pStyle w:val="TableParagraph"/>
              <w:tabs>
                <w:tab w:pos="1078" w:val="left" w:leader="none"/>
              </w:tabs>
              <w:spacing w:before="98"/>
              <w:ind w:left="474"/>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5"/>
                <w:sz w:val="17"/>
                <w:u w:val="single" w:color="231F20"/>
              </w:rPr>
              <w:t>52</w:t>
            </w:r>
          </w:p>
        </w:tc>
        <w:tc>
          <w:tcPr>
            <w:tcW w:w="1722" w:type="dxa"/>
            <w:tcBorders>
              <w:top w:val="single" w:sz="4" w:space="0" w:color="AAACAF"/>
              <w:bottom w:val="single" w:sz="4" w:space="0" w:color="AAACAF"/>
            </w:tcBorders>
          </w:tcPr>
          <w:p>
            <w:pPr>
              <w:pStyle w:val="TableParagraph"/>
              <w:tabs>
                <w:tab w:pos="1026" w:val="left" w:leader="none"/>
              </w:tabs>
              <w:spacing w:before="98"/>
              <w:ind w:left="412"/>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7"/>
                <w:sz w:val="17"/>
                <w:u w:val="single" w:color="231F20"/>
              </w:rPr>
              <w:t>41</w:t>
            </w:r>
          </w:p>
        </w:tc>
        <w:tc>
          <w:tcPr>
            <w:tcW w:w="1688" w:type="dxa"/>
            <w:tcBorders>
              <w:top w:val="single" w:sz="4" w:space="0" w:color="AAACAF"/>
              <w:bottom w:val="single" w:sz="4" w:space="0" w:color="AAACAF"/>
            </w:tcBorders>
          </w:tcPr>
          <w:p>
            <w:pPr>
              <w:pStyle w:val="TableParagraph"/>
              <w:tabs>
                <w:tab w:pos="1037" w:val="left" w:leader="none"/>
              </w:tabs>
              <w:spacing w:before="98"/>
              <w:ind w:left="437"/>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7"/>
                <w:sz w:val="17"/>
                <w:u w:val="single" w:color="231F20"/>
              </w:rPr>
              <w:t>39</w:t>
            </w:r>
          </w:p>
        </w:tc>
        <w:tc>
          <w:tcPr>
            <w:tcW w:w="1450" w:type="dxa"/>
            <w:tcBorders>
              <w:top w:val="single" w:sz="4" w:space="0" w:color="AAACAF"/>
              <w:bottom w:val="single" w:sz="4" w:space="0" w:color="AAACAF"/>
            </w:tcBorders>
          </w:tcPr>
          <w:p>
            <w:pPr>
              <w:pStyle w:val="TableParagraph"/>
              <w:tabs>
                <w:tab w:pos="1005" w:val="left" w:leader="none"/>
              </w:tabs>
              <w:spacing w:before="98"/>
              <w:ind w:left="396"/>
              <w:rPr>
                <w:rFonts w:ascii="Book Antiqua"/>
                <w:sz w:val="17"/>
              </w:rPr>
            </w:pPr>
            <w:r>
              <w:rPr>
                <w:rFonts w:ascii="Book Antiqua"/>
                <w:color w:val="231F20"/>
                <w:w w:val="108"/>
                <w:sz w:val="17"/>
                <w:u w:val="single" w:color="231F20"/>
              </w:rPr>
              <w:t> </w:t>
            </w:r>
            <w:r>
              <w:rPr>
                <w:rFonts w:ascii="Book Antiqua"/>
                <w:color w:val="231F20"/>
                <w:sz w:val="17"/>
                <w:u w:val="single" w:color="231F20"/>
              </w:rPr>
              <w:tab/>
              <w:t>40</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spacing w:before="98"/>
              <w:ind w:right="20"/>
              <w:jc w:val="right"/>
              <w:rPr>
                <w:rFonts w:ascii="Book Antiqua"/>
                <w:sz w:val="17"/>
              </w:rPr>
            </w:pPr>
            <w:r>
              <w:rPr>
                <w:rFonts w:ascii="Book Antiqua"/>
                <w:color w:val="231F20"/>
                <w:sz w:val="17"/>
              </w:rPr>
              <w:t>4, 736</w:t>
            </w:r>
          </w:p>
        </w:tc>
        <w:tc>
          <w:tcPr>
            <w:tcW w:w="2339" w:type="dxa"/>
            <w:gridSpan w:val="2"/>
            <w:tcBorders>
              <w:top w:val="single" w:sz="4" w:space="0" w:color="AAACAF"/>
              <w:bottom w:val="single" w:sz="4" w:space="0" w:color="AAACAF"/>
            </w:tcBorders>
          </w:tcPr>
          <w:p>
            <w:pPr>
              <w:pStyle w:val="TableParagraph"/>
              <w:spacing w:before="98"/>
              <w:ind w:left="1383"/>
              <w:rPr>
                <w:rFonts w:ascii="Book Antiqua"/>
                <w:sz w:val="17"/>
              </w:rPr>
            </w:pPr>
            <w:r>
              <w:rPr>
                <w:rFonts w:ascii="Book Antiqua"/>
                <w:color w:val="231F20"/>
                <w:sz w:val="17"/>
              </w:rPr>
              <w:t>4 ,164</w:t>
            </w:r>
          </w:p>
        </w:tc>
        <w:tc>
          <w:tcPr>
            <w:tcW w:w="1761" w:type="dxa"/>
            <w:tcBorders>
              <w:top w:val="single" w:sz="4" w:space="0" w:color="AAACAF"/>
              <w:bottom w:val="single" w:sz="4" w:space="0" w:color="AAACAF"/>
            </w:tcBorders>
          </w:tcPr>
          <w:p>
            <w:pPr>
              <w:pStyle w:val="TableParagraph"/>
              <w:spacing w:before="98"/>
              <w:ind w:left="852"/>
              <w:rPr>
                <w:rFonts w:ascii="Book Antiqua"/>
                <w:sz w:val="17"/>
              </w:rPr>
            </w:pPr>
            <w:r>
              <w:rPr>
                <w:rFonts w:ascii="Book Antiqua"/>
                <w:color w:val="231F20"/>
                <w:sz w:val="17"/>
              </w:rPr>
              <w:t>3, 817</w:t>
            </w:r>
          </w:p>
        </w:tc>
        <w:tc>
          <w:tcPr>
            <w:tcW w:w="1722" w:type="dxa"/>
            <w:tcBorders>
              <w:top w:val="single" w:sz="4" w:space="0" w:color="AAACAF"/>
              <w:bottom w:val="single" w:sz="4" w:space="0" w:color="AAACAF"/>
            </w:tcBorders>
          </w:tcPr>
          <w:p>
            <w:pPr>
              <w:pStyle w:val="TableParagraph"/>
              <w:spacing w:before="98"/>
              <w:ind w:left="793"/>
              <w:rPr>
                <w:rFonts w:ascii="Book Antiqua"/>
                <w:sz w:val="17"/>
              </w:rPr>
            </w:pPr>
            <w:r>
              <w:rPr>
                <w:rFonts w:ascii="Book Antiqua"/>
                <w:color w:val="231F20"/>
                <w:sz w:val="17"/>
              </w:rPr>
              <w:t>3, 406</w:t>
            </w:r>
          </w:p>
        </w:tc>
        <w:tc>
          <w:tcPr>
            <w:tcW w:w="1688" w:type="dxa"/>
            <w:tcBorders>
              <w:top w:val="single" w:sz="4" w:space="0" w:color="AAACAF"/>
              <w:bottom w:val="single" w:sz="4" w:space="0" w:color="AAACAF"/>
            </w:tcBorders>
          </w:tcPr>
          <w:p>
            <w:pPr>
              <w:pStyle w:val="TableParagraph"/>
              <w:spacing w:before="98"/>
              <w:ind w:right="485"/>
              <w:jc w:val="right"/>
              <w:rPr>
                <w:rFonts w:ascii="Book Antiqua"/>
                <w:sz w:val="17"/>
              </w:rPr>
            </w:pPr>
            <w:r>
              <w:rPr>
                <w:rFonts w:ascii="Book Antiqua"/>
                <w:color w:val="231F20"/>
                <w:sz w:val="17"/>
              </w:rPr>
              <w:t>2, 873</w:t>
            </w:r>
          </w:p>
        </w:tc>
        <w:tc>
          <w:tcPr>
            <w:tcW w:w="1450" w:type="dxa"/>
            <w:tcBorders>
              <w:top w:val="single" w:sz="4" w:space="0" w:color="AAACAF"/>
              <w:bottom w:val="single" w:sz="4" w:space="0" w:color="AAACAF"/>
            </w:tcBorders>
          </w:tcPr>
          <w:p>
            <w:pPr>
              <w:pStyle w:val="TableParagraph"/>
              <w:spacing w:before="98"/>
              <w:ind w:right="274"/>
              <w:jc w:val="right"/>
              <w:rPr>
                <w:rFonts w:ascii="Book Antiqua"/>
                <w:sz w:val="17"/>
              </w:rPr>
            </w:pPr>
            <w:r>
              <w:rPr>
                <w:rFonts w:ascii="Book Antiqua"/>
                <w:color w:val="231F20"/>
                <w:sz w:val="17"/>
              </w:rPr>
              <w:t>2, 592</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tabs>
                <w:tab w:pos="382" w:val="left" w:leader="none"/>
              </w:tabs>
              <w:spacing w:before="98"/>
              <w:ind w:right="20"/>
              <w:jc w:val="right"/>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2"/>
                <w:sz w:val="17"/>
                <w:u w:val="single" w:color="231F20"/>
              </w:rPr>
              <w:t>3,</w:t>
            </w:r>
            <w:r>
              <w:rPr>
                <w:rFonts w:ascii="Book Antiqua"/>
                <w:color w:val="231F20"/>
                <w:spacing w:val="-33"/>
                <w:sz w:val="17"/>
                <w:u w:val="single" w:color="231F20"/>
              </w:rPr>
              <w:t> </w:t>
            </w:r>
            <w:r>
              <w:rPr>
                <w:rFonts w:ascii="Book Antiqua"/>
                <w:color w:val="231F20"/>
                <w:spacing w:val="-3"/>
                <w:sz w:val="17"/>
                <w:u w:val="single" w:color="231F20"/>
              </w:rPr>
              <w:t>954</w:t>
            </w:r>
          </w:p>
        </w:tc>
        <w:tc>
          <w:tcPr>
            <w:tcW w:w="2339" w:type="dxa"/>
            <w:gridSpan w:val="2"/>
            <w:tcBorders>
              <w:top w:val="single" w:sz="4" w:space="0" w:color="AAACAF"/>
              <w:bottom w:val="single" w:sz="4" w:space="0" w:color="AAACAF"/>
            </w:tcBorders>
          </w:tcPr>
          <w:p>
            <w:pPr>
              <w:pStyle w:val="TableParagraph"/>
              <w:tabs>
                <w:tab w:pos="1390" w:val="left" w:leader="none"/>
              </w:tabs>
              <w:spacing w:before="98"/>
              <w:ind w:left="1000"/>
              <w:rPr>
                <w:rFonts w:ascii="Book Antiqua"/>
                <w:sz w:val="17"/>
              </w:rPr>
            </w:pPr>
            <w:r>
              <w:rPr>
                <w:rFonts w:ascii="Book Antiqua"/>
                <w:color w:val="231F20"/>
                <w:w w:val="108"/>
                <w:sz w:val="17"/>
                <w:u w:val="single" w:color="231F20"/>
              </w:rPr>
              <w:t> </w:t>
            </w:r>
            <w:r>
              <w:rPr>
                <w:rFonts w:ascii="Book Antiqua"/>
                <w:color w:val="231F20"/>
                <w:sz w:val="17"/>
                <w:u w:val="single" w:color="231F20"/>
              </w:rPr>
              <w:tab/>
              <w:t>3,480</w:t>
            </w:r>
          </w:p>
        </w:tc>
        <w:tc>
          <w:tcPr>
            <w:tcW w:w="1761" w:type="dxa"/>
            <w:tcBorders>
              <w:top w:val="single" w:sz="4" w:space="0" w:color="AAACAF"/>
              <w:bottom w:val="single" w:sz="4" w:space="0" w:color="AAACAF"/>
            </w:tcBorders>
          </w:tcPr>
          <w:p>
            <w:pPr>
              <w:pStyle w:val="TableParagraph"/>
              <w:tabs>
                <w:tab w:pos="852" w:val="left" w:leader="none"/>
              </w:tabs>
              <w:spacing w:before="98"/>
              <w:ind w:left="474"/>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2"/>
                <w:sz w:val="17"/>
                <w:u w:val="single" w:color="231F20"/>
              </w:rPr>
              <w:t>3,</w:t>
            </w:r>
            <w:r>
              <w:rPr>
                <w:rFonts w:ascii="Book Antiqua"/>
                <w:color w:val="231F20"/>
                <w:spacing w:val="-29"/>
                <w:sz w:val="17"/>
                <w:u w:val="single" w:color="231F20"/>
              </w:rPr>
              <w:t> </w:t>
            </w:r>
            <w:r>
              <w:rPr>
                <w:rFonts w:ascii="Book Antiqua"/>
                <w:color w:val="231F20"/>
                <w:spacing w:val="-5"/>
                <w:sz w:val="17"/>
                <w:u w:val="single" w:color="231F20"/>
              </w:rPr>
              <w:t>293</w:t>
            </w:r>
          </w:p>
        </w:tc>
        <w:tc>
          <w:tcPr>
            <w:tcW w:w="1722" w:type="dxa"/>
            <w:tcBorders>
              <w:top w:val="single" w:sz="4" w:space="0" w:color="AAACAF"/>
              <w:bottom w:val="single" w:sz="4" w:space="0" w:color="AAACAF"/>
            </w:tcBorders>
          </w:tcPr>
          <w:p>
            <w:pPr>
              <w:pStyle w:val="TableParagraph"/>
              <w:tabs>
                <w:tab w:pos="794" w:val="left" w:leader="none"/>
              </w:tabs>
              <w:spacing w:before="98"/>
              <w:ind w:left="412"/>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3"/>
                <w:sz w:val="17"/>
                <w:u w:val="single" w:color="231F20"/>
              </w:rPr>
              <w:t>3,</w:t>
            </w:r>
            <w:r>
              <w:rPr>
                <w:rFonts w:ascii="Book Antiqua"/>
                <w:color w:val="231F20"/>
                <w:spacing w:val="-32"/>
                <w:sz w:val="17"/>
                <w:u w:val="single" w:color="231F20"/>
              </w:rPr>
              <w:t> </w:t>
            </w:r>
            <w:r>
              <w:rPr>
                <w:rFonts w:ascii="Book Antiqua"/>
                <w:color w:val="231F20"/>
                <w:spacing w:val="-4"/>
                <w:sz w:val="17"/>
                <w:u w:val="single" w:color="231F20"/>
              </w:rPr>
              <w:t>055</w:t>
            </w:r>
          </w:p>
        </w:tc>
        <w:tc>
          <w:tcPr>
            <w:tcW w:w="1688" w:type="dxa"/>
            <w:tcBorders>
              <w:top w:val="single" w:sz="4" w:space="0" w:color="AAACAF"/>
              <w:bottom w:val="single" w:sz="4" w:space="0" w:color="AAACAF"/>
            </w:tcBorders>
          </w:tcPr>
          <w:p>
            <w:pPr>
              <w:pStyle w:val="TableParagraph"/>
              <w:tabs>
                <w:tab w:pos="820" w:val="left" w:leader="none"/>
              </w:tabs>
              <w:spacing w:before="98"/>
              <w:ind w:left="437"/>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4"/>
                <w:sz w:val="17"/>
                <w:u w:val="single" w:color="231F20"/>
              </w:rPr>
              <w:t>2,</w:t>
            </w:r>
            <w:r>
              <w:rPr>
                <w:rFonts w:ascii="Book Antiqua"/>
                <w:color w:val="231F20"/>
                <w:spacing w:val="-38"/>
                <w:sz w:val="17"/>
                <w:u w:val="single" w:color="231F20"/>
              </w:rPr>
              <w:t> </w:t>
            </w:r>
            <w:r>
              <w:rPr>
                <w:rFonts w:ascii="Book Antiqua"/>
                <w:color w:val="231F20"/>
                <w:spacing w:val="-6"/>
                <w:sz w:val="17"/>
                <w:u w:val="single" w:color="231F20"/>
              </w:rPr>
              <w:t>559</w:t>
            </w:r>
          </w:p>
        </w:tc>
        <w:tc>
          <w:tcPr>
            <w:tcW w:w="1450" w:type="dxa"/>
            <w:tcBorders>
              <w:top w:val="single" w:sz="4" w:space="0" w:color="AAACAF"/>
              <w:bottom w:val="single" w:sz="4" w:space="0" w:color="AAACAF"/>
            </w:tcBorders>
          </w:tcPr>
          <w:p>
            <w:pPr>
              <w:pStyle w:val="TableParagraph"/>
              <w:tabs>
                <w:tab w:pos="785" w:val="left" w:leader="none"/>
              </w:tabs>
              <w:spacing w:before="98"/>
              <w:ind w:left="396"/>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5"/>
                <w:sz w:val="17"/>
                <w:u w:val="single" w:color="231F20"/>
              </w:rPr>
              <w:t>2,</w:t>
            </w:r>
            <w:r>
              <w:rPr>
                <w:rFonts w:ascii="Book Antiqua"/>
                <w:color w:val="231F20"/>
                <w:spacing w:val="-35"/>
                <w:sz w:val="17"/>
                <w:u w:val="single" w:color="231F20"/>
              </w:rPr>
              <w:t> </w:t>
            </w:r>
            <w:r>
              <w:rPr>
                <w:rFonts w:ascii="Book Antiqua"/>
                <w:color w:val="231F20"/>
                <w:spacing w:val="-5"/>
                <w:sz w:val="17"/>
                <w:u w:val="single" w:color="231F20"/>
              </w:rPr>
              <w:t>275</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spacing w:before="98"/>
              <w:ind w:right="19"/>
              <w:jc w:val="right"/>
              <w:rPr>
                <w:rFonts w:ascii="Book Antiqua"/>
                <w:sz w:val="17"/>
              </w:rPr>
            </w:pPr>
            <w:r>
              <w:rPr>
                <w:rFonts w:ascii="Book Antiqua"/>
                <w:color w:val="231F20"/>
                <w:sz w:val="17"/>
              </w:rPr>
              <w:t>782</w:t>
            </w:r>
          </w:p>
        </w:tc>
        <w:tc>
          <w:tcPr>
            <w:tcW w:w="2339" w:type="dxa"/>
            <w:gridSpan w:val="2"/>
            <w:tcBorders>
              <w:top w:val="single" w:sz="4" w:space="0" w:color="AAACAF"/>
              <w:bottom w:val="single" w:sz="4" w:space="0" w:color="AAACAF"/>
            </w:tcBorders>
          </w:tcPr>
          <w:p>
            <w:pPr>
              <w:pStyle w:val="TableParagraph"/>
              <w:spacing w:before="98"/>
              <w:ind w:left="1522"/>
              <w:rPr>
                <w:rFonts w:ascii="Book Antiqua"/>
                <w:sz w:val="17"/>
              </w:rPr>
            </w:pPr>
            <w:r>
              <w:rPr>
                <w:rFonts w:ascii="Book Antiqua"/>
                <w:color w:val="231F20"/>
                <w:sz w:val="17"/>
              </w:rPr>
              <w:t>684</w:t>
            </w:r>
          </w:p>
        </w:tc>
        <w:tc>
          <w:tcPr>
            <w:tcW w:w="1761" w:type="dxa"/>
            <w:tcBorders>
              <w:top w:val="single" w:sz="4" w:space="0" w:color="AAACAF"/>
              <w:bottom w:val="single" w:sz="4" w:space="0" w:color="AAACAF"/>
            </w:tcBorders>
          </w:tcPr>
          <w:p>
            <w:pPr>
              <w:pStyle w:val="TableParagraph"/>
              <w:spacing w:before="98"/>
              <w:ind w:left="1001"/>
              <w:rPr>
                <w:rFonts w:ascii="Book Antiqua"/>
                <w:sz w:val="17"/>
              </w:rPr>
            </w:pPr>
            <w:r>
              <w:rPr>
                <w:rFonts w:ascii="Book Antiqua"/>
                <w:color w:val="231F20"/>
                <w:sz w:val="17"/>
              </w:rPr>
              <w:t>524</w:t>
            </w:r>
          </w:p>
        </w:tc>
        <w:tc>
          <w:tcPr>
            <w:tcW w:w="1722" w:type="dxa"/>
            <w:tcBorders>
              <w:top w:val="single" w:sz="4" w:space="0" w:color="AAACAF"/>
              <w:bottom w:val="single" w:sz="4" w:space="0" w:color="AAACAF"/>
            </w:tcBorders>
          </w:tcPr>
          <w:p>
            <w:pPr>
              <w:pStyle w:val="TableParagraph"/>
              <w:spacing w:before="98"/>
              <w:ind w:left="944"/>
              <w:rPr>
                <w:rFonts w:ascii="Book Antiqua"/>
                <w:sz w:val="17"/>
              </w:rPr>
            </w:pPr>
            <w:r>
              <w:rPr>
                <w:rFonts w:ascii="Book Antiqua"/>
                <w:color w:val="231F20"/>
                <w:sz w:val="17"/>
              </w:rPr>
              <w:t>351</w:t>
            </w:r>
          </w:p>
        </w:tc>
        <w:tc>
          <w:tcPr>
            <w:tcW w:w="1688" w:type="dxa"/>
            <w:tcBorders>
              <w:top w:val="single" w:sz="4" w:space="0" w:color="AAACAF"/>
              <w:bottom w:val="single" w:sz="4" w:space="0" w:color="AAACAF"/>
            </w:tcBorders>
          </w:tcPr>
          <w:p>
            <w:pPr>
              <w:pStyle w:val="TableParagraph"/>
              <w:spacing w:before="98"/>
              <w:ind w:right="485"/>
              <w:jc w:val="right"/>
              <w:rPr>
                <w:rFonts w:ascii="Book Antiqua"/>
                <w:sz w:val="17"/>
              </w:rPr>
            </w:pPr>
            <w:r>
              <w:rPr>
                <w:rFonts w:ascii="Book Antiqua"/>
                <w:color w:val="231F20"/>
                <w:sz w:val="17"/>
              </w:rPr>
              <w:t>314</w:t>
            </w:r>
          </w:p>
        </w:tc>
        <w:tc>
          <w:tcPr>
            <w:tcW w:w="1450" w:type="dxa"/>
            <w:tcBorders>
              <w:top w:val="single" w:sz="4" w:space="0" w:color="AAACAF"/>
              <w:bottom w:val="single" w:sz="4" w:space="0" w:color="AAACAF"/>
            </w:tcBorders>
          </w:tcPr>
          <w:p>
            <w:pPr>
              <w:pStyle w:val="TableParagraph"/>
              <w:spacing w:before="98"/>
              <w:ind w:right="274"/>
              <w:jc w:val="right"/>
              <w:rPr>
                <w:rFonts w:ascii="Book Antiqua"/>
                <w:sz w:val="17"/>
              </w:rPr>
            </w:pPr>
            <w:r>
              <w:rPr>
                <w:rFonts w:ascii="Book Antiqua"/>
                <w:color w:val="231F20"/>
                <w:sz w:val="17"/>
              </w:rPr>
              <w:t>317</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tabs>
                <w:tab w:pos="680" w:val="left" w:leader="none"/>
              </w:tabs>
              <w:spacing w:before="98"/>
              <w:ind w:right="25"/>
              <w:jc w:val="right"/>
              <w:rPr>
                <w:rFonts w:ascii="Book Antiqua"/>
                <w:sz w:val="17"/>
              </w:rPr>
            </w:pPr>
            <w:r>
              <w:rPr>
                <w:rFonts w:ascii="Book Antiqua"/>
                <w:color w:val="231F20"/>
                <w:w w:val="108"/>
                <w:sz w:val="17"/>
                <w:u w:val="single" w:color="231F20"/>
              </w:rPr>
              <w:t> </w:t>
            </w:r>
            <w:r>
              <w:rPr>
                <w:rFonts w:ascii="Book Antiqua"/>
                <w:color w:val="231F20"/>
                <w:sz w:val="17"/>
                <w:u w:val="single" w:color="231F20"/>
              </w:rPr>
              <w:tab/>
              <w:t>8</w:t>
            </w:r>
          </w:p>
        </w:tc>
        <w:tc>
          <w:tcPr>
            <w:tcW w:w="2339" w:type="dxa"/>
            <w:gridSpan w:val="2"/>
            <w:tcBorders>
              <w:top w:val="single" w:sz="4" w:space="0" w:color="AAACAF"/>
              <w:bottom w:val="single" w:sz="4" w:space="0" w:color="AAACAF"/>
            </w:tcBorders>
          </w:tcPr>
          <w:p>
            <w:pPr>
              <w:pStyle w:val="TableParagraph"/>
              <w:tabs>
                <w:tab w:pos="1548" w:val="left" w:leader="none"/>
              </w:tabs>
              <w:spacing w:before="98"/>
              <w:ind w:left="1000"/>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6"/>
                <w:sz w:val="17"/>
                <w:u w:val="single" w:color="231F20"/>
              </w:rPr>
              <w:t>(21</w:t>
            </w:r>
            <w:r>
              <w:rPr>
                <w:rFonts w:ascii="Book Antiqua"/>
                <w:color w:val="231F20"/>
                <w:spacing w:val="-6"/>
                <w:sz w:val="17"/>
              </w:rPr>
              <w:t>)</w:t>
            </w:r>
          </w:p>
        </w:tc>
        <w:tc>
          <w:tcPr>
            <w:tcW w:w="1761" w:type="dxa"/>
            <w:tcBorders>
              <w:top w:val="single" w:sz="4" w:space="0" w:color="AAACAF"/>
              <w:bottom w:val="single" w:sz="4" w:space="0" w:color="AAACAF"/>
            </w:tcBorders>
          </w:tcPr>
          <w:p>
            <w:pPr>
              <w:pStyle w:val="TableParagraph"/>
              <w:tabs>
                <w:tab w:pos="1154" w:val="left" w:leader="none"/>
              </w:tabs>
              <w:spacing w:before="98"/>
              <w:ind w:left="474"/>
              <w:rPr>
                <w:rFonts w:ascii="Book Antiqua"/>
                <w:sz w:val="17"/>
              </w:rPr>
            </w:pPr>
            <w:r>
              <w:rPr>
                <w:rFonts w:ascii="Book Antiqua"/>
                <w:color w:val="231F20"/>
                <w:w w:val="108"/>
                <w:sz w:val="17"/>
                <w:u w:val="single" w:color="231F20"/>
              </w:rPr>
              <w:t> </w:t>
            </w:r>
            <w:r>
              <w:rPr>
                <w:rFonts w:ascii="Book Antiqua"/>
                <w:color w:val="231F20"/>
                <w:sz w:val="17"/>
                <w:u w:val="single" w:color="231F20"/>
              </w:rPr>
              <w:tab/>
              <w:t>7</w:t>
            </w:r>
          </w:p>
        </w:tc>
        <w:tc>
          <w:tcPr>
            <w:tcW w:w="1722" w:type="dxa"/>
            <w:tcBorders>
              <w:top w:val="single" w:sz="4" w:space="0" w:color="AAACAF"/>
              <w:bottom w:val="single" w:sz="4" w:space="0" w:color="AAACAF"/>
            </w:tcBorders>
          </w:tcPr>
          <w:p>
            <w:pPr>
              <w:pStyle w:val="TableParagraph"/>
              <w:tabs>
                <w:tab w:pos="1021" w:val="left" w:leader="none"/>
              </w:tabs>
              <w:spacing w:before="98"/>
              <w:ind w:left="412"/>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4"/>
                <w:sz w:val="17"/>
                <w:u w:val="single" w:color="231F20"/>
              </w:rPr>
              <w:t>10</w:t>
            </w:r>
          </w:p>
        </w:tc>
        <w:tc>
          <w:tcPr>
            <w:tcW w:w="1688" w:type="dxa"/>
            <w:tcBorders>
              <w:top w:val="single" w:sz="4" w:space="0" w:color="AAACAF"/>
              <w:bottom w:val="single" w:sz="4" w:space="0" w:color="AAACAF"/>
            </w:tcBorders>
          </w:tcPr>
          <w:p>
            <w:pPr>
              <w:pStyle w:val="TableParagraph"/>
              <w:tabs>
                <w:tab w:pos="1116" w:val="left" w:leader="none"/>
              </w:tabs>
              <w:spacing w:before="98"/>
              <w:ind w:left="437"/>
              <w:rPr>
                <w:rFonts w:ascii="Book Antiqua"/>
                <w:sz w:val="17"/>
              </w:rPr>
            </w:pPr>
            <w:r>
              <w:rPr>
                <w:rFonts w:ascii="Book Antiqua"/>
                <w:color w:val="231F20"/>
                <w:w w:val="108"/>
                <w:sz w:val="17"/>
                <w:u w:val="single" w:color="231F20"/>
              </w:rPr>
              <w:t> </w:t>
            </w:r>
            <w:r>
              <w:rPr>
                <w:rFonts w:ascii="Book Antiqua"/>
                <w:color w:val="231F20"/>
                <w:sz w:val="17"/>
                <w:u w:val="single" w:color="231F20"/>
              </w:rPr>
              <w:tab/>
              <w:t>8</w:t>
            </w:r>
          </w:p>
        </w:tc>
        <w:tc>
          <w:tcPr>
            <w:tcW w:w="1450" w:type="dxa"/>
            <w:tcBorders>
              <w:top w:val="single" w:sz="4" w:space="0" w:color="AAACAF"/>
              <w:bottom w:val="single" w:sz="4" w:space="0" w:color="AAACAF"/>
            </w:tcBorders>
          </w:tcPr>
          <w:p>
            <w:pPr>
              <w:pStyle w:val="TableParagraph"/>
              <w:tabs>
                <w:tab w:pos="1005" w:val="left" w:leader="none"/>
              </w:tabs>
              <w:spacing w:before="98"/>
              <w:ind w:left="396"/>
              <w:rPr>
                <w:rFonts w:ascii="Book Antiqua"/>
                <w:sz w:val="17"/>
              </w:rPr>
            </w:pPr>
            <w:r>
              <w:rPr>
                <w:rFonts w:ascii="Book Antiqua"/>
                <w:color w:val="231F20"/>
                <w:w w:val="108"/>
                <w:sz w:val="17"/>
                <w:u w:val="single" w:color="231F20"/>
              </w:rPr>
              <w:t> </w:t>
            </w:r>
            <w:r>
              <w:rPr>
                <w:rFonts w:ascii="Book Antiqua"/>
                <w:color w:val="231F20"/>
                <w:sz w:val="17"/>
                <w:u w:val="single" w:color="231F20"/>
              </w:rPr>
              <w:tab/>
              <w:t>18</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spacing w:before="98"/>
              <w:ind w:right="29"/>
              <w:jc w:val="right"/>
              <w:rPr>
                <w:rFonts w:ascii="Book Antiqua"/>
                <w:sz w:val="17"/>
              </w:rPr>
            </w:pPr>
            <w:r>
              <w:rPr>
                <w:rFonts w:ascii="Book Antiqua"/>
                <w:color w:val="231F20"/>
                <w:sz w:val="17"/>
              </w:rPr>
              <w:t>774</w:t>
            </w:r>
          </w:p>
        </w:tc>
        <w:tc>
          <w:tcPr>
            <w:tcW w:w="2339" w:type="dxa"/>
            <w:gridSpan w:val="2"/>
            <w:tcBorders>
              <w:top w:val="single" w:sz="4" w:space="0" w:color="AAACAF"/>
              <w:bottom w:val="single" w:sz="4" w:space="0" w:color="AAACAF"/>
            </w:tcBorders>
          </w:tcPr>
          <w:p>
            <w:pPr>
              <w:pStyle w:val="TableParagraph"/>
              <w:spacing w:before="98"/>
              <w:ind w:left="1524"/>
              <w:rPr>
                <w:rFonts w:ascii="Book Antiqua"/>
                <w:sz w:val="17"/>
              </w:rPr>
            </w:pPr>
            <w:r>
              <w:rPr>
                <w:rFonts w:ascii="Book Antiqua"/>
                <w:color w:val="231F20"/>
                <w:sz w:val="17"/>
              </w:rPr>
              <w:t>705</w:t>
            </w:r>
          </w:p>
        </w:tc>
        <w:tc>
          <w:tcPr>
            <w:tcW w:w="1761" w:type="dxa"/>
            <w:tcBorders>
              <w:top w:val="single" w:sz="4" w:space="0" w:color="AAACAF"/>
              <w:bottom w:val="single" w:sz="4" w:space="0" w:color="AAACAF"/>
            </w:tcBorders>
          </w:tcPr>
          <w:p>
            <w:pPr>
              <w:pStyle w:val="TableParagraph"/>
              <w:spacing w:before="98"/>
              <w:ind w:left="1004"/>
              <w:rPr>
                <w:rFonts w:ascii="Book Antiqua"/>
                <w:sz w:val="17"/>
              </w:rPr>
            </w:pPr>
            <w:r>
              <w:rPr>
                <w:rFonts w:ascii="Book Antiqua"/>
                <w:color w:val="231F20"/>
                <w:sz w:val="17"/>
              </w:rPr>
              <w:t>517</w:t>
            </w:r>
          </w:p>
        </w:tc>
        <w:tc>
          <w:tcPr>
            <w:tcW w:w="1722" w:type="dxa"/>
            <w:tcBorders>
              <w:top w:val="single" w:sz="4" w:space="0" w:color="AAACAF"/>
              <w:bottom w:val="single" w:sz="4" w:space="0" w:color="AAACAF"/>
            </w:tcBorders>
          </w:tcPr>
          <w:p>
            <w:pPr>
              <w:pStyle w:val="TableParagraph"/>
              <w:spacing w:before="98"/>
              <w:ind w:left="943"/>
              <w:rPr>
                <w:rFonts w:ascii="Book Antiqua"/>
                <w:sz w:val="17"/>
              </w:rPr>
            </w:pPr>
            <w:r>
              <w:rPr>
                <w:rFonts w:ascii="Book Antiqua"/>
                <w:color w:val="231F20"/>
                <w:sz w:val="17"/>
              </w:rPr>
              <w:t>341</w:t>
            </w:r>
          </w:p>
        </w:tc>
        <w:tc>
          <w:tcPr>
            <w:tcW w:w="1688" w:type="dxa"/>
            <w:tcBorders>
              <w:top w:val="single" w:sz="4" w:space="0" w:color="AAACAF"/>
              <w:bottom w:val="single" w:sz="4" w:space="0" w:color="AAACAF"/>
            </w:tcBorders>
          </w:tcPr>
          <w:p>
            <w:pPr>
              <w:pStyle w:val="TableParagraph"/>
              <w:spacing w:before="98"/>
              <w:ind w:right="485"/>
              <w:jc w:val="right"/>
              <w:rPr>
                <w:rFonts w:ascii="Book Antiqua"/>
                <w:sz w:val="17"/>
              </w:rPr>
            </w:pPr>
            <w:r>
              <w:rPr>
                <w:rFonts w:ascii="Book Antiqua"/>
                <w:color w:val="231F20"/>
                <w:sz w:val="17"/>
              </w:rPr>
              <w:t>306</w:t>
            </w:r>
          </w:p>
        </w:tc>
        <w:tc>
          <w:tcPr>
            <w:tcW w:w="1450" w:type="dxa"/>
            <w:tcBorders>
              <w:top w:val="single" w:sz="4" w:space="0" w:color="AAACAF"/>
              <w:bottom w:val="single" w:sz="4" w:space="0" w:color="AAACAF"/>
            </w:tcBorders>
          </w:tcPr>
          <w:p>
            <w:pPr>
              <w:pStyle w:val="TableParagraph"/>
              <w:spacing w:before="98"/>
              <w:ind w:right="274"/>
              <w:jc w:val="right"/>
              <w:rPr>
                <w:rFonts w:ascii="Book Antiqua"/>
                <w:sz w:val="17"/>
              </w:rPr>
            </w:pPr>
            <w:r>
              <w:rPr>
                <w:rFonts w:ascii="Book Antiqua"/>
                <w:color w:val="231F20"/>
                <w:sz w:val="17"/>
              </w:rPr>
              <w:t>299</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tabs>
                <w:tab w:pos="528" w:val="left" w:leader="none"/>
              </w:tabs>
              <w:spacing w:before="98"/>
              <w:ind w:right="21"/>
              <w:jc w:val="right"/>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5"/>
                <w:sz w:val="17"/>
                <w:u w:val="single" w:color="231F20"/>
              </w:rPr>
              <w:t>299</w:t>
            </w:r>
          </w:p>
        </w:tc>
        <w:tc>
          <w:tcPr>
            <w:tcW w:w="2339" w:type="dxa"/>
            <w:gridSpan w:val="2"/>
            <w:tcBorders>
              <w:top w:val="single" w:sz="4" w:space="0" w:color="AAACAF"/>
              <w:bottom w:val="single" w:sz="4" w:space="0" w:color="AAACAF"/>
            </w:tcBorders>
          </w:tcPr>
          <w:p>
            <w:pPr>
              <w:pStyle w:val="TableParagraph"/>
              <w:tabs>
                <w:tab w:pos="1527" w:val="left" w:leader="none"/>
              </w:tabs>
              <w:spacing w:before="98"/>
              <w:ind w:left="1000"/>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6"/>
                <w:sz w:val="17"/>
                <w:u w:val="single" w:color="231F20"/>
              </w:rPr>
              <w:t>272</w:t>
            </w:r>
          </w:p>
        </w:tc>
        <w:tc>
          <w:tcPr>
            <w:tcW w:w="1761" w:type="dxa"/>
            <w:tcBorders>
              <w:top w:val="single" w:sz="4" w:space="0" w:color="AAACAF"/>
              <w:bottom w:val="single" w:sz="4" w:space="0" w:color="AAACAF"/>
            </w:tcBorders>
          </w:tcPr>
          <w:p>
            <w:pPr>
              <w:pStyle w:val="TableParagraph"/>
              <w:tabs>
                <w:tab w:pos="997" w:val="left" w:leader="none"/>
              </w:tabs>
              <w:spacing w:before="98"/>
              <w:ind w:left="474"/>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5"/>
                <w:sz w:val="17"/>
                <w:u w:val="single" w:color="231F20"/>
              </w:rPr>
              <w:t>199</w:t>
            </w:r>
          </w:p>
        </w:tc>
        <w:tc>
          <w:tcPr>
            <w:tcW w:w="1722" w:type="dxa"/>
            <w:tcBorders>
              <w:top w:val="single" w:sz="4" w:space="0" w:color="AAACAF"/>
              <w:bottom w:val="single" w:sz="4" w:space="0" w:color="AAACAF"/>
            </w:tcBorders>
          </w:tcPr>
          <w:p>
            <w:pPr>
              <w:pStyle w:val="TableParagraph"/>
              <w:tabs>
                <w:tab w:pos="940" w:val="left" w:leader="none"/>
              </w:tabs>
              <w:spacing w:before="98"/>
              <w:ind w:left="412"/>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5"/>
                <w:sz w:val="17"/>
                <w:u w:val="single" w:color="231F20"/>
              </w:rPr>
              <w:t>134</w:t>
            </w:r>
          </w:p>
        </w:tc>
        <w:tc>
          <w:tcPr>
            <w:tcW w:w="1688" w:type="dxa"/>
            <w:tcBorders>
              <w:top w:val="single" w:sz="4" w:space="0" w:color="AAACAF"/>
              <w:bottom w:val="single" w:sz="4" w:space="0" w:color="AAACAF"/>
            </w:tcBorders>
          </w:tcPr>
          <w:p>
            <w:pPr>
              <w:pStyle w:val="TableParagraph"/>
              <w:tabs>
                <w:tab w:pos="953" w:val="left" w:leader="none"/>
              </w:tabs>
              <w:spacing w:before="98"/>
              <w:ind w:left="437"/>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3"/>
                <w:sz w:val="17"/>
                <w:u w:val="single" w:color="231F20"/>
              </w:rPr>
              <w:t>123</w:t>
            </w:r>
          </w:p>
        </w:tc>
        <w:tc>
          <w:tcPr>
            <w:tcW w:w="1450" w:type="dxa"/>
            <w:tcBorders>
              <w:top w:val="single" w:sz="4" w:space="0" w:color="AAACAF"/>
              <w:bottom w:val="single" w:sz="4" w:space="0" w:color="AAACAF"/>
            </w:tcBorders>
          </w:tcPr>
          <w:p>
            <w:pPr>
              <w:pStyle w:val="TableParagraph"/>
              <w:tabs>
                <w:tab w:pos="923" w:val="left" w:leader="none"/>
              </w:tabs>
              <w:spacing w:before="98"/>
              <w:ind w:left="396"/>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2"/>
                <w:sz w:val="17"/>
                <w:u w:val="single" w:color="231F20"/>
              </w:rPr>
              <w:t>120</w:t>
            </w:r>
          </w:p>
        </w:tc>
      </w:tr>
      <w:tr>
        <w:trPr>
          <w:trHeight w:val="31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8" w:space="0" w:color="231F20"/>
            </w:tcBorders>
          </w:tcPr>
          <w:p>
            <w:pPr>
              <w:pStyle w:val="TableParagraph"/>
              <w:tabs>
                <w:tab w:pos="576" w:val="left" w:leader="none"/>
              </w:tabs>
              <w:spacing w:before="98"/>
              <w:ind w:right="19"/>
              <w:jc w:val="right"/>
              <w:rPr>
                <w:rFonts w:ascii="Book Antiqua"/>
                <w:sz w:val="17"/>
              </w:rPr>
            </w:pPr>
            <w:r>
              <w:rPr>
                <w:rFonts w:ascii="Book Antiqua"/>
                <w:color w:val="231F20"/>
                <w:sz w:val="17"/>
              </w:rPr>
              <w:t>$</w:t>
              <w:tab/>
            </w:r>
            <w:r>
              <w:rPr>
                <w:rFonts w:ascii="Book Antiqua"/>
                <w:color w:val="231F20"/>
                <w:spacing w:val="-6"/>
                <w:sz w:val="17"/>
              </w:rPr>
              <w:t>475</w:t>
            </w:r>
          </w:p>
        </w:tc>
        <w:tc>
          <w:tcPr>
            <w:tcW w:w="2339" w:type="dxa"/>
            <w:gridSpan w:val="2"/>
            <w:tcBorders>
              <w:top w:val="single" w:sz="4" w:space="0" w:color="AAACAF"/>
              <w:bottom w:val="single" w:sz="4" w:space="0" w:color="AAACAF"/>
            </w:tcBorders>
          </w:tcPr>
          <w:p>
            <w:pPr>
              <w:pStyle w:val="TableParagraph"/>
              <w:tabs>
                <w:tab w:pos="1520" w:val="left" w:leader="none"/>
              </w:tabs>
              <w:spacing w:before="98"/>
              <w:ind w:left="957"/>
              <w:rPr>
                <w:rFonts w:ascii="Book Antiqua"/>
                <w:sz w:val="17"/>
              </w:rPr>
            </w:pPr>
            <w:r>
              <w:rPr>
                <w:rFonts w:ascii="Book Antiqua"/>
                <w:color w:val="231F20"/>
                <w:sz w:val="17"/>
              </w:rPr>
              <w:t>$</w:t>
              <w:tab/>
            </w:r>
            <w:r>
              <w:rPr>
                <w:rFonts w:ascii="Book Antiqua"/>
                <w:color w:val="231F20"/>
                <w:spacing w:val="-4"/>
                <w:sz w:val="17"/>
                <w:u w:val="single" w:color="231F20"/>
              </w:rPr>
              <w:t>433</w:t>
            </w:r>
          </w:p>
        </w:tc>
        <w:tc>
          <w:tcPr>
            <w:tcW w:w="1761" w:type="dxa"/>
            <w:tcBorders>
              <w:top w:val="single" w:sz="4" w:space="0" w:color="AAACAF"/>
              <w:bottom w:val="single" w:sz="4" w:space="0" w:color="AAACAF"/>
            </w:tcBorders>
          </w:tcPr>
          <w:p>
            <w:pPr>
              <w:pStyle w:val="TableParagraph"/>
              <w:tabs>
                <w:tab w:pos="1005" w:val="left" w:leader="none"/>
              </w:tabs>
              <w:spacing w:before="98"/>
              <w:ind w:left="434"/>
              <w:rPr>
                <w:rFonts w:ascii="Book Antiqua"/>
                <w:sz w:val="17"/>
              </w:rPr>
            </w:pPr>
            <w:r>
              <w:rPr>
                <w:rFonts w:ascii="Book Antiqua"/>
                <w:color w:val="231F20"/>
                <w:sz w:val="17"/>
                <w:u w:val="single" w:color="231F20"/>
              </w:rPr>
              <w:t>$</w:t>
              <w:tab/>
            </w:r>
            <w:r>
              <w:rPr>
                <w:rFonts w:ascii="Book Antiqua"/>
                <w:color w:val="231F20"/>
                <w:spacing w:val="-8"/>
                <w:sz w:val="17"/>
                <w:u w:val="single" w:color="231F20"/>
              </w:rPr>
              <w:t>218</w:t>
            </w:r>
          </w:p>
        </w:tc>
        <w:tc>
          <w:tcPr>
            <w:tcW w:w="1722" w:type="dxa"/>
            <w:tcBorders>
              <w:top w:val="single" w:sz="4" w:space="0" w:color="AAACAF"/>
              <w:bottom w:val="single" w:sz="4" w:space="0" w:color="AAACAF"/>
            </w:tcBorders>
          </w:tcPr>
          <w:p>
            <w:pPr>
              <w:pStyle w:val="TableParagraph"/>
              <w:tabs>
                <w:tab w:pos="938" w:val="left" w:leader="none"/>
              </w:tabs>
              <w:spacing w:before="98"/>
              <w:ind w:left="374"/>
              <w:rPr>
                <w:rFonts w:ascii="Book Antiqua"/>
                <w:sz w:val="17"/>
              </w:rPr>
            </w:pPr>
            <w:r>
              <w:rPr>
                <w:rFonts w:ascii="Book Antiqua"/>
                <w:color w:val="231F20"/>
                <w:sz w:val="17"/>
                <w:u w:val="single" w:color="231F20"/>
              </w:rPr>
              <w:t>$</w:t>
              <w:tab/>
            </w:r>
            <w:r>
              <w:rPr>
                <w:rFonts w:ascii="Book Antiqua"/>
                <w:color w:val="231F20"/>
                <w:spacing w:val="-4"/>
                <w:sz w:val="17"/>
                <w:u w:val="single" w:color="231F20"/>
              </w:rPr>
              <w:t>207</w:t>
            </w:r>
          </w:p>
        </w:tc>
        <w:tc>
          <w:tcPr>
            <w:tcW w:w="1688" w:type="dxa"/>
            <w:tcBorders>
              <w:top w:val="single" w:sz="4" w:space="0" w:color="AAACAF"/>
              <w:bottom w:val="single" w:sz="4" w:space="0" w:color="AAACAF"/>
            </w:tcBorders>
          </w:tcPr>
          <w:p>
            <w:pPr>
              <w:pStyle w:val="TableParagraph"/>
              <w:tabs>
                <w:tab w:pos="959" w:val="left" w:leader="none"/>
              </w:tabs>
              <w:spacing w:before="98"/>
              <w:ind w:left="396"/>
              <w:rPr>
                <w:rFonts w:ascii="Book Antiqua"/>
                <w:sz w:val="17"/>
              </w:rPr>
            </w:pPr>
            <w:r>
              <w:rPr>
                <w:rFonts w:ascii="Book Antiqua"/>
                <w:color w:val="231F20"/>
                <w:sz w:val="17"/>
              </w:rPr>
              <w:t>$</w:t>
              <w:tab/>
            </w:r>
            <w:r>
              <w:rPr>
                <w:rFonts w:ascii="Book Antiqua"/>
                <w:color w:val="231F20"/>
                <w:spacing w:val="-5"/>
                <w:sz w:val="17"/>
                <w:u w:val="single" w:color="231F20"/>
              </w:rPr>
              <w:t>183</w:t>
            </w:r>
          </w:p>
        </w:tc>
        <w:tc>
          <w:tcPr>
            <w:tcW w:w="1450" w:type="dxa"/>
            <w:tcBorders>
              <w:top w:val="single" w:sz="4" w:space="0" w:color="AAACAF"/>
              <w:bottom w:val="single" w:sz="4" w:space="0" w:color="AAACAF"/>
            </w:tcBorders>
          </w:tcPr>
          <w:p>
            <w:pPr>
              <w:pStyle w:val="TableParagraph"/>
              <w:tabs>
                <w:tab w:pos="926" w:val="left" w:leader="none"/>
              </w:tabs>
              <w:spacing w:before="98"/>
              <w:ind w:left="356"/>
              <w:rPr>
                <w:rFonts w:ascii="Book Antiqua"/>
                <w:sz w:val="17"/>
              </w:rPr>
            </w:pPr>
            <w:r>
              <w:rPr>
                <w:rFonts w:ascii="Book Antiqua"/>
                <w:color w:val="231F20"/>
                <w:sz w:val="17"/>
                <w:u w:val="single" w:color="231F20"/>
              </w:rPr>
              <w:t>$</w:t>
              <w:tab/>
            </w:r>
            <w:r>
              <w:rPr>
                <w:rFonts w:ascii="Book Antiqua"/>
                <w:color w:val="231F20"/>
                <w:spacing w:val="-4"/>
                <w:sz w:val="17"/>
                <w:u w:val="single" w:color="231F20"/>
              </w:rPr>
              <w:t>179</w:t>
            </w:r>
          </w:p>
        </w:tc>
      </w:tr>
      <w:tr>
        <w:trPr>
          <w:trHeight w:val="290" w:hRule="exact"/>
        </w:trPr>
        <w:tc>
          <w:tcPr>
            <w:tcW w:w="688" w:type="dxa"/>
            <w:tcBorders>
              <w:top w:val="single" w:sz="4" w:space="0" w:color="AAACAF"/>
              <w:bottom w:val="single" w:sz="4" w:space="0" w:color="AAACAF"/>
            </w:tcBorders>
          </w:tcPr>
          <w:p>
            <w:pPr/>
          </w:p>
        </w:tc>
        <w:tc>
          <w:tcPr>
            <w:tcW w:w="839" w:type="dxa"/>
            <w:tcBorders>
              <w:top w:val="single" w:sz="8" w:space="0" w:color="231F20"/>
              <w:bottom w:val="single" w:sz="4" w:space="0" w:color="AAACAF"/>
            </w:tcBorders>
          </w:tcPr>
          <w:p>
            <w:pPr>
              <w:pStyle w:val="TableParagraph"/>
              <w:spacing w:before="67"/>
              <w:ind w:right="19"/>
              <w:jc w:val="right"/>
              <w:rPr>
                <w:rFonts w:ascii="Book Antiqua"/>
                <w:sz w:val="17"/>
              </w:rPr>
            </w:pPr>
            <w:r>
              <w:rPr>
                <w:rFonts w:ascii="Book Antiqua"/>
                <w:color w:val="231F20"/>
                <w:w w:val="95"/>
                <w:sz w:val="17"/>
              </w:rPr>
              <w:t>$.63</w:t>
            </w:r>
          </w:p>
        </w:tc>
        <w:tc>
          <w:tcPr>
            <w:tcW w:w="2339" w:type="dxa"/>
            <w:gridSpan w:val="2"/>
            <w:tcBorders>
              <w:top w:val="single" w:sz="4" w:space="0" w:color="AAACAF"/>
              <w:bottom w:val="single" w:sz="4" w:space="0" w:color="AAACAF"/>
            </w:tcBorders>
          </w:tcPr>
          <w:p>
            <w:pPr>
              <w:pStyle w:val="TableParagraph"/>
              <w:spacing w:before="98"/>
              <w:ind w:left="1479"/>
              <w:rPr>
                <w:rFonts w:ascii="Book Antiqua"/>
                <w:sz w:val="17"/>
              </w:rPr>
            </w:pPr>
            <w:r>
              <w:rPr>
                <w:rFonts w:ascii="Book Antiqua"/>
                <w:color w:val="231F20"/>
                <w:sz w:val="17"/>
              </w:rPr>
              <w:t>$.58</w:t>
            </w:r>
          </w:p>
        </w:tc>
        <w:tc>
          <w:tcPr>
            <w:tcW w:w="1761" w:type="dxa"/>
            <w:tcBorders>
              <w:top w:val="single" w:sz="4" w:space="0" w:color="AAACAF"/>
              <w:bottom w:val="single" w:sz="4" w:space="0" w:color="AAACAF"/>
            </w:tcBorders>
          </w:tcPr>
          <w:p>
            <w:pPr>
              <w:pStyle w:val="TableParagraph"/>
              <w:spacing w:before="98"/>
              <w:ind w:left="955"/>
              <w:rPr>
                <w:rFonts w:ascii="Book Antiqua"/>
                <w:sz w:val="17"/>
              </w:rPr>
            </w:pPr>
            <w:r>
              <w:rPr>
                <w:rFonts w:ascii="Book Antiqua"/>
                <w:color w:val="231F20"/>
                <w:sz w:val="17"/>
              </w:rPr>
              <w:t>$.43</w:t>
            </w:r>
          </w:p>
        </w:tc>
        <w:tc>
          <w:tcPr>
            <w:tcW w:w="1722" w:type="dxa"/>
            <w:tcBorders>
              <w:top w:val="single" w:sz="4" w:space="0" w:color="AAACAF"/>
              <w:bottom w:val="single" w:sz="4" w:space="0" w:color="AAACAF"/>
            </w:tcBorders>
          </w:tcPr>
          <w:p>
            <w:pPr>
              <w:pStyle w:val="TableParagraph"/>
              <w:spacing w:before="98"/>
              <w:ind w:left="897"/>
              <w:rPr>
                <w:rFonts w:ascii="Book Antiqua"/>
                <w:sz w:val="17"/>
              </w:rPr>
            </w:pPr>
            <w:r>
              <w:rPr>
                <w:rFonts w:ascii="Book Antiqua"/>
                <w:color w:val="231F20"/>
                <w:sz w:val="17"/>
              </w:rPr>
              <w:t>$.28</w:t>
            </w:r>
          </w:p>
        </w:tc>
        <w:tc>
          <w:tcPr>
            <w:tcW w:w="1688" w:type="dxa"/>
            <w:tcBorders>
              <w:top w:val="single" w:sz="4" w:space="0" w:color="AAACAF"/>
              <w:bottom w:val="single" w:sz="4" w:space="0" w:color="AAACAF"/>
            </w:tcBorders>
          </w:tcPr>
          <w:p>
            <w:pPr>
              <w:pStyle w:val="TableParagraph"/>
              <w:spacing w:before="98"/>
              <w:ind w:right="484"/>
              <w:jc w:val="right"/>
              <w:rPr>
                <w:rFonts w:ascii="Book Antiqua"/>
                <w:sz w:val="17"/>
              </w:rPr>
            </w:pPr>
            <w:r>
              <w:rPr>
                <w:rFonts w:ascii="Book Antiqua"/>
                <w:color w:val="231F20"/>
                <w:w w:val="95"/>
                <w:sz w:val="17"/>
              </w:rPr>
              <w:t>$.25</w:t>
            </w:r>
          </w:p>
        </w:tc>
        <w:tc>
          <w:tcPr>
            <w:tcW w:w="1450" w:type="dxa"/>
            <w:tcBorders>
              <w:top w:val="single" w:sz="4" w:space="0" w:color="AAACAF"/>
              <w:bottom w:val="single" w:sz="4" w:space="0" w:color="AAACAF"/>
            </w:tcBorders>
          </w:tcPr>
          <w:p>
            <w:pPr>
              <w:pStyle w:val="TableParagraph"/>
              <w:spacing w:before="98"/>
              <w:ind w:right="276"/>
              <w:jc w:val="right"/>
              <w:rPr>
                <w:rFonts w:ascii="Book Antiqua"/>
                <w:sz w:val="17"/>
              </w:rPr>
            </w:pPr>
            <w:r>
              <w:rPr>
                <w:rFonts w:ascii="Book Antiqua"/>
                <w:color w:val="231F20"/>
                <w:w w:val="95"/>
                <w:sz w:val="17"/>
              </w:rPr>
              <w:t>$.25</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spacing w:before="98"/>
              <w:ind w:right="20"/>
              <w:jc w:val="right"/>
              <w:rPr>
                <w:rFonts w:ascii="Book Antiqua"/>
                <w:sz w:val="17"/>
              </w:rPr>
            </w:pPr>
            <w:r>
              <w:rPr>
                <w:rFonts w:ascii="Book Antiqua"/>
                <w:color w:val="231F20"/>
                <w:w w:val="95"/>
                <w:sz w:val="17"/>
              </w:rPr>
              <w:t>$.59</w:t>
            </w:r>
          </w:p>
        </w:tc>
        <w:tc>
          <w:tcPr>
            <w:tcW w:w="2339" w:type="dxa"/>
            <w:gridSpan w:val="2"/>
            <w:tcBorders>
              <w:top w:val="single" w:sz="4" w:space="0" w:color="AAACAF"/>
              <w:bottom w:val="single" w:sz="4" w:space="0" w:color="AAACAF"/>
            </w:tcBorders>
          </w:tcPr>
          <w:p>
            <w:pPr>
              <w:pStyle w:val="TableParagraph"/>
              <w:spacing w:before="98"/>
              <w:ind w:left="1480"/>
              <w:rPr>
                <w:rFonts w:ascii="Book Antiqua"/>
                <w:sz w:val="17"/>
              </w:rPr>
            </w:pPr>
            <w:r>
              <w:rPr>
                <w:rFonts w:ascii="Book Antiqua"/>
                <w:color w:val="231F20"/>
                <w:sz w:val="17"/>
              </w:rPr>
              <w:t>$.55</w:t>
            </w:r>
          </w:p>
        </w:tc>
        <w:tc>
          <w:tcPr>
            <w:tcW w:w="1761" w:type="dxa"/>
            <w:tcBorders>
              <w:top w:val="single" w:sz="4" w:space="0" w:color="AAACAF"/>
              <w:bottom w:val="single" w:sz="4" w:space="0" w:color="AAACAF"/>
            </w:tcBorders>
          </w:tcPr>
          <w:p>
            <w:pPr>
              <w:pStyle w:val="TableParagraph"/>
              <w:spacing w:before="98"/>
              <w:ind w:left="952"/>
              <w:rPr>
                <w:rFonts w:ascii="Book Antiqua"/>
                <w:sz w:val="17"/>
              </w:rPr>
            </w:pPr>
            <w:r>
              <w:rPr>
                <w:rFonts w:ascii="Book Antiqua"/>
                <w:color w:val="231F20"/>
                <w:sz w:val="17"/>
              </w:rPr>
              <w:t>$.41</w:t>
            </w:r>
          </w:p>
        </w:tc>
        <w:tc>
          <w:tcPr>
            <w:tcW w:w="1722" w:type="dxa"/>
            <w:tcBorders>
              <w:top w:val="single" w:sz="4" w:space="0" w:color="AAACAF"/>
              <w:bottom w:val="single" w:sz="4" w:space="0" w:color="AAACAF"/>
            </w:tcBorders>
          </w:tcPr>
          <w:p>
            <w:pPr>
              <w:pStyle w:val="TableParagraph"/>
              <w:spacing w:before="98"/>
              <w:ind w:left="900"/>
              <w:rPr>
                <w:rFonts w:ascii="Book Antiqua"/>
                <w:sz w:val="17"/>
              </w:rPr>
            </w:pPr>
            <w:r>
              <w:rPr>
                <w:rFonts w:ascii="Book Antiqua"/>
                <w:color w:val="231F20"/>
                <w:sz w:val="17"/>
              </w:rPr>
              <w:t>$.27</w:t>
            </w:r>
          </w:p>
        </w:tc>
        <w:tc>
          <w:tcPr>
            <w:tcW w:w="1688" w:type="dxa"/>
            <w:tcBorders>
              <w:top w:val="single" w:sz="4" w:space="0" w:color="AAACAF"/>
              <w:bottom w:val="single" w:sz="4" w:space="0" w:color="AAACAF"/>
            </w:tcBorders>
          </w:tcPr>
          <w:p>
            <w:pPr>
              <w:pStyle w:val="TableParagraph"/>
              <w:spacing w:before="98"/>
              <w:ind w:right="485"/>
              <w:jc w:val="right"/>
              <w:rPr>
                <w:rFonts w:ascii="Book Antiqua"/>
                <w:sz w:val="17"/>
              </w:rPr>
            </w:pPr>
            <w:r>
              <w:rPr>
                <w:rFonts w:ascii="Book Antiqua"/>
                <w:color w:val="231F20"/>
                <w:w w:val="95"/>
                <w:sz w:val="17"/>
              </w:rPr>
              <w:t>$.24</w:t>
            </w:r>
          </w:p>
        </w:tc>
        <w:tc>
          <w:tcPr>
            <w:tcW w:w="1450" w:type="dxa"/>
            <w:tcBorders>
              <w:top w:val="single" w:sz="4" w:space="0" w:color="AAACAF"/>
              <w:bottom w:val="single" w:sz="4" w:space="0" w:color="AAACAF"/>
            </w:tcBorders>
          </w:tcPr>
          <w:p>
            <w:pPr>
              <w:pStyle w:val="TableParagraph"/>
              <w:spacing w:before="98"/>
              <w:ind w:right="276"/>
              <w:jc w:val="right"/>
              <w:rPr>
                <w:rFonts w:ascii="Book Antiqua"/>
                <w:sz w:val="17"/>
              </w:rPr>
            </w:pPr>
            <w:r>
              <w:rPr>
                <w:rFonts w:ascii="Book Antiqua"/>
                <w:color w:val="231F20"/>
                <w:w w:val="95"/>
                <w:sz w:val="17"/>
              </w:rPr>
              <w:t>$.24</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spacing w:before="98"/>
              <w:ind w:right="20"/>
              <w:jc w:val="right"/>
              <w:rPr>
                <w:rFonts w:ascii="Book Antiqua"/>
                <w:sz w:val="17"/>
              </w:rPr>
            </w:pPr>
            <w:r>
              <w:rPr>
                <w:rFonts w:ascii="Book Antiqua"/>
                <w:color w:val="231F20"/>
                <w:w w:val="95"/>
                <w:sz w:val="17"/>
              </w:rPr>
              <w:t>$.0143</w:t>
            </w:r>
          </w:p>
        </w:tc>
        <w:tc>
          <w:tcPr>
            <w:tcW w:w="2339" w:type="dxa"/>
            <w:gridSpan w:val="2"/>
            <w:tcBorders>
              <w:top w:val="single" w:sz="4" w:space="0" w:color="AAACAF"/>
              <w:bottom w:val="single" w:sz="4" w:space="0" w:color="AAACAF"/>
            </w:tcBorders>
          </w:tcPr>
          <w:p>
            <w:pPr>
              <w:pStyle w:val="TableParagraph"/>
              <w:spacing w:before="98"/>
              <w:ind w:left="1331"/>
              <w:rPr>
                <w:rFonts w:ascii="Book Antiqua"/>
                <w:sz w:val="17"/>
              </w:rPr>
            </w:pPr>
            <w:r>
              <w:rPr>
                <w:rFonts w:ascii="Book Antiqua"/>
                <w:color w:val="231F20"/>
                <w:sz w:val="17"/>
              </w:rPr>
              <w:t>$.0126</w:t>
            </w:r>
          </w:p>
        </w:tc>
        <w:tc>
          <w:tcPr>
            <w:tcW w:w="1761" w:type="dxa"/>
            <w:tcBorders>
              <w:top w:val="single" w:sz="4" w:space="0" w:color="AAACAF"/>
              <w:bottom w:val="single" w:sz="4" w:space="0" w:color="AAACAF"/>
            </w:tcBorders>
          </w:tcPr>
          <w:p>
            <w:pPr>
              <w:pStyle w:val="TableParagraph"/>
              <w:spacing w:before="98"/>
              <w:ind w:left="786"/>
              <w:rPr>
                <w:rFonts w:ascii="Book Antiqua"/>
                <w:sz w:val="17"/>
              </w:rPr>
            </w:pPr>
            <w:r>
              <w:rPr>
                <w:rFonts w:ascii="Book Antiqua"/>
                <w:color w:val="231F20"/>
                <w:sz w:val="17"/>
              </w:rPr>
              <w:t>$.0098</w:t>
            </w:r>
          </w:p>
        </w:tc>
        <w:tc>
          <w:tcPr>
            <w:tcW w:w="1722" w:type="dxa"/>
            <w:tcBorders>
              <w:top w:val="single" w:sz="4" w:space="0" w:color="AAACAF"/>
              <w:bottom w:val="single" w:sz="4" w:space="0" w:color="AAACAF"/>
            </w:tcBorders>
          </w:tcPr>
          <w:p>
            <w:pPr>
              <w:pStyle w:val="TableParagraph"/>
              <w:spacing w:before="98"/>
              <w:ind w:left="715"/>
              <w:rPr>
                <w:rFonts w:ascii="Book Antiqua"/>
                <w:sz w:val="17"/>
              </w:rPr>
            </w:pPr>
            <w:r>
              <w:rPr>
                <w:rFonts w:ascii="Book Antiqua"/>
                <w:color w:val="231F20"/>
                <w:sz w:val="17"/>
              </w:rPr>
              <w:t>$.0087</w:t>
            </w:r>
          </w:p>
        </w:tc>
        <w:tc>
          <w:tcPr>
            <w:tcW w:w="1688" w:type="dxa"/>
            <w:tcBorders>
              <w:top w:val="single" w:sz="4" w:space="0" w:color="AAACAF"/>
              <w:bottom w:val="single" w:sz="4" w:space="0" w:color="AAACAF"/>
            </w:tcBorders>
          </w:tcPr>
          <w:p>
            <w:pPr>
              <w:pStyle w:val="TableParagraph"/>
              <w:spacing w:before="98"/>
              <w:ind w:left="752"/>
              <w:rPr>
                <w:rFonts w:ascii="Book Antiqua"/>
                <w:sz w:val="17"/>
              </w:rPr>
            </w:pPr>
            <w:r>
              <w:rPr>
                <w:rFonts w:ascii="Book Antiqua"/>
                <w:color w:val="231F20"/>
                <w:sz w:val="17"/>
              </w:rPr>
              <w:t>$.0079</w:t>
            </w:r>
          </w:p>
        </w:tc>
        <w:tc>
          <w:tcPr>
            <w:tcW w:w="1450" w:type="dxa"/>
            <w:tcBorders>
              <w:top w:val="single" w:sz="4" w:space="0" w:color="AAACAF"/>
              <w:bottom w:val="single" w:sz="4" w:space="0" w:color="AAACAF"/>
            </w:tcBorders>
          </w:tcPr>
          <w:p>
            <w:pPr>
              <w:pStyle w:val="TableParagraph"/>
              <w:spacing w:before="98"/>
              <w:ind w:right="274"/>
              <w:jc w:val="right"/>
              <w:rPr>
                <w:rFonts w:ascii="Book Antiqua"/>
                <w:sz w:val="17"/>
              </w:rPr>
            </w:pPr>
            <w:r>
              <w:rPr>
                <w:rFonts w:ascii="Book Antiqua"/>
                <w:color w:val="231F20"/>
                <w:w w:val="95"/>
                <w:sz w:val="17"/>
              </w:rPr>
              <w:t>$.0079</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tabs>
                <w:tab w:pos="422" w:val="left" w:leader="none"/>
              </w:tabs>
              <w:spacing w:before="98"/>
              <w:ind w:right="19"/>
              <w:jc w:val="right"/>
              <w:rPr>
                <w:rFonts w:ascii="Book Antiqua"/>
                <w:sz w:val="17"/>
              </w:rPr>
            </w:pPr>
            <w:r>
              <w:rPr>
                <w:rFonts w:ascii="Book Antiqua"/>
                <w:color w:val="231F20"/>
                <w:sz w:val="17"/>
              </w:rPr>
              <w:t>$</w:t>
              <w:tab/>
            </w:r>
            <w:r>
              <w:rPr>
                <w:rFonts w:ascii="Book Antiqua"/>
                <w:color w:val="231F20"/>
                <w:spacing w:val="4"/>
                <w:sz w:val="17"/>
              </w:rPr>
              <w:t>5,</w:t>
            </w:r>
            <w:r>
              <w:rPr>
                <w:rFonts w:ascii="Book Antiqua"/>
                <w:color w:val="231F20"/>
                <w:spacing w:val="-33"/>
                <w:sz w:val="17"/>
              </w:rPr>
              <w:t> </w:t>
            </w:r>
            <w:r>
              <w:rPr>
                <w:rFonts w:ascii="Book Antiqua"/>
                <w:color w:val="231F20"/>
                <w:spacing w:val="-3"/>
                <w:sz w:val="17"/>
              </w:rPr>
              <w:t>654</w:t>
            </w:r>
          </w:p>
        </w:tc>
        <w:tc>
          <w:tcPr>
            <w:tcW w:w="2339" w:type="dxa"/>
            <w:gridSpan w:val="2"/>
            <w:tcBorders>
              <w:top w:val="single" w:sz="4" w:space="0" w:color="AAACAF"/>
              <w:bottom w:val="single" w:sz="4" w:space="0" w:color="AAACAF"/>
            </w:tcBorders>
          </w:tcPr>
          <w:p>
            <w:pPr>
              <w:pStyle w:val="TableParagraph"/>
              <w:tabs>
                <w:tab w:pos="1383" w:val="left" w:leader="none"/>
              </w:tabs>
              <w:spacing w:before="98"/>
              <w:ind w:left="955"/>
              <w:rPr>
                <w:rFonts w:ascii="Book Antiqua"/>
                <w:sz w:val="17"/>
              </w:rPr>
            </w:pPr>
            <w:r>
              <w:rPr>
                <w:rFonts w:ascii="Book Antiqua"/>
                <w:color w:val="231F20"/>
                <w:sz w:val="17"/>
              </w:rPr>
              <w:t>$</w:t>
              <w:tab/>
              <w:t>4</w:t>
            </w:r>
            <w:r>
              <w:rPr>
                <w:rFonts w:ascii="Book Antiqua"/>
                <w:color w:val="231F20"/>
                <w:spacing w:val="-33"/>
                <w:sz w:val="17"/>
              </w:rPr>
              <w:t> </w:t>
            </w:r>
            <w:r>
              <w:rPr>
                <w:rFonts w:ascii="Book Antiqua"/>
                <w:color w:val="231F20"/>
                <w:spacing w:val="-3"/>
                <w:sz w:val="17"/>
              </w:rPr>
              <w:t>,716</w:t>
            </w:r>
          </w:p>
        </w:tc>
        <w:tc>
          <w:tcPr>
            <w:tcW w:w="1761" w:type="dxa"/>
            <w:tcBorders>
              <w:top w:val="single" w:sz="4" w:space="0" w:color="AAACAF"/>
              <w:bottom w:val="single" w:sz="4" w:space="0" w:color="AAACAF"/>
            </w:tcBorders>
          </w:tcPr>
          <w:p>
            <w:pPr>
              <w:pStyle w:val="TableParagraph"/>
              <w:tabs>
                <w:tab w:pos="845" w:val="left" w:leader="none"/>
              </w:tabs>
              <w:spacing w:before="98"/>
              <w:ind w:left="432"/>
              <w:rPr>
                <w:rFonts w:ascii="Book Antiqua"/>
                <w:sz w:val="17"/>
              </w:rPr>
            </w:pPr>
            <w:r>
              <w:rPr>
                <w:rFonts w:ascii="Book Antiqua"/>
                <w:color w:val="231F20"/>
                <w:sz w:val="17"/>
              </w:rPr>
              <w:t>$</w:t>
              <w:tab/>
            </w:r>
            <w:r>
              <w:rPr>
                <w:rFonts w:ascii="Book Antiqua"/>
                <w:color w:val="231F20"/>
                <w:spacing w:val="6"/>
                <w:sz w:val="17"/>
              </w:rPr>
              <w:t>4,</w:t>
            </w:r>
            <w:r>
              <w:rPr>
                <w:rFonts w:ascii="Book Antiqua"/>
                <w:color w:val="231F20"/>
                <w:spacing w:val="-31"/>
                <w:sz w:val="17"/>
              </w:rPr>
              <w:t> </w:t>
            </w:r>
            <w:r>
              <w:rPr>
                <w:rFonts w:ascii="Book Antiqua"/>
                <w:color w:val="231F20"/>
                <w:spacing w:val="-5"/>
                <w:sz w:val="17"/>
              </w:rPr>
              <w:t>246</w:t>
            </w:r>
          </w:p>
        </w:tc>
        <w:tc>
          <w:tcPr>
            <w:tcW w:w="1722" w:type="dxa"/>
            <w:tcBorders>
              <w:top w:val="single" w:sz="4" w:space="0" w:color="AAACAF"/>
              <w:bottom w:val="single" w:sz="4" w:space="0" w:color="AAACAF"/>
            </w:tcBorders>
          </w:tcPr>
          <w:p>
            <w:pPr>
              <w:pStyle w:val="TableParagraph"/>
              <w:tabs>
                <w:tab w:pos="793" w:val="left" w:leader="none"/>
              </w:tabs>
              <w:spacing w:before="98"/>
              <w:ind w:left="373"/>
              <w:rPr>
                <w:rFonts w:ascii="Book Antiqua"/>
                <w:sz w:val="17"/>
              </w:rPr>
            </w:pPr>
            <w:r>
              <w:rPr>
                <w:rFonts w:ascii="Book Antiqua"/>
                <w:color w:val="231F20"/>
                <w:sz w:val="17"/>
              </w:rPr>
              <w:t>$</w:t>
              <w:tab/>
            </w:r>
            <w:r>
              <w:rPr>
                <w:rFonts w:ascii="Book Antiqua"/>
                <w:color w:val="231F20"/>
                <w:spacing w:val="3"/>
                <w:sz w:val="17"/>
              </w:rPr>
              <w:t>3,</w:t>
            </w:r>
            <w:r>
              <w:rPr>
                <w:rFonts w:ascii="Book Antiqua"/>
                <w:color w:val="231F20"/>
                <w:spacing w:val="-36"/>
                <w:sz w:val="17"/>
              </w:rPr>
              <w:t> </w:t>
            </w:r>
            <w:r>
              <w:rPr>
                <w:rFonts w:ascii="Book Antiqua"/>
                <w:color w:val="231F20"/>
                <w:spacing w:val="-3"/>
                <w:sz w:val="17"/>
              </w:rPr>
              <w:t>723</w:t>
            </w:r>
          </w:p>
        </w:tc>
        <w:tc>
          <w:tcPr>
            <w:tcW w:w="1688" w:type="dxa"/>
            <w:tcBorders>
              <w:top w:val="single" w:sz="4" w:space="0" w:color="AAACAF"/>
              <w:bottom w:val="single" w:sz="4" w:space="0" w:color="AAACAF"/>
            </w:tcBorders>
          </w:tcPr>
          <w:p>
            <w:pPr>
              <w:pStyle w:val="TableParagraph"/>
              <w:tabs>
                <w:tab w:pos="819" w:val="left" w:leader="none"/>
              </w:tabs>
              <w:spacing w:before="98"/>
              <w:ind w:left="401"/>
              <w:rPr>
                <w:rFonts w:ascii="Book Antiqua"/>
                <w:sz w:val="17"/>
              </w:rPr>
            </w:pPr>
            <w:r>
              <w:rPr>
                <w:rFonts w:ascii="Book Antiqua"/>
                <w:color w:val="231F20"/>
                <w:sz w:val="17"/>
              </w:rPr>
              <w:t>$</w:t>
              <w:tab/>
              <w:t>3,256</w:t>
            </w:r>
          </w:p>
        </w:tc>
        <w:tc>
          <w:tcPr>
            <w:tcW w:w="1450" w:type="dxa"/>
            <w:tcBorders>
              <w:top w:val="single" w:sz="4" w:space="0" w:color="AAACAF"/>
              <w:bottom w:val="single" w:sz="4" w:space="0" w:color="AAACAF"/>
            </w:tcBorders>
          </w:tcPr>
          <w:p>
            <w:pPr>
              <w:pStyle w:val="TableParagraph"/>
              <w:tabs>
                <w:tab w:pos="785" w:val="left" w:leader="none"/>
              </w:tabs>
              <w:spacing w:before="98"/>
              <w:ind w:left="360"/>
              <w:rPr>
                <w:rFonts w:ascii="Book Antiqua"/>
                <w:sz w:val="17"/>
              </w:rPr>
            </w:pPr>
            <w:r>
              <w:rPr>
                <w:rFonts w:ascii="Book Antiqua"/>
                <w:color w:val="231F20"/>
                <w:sz w:val="17"/>
              </w:rPr>
              <w:t>$</w:t>
              <w:tab/>
              <w:t>2,823</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tabs>
                <w:tab w:pos="568" w:val="left" w:leader="none"/>
              </w:tabs>
              <w:spacing w:before="98"/>
              <w:ind w:right="19"/>
              <w:jc w:val="right"/>
              <w:rPr>
                <w:rFonts w:ascii="Book Antiqua"/>
                <w:sz w:val="17"/>
              </w:rPr>
            </w:pPr>
            <w:r>
              <w:rPr>
                <w:rFonts w:ascii="Book Antiqua"/>
                <w:color w:val="231F20"/>
                <w:sz w:val="17"/>
              </w:rPr>
              <w:t>$</w:t>
              <w:tab/>
            </w:r>
            <w:r>
              <w:rPr>
                <w:rFonts w:ascii="Book Antiqua"/>
                <w:color w:val="231F20"/>
                <w:spacing w:val="-5"/>
                <w:sz w:val="17"/>
              </w:rPr>
              <w:t>872</w:t>
            </w:r>
          </w:p>
        </w:tc>
        <w:tc>
          <w:tcPr>
            <w:tcW w:w="2339" w:type="dxa"/>
            <w:gridSpan w:val="2"/>
            <w:tcBorders>
              <w:top w:val="single" w:sz="4" w:space="0" w:color="AAACAF"/>
              <w:bottom w:val="single" w:sz="4" w:space="0" w:color="AAACAF"/>
            </w:tcBorders>
          </w:tcPr>
          <w:p>
            <w:pPr>
              <w:pStyle w:val="TableParagraph"/>
              <w:tabs>
                <w:tab w:pos="1523" w:val="left" w:leader="none"/>
              </w:tabs>
              <w:spacing w:before="98"/>
              <w:ind w:left="956"/>
              <w:rPr>
                <w:rFonts w:ascii="Book Antiqua"/>
                <w:sz w:val="17"/>
              </w:rPr>
            </w:pPr>
            <w:r>
              <w:rPr>
                <w:rFonts w:ascii="Book Antiqua"/>
                <w:color w:val="231F20"/>
                <w:sz w:val="17"/>
              </w:rPr>
              <w:t>$</w:t>
              <w:tab/>
            </w:r>
            <w:r>
              <w:rPr>
                <w:rFonts w:ascii="Book Antiqua"/>
                <w:color w:val="231F20"/>
                <w:spacing w:val="-6"/>
                <w:sz w:val="17"/>
              </w:rPr>
              <w:t>623</w:t>
            </w:r>
          </w:p>
        </w:tc>
        <w:tc>
          <w:tcPr>
            <w:tcW w:w="1761" w:type="dxa"/>
            <w:tcBorders>
              <w:top w:val="single" w:sz="4" w:space="0" w:color="AAACAF"/>
              <w:bottom w:val="single" w:sz="4" w:space="0" w:color="AAACAF"/>
            </w:tcBorders>
          </w:tcPr>
          <w:p>
            <w:pPr>
              <w:pStyle w:val="TableParagraph"/>
              <w:tabs>
                <w:tab w:pos="999" w:val="left" w:leader="none"/>
              </w:tabs>
              <w:spacing w:before="98"/>
              <w:ind w:left="436"/>
              <w:rPr>
                <w:rFonts w:ascii="Book Antiqua"/>
                <w:sz w:val="17"/>
              </w:rPr>
            </w:pPr>
            <w:r>
              <w:rPr>
                <w:rFonts w:ascii="Book Antiqua"/>
                <w:color w:val="231F20"/>
                <w:sz w:val="17"/>
              </w:rPr>
              <w:t>$</w:t>
              <w:tab/>
            </w:r>
            <w:r>
              <w:rPr>
                <w:rFonts w:ascii="Book Antiqua"/>
                <w:color w:val="231F20"/>
                <w:spacing w:val="-6"/>
                <w:sz w:val="17"/>
              </w:rPr>
              <w:t>628</w:t>
            </w:r>
          </w:p>
        </w:tc>
        <w:tc>
          <w:tcPr>
            <w:tcW w:w="1722" w:type="dxa"/>
            <w:tcBorders>
              <w:top w:val="single" w:sz="4" w:space="0" w:color="AAACAF"/>
              <w:bottom w:val="single" w:sz="4" w:space="0" w:color="AAACAF"/>
            </w:tcBorders>
          </w:tcPr>
          <w:p>
            <w:pPr>
              <w:pStyle w:val="TableParagraph"/>
              <w:tabs>
                <w:tab w:pos="936" w:val="left" w:leader="none"/>
              </w:tabs>
              <w:spacing w:before="98"/>
              <w:ind w:left="374"/>
              <w:rPr>
                <w:rFonts w:ascii="Book Antiqua"/>
                <w:sz w:val="17"/>
              </w:rPr>
            </w:pPr>
            <w:r>
              <w:rPr>
                <w:rFonts w:ascii="Book Antiqua"/>
                <w:color w:val="231F20"/>
                <w:sz w:val="17"/>
              </w:rPr>
              <w:t>$</w:t>
              <w:tab/>
            </w:r>
            <w:r>
              <w:rPr>
                <w:rFonts w:ascii="Book Antiqua"/>
                <w:color w:val="231F20"/>
                <w:spacing w:val="-3"/>
                <w:sz w:val="17"/>
              </w:rPr>
              <w:t>650</w:t>
            </w:r>
          </w:p>
        </w:tc>
        <w:tc>
          <w:tcPr>
            <w:tcW w:w="1688" w:type="dxa"/>
            <w:tcBorders>
              <w:top w:val="single" w:sz="4" w:space="0" w:color="AAACAF"/>
              <w:bottom w:val="single" w:sz="4" w:space="0" w:color="AAACAF"/>
            </w:tcBorders>
          </w:tcPr>
          <w:p>
            <w:pPr>
              <w:pStyle w:val="TableParagraph"/>
              <w:tabs>
                <w:tab w:pos="955" w:val="left" w:leader="none"/>
              </w:tabs>
              <w:spacing w:before="98"/>
              <w:ind w:left="395"/>
              <w:rPr>
                <w:rFonts w:ascii="Book Antiqua"/>
                <w:sz w:val="17"/>
              </w:rPr>
            </w:pPr>
            <w:r>
              <w:rPr>
                <w:rFonts w:ascii="Book Antiqua"/>
                <w:color w:val="231F20"/>
                <w:sz w:val="17"/>
              </w:rPr>
              <w:t>$</w:t>
              <w:tab/>
            </w:r>
            <w:r>
              <w:rPr>
                <w:rFonts w:ascii="Book Antiqua"/>
                <w:color w:val="231F20"/>
                <w:spacing w:val="-4"/>
                <w:sz w:val="17"/>
              </w:rPr>
              <w:t>661</w:t>
            </w:r>
          </w:p>
        </w:tc>
        <w:tc>
          <w:tcPr>
            <w:tcW w:w="1450" w:type="dxa"/>
            <w:tcBorders>
              <w:top w:val="single" w:sz="4" w:space="0" w:color="AAACAF"/>
              <w:bottom w:val="single" w:sz="4" w:space="0" w:color="AAACAF"/>
            </w:tcBorders>
          </w:tcPr>
          <w:p>
            <w:pPr>
              <w:pStyle w:val="TableParagraph"/>
              <w:tabs>
                <w:tab w:pos="923" w:val="left" w:leader="none"/>
              </w:tabs>
              <w:spacing w:before="98"/>
              <w:ind w:left="358"/>
              <w:rPr>
                <w:rFonts w:ascii="Book Antiqua"/>
                <w:sz w:val="17"/>
              </w:rPr>
            </w:pPr>
            <w:r>
              <w:rPr>
                <w:rFonts w:ascii="Book Antiqua"/>
                <w:color w:val="231F20"/>
                <w:sz w:val="17"/>
              </w:rPr>
              <w:t>$</w:t>
              <w:tab/>
            </w:r>
            <w:r>
              <w:rPr>
                <w:rFonts w:ascii="Book Antiqua"/>
                <w:color w:val="231F20"/>
                <w:spacing w:val="-4"/>
                <w:sz w:val="17"/>
              </w:rPr>
              <w:t>583</w:t>
            </w:r>
          </w:p>
        </w:tc>
      </w:tr>
      <w:tr>
        <w:trPr>
          <w:trHeight w:val="284"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tabs>
                <w:tab w:pos="426" w:val="left" w:leader="none"/>
              </w:tabs>
              <w:spacing w:before="98"/>
              <w:ind w:right="19"/>
              <w:jc w:val="right"/>
              <w:rPr>
                <w:rFonts w:ascii="Book Antiqua"/>
                <w:sz w:val="17"/>
              </w:rPr>
            </w:pPr>
            <w:r>
              <w:rPr>
                <w:rFonts w:ascii="Book Antiqua"/>
                <w:color w:val="231F20"/>
                <w:sz w:val="17"/>
              </w:rPr>
              <w:t>$</w:t>
              <w:tab/>
            </w:r>
            <w:r>
              <w:rPr>
                <w:rFonts w:ascii="Book Antiqua"/>
                <w:color w:val="231F20"/>
                <w:spacing w:val="2"/>
                <w:w w:val="95"/>
                <w:sz w:val="17"/>
              </w:rPr>
              <w:t>2,836</w:t>
            </w:r>
          </w:p>
        </w:tc>
        <w:tc>
          <w:tcPr>
            <w:tcW w:w="2339" w:type="dxa"/>
            <w:gridSpan w:val="2"/>
            <w:tcBorders>
              <w:top w:val="single" w:sz="4" w:space="0" w:color="AAACAF"/>
              <w:bottom w:val="single" w:sz="4" w:space="0" w:color="AAACAF"/>
            </w:tcBorders>
          </w:tcPr>
          <w:p>
            <w:pPr>
              <w:pStyle w:val="TableParagraph"/>
              <w:tabs>
                <w:tab w:pos="1386" w:val="left" w:leader="none"/>
              </w:tabs>
              <w:spacing w:before="98"/>
              <w:ind w:left="957"/>
              <w:rPr>
                <w:rFonts w:ascii="Book Antiqua"/>
                <w:sz w:val="17"/>
              </w:rPr>
            </w:pPr>
            <w:r>
              <w:rPr>
                <w:rFonts w:ascii="Book Antiqua"/>
                <w:color w:val="231F20"/>
                <w:sz w:val="17"/>
              </w:rPr>
              <w:t>$</w:t>
              <w:tab/>
            </w:r>
            <w:r>
              <w:rPr>
                <w:rFonts w:ascii="Book Antiqua"/>
                <w:color w:val="231F20"/>
                <w:spacing w:val="5"/>
                <w:sz w:val="17"/>
              </w:rPr>
              <w:t>2,</w:t>
            </w:r>
            <w:r>
              <w:rPr>
                <w:rFonts w:ascii="Book Antiqua"/>
                <w:color w:val="231F20"/>
                <w:spacing w:val="-33"/>
                <w:sz w:val="17"/>
              </w:rPr>
              <w:t> </w:t>
            </w:r>
            <w:r>
              <w:rPr>
                <w:rFonts w:ascii="Book Antiqua"/>
                <w:color w:val="231F20"/>
                <w:spacing w:val="-8"/>
                <w:sz w:val="17"/>
              </w:rPr>
              <w:t>398</w:t>
            </w:r>
          </w:p>
        </w:tc>
        <w:tc>
          <w:tcPr>
            <w:tcW w:w="1761" w:type="dxa"/>
            <w:tcBorders>
              <w:top w:val="single" w:sz="4" w:space="0" w:color="AAACAF"/>
              <w:bottom w:val="single" w:sz="4" w:space="0" w:color="AAACAF"/>
            </w:tcBorders>
          </w:tcPr>
          <w:p>
            <w:pPr>
              <w:pStyle w:val="TableParagraph"/>
              <w:tabs>
                <w:tab w:pos="845" w:val="left" w:leader="none"/>
              </w:tabs>
              <w:spacing w:before="98"/>
              <w:ind w:left="433"/>
              <w:rPr>
                <w:rFonts w:ascii="Book Antiqua"/>
                <w:sz w:val="17"/>
              </w:rPr>
            </w:pPr>
            <w:r>
              <w:rPr>
                <w:rFonts w:ascii="Book Antiqua"/>
                <w:color w:val="231F20"/>
                <w:sz w:val="17"/>
              </w:rPr>
              <w:t>$</w:t>
              <w:tab/>
            </w:r>
            <w:r>
              <w:rPr>
                <w:rFonts w:ascii="Book Antiqua"/>
                <w:color w:val="231F20"/>
                <w:spacing w:val="5"/>
                <w:sz w:val="17"/>
              </w:rPr>
              <w:t>2,</w:t>
            </w:r>
            <w:r>
              <w:rPr>
                <w:rFonts w:ascii="Book Antiqua"/>
                <w:color w:val="231F20"/>
                <w:spacing w:val="-33"/>
                <w:sz w:val="17"/>
              </w:rPr>
              <w:t> </w:t>
            </w:r>
            <w:r>
              <w:rPr>
                <w:rFonts w:ascii="Book Antiqua"/>
                <w:color w:val="231F20"/>
                <w:spacing w:val="-4"/>
                <w:sz w:val="17"/>
              </w:rPr>
              <w:t>009</w:t>
            </w:r>
          </w:p>
        </w:tc>
        <w:tc>
          <w:tcPr>
            <w:tcW w:w="1722" w:type="dxa"/>
            <w:tcBorders>
              <w:top w:val="single" w:sz="4" w:space="0" w:color="AAACAF"/>
              <w:bottom w:val="single" w:sz="4" w:space="0" w:color="AAACAF"/>
            </w:tcBorders>
          </w:tcPr>
          <w:p>
            <w:pPr>
              <w:pStyle w:val="TableParagraph"/>
              <w:tabs>
                <w:tab w:pos="796" w:val="left" w:leader="none"/>
              </w:tabs>
              <w:spacing w:before="98"/>
              <w:ind w:left="374"/>
              <w:rPr>
                <w:rFonts w:ascii="Book Antiqua"/>
                <w:sz w:val="17"/>
              </w:rPr>
            </w:pPr>
            <w:r>
              <w:rPr>
                <w:rFonts w:ascii="Book Antiqua"/>
                <w:color w:val="231F20"/>
                <w:sz w:val="17"/>
              </w:rPr>
              <w:t>$</w:t>
              <w:tab/>
              <w:t>1,</w:t>
            </w:r>
            <w:r>
              <w:rPr>
                <w:rFonts w:ascii="Book Antiqua"/>
                <w:color w:val="231F20"/>
                <w:spacing w:val="-32"/>
                <w:sz w:val="17"/>
              </w:rPr>
              <w:t> </w:t>
            </w:r>
            <w:r>
              <w:rPr>
                <w:rFonts w:ascii="Book Antiqua"/>
                <w:color w:val="231F20"/>
                <w:spacing w:val="-3"/>
                <w:sz w:val="17"/>
              </w:rPr>
              <w:t>648</w:t>
            </w:r>
          </w:p>
        </w:tc>
        <w:tc>
          <w:tcPr>
            <w:tcW w:w="1688" w:type="dxa"/>
            <w:tcBorders>
              <w:top w:val="single" w:sz="4" w:space="0" w:color="AAACAF"/>
              <w:bottom w:val="single" w:sz="4" w:space="0" w:color="AAACAF"/>
            </w:tcBorders>
          </w:tcPr>
          <w:p>
            <w:pPr>
              <w:pStyle w:val="TableParagraph"/>
              <w:tabs>
                <w:tab w:pos="823" w:val="left" w:leader="none"/>
              </w:tabs>
              <w:spacing w:before="98"/>
              <w:ind w:left="396"/>
              <w:rPr>
                <w:rFonts w:ascii="Book Antiqua"/>
                <w:sz w:val="17"/>
              </w:rPr>
            </w:pPr>
            <w:r>
              <w:rPr>
                <w:rFonts w:ascii="Book Antiqua"/>
                <w:color w:val="231F20"/>
                <w:sz w:val="17"/>
              </w:rPr>
              <w:t>$</w:t>
              <w:tab/>
            </w:r>
            <w:r>
              <w:rPr>
                <w:rFonts w:ascii="Book Antiqua"/>
                <w:color w:val="231F20"/>
                <w:spacing w:val="2"/>
                <w:sz w:val="17"/>
              </w:rPr>
              <w:t>1,</w:t>
            </w:r>
            <w:r>
              <w:rPr>
                <w:rFonts w:ascii="Book Antiqua"/>
                <w:color w:val="231F20"/>
                <w:spacing w:val="-36"/>
                <w:sz w:val="17"/>
              </w:rPr>
              <w:t> </w:t>
            </w:r>
            <w:r>
              <w:rPr>
                <w:rFonts w:ascii="Book Antiqua"/>
                <w:color w:val="231F20"/>
                <w:spacing w:val="-6"/>
                <w:sz w:val="17"/>
              </w:rPr>
              <w:t>427</w:t>
            </w:r>
          </w:p>
        </w:tc>
        <w:tc>
          <w:tcPr>
            <w:tcW w:w="1450" w:type="dxa"/>
            <w:tcBorders>
              <w:top w:val="single" w:sz="4" w:space="0" w:color="AAACAF"/>
              <w:bottom w:val="single" w:sz="4" w:space="0" w:color="AAACAF"/>
            </w:tcBorders>
          </w:tcPr>
          <w:p>
            <w:pPr>
              <w:pStyle w:val="TableParagraph"/>
              <w:tabs>
                <w:tab w:pos="783" w:val="left" w:leader="none"/>
              </w:tabs>
              <w:spacing w:before="98"/>
              <w:ind w:left="358"/>
              <w:rPr>
                <w:rFonts w:ascii="Book Antiqua"/>
                <w:sz w:val="17"/>
              </w:rPr>
            </w:pPr>
            <w:r>
              <w:rPr>
                <w:rFonts w:ascii="Book Antiqua"/>
                <w:color w:val="231F20"/>
                <w:sz w:val="17"/>
              </w:rPr>
              <w:t>$</w:t>
              <w:tab/>
            </w:r>
            <w:r>
              <w:rPr>
                <w:rFonts w:ascii="Book Antiqua"/>
                <w:color w:val="231F20"/>
                <w:spacing w:val="5"/>
                <w:sz w:val="17"/>
              </w:rPr>
              <w:t>1,</w:t>
            </w:r>
            <w:r>
              <w:rPr>
                <w:rFonts w:ascii="Book Antiqua"/>
                <w:color w:val="231F20"/>
                <w:spacing w:val="-31"/>
                <w:sz w:val="17"/>
              </w:rPr>
              <w:t> </w:t>
            </w:r>
            <w:r>
              <w:rPr>
                <w:rFonts w:ascii="Book Antiqua"/>
                <w:color w:val="231F20"/>
                <w:spacing w:val="-6"/>
                <w:sz w:val="17"/>
              </w:rPr>
              <w:t>239</w:t>
            </w:r>
          </w:p>
        </w:tc>
      </w:tr>
      <w:tr>
        <w:trPr>
          <w:trHeight w:val="616" w:hRule="exact"/>
        </w:trPr>
        <w:tc>
          <w:tcPr>
            <w:tcW w:w="2333" w:type="dxa"/>
            <w:gridSpan w:val="3"/>
            <w:tcBorders>
              <w:bottom w:val="single" w:sz="4" w:space="0" w:color="AAACAF"/>
            </w:tcBorders>
          </w:tcPr>
          <w:p>
            <w:pPr>
              <w:pStyle w:val="TableParagraph"/>
              <w:rPr>
                <w:sz w:val="20"/>
              </w:rPr>
            </w:pPr>
          </w:p>
          <w:p>
            <w:pPr>
              <w:pStyle w:val="TableParagraph"/>
              <w:spacing w:before="173"/>
              <w:ind w:left="1282"/>
              <w:rPr>
                <w:rFonts w:ascii="Book Antiqua"/>
                <w:sz w:val="17"/>
              </w:rPr>
            </w:pPr>
            <w:r>
              <w:rPr>
                <w:rFonts w:ascii="Book Antiqua"/>
                <w:color w:val="231F20"/>
                <w:w w:val="95"/>
                <w:sz w:val="17"/>
              </w:rPr>
              <w:t>9. 2 %</w:t>
            </w:r>
          </w:p>
        </w:tc>
        <w:tc>
          <w:tcPr>
            <w:tcW w:w="1533" w:type="dxa"/>
            <w:tcBorders>
              <w:bottom w:val="single" w:sz="4" w:space="0" w:color="AAACAF"/>
            </w:tcBorders>
          </w:tcPr>
          <w:p>
            <w:pPr>
              <w:pStyle w:val="TableParagraph"/>
              <w:rPr>
                <w:sz w:val="20"/>
              </w:rPr>
            </w:pPr>
          </w:p>
          <w:p>
            <w:pPr>
              <w:pStyle w:val="TableParagraph"/>
              <w:spacing w:before="173"/>
              <w:ind w:right="437"/>
              <w:jc w:val="right"/>
              <w:rPr>
                <w:rFonts w:ascii="Book Antiqua"/>
                <w:sz w:val="17"/>
              </w:rPr>
            </w:pPr>
            <w:r>
              <w:rPr>
                <w:rFonts w:ascii="Book Antiqua"/>
                <w:color w:val="231F20"/>
                <w:w w:val="95"/>
                <w:sz w:val="17"/>
              </w:rPr>
              <w:t>9.7 %</w:t>
            </w:r>
          </w:p>
        </w:tc>
        <w:tc>
          <w:tcPr>
            <w:tcW w:w="1761" w:type="dxa"/>
            <w:tcBorders>
              <w:bottom w:val="single" w:sz="4" w:space="0" w:color="AAACAF"/>
            </w:tcBorders>
          </w:tcPr>
          <w:p>
            <w:pPr>
              <w:pStyle w:val="TableParagraph"/>
              <w:rPr>
                <w:sz w:val="20"/>
              </w:rPr>
            </w:pPr>
          </w:p>
          <w:p>
            <w:pPr>
              <w:pStyle w:val="TableParagraph"/>
              <w:spacing w:before="173"/>
              <w:ind w:right="378"/>
              <w:jc w:val="right"/>
              <w:rPr>
                <w:rFonts w:ascii="Book Antiqua"/>
                <w:sz w:val="17"/>
              </w:rPr>
            </w:pPr>
            <w:r>
              <w:rPr>
                <w:rFonts w:ascii="Book Antiqua"/>
                <w:color w:val="231F20"/>
                <w:w w:val="95"/>
                <w:sz w:val="17"/>
              </w:rPr>
              <w:t>8.0 %</w:t>
            </w:r>
          </w:p>
        </w:tc>
        <w:tc>
          <w:tcPr>
            <w:tcW w:w="1722" w:type="dxa"/>
            <w:tcBorders>
              <w:bottom w:val="single" w:sz="4" w:space="0" w:color="AAACAF"/>
            </w:tcBorders>
          </w:tcPr>
          <w:p>
            <w:pPr>
              <w:pStyle w:val="TableParagraph"/>
              <w:rPr>
                <w:sz w:val="20"/>
              </w:rPr>
            </w:pPr>
          </w:p>
          <w:p>
            <w:pPr>
              <w:pStyle w:val="TableParagraph"/>
              <w:spacing w:before="173"/>
              <w:ind w:right="400"/>
              <w:jc w:val="right"/>
              <w:rPr>
                <w:rFonts w:ascii="Book Antiqua"/>
                <w:sz w:val="17"/>
              </w:rPr>
            </w:pPr>
            <w:r>
              <w:rPr>
                <w:rFonts w:ascii="Book Antiqua"/>
                <w:color w:val="231F20"/>
                <w:w w:val="90"/>
                <w:sz w:val="17"/>
              </w:rPr>
              <w:t>5.9%</w:t>
            </w:r>
          </w:p>
        </w:tc>
        <w:tc>
          <w:tcPr>
            <w:tcW w:w="1688" w:type="dxa"/>
            <w:tcBorders>
              <w:bottom w:val="single" w:sz="4" w:space="0" w:color="AAACAF"/>
            </w:tcBorders>
          </w:tcPr>
          <w:p>
            <w:pPr>
              <w:pStyle w:val="TableParagraph"/>
              <w:rPr>
                <w:sz w:val="20"/>
              </w:rPr>
            </w:pPr>
          </w:p>
          <w:p>
            <w:pPr>
              <w:pStyle w:val="TableParagraph"/>
              <w:spacing w:before="173"/>
              <w:ind w:right="355"/>
              <w:jc w:val="right"/>
              <w:rPr>
                <w:rFonts w:ascii="Book Antiqua"/>
                <w:sz w:val="17"/>
              </w:rPr>
            </w:pPr>
            <w:r>
              <w:rPr>
                <w:rFonts w:ascii="Book Antiqua"/>
                <w:color w:val="231F20"/>
                <w:w w:val="95"/>
                <w:sz w:val="17"/>
              </w:rPr>
              <w:t>6.0%</w:t>
            </w:r>
          </w:p>
        </w:tc>
        <w:tc>
          <w:tcPr>
            <w:tcW w:w="1450" w:type="dxa"/>
            <w:tcBorders>
              <w:bottom w:val="single" w:sz="4" w:space="0" w:color="AAACAF"/>
            </w:tcBorders>
          </w:tcPr>
          <w:p>
            <w:pPr>
              <w:pStyle w:val="TableParagraph"/>
              <w:rPr>
                <w:sz w:val="20"/>
              </w:rPr>
            </w:pPr>
          </w:p>
          <w:p>
            <w:pPr>
              <w:pStyle w:val="TableParagraph"/>
              <w:spacing w:before="173"/>
              <w:ind w:right="151"/>
              <w:jc w:val="right"/>
              <w:rPr>
                <w:rFonts w:ascii="Book Antiqua"/>
                <w:sz w:val="17"/>
              </w:rPr>
            </w:pPr>
            <w:r>
              <w:rPr>
                <w:rFonts w:ascii="Book Antiqua"/>
                <w:color w:val="231F20"/>
                <w:w w:val="95"/>
                <w:sz w:val="17"/>
              </w:rPr>
              <w:t>6 .6%</w:t>
            </w:r>
          </w:p>
        </w:tc>
      </w:tr>
      <w:tr>
        <w:trPr>
          <w:trHeight w:val="284" w:hRule="exact"/>
        </w:trPr>
        <w:tc>
          <w:tcPr>
            <w:tcW w:w="2333" w:type="dxa"/>
            <w:gridSpan w:val="3"/>
            <w:tcBorders>
              <w:top w:val="single" w:sz="4" w:space="0" w:color="AAACAF"/>
              <w:bottom w:val="single" w:sz="4" w:space="0" w:color="AAACAF"/>
            </w:tcBorders>
          </w:tcPr>
          <w:p>
            <w:pPr>
              <w:pStyle w:val="TableParagraph"/>
              <w:spacing w:before="98"/>
              <w:ind w:left="1234"/>
              <w:rPr>
                <w:rFonts w:ascii="Book Antiqua"/>
                <w:sz w:val="17"/>
              </w:rPr>
            </w:pPr>
            <w:r>
              <w:rPr>
                <w:rFonts w:ascii="Book Antiqua"/>
                <w:color w:val="231F20"/>
                <w:w w:val="95"/>
                <w:sz w:val="17"/>
              </w:rPr>
              <w:t>18.1 %</w:t>
            </w:r>
          </w:p>
        </w:tc>
        <w:tc>
          <w:tcPr>
            <w:tcW w:w="1533" w:type="dxa"/>
            <w:tcBorders>
              <w:top w:val="single" w:sz="4" w:space="0" w:color="AAACAF"/>
              <w:bottom w:val="single" w:sz="4" w:space="0" w:color="AAACAF"/>
            </w:tcBorders>
          </w:tcPr>
          <w:p>
            <w:pPr>
              <w:pStyle w:val="TableParagraph"/>
              <w:spacing w:before="98"/>
              <w:ind w:right="430"/>
              <w:jc w:val="right"/>
              <w:rPr>
                <w:rFonts w:ascii="Book Antiqua"/>
                <w:sz w:val="17"/>
              </w:rPr>
            </w:pPr>
            <w:r>
              <w:rPr>
                <w:rFonts w:ascii="Book Antiqua"/>
                <w:color w:val="231F20"/>
                <w:w w:val="95"/>
                <w:sz w:val="17"/>
              </w:rPr>
              <w:t>19.7 %</w:t>
            </w:r>
          </w:p>
        </w:tc>
        <w:tc>
          <w:tcPr>
            <w:tcW w:w="1761" w:type="dxa"/>
            <w:tcBorders>
              <w:top w:val="single" w:sz="4" w:space="0" w:color="AAACAF"/>
              <w:bottom w:val="single" w:sz="4" w:space="0" w:color="AAACAF"/>
            </w:tcBorders>
          </w:tcPr>
          <w:p>
            <w:pPr>
              <w:pStyle w:val="TableParagraph"/>
              <w:spacing w:before="98"/>
              <w:ind w:right="371"/>
              <w:jc w:val="right"/>
              <w:rPr>
                <w:rFonts w:ascii="Book Antiqua"/>
                <w:sz w:val="17"/>
              </w:rPr>
            </w:pPr>
            <w:r>
              <w:rPr>
                <w:rFonts w:ascii="Book Antiqua"/>
                <w:color w:val="231F20"/>
                <w:w w:val="95"/>
                <w:sz w:val="17"/>
              </w:rPr>
              <w:t>17.4 %</w:t>
            </w:r>
          </w:p>
        </w:tc>
        <w:tc>
          <w:tcPr>
            <w:tcW w:w="1722" w:type="dxa"/>
            <w:tcBorders>
              <w:top w:val="single" w:sz="4" w:space="0" w:color="AAACAF"/>
              <w:bottom w:val="single" w:sz="4" w:space="0" w:color="AAACAF"/>
            </w:tcBorders>
          </w:tcPr>
          <w:p>
            <w:pPr>
              <w:pStyle w:val="TableParagraph"/>
              <w:spacing w:before="98"/>
              <w:ind w:right="393"/>
              <w:jc w:val="right"/>
              <w:rPr>
                <w:rFonts w:ascii="Book Antiqua"/>
                <w:sz w:val="17"/>
              </w:rPr>
            </w:pPr>
            <w:r>
              <w:rPr>
                <w:rFonts w:ascii="Book Antiqua"/>
                <w:color w:val="231F20"/>
                <w:w w:val="95"/>
                <w:sz w:val="17"/>
              </w:rPr>
              <w:t>13.5%</w:t>
            </w:r>
          </w:p>
        </w:tc>
        <w:tc>
          <w:tcPr>
            <w:tcW w:w="1688" w:type="dxa"/>
            <w:tcBorders>
              <w:top w:val="single" w:sz="4" w:space="0" w:color="AAACAF"/>
              <w:bottom w:val="single" w:sz="4" w:space="0" w:color="AAACAF"/>
            </w:tcBorders>
          </w:tcPr>
          <w:p>
            <w:pPr>
              <w:pStyle w:val="TableParagraph"/>
              <w:spacing w:before="98"/>
              <w:ind w:right="356"/>
              <w:jc w:val="right"/>
              <w:rPr>
                <w:rFonts w:ascii="Book Antiqua"/>
                <w:sz w:val="17"/>
              </w:rPr>
            </w:pPr>
            <w:r>
              <w:rPr>
                <w:rFonts w:ascii="Book Antiqua"/>
                <w:color w:val="231F20"/>
                <w:w w:val="90"/>
                <w:sz w:val="17"/>
              </w:rPr>
              <w:t>13.7%</w:t>
            </w:r>
          </w:p>
        </w:tc>
        <w:tc>
          <w:tcPr>
            <w:tcW w:w="1450" w:type="dxa"/>
            <w:tcBorders>
              <w:top w:val="single" w:sz="4" w:space="0" w:color="AAACAF"/>
              <w:bottom w:val="single" w:sz="4" w:space="0" w:color="AAACAF"/>
            </w:tcBorders>
          </w:tcPr>
          <w:p>
            <w:pPr>
              <w:pStyle w:val="TableParagraph"/>
              <w:spacing w:before="98"/>
              <w:ind w:right="151"/>
              <w:jc w:val="right"/>
              <w:rPr>
                <w:rFonts w:ascii="Book Antiqua"/>
                <w:sz w:val="17"/>
              </w:rPr>
            </w:pPr>
            <w:r>
              <w:rPr>
                <w:rFonts w:ascii="Book Antiqua"/>
                <w:color w:val="231F20"/>
                <w:w w:val="95"/>
                <w:sz w:val="17"/>
              </w:rPr>
              <w:t>15 .6%</w:t>
            </w:r>
          </w:p>
        </w:tc>
      </w:tr>
    </w:tbl>
    <w:p>
      <w:pPr>
        <w:pStyle w:val="BodyText"/>
        <w:rPr>
          <w:rFonts w:ascii="Arial"/>
          <w:sz w:val="20"/>
        </w:rPr>
      </w:pPr>
    </w:p>
    <w:p>
      <w:pPr>
        <w:pStyle w:val="BodyText"/>
        <w:rPr>
          <w:rFonts w:ascii="Arial"/>
          <w:sz w:val="20"/>
        </w:rPr>
      </w:pPr>
    </w:p>
    <w:p>
      <w:pPr>
        <w:pStyle w:val="BodyText"/>
        <w:spacing w:before="9"/>
        <w:rPr>
          <w:rFonts w:ascii="Arial"/>
          <w:sz w:val="20"/>
        </w:rPr>
      </w:pPr>
    </w:p>
    <w:tbl>
      <w:tblPr>
        <w:tblW w:w="0" w:type="auto"/>
        <w:jc w:val="left"/>
        <w:tblInd w:w="119"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079"/>
        <w:gridCol w:w="1793"/>
        <w:gridCol w:w="1762"/>
        <w:gridCol w:w="1735"/>
        <w:gridCol w:w="1692"/>
        <w:gridCol w:w="1427"/>
      </w:tblGrid>
      <w:tr>
        <w:trPr>
          <w:trHeight w:val="207" w:hRule="exact"/>
        </w:trPr>
        <w:tc>
          <w:tcPr>
            <w:tcW w:w="2079" w:type="dxa"/>
            <w:tcBorders>
              <w:bottom w:val="single" w:sz="4" w:space="0" w:color="AAACAF"/>
            </w:tcBorders>
          </w:tcPr>
          <w:p>
            <w:pPr>
              <w:pStyle w:val="TableParagraph"/>
              <w:spacing w:line="205" w:lineRule="exact"/>
              <w:ind w:left="740"/>
              <w:rPr>
                <w:rFonts w:ascii="Book Antiqua"/>
                <w:sz w:val="17"/>
              </w:rPr>
            </w:pPr>
            <w:r>
              <w:rPr>
                <w:rFonts w:ascii="Book Antiqua"/>
                <w:color w:val="231F20"/>
                <w:sz w:val="17"/>
              </w:rPr>
              <w:t>57,500, 213</w:t>
            </w:r>
          </w:p>
        </w:tc>
        <w:tc>
          <w:tcPr>
            <w:tcW w:w="1793" w:type="dxa"/>
            <w:tcBorders>
              <w:bottom w:val="single" w:sz="4" w:space="0" w:color="AAACAF"/>
            </w:tcBorders>
          </w:tcPr>
          <w:p>
            <w:pPr>
              <w:pStyle w:val="TableParagraph"/>
              <w:spacing w:line="205" w:lineRule="exact"/>
              <w:ind w:left="445"/>
              <w:rPr>
                <w:rFonts w:ascii="Book Antiqua"/>
                <w:sz w:val="17"/>
              </w:rPr>
            </w:pPr>
            <w:r>
              <w:rPr>
                <w:rFonts w:ascii="Book Antiqua"/>
                <w:color w:val="231F20"/>
                <w:w w:val="95"/>
                <w:sz w:val="17"/>
              </w:rPr>
              <w:t>52, 586,400</w:t>
            </w:r>
          </w:p>
        </w:tc>
        <w:tc>
          <w:tcPr>
            <w:tcW w:w="1762" w:type="dxa"/>
            <w:tcBorders>
              <w:bottom w:val="single" w:sz="4" w:space="0" w:color="AAACAF"/>
            </w:tcBorders>
          </w:tcPr>
          <w:p>
            <w:pPr>
              <w:pStyle w:val="TableParagraph"/>
              <w:spacing w:line="205" w:lineRule="exact"/>
              <w:ind w:left="449"/>
              <w:rPr>
                <w:rFonts w:ascii="Book Antiqua"/>
                <w:sz w:val="17"/>
              </w:rPr>
            </w:pPr>
            <w:r>
              <w:rPr>
                <w:rFonts w:ascii="Book Antiqua"/>
                <w:color w:val="231F20"/>
                <w:sz w:val="17"/>
              </w:rPr>
              <w:t>50, 399 ,960</w:t>
            </w:r>
          </w:p>
        </w:tc>
        <w:tc>
          <w:tcPr>
            <w:tcW w:w="1735" w:type="dxa"/>
            <w:tcBorders>
              <w:bottom w:val="single" w:sz="4" w:space="0" w:color="AAACAF"/>
            </w:tcBorders>
          </w:tcPr>
          <w:p>
            <w:pPr>
              <w:pStyle w:val="TableParagraph"/>
              <w:spacing w:line="205" w:lineRule="exact"/>
              <w:ind w:left="402"/>
              <w:rPr>
                <w:rFonts w:ascii="Book Antiqua"/>
                <w:sz w:val="17"/>
              </w:rPr>
            </w:pPr>
            <w:r>
              <w:rPr>
                <w:rFonts w:ascii="Book Antiqua"/>
                <w:color w:val="231F20"/>
                <w:sz w:val="17"/>
              </w:rPr>
              <w:t>49, 621, 504</w:t>
            </w:r>
          </w:p>
        </w:tc>
        <w:tc>
          <w:tcPr>
            <w:tcW w:w="1692" w:type="dxa"/>
            <w:tcBorders>
              <w:bottom w:val="single" w:sz="4" w:space="0" w:color="AAACAF"/>
            </w:tcBorders>
          </w:tcPr>
          <w:p>
            <w:pPr>
              <w:pStyle w:val="TableParagraph"/>
              <w:spacing w:line="205" w:lineRule="exact"/>
              <w:ind w:left="430"/>
              <w:rPr>
                <w:rFonts w:ascii="Book Antiqua"/>
                <w:sz w:val="17"/>
              </w:rPr>
            </w:pPr>
            <w:r>
              <w:rPr>
                <w:rFonts w:ascii="Book Antiqua"/>
                <w:color w:val="231F20"/>
                <w:sz w:val="17"/>
              </w:rPr>
              <w:t>44 ,785, 573</w:t>
            </w:r>
          </w:p>
        </w:tc>
        <w:tc>
          <w:tcPr>
            <w:tcW w:w="1427" w:type="dxa"/>
            <w:tcBorders>
              <w:bottom w:val="single" w:sz="4" w:space="0" w:color="AAACAF"/>
            </w:tcBorders>
          </w:tcPr>
          <w:p>
            <w:pPr>
              <w:pStyle w:val="TableParagraph"/>
              <w:spacing w:line="205" w:lineRule="exact"/>
              <w:ind w:right="171"/>
              <w:jc w:val="right"/>
              <w:rPr>
                <w:rFonts w:ascii="Book Antiqua"/>
                <w:sz w:val="8"/>
              </w:rPr>
            </w:pPr>
            <w:r>
              <w:rPr>
                <w:rFonts w:ascii="Book Antiqua"/>
                <w:color w:val="231F20"/>
                <w:spacing w:val="-1"/>
                <w:sz w:val="17"/>
              </w:rPr>
              <w:t>4</w:t>
            </w:r>
            <w:r>
              <w:rPr>
                <w:rFonts w:ascii="Book Antiqua"/>
                <w:color w:val="231F20"/>
                <w:spacing w:val="9"/>
                <w:sz w:val="17"/>
              </w:rPr>
              <w:t>2</w:t>
            </w:r>
            <w:r>
              <w:rPr>
                <w:rFonts w:ascii="Book Antiqua"/>
                <w:color w:val="231F20"/>
                <w:spacing w:val="8"/>
                <w:w w:val="83"/>
                <w:sz w:val="17"/>
              </w:rPr>
              <w:t>,</w:t>
            </w:r>
            <w:r>
              <w:rPr>
                <w:rFonts w:ascii="Book Antiqua"/>
                <w:color w:val="231F20"/>
                <w:spacing w:val="-11"/>
                <w:sz w:val="17"/>
              </w:rPr>
              <w:t>7</w:t>
            </w:r>
            <w:r>
              <w:rPr>
                <w:rFonts w:ascii="Book Antiqua"/>
                <w:color w:val="231F20"/>
                <w:sz w:val="17"/>
              </w:rPr>
              <w:t>4</w:t>
            </w:r>
            <w:r>
              <w:rPr>
                <w:rFonts w:ascii="Book Antiqua"/>
                <w:color w:val="231F20"/>
                <w:spacing w:val="8"/>
                <w:sz w:val="17"/>
              </w:rPr>
              <w:t>2</w:t>
            </w:r>
            <w:r>
              <w:rPr>
                <w:rFonts w:ascii="Book Antiqua"/>
                <w:color w:val="231F20"/>
                <w:spacing w:val="4"/>
                <w:w w:val="83"/>
                <w:sz w:val="17"/>
              </w:rPr>
              <w:t>,</w:t>
            </w:r>
            <w:r>
              <w:rPr>
                <w:rFonts w:ascii="Book Antiqua"/>
                <w:color w:val="231F20"/>
                <w:sz w:val="17"/>
              </w:rPr>
              <w:t>6</w:t>
            </w:r>
            <w:r>
              <w:rPr>
                <w:rFonts w:ascii="Book Antiqua"/>
                <w:color w:val="231F20"/>
                <w:spacing w:val="-3"/>
                <w:sz w:val="17"/>
              </w:rPr>
              <w:t>0</w:t>
            </w:r>
            <w:r>
              <w:rPr>
                <w:rFonts w:ascii="Book Antiqua"/>
                <w:color w:val="231F20"/>
                <w:spacing w:val="4"/>
                <w:sz w:val="17"/>
              </w:rPr>
              <w:t>2</w:t>
            </w:r>
            <w:r>
              <w:rPr>
                <w:rFonts w:ascii="Book Antiqua"/>
                <w:color w:val="231F20"/>
                <w:w w:val="106"/>
                <w:position w:val="6"/>
                <w:sz w:val="8"/>
              </w:rPr>
              <w:t>(6)</w:t>
            </w:r>
          </w:p>
        </w:tc>
      </w:tr>
      <w:tr>
        <w:trPr>
          <w:trHeight w:val="300" w:hRule="exact"/>
        </w:trPr>
        <w:tc>
          <w:tcPr>
            <w:tcW w:w="2079" w:type="dxa"/>
            <w:tcBorders>
              <w:top w:val="single" w:sz="4" w:space="0" w:color="AAACAF"/>
              <w:bottom w:val="single" w:sz="4" w:space="0" w:color="AAACAF"/>
            </w:tcBorders>
          </w:tcPr>
          <w:p>
            <w:pPr>
              <w:pStyle w:val="TableParagraph"/>
              <w:spacing w:before="98"/>
              <w:ind w:left="741"/>
              <w:rPr>
                <w:rFonts w:ascii="Book Antiqua"/>
                <w:sz w:val="17"/>
              </w:rPr>
            </w:pPr>
            <w:r>
              <w:rPr>
                <w:rFonts w:ascii="Book Antiqua"/>
                <w:color w:val="231F20"/>
                <w:w w:val="95"/>
                <w:sz w:val="17"/>
              </w:rPr>
              <w:t>36,479, 322</w:t>
            </w:r>
          </w:p>
        </w:tc>
        <w:tc>
          <w:tcPr>
            <w:tcW w:w="1793" w:type="dxa"/>
            <w:tcBorders>
              <w:top w:val="single" w:sz="4" w:space="0" w:color="AAACAF"/>
              <w:bottom w:val="single" w:sz="4" w:space="0" w:color="AAACAF"/>
            </w:tcBorders>
          </w:tcPr>
          <w:p>
            <w:pPr>
              <w:pStyle w:val="TableParagraph"/>
              <w:spacing w:before="98"/>
              <w:ind w:left="453"/>
              <w:rPr>
                <w:rFonts w:ascii="Book Antiqua"/>
                <w:sz w:val="17"/>
              </w:rPr>
            </w:pPr>
            <w:r>
              <w:rPr>
                <w:rFonts w:ascii="Book Antiqua"/>
                <w:color w:val="231F20"/>
                <w:w w:val="95"/>
                <w:sz w:val="17"/>
              </w:rPr>
              <w:t>31, 419,110</w:t>
            </w:r>
          </w:p>
        </w:tc>
        <w:tc>
          <w:tcPr>
            <w:tcW w:w="1762" w:type="dxa"/>
            <w:tcBorders>
              <w:top w:val="single" w:sz="4" w:space="0" w:color="AAACAF"/>
              <w:bottom w:val="single" w:sz="4" w:space="0" w:color="AAACAF"/>
            </w:tcBorders>
          </w:tcPr>
          <w:p>
            <w:pPr>
              <w:pStyle w:val="TableParagraph"/>
              <w:spacing w:before="98"/>
              <w:ind w:left="451"/>
              <w:rPr>
                <w:rFonts w:ascii="Book Antiqua"/>
                <w:sz w:val="17"/>
              </w:rPr>
            </w:pPr>
            <w:r>
              <w:rPr>
                <w:rFonts w:ascii="Book Antiqua"/>
                <w:color w:val="231F20"/>
                <w:sz w:val="17"/>
              </w:rPr>
              <w:t>28, 355,169</w:t>
            </w:r>
          </w:p>
        </w:tc>
        <w:tc>
          <w:tcPr>
            <w:tcW w:w="1735" w:type="dxa"/>
            <w:tcBorders>
              <w:top w:val="single" w:sz="4" w:space="0" w:color="AAACAF"/>
              <w:bottom w:val="single" w:sz="4" w:space="0" w:color="AAACAF"/>
            </w:tcBorders>
          </w:tcPr>
          <w:p>
            <w:pPr>
              <w:pStyle w:val="TableParagraph"/>
              <w:spacing w:before="98"/>
              <w:ind w:left="402"/>
              <w:rPr>
                <w:rFonts w:ascii="Book Antiqua"/>
                <w:sz w:val="17"/>
              </w:rPr>
            </w:pPr>
            <w:r>
              <w:rPr>
                <w:rFonts w:ascii="Book Antiqua"/>
                <w:color w:val="231F20"/>
                <w:sz w:val="17"/>
              </w:rPr>
              <w:t>27,083, 483</w:t>
            </w:r>
          </w:p>
        </w:tc>
        <w:tc>
          <w:tcPr>
            <w:tcW w:w="1692" w:type="dxa"/>
            <w:tcBorders>
              <w:top w:val="single" w:sz="4" w:space="0" w:color="AAACAF"/>
              <w:bottom w:val="single" w:sz="4" w:space="0" w:color="AAACAF"/>
            </w:tcBorders>
          </w:tcPr>
          <w:p>
            <w:pPr>
              <w:pStyle w:val="TableParagraph"/>
              <w:spacing w:before="98"/>
              <w:ind w:left="428"/>
              <w:rPr>
                <w:rFonts w:ascii="Book Antiqua"/>
                <w:sz w:val="17"/>
              </w:rPr>
            </w:pPr>
            <w:r>
              <w:rPr>
                <w:rFonts w:ascii="Book Antiqua"/>
                <w:color w:val="231F20"/>
                <w:w w:val="95"/>
                <w:sz w:val="17"/>
              </w:rPr>
              <w:t>23, 327,804</w:t>
            </w:r>
          </w:p>
        </w:tc>
        <w:tc>
          <w:tcPr>
            <w:tcW w:w="1427" w:type="dxa"/>
            <w:tcBorders>
              <w:top w:val="single" w:sz="4" w:space="0" w:color="AAACAF"/>
              <w:bottom w:val="single" w:sz="4" w:space="0" w:color="AAACAF"/>
            </w:tcBorders>
          </w:tcPr>
          <w:p>
            <w:pPr>
              <w:pStyle w:val="TableParagraph"/>
              <w:spacing w:before="98"/>
              <w:ind w:left="383"/>
              <w:rPr>
                <w:rFonts w:ascii="Book Antiqua"/>
                <w:sz w:val="17"/>
              </w:rPr>
            </w:pPr>
            <w:r>
              <w:rPr>
                <w:rFonts w:ascii="Book Antiqua"/>
                <w:color w:val="231F20"/>
                <w:w w:val="95"/>
                <w:sz w:val="17"/>
              </w:rPr>
              <w:t>21,611 , 266</w:t>
            </w:r>
          </w:p>
        </w:tc>
      </w:tr>
      <w:tr>
        <w:trPr>
          <w:trHeight w:val="300" w:hRule="exact"/>
        </w:trPr>
        <w:tc>
          <w:tcPr>
            <w:tcW w:w="2079" w:type="dxa"/>
            <w:tcBorders>
              <w:top w:val="single" w:sz="4" w:space="0" w:color="AAACAF"/>
              <w:bottom w:val="single" w:sz="4" w:space="0" w:color="AAACAF"/>
            </w:tcBorders>
          </w:tcPr>
          <w:p>
            <w:pPr>
              <w:pStyle w:val="TableParagraph"/>
              <w:spacing w:before="98"/>
              <w:ind w:left="738"/>
              <w:rPr>
                <w:rFonts w:ascii="Book Antiqua"/>
                <w:sz w:val="17"/>
              </w:rPr>
            </w:pPr>
            <w:r>
              <w:rPr>
                <w:rFonts w:ascii="Book Antiqua"/>
                <w:color w:val="231F20"/>
                <w:sz w:val="17"/>
              </w:rPr>
              <w:t>52,855,467</w:t>
            </w:r>
          </w:p>
        </w:tc>
        <w:tc>
          <w:tcPr>
            <w:tcW w:w="1793" w:type="dxa"/>
            <w:tcBorders>
              <w:top w:val="single" w:sz="4" w:space="0" w:color="AAACAF"/>
              <w:bottom w:val="single" w:sz="4" w:space="0" w:color="AAACAF"/>
            </w:tcBorders>
          </w:tcPr>
          <w:p>
            <w:pPr>
              <w:pStyle w:val="TableParagraph"/>
              <w:spacing w:before="98"/>
              <w:ind w:left="452"/>
              <w:rPr>
                <w:rFonts w:ascii="Book Antiqua"/>
                <w:sz w:val="17"/>
              </w:rPr>
            </w:pPr>
            <w:r>
              <w:rPr>
                <w:rFonts w:ascii="Book Antiqua"/>
                <w:color w:val="231F20"/>
                <w:sz w:val="17"/>
              </w:rPr>
              <w:t>47, 543, 515</w:t>
            </w:r>
          </w:p>
        </w:tc>
        <w:tc>
          <w:tcPr>
            <w:tcW w:w="1762" w:type="dxa"/>
            <w:tcBorders>
              <w:top w:val="single" w:sz="4" w:space="0" w:color="AAACAF"/>
              <w:bottom w:val="single" w:sz="4" w:space="0" w:color="AAACAF"/>
            </w:tcBorders>
          </w:tcPr>
          <w:p>
            <w:pPr>
              <w:pStyle w:val="TableParagraph"/>
              <w:spacing w:before="98"/>
              <w:ind w:left="445"/>
              <w:rPr>
                <w:rFonts w:ascii="Book Antiqua"/>
                <w:sz w:val="17"/>
              </w:rPr>
            </w:pPr>
            <w:r>
              <w:rPr>
                <w:rFonts w:ascii="Book Antiqua"/>
                <w:color w:val="231F20"/>
                <w:sz w:val="17"/>
              </w:rPr>
              <w:t>44, 487, 496</w:t>
            </w:r>
          </w:p>
        </w:tc>
        <w:tc>
          <w:tcPr>
            <w:tcW w:w="1735" w:type="dxa"/>
            <w:tcBorders>
              <w:top w:val="single" w:sz="4" w:space="0" w:color="AAACAF"/>
              <w:bottom w:val="single" w:sz="4" w:space="0" w:color="AAACAF"/>
            </w:tcBorders>
          </w:tcPr>
          <w:p>
            <w:pPr>
              <w:pStyle w:val="TableParagraph"/>
              <w:spacing w:before="98"/>
              <w:ind w:left="400"/>
              <w:rPr>
                <w:rFonts w:ascii="Book Antiqua"/>
                <w:sz w:val="17"/>
              </w:rPr>
            </w:pPr>
            <w:r>
              <w:rPr>
                <w:rFonts w:ascii="Book Antiqua"/>
                <w:color w:val="231F20"/>
                <w:sz w:val="17"/>
              </w:rPr>
              <w:t>40, 727, 495</w:t>
            </w:r>
          </w:p>
        </w:tc>
        <w:tc>
          <w:tcPr>
            <w:tcW w:w="1692" w:type="dxa"/>
            <w:tcBorders>
              <w:top w:val="single" w:sz="4" w:space="0" w:color="AAACAF"/>
              <w:bottom w:val="single" w:sz="4" w:space="0" w:color="AAACAF"/>
            </w:tcBorders>
          </w:tcPr>
          <w:p>
            <w:pPr>
              <w:pStyle w:val="TableParagraph"/>
              <w:spacing w:before="98"/>
              <w:ind w:left="430"/>
              <w:rPr>
                <w:rFonts w:ascii="Book Antiqua"/>
                <w:sz w:val="17"/>
              </w:rPr>
            </w:pPr>
            <w:r>
              <w:rPr>
                <w:rFonts w:ascii="Book Antiqua"/>
                <w:color w:val="231F20"/>
                <w:w w:val="95"/>
                <w:sz w:val="17"/>
              </w:rPr>
              <w:t>36,180, 001</w:t>
            </w:r>
          </w:p>
        </w:tc>
        <w:tc>
          <w:tcPr>
            <w:tcW w:w="1427" w:type="dxa"/>
            <w:tcBorders>
              <w:top w:val="single" w:sz="4" w:space="0" w:color="AAACAF"/>
              <w:bottom w:val="single" w:sz="4" w:space="0" w:color="AAACAF"/>
            </w:tcBorders>
          </w:tcPr>
          <w:p>
            <w:pPr>
              <w:pStyle w:val="TableParagraph"/>
              <w:spacing w:before="98"/>
              <w:ind w:left="388"/>
              <w:rPr>
                <w:rFonts w:ascii="Book Antiqua"/>
                <w:sz w:val="17"/>
              </w:rPr>
            </w:pPr>
            <w:r>
              <w:rPr>
                <w:rFonts w:ascii="Book Antiqua"/>
                <w:color w:val="231F20"/>
                <w:sz w:val="17"/>
              </w:rPr>
              <w:t>32,123,974</w:t>
            </w:r>
          </w:p>
        </w:tc>
      </w:tr>
      <w:tr>
        <w:trPr>
          <w:trHeight w:val="300" w:hRule="exact"/>
        </w:trPr>
        <w:tc>
          <w:tcPr>
            <w:tcW w:w="2079" w:type="dxa"/>
            <w:tcBorders>
              <w:top w:val="single" w:sz="4" w:space="0" w:color="AAACAF"/>
              <w:bottom w:val="single" w:sz="4" w:space="0" w:color="AAACAF"/>
            </w:tcBorders>
          </w:tcPr>
          <w:p>
            <w:pPr>
              <w:pStyle w:val="TableParagraph"/>
              <w:spacing w:before="98"/>
              <w:ind w:right="443"/>
              <w:jc w:val="right"/>
              <w:rPr>
                <w:rFonts w:ascii="Book Antiqua"/>
                <w:sz w:val="17"/>
              </w:rPr>
            </w:pPr>
            <w:r>
              <w:rPr>
                <w:rFonts w:ascii="Book Antiqua"/>
                <w:color w:val="231F20"/>
                <w:w w:val="95"/>
                <w:sz w:val="17"/>
              </w:rPr>
              <w:t>69.0%</w:t>
            </w:r>
          </w:p>
        </w:tc>
        <w:tc>
          <w:tcPr>
            <w:tcW w:w="1793" w:type="dxa"/>
            <w:tcBorders>
              <w:top w:val="single" w:sz="4" w:space="0" w:color="AAACAF"/>
              <w:bottom w:val="single" w:sz="4" w:space="0" w:color="AAACAF"/>
            </w:tcBorders>
          </w:tcPr>
          <w:p>
            <w:pPr>
              <w:pStyle w:val="TableParagraph"/>
              <w:spacing w:before="98"/>
              <w:ind w:right="443"/>
              <w:jc w:val="right"/>
              <w:rPr>
                <w:rFonts w:ascii="Book Antiqua"/>
                <w:sz w:val="17"/>
              </w:rPr>
            </w:pPr>
            <w:r>
              <w:rPr>
                <w:rFonts w:ascii="Book Antiqua"/>
                <w:color w:val="231F20"/>
                <w:w w:val="95"/>
                <w:sz w:val="17"/>
              </w:rPr>
              <w:t>66.1%</w:t>
            </w:r>
          </w:p>
        </w:tc>
        <w:tc>
          <w:tcPr>
            <w:tcW w:w="1762" w:type="dxa"/>
            <w:tcBorders>
              <w:top w:val="single" w:sz="4" w:space="0" w:color="AAACAF"/>
              <w:bottom w:val="single" w:sz="4" w:space="0" w:color="AAACAF"/>
            </w:tcBorders>
          </w:tcPr>
          <w:p>
            <w:pPr>
              <w:pStyle w:val="TableParagraph"/>
              <w:spacing w:before="98"/>
              <w:ind w:right="398"/>
              <w:jc w:val="right"/>
              <w:rPr>
                <w:rFonts w:ascii="Book Antiqua"/>
                <w:sz w:val="17"/>
              </w:rPr>
            </w:pPr>
            <w:r>
              <w:rPr>
                <w:rFonts w:ascii="Book Antiqua"/>
                <w:color w:val="231F20"/>
                <w:w w:val="95"/>
                <w:sz w:val="17"/>
              </w:rPr>
              <w:t>63.7%</w:t>
            </w:r>
          </w:p>
        </w:tc>
        <w:tc>
          <w:tcPr>
            <w:tcW w:w="1735" w:type="dxa"/>
            <w:tcBorders>
              <w:top w:val="single" w:sz="4" w:space="0" w:color="AAACAF"/>
              <w:bottom w:val="single" w:sz="4" w:space="0" w:color="AAACAF"/>
            </w:tcBorders>
          </w:tcPr>
          <w:p>
            <w:pPr>
              <w:pStyle w:val="TableParagraph"/>
              <w:spacing w:before="98"/>
              <w:ind w:right="426"/>
              <w:jc w:val="right"/>
              <w:rPr>
                <w:rFonts w:ascii="Book Antiqua"/>
                <w:sz w:val="17"/>
              </w:rPr>
            </w:pPr>
            <w:r>
              <w:rPr>
                <w:rFonts w:ascii="Book Antiqua"/>
                <w:color w:val="231F20"/>
                <w:w w:val="95"/>
                <w:sz w:val="17"/>
              </w:rPr>
              <w:t>66.5%</w:t>
            </w:r>
          </w:p>
        </w:tc>
        <w:tc>
          <w:tcPr>
            <w:tcW w:w="1692" w:type="dxa"/>
            <w:tcBorders>
              <w:top w:val="single" w:sz="4" w:space="0" w:color="AAACAF"/>
              <w:bottom w:val="single" w:sz="4" w:space="0" w:color="AAACAF"/>
            </w:tcBorders>
          </w:tcPr>
          <w:p>
            <w:pPr>
              <w:pStyle w:val="TableParagraph"/>
              <w:spacing w:before="98"/>
              <w:ind w:right="378"/>
              <w:jc w:val="right"/>
              <w:rPr>
                <w:rFonts w:ascii="Book Antiqua"/>
                <w:sz w:val="17"/>
              </w:rPr>
            </w:pPr>
            <w:r>
              <w:rPr>
                <w:rFonts w:ascii="Book Antiqua"/>
                <w:color w:val="231F20"/>
                <w:w w:val="95"/>
                <w:sz w:val="17"/>
              </w:rPr>
              <w:t>64.5%</w:t>
            </w:r>
          </w:p>
        </w:tc>
        <w:tc>
          <w:tcPr>
            <w:tcW w:w="1427" w:type="dxa"/>
            <w:tcBorders>
              <w:top w:val="single" w:sz="4" w:space="0" w:color="AAACAF"/>
              <w:bottom w:val="single" w:sz="4" w:space="0" w:color="AAACAF"/>
            </w:tcBorders>
          </w:tcPr>
          <w:p>
            <w:pPr>
              <w:pStyle w:val="TableParagraph"/>
              <w:spacing w:before="98"/>
              <w:ind w:right="158"/>
              <w:jc w:val="right"/>
              <w:rPr>
                <w:rFonts w:ascii="Book Antiqua"/>
                <w:sz w:val="17"/>
              </w:rPr>
            </w:pPr>
            <w:r>
              <w:rPr>
                <w:rFonts w:ascii="Book Antiqua"/>
                <w:color w:val="231F20"/>
                <w:w w:val="90"/>
                <w:sz w:val="17"/>
              </w:rPr>
              <w:t>67.3%</w:t>
            </w:r>
          </w:p>
        </w:tc>
      </w:tr>
      <w:tr>
        <w:trPr>
          <w:trHeight w:val="300" w:hRule="exact"/>
        </w:trPr>
        <w:tc>
          <w:tcPr>
            <w:tcW w:w="2079" w:type="dxa"/>
            <w:tcBorders>
              <w:top w:val="single" w:sz="4" w:space="0" w:color="AAACAF"/>
              <w:bottom w:val="single" w:sz="4" w:space="0" w:color="AAACAF"/>
            </w:tcBorders>
          </w:tcPr>
          <w:p>
            <w:pPr>
              <w:pStyle w:val="TableParagraph"/>
              <w:spacing w:before="98"/>
              <w:ind w:right="564"/>
              <w:jc w:val="right"/>
              <w:rPr>
                <w:rFonts w:ascii="Book Antiqua"/>
                <w:sz w:val="17"/>
              </w:rPr>
            </w:pPr>
            <w:r>
              <w:rPr>
                <w:rFonts w:ascii="Book Antiqua"/>
                <w:color w:val="231F20"/>
                <w:sz w:val="17"/>
              </w:rPr>
              <w:t>634</w:t>
            </w:r>
          </w:p>
        </w:tc>
        <w:tc>
          <w:tcPr>
            <w:tcW w:w="1793" w:type="dxa"/>
            <w:tcBorders>
              <w:top w:val="single" w:sz="4" w:space="0" w:color="AAACAF"/>
              <w:bottom w:val="single" w:sz="4" w:space="0" w:color="AAACAF"/>
            </w:tcBorders>
          </w:tcPr>
          <w:p>
            <w:pPr>
              <w:pStyle w:val="TableParagraph"/>
              <w:spacing w:before="98"/>
              <w:ind w:right="576"/>
              <w:jc w:val="right"/>
              <w:rPr>
                <w:rFonts w:ascii="Book Antiqua"/>
                <w:sz w:val="17"/>
              </w:rPr>
            </w:pPr>
            <w:r>
              <w:rPr>
                <w:rFonts w:ascii="Book Antiqua"/>
                <w:color w:val="231F20"/>
                <w:sz w:val="17"/>
              </w:rPr>
              <w:t>597</w:t>
            </w:r>
          </w:p>
        </w:tc>
        <w:tc>
          <w:tcPr>
            <w:tcW w:w="1762" w:type="dxa"/>
            <w:tcBorders>
              <w:top w:val="single" w:sz="4" w:space="0" w:color="AAACAF"/>
              <w:bottom w:val="single" w:sz="4" w:space="0" w:color="AAACAF"/>
            </w:tcBorders>
          </w:tcPr>
          <w:p>
            <w:pPr>
              <w:pStyle w:val="TableParagraph"/>
              <w:spacing w:before="98"/>
              <w:ind w:right="526"/>
              <w:jc w:val="right"/>
              <w:rPr>
                <w:rFonts w:ascii="Book Antiqua"/>
                <w:sz w:val="17"/>
              </w:rPr>
            </w:pPr>
            <w:r>
              <w:rPr>
                <w:rFonts w:ascii="Book Antiqua"/>
                <w:color w:val="231F20"/>
                <w:sz w:val="17"/>
              </w:rPr>
              <w:t>563</w:t>
            </w:r>
          </w:p>
        </w:tc>
        <w:tc>
          <w:tcPr>
            <w:tcW w:w="1735" w:type="dxa"/>
            <w:tcBorders>
              <w:top w:val="single" w:sz="4" w:space="0" w:color="AAACAF"/>
              <w:bottom w:val="single" w:sz="4" w:space="0" w:color="AAACAF"/>
            </w:tcBorders>
          </w:tcPr>
          <w:p>
            <w:pPr>
              <w:pStyle w:val="TableParagraph"/>
              <w:spacing w:before="98"/>
              <w:ind w:right="555"/>
              <w:jc w:val="right"/>
              <w:rPr>
                <w:rFonts w:ascii="Book Antiqua"/>
                <w:sz w:val="17"/>
              </w:rPr>
            </w:pPr>
            <w:r>
              <w:rPr>
                <w:rFonts w:ascii="Book Antiqua"/>
                <w:color w:val="231F20"/>
                <w:sz w:val="17"/>
              </w:rPr>
              <w:t>546</w:t>
            </w:r>
          </w:p>
        </w:tc>
        <w:tc>
          <w:tcPr>
            <w:tcW w:w="1692" w:type="dxa"/>
            <w:tcBorders>
              <w:top w:val="single" w:sz="4" w:space="0" w:color="AAACAF"/>
              <w:bottom w:val="single" w:sz="4" w:space="0" w:color="AAACAF"/>
            </w:tcBorders>
          </w:tcPr>
          <w:p>
            <w:pPr>
              <w:pStyle w:val="TableParagraph"/>
              <w:spacing w:before="98"/>
              <w:ind w:right="508"/>
              <w:jc w:val="right"/>
              <w:rPr>
                <w:rFonts w:ascii="Book Antiqua"/>
                <w:sz w:val="17"/>
              </w:rPr>
            </w:pPr>
            <w:r>
              <w:rPr>
                <w:rFonts w:ascii="Book Antiqua"/>
                <w:color w:val="231F20"/>
                <w:sz w:val="17"/>
              </w:rPr>
              <w:t>521</w:t>
            </w:r>
          </w:p>
        </w:tc>
        <w:tc>
          <w:tcPr>
            <w:tcW w:w="1427" w:type="dxa"/>
            <w:tcBorders>
              <w:top w:val="single" w:sz="4" w:space="0" w:color="AAACAF"/>
              <w:bottom w:val="single" w:sz="4" w:space="0" w:color="AAACAF"/>
            </w:tcBorders>
          </w:tcPr>
          <w:p>
            <w:pPr>
              <w:pStyle w:val="TableParagraph"/>
              <w:spacing w:before="98"/>
              <w:ind w:right="274"/>
              <w:jc w:val="right"/>
              <w:rPr>
                <w:rFonts w:ascii="Book Antiqua"/>
                <w:sz w:val="17"/>
              </w:rPr>
            </w:pPr>
            <w:r>
              <w:rPr>
                <w:rFonts w:ascii="Book Antiqua"/>
                <w:color w:val="231F20"/>
                <w:sz w:val="17"/>
              </w:rPr>
              <w:t>506</w:t>
            </w:r>
          </w:p>
        </w:tc>
      </w:tr>
      <w:tr>
        <w:trPr>
          <w:trHeight w:val="300" w:hRule="exact"/>
        </w:trPr>
        <w:tc>
          <w:tcPr>
            <w:tcW w:w="2079" w:type="dxa"/>
            <w:tcBorders>
              <w:top w:val="single" w:sz="4" w:space="0" w:color="AAACAF"/>
              <w:bottom w:val="single" w:sz="4" w:space="0" w:color="AAACAF"/>
            </w:tcBorders>
          </w:tcPr>
          <w:p>
            <w:pPr>
              <w:pStyle w:val="TableParagraph"/>
              <w:spacing w:before="98"/>
              <w:ind w:right="571"/>
              <w:jc w:val="right"/>
              <w:rPr>
                <w:rFonts w:ascii="Book Antiqua"/>
                <w:sz w:val="17"/>
              </w:rPr>
            </w:pPr>
            <w:r>
              <w:rPr>
                <w:rFonts w:ascii="Book Antiqua"/>
                <w:color w:val="231F20"/>
                <w:sz w:val="17"/>
              </w:rPr>
              <w:t>846, 823</w:t>
            </w:r>
          </w:p>
        </w:tc>
        <w:tc>
          <w:tcPr>
            <w:tcW w:w="1793" w:type="dxa"/>
            <w:tcBorders>
              <w:top w:val="single" w:sz="4" w:space="0" w:color="AAACAF"/>
              <w:bottom w:val="single" w:sz="4" w:space="0" w:color="AAACAF"/>
            </w:tcBorders>
          </w:tcPr>
          <w:p>
            <w:pPr>
              <w:pStyle w:val="TableParagraph"/>
              <w:spacing w:before="98"/>
              <w:ind w:left="668"/>
              <w:rPr>
                <w:rFonts w:ascii="Book Antiqua"/>
                <w:sz w:val="17"/>
              </w:rPr>
            </w:pPr>
            <w:r>
              <w:rPr>
                <w:rFonts w:ascii="Book Antiqua"/>
                <w:color w:val="231F20"/>
                <w:w w:val="95"/>
                <w:sz w:val="17"/>
              </w:rPr>
              <w:t>806, 822</w:t>
            </w:r>
          </w:p>
        </w:tc>
        <w:tc>
          <w:tcPr>
            <w:tcW w:w="1762" w:type="dxa"/>
            <w:tcBorders>
              <w:top w:val="single" w:sz="4" w:space="0" w:color="AAACAF"/>
              <w:bottom w:val="single" w:sz="4" w:space="0" w:color="AAACAF"/>
            </w:tcBorders>
          </w:tcPr>
          <w:p>
            <w:pPr>
              <w:pStyle w:val="TableParagraph"/>
              <w:spacing w:before="98"/>
              <w:ind w:left="681"/>
              <w:rPr>
                <w:rFonts w:ascii="Book Antiqua"/>
                <w:sz w:val="17"/>
              </w:rPr>
            </w:pPr>
            <w:r>
              <w:rPr>
                <w:rFonts w:ascii="Book Antiqua"/>
                <w:color w:val="231F20"/>
                <w:sz w:val="17"/>
              </w:rPr>
              <w:t>786,288</w:t>
            </w:r>
          </w:p>
        </w:tc>
        <w:tc>
          <w:tcPr>
            <w:tcW w:w="1735" w:type="dxa"/>
            <w:tcBorders>
              <w:top w:val="single" w:sz="4" w:space="0" w:color="AAACAF"/>
              <w:bottom w:val="single" w:sz="4" w:space="0" w:color="AAACAF"/>
            </w:tcBorders>
          </w:tcPr>
          <w:p>
            <w:pPr>
              <w:pStyle w:val="TableParagraph"/>
              <w:spacing w:before="98"/>
              <w:ind w:left="621"/>
              <w:rPr>
                <w:rFonts w:ascii="Book Antiqua"/>
                <w:sz w:val="17"/>
              </w:rPr>
            </w:pPr>
            <w:r>
              <w:rPr>
                <w:rFonts w:ascii="Book Antiqua"/>
                <w:color w:val="231F20"/>
                <w:sz w:val="17"/>
              </w:rPr>
              <w:t>748,634</w:t>
            </w:r>
          </w:p>
        </w:tc>
        <w:tc>
          <w:tcPr>
            <w:tcW w:w="1692" w:type="dxa"/>
            <w:tcBorders>
              <w:top w:val="single" w:sz="4" w:space="0" w:color="AAACAF"/>
              <w:bottom w:val="single" w:sz="4" w:space="0" w:color="AAACAF"/>
            </w:tcBorders>
          </w:tcPr>
          <w:p>
            <w:pPr>
              <w:pStyle w:val="TableParagraph"/>
              <w:spacing w:before="98"/>
              <w:ind w:left="634"/>
              <w:rPr>
                <w:rFonts w:ascii="Book Antiqua"/>
                <w:sz w:val="17"/>
              </w:rPr>
            </w:pPr>
            <w:r>
              <w:rPr>
                <w:rFonts w:ascii="Book Antiqua"/>
                <w:color w:val="231F20"/>
                <w:sz w:val="17"/>
              </w:rPr>
              <w:t>685, 524</w:t>
            </w:r>
          </w:p>
        </w:tc>
        <w:tc>
          <w:tcPr>
            <w:tcW w:w="1427" w:type="dxa"/>
            <w:tcBorders>
              <w:top w:val="single" w:sz="4" w:space="0" w:color="AAACAF"/>
              <w:bottom w:val="single" w:sz="4" w:space="0" w:color="AAACAF"/>
            </w:tcBorders>
          </w:tcPr>
          <w:p>
            <w:pPr>
              <w:pStyle w:val="TableParagraph"/>
              <w:spacing w:before="98"/>
              <w:ind w:right="274"/>
              <w:jc w:val="right"/>
              <w:rPr>
                <w:rFonts w:ascii="Book Antiqua"/>
                <w:sz w:val="17"/>
              </w:rPr>
            </w:pPr>
            <w:r>
              <w:rPr>
                <w:rFonts w:ascii="Book Antiqua"/>
                <w:color w:val="231F20"/>
                <w:sz w:val="17"/>
              </w:rPr>
              <w:t>624 ,476</w:t>
            </w:r>
          </w:p>
        </w:tc>
      </w:tr>
      <w:tr>
        <w:trPr>
          <w:trHeight w:val="300" w:hRule="exact"/>
        </w:trPr>
        <w:tc>
          <w:tcPr>
            <w:tcW w:w="2079" w:type="dxa"/>
            <w:tcBorders>
              <w:top w:val="single" w:sz="4" w:space="0" w:color="AAACAF"/>
              <w:bottom w:val="single" w:sz="4" w:space="0" w:color="AAACAF"/>
            </w:tcBorders>
          </w:tcPr>
          <w:p>
            <w:pPr>
              <w:pStyle w:val="TableParagraph"/>
              <w:spacing w:before="98"/>
              <w:ind w:right="571"/>
              <w:jc w:val="right"/>
              <w:rPr>
                <w:rFonts w:ascii="Book Antiqua"/>
                <w:sz w:val="17"/>
              </w:rPr>
            </w:pPr>
            <w:r>
              <w:rPr>
                <w:rFonts w:ascii="Book Antiqua"/>
                <w:color w:val="231F20"/>
                <w:w w:val="95"/>
                <w:sz w:val="17"/>
              </w:rPr>
              <w:t>$79.35</w:t>
            </w:r>
          </w:p>
        </w:tc>
        <w:tc>
          <w:tcPr>
            <w:tcW w:w="1793" w:type="dxa"/>
            <w:tcBorders>
              <w:top w:val="single" w:sz="4" w:space="0" w:color="AAACAF"/>
              <w:bottom w:val="single" w:sz="4" w:space="0" w:color="AAACAF"/>
            </w:tcBorders>
          </w:tcPr>
          <w:p>
            <w:pPr>
              <w:pStyle w:val="TableParagraph"/>
              <w:spacing w:before="98"/>
              <w:ind w:left="743"/>
              <w:rPr>
                <w:rFonts w:ascii="Book Antiqua"/>
                <w:sz w:val="17"/>
              </w:rPr>
            </w:pPr>
            <w:r>
              <w:rPr>
                <w:rFonts w:ascii="Book Antiqua"/>
                <w:color w:val="231F20"/>
                <w:w w:val="95"/>
                <w:sz w:val="17"/>
              </w:rPr>
              <w:t>$ 76.26</w:t>
            </w:r>
          </w:p>
        </w:tc>
        <w:tc>
          <w:tcPr>
            <w:tcW w:w="1762" w:type="dxa"/>
            <w:tcBorders>
              <w:top w:val="single" w:sz="4" w:space="0" w:color="AAACAF"/>
              <w:bottom w:val="single" w:sz="4" w:space="0" w:color="AAACAF"/>
            </w:tcBorders>
          </w:tcPr>
          <w:p>
            <w:pPr>
              <w:pStyle w:val="TableParagraph"/>
              <w:spacing w:before="98"/>
              <w:ind w:right="526"/>
              <w:jc w:val="right"/>
              <w:rPr>
                <w:rFonts w:ascii="Book Antiqua"/>
                <w:sz w:val="17"/>
              </w:rPr>
            </w:pPr>
            <w:r>
              <w:rPr>
                <w:rFonts w:ascii="Book Antiqua"/>
                <w:color w:val="231F20"/>
                <w:w w:val="95"/>
                <w:sz w:val="17"/>
              </w:rPr>
              <w:t>$72.81</w:t>
            </w:r>
          </w:p>
        </w:tc>
        <w:tc>
          <w:tcPr>
            <w:tcW w:w="1735" w:type="dxa"/>
            <w:tcBorders>
              <w:top w:val="single" w:sz="4" w:space="0" w:color="AAACAF"/>
              <w:bottom w:val="single" w:sz="4" w:space="0" w:color="AAACAF"/>
            </w:tcBorders>
          </w:tcPr>
          <w:p>
            <w:pPr>
              <w:pStyle w:val="TableParagraph"/>
              <w:spacing w:before="98"/>
              <w:ind w:left="712"/>
              <w:rPr>
                <w:rFonts w:ascii="Book Antiqua"/>
                <w:sz w:val="17"/>
              </w:rPr>
            </w:pPr>
            <w:r>
              <w:rPr>
                <w:rFonts w:ascii="Book Antiqua"/>
                <w:color w:val="231F20"/>
                <w:sz w:val="17"/>
              </w:rPr>
              <w:t>$66.20</w:t>
            </w:r>
          </w:p>
        </w:tc>
        <w:tc>
          <w:tcPr>
            <w:tcW w:w="1692" w:type="dxa"/>
            <w:tcBorders>
              <w:top w:val="single" w:sz="4" w:space="0" w:color="AAACAF"/>
              <w:bottom w:val="single" w:sz="4" w:space="0" w:color="AAACAF"/>
            </w:tcBorders>
          </w:tcPr>
          <w:p>
            <w:pPr>
              <w:pStyle w:val="TableParagraph"/>
              <w:spacing w:before="98"/>
              <w:ind w:left="730"/>
              <w:rPr>
                <w:rFonts w:ascii="Book Antiqua"/>
                <w:sz w:val="17"/>
              </w:rPr>
            </w:pPr>
            <w:r>
              <w:rPr>
                <w:rFonts w:ascii="Book Antiqua"/>
                <w:color w:val="231F20"/>
                <w:sz w:val="17"/>
              </w:rPr>
              <w:t>$61.80</w:t>
            </w:r>
          </w:p>
        </w:tc>
        <w:tc>
          <w:tcPr>
            <w:tcW w:w="1427" w:type="dxa"/>
            <w:tcBorders>
              <w:top w:val="single" w:sz="4" w:space="0" w:color="AAACAF"/>
              <w:bottom w:val="single" w:sz="4" w:space="0" w:color="AAACAF"/>
            </w:tcBorders>
          </w:tcPr>
          <w:p>
            <w:pPr>
              <w:pStyle w:val="TableParagraph"/>
              <w:spacing w:before="98"/>
              <w:ind w:right="269"/>
              <w:jc w:val="right"/>
              <w:rPr>
                <w:rFonts w:ascii="Book Antiqua"/>
                <w:sz w:val="17"/>
              </w:rPr>
            </w:pPr>
            <w:r>
              <w:rPr>
                <w:rFonts w:ascii="Book Antiqua"/>
                <w:color w:val="231F20"/>
                <w:w w:val="95"/>
                <w:sz w:val="17"/>
              </w:rPr>
              <w:t>$58.44</w:t>
            </w:r>
          </w:p>
        </w:tc>
      </w:tr>
      <w:tr>
        <w:trPr>
          <w:trHeight w:val="300" w:hRule="exact"/>
        </w:trPr>
        <w:tc>
          <w:tcPr>
            <w:tcW w:w="2079" w:type="dxa"/>
            <w:tcBorders>
              <w:top w:val="single" w:sz="4" w:space="0" w:color="AAACAF"/>
              <w:bottom w:val="single" w:sz="4" w:space="0" w:color="AAACAF"/>
            </w:tcBorders>
          </w:tcPr>
          <w:p>
            <w:pPr>
              <w:pStyle w:val="TableParagraph"/>
              <w:spacing w:before="98"/>
              <w:ind w:right="496"/>
              <w:jc w:val="right"/>
              <w:rPr>
                <w:rFonts w:ascii="Book Antiqua" w:hAnsi="Book Antiqua"/>
                <w:sz w:val="17"/>
              </w:rPr>
            </w:pPr>
            <w:r>
              <w:rPr>
                <w:rFonts w:ascii="Book Antiqua" w:hAnsi="Book Antiqua"/>
                <w:color w:val="231F20"/>
                <w:w w:val="95"/>
                <w:sz w:val="17"/>
              </w:rPr>
              <w:t>12.51¢</w:t>
            </w:r>
          </w:p>
        </w:tc>
        <w:tc>
          <w:tcPr>
            <w:tcW w:w="1793" w:type="dxa"/>
            <w:tcBorders>
              <w:top w:val="single" w:sz="4" w:space="0" w:color="AAACAF"/>
              <w:bottom w:val="single" w:sz="4" w:space="0" w:color="AAACAF"/>
            </w:tcBorders>
          </w:tcPr>
          <w:p>
            <w:pPr>
              <w:pStyle w:val="TableParagraph"/>
              <w:spacing w:before="98"/>
              <w:ind w:right="494"/>
              <w:jc w:val="right"/>
              <w:rPr>
                <w:rFonts w:ascii="Book Antiqua" w:hAnsi="Book Antiqua"/>
                <w:sz w:val="17"/>
              </w:rPr>
            </w:pPr>
            <w:r>
              <w:rPr>
                <w:rFonts w:ascii="Book Antiqua" w:hAnsi="Book Antiqua"/>
                <w:color w:val="231F20"/>
                <w:w w:val="95"/>
                <w:sz w:val="17"/>
              </w:rPr>
              <w:t>12.76¢</w:t>
            </w:r>
          </w:p>
        </w:tc>
        <w:tc>
          <w:tcPr>
            <w:tcW w:w="1762" w:type="dxa"/>
            <w:tcBorders>
              <w:top w:val="single" w:sz="4" w:space="0" w:color="AAACAF"/>
              <w:bottom w:val="single" w:sz="4" w:space="0" w:color="AAACAF"/>
            </w:tcBorders>
          </w:tcPr>
          <w:p>
            <w:pPr>
              <w:pStyle w:val="TableParagraph"/>
              <w:spacing w:before="98"/>
              <w:ind w:right="435"/>
              <w:jc w:val="right"/>
              <w:rPr>
                <w:rFonts w:ascii="Book Antiqua" w:hAnsi="Book Antiqua"/>
                <w:sz w:val="17"/>
              </w:rPr>
            </w:pPr>
            <w:r>
              <w:rPr>
                <w:rFonts w:ascii="Book Antiqua" w:hAnsi="Book Antiqua"/>
                <w:color w:val="231F20"/>
                <w:w w:val="95"/>
                <w:sz w:val="17"/>
              </w:rPr>
              <w:t>12.94¢</w:t>
            </w:r>
          </w:p>
        </w:tc>
        <w:tc>
          <w:tcPr>
            <w:tcW w:w="1735" w:type="dxa"/>
            <w:tcBorders>
              <w:top w:val="single" w:sz="4" w:space="0" w:color="AAACAF"/>
              <w:bottom w:val="single" w:sz="4" w:space="0" w:color="AAACAF"/>
            </w:tcBorders>
          </w:tcPr>
          <w:p>
            <w:pPr>
              <w:pStyle w:val="TableParagraph"/>
              <w:spacing w:before="98"/>
              <w:ind w:right="480"/>
              <w:jc w:val="right"/>
              <w:rPr>
                <w:rFonts w:ascii="Book Antiqua" w:hAnsi="Book Antiqua"/>
                <w:sz w:val="17"/>
              </w:rPr>
            </w:pPr>
            <w:r>
              <w:rPr>
                <w:rFonts w:ascii="Book Antiqua" w:hAnsi="Book Antiqua"/>
                <w:color w:val="231F20"/>
                <w:w w:val="95"/>
                <w:sz w:val="17"/>
              </w:rPr>
              <w:t>12.13¢</w:t>
            </w:r>
          </w:p>
        </w:tc>
        <w:tc>
          <w:tcPr>
            <w:tcW w:w="1692" w:type="dxa"/>
            <w:tcBorders>
              <w:top w:val="single" w:sz="4" w:space="0" w:color="AAACAF"/>
              <w:bottom w:val="single" w:sz="4" w:space="0" w:color="AAACAF"/>
            </w:tcBorders>
          </w:tcPr>
          <w:p>
            <w:pPr>
              <w:pStyle w:val="TableParagraph"/>
              <w:spacing w:before="98"/>
              <w:ind w:right="411"/>
              <w:jc w:val="right"/>
              <w:rPr>
                <w:rFonts w:ascii="Book Antiqua" w:hAnsi="Book Antiqua"/>
                <w:sz w:val="17"/>
              </w:rPr>
            </w:pPr>
            <w:r>
              <w:rPr>
                <w:rFonts w:ascii="Book Antiqua" w:hAnsi="Book Antiqua"/>
                <w:color w:val="231F20"/>
                <w:w w:val="95"/>
                <w:sz w:val="17"/>
              </w:rPr>
              <w:t>11.86¢</w:t>
            </w:r>
          </w:p>
        </w:tc>
        <w:tc>
          <w:tcPr>
            <w:tcW w:w="1427" w:type="dxa"/>
            <w:tcBorders>
              <w:top w:val="single" w:sz="4" w:space="0" w:color="AAACAF"/>
              <w:bottom w:val="single" w:sz="4" w:space="0" w:color="AAACAF"/>
            </w:tcBorders>
          </w:tcPr>
          <w:p>
            <w:pPr>
              <w:pStyle w:val="TableParagraph"/>
              <w:spacing w:before="98"/>
              <w:ind w:right="197"/>
              <w:jc w:val="right"/>
              <w:rPr>
                <w:rFonts w:ascii="Book Antiqua" w:hAnsi="Book Antiqua"/>
                <w:sz w:val="17"/>
              </w:rPr>
            </w:pPr>
            <w:r>
              <w:rPr>
                <w:rFonts w:ascii="Book Antiqua" w:hAnsi="Book Antiqua"/>
                <w:color w:val="231F20"/>
                <w:w w:val="95"/>
                <w:sz w:val="17"/>
              </w:rPr>
              <w:t>11.56¢</w:t>
            </w:r>
          </w:p>
        </w:tc>
      </w:tr>
      <w:tr>
        <w:trPr>
          <w:trHeight w:val="300" w:hRule="exact"/>
        </w:trPr>
        <w:tc>
          <w:tcPr>
            <w:tcW w:w="2079" w:type="dxa"/>
            <w:tcBorders>
              <w:top w:val="single" w:sz="4" w:space="0" w:color="AAACAF"/>
              <w:bottom w:val="single" w:sz="4" w:space="0" w:color="AAACAF"/>
            </w:tcBorders>
          </w:tcPr>
          <w:p>
            <w:pPr>
              <w:pStyle w:val="TableParagraph"/>
              <w:spacing w:before="98"/>
              <w:ind w:right="496"/>
              <w:jc w:val="right"/>
              <w:rPr>
                <w:rFonts w:ascii="Book Antiqua" w:hAnsi="Book Antiqua"/>
                <w:sz w:val="17"/>
              </w:rPr>
            </w:pPr>
            <w:r>
              <w:rPr>
                <w:rFonts w:ascii="Book Antiqua" w:hAnsi="Book Antiqua"/>
                <w:color w:val="231F20"/>
                <w:w w:val="95"/>
                <w:sz w:val="17"/>
              </w:rPr>
              <w:t>8.96¢</w:t>
            </w:r>
          </w:p>
        </w:tc>
        <w:tc>
          <w:tcPr>
            <w:tcW w:w="1793" w:type="dxa"/>
            <w:tcBorders>
              <w:top w:val="single" w:sz="4" w:space="0" w:color="AAACAF"/>
              <w:bottom w:val="single" w:sz="4" w:space="0" w:color="AAACAF"/>
            </w:tcBorders>
          </w:tcPr>
          <w:p>
            <w:pPr>
              <w:pStyle w:val="TableParagraph"/>
              <w:spacing w:before="98"/>
              <w:ind w:right="494"/>
              <w:jc w:val="right"/>
              <w:rPr>
                <w:rFonts w:ascii="Book Antiqua" w:hAnsi="Book Antiqua"/>
                <w:sz w:val="17"/>
              </w:rPr>
            </w:pPr>
            <w:r>
              <w:rPr>
                <w:rFonts w:ascii="Book Antiqua" w:hAnsi="Book Antiqua"/>
                <w:color w:val="231F20"/>
                <w:w w:val="95"/>
                <w:sz w:val="17"/>
              </w:rPr>
              <w:t>8.76¢</w:t>
            </w:r>
          </w:p>
        </w:tc>
        <w:tc>
          <w:tcPr>
            <w:tcW w:w="1762" w:type="dxa"/>
            <w:tcBorders>
              <w:top w:val="single" w:sz="4" w:space="0" w:color="AAACAF"/>
              <w:bottom w:val="single" w:sz="4" w:space="0" w:color="AAACAF"/>
            </w:tcBorders>
          </w:tcPr>
          <w:p>
            <w:pPr>
              <w:pStyle w:val="TableParagraph"/>
              <w:spacing w:before="98"/>
              <w:ind w:right="435"/>
              <w:jc w:val="right"/>
              <w:rPr>
                <w:rFonts w:ascii="Book Antiqua" w:hAnsi="Book Antiqua"/>
                <w:sz w:val="17"/>
              </w:rPr>
            </w:pPr>
            <w:r>
              <w:rPr>
                <w:rFonts w:ascii="Book Antiqua" w:hAnsi="Book Antiqua"/>
                <w:color w:val="231F20"/>
                <w:w w:val="95"/>
                <w:sz w:val="17"/>
              </w:rPr>
              <w:t>8.58¢</w:t>
            </w:r>
          </w:p>
        </w:tc>
        <w:tc>
          <w:tcPr>
            <w:tcW w:w="1735" w:type="dxa"/>
            <w:tcBorders>
              <w:top w:val="single" w:sz="4" w:space="0" w:color="AAACAF"/>
              <w:bottom w:val="single" w:sz="4" w:space="0" w:color="AAACAF"/>
            </w:tcBorders>
          </w:tcPr>
          <w:p>
            <w:pPr>
              <w:pStyle w:val="TableParagraph"/>
              <w:spacing w:before="98"/>
              <w:ind w:right="480"/>
              <w:jc w:val="right"/>
              <w:rPr>
                <w:rFonts w:ascii="Book Antiqua" w:hAnsi="Book Antiqua"/>
                <w:sz w:val="17"/>
              </w:rPr>
            </w:pPr>
            <w:r>
              <w:rPr>
                <w:rFonts w:ascii="Book Antiqua" w:hAnsi="Book Antiqua"/>
                <w:color w:val="231F20"/>
                <w:w w:val="95"/>
                <w:sz w:val="17"/>
              </w:rPr>
              <w:t>8.36¢</w:t>
            </w:r>
          </w:p>
        </w:tc>
        <w:tc>
          <w:tcPr>
            <w:tcW w:w="1692" w:type="dxa"/>
            <w:tcBorders>
              <w:top w:val="single" w:sz="4" w:space="0" w:color="AAACAF"/>
              <w:bottom w:val="single" w:sz="4" w:space="0" w:color="AAACAF"/>
            </w:tcBorders>
          </w:tcPr>
          <w:p>
            <w:pPr>
              <w:pStyle w:val="TableParagraph"/>
              <w:spacing w:before="98"/>
              <w:ind w:right="411"/>
              <w:jc w:val="right"/>
              <w:rPr>
                <w:rFonts w:ascii="Book Antiqua" w:hAnsi="Book Antiqua"/>
                <w:sz w:val="17"/>
              </w:rPr>
            </w:pPr>
            <w:r>
              <w:rPr>
                <w:rFonts w:ascii="Book Antiqua" w:hAnsi="Book Antiqua"/>
                <w:color w:val="231F20"/>
                <w:w w:val="95"/>
                <w:sz w:val="17"/>
              </w:rPr>
              <w:t>7.94¢</w:t>
            </w:r>
          </w:p>
        </w:tc>
        <w:tc>
          <w:tcPr>
            <w:tcW w:w="1427" w:type="dxa"/>
            <w:tcBorders>
              <w:top w:val="single" w:sz="4" w:space="0" w:color="AAACAF"/>
              <w:bottom w:val="single" w:sz="4" w:space="0" w:color="AAACAF"/>
            </w:tcBorders>
          </w:tcPr>
          <w:p>
            <w:pPr>
              <w:pStyle w:val="TableParagraph"/>
              <w:spacing w:before="98"/>
              <w:ind w:right="197"/>
              <w:jc w:val="right"/>
              <w:rPr>
                <w:rFonts w:ascii="Book Antiqua" w:hAnsi="Book Antiqua"/>
                <w:sz w:val="17"/>
              </w:rPr>
            </w:pPr>
            <w:r>
              <w:rPr>
                <w:rFonts w:ascii="Book Antiqua" w:hAnsi="Book Antiqua"/>
                <w:color w:val="231F20"/>
                <w:w w:val="95"/>
                <w:sz w:val="17"/>
              </w:rPr>
              <w:t>8.07¢</w:t>
            </w:r>
          </w:p>
        </w:tc>
      </w:tr>
      <w:tr>
        <w:trPr>
          <w:trHeight w:val="300" w:hRule="exact"/>
        </w:trPr>
        <w:tc>
          <w:tcPr>
            <w:tcW w:w="2079" w:type="dxa"/>
            <w:tcBorders>
              <w:top w:val="single" w:sz="4" w:space="0" w:color="AAACAF"/>
              <w:bottom w:val="single" w:sz="4" w:space="0" w:color="AAACAF"/>
            </w:tcBorders>
          </w:tcPr>
          <w:p>
            <w:pPr>
              <w:pStyle w:val="TableParagraph"/>
              <w:spacing w:before="98"/>
              <w:ind w:right="496"/>
              <w:jc w:val="right"/>
              <w:rPr>
                <w:rFonts w:ascii="Book Antiqua" w:hAnsi="Book Antiqua"/>
                <w:sz w:val="17"/>
              </w:rPr>
            </w:pPr>
            <w:r>
              <w:rPr>
                <w:rFonts w:ascii="Book Antiqua" w:hAnsi="Book Antiqua"/>
                <w:color w:val="231F20"/>
                <w:w w:val="95"/>
                <w:sz w:val="17"/>
              </w:rPr>
              <w:t>7.48¢</w:t>
            </w:r>
          </w:p>
        </w:tc>
        <w:tc>
          <w:tcPr>
            <w:tcW w:w="1793" w:type="dxa"/>
            <w:tcBorders>
              <w:top w:val="single" w:sz="4" w:space="0" w:color="AAACAF"/>
              <w:bottom w:val="single" w:sz="4" w:space="0" w:color="AAACAF"/>
            </w:tcBorders>
          </w:tcPr>
          <w:p>
            <w:pPr>
              <w:pStyle w:val="TableParagraph"/>
              <w:spacing w:before="98"/>
              <w:ind w:right="494"/>
              <w:jc w:val="right"/>
              <w:rPr>
                <w:rFonts w:ascii="Book Antiqua" w:hAnsi="Book Antiqua"/>
                <w:sz w:val="17"/>
              </w:rPr>
            </w:pPr>
            <w:r>
              <w:rPr>
                <w:rFonts w:ascii="Book Antiqua" w:hAnsi="Book Antiqua"/>
                <w:color w:val="231F20"/>
                <w:w w:val="95"/>
                <w:sz w:val="17"/>
              </w:rPr>
              <w:t>7.32¢</w:t>
            </w:r>
          </w:p>
        </w:tc>
        <w:tc>
          <w:tcPr>
            <w:tcW w:w="1762" w:type="dxa"/>
            <w:tcBorders>
              <w:top w:val="single" w:sz="4" w:space="0" w:color="AAACAF"/>
              <w:bottom w:val="single" w:sz="4" w:space="0" w:color="AAACAF"/>
            </w:tcBorders>
          </w:tcPr>
          <w:p>
            <w:pPr>
              <w:pStyle w:val="TableParagraph"/>
              <w:spacing w:before="98"/>
              <w:ind w:right="434"/>
              <w:jc w:val="right"/>
              <w:rPr>
                <w:rFonts w:ascii="Book Antiqua" w:hAnsi="Book Antiqua"/>
                <w:sz w:val="17"/>
              </w:rPr>
            </w:pPr>
            <w:r>
              <w:rPr>
                <w:rFonts w:ascii="Book Antiqua" w:hAnsi="Book Antiqua"/>
                <w:color w:val="231F20"/>
                <w:w w:val="95"/>
                <w:sz w:val="17"/>
              </w:rPr>
              <w:t>7.40¢</w:t>
            </w:r>
          </w:p>
        </w:tc>
        <w:tc>
          <w:tcPr>
            <w:tcW w:w="1735" w:type="dxa"/>
            <w:tcBorders>
              <w:top w:val="single" w:sz="4" w:space="0" w:color="AAACAF"/>
              <w:bottom w:val="single" w:sz="4" w:space="0" w:color="AAACAF"/>
            </w:tcBorders>
          </w:tcPr>
          <w:p>
            <w:pPr>
              <w:pStyle w:val="TableParagraph"/>
              <w:spacing w:before="98"/>
              <w:ind w:right="481"/>
              <w:jc w:val="right"/>
              <w:rPr>
                <w:rFonts w:ascii="Book Antiqua" w:hAnsi="Book Antiqua"/>
                <w:sz w:val="17"/>
              </w:rPr>
            </w:pPr>
            <w:r>
              <w:rPr>
                <w:rFonts w:ascii="Book Antiqua" w:hAnsi="Book Antiqua"/>
                <w:color w:val="231F20"/>
                <w:w w:val="95"/>
                <w:sz w:val="17"/>
              </w:rPr>
              <w:t>7.50¢</w:t>
            </w:r>
          </w:p>
        </w:tc>
        <w:tc>
          <w:tcPr>
            <w:tcW w:w="1692" w:type="dxa"/>
            <w:tcBorders>
              <w:top w:val="single" w:sz="4" w:space="0" w:color="AAACAF"/>
              <w:bottom w:val="single" w:sz="4" w:space="0" w:color="AAACAF"/>
            </w:tcBorders>
          </w:tcPr>
          <w:p>
            <w:pPr>
              <w:pStyle w:val="TableParagraph"/>
              <w:spacing w:before="98"/>
              <w:ind w:right="411"/>
              <w:jc w:val="right"/>
              <w:rPr>
                <w:rFonts w:ascii="Book Antiqua" w:hAnsi="Book Antiqua"/>
                <w:sz w:val="17"/>
              </w:rPr>
            </w:pPr>
            <w:r>
              <w:rPr>
                <w:rFonts w:ascii="Book Antiqua" w:hAnsi="Book Antiqua"/>
                <w:color w:val="231F20"/>
                <w:w w:val="95"/>
                <w:sz w:val="17"/>
              </w:rPr>
              <w:t>7.07¢</w:t>
            </w:r>
          </w:p>
        </w:tc>
        <w:tc>
          <w:tcPr>
            <w:tcW w:w="1427" w:type="dxa"/>
            <w:tcBorders>
              <w:top w:val="single" w:sz="4" w:space="0" w:color="AAACAF"/>
              <w:bottom w:val="single" w:sz="4" w:space="0" w:color="AAACAF"/>
            </w:tcBorders>
          </w:tcPr>
          <w:p>
            <w:pPr>
              <w:pStyle w:val="TableParagraph"/>
              <w:spacing w:before="98"/>
              <w:ind w:right="197"/>
              <w:jc w:val="right"/>
              <w:rPr>
                <w:rFonts w:ascii="Book Antiqua" w:hAnsi="Book Antiqua"/>
                <w:sz w:val="17"/>
              </w:rPr>
            </w:pPr>
            <w:r>
              <w:rPr>
                <w:rFonts w:ascii="Book Antiqua" w:hAnsi="Book Antiqua"/>
                <w:color w:val="231F20"/>
                <w:w w:val="95"/>
                <w:sz w:val="17"/>
              </w:rPr>
              <w:t>7.08¢</w:t>
            </w:r>
          </w:p>
        </w:tc>
      </w:tr>
      <w:tr>
        <w:trPr>
          <w:trHeight w:val="300" w:hRule="exact"/>
        </w:trPr>
        <w:tc>
          <w:tcPr>
            <w:tcW w:w="2079" w:type="dxa"/>
            <w:tcBorders>
              <w:top w:val="single" w:sz="4" w:space="0" w:color="AAACAF"/>
              <w:bottom w:val="single" w:sz="4" w:space="0" w:color="AAACAF"/>
            </w:tcBorders>
          </w:tcPr>
          <w:p>
            <w:pPr>
              <w:pStyle w:val="TableParagraph"/>
              <w:spacing w:before="98"/>
              <w:ind w:right="496"/>
              <w:jc w:val="right"/>
              <w:rPr>
                <w:rFonts w:ascii="Book Antiqua" w:hAnsi="Book Antiqua"/>
                <w:sz w:val="17"/>
              </w:rPr>
            </w:pPr>
            <w:r>
              <w:rPr>
                <w:rFonts w:ascii="Book Antiqua" w:hAnsi="Book Antiqua"/>
                <w:color w:val="231F20"/>
                <w:w w:val="95"/>
                <w:sz w:val="17"/>
              </w:rPr>
              <w:t>6.55¢</w:t>
            </w:r>
          </w:p>
        </w:tc>
        <w:tc>
          <w:tcPr>
            <w:tcW w:w="1793" w:type="dxa"/>
            <w:tcBorders>
              <w:top w:val="single" w:sz="4" w:space="0" w:color="AAACAF"/>
              <w:bottom w:val="single" w:sz="4" w:space="0" w:color="AAACAF"/>
            </w:tcBorders>
          </w:tcPr>
          <w:p>
            <w:pPr>
              <w:pStyle w:val="TableParagraph"/>
              <w:spacing w:before="98"/>
              <w:ind w:right="494"/>
              <w:jc w:val="right"/>
              <w:rPr>
                <w:rFonts w:ascii="Book Antiqua" w:hAnsi="Book Antiqua"/>
                <w:sz w:val="17"/>
              </w:rPr>
            </w:pPr>
            <w:r>
              <w:rPr>
                <w:rFonts w:ascii="Book Antiqua" w:hAnsi="Book Antiqua"/>
                <w:color w:val="231F20"/>
                <w:w w:val="95"/>
                <w:sz w:val="17"/>
              </w:rPr>
              <w:t>6.50¢</w:t>
            </w:r>
          </w:p>
        </w:tc>
        <w:tc>
          <w:tcPr>
            <w:tcW w:w="1762" w:type="dxa"/>
            <w:tcBorders>
              <w:top w:val="single" w:sz="4" w:space="0" w:color="AAACAF"/>
              <w:bottom w:val="single" w:sz="4" w:space="0" w:color="AAACAF"/>
            </w:tcBorders>
          </w:tcPr>
          <w:p>
            <w:pPr>
              <w:pStyle w:val="TableParagraph"/>
              <w:spacing w:before="98"/>
              <w:ind w:right="434"/>
              <w:jc w:val="right"/>
              <w:rPr>
                <w:rFonts w:ascii="Book Antiqua" w:hAnsi="Book Antiqua"/>
                <w:sz w:val="17"/>
              </w:rPr>
            </w:pPr>
            <w:r>
              <w:rPr>
                <w:rFonts w:ascii="Book Antiqua" w:hAnsi="Book Antiqua"/>
                <w:color w:val="231F20"/>
                <w:w w:val="95"/>
                <w:sz w:val="17"/>
              </w:rPr>
              <w:t>6. 29¢</w:t>
            </w:r>
          </w:p>
        </w:tc>
        <w:tc>
          <w:tcPr>
            <w:tcW w:w="1735" w:type="dxa"/>
            <w:tcBorders>
              <w:top w:val="single" w:sz="4" w:space="0" w:color="AAACAF"/>
              <w:bottom w:val="single" w:sz="4" w:space="0" w:color="AAACAF"/>
            </w:tcBorders>
          </w:tcPr>
          <w:p>
            <w:pPr>
              <w:pStyle w:val="TableParagraph"/>
              <w:spacing w:before="98"/>
              <w:ind w:right="480"/>
              <w:jc w:val="right"/>
              <w:rPr>
                <w:rFonts w:ascii="Book Antiqua" w:hAnsi="Book Antiqua"/>
                <w:sz w:val="17"/>
              </w:rPr>
            </w:pPr>
            <w:r>
              <w:rPr>
                <w:rFonts w:ascii="Book Antiqua" w:hAnsi="Book Antiqua"/>
                <w:color w:val="231F20"/>
                <w:w w:val="95"/>
                <w:sz w:val="17"/>
              </w:rPr>
              <w:t>6.31¢</w:t>
            </w:r>
          </w:p>
        </w:tc>
        <w:tc>
          <w:tcPr>
            <w:tcW w:w="1692" w:type="dxa"/>
            <w:tcBorders>
              <w:top w:val="single" w:sz="4" w:space="0" w:color="AAACAF"/>
              <w:bottom w:val="single" w:sz="4" w:space="0" w:color="AAACAF"/>
            </w:tcBorders>
          </w:tcPr>
          <w:p>
            <w:pPr>
              <w:pStyle w:val="TableParagraph"/>
              <w:spacing w:before="98"/>
              <w:ind w:right="411"/>
              <w:jc w:val="right"/>
              <w:rPr>
                <w:rFonts w:ascii="Book Antiqua" w:hAnsi="Book Antiqua"/>
                <w:sz w:val="17"/>
              </w:rPr>
            </w:pPr>
            <w:r>
              <w:rPr>
                <w:rFonts w:ascii="Book Antiqua" w:hAnsi="Book Antiqua"/>
                <w:color w:val="231F20"/>
                <w:w w:val="95"/>
                <w:sz w:val="17"/>
              </w:rPr>
              <w:t>6.06¢</w:t>
            </w:r>
          </w:p>
        </w:tc>
        <w:tc>
          <w:tcPr>
            <w:tcW w:w="1427" w:type="dxa"/>
            <w:tcBorders>
              <w:top w:val="single" w:sz="4" w:space="0" w:color="AAACAF"/>
              <w:bottom w:val="single" w:sz="4" w:space="0" w:color="AAACAF"/>
            </w:tcBorders>
          </w:tcPr>
          <w:p>
            <w:pPr>
              <w:pStyle w:val="TableParagraph"/>
              <w:spacing w:before="98"/>
              <w:ind w:right="197"/>
              <w:jc w:val="right"/>
              <w:rPr>
                <w:rFonts w:ascii="Book Antiqua" w:hAnsi="Book Antiqua"/>
                <w:sz w:val="17"/>
              </w:rPr>
            </w:pPr>
            <w:r>
              <w:rPr>
                <w:rFonts w:ascii="Book Antiqua" w:hAnsi="Book Antiqua"/>
                <w:color w:val="231F20"/>
                <w:w w:val="95"/>
                <w:sz w:val="17"/>
              </w:rPr>
              <w:t>6.09¢</w:t>
            </w:r>
          </w:p>
        </w:tc>
      </w:tr>
      <w:tr>
        <w:trPr>
          <w:trHeight w:val="300" w:hRule="exact"/>
        </w:trPr>
        <w:tc>
          <w:tcPr>
            <w:tcW w:w="2079" w:type="dxa"/>
            <w:tcBorders>
              <w:top w:val="single" w:sz="4" w:space="0" w:color="AAACAF"/>
              <w:bottom w:val="single" w:sz="4" w:space="0" w:color="AAACAF"/>
            </w:tcBorders>
          </w:tcPr>
          <w:p>
            <w:pPr>
              <w:pStyle w:val="TableParagraph"/>
              <w:spacing w:before="98"/>
              <w:ind w:right="496"/>
              <w:jc w:val="right"/>
              <w:rPr>
                <w:rFonts w:ascii="Book Antiqua" w:hAnsi="Book Antiqua"/>
                <w:sz w:val="17"/>
              </w:rPr>
            </w:pPr>
            <w:r>
              <w:rPr>
                <w:rFonts w:ascii="Book Antiqua" w:hAnsi="Book Antiqua"/>
                <w:color w:val="231F20"/>
                <w:w w:val="95"/>
                <w:sz w:val="17"/>
              </w:rPr>
              <w:t>52.7¢</w:t>
            </w:r>
          </w:p>
        </w:tc>
        <w:tc>
          <w:tcPr>
            <w:tcW w:w="1793" w:type="dxa"/>
            <w:tcBorders>
              <w:top w:val="single" w:sz="4" w:space="0" w:color="AAACAF"/>
              <w:bottom w:val="single" w:sz="4" w:space="0" w:color="AAACAF"/>
            </w:tcBorders>
          </w:tcPr>
          <w:p>
            <w:pPr>
              <w:pStyle w:val="TableParagraph"/>
              <w:spacing w:before="98"/>
              <w:ind w:right="494"/>
              <w:jc w:val="right"/>
              <w:rPr>
                <w:rFonts w:ascii="Book Antiqua" w:hAnsi="Book Antiqua"/>
                <w:sz w:val="17"/>
              </w:rPr>
            </w:pPr>
            <w:r>
              <w:rPr>
                <w:rFonts w:ascii="Book Antiqua" w:hAnsi="Book Antiqua"/>
                <w:color w:val="231F20"/>
                <w:w w:val="95"/>
                <w:sz w:val="17"/>
              </w:rPr>
              <w:t>45.7¢</w:t>
            </w:r>
          </w:p>
        </w:tc>
        <w:tc>
          <w:tcPr>
            <w:tcW w:w="1762" w:type="dxa"/>
            <w:tcBorders>
              <w:top w:val="single" w:sz="4" w:space="0" w:color="AAACAF"/>
              <w:bottom w:val="single" w:sz="4" w:space="0" w:color="AAACAF"/>
            </w:tcBorders>
          </w:tcPr>
          <w:p>
            <w:pPr>
              <w:pStyle w:val="TableParagraph"/>
              <w:spacing w:before="98"/>
              <w:ind w:right="434"/>
              <w:jc w:val="right"/>
              <w:rPr>
                <w:rFonts w:ascii="Book Antiqua" w:hAnsi="Book Antiqua"/>
                <w:sz w:val="17"/>
              </w:rPr>
            </w:pPr>
            <w:r>
              <w:rPr>
                <w:rFonts w:ascii="Book Antiqua" w:hAnsi="Book Antiqua"/>
                <w:color w:val="231F20"/>
                <w:w w:val="95"/>
                <w:sz w:val="17"/>
              </w:rPr>
              <w:t>62.5¢</w:t>
            </w:r>
          </w:p>
        </w:tc>
        <w:tc>
          <w:tcPr>
            <w:tcW w:w="1735" w:type="dxa"/>
            <w:tcBorders>
              <w:top w:val="single" w:sz="4" w:space="0" w:color="AAACAF"/>
              <w:bottom w:val="single" w:sz="4" w:space="0" w:color="AAACAF"/>
            </w:tcBorders>
          </w:tcPr>
          <w:p>
            <w:pPr>
              <w:pStyle w:val="TableParagraph"/>
              <w:spacing w:before="98"/>
              <w:ind w:right="480"/>
              <w:jc w:val="right"/>
              <w:rPr>
                <w:rFonts w:ascii="Book Antiqua" w:hAnsi="Book Antiqua"/>
                <w:sz w:val="17"/>
              </w:rPr>
            </w:pPr>
            <w:r>
              <w:rPr>
                <w:rFonts w:ascii="Book Antiqua" w:hAnsi="Book Antiqua"/>
                <w:color w:val="231F20"/>
                <w:w w:val="95"/>
                <w:sz w:val="17"/>
              </w:rPr>
              <w:t>65.5¢</w:t>
            </w:r>
          </w:p>
        </w:tc>
        <w:tc>
          <w:tcPr>
            <w:tcW w:w="1692" w:type="dxa"/>
            <w:tcBorders>
              <w:top w:val="single" w:sz="4" w:space="0" w:color="AAACAF"/>
              <w:bottom w:val="single" w:sz="4" w:space="0" w:color="AAACAF"/>
            </w:tcBorders>
          </w:tcPr>
          <w:p>
            <w:pPr>
              <w:pStyle w:val="TableParagraph"/>
              <w:spacing w:before="98"/>
              <w:ind w:right="411"/>
              <w:jc w:val="right"/>
              <w:rPr>
                <w:rFonts w:ascii="Book Antiqua" w:hAnsi="Book Antiqua"/>
                <w:sz w:val="17"/>
              </w:rPr>
            </w:pPr>
            <w:r>
              <w:rPr>
                <w:rFonts w:ascii="Book Antiqua" w:hAnsi="Book Antiqua"/>
                <w:color w:val="231F20"/>
                <w:w w:val="95"/>
                <w:sz w:val="17"/>
              </w:rPr>
              <w:t>55.2¢</w:t>
            </w:r>
          </w:p>
        </w:tc>
        <w:tc>
          <w:tcPr>
            <w:tcW w:w="1427" w:type="dxa"/>
            <w:tcBorders>
              <w:top w:val="single" w:sz="4" w:space="0" w:color="AAACAF"/>
              <w:bottom w:val="single" w:sz="4" w:space="0" w:color="AAACAF"/>
            </w:tcBorders>
          </w:tcPr>
          <w:p>
            <w:pPr>
              <w:pStyle w:val="TableParagraph"/>
              <w:spacing w:before="98"/>
              <w:ind w:right="197"/>
              <w:jc w:val="right"/>
              <w:rPr>
                <w:rFonts w:ascii="Book Antiqua" w:hAnsi="Book Antiqua"/>
                <w:sz w:val="17"/>
              </w:rPr>
            </w:pPr>
            <w:r>
              <w:rPr>
                <w:rFonts w:ascii="Book Antiqua" w:hAnsi="Book Antiqua"/>
                <w:color w:val="231F20"/>
                <w:w w:val="95"/>
                <w:sz w:val="17"/>
              </w:rPr>
              <w:t>53.9¢</w:t>
            </w:r>
          </w:p>
        </w:tc>
      </w:tr>
      <w:tr>
        <w:trPr>
          <w:trHeight w:val="300" w:hRule="exact"/>
        </w:trPr>
        <w:tc>
          <w:tcPr>
            <w:tcW w:w="2079" w:type="dxa"/>
            <w:tcBorders>
              <w:top w:val="single" w:sz="4" w:space="0" w:color="AAACAF"/>
              <w:bottom w:val="single" w:sz="4" w:space="0" w:color="AAACAF"/>
            </w:tcBorders>
          </w:tcPr>
          <w:p>
            <w:pPr>
              <w:pStyle w:val="TableParagraph"/>
              <w:spacing w:before="98"/>
              <w:ind w:right="571"/>
              <w:jc w:val="right"/>
              <w:rPr>
                <w:rFonts w:ascii="Book Antiqua"/>
                <w:sz w:val="17"/>
              </w:rPr>
            </w:pPr>
            <w:r>
              <w:rPr>
                <w:rFonts w:ascii="Book Antiqua"/>
                <w:color w:val="231F20"/>
                <w:w w:val="95"/>
                <w:sz w:val="17"/>
              </w:rPr>
              <w:t>27,653</w:t>
            </w:r>
          </w:p>
        </w:tc>
        <w:tc>
          <w:tcPr>
            <w:tcW w:w="1793" w:type="dxa"/>
            <w:tcBorders>
              <w:top w:val="single" w:sz="4" w:space="0" w:color="AAACAF"/>
              <w:bottom w:val="single" w:sz="4" w:space="0" w:color="AAACAF"/>
            </w:tcBorders>
          </w:tcPr>
          <w:p>
            <w:pPr>
              <w:pStyle w:val="TableParagraph"/>
              <w:spacing w:before="98"/>
              <w:ind w:left="748"/>
              <w:rPr>
                <w:rFonts w:ascii="Book Antiqua"/>
                <w:sz w:val="17"/>
              </w:rPr>
            </w:pPr>
            <w:r>
              <w:rPr>
                <w:rFonts w:ascii="Book Antiqua"/>
                <w:color w:val="231F20"/>
                <w:sz w:val="17"/>
              </w:rPr>
              <w:t>25,844</w:t>
            </w:r>
          </w:p>
        </w:tc>
        <w:tc>
          <w:tcPr>
            <w:tcW w:w="1762" w:type="dxa"/>
            <w:tcBorders>
              <w:top w:val="single" w:sz="4" w:space="0" w:color="AAACAF"/>
              <w:bottom w:val="single" w:sz="4" w:space="0" w:color="AAACAF"/>
            </w:tcBorders>
          </w:tcPr>
          <w:p>
            <w:pPr>
              <w:pStyle w:val="TableParagraph"/>
              <w:spacing w:before="98"/>
              <w:ind w:right="526"/>
              <w:jc w:val="right"/>
              <w:rPr>
                <w:rFonts w:ascii="Book Antiqua"/>
                <w:sz w:val="17"/>
              </w:rPr>
            </w:pPr>
            <w:r>
              <w:rPr>
                <w:rFonts w:ascii="Book Antiqua"/>
                <w:color w:val="231F20"/>
                <w:sz w:val="17"/>
              </w:rPr>
              <w:t>23, 974</w:t>
            </w:r>
          </w:p>
        </w:tc>
        <w:tc>
          <w:tcPr>
            <w:tcW w:w="1735" w:type="dxa"/>
            <w:tcBorders>
              <w:top w:val="single" w:sz="4" w:space="0" w:color="AAACAF"/>
              <w:bottom w:val="single" w:sz="4" w:space="0" w:color="AAACAF"/>
            </w:tcBorders>
          </w:tcPr>
          <w:p>
            <w:pPr>
              <w:pStyle w:val="TableParagraph"/>
              <w:spacing w:before="98"/>
              <w:ind w:left="702"/>
              <w:rPr>
                <w:rFonts w:ascii="Book Antiqua"/>
                <w:sz w:val="17"/>
              </w:rPr>
            </w:pPr>
            <w:r>
              <w:rPr>
                <w:rFonts w:ascii="Book Antiqua"/>
                <w:color w:val="231F20"/>
                <w:sz w:val="17"/>
              </w:rPr>
              <w:t>22,944</w:t>
            </w:r>
          </w:p>
        </w:tc>
        <w:tc>
          <w:tcPr>
            <w:tcW w:w="1692" w:type="dxa"/>
            <w:tcBorders>
              <w:top w:val="single" w:sz="4" w:space="0" w:color="AAACAF"/>
              <w:bottom w:val="single" w:sz="4" w:space="0" w:color="AAACAF"/>
            </w:tcBorders>
          </w:tcPr>
          <w:p>
            <w:pPr>
              <w:pStyle w:val="TableParagraph"/>
              <w:spacing w:before="98"/>
              <w:ind w:left="748"/>
              <w:rPr>
                <w:rFonts w:ascii="Book Antiqua"/>
                <w:sz w:val="17"/>
              </w:rPr>
            </w:pPr>
            <w:r>
              <w:rPr>
                <w:rFonts w:ascii="Book Antiqua"/>
                <w:color w:val="231F20"/>
                <w:sz w:val="17"/>
              </w:rPr>
              <w:t>19,933</w:t>
            </w:r>
          </w:p>
        </w:tc>
        <w:tc>
          <w:tcPr>
            <w:tcW w:w="1427" w:type="dxa"/>
            <w:tcBorders>
              <w:top w:val="single" w:sz="4" w:space="0" w:color="AAACAF"/>
              <w:bottom w:val="single" w:sz="4" w:space="0" w:color="AAACAF"/>
            </w:tcBorders>
          </w:tcPr>
          <w:p>
            <w:pPr>
              <w:pStyle w:val="TableParagraph"/>
              <w:spacing w:before="98"/>
              <w:ind w:right="274"/>
              <w:jc w:val="right"/>
              <w:rPr>
                <w:rFonts w:ascii="Book Antiqua"/>
                <w:sz w:val="17"/>
              </w:rPr>
            </w:pPr>
            <w:r>
              <w:rPr>
                <w:rFonts w:ascii="Book Antiqua"/>
                <w:color w:val="231F20"/>
                <w:w w:val="95"/>
                <w:sz w:val="17"/>
              </w:rPr>
              <w:t>16,818</w:t>
            </w:r>
          </w:p>
        </w:tc>
      </w:tr>
      <w:tr>
        <w:trPr>
          <w:trHeight w:val="284" w:hRule="exact"/>
        </w:trPr>
        <w:tc>
          <w:tcPr>
            <w:tcW w:w="2079" w:type="dxa"/>
            <w:tcBorders>
              <w:top w:val="single" w:sz="4" w:space="0" w:color="AAACAF"/>
              <w:bottom w:val="single" w:sz="4" w:space="0" w:color="AAACAF"/>
            </w:tcBorders>
          </w:tcPr>
          <w:p>
            <w:pPr>
              <w:pStyle w:val="TableParagraph"/>
              <w:spacing w:before="98"/>
              <w:ind w:right="571"/>
              <w:jc w:val="right"/>
              <w:rPr>
                <w:rFonts w:ascii="Book Antiqua"/>
                <w:sz w:val="17"/>
              </w:rPr>
            </w:pPr>
            <w:r>
              <w:rPr>
                <w:rFonts w:ascii="Book Antiqua"/>
                <w:color w:val="231F20"/>
                <w:sz w:val="17"/>
              </w:rPr>
              <w:t>312</w:t>
            </w:r>
          </w:p>
        </w:tc>
        <w:tc>
          <w:tcPr>
            <w:tcW w:w="1793" w:type="dxa"/>
            <w:tcBorders>
              <w:top w:val="single" w:sz="4" w:space="0" w:color="AAACAF"/>
              <w:bottom w:val="single" w:sz="4" w:space="0" w:color="AAACAF"/>
            </w:tcBorders>
          </w:tcPr>
          <w:p>
            <w:pPr>
              <w:pStyle w:val="TableParagraph"/>
              <w:spacing w:before="98"/>
              <w:ind w:right="576"/>
              <w:jc w:val="right"/>
              <w:rPr>
                <w:rFonts w:ascii="Book Antiqua"/>
                <w:sz w:val="17"/>
              </w:rPr>
            </w:pPr>
            <w:r>
              <w:rPr>
                <w:rFonts w:ascii="Book Antiqua"/>
                <w:color w:val="231F20"/>
                <w:sz w:val="17"/>
              </w:rPr>
              <w:t>280</w:t>
            </w:r>
          </w:p>
        </w:tc>
        <w:tc>
          <w:tcPr>
            <w:tcW w:w="1762" w:type="dxa"/>
            <w:tcBorders>
              <w:top w:val="single" w:sz="4" w:space="0" w:color="AAACAF"/>
              <w:bottom w:val="single" w:sz="4" w:space="0" w:color="AAACAF"/>
            </w:tcBorders>
          </w:tcPr>
          <w:p>
            <w:pPr>
              <w:pStyle w:val="TableParagraph"/>
              <w:spacing w:before="98"/>
              <w:ind w:right="526"/>
              <w:jc w:val="right"/>
              <w:rPr>
                <w:rFonts w:ascii="Book Antiqua"/>
                <w:sz w:val="17"/>
              </w:rPr>
            </w:pPr>
            <w:r>
              <w:rPr>
                <w:rFonts w:ascii="Book Antiqua"/>
                <w:color w:val="231F20"/>
                <w:sz w:val="17"/>
              </w:rPr>
              <w:t>261</w:t>
            </w:r>
          </w:p>
        </w:tc>
        <w:tc>
          <w:tcPr>
            <w:tcW w:w="1735" w:type="dxa"/>
            <w:tcBorders>
              <w:top w:val="single" w:sz="4" w:space="0" w:color="AAACAF"/>
              <w:bottom w:val="single" w:sz="4" w:space="0" w:color="AAACAF"/>
            </w:tcBorders>
          </w:tcPr>
          <w:p>
            <w:pPr>
              <w:pStyle w:val="TableParagraph"/>
              <w:spacing w:before="98"/>
              <w:ind w:right="555"/>
              <w:jc w:val="right"/>
              <w:rPr>
                <w:rFonts w:ascii="Book Antiqua"/>
                <w:sz w:val="17"/>
              </w:rPr>
            </w:pPr>
            <w:r>
              <w:rPr>
                <w:rFonts w:ascii="Book Antiqua"/>
                <w:color w:val="231F20"/>
                <w:sz w:val="17"/>
              </w:rPr>
              <w:t>243</w:t>
            </w:r>
          </w:p>
        </w:tc>
        <w:tc>
          <w:tcPr>
            <w:tcW w:w="1692" w:type="dxa"/>
            <w:tcBorders>
              <w:top w:val="single" w:sz="4" w:space="0" w:color="AAACAF"/>
              <w:bottom w:val="single" w:sz="4" w:space="0" w:color="AAACAF"/>
            </w:tcBorders>
          </w:tcPr>
          <w:p>
            <w:pPr>
              <w:pStyle w:val="TableParagraph"/>
              <w:spacing w:before="98"/>
              <w:ind w:right="508"/>
              <w:jc w:val="right"/>
              <w:rPr>
                <w:rFonts w:ascii="Book Antiqua"/>
                <w:sz w:val="17"/>
              </w:rPr>
            </w:pPr>
            <w:r>
              <w:rPr>
                <w:rFonts w:ascii="Book Antiqua"/>
                <w:color w:val="231F20"/>
                <w:sz w:val="17"/>
              </w:rPr>
              <w:t>224</w:t>
            </w:r>
          </w:p>
        </w:tc>
        <w:tc>
          <w:tcPr>
            <w:tcW w:w="1427" w:type="dxa"/>
            <w:tcBorders>
              <w:top w:val="single" w:sz="4" w:space="0" w:color="AAACAF"/>
              <w:bottom w:val="single" w:sz="4" w:space="0" w:color="AAACAF"/>
            </w:tcBorders>
          </w:tcPr>
          <w:p>
            <w:pPr>
              <w:pStyle w:val="TableParagraph"/>
              <w:spacing w:before="98"/>
              <w:ind w:right="276"/>
              <w:jc w:val="right"/>
              <w:rPr>
                <w:rFonts w:ascii="Book Antiqua"/>
                <w:sz w:val="17"/>
              </w:rPr>
            </w:pPr>
            <w:r>
              <w:rPr>
                <w:rFonts w:ascii="Book Antiqua"/>
                <w:color w:val="231F20"/>
                <w:sz w:val="17"/>
              </w:rPr>
              <w:t>199</w:t>
            </w:r>
          </w:p>
        </w:tc>
      </w:tr>
    </w:tbl>
    <w:p>
      <w:pPr>
        <w:spacing w:after="0"/>
        <w:jc w:val="right"/>
        <w:rPr>
          <w:rFonts w:ascii="Book Antiqua"/>
          <w:sz w:val="17"/>
        </w:rPr>
        <w:sectPr>
          <w:pgSz w:w="12240" w:h="15840"/>
          <w:pgMar w:top="280" w:bottom="280" w:left="760" w:right="340"/>
        </w:sectPr>
      </w:pPr>
    </w:p>
    <w:p>
      <w:pPr>
        <w:tabs>
          <w:tab w:pos="532" w:val="left" w:leader="none"/>
        </w:tabs>
        <w:spacing w:before="77"/>
        <w:ind w:left="112" w:right="0" w:firstLine="0"/>
        <w:jc w:val="left"/>
        <w:rPr>
          <w:rFonts w:ascii="Arial"/>
          <w:sz w:val="12"/>
        </w:rPr>
      </w:pPr>
      <w:r>
        <w:rPr/>
        <w:pict>
          <v:line style="position:absolute;mso-position-horizontal-relative:page;mso-position-vertical-relative:paragraph;z-index:-232744" from="36.605202pt,1.004097pt" to="36.605202pt,19.004097pt" stroked="true" strokeweight=".5pt" strokecolor="#231f20">
            <v:stroke dashstyle="solid"/>
            <w10:wrap type="none"/>
          </v:line>
        </w:pict>
      </w:r>
      <w:r>
        <w:rPr/>
        <w:drawing>
          <wp:anchor distT="0" distB="0" distL="0" distR="0" allowOverlap="1" layoutInCell="1" locked="0" behindDoc="0" simplePos="0" relativeHeight="5680">
            <wp:simplePos x="0" y="0"/>
            <wp:positionH relativeFrom="page">
              <wp:posOffset>2161648</wp:posOffset>
            </wp:positionH>
            <wp:positionV relativeFrom="paragraph">
              <wp:posOffset>28620</wp:posOffset>
            </wp:positionV>
            <wp:extent cx="370521" cy="153417"/>
            <wp:effectExtent l="0" t="0" r="0" b="0"/>
            <wp:wrapNone/>
            <wp:docPr id="81" name="image42.png" descr=""/>
            <wp:cNvGraphicFramePr>
              <a:graphicFrameLocks noChangeAspect="1"/>
            </wp:cNvGraphicFramePr>
            <a:graphic>
              <a:graphicData uri="http://schemas.openxmlformats.org/drawingml/2006/picture">
                <pic:pic>
                  <pic:nvPicPr>
                    <pic:cNvPr id="82" name="image42.png"/>
                    <pic:cNvPicPr/>
                  </pic:nvPicPr>
                  <pic:blipFill>
                    <a:blip r:embed="rId46" cstate="print"/>
                    <a:stretch>
                      <a:fillRect/>
                    </a:stretch>
                  </pic:blipFill>
                  <pic:spPr>
                    <a:xfrm>
                      <a:off x="0" y="0"/>
                      <a:ext cx="370521" cy="153417"/>
                    </a:xfrm>
                    <a:prstGeom prst="rect">
                      <a:avLst/>
                    </a:prstGeom>
                  </pic:spPr>
                </pic:pic>
              </a:graphicData>
            </a:graphic>
          </wp:anchor>
        </w:drawing>
      </w:r>
      <w:bookmarkStart w:name="Corporate Data/Directors and Officers" w:id="17"/>
      <w:bookmarkEnd w:id="17"/>
      <w:r>
        <w:rPr/>
      </w:r>
      <w:r>
        <w:rPr>
          <w:rFonts w:ascii="Arial"/>
          <w:color w:val="231F20"/>
          <w:w w:val="95"/>
          <w:sz w:val="14"/>
        </w:rPr>
        <w:t>16</w:t>
        <w:tab/>
      </w:r>
      <w:r>
        <w:rPr>
          <w:rFonts w:ascii="Arial"/>
          <w:color w:val="231F20"/>
          <w:spacing w:val="9"/>
          <w:w w:val="90"/>
          <w:position w:val="1"/>
          <w:sz w:val="12"/>
        </w:rPr>
        <w:t>Southwest</w:t>
      </w:r>
      <w:r>
        <w:rPr>
          <w:rFonts w:ascii="Arial"/>
          <w:color w:val="231F20"/>
          <w:spacing w:val="-9"/>
          <w:w w:val="90"/>
          <w:position w:val="1"/>
          <w:sz w:val="12"/>
        </w:rPr>
        <w:t> </w:t>
      </w:r>
      <w:r>
        <w:rPr>
          <w:rFonts w:ascii="Arial"/>
          <w:color w:val="231F20"/>
          <w:spacing w:val="9"/>
          <w:w w:val="90"/>
          <w:position w:val="1"/>
          <w:sz w:val="12"/>
        </w:rPr>
        <w:t>Airlines</w:t>
      </w:r>
      <w:r>
        <w:rPr>
          <w:rFonts w:ascii="Arial"/>
          <w:color w:val="231F20"/>
          <w:spacing w:val="-7"/>
          <w:w w:val="90"/>
          <w:position w:val="1"/>
          <w:sz w:val="12"/>
        </w:rPr>
        <w:t> </w:t>
      </w:r>
      <w:r>
        <w:rPr>
          <w:rFonts w:ascii="Arial"/>
          <w:color w:val="231F20"/>
          <w:spacing w:val="7"/>
          <w:w w:val="90"/>
          <w:position w:val="1"/>
          <w:sz w:val="12"/>
        </w:rPr>
        <w:t>Co.</w:t>
      </w:r>
      <w:r>
        <w:rPr>
          <w:rFonts w:ascii="Arial"/>
          <w:color w:val="231F20"/>
          <w:spacing w:val="-9"/>
          <w:w w:val="90"/>
          <w:position w:val="1"/>
          <w:sz w:val="12"/>
        </w:rPr>
        <w:t> </w:t>
      </w:r>
      <w:r>
        <w:rPr>
          <w:rFonts w:ascii="Arial"/>
          <w:color w:val="231F20"/>
          <w:spacing w:val="8"/>
          <w:w w:val="90"/>
          <w:position w:val="1"/>
          <w:sz w:val="12"/>
        </w:rPr>
        <w:t>2003</w:t>
      </w:r>
      <w:r>
        <w:rPr>
          <w:rFonts w:ascii="Arial"/>
          <w:color w:val="231F20"/>
          <w:spacing w:val="-9"/>
          <w:w w:val="90"/>
          <w:position w:val="1"/>
          <w:sz w:val="12"/>
        </w:rPr>
        <w:t> </w:t>
      </w:r>
      <w:r>
        <w:rPr>
          <w:rFonts w:ascii="Arial"/>
          <w:color w:val="231F20"/>
          <w:spacing w:val="9"/>
          <w:w w:val="90"/>
          <w:position w:val="1"/>
          <w:sz w:val="12"/>
        </w:rPr>
        <w:t>Annual</w:t>
      </w:r>
      <w:r>
        <w:rPr>
          <w:rFonts w:ascii="Arial"/>
          <w:color w:val="231F20"/>
          <w:spacing w:val="-7"/>
          <w:w w:val="90"/>
          <w:position w:val="1"/>
          <w:sz w:val="12"/>
        </w:rPr>
        <w:t> </w:t>
      </w:r>
      <w:r>
        <w:rPr>
          <w:rFonts w:ascii="Arial"/>
          <w:color w:val="231F20"/>
          <w:spacing w:val="9"/>
          <w:w w:val="90"/>
          <w:position w:val="1"/>
          <w:sz w:val="12"/>
        </w:rPr>
        <w:t>Report</w:t>
      </w:r>
      <w:r>
        <w:rPr>
          <w:rFonts w:ascii="Arial"/>
          <w:color w:val="231F20"/>
          <w:spacing w:val="-22"/>
          <w:position w:val="1"/>
          <w:sz w:val="12"/>
        </w:rPr>
        <w:t> </w:t>
      </w:r>
    </w:p>
    <w:p>
      <w:pPr>
        <w:pStyle w:val="BodyText"/>
        <w:spacing w:before="7"/>
        <w:rPr>
          <w:rFonts w:ascii="Arial"/>
          <w:sz w:val="23"/>
        </w:rPr>
      </w:pPr>
    </w:p>
    <w:p>
      <w:pPr>
        <w:spacing w:after="0"/>
        <w:rPr>
          <w:rFonts w:ascii="Arial"/>
          <w:sz w:val="23"/>
        </w:rPr>
        <w:sectPr>
          <w:pgSz w:w="12240" w:h="15840"/>
          <w:pgMar w:top="280" w:bottom="280" w:left="380" w:right="840"/>
        </w:sectPr>
      </w:pPr>
    </w:p>
    <w:p>
      <w:pPr>
        <w:spacing w:before="94"/>
        <w:ind w:left="540" w:right="0" w:firstLine="0"/>
        <w:jc w:val="left"/>
        <w:rPr>
          <w:rFonts w:ascii="Book Antiqua"/>
          <w:sz w:val="16"/>
        </w:rPr>
      </w:pPr>
      <w:r>
        <w:rPr>
          <w:rFonts w:ascii="Book Antiqua"/>
          <w:color w:val="231F20"/>
          <w:w w:val="105"/>
          <w:sz w:val="16"/>
        </w:rPr>
        <w:t>CORPORATE DATA</w:t>
      </w:r>
    </w:p>
    <w:p>
      <w:pPr>
        <w:spacing w:before="152"/>
        <w:ind w:left="542" w:right="0" w:firstLine="0"/>
        <w:jc w:val="left"/>
        <w:rPr>
          <w:rFonts w:ascii="Book Antiqua"/>
          <w:sz w:val="16"/>
        </w:rPr>
      </w:pPr>
      <w:r>
        <w:rPr>
          <w:rFonts w:ascii="Book Antiqua"/>
          <w:color w:val="231F20"/>
          <w:sz w:val="16"/>
        </w:rPr>
        <w:t>TRANSFER AGENT AND REGISTRAR</w:t>
      </w:r>
    </w:p>
    <w:p>
      <w:pPr>
        <w:spacing w:before="89"/>
        <w:ind w:left="542" w:right="0" w:firstLine="0"/>
        <w:jc w:val="left"/>
        <w:rPr>
          <w:rFonts w:ascii="Book Antiqua"/>
          <w:sz w:val="16"/>
        </w:rPr>
      </w:pPr>
      <w:r>
        <w:rPr>
          <w:rFonts w:ascii="Book Antiqua"/>
          <w:color w:val="231F20"/>
          <w:sz w:val="16"/>
        </w:rPr>
        <w:t>Registered shareholder inquiries regarding stock transfers, address changes, lost stock certificates, dividend payments, or account consolidation should be directed to:</w:t>
      </w:r>
    </w:p>
    <w:p>
      <w:pPr>
        <w:pStyle w:val="BodyText"/>
        <w:spacing w:before="8"/>
        <w:rPr>
          <w:rFonts w:ascii="Book Antiqua"/>
          <w:sz w:val="25"/>
        </w:rPr>
      </w:pPr>
    </w:p>
    <w:p>
      <w:pPr>
        <w:spacing w:line="348" w:lineRule="auto" w:before="0"/>
        <w:ind w:left="542" w:right="-11" w:firstLine="0"/>
        <w:jc w:val="left"/>
        <w:rPr>
          <w:rFonts w:ascii="Book Antiqua"/>
          <w:sz w:val="16"/>
        </w:rPr>
      </w:pPr>
      <w:r>
        <w:rPr>
          <w:rFonts w:ascii="Book Antiqua"/>
          <w:color w:val="231F20"/>
          <w:sz w:val="16"/>
        </w:rPr>
        <w:t>Continental</w:t>
      </w:r>
      <w:r>
        <w:rPr>
          <w:rFonts w:ascii="Book Antiqua"/>
          <w:color w:val="231F20"/>
          <w:spacing w:val="-15"/>
          <w:sz w:val="16"/>
        </w:rPr>
        <w:t> </w:t>
      </w:r>
      <w:r>
        <w:rPr>
          <w:rFonts w:ascii="Book Antiqua"/>
          <w:color w:val="231F20"/>
          <w:sz w:val="16"/>
        </w:rPr>
        <w:t>Stock</w:t>
      </w:r>
      <w:r>
        <w:rPr>
          <w:rFonts w:ascii="Book Antiqua"/>
          <w:color w:val="231F20"/>
          <w:spacing w:val="-23"/>
          <w:sz w:val="16"/>
        </w:rPr>
        <w:t> </w:t>
      </w:r>
      <w:r>
        <w:rPr>
          <w:rFonts w:ascii="Book Antiqua"/>
          <w:color w:val="231F20"/>
          <w:sz w:val="16"/>
        </w:rPr>
        <w:t>Transfer</w:t>
      </w:r>
      <w:r>
        <w:rPr>
          <w:rFonts w:ascii="Book Antiqua"/>
          <w:color w:val="231F20"/>
          <w:spacing w:val="-19"/>
          <w:sz w:val="16"/>
        </w:rPr>
        <w:t> </w:t>
      </w:r>
      <w:r>
        <w:rPr>
          <w:rFonts w:ascii="Book Antiqua"/>
          <w:color w:val="231F20"/>
          <w:sz w:val="16"/>
        </w:rPr>
        <w:t>&amp;</w:t>
      </w:r>
      <w:r>
        <w:rPr>
          <w:rFonts w:ascii="Book Antiqua"/>
          <w:color w:val="231F20"/>
          <w:spacing w:val="-20"/>
          <w:sz w:val="16"/>
        </w:rPr>
        <w:t> </w:t>
      </w:r>
      <w:r>
        <w:rPr>
          <w:rFonts w:ascii="Book Antiqua"/>
          <w:color w:val="231F20"/>
          <w:sz w:val="16"/>
        </w:rPr>
        <w:t>Trust</w:t>
      </w:r>
      <w:r>
        <w:rPr>
          <w:rFonts w:ascii="Book Antiqua"/>
          <w:color w:val="231F20"/>
          <w:spacing w:val="-18"/>
          <w:sz w:val="16"/>
        </w:rPr>
        <w:t> </w:t>
      </w:r>
      <w:r>
        <w:rPr>
          <w:rFonts w:ascii="Book Antiqua"/>
          <w:color w:val="231F20"/>
          <w:sz w:val="16"/>
        </w:rPr>
        <w:t>Company </w:t>
      </w:r>
      <w:r>
        <w:rPr>
          <w:rFonts w:ascii="Book Antiqua"/>
          <w:color w:val="231F20"/>
          <w:spacing w:val="-4"/>
          <w:sz w:val="16"/>
        </w:rPr>
        <w:t>17 </w:t>
      </w:r>
      <w:r>
        <w:rPr>
          <w:rFonts w:ascii="Book Antiqua"/>
          <w:color w:val="231F20"/>
          <w:spacing w:val="2"/>
          <w:sz w:val="16"/>
        </w:rPr>
        <w:t>Battery</w:t>
      </w:r>
      <w:r>
        <w:rPr>
          <w:rFonts w:ascii="Book Antiqua"/>
          <w:color w:val="231F20"/>
          <w:spacing w:val="-29"/>
          <w:sz w:val="16"/>
        </w:rPr>
        <w:t> </w:t>
      </w:r>
      <w:r>
        <w:rPr>
          <w:rFonts w:ascii="Book Antiqua"/>
          <w:color w:val="231F20"/>
          <w:sz w:val="16"/>
        </w:rPr>
        <w:t>Place</w:t>
      </w:r>
    </w:p>
    <w:p>
      <w:pPr>
        <w:spacing w:line="348" w:lineRule="auto" w:before="0"/>
        <w:ind w:left="542" w:right="1146" w:firstLine="0"/>
        <w:jc w:val="left"/>
        <w:rPr>
          <w:rFonts w:ascii="Book Antiqua"/>
          <w:sz w:val="16"/>
        </w:rPr>
      </w:pPr>
      <w:r>
        <w:rPr>
          <w:rFonts w:ascii="Book Antiqua"/>
          <w:color w:val="231F20"/>
          <w:sz w:val="16"/>
        </w:rPr>
        <w:t>New York, New </w:t>
      </w:r>
      <w:r>
        <w:rPr>
          <w:rFonts w:ascii="Book Antiqua"/>
          <w:color w:val="231F20"/>
          <w:spacing w:val="-3"/>
          <w:sz w:val="16"/>
        </w:rPr>
        <w:t>York </w:t>
      </w:r>
      <w:r>
        <w:rPr>
          <w:rFonts w:ascii="Book Antiqua"/>
          <w:color w:val="231F20"/>
          <w:sz w:val="16"/>
        </w:rPr>
        <w:t>10004 (212) </w:t>
      </w:r>
      <w:r>
        <w:rPr>
          <w:rFonts w:ascii="Book Antiqua"/>
          <w:color w:val="231F20"/>
          <w:spacing w:val="2"/>
          <w:sz w:val="16"/>
        </w:rPr>
        <w:t>509-4000</w:t>
      </w:r>
    </w:p>
    <w:p>
      <w:pPr>
        <w:pStyle w:val="BodyText"/>
        <w:spacing w:before="5"/>
        <w:rPr>
          <w:rFonts w:ascii="Book Antiqua"/>
          <w:sz w:val="18"/>
        </w:rPr>
      </w:pPr>
    </w:p>
    <w:p>
      <w:pPr>
        <w:spacing w:before="1"/>
        <w:ind w:left="542" w:right="0" w:firstLine="0"/>
        <w:jc w:val="left"/>
        <w:rPr>
          <w:rFonts w:ascii="Book Antiqua"/>
          <w:sz w:val="16"/>
        </w:rPr>
      </w:pPr>
      <w:r>
        <w:rPr>
          <w:rFonts w:ascii="Book Antiqua"/>
          <w:color w:val="231F20"/>
          <w:sz w:val="16"/>
        </w:rPr>
        <w:t>STOCK EXCHANGE  LISTING</w:t>
      </w:r>
    </w:p>
    <w:p>
      <w:pPr>
        <w:spacing w:line="348" w:lineRule="auto" w:before="90"/>
        <w:ind w:left="542" w:right="1234" w:firstLine="0"/>
        <w:jc w:val="left"/>
        <w:rPr>
          <w:rFonts w:ascii="Book Antiqua"/>
          <w:sz w:val="16"/>
        </w:rPr>
      </w:pPr>
      <w:r>
        <w:rPr>
          <w:rFonts w:ascii="Book Antiqua"/>
          <w:color w:val="231F20"/>
          <w:sz w:val="16"/>
        </w:rPr>
        <w:t>New York Stock Exchange Ticker Symbol: LUV</w:t>
      </w:r>
    </w:p>
    <w:p>
      <w:pPr>
        <w:pStyle w:val="BodyText"/>
        <w:rPr>
          <w:rFonts w:ascii="Book Antiqua"/>
          <w:sz w:val="18"/>
        </w:rPr>
      </w:pPr>
      <w:r>
        <w:rPr/>
        <w:br w:type="column"/>
      </w:r>
      <w:r>
        <w:rPr>
          <w:rFonts w:ascii="Book Antiqua"/>
          <w:sz w:val="18"/>
        </w:rPr>
      </w:r>
    </w:p>
    <w:p>
      <w:pPr>
        <w:pStyle w:val="BodyText"/>
        <w:spacing w:before="10"/>
        <w:rPr>
          <w:rFonts w:ascii="Book Antiqua"/>
          <w:sz w:val="17"/>
        </w:rPr>
      </w:pPr>
    </w:p>
    <w:p>
      <w:pPr>
        <w:spacing w:before="0"/>
        <w:ind w:left="370" w:right="0" w:firstLine="0"/>
        <w:jc w:val="left"/>
        <w:rPr>
          <w:rFonts w:ascii="Book Antiqua"/>
          <w:sz w:val="16"/>
        </w:rPr>
      </w:pPr>
      <w:r>
        <w:rPr>
          <w:rFonts w:ascii="Book Antiqua"/>
          <w:color w:val="231F20"/>
          <w:sz w:val="16"/>
        </w:rPr>
        <w:t>INDEPENDENT AUDITORS</w:t>
      </w:r>
    </w:p>
    <w:p>
      <w:pPr>
        <w:spacing w:line="348" w:lineRule="auto" w:before="90"/>
        <w:ind w:left="370" w:right="1476" w:firstLine="0"/>
        <w:jc w:val="left"/>
        <w:rPr>
          <w:rFonts w:ascii="Book Antiqua"/>
          <w:sz w:val="16"/>
        </w:rPr>
      </w:pPr>
      <w:r>
        <w:rPr>
          <w:rFonts w:ascii="Book Antiqua"/>
          <w:color w:val="231F20"/>
          <w:sz w:val="16"/>
        </w:rPr>
        <w:t>Ernst &amp; Young LLP </w:t>
      </w:r>
      <w:r>
        <w:rPr>
          <w:rFonts w:ascii="Book Antiqua"/>
          <w:color w:val="231F20"/>
          <w:w w:val="95"/>
          <w:sz w:val="16"/>
        </w:rPr>
        <w:t>Dallas, Texas</w:t>
      </w:r>
    </w:p>
    <w:p>
      <w:pPr>
        <w:pStyle w:val="BodyText"/>
        <w:spacing w:before="6"/>
        <w:rPr>
          <w:rFonts w:ascii="Book Antiqua"/>
          <w:sz w:val="18"/>
        </w:rPr>
      </w:pPr>
    </w:p>
    <w:p>
      <w:pPr>
        <w:spacing w:before="0"/>
        <w:ind w:left="370" w:right="0" w:firstLine="0"/>
        <w:jc w:val="left"/>
        <w:rPr>
          <w:rFonts w:ascii="Book Antiqua"/>
          <w:sz w:val="16"/>
        </w:rPr>
      </w:pPr>
      <w:r>
        <w:rPr>
          <w:rFonts w:ascii="Book Antiqua"/>
          <w:color w:val="231F20"/>
          <w:sz w:val="16"/>
        </w:rPr>
        <w:t>GENERAL OFFICES</w:t>
      </w:r>
    </w:p>
    <w:p>
      <w:pPr>
        <w:spacing w:before="89"/>
        <w:ind w:left="370" w:right="0" w:firstLine="0"/>
        <w:jc w:val="left"/>
        <w:rPr>
          <w:rFonts w:ascii="Book Antiqua"/>
          <w:sz w:val="16"/>
        </w:rPr>
      </w:pPr>
      <w:r>
        <w:rPr>
          <w:rFonts w:ascii="Book Antiqua"/>
          <w:color w:val="231F20"/>
          <w:sz w:val="16"/>
        </w:rPr>
        <w:t>P.O. Box 36611</w:t>
      </w:r>
    </w:p>
    <w:p>
      <w:pPr>
        <w:spacing w:before="89"/>
        <w:ind w:left="370" w:right="0" w:firstLine="0"/>
        <w:jc w:val="left"/>
        <w:rPr>
          <w:rFonts w:ascii="Book Antiqua"/>
          <w:sz w:val="16"/>
        </w:rPr>
      </w:pPr>
      <w:r>
        <w:rPr>
          <w:rFonts w:ascii="Book Antiqua"/>
          <w:color w:val="231F20"/>
          <w:sz w:val="16"/>
        </w:rPr>
        <w:t>Dallas, Texas 75235-1611</w:t>
      </w:r>
    </w:p>
    <w:p>
      <w:pPr>
        <w:pStyle w:val="BodyText"/>
        <w:spacing w:before="8"/>
        <w:rPr>
          <w:rFonts w:ascii="Book Antiqua"/>
          <w:sz w:val="25"/>
        </w:rPr>
      </w:pPr>
    </w:p>
    <w:p>
      <w:pPr>
        <w:spacing w:before="0"/>
        <w:ind w:left="370" w:right="0" w:firstLine="0"/>
        <w:jc w:val="left"/>
        <w:rPr>
          <w:rFonts w:ascii="Book Antiqua"/>
          <w:sz w:val="16"/>
        </w:rPr>
      </w:pPr>
      <w:r>
        <w:rPr>
          <w:rFonts w:ascii="Book Antiqua"/>
          <w:color w:val="231F20"/>
          <w:sz w:val="16"/>
        </w:rPr>
        <w:t>ANNUAL MEETING</w:t>
      </w:r>
    </w:p>
    <w:p>
      <w:pPr>
        <w:spacing w:before="90"/>
        <w:ind w:left="370" w:right="-7" w:firstLine="0"/>
        <w:jc w:val="left"/>
        <w:rPr>
          <w:rFonts w:ascii="Book Antiqua"/>
          <w:sz w:val="16"/>
        </w:rPr>
      </w:pPr>
      <w:r>
        <w:rPr>
          <w:rFonts w:ascii="Book Antiqua"/>
          <w:color w:val="231F20"/>
          <w:sz w:val="16"/>
        </w:rPr>
        <w:t>The Annual Meeting of Shareholders of Southwest</w:t>
      </w:r>
      <w:r>
        <w:rPr>
          <w:rFonts w:ascii="Book Antiqua"/>
          <w:color w:val="231F20"/>
          <w:spacing w:val="-23"/>
          <w:sz w:val="16"/>
        </w:rPr>
        <w:t> </w:t>
      </w:r>
      <w:r>
        <w:rPr>
          <w:rFonts w:ascii="Book Antiqua"/>
          <w:color w:val="231F20"/>
          <w:sz w:val="16"/>
        </w:rPr>
        <w:t>Airlines</w:t>
      </w:r>
      <w:r>
        <w:rPr>
          <w:rFonts w:ascii="Book Antiqua"/>
          <w:color w:val="231F20"/>
          <w:spacing w:val="-15"/>
          <w:sz w:val="16"/>
        </w:rPr>
        <w:t> </w:t>
      </w:r>
      <w:r>
        <w:rPr>
          <w:rFonts w:ascii="Book Antiqua"/>
          <w:color w:val="231F20"/>
          <w:sz w:val="16"/>
        </w:rPr>
        <w:t>Co.</w:t>
      </w:r>
      <w:r>
        <w:rPr>
          <w:rFonts w:ascii="Book Antiqua"/>
          <w:color w:val="231F20"/>
          <w:spacing w:val="-17"/>
          <w:sz w:val="16"/>
        </w:rPr>
        <w:t> </w:t>
      </w:r>
      <w:r>
        <w:rPr>
          <w:rFonts w:ascii="Book Antiqua"/>
          <w:color w:val="231F20"/>
          <w:sz w:val="16"/>
        </w:rPr>
        <w:t>will</w:t>
      </w:r>
      <w:r>
        <w:rPr>
          <w:rFonts w:ascii="Book Antiqua"/>
          <w:color w:val="231F20"/>
          <w:spacing w:val="-15"/>
          <w:sz w:val="16"/>
        </w:rPr>
        <w:t> </w:t>
      </w:r>
      <w:r>
        <w:rPr>
          <w:rFonts w:ascii="Book Antiqua"/>
          <w:color w:val="231F20"/>
          <w:sz w:val="16"/>
        </w:rPr>
        <w:t>be</w:t>
      </w:r>
      <w:r>
        <w:rPr>
          <w:rFonts w:ascii="Book Antiqua"/>
          <w:color w:val="231F20"/>
          <w:spacing w:val="-15"/>
          <w:sz w:val="16"/>
        </w:rPr>
        <w:t> </w:t>
      </w:r>
      <w:r>
        <w:rPr>
          <w:rFonts w:ascii="Book Antiqua"/>
          <w:color w:val="231F20"/>
          <w:sz w:val="16"/>
        </w:rPr>
        <w:t>held</w:t>
      </w:r>
      <w:r>
        <w:rPr>
          <w:rFonts w:ascii="Book Antiqua"/>
          <w:color w:val="231F20"/>
          <w:spacing w:val="-15"/>
          <w:sz w:val="16"/>
        </w:rPr>
        <w:t> </w:t>
      </w:r>
      <w:r>
        <w:rPr>
          <w:rFonts w:ascii="Book Antiqua"/>
          <w:color w:val="231F20"/>
          <w:sz w:val="16"/>
        </w:rPr>
        <w:t>at</w:t>
      </w:r>
      <w:r>
        <w:rPr>
          <w:rFonts w:ascii="Book Antiqua"/>
          <w:color w:val="231F20"/>
          <w:spacing w:val="-18"/>
          <w:sz w:val="16"/>
        </w:rPr>
        <w:t> </w:t>
      </w:r>
      <w:r>
        <w:rPr>
          <w:rFonts w:ascii="Book Antiqua"/>
          <w:color w:val="231F20"/>
          <w:sz w:val="16"/>
        </w:rPr>
        <w:t>10:00</w:t>
      </w:r>
      <w:r>
        <w:rPr>
          <w:rFonts w:ascii="Book Antiqua"/>
          <w:color w:val="231F20"/>
          <w:spacing w:val="-15"/>
          <w:sz w:val="16"/>
        </w:rPr>
        <w:t> </w:t>
      </w:r>
      <w:r>
        <w:rPr>
          <w:rFonts w:ascii="Book Antiqua"/>
          <w:color w:val="231F20"/>
          <w:sz w:val="16"/>
        </w:rPr>
        <w:t>a.m. on May </w:t>
      </w:r>
      <w:r>
        <w:rPr>
          <w:rFonts w:ascii="Book Antiqua"/>
          <w:color w:val="231F20"/>
          <w:spacing w:val="-4"/>
          <w:sz w:val="16"/>
        </w:rPr>
        <w:t>19, </w:t>
      </w:r>
      <w:r>
        <w:rPr>
          <w:rFonts w:ascii="Book Antiqua"/>
          <w:color w:val="231F20"/>
          <w:sz w:val="16"/>
        </w:rPr>
        <w:t>2004, at the Southwest Airlines Corporate</w:t>
      </w:r>
      <w:r>
        <w:rPr>
          <w:rFonts w:ascii="Book Antiqua"/>
          <w:color w:val="231F20"/>
          <w:spacing w:val="-23"/>
          <w:sz w:val="16"/>
        </w:rPr>
        <w:t> </w:t>
      </w:r>
      <w:r>
        <w:rPr>
          <w:rFonts w:ascii="Book Antiqua"/>
          <w:color w:val="231F20"/>
          <w:sz w:val="16"/>
        </w:rPr>
        <w:t>Headquarters,</w:t>
      </w:r>
      <w:r>
        <w:rPr>
          <w:rFonts w:ascii="Book Antiqua"/>
          <w:color w:val="231F20"/>
          <w:spacing w:val="-25"/>
          <w:sz w:val="16"/>
        </w:rPr>
        <w:t> </w:t>
      </w:r>
      <w:r>
        <w:rPr>
          <w:rFonts w:ascii="Book Antiqua"/>
          <w:color w:val="231F20"/>
          <w:sz w:val="16"/>
        </w:rPr>
        <w:t>2702</w:t>
      </w:r>
      <w:r>
        <w:rPr>
          <w:rFonts w:ascii="Book Antiqua"/>
          <w:color w:val="231F20"/>
          <w:spacing w:val="-25"/>
          <w:sz w:val="16"/>
        </w:rPr>
        <w:t> </w:t>
      </w:r>
      <w:r>
        <w:rPr>
          <w:rFonts w:ascii="Book Antiqua"/>
          <w:color w:val="231F20"/>
          <w:sz w:val="16"/>
        </w:rPr>
        <w:t>Love</w:t>
      </w:r>
      <w:r>
        <w:rPr>
          <w:rFonts w:ascii="Book Antiqua"/>
          <w:color w:val="231F20"/>
          <w:spacing w:val="-23"/>
          <w:sz w:val="16"/>
        </w:rPr>
        <w:t> </w:t>
      </w:r>
      <w:r>
        <w:rPr>
          <w:rFonts w:ascii="Book Antiqua"/>
          <w:color w:val="231F20"/>
          <w:sz w:val="16"/>
        </w:rPr>
        <w:t>Field</w:t>
      </w:r>
      <w:r>
        <w:rPr>
          <w:rFonts w:ascii="Book Antiqua"/>
          <w:color w:val="231F20"/>
          <w:spacing w:val="-23"/>
          <w:sz w:val="16"/>
        </w:rPr>
        <w:t> </w:t>
      </w:r>
      <w:r>
        <w:rPr>
          <w:rFonts w:ascii="Book Antiqua"/>
          <w:color w:val="231F20"/>
          <w:sz w:val="16"/>
        </w:rPr>
        <w:t>Drive, </w:t>
      </w:r>
      <w:r>
        <w:rPr>
          <w:rFonts w:ascii="Book Antiqua"/>
          <w:color w:val="231F20"/>
          <w:w w:val="95"/>
          <w:sz w:val="16"/>
        </w:rPr>
        <w:t>Dallas,</w:t>
      </w:r>
      <w:r>
        <w:rPr>
          <w:rFonts w:ascii="Book Antiqua"/>
          <w:color w:val="231F20"/>
          <w:spacing w:val="-7"/>
          <w:w w:val="95"/>
          <w:sz w:val="16"/>
        </w:rPr>
        <w:t> </w:t>
      </w:r>
      <w:r>
        <w:rPr>
          <w:rFonts w:ascii="Book Antiqua"/>
          <w:color w:val="231F20"/>
          <w:w w:val="95"/>
          <w:sz w:val="16"/>
        </w:rPr>
        <w:t>Texas.</w:t>
      </w:r>
    </w:p>
    <w:p>
      <w:pPr>
        <w:pStyle w:val="BodyText"/>
        <w:rPr>
          <w:rFonts w:ascii="Book Antiqua"/>
          <w:sz w:val="18"/>
        </w:rPr>
      </w:pPr>
      <w:r>
        <w:rPr/>
        <w:br w:type="column"/>
      </w:r>
      <w:r>
        <w:rPr>
          <w:rFonts w:ascii="Book Antiqua"/>
          <w:sz w:val="18"/>
        </w:rPr>
      </w:r>
    </w:p>
    <w:p>
      <w:pPr>
        <w:pStyle w:val="BodyText"/>
        <w:spacing w:before="10"/>
        <w:rPr>
          <w:rFonts w:ascii="Book Antiqua"/>
          <w:sz w:val="17"/>
        </w:rPr>
      </w:pPr>
    </w:p>
    <w:p>
      <w:pPr>
        <w:spacing w:before="0"/>
        <w:ind w:left="199" w:right="0" w:firstLine="0"/>
        <w:jc w:val="left"/>
        <w:rPr>
          <w:rFonts w:ascii="Book Antiqua"/>
          <w:sz w:val="16"/>
        </w:rPr>
      </w:pPr>
      <w:r>
        <w:rPr>
          <w:rFonts w:ascii="Book Antiqua"/>
          <w:color w:val="231F20"/>
          <w:sz w:val="16"/>
        </w:rPr>
        <w:t>FINANCIAL INFORMATION</w:t>
      </w:r>
    </w:p>
    <w:p>
      <w:pPr>
        <w:spacing w:before="90"/>
        <w:ind w:left="199" w:right="0" w:firstLine="0"/>
        <w:jc w:val="left"/>
        <w:rPr>
          <w:rFonts w:ascii="Book Antiqua" w:hAnsi="Book Antiqua"/>
          <w:sz w:val="16"/>
        </w:rPr>
      </w:pPr>
      <w:r>
        <w:rPr>
          <w:rFonts w:ascii="Book Antiqua" w:hAnsi="Book Antiqua"/>
          <w:color w:val="231F20"/>
          <w:sz w:val="16"/>
        </w:rPr>
        <w:t>A copy of the Company’s Annual Report</w:t>
      </w:r>
    </w:p>
    <w:p>
      <w:pPr>
        <w:spacing w:before="1"/>
        <w:ind w:left="199" w:right="98" w:firstLine="0"/>
        <w:jc w:val="left"/>
        <w:rPr>
          <w:rFonts w:ascii="Book Antiqua" w:hAnsi="Book Antiqua"/>
          <w:sz w:val="16"/>
        </w:rPr>
      </w:pPr>
      <w:r>
        <w:rPr>
          <w:rFonts w:ascii="Book Antiqua" w:hAnsi="Book Antiqua"/>
          <w:color w:val="231F20"/>
          <w:sz w:val="16"/>
        </w:rPr>
        <w:t>on Form 10-K as </w:t>
      </w:r>
      <w:r>
        <w:rPr>
          <w:rFonts w:ascii="Book Antiqua" w:hAnsi="Book Antiqua"/>
          <w:color w:val="231F20"/>
          <w:spacing w:val="2"/>
          <w:sz w:val="16"/>
        </w:rPr>
        <w:t>filed </w:t>
      </w:r>
      <w:r>
        <w:rPr>
          <w:rFonts w:ascii="Book Antiqua" w:hAnsi="Book Antiqua"/>
          <w:color w:val="231F20"/>
          <w:sz w:val="16"/>
        </w:rPr>
        <w:t>with the U.S. Securities and Exchange Commission (SEC) and other </w:t>
      </w:r>
      <w:r>
        <w:rPr>
          <w:rFonts w:ascii="Book Antiqua" w:hAnsi="Book Antiqua"/>
          <w:color w:val="231F20"/>
          <w:w w:val="95"/>
          <w:sz w:val="16"/>
        </w:rPr>
        <w:t>financial </w:t>
      </w:r>
      <w:r>
        <w:rPr>
          <w:rFonts w:ascii="Book Antiqua" w:hAnsi="Book Antiqua"/>
          <w:color w:val="231F20"/>
          <w:spacing w:val="-3"/>
          <w:w w:val="95"/>
          <w:sz w:val="16"/>
        </w:rPr>
        <w:t>information </w:t>
      </w:r>
      <w:r>
        <w:rPr>
          <w:rFonts w:ascii="Book Antiqua" w:hAnsi="Book Antiqua"/>
          <w:color w:val="231F20"/>
          <w:w w:val="95"/>
          <w:sz w:val="16"/>
        </w:rPr>
        <w:t>can be </w:t>
      </w:r>
      <w:r>
        <w:rPr>
          <w:rFonts w:ascii="Book Antiqua" w:hAnsi="Book Antiqua"/>
          <w:color w:val="231F20"/>
          <w:spacing w:val="-3"/>
          <w:w w:val="95"/>
          <w:sz w:val="16"/>
        </w:rPr>
        <w:t>found </w:t>
      </w:r>
      <w:r>
        <w:rPr>
          <w:rFonts w:ascii="Book Antiqua" w:hAnsi="Book Antiqua"/>
          <w:color w:val="231F20"/>
          <w:w w:val="95"/>
          <w:sz w:val="16"/>
        </w:rPr>
        <w:t>on </w:t>
      </w:r>
      <w:r>
        <w:rPr>
          <w:rFonts w:ascii="Book Antiqua" w:hAnsi="Book Antiqua"/>
          <w:color w:val="231F20"/>
          <w:spacing w:val="-5"/>
          <w:w w:val="95"/>
          <w:sz w:val="16"/>
        </w:rPr>
        <w:t>Southwest’s </w:t>
      </w:r>
      <w:r>
        <w:rPr>
          <w:rFonts w:ascii="Book Antiqua" w:hAnsi="Book Antiqua"/>
          <w:color w:val="231F20"/>
          <w:sz w:val="16"/>
        </w:rPr>
        <w:t>web site (southwest.com) or may be obtained </w:t>
      </w:r>
      <w:r>
        <w:rPr>
          <w:rFonts w:ascii="Book Antiqua" w:hAnsi="Book Antiqua"/>
          <w:color w:val="231F20"/>
          <w:w w:val="95"/>
          <w:sz w:val="16"/>
        </w:rPr>
        <w:t>without charge by writing or calling:</w:t>
      </w:r>
    </w:p>
    <w:p>
      <w:pPr>
        <w:pStyle w:val="BodyText"/>
        <w:spacing w:before="8"/>
        <w:rPr>
          <w:rFonts w:ascii="Book Antiqua"/>
          <w:sz w:val="25"/>
        </w:rPr>
      </w:pPr>
    </w:p>
    <w:p>
      <w:pPr>
        <w:spacing w:line="348" w:lineRule="auto" w:before="0"/>
        <w:ind w:left="199" w:right="1831" w:firstLine="0"/>
        <w:jc w:val="left"/>
        <w:rPr>
          <w:rFonts w:ascii="Book Antiqua"/>
          <w:sz w:val="16"/>
        </w:rPr>
      </w:pPr>
      <w:r>
        <w:rPr>
          <w:rFonts w:ascii="Book Antiqua"/>
          <w:color w:val="231F20"/>
          <w:w w:val="95"/>
          <w:sz w:val="16"/>
        </w:rPr>
        <w:t>Southwest Airlines Co. Investor Relations</w:t>
      </w:r>
    </w:p>
    <w:p>
      <w:pPr>
        <w:spacing w:before="0"/>
        <w:ind w:left="199" w:right="0" w:firstLine="0"/>
        <w:jc w:val="left"/>
        <w:rPr>
          <w:rFonts w:ascii="Book Antiqua"/>
          <w:sz w:val="16"/>
        </w:rPr>
      </w:pPr>
      <w:r>
        <w:rPr>
          <w:rFonts w:ascii="Book Antiqua"/>
          <w:color w:val="231F20"/>
          <w:sz w:val="16"/>
        </w:rPr>
        <w:t>P.O. Box 36611</w:t>
      </w:r>
    </w:p>
    <w:p>
      <w:pPr>
        <w:spacing w:before="90"/>
        <w:ind w:left="199" w:right="0" w:firstLine="0"/>
        <w:jc w:val="left"/>
        <w:rPr>
          <w:rFonts w:ascii="Book Antiqua"/>
          <w:sz w:val="16"/>
        </w:rPr>
      </w:pPr>
      <w:r>
        <w:rPr>
          <w:rFonts w:ascii="Book Antiqua"/>
          <w:color w:val="231F20"/>
          <w:sz w:val="16"/>
        </w:rPr>
        <w:t>Dallas, Texas 75235-1611</w:t>
      </w:r>
    </w:p>
    <w:p>
      <w:pPr>
        <w:spacing w:before="90"/>
        <w:ind w:left="199" w:right="0" w:firstLine="0"/>
        <w:jc w:val="left"/>
        <w:rPr>
          <w:rFonts w:ascii="Book Antiqua"/>
          <w:sz w:val="16"/>
        </w:rPr>
      </w:pPr>
      <w:r>
        <w:rPr>
          <w:rFonts w:ascii="Book Antiqua"/>
          <w:color w:val="231F20"/>
          <w:sz w:val="16"/>
        </w:rPr>
        <w:t>Telephone (214) 792-4908</w:t>
      </w:r>
    </w:p>
    <w:p>
      <w:pPr>
        <w:spacing w:after="0"/>
        <w:jc w:val="left"/>
        <w:rPr>
          <w:rFonts w:ascii="Book Antiqua"/>
          <w:sz w:val="16"/>
        </w:rPr>
        <w:sectPr>
          <w:type w:val="continuous"/>
          <w:pgSz w:w="12240" w:h="15840"/>
          <w:pgMar w:top="320" w:bottom="280" w:left="380" w:right="840"/>
          <w:cols w:num="3" w:equalWidth="0">
            <w:col w:w="3672" w:space="40"/>
            <w:col w:w="3670" w:space="40"/>
            <w:col w:w="3598"/>
          </w:cols>
        </w:sectPr>
      </w:pPr>
    </w:p>
    <w:p>
      <w:pPr>
        <w:pStyle w:val="BodyText"/>
        <w:spacing w:before="10"/>
        <w:rPr>
          <w:rFonts w:ascii="Book Antiqua"/>
          <w:sz w:val="19"/>
        </w:rPr>
      </w:pPr>
    </w:p>
    <w:p>
      <w:pPr>
        <w:spacing w:after="0"/>
        <w:rPr>
          <w:rFonts w:ascii="Book Antiqua"/>
          <w:sz w:val="19"/>
        </w:rPr>
        <w:sectPr>
          <w:type w:val="continuous"/>
          <w:pgSz w:w="12240" w:h="15840"/>
          <w:pgMar w:top="320" w:bottom="280" w:left="380" w:right="840"/>
        </w:sectPr>
      </w:pPr>
    </w:p>
    <w:p>
      <w:pPr>
        <w:spacing w:before="94"/>
        <w:ind w:left="541" w:right="0" w:firstLine="0"/>
        <w:jc w:val="left"/>
        <w:rPr>
          <w:rFonts w:ascii="Book Antiqua"/>
          <w:sz w:val="16"/>
        </w:rPr>
      </w:pPr>
      <w:r>
        <w:rPr>
          <w:rFonts w:ascii="Book Antiqua"/>
          <w:color w:val="231F20"/>
          <w:w w:val="105"/>
          <w:sz w:val="16"/>
        </w:rPr>
        <w:t>DIRECTORS</w:t>
      </w:r>
    </w:p>
    <w:p>
      <w:pPr>
        <w:pStyle w:val="BodyText"/>
        <w:spacing w:before="10"/>
        <w:rPr>
          <w:rFonts w:ascii="Book Antiqua"/>
          <w:sz w:val="14"/>
        </w:rPr>
      </w:pPr>
    </w:p>
    <w:p>
      <w:pPr>
        <w:spacing w:before="0"/>
        <w:ind w:left="541" w:right="0" w:firstLine="0"/>
        <w:jc w:val="left"/>
        <w:rPr>
          <w:rFonts w:ascii="Book Antiqua"/>
          <w:sz w:val="15"/>
        </w:rPr>
      </w:pPr>
      <w:r>
        <w:rPr>
          <w:rFonts w:ascii="Book Antiqua"/>
          <w:color w:val="231F20"/>
          <w:w w:val="105"/>
          <w:sz w:val="15"/>
        </w:rPr>
        <w:t>COLLEEN  C. BARRETT</w:t>
      </w:r>
    </w:p>
    <w:p>
      <w:pPr>
        <w:spacing w:line="278" w:lineRule="auto" w:before="30"/>
        <w:ind w:left="541" w:right="278" w:firstLine="0"/>
        <w:jc w:val="left"/>
        <w:rPr>
          <w:rFonts w:ascii="Book Antiqua"/>
          <w:sz w:val="15"/>
        </w:rPr>
      </w:pPr>
      <w:r>
        <w:rPr>
          <w:rFonts w:ascii="Book Antiqua"/>
          <w:color w:val="231F20"/>
          <w:sz w:val="15"/>
        </w:rPr>
        <w:t>President and Chief Operating Officer Southwest Airlines Co., Dallas, Texas</w:t>
      </w:r>
    </w:p>
    <w:p>
      <w:pPr>
        <w:spacing w:before="89"/>
        <w:ind w:left="541" w:right="0" w:firstLine="0"/>
        <w:jc w:val="left"/>
        <w:rPr>
          <w:rFonts w:ascii="Book Antiqua"/>
          <w:sz w:val="15"/>
        </w:rPr>
      </w:pPr>
      <w:r>
        <w:rPr>
          <w:rFonts w:ascii="Book Antiqua"/>
          <w:color w:val="231F20"/>
          <w:w w:val="105"/>
          <w:sz w:val="15"/>
        </w:rPr>
        <w:t>LOUIS CALDERA</w:t>
      </w:r>
    </w:p>
    <w:p>
      <w:pPr>
        <w:spacing w:line="278" w:lineRule="auto" w:before="30"/>
        <w:ind w:left="541" w:right="0" w:firstLine="0"/>
        <w:jc w:val="left"/>
        <w:rPr>
          <w:rFonts w:ascii="Book Antiqua"/>
          <w:sz w:val="15"/>
        </w:rPr>
      </w:pPr>
      <w:r>
        <w:rPr>
          <w:rFonts w:ascii="Book Antiqua"/>
          <w:color w:val="231F20"/>
          <w:sz w:val="15"/>
        </w:rPr>
        <w:t>President of The University of New Mexico Albuquerque, New Mexico; Audit and Nominating and Corporate Governance Committees</w:t>
      </w:r>
    </w:p>
    <w:p>
      <w:pPr>
        <w:spacing w:line="278" w:lineRule="auto" w:before="90"/>
        <w:ind w:left="541" w:right="1366" w:firstLine="0"/>
        <w:jc w:val="left"/>
        <w:rPr>
          <w:rFonts w:ascii="Book Antiqua"/>
          <w:sz w:val="15"/>
        </w:rPr>
      </w:pPr>
      <w:r>
        <w:rPr>
          <w:rFonts w:ascii="Book Antiqua"/>
          <w:color w:val="231F20"/>
          <w:sz w:val="15"/>
        </w:rPr>
        <w:t>C. WEBB CROCKETT Attorney, Fennemore Craig,</w:t>
      </w:r>
    </w:p>
    <w:p>
      <w:pPr>
        <w:spacing w:line="278" w:lineRule="auto" w:before="0"/>
        <w:ind w:left="541" w:right="0" w:firstLine="0"/>
        <w:jc w:val="left"/>
        <w:rPr>
          <w:rFonts w:ascii="Book Antiqua"/>
          <w:sz w:val="15"/>
        </w:rPr>
      </w:pPr>
      <w:r>
        <w:rPr>
          <w:rFonts w:ascii="Book Antiqua"/>
          <w:color w:val="231F20"/>
          <w:sz w:val="15"/>
        </w:rPr>
        <w:t>Attorneys at Law, Phoenix, Arizona; Compensation and Nominating and Corporate Governance Committees</w:t>
      </w:r>
    </w:p>
    <w:p>
      <w:pPr>
        <w:spacing w:before="89"/>
        <w:ind w:left="541" w:right="0" w:firstLine="0"/>
        <w:jc w:val="left"/>
        <w:rPr>
          <w:rFonts w:ascii="Book Antiqua"/>
          <w:sz w:val="15"/>
        </w:rPr>
      </w:pPr>
      <w:r>
        <w:rPr>
          <w:rFonts w:ascii="Book Antiqua"/>
          <w:color w:val="231F20"/>
          <w:sz w:val="15"/>
        </w:rPr>
        <w:t>WILLIAM  H.  CUNNINGHAM, Ph.D.</w:t>
      </w:r>
    </w:p>
    <w:p>
      <w:pPr>
        <w:spacing w:line="278" w:lineRule="auto" w:before="30"/>
        <w:ind w:left="541" w:right="201" w:firstLine="0"/>
        <w:jc w:val="left"/>
        <w:rPr>
          <w:rFonts w:ascii="Book Antiqua"/>
          <w:sz w:val="15"/>
        </w:rPr>
      </w:pPr>
      <w:r>
        <w:rPr>
          <w:rFonts w:ascii="Book Antiqua"/>
          <w:color w:val="231F20"/>
          <w:sz w:val="15"/>
        </w:rPr>
        <w:t>James </w:t>
      </w:r>
      <w:r>
        <w:rPr>
          <w:rFonts w:ascii="Book Antiqua"/>
          <w:color w:val="231F20"/>
          <w:spacing w:val="3"/>
          <w:sz w:val="15"/>
        </w:rPr>
        <w:t>L. </w:t>
      </w:r>
      <w:r>
        <w:rPr>
          <w:rFonts w:ascii="Book Antiqua"/>
          <w:color w:val="231F20"/>
          <w:sz w:val="15"/>
        </w:rPr>
        <w:t>Bayless Professor of Marketing University of </w:t>
      </w:r>
      <w:r>
        <w:rPr>
          <w:rFonts w:ascii="Book Antiqua"/>
          <w:color w:val="231F20"/>
          <w:spacing w:val="-5"/>
          <w:sz w:val="15"/>
        </w:rPr>
        <w:t>Texas  </w:t>
      </w:r>
      <w:r>
        <w:rPr>
          <w:rFonts w:ascii="Book Antiqua"/>
          <w:color w:val="231F20"/>
          <w:sz w:val="15"/>
        </w:rPr>
        <w:t>School of Business Former Chancellor of The University of </w:t>
      </w:r>
      <w:r>
        <w:rPr>
          <w:rFonts w:ascii="Book Antiqua"/>
          <w:color w:val="231F20"/>
          <w:spacing w:val="-5"/>
          <w:sz w:val="15"/>
        </w:rPr>
        <w:t>Texas </w:t>
      </w:r>
      <w:r>
        <w:rPr>
          <w:rFonts w:ascii="Book Antiqua"/>
          <w:color w:val="231F20"/>
          <w:sz w:val="15"/>
        </w:rPr>
        <w:t>System, Austin, </w:t>
      </w:r>
      <w:r>
        <w:rPr>
          <w:rFonts w:ascii="Book Antiqua"/>
          <w:color w:val="231F20"/>
          <w:spacing w:val="-4"/>
          <w:sz w:val="15"/>
        </w:rPr>
        <w:t>Texas; </w:t>
      </w:r>
      <w:r>
        <w:rPr>
          <w:rFonts w:ascii="Book Antiqua"/>
          <w:color w:val="231F20"/>
          <w:sz w:val="15"/>
        </w:rPr>
        <w:t>Audit (Chairman) </w:t>
      </w:r>
      <w:r>
        <w:rPr>
          <w:rFonts w:ascii="Book Antiqua"/>
          <w:color w:val="231F20"/>
          <w:spacing w:val="2"/>
          <w:sz w:val="15"/>
        </w:rPr>
        <w:t>and </w:t>
      </w:r>
      <w:r>
        <w:rPr>
          <w:rFonts w:ascii="Book Antiqua"/>
          <w:color w:val="231F20"/>
          <w:sz w:val="15"/>
        </w:rPr>
        <w:t>Nominating and Corporate Governance </w:t>
      </w:r>
      <w:r>
        <w:rPr>
          <w:rFonts w:ascii="Book Antiqua"/>
          <w:color w:val="231F20"/>
          <w:spacing w:val="2"/>
          <w:sz w:val="15"/>
        </w:rPr>
        <w:t>Committees</w:t>
      </w:r>
    </w:p>
    <w:p>
      <w:pPr>
        <w:spacing w:before="89"/>
        <w:ind w:left="541" w:right="0" w:firstLine="0"/>
        <w:jc w:val="left"/>
        <w:rPr>
          <w:rFonts w:ascii="Book Antiqua"/>
          <w:sz w:val="15"/>
        </w:rPr>
      </w:pPr>
      <w:r>
        <w:rPr>
          <w:rFonts w:ascii="Book Antiqua"/>
          <w:color w:val="231F20"/>
          <w:sz w:val="15"/>
        </w:rPr>
        <w:t>WILLIAM  P.  HOBBY</w:t>
      </w:r>
    </w:p>
    <w:p>
      <w:pPr>
        <w:spacing w:line="278" w:lineRule="auto" w:before="30"/>
        <w:ind w:left="541" w:right="0" w:firstLine="0"/>
        <w:jc w:val="left"/>
        <w:rPr>
          <w:rFonts w:ascii="Book Antiqua"/>
          <w:sz w:val="15"/>
        </w:rPr>
      </w:pPr>
      <w:r>
        <w:rPr>
          <w:rFonts w:ascii="Book Antiqua"/>
          <w:color w:val="231F20"/>
          <w:sz w:val="15"/>
        </w:rPr>
        <w:t>Chairman of the Board, Hobby  Communications, L.L.C.; Former Lieutenant Governor of </w:t>
      </w:r>
      <w:r>
        <w:rPr>
          <w:rFonts w:ascii="Book Antiqua"/>
          <w:color w:val="231F20"/>
          <w:spacing w:val="-4"/>
          <w:sz w:val="15"/>
        </w:rPr>
        <w:t>Texas; </w:t>
      </w:r>
      <w:r>
        <w:rPr>
          <w:rFonts w:ascii="Book Antiqua"/>
          <w:color w:val="231F20"/>
          <w:sz w:val="15"/>
        </w:rPr>
        <w:t>Houston, </w:t>
      </w:r>
      <w:r>
        <w:rPr>
          <w:rFonts w:ascii="Book Antiqua"/>
          <w:color w:val="231F20"/>
          <w:spacing w:val="-4"/>
          <w:sz w:val="15"/>
        </w:rPr>
        <w:t>Texas; </w:t>
      </w:r>
      <w:r>
        <w:rPr>
          <w:rFonts w:ascii="Book Antiqua"/>
          <w:color w:val="231F20"/>
          <w:sz w:val="15"/>
        </w:rPr>
        <w:t>Audit, Compensation </w:t>
      </w:r>
      <w:r>
        <w:rPr>
          <w:rFonts w:ascii="Book Antiqua"/>
          <w:color w:val="231F20"/>
          <w:spacing w:val="2"/>
          <w:sz w:val="15"/>
        </w:rPr>
        <w:t>(Chairman), </w:t>
      </w:r>
      <w:r>
        <w:rPr>
          <w:rFonts w:ascii="Book Antiqua"/>
          <w:color w:val="231F20"/>
          <w:sz w:val="15"/>
        </w:rPr>
        <w:t>and Nominating</w:t>
      </w:r>
      <w:r>
        <w:rPr>
          <w:rFonts w:ascii="Book Antiqua"/>
          <w:color w:val="231F20"/>
          <w:spacing w:val="-25"/>
          <w:sz w:val="15"/>
        </w:rPr>
        <w:t> </w:t>
      </w:r>
      <w:r>
        <w:rPr>
          <w:rFonts w:ascii="Book Antiqua"/>
          <w:color w:val="231F20"/>
          <w:sz w:val="15"/>
        </w:rPr>
        <w:t>and Corporate Governance</w:t>
      </w:r>
      <w:r>
        <w:rPr>
          <w:rFonts w:ascii="Book Antiqua"/>
          <w:color w:val="231F20"/>
          <w:spacing w:val="-1"/>
          <w:sz w:val="15"/>
        </w:rPr>
        <w:t> </w:t>
      </w:r>
      <w:r>
        <w:rPr>
          <w:rFonts w:ascii="Book Antiqua"/>
          <w:color w:val="231F20"/>
          <w:spacing w:val="2"/>
          <w:sz w:val="15"/>
        </w:rPr>
        <w:t>Committees</w:t>
      </w:r>
    </w:p>
    <w:p>
      <w:pPr>
        <w:spacing w:before="90"/>
        <w:ind w:left="541" w:right="0" w:firstLine="0"/>
        <w:jc w:val="left"/>
        <w:rPr>
          <w:rFonts w:ascii="Book Antiqua"/>
          <w:sz w:val="15"/>
        </w:rPr>
      </w:pPr>
      <w:r>
        <w:rPr>
          <w:rFonts w:ascii="Book Antiqua"/>
          <w:color w:val="231F20"/>
          <w:sz w:val="15"/>
        </w:rPr>
        <w:t>TRAVIS  C. JOHNSON</w:t>
      </w:r>
    </w:p>
    <w:p>
      <w:pPr>
        <w:spacing w:line="278" w:lineRule="auto" w:before="30"/>
        <w:ind w:left="541" w:right="0" w:firstLine="0"/>
        <w:jc w:val="left"/>
        <w:rPr>
          <w:rFonts w:ascii="Book Antiqua"/>
          <w:sz w:val="15"/>
        </w:rPr>
      </w:pPr>
      <w:r>
        <w:rPr>
          <w:rFonts w:ascii="Book Antiqua"/>
          <w:color w:val="231F20"/>
          <w:sz w:val="15"/>
        </w:rPr>
        <w:t>Attorney at Law, El Paso, Texas; Audit, Executive, and Nominating and Corporate Governance Committees</w:t>
      </w:r>
    </w:p>
    <w:p>
      <w:pPr>
        <w:spacing w:before="89"/>
        <w:ind w:left="541" w:right="0" w:firstLine="0"/>
        <w:jc w:val="left"/>
        <w:rPr>
          <w:rFonts w:ascii="Book Antiqua"/>
          <w:sz w:val="15"/>
        </w:rPr>
      </w:pPr>
      <w:r>
        <w:rPr>
          <w:rFonts w:ascii="Book Antiqua"/>
          <w:color w:val="231F20"/>
          <w:w w:val="105"/>
          <w:sz w:val="15"/>
        </w:rPr>
        <w:t>HERBERT D.  KELLEHER</w:t>
      </w:r>
    </w:p>
    <w:p>
      <w:pPr>
        <w:spacing w:line="278" w:lineRule="auto" w:before="30"/>
        <w:ind w:left="541" w:right="0" w:firstLine="0"/>
        <w:jc w:val="left"/>
        <w:rPr>
          <w:rFonts w:ascii="Book Antiqua"/>
          <w:sz w:val="15"/>
        </w:rPr>
      </w:pPr>
      <w:r>
        <w:rPr>
          <w:rFonts w:ascii="Book Antiqua"/>
          <w:color w:val="231F20"/>
          <w:sz w:val="15"/>
        </w:rPr>
        <w:t>Chairman of the Board, Southwest Airlines Co., Dallas, Texas; Executive Committee</w:t>
      </w:r>
    </w:p>
    <w:p>
      <w:pPr>
        <w:spacing w:before="90"/>
        <w:ind w:left="541" w:right="0" w:firstLine="0"/>
        <w:jc w:val="left"/>
        <w:rPr>
          <w:rFonts w:ascii="Book Antiqua"/>
          <w:sz w:val="15"/>
        </w:rPr>
      </w:pPr>
      <w:r>
        <w:rPr>
          <w:rFonts w:ascii="Book Antiqua"/>
          <w:color w:val="231F20"/>
          <w:sz w:val="15"/>
        </w:rPr>
        <w:t>ROLLIN W.  KING</w:t>
      </w:r>
    </w:p>
    <w:p>
      <w:pPr>
        <w:spacing w:line="278" w:lineRule="auto" w:before="30"/>
        <w:ind w:left="541" w:right="278" w:firstLine="0"/>
        <w:jc w:val="left"/>
        <w:rPr>
          <w:rFonts w:ascii="Book Antiqua"/>
          <w:sz w:val="15"/>
        </w:rPr>
      </w:pPr>
      <w:r>
        <w:rPr>
          <w:rFonts w:ascii="Book Antiqua"/>
          <w:color w:val="231F20"/>
          <w:sz w:val="15"/>
        </w:rPr>
        <w:t>Retired, Dallas, Texas; Audit, Executive, and Nominating and Corporate Governance Committees</w:t>
      </w:r>
    </w:p>
    <w:p>
      <w:pPr>
        <w:spacing w:before="89"/>
        <w:ind w:left="541" w:right="0" w:firstLine="0"/>
        <w:jc w:val="left"/>
        <w:rPr>
          <w:rFonts w:ascii="Book Antiqua"/>
          <w:sz w:val="15"/>
        </w:rPr>
      </w:pPr>
      <w:r>
        <w:rPr>
          <w:rFonts w:ascii="Book Antiqua"/>
          <w:color w:val="231F20"/>
          <w:w w:val="105"/>
          <w:sz w:val="15"/>
        </w:rPr>
        <w:t>NANCY LOEFFLER</w:t>
      </w:r>
    </w:p>
    <w:p>
      <w:pPr>
        <w:spacing w:line="278" w:lineRule="auto" w:before="30"/>
        <w:ind w:left="541" w:right="869" w:firstLine="0"/>
        <w:jc w:val="left"/>
        <w:rPr>
          <w:rFonts w:ascii="Book Antiqua"/>
          <w:sz w:val="15"/>
        </w:rPr>
      </w:pPr>
      <w:r>
        <w:rPr>
          <w:rFonts w:ascii="Book Antiqua"/>
          <w:color w:val="231F20"/>
          <w:sz w:val="15"/>
        </w:rPr>
        <w:t>Longtime advocate of volunteerism San Antonio, Texas</w:t>
      </w:r>
    </w:p>
    <w:p>
      <w:pPr>
        <w:spacing w:before="106"/>
        <w:ind w:left="250" w:right="0" w:firstLine="0"/>
        <w:jc w:val="left"/>
        <w:rPr>
          <w:rFonts w:ascii="Book Antiqua"/>
          <w:sz w:val="15"/>
        </w:rPr>
      </w:pPr>
      <w:r>
        <w:rPr/>
        <w:br w:type="column"/>
      </w:r>
      <w:r>
        <w:rPr>
          <w:rFonts w:ascii="Book Antiqua"/>
          <w:color w:val="231F20"/>
          <w:sz w:val="15"/>
        </w:rPr>
        <w:t>JOHN  T.  MONTFORD</w:t>
      </w:r>
    </w:p>
    <w:p>
      <w:pPr>
        <w:spacing w:line="256" w:lineRule="auto" w:before="13"/>
        <w:ind w:left="250" w:right="277" w:firstLine="0"/>
        <w:jc w:val="left"/>
        <w:rPr>
          <w:rFonts w:ascii="Book Antiqua"/>
          <w:sz w:val="15"/>
        </w:rPr>
      </w:pPr>
      <w:r>
        <w:rPr>
          <w:rFonts w:ascii="Book Antiqua"/>
          <w:color w:val="231F20"/>
          <w:sz w:val="15"/>
        </w:rPr>
        <w:t>President, External Affairs, SBC Southwest, a division of SBC Communications, Inc.,</w:t>
      </w:r>
    </w:p>
    <w:p>
      <w:pPr>
        <w:spacing w:line="256" w:lineRule="auto" w:before="0"/>
        <w:ind w:left="250" w:right="14" w:firstLine="0"/>
        <w:jc w:val="left"/>
        <w:rPr>
          <w:rFonts w:ascii="Book Antiqua"/>
          <w:sz w:val="15"/>
        </w:rPr>
      </w:pPr>
      <w:r>
        <w:rPr>
          <w:rFonts w:ascii="Book Antiqua"/>
          <w:color w:val="231F20"/>
          <w:sz w:val="15"/>
        </w:rPr>
        <w:t>San Antonio, Texas; Audit and Nominating and Corporate Governance Committees</w:t>
      </w:r>
    </w:p>
    <w:p>
      <w:pPr>
        <w:spacing w:before="89"/>
        <w:ind w:left="250" w:right="0" w:firstLine="0"/>
        <w:jc w:val="left"/>
        <w:rPr>
          <w:rFonts w:ascii="Book Antiqua"/>
          <w:sz w:val="15"/>
        </w:rPr>
      </w:pPr>
      <w:r>
        <w:rPr>
          <w:rFonts w:ascii="Book Antiqua"/>
          <w:color w:val="231F20"/>
          <w:sz w:val="15"/>
        </w:rPr>
        <w:t>JUNE  M. MORRIS</w:t>
      </w:r>
    </w:p>
    <w:p>
      <w:pPr>
        <w:spacing w:before="13"/>
        <w:ind w:left="250" w:right="0" w:firstLine="0"/>
        <w:jc w:val="left"/>
        <w:rPr>
          <w:rFonts w:ascii="Book Antiqua"/>
          <w:sz w:val="15"/>
        </w:rPr>
      </w:pPr>
      <w:r>
        <w:rPr>
          <w:rFonts w:ascii="Book Antiqua"/>
          <w:color w:val="231F20"/>
          <w:sz w:val="15"/>
        </w:rPr>
        <w:t>Founder and former Chief Executive Officer</w:t>
      </w:r>
    </w:p>
    <w:p>
      <w:pPr>
        <w:spacing w:line="256" w:lineRule="auto" w:before="13"/>
        <w:ind w:left="250" w:right="0" w:firstLine="0"/>
        <w:jc w:val="left"/>
        <w:rPr>
          <w:rFonts w:ascii="Book Antiqua"/>
          <w:sz w:val="15"/>
        </w:rPr>
      </w:pPr>
      <w:r>
        <w:rPr>
          <w:rFonts w:ascii="Book Antiqua"/>
          <w:color w:val="231F20"/>
          <w:sz w:val="15"/>
        </w:rPr>
        <w:t>of Morris Air Corporation, Salt Lake City, Utah; Audit, Compensation, and Nominating and Corporate Governance Committees</w:t>
      </w:r>
    </w:p>
    <w:p>
      <w:pPr>
        <w:spacing w:before="89"/>
        <w:ind w:left="250" w:right="0" w:firstLine="0"/>
        <w:jc w:val="left"/>
        <w:rPr>
          <w:rFonts w:ascii="Book Antiqua"/>
          <w:sz w:val="15"/>
        </w:rPr>
      </w:pPr>
      <w:r>
        <w:rPr>
          <w:rFonts w:ascii="Book Antiqua"/>
          <w:color w:val="231F20"/>
          <w:sz w:val="15"/>
        </w:rPr>
        <w:t>JAMES  F. PARKER</w:t>
      </w:r>
    </w:p>
    <w:p>
      <w:pPr>
        <w:spacing w:line="256" w:lineRule="auto" w:before="13"/>
        <w:ind w:left="250" w:right="0" w:firstLine="0"/>
        <w:jc w:val="left"/>
        <w:rPr>
          <w:rFonts w:ascii="Book Antiqua"/>
          <w:sz w:val="15"/>
        </w:rPr>
      </w:pPr>
      <w:r>
        <w:rPr>
          <w:rFonts w:ascii="Book Antiqua"/>
          <w:color w:val="231F20"/>
          <w:sz w:val="15"/>
        </w:rPr>
        <w:t>Vice Chairman and Chief Executive Officer of Southwest Airlines Co., Dallas, Texas</w:t>
      </w:r>
    </w:p>
    <w:p>
      <w:pPr>
        <w:pStyle w:val="BodyText"/>
        <w:spacing w:before="8"/>
        <w:rPr>
          <w:rFonts w:ascii="Book Antiqua"/>
          <w:sz w:val="17"/>
        </w:rPr>
      </w:pPr>
    </w:p>
    <w:p>
      <w:pPr>
        <w:spacing w:before="0"/>
        <w:ind w:left="250" w:right="0" w:firstLine="0"/>
        <w:jc w:val="left"/>
        <w:rPr>
          <w:rFonts w:ascii="Book Antiqua"/>
          <w:sz w:val="16"/>
        </w:rPr>
      </w:pPr>
      <w:r>
        <w:rPr>
          <w:rFonts w:ascii="Book Antiqua"/>
          <w:color w:val="231F20"/>
          <w:w w:val="105"/>
          <w:sz w:val="16"/>
        </w:rPr>
        <w:t>OFFICERS</w:t>
      </w:r>
    </w:p>
    <w:p>
      <w:pPr>
        <w:pStyle w:val="BodyText"/>
        <w:spacing w:before="8"/>
        <w:rPr>
          <w:rFonts w:ascii="Book Antiqua"/>
          <w:sz w:val="13"/>
        </w:rPr>
      </w:pPr>
    </w:p>
    <w:p>
      <w:pPr>
        <w:spacing w:before="1"/>
        <w:ind w:left="250" w:right="0" w:firstLine="0"/>
        <w:jc w:val="left"/>
        <w:rPr>
          <w:rFonts w:ascii="Book Antiqua"/>
          <w:sz w:val="15"/>
        </w:rPr>
      </w:pPr>
      <w:r>
        <w:rPr>
          <w:rFonts w:ascii="Book Antiqua"/>
          <w:color w:val="231F20"/>
          <w:sz w:val="15"/>
        </w:rPr>
        <w:t>JAMES  F. PARKER*</w:t>
      </w:r>
    </w:p>
    <w:p>
      <w:pPr>
        <w:spacing w:before="13"/>
        <w:ind w:left="250" w:right="0" w:firstLine="0"/>
        <w:jc w:val="left"/>
        <w:rPr>
          <w:rFonts w:ascii="Book Antiqua"/>
          <w:sz w:val="15"/>
        </w:rPr>
      </w:pPr>
      <w:r>
        <w:rPr>
          <w:rFonts w:ascii="Book Antiqua"/>
          <w:color w:val="231F20"/>
          <w:sz w:val="15"/>
        </w:rPr>
        <w:t>Vice Chairman and Chief Executive Officer</w:t>
      </w:r>
    </w:p>
    <w:p>
      <w:pPr>
        <w:spacing w:before="102"/>
        <w:ind w:left="250" w:right="0" w:firstLine="0"/>
        <w:jc w:val="left"/>
        <w:rPr>
          <w:rFonts w:ascii="Book Antiqua"/>
          <w:sz w:val="15"/>
        </w:rPr>
      </w:pPr>
      <w:r>
        <w:rPr>
          <w:rFonts w:ascii="Book Antiqua"/>
          <w:color w:val="231F20"/>
          <w:w w:val="105"/>
          <w:sz w:val="15"/>
        </w:rPr>
        <w:t>COLLEEN  C. BARRETT*</w:t>
      </w:r>
    </w:p>
    <w:p>
      <w:pPr>
        <w:spacing w:line="256" w:lineRule="auto" w:before="13"/>
        <w:ind w:left="250" w:right="277" w:firstLine="0"/>
        <w:jc w:val="left"/>
        <w:rPr>
          <w:rFonts w:ascii="Book Antiqua"/>
          <w:sz w:val="15"/>
        </w:rPr>
      </w:pPr>
      <w:r>
        <w:rPr>
          <w:rFonts w:ascii="Book Antiqua"/>
          <w:color w:val="231F20"/>
          <w:sz w:val="15"/>
        </w:rPr>
        <w:t>President and Chief Operating Officer Corporate Secretary</w:t>
      </w:r>
    </w:p>
    <w:p>
      <w:pPr>
        <w:spacing w:before="89"/>
        <w:ind w:left="250" w:right="0" w:firstLine="0"/>
        <w:jc w:val="left"/>
        <w:rPr>
          <w:rFonts w:ascii="Book Antiqua"/>
          <w:sz w:val="15"/>
        </w:rPr>
      </w:pPr>
      <w:r>
        <w:rPr>
          <w:rFonts w:ascii="Book Antiqua"/>
          <w:color w:val="231F20"/>
          <w:sz w:val="15"/>
        </w:rPr>
        <w:t>DONNA D. CONOVER*</w:t>
      </w:r>
    </w:p>
    <w:p>
      <w:pPr>
        <w:spacing w:before="13"/>
        <w:ind w:left="250" w:right="0" w:firstLine="0"/>
        <w:jc w:val="left"/>
        <w:rPr>
          <w:rFonts w:ascii="Book Antiqua" w:hAnsi="Book Antiqua"/>
          <w:sz w:val="15"/>
        </w:rPr>
      </w:pPr>
      <w:r>
        <w:rPr>
          <w:rFonts w:ascii="Book Antiqua" w:hAnsi="Book Antiqua"/>
          <w:color w:val="231F20"/>
          <w:sz w:val="15"/>
        </w:rPr>
        <w:t>Executive Vice President — Customer Service</w:t>
      </w:r>
    </w:p>
    <w:p>
      <w:pPr>
        <w:spacing w:before="102"/>
        <w:ind w:left="250" w:right="0" w:firstLine="0"/>
        <w:jc w:val="left"/>
        <w:rPr>
          <w:rFonts w:ascii="Book Antiqua"/>
          <w:sz w:val="15"/>
        </w:rPr>
      </w:pPr>
      <w:r>
        <w:rPr>
          <w:rFonts w:ascii="Book Antiqua"/>
          <w:color w:val="231F20"/>
          <w:w w:val="105"/>
          <w:sz w:val="15"/>
        </w:rPr>
        <w:t>GARY C. KELLY*</w:t>
      </w:r>
    </w:p>
    <w:p>
      <w:pPr>
        <w:spacing w:line="256" w:lineRule="auto" w:before="13"/>
        <w:ind w:left="250" w:right="938" w:firstLine="0"/>
        <w:jc w:val="left"/>
        <w:rPr>
          <w:rFonts w:ascii="Book Antiqua"/>
          <w:sz w:val="15"/>
        </w:rPr>
      </w:pPr>
      <w:r>
        <w:rPr>
          <w:rFonts w:ascii="Book Antiqua"/>
          <w:color w:val="231F20"/>
          <w:sz w:val="15"/>
        </w:rPr>
        <w:t>Executive Vice President and Chief Financial Officer</w:t>
      </w:r>
    </w:p>
    <w:p>
      <w:pPr>
        <w:spacing w:before="90"/>
        <w:ind w:left="250" w:right="0" w:firstLine="0"/>
        <w:jc w:val="left"/>
        <w:rPr>
          <w:rFonts w:ascii="Book Antiqua"/>
          <w:sz w:val="15"/>
        </w:rPr>
      </w:pPr>
      <w:r>
        <w:rPr>
          <w:rFonts w:ascii="Book Antiqua"/>
          <w:color w:val="231F20"/>
          <w:sz w:val="15"/>
        </w:rPr>
        <w:t>JAMES  C.  WIMBERLY*</w:t>
      </w:r>
    </w:p>
    <w:p>
      <w:pPr>
        <w:spacing w:line="256" w:lineRule="auto" w:before="13"/>
        <w:ind w:left="250" w:right="938" w:firstLine="0"/>
        <w:jc w:val="left"/>
        <w:rPr>
          <w:rFonts w:ascii="Book Antiqua"/>
          <w:sz w:val="15"/>
        </w:rPr>
      </w:pPr>
      <w:r>
        <w:rPr>
          <w:rFonts w:ascii="Book Antiqua"/>
          <w:color w:val="231F20"/>
          <w:sz w:val="15"/>
        </w:rPr>
        <w:t>Executive Vice President and Chief of Operations</w:t>
      </w:r>
    </w:p>
    <w:p>
      <w:pPr>
        <w:spacing w:before="89"/>
        <w:ind w:left="250" w:right="0" w:firstLine="0"/>
        <w:jc w:val="left"/>
        <w:rPr>
          <w:rFonts w:ascii="Book Antiqua"/>
          <w:sz w:val="15"/>
        </w:rPr>
      </w:pPr>
      <w:r>
        <w:rPr>
          <w:rFonts w:ascii="Book Antiqua"/>
          <w:color w:val="231F20"/>
          <w:w w:val="105"/>
          <w:sz w:val="15"/>
        </w:rPr>
        <w:t>JOYCE C. ROGGE*</w:t>
      </w:r>
    </w:p>
    <w:p>
      <w:pPr>
        <w:spacing w:before="13"/>
        <w:ind w:left="250" w:right="0" w:firstLine="0"/>
        <w:jc w:val="left"/>
        <w:rPr>
          <w:rFonts w:ascii="Book Antiqua" w:hAnsi="Book Antiqua"/>
          <w:sz w:val="15"/>
        </w:rPr>
      </w:pPr>
      <w:r>
        <w:rPr>
          <w:rFonts w:ascii="Book Antiqua" w:hAnsi="Book Antiqua"/>
          <w:color w:val="231F20"/>
          <w:sz w:val="15"/>
        </w:rPr>
        <w:t>Senior Vice President — Marketing</w:t>
      </w:r>
    </w:p>
    <w:p>
      <w:pPr>
        <w:spacing w:before="102"/>
        <w:ind w:left="250" w:right="0" w:firstLine="0"/>
        <w:jc w:val="left"/>
        <w:rPr>
          <w:rFonts w:ascii="Book Antiqua"/>
          <w:sz w:val="15"/>
        </w:rPr>
      </w:pPr>
      <w:r>
        <w:rPr>
          <w:rFonts w:ascii="Book Antiqua"/>
          <w:color w:val="231F20"/>
          <w:sz w:val="15"/>
        </w:rPr>
        <w:t>DEBORAH  ACKERMAN</w:t>
      </w:r>
    </w:p>
    <w:p>
      <w:pPr>
        <w:spacing w:before="13"/>
        <w:ind w:left="250" w:right="0" w:firstLine="0"/>
        <w:jc w:val="left"/>
        <w:rPr>
          <w:rFonts w:ascii="Book Antiqua" w:hAnsi="Book Antiqua"/>
          <w:sz w:val="15"/>
        </w:rPr>
      </w:pPr>
      <w:r>
        <w:rPr>
          <w:rFonts w:ascii="Book Antiqua" w:hAnsi="Book Antiqua"/>
          <w:color w:val="231F20"/>
          <w:sz w:val="15"/>
        </w:rPr>
        <w:t>Vice President — General Counsel</w:t>
      </w:r>
    </w:p>
    <w:p>
      <w:pPr>
        <w:spacing w:before="102"/>
        <w:ind w:left="250" w:right="0" w:firstLine="0"/>
        <w:jc w:val="left"/>
        <w:rPr>
          <w:rFonts w:ascii="Book Antiqua"/>
          <w:sz w:val="15"/>
        </w:rPr>
      </w:pPr>
      <w:r>
        <w:rPr>
          <w:rFonts w:ascii="Book Antiqua"/>
          <w:color w:val="231F20"/>
          <w:w w:val="105"/>
          <w:sz w:val="15"/>
        </w:rPr>
        <w:t>BEVERLY CARMICHAEL</w:t>
      </w:r>
    </w:p>
    <w:p>
      <w:pPr>
        <w:spacing w:before="13"/>
        <w:ind w:left="250" w:right="0" w:firstLine="0"/>
        <w:jc w:val="left"/>
        <w:rPr>
          <w:rFonts w:ascii="Book Antiqua" w:hAnsi="Book Antiqua"/>
          <w:sz w:val="15"/>
        </w:rPr>
      </w:pPr>
      <w:r>
        <w:rPr>
          <w:rFonts w:ascii="Book Antiqua" w:hAnsi="Book Antiqua"/>
          <w:color w:val="231F20"/>
          <w:sz w:val="15"/>
        </w:rPr>
        <w:t>Vice President — People Department</w:t>
      </w:r>
    </w:p>
    <w:p>
      <w:pPr>
        <w:spacing w:before="103"/>
        <w:ind w:left="250" w:right="0" w:firstLine="0"/>
        <w:jc w:val="left"/>
        <w:rPr>
          <w:rFonts w:ascii="Book Antiqua"/>
          <w:sz w:val="15"/>
        </w:rPr>
      </w:pPr>
      <w:r>
        <w:rPr>
          <w:rFonts w:ascii="Book Antiqua"/>
          <w:color w:val="231F20"/>
          <w:w w:val="105"/>
          <w:sz w:val="15"/>
        </w:rPr>
        <w:t>GREGORY N. CRUM</w:t>
      </w:r>
    </w:p>
    <w:p>
      <w:pPr>
        <w:spacing w:before="13"/>
        <w:ind w:left="250" w:right="0" w:firstLine="0"/>
        <w:jc w:val="left"/>
        <w:rPr>
          <w:rFonts w:ascii="Book Antiqua" w:hAnsi="Book Antiqua"/>
          <w:sz w:val="15"/>
        </w:rPr>
      </w:pPr>
      <w:r>
        <w:rPr>
          <w:rFonts w:ascii="Book Antiqua" w:hAnsi="Book Antiqua"/>
          <w:color w:val="231F20"/>
          <w:sz w:val="15"/>
        </w:rPr>
        <w:t>Vice President — Flight Operations</w:t>
      </w:r>
    </w:p>
    <w:p>
      <w:pPr>
        <w:spacing w:before="102"/>
        <w:ind w:left="250" w:right="0" w:firstLine="0"/>
        <w:jc w:val="left"/>
        <w:rPr>
          <w:rFonts w:ascii="Book Antiqua"/>
          <w:sz w:val="15"/>
        </w:rPr>
      </w:pPr>
      <w:r>
        <w:rPr>
          <w:rFonts w:ascii="Book Antiqua"/>
          <w:color w:val="231F20"/>
          <w:sz w:val="15"/>
        </w:rPr>
        <w:t>GINGER C.  HARDAGE</w:t>
      </w:r>
    </w:p>
    <w:p>
      <w:pPr>
        <w:spacing w:before="13"/>
        <w:ind w:left="250" w:right="0" w:firstLine="0"/>
        <w:jc w:val="left"/>
        <w:rPr>
          <w:rFonts w:ascii="Book Antiqua" w:hAnsi="Book Antiqua"/>
          <w:sz w:val="15"/>
        </w:rPr>
      </w:pPr>
      <w:r>
        <w:rPr>
          <w:rFonts w:ascii="Book Antiqua" w:hAnsi="Book Antiqua"/>
          <w:color w:val="231F20"/>
          <w:sz w:val="15"/>
        </w:rPr>
        <w:t>Vice President — Corporate Communications</w:t>
      </w:r>
    </w:p>
    <w:p>
      <w:pPr>
        <w:spacing w:before="102"/>
        <w:ind w:left="250" w:right="0" w:firstLine="0"/>
        <w:jc w:val="left"/>
        <w:rPr>
          <w:rFonts w:ascii="Book Antiqua"/>
          <w:sz w:val="15"/>
        </w:rPr>
      </w:pPr>
      <w:r>
        <w:rPr>
          <w:rFonts w:ascii="Book Antiqua"/>
          <w:color w:val="231F20"/>
          <w:sz w:val="15"/>
        </w:rPr>
        <w:t>ROBERT  E. JORDAN</w:t>
      </w:r>
    </w:p>
    <w:p>
      <w:pPr>
        <w:spacing w:before="13"/>
        <w:ind w:left="250" w:right="0" w:firstLine="0"/>
        <w:jc w:val="left"/>
        <w:rPr>
          <w:rFonts w:ascii="Book Antiqua" w:hAnsi="Book Antiqua"/>
          <w:sz w:val="15"/>
        </w:rPr>
      </w:pPr>
      <w:r>
        <w:rPr>
          <w:rFonts w:ascii="Book Antiqua" w:hAnsi="Book Antiqua"/>
          <w:color w:val="231F20"/>
          <w:sz w:val="15"/>
        </w:rPr>
        <w:t>Vice President — Technology</w:t>
      </w:r>
    </w:p>
    <w:p>
      <w:pPr>
        <w:spacing w:before="102"/>
        <w:ind w:left="250" w:right="0" w:firstLine="0"/>
        <w:jc w:val="left"/>
        <w:rPr>
          <w:rFonts w:ascii="Book Antiqua"/>
          <w:sz w:val="15"/>
        </w:rPr>
      </w:pPr>
      <w:r>
        <w:rPr>
          <w:rFonts w:ascii="Book Antiqua"/>
          <w:color w:val="231F20"/>
          <w:w w:val="105"/>
          <w:sz w:val="15"/>
        </w:rPr>
        <w:t>CAMILLE T.  KEITH</w:t>
      </w:r>
    </w:p>
    <w:p>
      <w:pPr>
        <w:spacing w:before="13"/>
        <w:ind w:left="250" w:right="0" w:firstLine="0"/>
        <w:jc w:val="left"/>
        <w:rPr>
          <w:rFonts w:ascii="Book Antiqua" w:hAnsi="Book Antiqua"/>
          <w:sz w:val="15"/>
        </w:rPr>
      </w:pPr>
      <w:r>
        <w:rPr>
          <w:rFonts w:ascii="Book Antiqua" w:hAnsi="Book Antiqua"/>
          <w:color w:val="231F20"/>
          <w:sz w:val="15"/>
        </w:rPr>
        <w:t>Vice President — Special Marketing</w:t>
      </w:r>
    </w:p>
    <w:p>
      <w:pPr>
        <w:spacing w:before="106"/>
        <w:ind w:left="291" w:right="0" w:firstLine="0"/>
        <w:jc w:val="left"/>
        <w:rPr>
          <w:rFonts w:ascii="Book Antiqua"/>
          <w:sz w:val="15"/>
        </w:rPr>
      </w:pPr>
      <w:r>
        <w:rPr/>
        <w:br w:type="column"/>
      </w:r>
      <w:r>
        <w:rPr>
          <w:rFonts w:ascii="Book Antiqua"/>
          <w:color w:val="231F20"/>
          <w:w w:val="105"/>
          <w:sz w:val="15"/>
        </w:rPr>
        <w:t>DARYL KRAUSE</w:t>
      </w:r>
    </w:p>
    <w:p>
      <w:pPr>
        <w:spacing w:before="25"/>
        <w:ind w:left="291" w:right="0" w:firstLine="0"/>
        <w:jc w:val="left"/>
        <w:rPr>
          <w:rFonts w:ascii="Book Antiqua" w:hAnsi="Book Antiqua"/>
          <w:sz w:val="15"/>
        </w:rPr>
      </w:pPr>
      <w:r>
        <w:rPr>
          <w:rFonts w:ascii="Book Antiqua" w:hAnsi="Book Antiqua"/>
          <w:color w:val="231F20"/>
          <w:w w:val="95"/>
          <w:sz w:val="15"/>
        </w:rPr>
        <w:t>Vice President — Provisioning</w:t>
      </w:r>
    </w:p>
    <w:p>
      <w:pPr>
        <w:spacing w:before="114"/>
        <w:ind w:left="291" w:right="0" w:firstLine="0"/>
        <w:jc w:val="left"/>
        <w:rPr>
          <w:rFonts w:ascii="Book Antiqua"/>
          <w:sz w:val="15"/>
        </w:rPr>
      </w:pPr>
      <w:r>
        <w:rPr>
          <w:rFonts w:ascii="Book Antiqua"/>
          <w:color w:val="231F20"/>
          <w:sz w:val="15"/>
        </w:rPr>
        <w:t>KEVIN  M. KRONE</w:t>
      </w:r>
    </w:p>
    <w:p>
      <w:pPr>
        <w:spacing w:before="24"/>
        <w:ind w:left="291" w:right="0" w:firstLine="0"/>
        <w:jc w:val="left"/>
        <w:rPr>
          <w:rFonts w:ascii="Book Antiqua" w:hAnsi="Book Antiqua"/>
          <w:sz w:val="15"/>
        </w:rPr>
      </w:pPr>
      <w:r>
        <w:rPr>
          <w:rFonts w:ascii="Book Antiqua" w:hAnsi="Book Antiqua"/>
          <w:color w:val="231F20"/>
          <w:sz w:val="15"/>
        </w:rPr>
        <w:t>Vice President — Interactive Marketing</w:t>
      </w:r>
    </w:p>
    <w:p>
      <w:pPr>
        <w:spacing w:before="113"/>
        <w:ind w:left="291" w:right="0" w:firstLine="0"/>
        <w:jc w:val="left"/>
        <w:rPr>
          <w:rFonts w:ascii="Book Antiqua"/>
          <w:sz w:val="15"/>
        </w:rPr>
      </w:pPr>
      <w:r>
        <w:rPr>
          <w:rFonts w:ascii="Book Antiqua"/>
          <w:color w:val="231F20"/>
          <w:w w:val="105"/>
          <w:sz w:val="15"/>
        </w:rPr>
        <w:t>PETE MCGLADE</w:t>
      </w:r>
    </w:p>
    <w:p>
      <w:pPr>
        <w:spacing w:before="24"/>
        <w:ind w:left="291" w:right="0" w:firstLine="0"/>
        <w:jc w:val="left"/>
        <w:rPr>
          <w:rFonts w:ascii="Book Antiqua" w:hAnsi="Book Antiqua"/>
          <w:sz w:val="15"/>
        </w:rPr>
      </w:pPr>
      <w:r>
        <w:rPr>
          <w:rFonts w:ascii="Book Antiqua" w:hAnsi="Book Antiqua"/>
          <w:color w:val="231F20"/>
          <w:sz w:val="15"/>
        </w:rPr>
        <w:t>Vice President — Schedule Planning</w:t>
      </w:r>
    </w:p>
    <w:p>
      <w:pPr>
        <w:spacing w:before="114"/>
        <w:ind w:left="291" w:right="0" w:firstLine="0"/>
        <w:jc w:val="left"/>
        <w:rPr>
          <w:rFonts w:ascii="Book Antiqua"/>
          <w:sz w:val="15"/>
        </w:rPr>
      </w:pPr>
      <w:r>
        <w:rPr>
          <w:rFonts w:ascii="Book Antiqua"/>
          <w:color w:val="231F20"/>
          <w:w w:val="105"/>
          <w:sz w:val="15"/>
        </w:rPr>
        <w:t>BOB MONTGOMERY</w:t>
      </w:r>
    </w:p>
    <w:p>
      <w:pPr>
        <w:spacing w:before="25"/>
        <w:ind w:left="291" w:right="0" w:firstLine="0"/>
        <w:jc w:val="left"/>
        <w:rPr>
          <w:rFonts w:ascii="Book Antiqua" w:hAnsi="Book Antiqua"/>
          <w:sz w:val="15"/>
        </w:rPr>
      </w:pPr>
      <w:r>
        <w:rPr>
          <w:rFonts w:ascii="Book Antiqua" w:hAnsi="Book Antiqua"/>
          <w:color w:val="231F20"/>
          <w:sz w:val="15"/>
        </w:rPr>
        <w:t>Vice President — Properties and Facilities</w:t>
      </w:r>
    </w:p>
    <w:p>
      <w:pPr>
        <w:spacing w:before="114"/>
        <w:ind w:left="291" w:right="0" w:firstLine="0"/>
        <w:jc w:val="left"/>
        <w:rPr>
          <w:rFonts w:ascii="Book Antiqua"/>
          <w:sz w:val="15"/>
        </w:rPr>
      </w:pPr>
      <w:r>
        <w:rPr>
          <w:rFonts w:ascii="Book Antiqua"/>
          <w:color w:val="231F20"/>
          <w:w w:val="105"/>
          <w:sz w:val="15"/>
        </w:rPr>
        <w:t>ROB MYRBEN</w:t>
      </w:r>
    </w:p>
    <w:p>
      <w:pPr>
        <w:spacing w:before="24"/>
        <w:ind w:left="291" w:right="0" w:firstLine="0"/>
        <w:jc w:val="left"/>
        <w:rPr>
          <w:rFonts w:ascii="Book Antiqua" w:hAnsi="Book Antiqua"/>
          <w:sz w:val="15"/>
        </w:rPr>
      </w:pPr>
      <w:r>
        <w:rPr>
          <w:rFonts w:ascii="Book Antiqua" w:hAnsi="Book Antiqua"/>
          <w:color w:val="231F20"/>
          <w:sz w:val="15"/>
        </w:rPr>
        <w:t>Vice President — Fuel</w:t>
      </w:r>
    </w:p>
    <w:p>
      <w:pPr>
        <w:spacing w:before="113"/>
        <w:ind w:left="291" w:right="0" w:firstLine="0"/>
        <w:jc w:val="left"/>
        <w:rPr>
          <w:rFonts w:ascii="Book Antiqua"/>
          <w:sz w:val="15"/>
        </w:rPr>
      </w:pPr>
      <w:r>
        <w:rPr>
          <w:rFonts w:ascii="Book Antiqua"/>
          <w:color w:val="231F20"/>
          <w:sz w:val="15"/>
        </w:rPr>
        <w:t>RON RICKS*</w:t>
      </w:r>
    </w:p>
    <w:p>
      <w:pPr>
        <w:spacing w:before="24"/>
        <w:ind w:left="291" w:right="0" w:firstLine="0"/>
        <w:jc w:val="left"/>
        <w:rPr>
          <w:rFonts w:ascii="Book Antiqua" w:hAnsi="Book Antiqua"/>
          <w:sz w:val="15"/>
        </w:rPr>
      </w:pPr>
      <w:r>
        <w:rPr>
          <w:rFonts w:ascii="Book Antiqua" w:hAnsi="Book Antiqua"/>
          <w:color w:val="231F20"/>
          <w:w w:val="95"/>
          <w:sz w:val="15"/>
        </w:rPr>
        <w:t>Vice President — Governmental  Affairs</w:t>
      </w:r>
    </w:p>
    <w:p>
      <w:pPr>
        <w:spacing w:before="113"/>
        <w:ind w:left="291" w:right="0" w:firstLine="0"/>
        <w:jc w:val="left"/>
        <w:rPr>
          <w:rFonts w:ascii="Book Antiqua"/>
          <w:sz w:val="15"/>
        </w:rPr>
      </w:pPr>
      <w:r>
        <w:rPr>
          <w:rFonts w:ascii="Book Antiqua"/>
          <w:color w:val="231F20"/>
          <w:w w:val="105"/>
          <w:sz w:val="15"/>
        </w:rPr>
        <w:t>DAVE RIDLEY*</w:t>
      </w:r>
    </w:p>
    <w:p>
      <w:pPr>
        <w:spacing w:before="24"/>
        <w:ind w:left="291" w:right="0" w:firstLine="0"/>
        <w:jc w:val="left"/>
        <w:rPr>
          <w:rFonts w:ascii="Book Antiqua" w:hAnsi="Book Antiqua"/>
          <w:sz w:val="15"/>
        </w:rPr>
      </w:pPr>
      <w:r>
        <w:rPr>
          <w:rFonts w:ascii="Book Antiqua" w:hAnsi="Book Antiqua"/>
          <w:color w:val="231F20"/>
          <w:sz w:val="15"/>
        </w:rPr>
        <w:t>Vice President — Ground Operations</w:t>
      </w:r>
    </w:p>
    <w:p>
      <w:pPr>
        <w:spacing w:before="114"/>
        <w:ind w:left="291" w:right="0" w:firstLine="0"/>
        <w:jc w:val="left"/>
        <w:rPr>
          <w:rFonts w:ascii="Book Antiqua"/>
          <w:sz w:val="15"/>
        </w:rPr>
      </w:pPr>
      <w:r>
        <w:rPr>
          <w:rFonts w:ascii="Book Antiqua"/>
          <w:color w:val="231F20"/>
          <w:sz w:val="15"/>
        </w:rPr>
        <w:t>JAMES A.  RUPPEL</w:t>
      </w:r>
    </w:p>
    <w:p>
      <w:pPr>
        <w:spacing w:line="271" w:lineRule="auto" w:before="25"/>
        <w:ind w:left="291" w:right="753" w:firstLine="0"/>
        <w:jc w:val="left"/>
        <w:rPr>
          <w:rFonts w:ascii="Book Antiqua" w:hAnsi="Book Antiqua"/>
          <w:sz w:val="15"/>
        </w:rPr>
      </w:pPr>
      <w:r>
        <w:rPr>
          <w:rFonts w:ascii="Book Antiqua" w:hAnsi="Book Antiqua"/>
          <w:color w:val="231F20"/>
          <w:sz w:val="15"/>
        </w:rPr>
        <w:t>Vice President — Customer Relations and Rapid Rewards</w:t>
      </w:r>
    </w:p>
    <w:p>
      <w:pPr>
        <w:spacing w:before="90"/>
        <w:ind w:left="291" w:right="0" w:firstLine="0"/>
        <w:jc w:val="left"/>
        <w:rPr>
          <w:rFonts w:ascii="Book Antiqua"/>
          <w:sz w:val="15"/>
        </w:rPr>
      </w:pPr>
      <w:r>
        <w:rPr>
          <w:rFonts w:ascii="Book Antiqua"/>
          <w:color w:val="231F20"/>
          <w:w w:val="105"/>
          <w:sz w:val="15"/>
        </w:rPr>
        <w:t>RAY SEARS</w:t>
      </w:r>
    </w:p>
    <w:p>
      <w:pPr>
        <w:spacing w:before="25"/>
        <w:ind w:left="291" w:right="0" w:firstLine="0"/>
        <w:jc w:val="left"/>
        <w:rPr>
          <w:rFonts w:ascii="Book Antiqua" w:hAnsi="Book Antiqua"/>
          <w:sz w:val="15"/>
        </w:rPr>
      </w:pPr>
      <w:r>
        <w:rPr>
          <w:rFonts w:ascii="Book Antiqua" w:hAnsi="Book Antiqua"/>
          <w:color w:val="231F20"/>
          <w:sz w:val="15"/>
        </w:rPr>
        <w:t>Vice President — Purchasing</w:t>
      </w:r>
    </w:p>
    <w:p>
      <w:pPr>
        <w:spacing w:before="114"/>
        <w:ind w:left="291" w:right="0" w:firstLine="0"/>
        <w:jc w:val="left"/>
        <w:rPr>
          <w:rFonts w:ascii="Book Antiqua"/>
          <w:sz w:val="15"/>
        </w:rPr>
      </w:pPr>
      <w:r>
        <w:rPr>
          <w:rFonts w:ascii="Book Antiqua"/>
          <w:color w:val="231F20"/>
          <w:sz w:val="15"/>
        </w:rPr>
        <w:t>JIM SOKOL</w:t>
      </w:r>
    </w:p>
    <w:p>
      <w:pPr>
        <w:spacing w:before="24"/>
        <w:ind w:left="291" w:right="0" w:firstLine="0"/>
        <w:jc w:val="left"/>
        <w:rPr>
          <w:rFonts w:ascii="Book Antiqua" w:hAnsi="Book Antiqua"/>
          <w:sz w:val="15"/>
        </w:rPr>
      </w:pPr>
      <w:r>
        <w:rPr>
          <w:rFonts w:ascii="Book Antiqua" w:hAnsi="Book Antiqua"/>
          <w:color w:val="231F20"/>
          <w:sz w:val="15"/>
        </w:rPr>
        <w:t>Vice President — Maintenance and Engineering</w:t>
      </w:r>
    </w:p>
    <w:p>
      <w:pPr>
        <w:spacing w:before="113"/>
        <w:ind w:left="291" w:right="0" w:firstLine="0"/>
        <w:jc w:val="left"/>
        <w:rPr>
          <w:rFonts w:ascii="Book Antiqua"/>
          <w:sz w:val="15"/>
        </w:rPr>
      </w:pPr>
      <w:r>
        <w:rPr>
          <w:rFonts w:ascii="Book Antiqua"/>
          <w:color w:val="231F20"/>
          <w:w w:val="105"/>
          <w:sz w:val="15"/>
        </w:rPr>
        <w:t>KEITH  L. TAYLOR</w:t>
      </w:r>
    </w:p>
    <w:p>
      <w:pPr>
        <w:spacing w:before="24"/>
        <w:ind w:left="291" w:right="0" w:firstLine="0"/>
        <w:jc w:val="left"/>
        <w:rPr>
          <w:rFonts w:ascii="Book Antiqua" w:hAnsi="Book Antiqua"/>
          <w:sz w:val="15"/>
        </w:rPr>
      </w:pPr>
      <w:r>
        <w:rPr>
          <w:rFonts w:ascii="Book Antiqua" w:hAnsi="Book Antiqua"/>
          <w:color w:val="231F20"/>
          <w:sz w:val="15"/>
        </w:rPr>
        <w:t>Vice President — Revenue Management</w:t>
      </w:r>
    </w:p>
    <w:p>
      <w:pPr>
        <w:spacing w:before="114"/>
        <w:ind w:left="291" w:right="0" w:firstLine="0"/>
        <w:jc w:val="left"/>
        <w:rPr>
          <w:rFonts w:ascii="Book Antiqua"/>
          <w:sz w:val="15"/>
        </w:rPr>
      </w:pPr>
      <w:r>
        <w:rPr>
          <w:rFonts w:ascii="Book Antiqua"/>
          <w:color w:val="231F20"/>
          <w:w w:val="110"/>
          <w:sz w:val="15"/>
        </w:rPr>
        <w:t>ELLEN TORBERT</w:t>
      </w:r>
    </w:p>
    <w:p>
      <w:pPr>
        <w:spacing w:before="25"/>
        <w:ind w:left="291" w:right="0" w:firstLine="0"/>
        <w:jc w:val="left"/>
        <w:rPr>
          <w:rFonts w:ascii="Book Antiqua" w:hAnsi="Book Antiqua"/>
          <w:sz w:val="15"/>
        </w:rPr>
      </w:pPr>
      <w:r>
        <w:rPr>
          <w:rFonts w:ascii="Book Antiqua" w:hAnsi="Book Antiqua"/>
          <w:color w:val="231F20"/>
          <w:sz w:val="15"/>
        </w:rPr>
        <w:t>Vice President — Reservations</w:t>
      </w:r>
    </w:p>
    <w:p>
      <w:pPr>
        <w:spacing w:before="114"/>
        <w:ind w:left="291" w:right="0" w:firstLine="0"/>
        <w:jc w:val="left"/>
        <w:rPr>
          <w:rFonts w:ascii="Book Antiqua"/>
          <w:sz w:val="15"/>
        </w:rPr>
      </w:pPr>
      <w:r>
        <w:rPr>
          <w:rFonts w:ascii="Book Antiqua"/>
          <w:color w:val="231F20"/>
          <w:sz w:val="15"/>
        </w:rPr>
        <w:t>MICHAEL  G. VAN  DE VEN</w:t>
      </w:r>
    </w:p>
    <w:p>
      <w:pPr>
        <w:spacing w:line="271" w:lineRule="auto" w:before="24"/>
        <w:ind w:left="291" w:right="753" w:firstLine="0"/>
        <w:jc w:val="left"/>
        <w:rPr>
          <w:rFonts w:ascii="Book Antiqua" w:hAnsi="Book Antiqua"/>
          <w:sz w:val="15"/>
        </w:rPr>
      </w:pPr>
      <w:r>
        <w:rPr>
          <w:rFonts w:ascii="Book Antiqua" w:hAnsi="Book Antiqua"/>
          <w:color w:val="231F20"/>
          <w:sz w:val="15"/>
        </w:rPr>
        <w:t>Vice President — Financial Planning </w:t>
      </w:r>
      <w:r>
        <w:rPr>
          <w:rFonts w:ascii="Book Antiqua" w:hAnsi="Book Antiqua"/>
          <w:color w:val="231F20"/>
          <w:w w:val="95"/>
          <w:sz w:val="15"/>
        </w:rPr>
        <w:t>and Analysis</w:t>
      </w:r>
    </w:p>
    <w:p>
      <w:pPr>
        <w:spacing w:before="89"/>
        <w:ind w:left="291" w:right="0" w:firstLine="0"/>
        <w:jc w:val="left"/>
        <w:rPr>
          <w:rFonts w:ascii="Book Antiqua"/>
          <w:sz w:val="15"/>
        </w:rPr>
      </w:pPr>
      <w:r>
        <w:rPr>
          <w:rFonts w:ascii="Book Antiqua"/>
          <w:color w:val="231F20"/>
          <w:sz w:val="15"/>
        </w:rPr>
        <w:t>TAMMYE  WALKER-JONES</w:t>
      </w:r>
    </w:p>
    <w:p>
      <w:pPr>
        <w:spacing w:before="24"/>
        <w:ind w:left="291" w:right="0" w:firstLine="0"/>
        <w:jc w:val="left"/>
        <w:rPr>
          <w:rFonts w:ascii="Book Antiqua" w:hAnsi="Book Antiqua"/>
          <w:sz w:val="15"/>
        </w:rPr>
      </w:pPr>
      <w:r>
        <w:rPr>
          <w:rFonts w:ascii="Book Antiqua" w:hAnsi="Book Antiqua"/>
          <w:color w:val="231F20"/>
          <w:w w:val="95"/>
          <w:sz w:val="15"/>
        </w:rPr>
        <w:t>Vice President — Inflight</w:t>
      </w:r>
    </w:p>
    <w:p>
      <w:pPr>
        <w:spacing w:before="113"/>
        <w:ind w:left="291" w:right="0" w:firstLine="0"/>
        <w:jc w:val="left"/>
        <w:rPr>
          <w:rFonts w:ascii="Book Antiqua"/>
          <w:sz w:val="15"/>
        </w:rPr>
      </w:pPr>
      <w:r>
        <w:rPr>
          <w:rFonts w:ascii="Book Antiqua"/>
          <w:color w:val="231F20"/>
          <w:w w:val="110"/>
          <w:sz w:val="15"/>
        </w:rPr>
        <w:t>GREG WELLS</w:t>
      </w:r>
    </w:p>
    <w:p>
      <w:pPr>
        <w:spacing w:line="271" w:lineRule="auto" w:before="24"/>
        <w:ind w:left="291" w:right="1133" w:firstLine="0"/>
        <w:jc w:val="left"/>
        <w:rPr>
          <w:rFonts w:ascii="Book Antiqua" w:hAnsi="Book Antiqua"/>
          <w:sz w:val="15"/>
        </w:rPr>
      </w:pPr>
      <w:r>
        <w:rPr>
          <w:rFonts w:ascii="Book Antiqua" w:hAnsi="Book Antiqua"/>
          <w:color w:val="231F20"/>
          <w:sz w:val="15"/>
        </w:rPr>
        <w:t>Vice President — Safety, Security, and Flight Dispatch</w:t>
      </w:r>
    </w:p>
    <w:p>
      <w:pPr>
        <w:spacing w:before="89"/>
        <w:ind w:left="291" w:right="0" w:firstLine="0"/>
        <w:jc w:val="left"/>
        <w:rPr>
          <w:rFonts w:ascii="Book Antiqua"/>
          <w:sz w:val="15"/>
        </w:rPr>
      </w:pPr>
      <w:r>
        <w:rPr>
          <w:rFonts w:ascii="Book Antiqua"/>
          <w:color w:val="231F20"/>
          <w:w w:val="105"/>
          <w:sz w:val="15"/>
        </w:rPr>
        <w:t>STEVEN P. WHALEY</w:t>
      </w:r>
    </w:p>
    <w:p>
      <w:pPr>
        <w:spacing w:before="24"/>
        <w:ind w:left="291" w:right="0" w:firstLine="0"/>
        <w:jc w:val="left"/>
        <w:rPr>
          <w:rFonts w:ascii="Book Antiqua"/>
          <w:sz w:val="15"/>
        </w:rPr>
      </w:pPr>
      <w:r>
        <w:rPr>
          <w:rFonts w:ascii="Book Antiqua"/>
          <w:color w:val="231F20"/>
          <w:sz w:val="15"/>
        </w:rPr>
        <w:t>Controller</w:t>
      </w:r>
    </w:p>
    <w:p>
      <w:pPr>
        <w:spacing w:before="114"/>
        <w:ind w:left="291" w:right="0" w:firstLine="0"/>
        <w:jc w:val="left"/>
        <w:rPr>
          <w:rFonts w:ascii="Book Antiqua"/>
          <w:sz w:val="15"/>
        </w:rPr>
      </w:pPr>
      <w:r>
        <w:rPr>
          <w:rFonts w:ascii="Book Antiqua"/>
          <w:color w:val="231F20"/>
          <w:sz w:val="15"/>
        </w:rPr>
        <w:t>LAURA  H. WRIGHT</w:t>
      </w:r>
    </w:p>
    <w:p>
      <w:pPr>
        <w:spacing w:before="25"/>
        <w:ind w:left="291" w:right="0" w:firstLine="0"/>
        <w:jc w:val="left"/>
        <w:rPr>
          <w:rFonts w:ascii="Book Antiqua" w:hAnsi="Book Antiqua"/>
          <w:sz w:val="15"/>
        </w:rPr>
      </w:pPr>
      <w:r>
        <w:rPr>
          <w:rFonts w:ascii="Book Antiqua" w:hAnsi="Book Antiqua"/>
          <w:color w:val="231F20"/>
          <w:sz w:val="15"/>
        </w:rPr>
        <w:t>Vice President — Finance and Treasurer</w:t>
      </w:r>
    </w:p>
    <w:p>
      <w:pPr>
        <w:pStyle w:val="BodyText"/>
        <w:spacing w:before="5"/>
        <w:rPr>
          <w:rFonts w:ascii="Book Antiqua"/>
          <w:sz w:val="25"/>
        </w:rPr>
      </w:pPr>
    </w:p>
    <w:p>
      <w:pPr>
        <w:spacing w:before="0"/>
        <w:ind w:left="291" w:right="0" w:firstLine="0"/>
        <w:jc w:val="left"/>
        <w:rPr>
          <w:rFonts w:ascii="Book Antiqua"/>
          <w:sz w:val="16"/>
        </w:rPr>
      </w:pPr>
      <w:r>
        <w:rPr>
          <w:rFonts w:ascii="Book Antiqua"/>
          <w:color w:val="231F20"/>
          <w:sz w:val="16"/>
        </w:rPr>
        <w:t>*Member of Executive Planning Committee</w:t>
      </w:r>
    </w:p>
    <w:p>
      <w:pPr>
        <w:spacing w:after="0"/>
        <w:jc w:val="left"/>
        <w:rPr>
          <w:rFonts w:ascii="Book Antiqua"/>
          <w:sz w:val="16"/>
        </w:rPr>
        <w:sectPr>
          <w:type w:val="continuous"/>
          <w:pgSz w:w="12240" w:h="15840"/>
          <w:pgMar w:top="320" w:bottom="280" w:left="380" w:right="840"/>
          <w:cols w:num="3" w:equalWidth="0">
            <w:col w:w="3791" w:space="40"/>
            <w:col w:w="3460" w:space="40"/>
            <w:col w:w="3689"/>
          </w:cols>
        </w:sectPr>
      </w:pPr>
    </w:p>
    <w:p>
      <w:pPr>
        <w:pStyle w:val="BodyText"/>
        <w:rPr>
          <w:rFonts w:ascii="Book Antiqua"/>
          <w:sz w:val="20"/>
        </w:rPr>
      </w:pPr>
      <w:r>
        <w:rPr/>
        <w:pict>
          <v:rect style="position:absolute;margin-left:0pt;margin-top:0pt;width:612pt;height:792pt;mso-position-horizontal-relative:page;mso-position-vertical-relative:page;z-index:-232624" filled="true" fillcolor="#c7c8ca" stroked="false">
            <v:fill type="solid"/>
            <w10:wrap type="none"/>
          </v:rect>
        </w:pict>
      </w:r>
    </w:p>
    <w:p>
      <w:pPr>
        <w:pStyle w:val="BodyText"/>
        <w:rPr>
          <w:rFonts w:ascii="Book Antiqua"/>
          <w:sz w:val="20"/>
        </w:rPr>
      </w:pPr>
    </w:p>
    <w:p>
      <w:pPr>
        <w:pStyle w:val="BodyText"/>
        <w:rPr>
          <w:rFonts w:ascii="Book Antiqua"/>
          <w:sz w:val="20"/>
        </w:rPr>
      </w:pPr>
    </w:p>
    <w:p>
      <w:pPr>
        <w:pStyle w:val="BodyText"/>
        <w:spacing w:before="2"/>
        <w:rPr>
          <w:rFonts w:ascii="Book Antiqua"/>
          <w:sz w:val="28"/>
        </w:rPr>
      </w:pPr>
    </w:p>
    <w:p>
      <w:pPr>
        <w:pStyle w:val="BodyText"/>
        <w:spacing w:line="20" w:lineRule="exact"/>
        <w:ind w:left="115"/>
        <w:rPr>
          <w:rFonts w:ascii="Book Antiqua"/>
          <w:sz w:val="2"/>
        </w:rPr>
      </w:pPr>
      <w:r>
        <w:rPr>
          <w:rFonts w:ascii="Book Antiqua"/>
          <w:sz w:val="2"/>
        </w:rPr>
        <w:pict>
          <v:group style="width:522.5pt;height:.5pt;mso-position-horizontal-relative:char;mso-position-vertical-relative:line" coordorigin="0,0" coordsize="10450,10">
            <v:line style="position:absolute" from="5,5" to="10445,5" stroked="true" strokeweight=".5pt" strokecolor="#231f20">
              <v:stroke dashstyle="solid"/>
            </v:line>
          </v:group>
        </w:pict>
      </w:r>
      <w:r>
        <w:rPr>
          <w:rFonts w:ascii="Book Antiqua"/>
          <w:sz w:val="2"/>
        </w:rPr>
      </w:r>
    </w:p>
    <w:p>
      <w:pPr>
        <w:pStyle w:val="BodyText"/>
        <w:rPr>
          <w:rFonts w:ascii="Book Antiqua"/>
          <w:sz w:val="20"/>
        </w:rPr>
      </w:pPr>
    </w:p>
    <w:p>
      <w:pPr>
        <w:pStyle w:val="BodyText"/>
        <w:spacing w:before="12"/>
        <w:rPr>
          <w:rFonts w:ascii="Book Antiqua"/>
          <w:sz w:val="14"/>
        </w:rPr>
      </w:pPr>
    </w:p>
    <w:p>
      <w:pPr>
        <w:spacing w:before="94"/>
        <w:ind w:left="120" w:right="0" w:firstLine="0"/>
        <w:jc w:val="both"/>
        <w:rPr>
          <w:rFonts w:ascii="Book Antiqua" w:hAnsi="Book Antiqua"/>
          <w:sz w:val="17"/>
        </w:rPr>
      </w:pPr>
      <w:r>
        <w:rPr>
          <w:rFonts w:ascii="Book Antiqua" w:hAnsi="Book Antiqua"/>
          <w:color w:val="231F20"/>
          <w:sz w:val="17"/>
        </w:rPr>
        <w:t>“One of the interesting results of this financial crisis is that some airlines have found ways to operate far more efficiently – and cheaply.</w:t>
      </w:r>
    </w:p>
    <w:p>
      <w:pPr>
        <w:spacing w:before="118"/>
        <w:ind w:left="120" w:right="0" w:firstLine="0"/>
        <w:jc w:val="both"/>
        <w:rPr>
          <w:rFonts w:ascii="Book Antiqua" w:hAnsi="Book Antiqua"/>
          <w:sz w:val="16"/>
        </w:rPr>
      </w:pPr>
      <w:r>
        <w:rPr>
          <w:rFonts w:ascii="Book Antiqua" w:hAnsi="Book Antiqua"/>
          <w:color w:val="231F20"/>
          <w:sz w:val="17"/>
        </w:rPr>
        <w:t>The ideas aren’t really new – many are things Southwest has been doing for years.” </w:t>
      </w:r>
      <w:r>
        <w:rPr>
          <w:rFonts w:ascii="Georgia" w:hAnsi="Georgia"/>
          <w:i/>
          <w:color w:val="231F20"/>
          <w:sz w:val="16"/>
        </w:rPr>
        <w:t>– USA Today, </w:t>
      </w:r>
      <w:r>
        <w:rPr>
          <w:rFonts w:ascii="Book Antiqua" w:hAnsi="Book Antiqua"/>
          <w:color w:val="231F20"/>
          <w:sz w:val="16"/>
        </w:rPr>
        <w:t>January 9, 2003</w:t>
      </w:r>
    </w:p>
    <w:p>
      <w:pPr>
        <w:pStyle w:val="BodyText"/>
        <w:rPr>
          <w:rFonts w:ascii="Book Antiqua"/>
          <w:sz w:val="20"/>
        </w:rPr>
      </w:pPr>
    </w:p>
    <w:p>
      <w:pPr>
        <w:spacing w:before="149"/>
        <w:ind w:left="120" w:right="0" w:firstLine="0"/>
        <w:jc w:val="both"/>
        <w:rPr>
          <w:rFonts w:ascii="Book Antiqua" w:hAnsi="Book Antiqua"/>
          <w:sz w:val="17"/>
        </w:rPr>
      </w:pPr>
      <w:r>
        <w:rPr>
          <w:rFonts w:ascii="Book Antiqua" w:hAnsi="Book Antiqua"/>
          <w:color w:val="231F20"/>
          <w:sz w:val="17"/>
        </w:rPr>
        <w:t>“The top ten won the business world’s regard…by refocusing attention where it counts the most: on customers and employees.”</w:t>
      </w:r>
    </w:p>
    <w:p>
      <w:pPr>
        <w:spacing w:before="128"/>
        <w:ind w:left="120" w:right="0" w:firstLine="0"/>
        <w:jc w:val="both"/>
        <w:rPr>
          <w:rFonts w:ascii="Book Antiqua" w:hAnsi="Book Antiqua"/>
          <w:sz w:val="16"/>
        </w:rPr>
      </w:pPr>
      <w:r>
        <w:rPr>
          <w:rFonts w:ascii="Book Antiqua" w:hAnsi="Book Antiqua"/>
          <w:color w:val="231F20"/>
          <w:sz w:val="16"/>
        </w:rPr>
        <w:t>— </w:t>
      </w:r>
      <w:r>
        <w:rPr>
          <w:rFonts w:ascii="Georgia" w:hAnsi="Georgia"/>
          <w:i/>
          <w:color w:val="231F20"/>
          <w:sz w:val="16"/>
        </w:rPr>
        <w:t>FORTUNE </w:t>
      </w:r>
      <w:r>
        <w:rPr>
          <w:rFonts w:ascii="Book Antiqua" w:hAnsi="Book Antiqua"/>
          <w:color w:val="231F20"/>
          <w:sz w:val="16"/>
        </w:rPr>
        <w:t>magazine, in its annual listing of “America’s Most Admired Companies,” in which Southwest finished second, February 19, 2003</w:t>
      </w:r>
    </w:p>
    <w:p>
      <w:pPr>
        <w:pStyle w:val="BodyText"/>
        <w:rPr>
          <w:rFonts w:ascii="Book Antiqua"/>
          <w:sz w:val="20"/>
        </w:rPr>
      </w:pPr>
    </w:p>
    <w:p>
      <w:pPr>
        <w:spacing w:line="374" w:lineRule="auto" w:before="153"/>
        <w:ind w:left="120" w:right="110" w:firstLine="0"/>
        <w:jc w:val="both"/>
        <w:rPr>
          <w:rFonts w:ascii="Book Antiqua" w:hAnsi="Book Antiqua"/>
          <w:sz w:val="16"/>
        </w:rPr>
      </w:pPr>
      <w:r>
        <w:rPr>
          <w:rFonts w:ascii="Book Antiqua" w:hAnsi="Book Antiqua"/>
          <w:color w:val="231F20"/>
          <w:sz w:val="17"/>
        </w:rPr>
        <w:t>Rather than starting their own, “If Delta and United really want to invest in a discount airline, there’s a better way: Buy some Southwest stock.” </w:t>
      </w:r>
      <w:r>
        <w:rPr>
          <w:rFonts w:ascii="Book Antiqua" w:hAnsi="Book Antiqua"/>
          <w:color w:val="231F20"/>
          <w:sz w:val="16"/>
        </w:rPr>
        <w:t>– </w:t>
      </w:r>
      <w:r>
        <w:rPr>
          <w:rFonts w:ascii="Georgia" w:hAnsi="Georgia"/>
          <w:i/>
          <w:color w:val="231F20"/>
          <w:sz w:val="16"/>
        </w:rPr>
        <w:t>Washington Post </w:t>
      </w:r>
      <w:r>
        <w:rPr>
          <w:rFonts w:ascii="Book Antiqua" w:hAnsi="Book Antiqua"/>
          <w:color w:val="231F20"/>
          <w:sz w:val="16"/>
        </w:rPr>
        <w:t>columnist Steven Pearlstein, in an article titled “Airline Recovery Plans Fly in the Face of Reason,” March 25,  2003</w:t>
      </w:r>
    </w:p>
    <w:p>
      <w:pPr>
        <w:pStyle w:val="BodyText"/>
        <w:spacing w:before="6"/>
        <w:rPr>
          <w:rFonts w:ascii="Book Antiqua"/>
          <w:sz w:val="22"/>
        </w:rPr>
      </w:pPr>
    </w:p>
    <w:p>
      <w:pPr>
        <w:spacing w:line="374" w:lineRule="auto" w:before="1"/>
        <w:ind w:left="120" w:right="110" w:firstLine="0"/>
        <w:jc w:val="both"/>
        <w:rPr>
          <w:rFonts w:ascii="Book Antiqua" w:hAnsi="Book Antiqua"/>
          <w:sz w:val="16"/>
        </w:rPr>
      </w:pPr>
      <w:r>
        <w:rPr>
          <w:rFonts w:ascii="Book Antiqua" w:hAnsi="Book Antiqua"/>
          <w:color w:val="231F20"/>
          <w:spacing w:val="2"/>
          <w:sz w:val="17"/>
        </w:rPr>
        <w:t>“Unlike</w:t>
      </w:r>
      <w:r>
        <w:rPr>
          <w:rFonts w:ascii="Book Antiqua" w:hAnsi="Book Antiqua"/>
          <w:color w:val="231F20"/>
          <w:spacing w:val="-18"/>
          <w:sz w:val="17"/>
        </w:rPr>
        <w:t> </w:t>
      </w:r>
      <w:r>
        <w:rPr>
          <w:rFonts w:ascii="Book Antiqua" w:hAnsi="Book Antiqua"/>
          <w:color w:val="231F20"/>
          <w:spacing w:val="3"/>
          <w:sz w:val="17"/>
        </w:rPr>
        <w:t>other</w:t>
      </w:r>
      <w:r>
        <w:rPr>
          <w:rFonts w:ascii="Book Antiqua" w:hAnsi="Book Antiqua"/>
          <w:color w:val="231F20"/>
          <w:spacing w:val="-22"/>
          <w:sz w:val="17"/>
        </w:rPr>
        <w:t> </w:t>
      </w:r>
      <w:r>
        <w:rPr>
          <w:rFonts w:ascii="Book Antiqua" w:hAnsi="Book Antiqua"/>
          <w:color w:val="231F20"/>
          <w:spacing w:val="4"/>
          <w:sz w:val="17"/>
        </w:rPr>
        <w:t>carriers,</w:t>
      </w:r>
      <w:r>
        <w:rPr>
          <w:rFonts w:ascii="Book Antiqua" w:hAnsi="Book Antiqua"/>
          <w:color w:val="231F20"/>
          <w:spacing w:val="-21"/>
          <w:sz w:val="17"/>
        </w:rPr>
        <w:t> </w:t>
      </w:r>
      <w:r>
        <w:rPr>
          <w:rFonts w:ascii="Book Antiqua" w:hAnsi="Book Antiqua"/>
          <w:color w:val="231F20"/>
          <w:spacing w:val="2"/>
          <w:sz w:val="17"/>
        </w:rPr>
        <w:t>Southwest</w:t>
      </w:r>
      <w:r>
        <w:rPr>
          <w:rFonts w:ascii="Book Antiqua" w:hAnsi="Book Antiqua"/>
          <w:color w:val="231F20"/>
          <w:spacing w:val="-21"/>
          <w:sz w:val="17"/>
        </w:rPr>
        <w:t> </w:t>
      </w:r>
      <w:r>
        <w:rPr>
          <w:rFonts w:ascii="Book Antiqua" w:hAnsi="Book Antiqua"/>
          <w:color w:val="231F20"/>
          <w:spacing w:val="3"/>
          <w:sz w:val="17"/>
        </w:rPr>
        <w:t>has</w:t>
      </w:r>
      <w:r>
        <w:rPr>
          <w:rFonts w:ascii="Book Antiqua" w:hAnsi="Book Antiqua"/>
          <w:color w:val="231F20"/>
          <w:spacing w:val="-18"/>
          <w:sz w:val="17"/>
        </w:rPr>
        <w:t> </w:t>
      </w:r>
      <w:r>
        <w:rPr>
          <w:rFonts w:ascii="Book Antiqua" w:hAnsi="Book Antiqua"/>
          <w:color w:val="231F20"/>
          <w:spacing w:val="3"/>
          <w:sz w:val="17"/>
        </w:rPr>
        <w:t>lured</w:t>
      </w:r>
      <w:r>
        <w:rPr>
          <w:rFonts w:ascii="Book Antiqua" w:hAnsi="Book Antiqua"/>
          <w:color w:val="231F20"/>
          <w:spacing w:val="-18"/>
          <w:sz w:val="17"/>
        </w:rPr>
        <w:t> </w:t>
      </w:r>
      <w:r>
        <w:rPr>
          <w:rFonts w:ascii="Book Antiqua" w:hAnsi="Book Antiqua"/>
          <w:color w:val="231F20"/>
          <w:spacing w:val="3"/>
          <w:sz w:val="17"/>
        </w:rPr>
        <w:t>plenty</w:t>
      </w:r>
      <w:r>
        <w:rPr>
          <w:rFonts w:ascii="Book Antiqua" w:hAnsi="Book Antiqua"/>
          <w:color w:val="231F20"/>
          <w:spacing w:val="-22"/>
          <w:sz w:val="17"/>
        </w:rPr>
        <w:t> </w:t>
      </w:r>
      <w:r>
        <w:rPr>
          <w:rFonts w:ascii="Book Antiqua" w:hAnsi="Book Antiqua"/>
          <w:color w:val="231F20"/>
          <w:spacing w:val="2"/>
          <w:sz w:val="17"/>
        </w:rPr>
        <w:t>of</w:t>
      </w:r>
      <w:r>
        <w:rPr>
          <w:rFonts w:ascii="Book Antiqua" w:hAnsi="Book Antiqua"/>
          <w:color w:val="231F20"/>
          <w:spacing w:val="-18"/>
          <w:sz w:val="17"/>
        </w:rPr>
        <w:t> </w:t>
      </w:r>
      <w:r>
        <w:rPr>
          <w:rFonts w:ascii="Book Antiqua" w:hAnsi="Book Antiqua"/>
          <w:color w:val="231F20"/>
          <w:spacing w:val="4"/>
          <w:sz w:val="17"/>
        </w:rPr>
        <w:t>Customers</w:t>
      </w:r>
      <w:r>
        <w:rPr>
          <w:rFonts w:ascii="Book Antiqua" w:hAnsi="Book Antiqua"/>
          <w:color w:val="231F20"/>
          <w:spacing w:val="-20"/>
          <w:sz w:val="17"/>
        </w:rPr>
        <w:t> </w:t>
      </w:r>
      <w:r>
        <w:rPr>
          <w:rFonts w:ascii="Book Antiqua" w:hAnsi="Book Antiqua"/>
          <w:color w:val="231F20"/>
          <w:spacing w:val="4"/>
          <w:sz w:val="17"/>
        </w:rPr>
        <w:t>without</w:t>
      </w:r>
      <w:r>
        <w:rPr>
          <w:rFonts w:ascii="Book Antiqua" w:hAnsi="Book Antiqua"/>
          <w:color w:val="231F20"/>
          <w:spacing w:val="-21"/>
          <w:sz w:val="17"/>
        </w:rPr>
        <w:t> </w:t>
      </w:r>
      <w:r>
        <w:rPr>
          <w:rFonts w:ascii="Book Antiqua" w:hAnsi="Book Antiqua"/>
          <w:color w:val="231F20"/>
          <w:spacing w:val="4"/>
          <w:sz w:val="17"/>
        </w:rPr>
        <w:t>partnering</w:t>
      </w:r>
      <w:r>
        <w:rPr>
          <w:rFonts w:ascii="Book Antiqua" w:hAnsi="Book Antiqua"/>
          <w:color w:val="231F20"/>
          <w:spacing w:val="-20"/>
          <w:sz w:val="17"/>
        </w:rPr>
        <w:t> </w:t>
      </w:r>
      <w:r>
        <w:rPr>
          <w:rFonts w:ascii="Book Antiqua" w:hAnsi="Book Antiqua"/>
          <w:color w:val="231F20"/>
          <w:spacing w:val="3"/>
          <w:sz w:val="17"/>
        </w:rPr>
        <w:t>with</w:t>
      </w:r>
      <w:r>
        <w:rPr>
          <w:rFonts w:ascii="Book Antiqua" w:hAnsi="Book Antiqua"/>
          <w:color w:val="231F20"/>
          <w:spacing w:val="-18"/>
          <w:sz w:val="17"/>
        </w:rPr>
        <w:t> </w:t>
      </w:r>
      <w:r>
        <w:rPr>
          <w:rFonts w:ascii="Book Antiqua" w:hAnsi="Book Antiqua"/>
          <w:color w:val="231F20"/>
          <w:spacing w:val="2"/>
          <w:sz w:val="17"/>
        </w:rPr>
        <w:t>travel</w:t>
      </w:r>
      <w:r>
        <w:rPr>
          <w:rFonts w:ascii="Book Antiqua" w:hAnsi="Book Antiqua"/>
          <w:color w:val="231F20"/>
          <w:spacing w:val="-23"/>
          <w:sz w:val="17"/>
        </w:rPr>
        <w:t> </w:t>
      </w:r>
      <w:r>
        <w:rPr>
          <w:rFonts w:ascii="Book Antiqua" w:hAnsi="Book Antiqua"/>
          <w:color w:val="231F20"/>
          <w:spacing w:val="-5"/>
          <w:sz w:val="17"/>
        </w:rPr>
        <w:t>Web</w:t>
      </w:r>
      <w:r>
        <w:rPr>
          <w:rFonts w:ascii="Book Antiqua" w:hAnsi="Book Antiqua"/>
          <w:color w:val="231F20"/>
          <w:spacing w:val="-18"/>
          <w:sz w:val="17"/>
        </w:rPr>
        <w:t> </w:t>
      </w:r>
      <w:r>
        <w:rPr>
          <w:rFonts w:ascii="Book Antiqua" w:hAnsi="Book Antiqua"/>
          <w:color w:val="231F20"/>
          <w:spacing w:val="3"/>
          <w:sz w:val="17"/>
        </w:rPr>
        <w:t>sites</w:t>
      </w:r>
      <w:r>
        <w:rPr>
          <w:rFonts w:ascii="Book Antiqua" w:hAnsi="Book Antiqua"/>
          <w:color w:val="231F20"/>
          <w:spacing w:val="-18"/>
          <w:sz w:val="17"/>
        </w:rPr>
        <w:t> </w:t>
      </w:r>
      <w:r>
        <w:rPr>
          <w:rFonts w:ascii="Book Antiqua" w:hAnsi="Book Antiqua"/>
          <w:color w:val="231F20"/>
          <w:spacing w:val="3"/>
          <w:sz w:val="17"/>
        </w:rPr>
        <w:t>Expedia,</w:t>
      </w:r>
      <w:r>
        <w:rPr>
          <w:rFonts w:ascii="Book Antiqua" w:hAnsi="Book Antiqua"/>
          <w:color w:val="231F20"/>
          <w:spacing w:val="-25"/>
          <w:sz w:val="17"/>
        </w:rPr>
        <w:t> </w:t>
      </w:r>
      <w:r>
        <w:rPr>
          <w:rFonts w:ascii="Book Antiqua" w:hAnsi="Book Antiqua"/>
          <w:color w:val="231F20"/>
          <w:sz w:val="17"/>
        </w:rPr>
        <w:t>Travelocity,</w:t>
      </w:r>
      <w:r>
        <w:rPr>
          <w:rFonts w:ascii="Book Antiqua" w:hAnsi="Book Antiqua"/>
          <w:color w:val="231F20"/>
          <w:spacing w:val="-21"/>
          <w:sz w:val="17"/>
        </w:rPr>
        <w:t> </w:t>
      </w:r>
      <w:r>
        <w:rPr>
          <w:rFonts w:ascii="Book Antiqua" w:hAnsi="Book Antiqua"/>
          <w:color w:val="231F20"/>
          <w:spacing w:val="2"/>
          <w:sz w:val="17"/>
        </w:rPr>
        <w:t>and</w:t>
      </w:r>
      <w:r>
        <w:rPr>
          <w:rFonts w:ascii="Book Antiqua" w:hAnsi="Book Antiqua"/>
          <w:color w:val="231F20"/>
          <w:spacing w:val="-18"/>
          <w:sz w:val="17"/>
        </w:rPr>
        <w:t> </w:t>
      </w:r>
      <w:r>
        <w:rPr>
          <w:rFonts w:ascii="Book Antiqua" w:hAnsi="Book Antiqua"/>
          <w:color w:val="231F20"/>
          <w:spacing w:val="4"/>
          <w:sz w:val="17"/>
        </w:rPr>
        <w:t>Orbitz. </w:t>
      </w:r>
      <w:r>
        <w:rPr>
          <w:rFonts w:ascii="Book Antiqua" w:hAnsi="Book Antiqua"/>
          <w:color w:val="231F20"/>
          <w:spacing w:val="3"/>
          <w:sz w:val="17"/>
        </w:rPr>
        <w:t>‘Their</w:t>
      </w:r>
      <w:r>
        <w:rPr>
          <w:rFonts w:ascii="Book Antiqua" w:hAnsi="Book Antiqua"/>
          <w:color w:val="231F20"/>
          <w:spacing w:val="-12"/>
          <w:sz w:val="17"/>
        </w:rPr>
        <w:t> </w:t>
      </w:r>
      <w:r>
        <w:rPr>
          <w:rFonts w:ascii="Book Antiqua" w:hAnsi="Book Antiqua"/>
          <w:color w:val="231F20"/>
          <w:spacing w:val="3"/>
          <w:sz w:val="17"/>
        </w:rPr>
        <w:t>Customers</w:t>
      </w:r>
      <w:r>
        <w:rPr>
          <w:rFonts w:ascii="Book Antiqua" w:hAnsi="Book Antiqua"/>
          <w:color w:val="231F20"/>
          <w:spacing w:val="-7"/>
          <w:sz w:val="17"/>
        </w:rPr>
        <w:t> </w:t>
      </w:r>
      <w:r>
        <w:rPr>
          <w:rFonts w:ascii="Book Antiqua" w:hAnsi="Book Antiqua"/>
          <w:color w:val="231F20"/>
          <w:spacing w:val="3"/>
          <w:sz w:val="17"/>
        </w:rPr>
        <w:t>seek</w:t>
      </w:r>
      <w:r>
        <w:rPr>
          <w:rFonts w:ascii="Book Antiqua" w:hAnsi="Book Antiqua"/>
          <w:color w:val="231F20"/>
          <w:spacing w:val="-10"/>
          <w:sz w:val="17"/>
        </w:rPr>
        <w:t> </w:t>
      </w:r>
      <w:r>
        <w:rPr>
          <w:rFonts w:ascii="Book Antiqua" w:hAnsi="Book Antiqua"/>
          <w:color w:val="231F20"/>
          <w:spacing w:val="2"/>
          <w:sz w:val="17"/>
        </w:rPr>
        <w:t>them</w:t>
      </w:r>
      <w:r>
        <w:rPr>
          <w:rFonts w:ascii="Book Antiqua" w:hAnsi="Book Antiqua"/>
          <w:color w:val="231F20"/>
          <w:spacing w:val="-7"/>
          <w:sz w:val="17"/>
        </w:rPr>
        <w:t> </w:t>
      </w:r>
      <w:r>
        <w:rPr>
          <w:rFonts w:ascii="Book Antiqua" w:hAnsi="Book Antiqua"/>
          <w:color w:val="231F20"/>
          <w:spacing w:val="3"/>
          <w:sz w:val="17"/>
        </w:rPr>
        <w:t>out,</w:t>
      </w:r>
      <w:r>
        <w:rPr>
          <w:rFonts w:ascii="Book Antiqua" w:hAnsi="Book Antiqua"/>
          <w:color w:val="231F20"/>
          <w:spacing w:val="-12"/>
          <w:sz w:val="17"/>
        </w:rPr>
        <w:t> </w:t>
      </w:r>
      <w:r>
        <w:rPr>
          <w:rFonts w:ascii="Book Antiqua" w:hAnsi="Book Antiqua"/>
          <w:color w:val="231F20"/>
          <w:spacing w:val="4"/>
          <w:sz w:val="17"/>
        </w:rPr>
        <w:t>which</w:t>
      </w:r>
      <w:r>
        <w:rPr>
          <w:rFonts w:ascii="Book Antiqua" w:hAnsi="Book Antiqua"/>
          <w:color w:val="231F20"/>
          <w:spacing w:val="-7"/>
          <w:sz w:val="17"/>
        </w:rPr>
        <w:t> </w:t>
      </w:r>
      <w:r>
        <w:rPr>
          <w:rFonts w:ascii="Book Antiqua" w:hAnsi="Book Antiqua"/>
          <w:color w:val="231F20"/>
          <w:spacing w:val="2"/>
          <w:sz w:val="17"/>
        </w:rPr>
        <w:t>is</w:t>
      </w:r>
      <w:r>
        <w:rPr>
          <w:rFonts w:ascii="Book Antiqua" w:hAnsi="Book Antiqua"/>
          <w:color w:val="231F20"/>
          <w:spacing w:val="-7"/>
          <w:sz w:val="17"/>
        </w:rPr>
        <w:t> </w:t>
      </w:r>
      <w:r>
        <w:rPr>
          <w:rFonts w:ascii="Book Antiqua" w:hAnsi="Book Antiqua"/>
          <w:color w:val="231F20"/>
          <w:spacing w:val="2"/>
          <w:sz w:val="17"/>
        </w:rPr>
        <w:t>tremendous,’</w:t>
      </w:r>
      <w:r>
        <w:rPr>
          <w:rFonts w:ascii="Book Antiqua" w:hAnsi="Book Antiqua"/>
          <w:color w:val="231F20"/>
          <w:spacing w:val="-13"/>
          <w:sz w:val="17"/>
        </w:rPr>
        <w:t> </w:t>
      </w:r>
      <w:r>
        <w:rPr>
          <w:rFonts w:ascii="Book Antiqua" w:hAnsi="Book Antiqua"/>
          <w:color w:val="231F20"/>
          <w:spacing w:val="3"/>
          <w:sz w:val="17"/>
        </w:rPr>
        <w:t>said</w:t>
      </w:r>
      <w:r>
        <w:rPr>
          <w:rFonts w:ascii="Book Antiqua" w:hAnsi="Book Antiqua"/>
          <w:color w:val="231F20"/>
          <w:spacing w:val="-7"/>
          <w:sz w:val="17"/>
        </w:rPr>
        <w:t> </w:t>
      </w:r>
      <w:r>
        <w:rPr>
          <w:rFonts w:ascii="Book Antiqua" w:hAnsi="Book Antiqua"/>
          <w:color w:val="231F20"/>
          <w:spacing w:val="2"/>
          <w:sz w:val="17"/>
        </w:rPr>
        <w:t>Paul</w:t>
      </w:r>
      <w:r>
        <w:rPr>
          <w:rFonts w:ascii="Book Antiqua" w:hAnsi="Book Antiqua"/>
          <w:color w:val="231F20"/>
          <w:spacing w:val="-7"/>
          <w:sz w:val="17"/>
        </w:rPr>
        <w:t> </w:t>
      </w:r>
      <w:r>
        <w:rPr>
          <w:rFonts w:ascii="Book Antiqua" w:hAnsi="Book Antiqua"/>
          <w:color w:val="231F20"/>
          <w:sz w:val="17"/>
        </w:rPr>
        <w:t>Berliner,</w:t>
      </w:r>
      <w:r>
        <w:rPr>
          <w:rFonts w:ascii="Book Antiqua" w:hAnsi="Book Antiqua"/>
          <w:color w:val="231F20"/>
          <w:spacing w:val="-9"/>
          <w:sz w:val="17"/>
        </w:rPr>
        <w:t> </w:t>
      </w:r>
      <w:r>
        <w:rPr>
          <w:rFonts w:ascii="Book Antiqua" w:hAnsi="Book Antiqua"/>
          <w:color w:val="231F20"/>
          <w:spacing w:val="2"/>
          <w:sz w:val="17"/>
        </w:rPr>
        <w:t>an</w:t>
      </w:r>
      <w:r>
        <w:rPr>
          <w:rFonts w:ascii="Book Antiqua" w:hAnsi="Book Antiqua"/>
          <w:color w:val="231F20"/>
          <w:spacing w:val="-7"/>
          <w:sz w:val="17"/>
        </w:rPr>
        <w:t> </w:t>
      </w:r>
      <w:r>
        <w:rPr>
          <w:rFonts w:ascii="Book Antiqua" w:hAnsi="Book Antiqua"/>
          <w:color w:val="231F20"/>
          <w:spacing w:val="4"/>
          <w:sz w:val="17"/>
        </w:rPr>
        <w:t>industry</w:t>
      </w:r>
      <w:r>
        <w:rPr>
          <w:rFonts w:ascii="Book Antiqua" w:hAnsi="Book Antiqua"/>
          <w:color w:val="231F20"/>
          <w:spacing w:val="-11"/>
          <w:sz w:val="17"/>
        </w:rPr>
        <w:t> </w:t>
      </w:r>
      <w:r>
        <w:rPr>
          <w:rFonts w:ascii="Book Antiqua" w:hAnsi="Book Antiqua"/>
          <w:color w:val="231F20"/>
          <w:spacing w:val="4"/>
          <w:sz w:val="17"/>
        </w:rPr>
        <w:t>consultant.</w:t>
      </w:r>
      <w:r>
        <w:rPr>
          <w:rFonts w:ascii="Book Antiqua" w:hAnsi="Book Antiqua"/>
          <w:color w:val="231F20"/>
          <w:spacing w:val="-13"/>
          <w:sz w:val="17"/>
        </w:rPr>
        <w:t> </w:t>
      </w:r>
      <w:r>
        <w:rPr>
          <w:rFonts w:ascii="Book Antiqua" w:hAnsi="Book Antiqua"/>
          <w:color w:val="231F20"/>
          <w:spacing w:val="2"/>
          <w:sz w:val="17"/>
        </w:rPr>
        <w:t>‘I</w:t>
      </w:r>
      <w:r>
        <w:rPr>
          <w:rFonts w:ascii="Book Antiqua" w:hAnsi="Book Antiqua"/>
          <w:color w:val="231F20"/>
          <w:spacing w:val="-6"/>
          <w:sz w:val="17"/>
        </w:rPr>
        <w:t> </w:t>
      </w:r>
      <w:r>
        <w:rPr>
          <w:rFonts w:ascii="Book Antiqua" w:hAnsi="Book Antiqua"/>
          <w:color w:val="231F20"/>
          <w:spacing w:val="3"/>
          <w:sz w:val="17"/>
        </w:rPr>
        <w:t>mean,</w:t>
      </w:r>
      <w:r>
        <w:rPr>
          <w:rFonts w:ascii="Book Antiqua" w:hAnsi="Book Antiqua"/>
          <w:color w:val="231F20"/>
          <w:spacing w:val="-9"/>
          <w:sz w:val="17"/>
        </w:rPr>
        <w:t> </w:t>
      </w:r>
      <w:r>
        <w:rPr>
          <w:rFonts w:ascii="Book Antiqua" w:hAnsi="Book Antiqua"/>
          <w:color w:val="231F20"/>
          <w:sz w:val="17"/>
        </w:rPr>
        <w:t>my</w:t>
      </w:r>
      <w:r>
        <w:rPr>
          <w:rFonts w:ascii="Book Antiqua" w:hAnsi="Book Antiqua"/>
          <w:color w:val="231F20"/>
          <w:spacing w:val="-11"/>
          <w:sz w:val="17"/>
        </w:rPr>
        <w:t> </w:t>
      </w:r>
      <w:r>
        <w:rPr>
          <w:rFonts w:ascii="Book Antiqua" w:hAnsi="Book Antiqua"/>
          <w:color w:val="231F20"/>
          <w:spacing w:val="4"/>
          <w:sz w:val="17"/>
        </w:rPr>
        <w:t>goodness,</w:t>
      </w:r>
      <w:r>
        <w:rPr>
          <w:rFonts w:ascii="Book Antiqua" w:hAnsi="Book Antiqua"/>
          <w:color w:val="231F20"/>
          <w:spacing w:val="-9"/>
          <w:sz w:val="17"/>
        </w:rPr>
        <w:t> </w:t>
      </w:r>
      <w:r>
        <w:rPr>
          <w:rFonts w:ascii="Book Antiqua" w:hAnsi="Book Antiqua"/>
          <w:color w:val="231F20"/>
          <w:spacing w:val="3"/>
          <w:sz w:val="17"/>
        </w:rPr>
        <w:t>that’s</w:t>
      </w:r>
      <w:r>
        <w:rPr>
          <w:rFonts w:ascii="Book Antiqua" w:hAnsi="Book Antiqua"/>
          <w:color w:val="231F20"/>
          <w:spacing w:val="-9"/>
          <w:sz w:val="17"/>
        </w:rPr>
        <w:t> </w:t>
      </w:r>
      <w:r>
        <w:rPr>
          <w:rFonts w:ascii="Book Antiqua" w:hAnsi="Book Antiqua"/>
          <w:color w:val="231F20"/>
          <w:spacing w:val="3"/>
          <w:sz w:val="17"/>
        </w:rPr>
        <w:t>what</w:t>
      </w:r>
      <w:r>
        <w:rPr>
          <w:rFonts w:ascii="Book Antiqua" w:hAnsi="Book Antiqua"/>
          <w:color w:val="231F20"/>
          <w:spacing w:val="-14"/>
          <w:sz w:val="17"/>
        </w:rPr>
        <w:t> </w:t>
      </w:r>
      <w:r>
        <w:rPr>
          <w:rFonts w:ascii="Book Antiqua" w:hAnsi="Book Antiqua"/>
          <w:color w:val="231F20"/>
          <w:spacing w:val="3"/>
          <w:sz w:val="17"/>
        </w:rPr>
        <w:t>you dream about.’” </w:t>
      </w:r>
      <w:r>
        <w:rPr>
          <w:rFonts w:ascii="Book Antiqua" w:hAnsi="Book Antiqua"/>
          <w:color w:val="231F20"/>
          <w:sz w:val="16"/>
        </w:rPr>
        <w:t>– </w:t>
      </w:r>
      <w:r>
        <w:rPr>
          <w:rFonts w:ascii="Georgia" w:hAnsi="Georgia"/>
          <w:i/>
          <w:color w:val="231F20"/>
          <w:spacing w:val="2"/>
          <w:sz w:val="16"/>
        </w:rPr>
        <w:t>San </w:t>
      </w:r>
      <w:r>
        <w:rPr>
          <w:rFonts w:ascii="Georgia" w:hAnsi="Georgia"/>
          <w:i/>
          <w:color w:val="231F20"/>
          <w:sz w:val="16"/>
        </w:rPr>
        <w:t>Jose </w:t>
      </w:r>
      <w:r>
        <w:rPr>
          <w:rFonts w:ascii="Georgia" w:hAnsi="Georgia"/>
          <w:i/>
          <w:color w:val="231F20"/>
          <w:spacing w:val="3"/>
          <w:sz w:val="16"/>
        </w:rPr>
        <w:t>Mercury News</w:t>
      </w:r>
      <w:r>
        <w:rPr>
          <w:rFonts w:ascii="Book Antiqua" w:hAnsi="Book Antiqua"/>
          <w:color w:val="231F20"/>
          <w:spacing w:val="3"/>
          <w:sz w:val="16"/>
        </w:rPr>
        <w:t>, </w:t>
      </w:r>
      <w:r>
        <w:rPr>
          <w:rFonts w:ascii="Book Antiqua" w:hAnsi="Book Antiqua"/>
          <w:color w:val="231F20"/>
          <w:sz w:val="16"/>
        </w:rPr>
        <w:t>May 8,</w:t>
      </w:r>
      <w:r>
        <w:rPr>
          <w:rFonts w:ascii="Book Antiqua" w:hAnsi="Book Antiqua"/>
          <w:color w:val="231F20"/>
          <w:spacing w:val="-25"/>
          <w:sz w:val="16"/>
        </w:rPr>
        <w:t> </w:t>
      </w:r>
      <w:r>
        <w:rPr>
          <w:rFonts w:ascii="Book Antiqua" w:hAnsi="Book Antiqua"/>
          <w:color w:val="231F20"/>
          <w:spacing w:val="4"/>
          <w:sz w:val="16"/>
        </w:rPr>
        <w:t>2003</w:t>
      </w:r>
    </w:p>
    <w:p>
      <w:pPr>
        <w:pStyle w:val="BodyText"/>
        <w:spacing w:before="7"/>
        <w:rPr>
          <w:rFonts w:ascii="Book Antiqua"/>
          <w:sz w:val="22"/>
        </w:rPr>
      </w:pPr>
    </w:p>
    <w:p>
      <w:pPr>
        <w:spacing w:line="374" w:lineRule="auto" w:before="0"/>
        <w:ind w:left="120" w:right="106" w:firstLine="0"/>
        <w:jc w:val="both"/>
        <w:rPr>
          <w:rFonts w:ascii="Book Antiqua" w:hAnsi="Book Antiqua"/>
          <w:sz w:val="17"/>
        </w:rPr>
      </w:pPr>
      <w:r>
        <w:rPr>
          <w:rFonts w:ascii="Book Antiqua" w:hAnsi="Book Antiqua"/>
          <w:color w:val="231F20"/>
          <w:spacing w:val="5"/>
          <w:sz w:val="17"/>
        </w:rPr>
        <w:t>“Many</w:t>
      </w:r>
      <w:r>
        <w:rPr>
          <w:rFonts w:ascii="Book Antiqua" w:hAnsi="Book Antiqua"/>
          <w:color w:val="231F20"/>
          <w:spacing w:val="-20"/>
          <w:sz w:val="17"/>
        </w:rPr>
        <w:t> </w:t>
      </w:r>
      <w:r>
        <w:rPr>
          <w:rFonts w:ascii="Book Antiqua" w:hAnsi="Book Antiqua"/>
          <w:color w:val="231F20"/>
          <w:spacing w:val="6"/>
          <w:sz w:val="17"/>
        </w:rPr>
        <w:t>carriers,</w:t>
      </w:r>
      <w:r>
        <w:rPr>
          <w:rFonts w:ascii="Book Antiqua" w:hAnsi="Book Antiqua"/>
          <w:color w:val="231F20"/>
          <w:spacing w:val="-18"/>
          <w:sz w:val="17"/>
        </w:rPr>
        <w:t> </w:t>
      </w:r>
      <w:r>
        <w:rPr>
          <w:rFonts w:ascii="Book Antiqua" w:hAnsi="Book Antiqua"/>
          <w:color w:val="231F20"/>
          <w:spacing w:val="4"/>
          <w:sz w:val="17"/>
        </w:rPr>
        <w:t>new</w:t>
      </w:r>
      <w:r>
        <w:rPr>
          <w:rFonts w:ascii="Book Antiqua" w:hAnsi="Book Antiqua"/>
          <w:color w:val="231F20"/>
          <w:spacing w:val="-20"/>
          <w:sz w:val="17"/>
        </w:rPr>
        <w:t> </w:t>
      </w:r>
      <w:r>
        <w:rPr>
          <w:rFonts w:ascii="Book Antiqua" w:hAnsi="Book Antiqua"/>
          <w:color w:val="231F20"/>
          <w:spacing w:val="4"/>
          <w:sz w:val="17"/>
        </w:rPr>
        <w:t>and</w:t>
      </w:r>
      <w:r>
        <w:rPr>
          <w:rFonts w:ascii="Book Antiqua" w:hAnsi="Book Antiqua"/>
          <w:color w:val="231F20"/>
          <w:spacing w:val="-15"/>
          <w:sz w:val="17"/>
        </w:rPr>
        <w:t> </w:t>
      </w:r>
      <w:r>
        <w:rPr>
          <w:rFonts w:ascii="Book Antiqua" w:hAnsi="Book Antiqua"/>
          <w:color w:val="231F20"/>
          <w:spacing w:val="5"/>
          <w:sz w:val="17"/>
        </w:rPr>
        <w:t>old,</w:t>
      </w:r>
      <w:r>
        <w:rPr>
          <w:rFonts w:ascii="Book Antiqua" w:hAnsi="Book Antiqua"/>
          <w:color w:val="231F20"/>
          <w:spacing w:val="-18"/>
          <w:sz w:val="17"/>
        </w:rPr>
        <w:t> </w:t>
      </w:r>
      <w:r>
        <w:rPr>
          <w:rFonts w:ascii="Book Antiqua" w:hAnsi="Book Antiqua"/>
          <w:color w:val="231F20"/>
          <w:spacing w:val="5"/>
          <w:sz w:val="17"/>
        </w:rPr>
        <w:t>are</w:t>
      </w:r>
      <w:r>
        <w:rPr>
          <w:rFonts w:ascii="Book Antiqua" w:hAnsi="Book Antiqua"/>
          <w:color w:val="231F20"/>
          <w:spacing w:val="-15"/>
          <w:sz w:val="17"/>
        </w:rPr>
        <w:t> </w:t>
      </w:r>
      <w:r>
        <w:rPr>
          <w:rFonts w:ascii="Book Antiqua" w:hAnsi="Book Antiqua"/>
          <w:color w:val="231F20"/>
          <w:spacing w:val="7"/>
          <w:sz w:val="17"/>
        </w:rPr>
        <w:t>trying</w:t>
      </w:r>
      <w:r>
        <w:rPr>
          <w:rFonts w:ascii="Book Antiqua" w:hAnsi="Book Antiqua"/>
          <w:color w:val="231F20"/>
          <w:spacing w:val="-15"/>
          <w:sz w:val="17"/>
        </w:rPr>
        <w:t> </w:t>
      </w:r>
      <w:r>
        <w:rPr>
          <w:rFonts w:ascii="Book Antiqua" w:hAnsi="Book Antiqua"/>
          <w:color w:val="231F20"/>
          <w:spacing w:val="4"/>
          <w:sz w:val="17"/>
        </w:rPr>
        <w:t>to</w:t>
      </w:r>
      <w:r>
        <w:rPr>
          <w:rFonts w:ascii="Book Antiqua" w:hAnsi="Book Antiqua"/>
          <w:color w:val="231F20"/>
          <w:spacing w:val="-15"/>
          <w:sz w:val="17"/>
        </w:rPr>
        <w:t> </w:t>
      </w:r>
      <w:r>
        <w:rPr>
          <w:rFonts w:ascii="Book Antiqua" w:hAnsi="Book Antiqua"/>
          <w:color w:val="231F20"/>
          <w:spacing w:val="6"/>
          <w:sz w:val="17"/>
        </w:rPr>
        <w:t>emulate</w:t>
      </w:r>
      <w:r>
        <w:rPr>
          <w:rFonts w:ascii="Book Antiqua" w:hAnsi="Book Antiqua"/>
          <w:color w:val="231F20"/>
          <w:spacing w:val="-15"/>
          <w:sz w:val="17"/>
        </w:rPr>
        <w:t> </w:t>
      </w:r>
      <w:r>
        <w:rPr>
          <w:rFonts w:ascii="Book Antiqua" w:hAnsi="Book Antiqua"/>
          <w:color w:val="231F20"/>
          <w:spacing w:val="5"/>
          <w:sz w:val="17"/>
        </w:rPr>
        <w:t>Southwest’s</w:t>
      </w:r>
      <w:r>
        <w:rPr>
          <w:rFonts w:ascii="Book Antiqua" w:hAnsi="Book Antiqua"/>
          <w:color w:val="231F20"/>
          <w:spacing w:val="-15"/>
          <w:sz w:val="17"/>
        </w:rPr>
        <w:t> </w:t>
      </w:r>
      <w:r>
        <w:rPr>
          <w:rFonts w:ascii="Book Antiqua" w:hAnsi="Book Antiqua"/>
          <w:color w:val="231F20"/>
          <w:spacing w:val="6"/>
          <w:sz w:val="17"/>
        </w:rPr>
        <w:t>low-cost,</w:t>
      </w:r>
      <w:r>
        <w:rPr>
          <w:rFonts w:ascii="Book Antiqua" w:hAnsi="Book Antiqua"/>
          <w:color w:val="231F20"/>
          <w:spacing w:val="-18"/>
          <w:sz w:val="17"/>
        </w:rPr>
        <w:t> </w:t>
      </w:r>
      <w:r>
        <w:rPr>
          <w:rFonts w:ascii="Book Antiqua" w:hAnsi="Book Antiqua"/>
          <w:color w:val="231F20"/>
          <w:spacing w:val="7"/>
          <w:sz w:val="17"/>
        </w:rPr>
        <w:t>no-frills</w:t>
      </w:r>
      <w:r>
        <w:rPr>
          <w:rFonts w:ascii="Book Antiqua" w:hAnsi="Book Antiqua"/>
          <w:color w:val="231F20"/>
          <w:spacing w:val="-15"/>
          <w:sz w:val="17"/>
        </w:rPr>
        <w:t> </w:t>
      </w:r>
      <w:r>
        <w:rPr>
          <w:rFonts w:ascii="Book Antiqua" w:hAnsi="Book Antiqua"/>
          <w:color w:val="231F20"/>
          <w:spacing w:val="7"/>
          <w:sz w:val="17"/>
        </w:rPr>
        <w:t>formula.</w:t>
      </w:r>
      <w:r>
        <w:rPr>
          <w:rFonts w:ascii="Book Antiqua" w:hAnsi="Book Antiqua"/>
          <w:color w:val="231F20"/>
          <w:spacing w:val="-21"/>
          <w:sz w:val="17"/>
        </w:rPr>
        <w:t> </w:t>
      </w:r>
      <w:r>
        <w:rPr>
          <w:rFonts w:ascii="Book Antiqua" w:hAnsi="Book Antiqua"/>
          <w:color w:val="231F20"/>
          <w:spacing w:val="4"/>
          <w:sz w:val="17"/>
        </w:rPr>
        <w:t>And</w:t>
      </w:r>
      <w:r>
        <w:rPr>
          <w:rFonts w:ascii="Book Antiqua" w:hAnsi="Book Antiqua"/>
          <w:color w:val="231F20"/>
          <w:spacing w:val="-15"/>
          <w:sz w:val="17"/>
        </w:rPr>
        <w:t> </w:t>
      </w:r>
      <w:r>
        <w:rPr>
          <w:rFonts w:ascii="Book Antiqua" w:hAnsi="Book Antiqua"/>
          <w:color w:val="231F20"/>
          <w:spacing w:val="5"/>
          <w:sz w:val="17"/>
        </w:rPr>
        <w:t>there</w:t>
      </w:r>
      <w:r>
        <w:rPr>
          <w:rFonts w:ascii="Book Antiqua" w:hAnsi="Book Antiqua"/>
          <w:color w:val="231F20"/>
          <w:spacing w:val="-15"/>
          <w:sz w:val="17"/>
        </w:rPr>
        <w:t> </w:t>
      </w:r>
      <w:r>
        <w:rPr>
          <w:rFonts w:ascii="Book Antiqua" w:hAnsi="Book Antiqua"/>
          <w:color w:val="231F20"/>
          <w:spacing w:val="5"/>
          <w:sz w:val="17"/>
        </w:rPr>
        <w:t>has</w:t>
      </w:r>
      <w:r>
        <w:rPr>
          <w:rFonts w:ascii="Book Antiqua" w:hAnsi="Book Antiqua"/>
          <w:color w:val="231F20"/>
          <w:spacing w:val="-15"/>
          <w:sz w:val="17"/>
        </w:rPr>
        <w:t> </w:t>
      </w:r>
      <w:r>
        <w:rPr>
          <w:rFonts w:ascii="Book Antiqua" w:hAnsi="Book Antiqua"/>
          <w:color w:val="231F20"/>
          <w:spacing w:val="5"/>
          <w:sz w:val="17"/>
        </w:rPr>
        <w:t>been</w:t>
      </w:r>
      <w:r>
        <w:rPr>
          <w:rFonts w:ascii="Book Antiqua" w:hAnsi="Book Antiqua"/>
          <w:color w:val="231F20"/>
          <w:spacing w:val="-15"/>
          <w:sz w:val="17"/>
        </w:rPr>
        <w:t> </w:t>
      </w:r>
      <w:r>
        <w:rPr>
          <w:rFonts w:ascii="Book Antiqua" w:hAnsi="Book Antiqua"/>
          <w:color w:val="231F20"/>
          <w:sz w:val="17"/>
        </w:rPr>
        <w:t>a</w:t>
      </w:r>
      <w:r>
        <w:rPr>
          <w:rFonts w:ascii="Book Antiqua" w:hAnsi="Book Antiqua"/>
          <w:color w:val="231F20"/>
          <w:spacing w:val="-15"/>
          <w:sz w:val="17"/>
        </w:rPr>
        <w:t> </w:t>
      </w:r>
      <w:r>
        <w:rPr>
          <w:rFonts w:ascii="Book Antiqua" w:hAnsi="Book Antiqua"/>
          <w:color w:val="231F20"/>
          <w:spacing w:val="5"/>
          <w:sz w:val="17"/>
        </w:rPr>
        <w:t>nearly</w:t>
      </w:r>
      <w:r>
        <w:rPr>
          <w:rFonts w:ascii="Book Antiqua" w:hAnsi="Book Antiqua"/>
          <w:color w:val="231F20"/>
          <w:spacing w:val="-20"/>
          <w:sz w:val="17"/>
        </w:rPr>
        <w:t> </w:t>
      </w:r>
      <w:r>
        <w:rPr>
          <w:rFonts w:ascii="Book Antiqua" w:hAnsi="Book Antiqua"/>
          <w:color w:val="231F20"/>
          <w:spacing w:val="6"/>
          <w:sz w:val="17"/>
        </w:rPr>
        <w:t>perfect</w:t>
      </w:r>
      <w:r>
        <w:rPr>
          <w:rFonts w:ascii="Book Antiqua" w:hAnsi="Book Antiqua"/>
          <w:color w:val="231F20"/>
          <w:spacing w:val="-19"/>
          <w:sz w:val="17"/>
        </w:rPr>
        <w:t> </w:t>
      </w:r>
      <w:r>
        <w:rPr>
          <w:rFonts w:ascii="Book Antiqua" w:hAnsi="Book Antiqua"/>
          <w:color w:val="231F20"/>
          <w:spacing w:val="6"/>
          <w:sz w:val="17"/>
        </w:rPr>
        <w:t>inverse </w:t>
      </w:r>
      <w:r>
        <w:rPr>
          <w:rFonts w:ascii="Book Antiqua" w:hAnsi="Book Antiqua"/>
          <w:color w:val="231F20"/>
          <w:spacing w:val="2"/>
          <w:sz w:val="17"/>
        </w:rPr>
        <w:t>correlation</w:t>
      </w:r>
      <w:r>
        <w:rPr>
          <w:rFonts w:ascii="Book Antiqua" w:hAnsi="Book Antiqua"/>
          <w:color w:val="231F20"/>
          <w:spacing w:val="-16"/>
          <w:sz w:val="17"/>
        </w:rPr>
        <w:t> </w:t>
      </w:r>
      <w:r>
        <w:rPr>
          <w:rFonts w:ascii="Book Antiqua" w:hAnsi="Book Antiqua"/>
          <w:color w:val="231F20"/>
          <w:sz w:val="17"/>
        </w:rPr>
        <w:t>between</w:t>
      </w:r>
      <w:r>
        <w:rPr>
          <w:rFonts w:ascii="Book Antiqua" w:hAnsi="Book Antiqua"/>
          <w:color w:val="231F20"/>
          <w:spacing w:val="-16"/>
          <w:sz w:val="17"/>
        </w:rPr>
        <w:t> </w:t>
      </w:r>
      <w:r>
        <w:rPr>
          <w:rFonts w:ascii="Book Antiqua" w:hAnsi="Book Antiqua"/>
          <w:color w:val="231F20"/>
          <w:sz w:val="17"/>
        </w:rPr>
        <w:t>declining</w:t>
      </w:r>
      <w:r>
        <w:rPr>
          <w:rFonts w:ascii="Book Antiqua" w:hAnsi="Book Antiqua"/>
          <w:color w:val="231F20"/>
          <w:spacing w:val="-16"/>
          <w:sz w:val="17"/>
        </w:rPr>
        <w:t> </w:t>
      </w:r>
      <w:r>
        <w:rPr>
          <w:rFonts w:ascii="Book Antiqua" w:hAnsi="Book Antiqua"/>
          <w:color w:val="231F20"/>
          <w:spacing w:val="4"/>
          <w:sz w:val="17"/>
        </w:rPr>
        <w:t>traffic</w:t>
      </w:r>
      <w:r>
        <w:rPr>
          <w:rFonts w:ascii="Book Antiqua" w:hAnsi="Book Antiqua"/>
          <w:color w:val="231F20"/>
          <w:spacing w:val="-16"/>
          <w:sz w:val="17"/>
        </w:rPr>
        <w:t> </w:t>
      </w:r>
      <w:r>
        <w:rPr>
          <w:rFonts w:ascii="Book Antiqua" w:hAnsi="Book Antiqua"/>
          <w:color w:val="231F20"/>
          <w:sz w:val="17"/>
        </w:rPr>
        <w:t>for</w:t>
      </w:r>
      <w:r>
        <w:rPr>
          <w:rFonts w:ascii="Book Antiqua" w:hAnsi="Book Antiqua"/>
          <w:color w:val="231F20"/>
          <w:spacing w:val="-21"/>
          <w:sz w:val="17"/>
        </w:rPr>
        <w:t> </w:t>
      </w:r>
      <w:r>
        <w:rPr>
          <w:rFonts w:ascii="Book Antiqua" w:hAnsi="Book Antiqua"/>
          <w:color w:val="231F20"/>
          <w:spacing w:val="2"/>
          <w:sz w:val="17"/>
        </w:rPr>
        <w:t>old-line</w:t>
      </w:r>
      <w:r>
        <w:rPr>
          <w:rFonts w:ascii="Book Antiqua" w:hAnsi="Book Antiqua"/>
          <w:color w:val="231F20"/>
          <w:spacing w:val="-16"/>
          <w:sz w:val="17"/>
        </w:rPr>
        <w:t> </w:t>
      </w:r>
      <w:r>
        <w:rPr>
          <w:rFonts w:ascii="Book Antiqua" w:hAnsi="Book Antiqua"/>
          <w:color w:val="231F20"/>
          <w:spacing w:val="2"/>
          <w:sz w:val="17"/>
        </w:rPr>
        <w:t>carriers</w:t>
      </w:r>
      <w:r>
        <w:rPr>
          <w:rFonts w:ascii="Book Antiqua" w:hAnsi="Book Antiqua"/>
          <w:color w:val="231F20"/>
          <w:spacing w:val="-16"/>
          <w:sz w:val="17"/>
        </w:rPr>
        <w:t> </w:t>
      </w:r>
      <w:r>
        <w:rPr>
          <w:rFonts w:ascii="Book Antiqua" w:hAnsi="Book Antiqua"/>
          <w:color w:val="231F20"/>
          <w:sz w:val="17"/>
        </w:rPr>
        <w:t>and</w:t>
      </w:r>
      <w:r>
        <w:rPr>
          <w:rFonts w:ascii="Book Antiqua" w:hAnsi="Book Antiqua"/>
          <w:color w:val="231F20"/>
          <w:spacing w:val="-16"/>
          <w:sz w:val="17"/>
        </w:rPr>
        <w:t> </w:t>
      </w:r>
      <w:r>
        <w:rPr>
          <w:rFonts w:ascii="Book Antiqua" w:hAnsi="Book Antiqua"/>
          <w:color w:val="231F20"/>
          <w:spacing w:val="2"/>
          <w:sz w:val="17"/>
        </w:rPr>
        <w:t>increasing</w:t>
      </w:r>
      <w:r>
        <w:rPr>
          <w:rFonts w:ascii="Book Antiqua" w:hAnsi="Book Antiqua"/>
          <w:color w:val="231F20"/>
          <w:spacing w:val="-16"/>
          <w:sz w:val="17"/>
        </w:rPr>
        <w:t> </w:t>
      </w:r>
      <w:r>
        <w:rPr>
          <w:rFonts w:ascii="Book Antiqua" w:hAnsi="Book Antiqua"/>
          <w:color w:val="231F20"/>
          <w:spacing w:val="4"/>
          <w:sz w:val="17"/>
        </w:rPr>
        <w:t>traffic</w:t>
      </w:r>
      <w:r>
        <w:rPr>
          <w:rFonts w:ascii="Book Antiqua" w:hAnsi="Book Antiqua"/>
          <w:color w:val="231F20"/>
          <w:spacing w:val="-16"/>
          <w:sz w:val="17"/>
        </w:rPr>
        <w:t> </w:t>
      </w:r>
      <w:r>
        <w:rPr>
          <w:rFonts w:ascii="Book Antiqua" w:hAnsi="Book Antiqua"/>
          <w:color w:val="231F20"/>
          <w:sz w:val="17"/>
        </w:rPr>
        <w:t>at</w:t>
      </w:r>
      <w:r>
        <w:rPr>
          <w:rFonts w:ascii="Book Antiqua" w:hAnsi="Book Antiqua"/>
          <w:color w:val="231F20"/>
          <w:spacing w:val="-19"/>
          <w:sz w:val="17"/>
        </w:rPr>
        <w:t> </w:t>
      </w:r>
      <w:r>
        <w:rPr>
          <w:rFonts w:ascii="Book Antiqua" w:hAnsi="Book Antiqua"/>
          <w:color w:val="231F20"/>
          <w:sz w:val="17"/>
        </w:rPr>
        <w:t>the</w:t>
      </w:r>
      <w:r>
        <w:rPr>
          <w:rFonts w:ascii="Book Antiqua" w:hAnsi="Book Antiqua"/>
          <w:color w:val="231F20"/>
          <w:spacing w:val="-16"/>
          <w:sz w:val="17"/>
        </w:rPr>
        <w:t> </w:t>
      </w:r>
      <w:r>
        <w:rPr>
          <w:rFonts w:ascii="Book Antiqua" w:hAnsi="Book Antiqua"/>
          <w:color w:val="231F20"/>
          <w:sz w:val="17"/>
        </w:rPr>
        <w:t>low-cost</w:t>
      </w:r>
      <w:r>
        <w:rPr>
          <w:rFonts w:ascii="Book Antiqua" w:hAnsi="Book Antiqua"/>
          <w:color w:val="231F20"/>
          <w:spacing w:val="-19"/>
          <w:sz w:val="17"/>
        </w:rPr>
        <w:t> </w:t>
      </w:r>
      <w:r>
        <w:rPr>
          <w:rFonts w:ascii="Book Antiqua" w:hAnsi="Book Antiqua"/>
          <w:color w:val="231F20"/>
          <w:spacing w:val="2"/>
          <w:sz w:val="17"/>
        </w:rPr>
        <w:t>carriers</w:t>
      </w:r>
      <w:r>
        <w:rPr>
          <w:rFonts w:ascii="Book Antiqua" w:hAnsi="Book Antiqua"/>
          <w:color w:val="231F20"/>
          <w:spacing w:val="-16"/>
          <w:sz w:val="17"/>
        </w:rPr>
        <w:t> </w:t>
      </w:r>
      <w:r>
        <w:rPr>
          <w:rFonts w:ascii="Book Antiqua" w:hAnsi="Book Antiqua"/>
          <w:color w:val="231F20"/>
          <w:sz w:val="17"/>
        </w:rPr>
        <w:t>of</w:t>
      </w:r>
      <w:r>
        <w:rPr>
          <w:rFonts w:ascii="Book Antiqua" w:hAnsi="Book Antiqua"/>
          <w:color w:val="231F20"/>
          <w:spacing w:val="-18"/>
          <w:sz w:val="17"/>
        </w:rPr>
        <w:t> </w:t>
      </w:r>
      <w:r>
        <w:rPr>
          <w:rFonts w:ascii="Book Antiqua" w:hAnsi="Book Antiqua"/>
          <w:color w:val="231F20"/>
          <w:spacing w:val="2"/>
          <w:sz w:val="17"/>
        </w:rPr>
        <w:t>which</w:t>
      </w:r>
      <w:r>
        <w:rPr>
          <w:rFonts w:ascii="Book Antiqua" w:hAnsi="Book Antiqua"/>
          <w:color w:val="231F20"/>
          <w:spacing w:val="-16"/>
          <w:sz w:val="17"/>
        </w:rPr>
        <w:t> </w:t>
      </w:r>
      <w:r>
        <w:rPr>
          <w:rFonts w:ascii="Book Antiqua" w:hAnsi="Book Antiqua"/>
          <w:color w:val="231F20"/>
          <w:sz w:val="17"/>
        </w:rPr>
        <w:t>Southwest</w:t>
      </w:r>
      <w:r>
        <w:rPr>
          <w:rFonts w:ascii="Book Antiqua" w:hAnsi="Book Antiqua"/>
          <w:color w:val="231F20"/>
          <w:spacing w:val="-19"/>
          <w:sz w:val="17"/>
        </w:rPr>
        <w:t> </w:t>
      </w:r>
      <w:r>
        <w:rPr>
          <w:rFonts w:ascii="Book Antiqua" w:hAnsi="Book Antiqua"/>
          <w:color w:val="231F20"/>
          <w:sz w:val="17"/>
        </w:rPr>
        <w:t>is</w:t>
      </w:r>
      <w:r>
        <w:rPr>
          <w:rFonts w:ascii="Book Antiqua" w:hAnsi="Book Antiqua"/>
          <w:color w:val="231F20"/>
          <w:spacing w:val="-16"/>
          <w:sz w:val="17"/>
        </w:rPr>
        <w:t> </w:t>
      </w:r>
      <w:r>
        <w:rPr>
          <w:rFonts w:ascii="Book Antiqua" w:hAnsi="Book Antiqua"/>
          <w:color w:val="231F20"/>
          <w:sz w:val="17"/>
        </w:rPr>
        <w:t>the</w:t>
      </w:r>
      <w:r>
        <w:rPr>
          <w:rFonts w:ascii="Book Antiqua" w:hAnsi="Book Antiqua"/>
          <w:color w:val="231F20"/>
          <w:spacing w:val="-16"/>
          <w:sz w:val="17"/>
        </w:rPr>
        <w:t> </w:t>
      </w:r>
      <w:r>
        <w:rPr>
          <w:rFonts w:ascii="Book Antiqua" w:hAnsi="Book Antiqua"/>
          <w:color w:val="231F20"/>
          <w:sz w:val="17"/>
        </w:rPr>
        <w:t>progenitor.”</w:t>
      </w:r>
    </w:p>
    <w:p>
      <w:pPr>
        <w:spacing w:before="10"/>
        <w:ind w:left="120" w:right="0" w:firstLine="0"/>
        <w:jc w:val="both"/>
        <w:rPr>
          <w:rFonts w:ascii="Book Antiqua" w:hAnsi="Book Antiqua"/>
          <w:sz w:val="16"/>
        </w:rPr>
      </w:pPr>
      <w:r>
        <w:rPr>
          <w:rFonts w:ascii="Book Antiqua" w:hAnsi="Book Antiqua"/>
          <w:color w:val="231F20"/>
          <w:sz w:val="16"/>
        </w:rPr>
        <w:t>– </w:t>
      </w:r>
      <w:r>
        <w:rPr>
          <w:rFonts w:ascii="Georgia" w:hAnsi="Georgia"/>
          <w:i/>
          <w:color w:val="231F20"/>
          <w:sz w:val="16"/>
        </w:rPr>
        <w:t>The Wall Street Journal</w:t>
      </w:r>
      <w:r>
        <w:rPr>
          <w:rFonts w:ascii="Book Antiqua" w:hAnsi="Book Antiqua"/>
          <w:color w:val="231F20"/>
          <w:sz w:val="16"/>
        </w:rPr>
        <w:t>, July 24, 2003</w:t>
      </w:r>
    </w:p>
    <w:p>
      <w:pPr>
        <w:pStyle w:val="BodyText"/>
        <w:rPr>
          <w:rFonts w:ascii="Book Antiqua"/>
          <w:sz w:val="20"/>
        </w:rPr>
      </w:pPr>
    </w:p>
    <w:p>
      <w:pPr>
        <w:spacing w:line="374" w:lineRule="auto" w:before="153"/>
        <w:ind w:left="120" w:right="112" w:firstLine="0"/>
        <w:jc w:val="both"/>
        <w:rPr>
          <w:rFonts w:ascii="Book Antiqua" w:hAnsi="Book Antiqua"/>
          <w:sz w:val="16"/>
        </w:rPr>
      </w:pPr>
      <w:r>
        <w:rPr>
          <w:rFonts w:ascii="Book Antiqua" w:hAnsi="Book Antiqua"/>
          <w:color w:val="231F20"/>
          <w:w w:val="95"/>
          <w:sz w:val="17"/>
        </w:rPr>
        <w:t>“Let’s see…Southwest pays Employees well and makes it clear through actions rather than ‘managementspeak’ that it appreciates and trusts </w:t>
      </w:r>
      <w:r>
        <w:rPr>
          <w:rFonts w:ascii="Book Antiqua" w:hAnsi="Book Antiqua"/>
          <w:color w:val="231F20"/>
          <w:sz w:val="17"/>
        </w:rPr>
        <w:t>its workers. And the company succeeds where others fail. What a shock.” </w:t>
      </w:r>
      <w:r>
        <w:rPr>
          <w:rFonts w:ascii="Book Antiqua" w:hAnsi="Book Antiqua"/>
          <w:color w:val="231F20"/>
          <w:sz w:val="16"/>
        </w:rPr>
        <w:t>– </w:t>
      </w:r>
      <w:r>
        <w:rPr>
          <w:rFonts w:ascii="Georgia" w:hAnsi="Georgia"/>
          <w:i/>
          <w:color w:val="231F20"/>
          <w:sz w:val="16"/>
        </w:rPr>
        <w:t>The San Francisco Chronicle</w:t>
      </w:r>
      <w:r>
        <w:rPr>
          <w:rFonts w:ascii="Book Antiqua" w:hAnsi="Book Antiqua"/>
          <w:color w:val="231F20"/>
          <w:sz w:val="16"/>
        </w:rPr>
        <w:t>, August 13, 2003</w:t>
      </w:r>
    </w:p>
    <w:p>
      <w:pPr>
        <w:pStyle w:val="BodyText"/>
        <w:spacing w:before="6"/>
        <w:rPr>
          <w:rFonts w:ascii="Book Antiqua"/>
          <w:sz w:val="22"/>
        </w:rPr>
      </w:pPr>
    </w:p>
    <w:p>
      <w:pPr>
        <w:spacing w:before="1"/>
        <w:ind w:left="120" w:right="0" w:firstLine="0"/>
        <w:jc w:val="both"/>
        <w:rPr>
          <w:rFonts w:ascii="Book Antiqua" w:hAnsi="Book Antiqua"/>
          <w:sz w:val="16"/>
        </w:rPr>
      </w:pPr>
      <w:r>
        <w:rPr>
          <w:rFonts w:ascii="Book Antiqua" w:hAnsi="Book Antiqua"/>
          <w:color w:val="231F20"/>
          <w:sz w:val="17"/>
        </w:rPr>
        <w:t>“It’s becoming as predictable as death and taxes: Southwest Airlines reported its 50th-consecutive quarterly profit.” </w:t>
      </w:r>
      <w:r>
        <w:rPr>
          <w:rFonts w:ascii="Book Antiqua" w:hAnsi="Book Antiqua"/>
          <w:color w:val="231F20"/>
          <w:sz w:val="16"/>
        </w:rPr>
        <w:t>– “ Today in the Sky,”</w:t>
      </w:r>
    </w:p>
    <w:p>
      <w:pPr>
        <w:spacing w:before="128"/>
        <w:ind w:left="120" w:right="0" w:firstLine="0"/>
        <w:jc w:val="both"/>
        <w:rPr>
          <w:rFonts w:ascii="Book Antiqua"/>
          <w:sz w:val="16"/>
        </w:rPr>
      </w:pPr>
      <w:r>
        <w:rPr>
          <w:rFonts w:ascii="Georgia"/>
          <w:i/>
          <w:color w:val="231F20"/>
          <w:sz w:val="16"/>
        </w:rPr>
        <w:t>USA Today</w:t>
      </w:r>
      <w:r>
        <w:rPr>
          <w:rFonts w:ascii="Book Antiqua"/>
          <w:color w:val="231F20"/>
          <w:sz w:val="16"/>
        </w:rPr>
        <w:t>, October 22,  2003</w:t>
      </w:r>
    </w:p>
    <w:p>
      <w:pPr>
        <w:pStyle w:val="BodyText"/>
        <w:rPr>
          <w:rFonts w:ascii="Book Antiqua"/>
          <w:sz w:val="20"/>
        </w:rPr>
      </w:pPr>
    </w:p>
    <w:p>
      <w:pPr>
        <w:spacing w:line="374" w:lineRule="auto" w:before="152"/>
        <w:ind w:left="120" w:right="111" w:firstLine="0"/>
        <w:jc w:val="both"/>
        <w:rPr>
          <w:rFonts w:ascii="Book Antiqua" w:hAnsi="Book Antiqua"/>
          <w:sz w:val="16"/>
        </w:rPr>
      </w:pPr>
      <w:r>
        <w:rPr>
          <w:rFonts w:ascii="Book Antiqua" w:hAnsi="Book Antiqua"/>
          <w:color w:val="231F20"/>
          <w:sz w:val="17"/>
        </w:rPr>
        <w:t>“Southwest</w:t>
      </w:r>
      <w:r>
        <w:rPr>
          <w:rFonts w:ascii="Book Antiqua" w:hAnsi="Book Antiqua"/>
          <w:color w:val="231F20"/>
          <w:spacing w:val="-20"/>
          <w:sz w:val="17"/>
        </w:rPr>
        <w:t> </w:t>
      </w:r>
      <w:r>
        <w:rPr>
          <w:rFonts w:ascii="Book Antiqua" w:hAnsi="Book Antiqua"/>
          <w:color w:val="231F20"/>
          <w:sz w:val="17"/>
        </w:rPr>
        <w:t>Airlines</w:t>
      </w:r>
      <w:r>
        <w:rPr>
          <w:rFonts w:ascii="Book Antiqua" w:hAnsi="Book Antiqua"/>
          <w:color w:val="231F20"/>
          <w:spacing w:val="-9"/>
          <w:sz w:val="17"/>
        </w:rPr>
        <w:t> </w:t>
      </w:r>
      <w:r>
        <w:rPr>
          <w:rFonts w:ascii="Book Antiqua" w:hAnsi="Book Antiqua"/>
          <w:color w:val="231F20"/>
          <w:sz w:val="17"/>
        </w:rPr>
        <w:t>may</w:t>
      </w:r>
      <w:r>
        <w:rPr>
          <w:rFonts w:ascii="Book Antiqua" w:hAnsi="Book Antiqua"/>
          <w:color w:val="231F20"/>
          <w:spacing w:val="-14"/>
          <w:sz w:val="17"/>
        </w:rPr>
        <w:t> </w:t>
      </w:r>
      <w:r>
        <w:rPr>
          <w:rFonts w:ascii="Book Antiqua" w:hAnsi="Book Antiqua"/>
          <w:color w:val="231F20"/>
          <w:sz w:val="17"/>
        </w:rPr>
        <w:t>only</w:t>
      </w:r>
      <w:r>
        <w:rPr>
          <w:rFonts w:ascii="Book Antiqua" w:hAnsi="Book Antiqua"/>
          <w:color w:val="231F20"/>
          <w:spacing w:val="-14"/>
          <w:sz w:val="17"/>
        </w:rPr>
        <w:t> </w:t>
      </w:r>
      <w:r>
        <w:rPr>
          <w:rFonts w:ascii="Book Antiqua" w:hAnsi="Book Antiqua"/>
          <w:color w:val="231F20"/>
          <w:sz w:val="17"/>
        </w:rPr>
        <w:t>be</w:t>
      </w:r>
      <w:r>
        <w:rPr>
          <w:rFonts w:ascii="Book Antiqua" w:hAnsi="Book Antiqua"/>
          <w:color w:val="231F20"/>
          <w:spacing w:val="-9"/>
          <w:sz w:val="17"/>
        </w:rPr>
        <w:t> </w:t>
      </w:r>
      <w:r>
        <w:rPr>
          <w:rFonts w:ascii="Book Antiqua" w:hAnsi="Book Antiqua"/>
          <w:color w:val="231F20"/>
          <w:sz w:val="17"/>
        </w:rPr>
        <w:t>the</w:t>
      </w:r>
      <w:r>
        <w:rPr>
          <w:rFonts w:ascii="Book Antiqua" w:hAnsi="Book Antiqua"/>
          <w:color w:val="231F20"/>
          <w:spacing w:val="-9"/>
          <w:sz w:val="17"/>
        </w:rPr>
        <w:t> </w:t>
      </w:r>
      <w:r>
        <w:rPr>
          <w:rFonts w:ascii="Book Antiqua" w:hAnsi="Book Antiqua"/>
          <w:color w:val="231F20"/>
          <w:sz w:val="17"/>
        </w:rPr>
        <w:t>nation’s</w:t>
      </w:r>
      <w:r>
        <w:rPr>
          <w:rFonts w:ascii="Book Antiqua" w:hAnsi="Book Antiqua"/>
          <w:color w:val="231F20"/>
          <w:spacing w:val="-9"/>
          <w:sz w:val="17"/>
        </w:rPr>
        <w:t> </w:t>
      </w:r>
      <w:r>
        <w:rPr>
          <w:rFonts w:ascii="Book Antiqua" w:hAnsi="Book Antiqua"/>
          <w:color w:val="231F20"/>
          <w:spacing w:val="2"/>
          <w:sz w:val="17"/>
        </w:rPr>
        <w:t>sixth</w:t>
      </w:r>
      <w:r>
        <w:rPr>
          <w:rFonts w:ascii="Book Antiqua" w:hAnsi="Book Antiqua"/>
          <w:color w:val="231F20"/>
          <w:spacing w:val="-9"/>
          <w:sz w:val="17"/>
        </w:rPr>
        <w:t> </w:t>
      </w:r>
      <w:r>
        <w:rPr>
          <w:rFonts w:ascii="Book Antiqua" w:hAnsi="Book Antiqua"/>
          <w:color w:val="231F20"/>
          <w:spacing w:val="2"/>
          <w:sz w:val="17"/>
        </w:rPr>
        <w:t>largest</w:t>
      </w:r>
      <w:r>
        <w:rPr>
          <w:rFonts w:ascii="Book Antiqua" w:hAnsi="Book Antiqua"/>
          <w:color w:val="231F20"/>
          <w:spacing w:val="-13"/>
          <w:sz w:val="17"/>
        </w:rPr>
        <w:t> </w:t>
      </w:r>
      <w:r>
        <w:rPr>
          <w:rFonts w:ascii="Book Antiqua" w:hAnsi="Book Antiqua"/>
          <w:color w:val="231F20"/>
          <w:sz w:val="17"/>
        </w:rPr>
        <w:t>airline,</w:t>
      </w:r>
      <w:r>
        <w:rPr>
          <w:rFonts w:ascii="Book Antiqua" w:hAnsi="Book Antiqua"/>
          <w:color w:val="231F20"/>
          <w:spacing w:val="-13"/>
          <w:sz w:val="17"/>
        </w:rPr>
        <w:t> </w:t>
      </w:r>
      <w:r>
        <w:rPr>
          <w:rFonts w:ascii="Book Antiqua" w:hAnsi="Book Antiqua"/>
          <w:color w:val="231F20"/>
          <w:sz w:val="17"/>
        </w:rPr>
        <w:t>but</w:t>
      </w:r>
      <w:r>
        <w:rPr>
          <w:rFonts w:ascii="Book Antiqua" w:hAnsi="Book Antiqua"/>
          <w:color w:val="231F20"/>
          <w:spacing w:val="-13"/>
          <w:sz w:val="17"/>
        </w:rPr>
        <w:t> </w:t>
      </w:r>
      <w:r>
        <w:rPr>
          <w:rFonts w:ascii="Book Antiqua" w:hAnsi="Book Antiqua"/>
          <w:color w:val="231F20"/>
          <w:sz w:val="17"/>
        </w:rPr>
        <w:t>it</w:t>
      </w:r>
      <w:r>
        <w:rPr>
          <w:rFonts w:ascii="Book Antiqua" w:hAnsi="Book Antiqua"/>
          <w:color w:val="231F20"/>
          <w:spacing w:val="-13"/>
          <w:sz w:val="17"/>
        </w:rPr>
        <w:t> </w:t>
      </w:r>
      <w:r>
        <w:rPr>
          <w:rFonts w:ascii="Book Antiqua" w:hAnsi="Book Antiqua"/>
          <w:color w:val="231F20"/>
          <w:sz w:val="17"/>
        </w:rPr>
        <w:t>doesn’t</w:t>
      </w:r>
      <w:r>
        <w:rPr>
          <w:rFonts w:ascii="Book Antiqua" w:hAnsi="Book Antiqua"/>
          <w:color w:val="231F20"/>
          <w:spacing w:val="-13"/>
          <w:sz w:val="17"/>
        </w:rPr>
        <w:t> </w:t>
      </w:r>
      <w:r>
        <w:rPr>
          <w:rFonts w:ascii="Book Antiqua" w:hAnsi="Book Antiqua"/>
          <w:color w:val="231F20"/>
          <w:sz w:val="17"/>
        </w:rPr>
        <w:t>act</w:t>
      </w:r>
      <w:r>
        <w:rPr>
          <w:rFonts w:ascii="Book Antiqua" w:hAnsi="Book Antiqua"/>
          <w:color w:val="231F20"/>
          <w:spacing w:val="-13"/>
          <w:sz w:val="17"/>
        </w:rPr>
        <w:t> </w:t>
      </w:r>
      <w:r>
        <w:rPr>
          <w:rFonts w:ascii="Book Antiqua" w:hAnsi="Book Antiqua"/>
          <w:color w:val="231F20"/>
          <w:sz w:val="17"/>
        </w:rPr>
        <w:t>like</w:t>
      </w:r>
      <w:r>
        <w:rPr>
          <w:rFonts w:ascii="Book Antiqua" w:hAnsi="Book Antiqua"/>
          <w:color w:val="231F20"/>
          <w:spacing w:val="-9"/>
          <w:sz w:val="17"/>
        </w:rPr>
        <w:t> </w:t>
      </w:r>
      <w:r>
        <w:rPr>
          <w:rFonts w:ascii="Book Antiqua" w:hAnsi="Book Antiqua"/>
          <w:color w:val="231F20"/>
          <w:sz w:val="17"/>
        </w:rPr>
        <w:t>No.</w:t>
      </w:r>
      <w:r>
        <w:rPr>
          <w:rFonts w:ascii="Book Antiqua" w:hAnsi="Book Antiqua"/>
          <w:color w:val="231F20"/>
          <w:spacing w:val="-9"/>
          <w:sz w:val="17"/>
        </w:rPr>
        <w:t> </w:t>
      </w:r>
      <w:r>
        <w:rPr>
          <w:rFonts w:ascii="Book Antiqua" w:hAnsi="Book Antiqua"/>
          <w:color w:val="231F20"/>
          <w:sz w:val="17"/>
        </w:rPr>
        <w:t>6.</w:t>
      </w:r>
      <w:r>
        <w:rPr>
          <w:rFonts w:ascii="Book Antiqua" w:hAnsi="Book Antiqua"/>
          <w:color w:val="231F20"/>
          <w:spacing w:val="-9"/>
          <w:sz w:val="17"/>
        </w:rPr>
        <w:t> </w:t>
      </w:r>
      <w:r>
        <w:rPr>
          <w:rFonts w:ascii="Book Antiqua" w:hAnsi="Book Antiqua"/>
          <w:color w:val="231F20"/>
          <w:sz w:val="17"/>
        </w:rPr>
        <w:t>In</w:t>
      </w:r>
      <w:r>
        <w:rPr>
          <w:rFonts w:ascii="Book Antiqua" w:hAnsi="Book Antiqua"/>
          <w:color w:val="231F20"/>
          <w:spacing w:val="-9"/>
          <w:sz w:val="17"/>
        </w:rPr>
        <w:t> </w:t>
      </w:r>
      <w:r>
        <w:rPr>
          <w:rFonts w:ascii="Book Antiqua" w:hAnsi="Book Antiqua"/>
          <w:color w:val="231F20"/>
          <w:sz w:val="17"/>
        </w:rPr>
        <w:t>many</w:t>
      </w:r>
      <w:r>
        <w:rPr>
          <w:rFonts w:ascii="Book Antiqua" w:hAnsi="Book Antiqua"/>
          <w:color w:val="231F20"/>
          <w:spacing w:val="-17"/>
          <w:sz w:val="17"/>
        </w:rPr>
        <w:t> </w:t>
      </w:r>
      <w:r>
        <w:rPr>
          <w:rFonts w:ascii="Book Antiqua" w:hAnsi="Book Antiqua"/>
          <w:color w:val="231F20"/>
          <w:sz w:val="17"/>
        </w:rPr>
        <w:t>ways,</w:t>
      </w:r>
      <w:r>
        <w:rPr>
          <w:rFonts w:ascii="Book Antiqua" w:hAnsi="Book Antiqua"/>
          <w:color w:val="231F20"/>
          <w:spacing w:val="-13"/>
          <w:sz w:val="17"/>
        </w:rPr>
        <w:t> </w:t>
      </w:r>
      <w:r>
        <w:rPr>
          <w:rFonts w:ascii="Book Antiqua" w:hAnsi="Book Antiqua"/>
          <w:color w:val="231F20"/>
          <w:sz w:val="17"/>
        </w:rPr>
        <w:t>it</w:t>
      </w:r>
      <w:r>
        <w:rPr>
          <w:rFonts w:ascii="Book Antiqua" w:hAnsi="Book Antiqua"/>
          <w:color w:val="231F20"/>
          <w:spacing w:val="-13"/>
          <w:sz w:val="17"/>
        </w:rPr>
        <w:t> </w:t>
      </w:r>
      <w:r>
        <w:rPr>
          <w:rFonts w:ascii="Book Antiqua" w:hAnsi="Book Antiqua"/>
          <w:color w:val="231F20"/>
          <w:sz w:val="17"/>
        </w:rPr>
        <w:t>may</w:t>
      </w:r>
      <w:r>
        <w:rPr>
          <w:rFonts w:ascii="Book Antiqua" w:hAnsi="Book Antiqua"/>
          <w:color w:val="231F20"/>
          <w:spacing w:val="-14"/>
          <w:sz w:val="17"/>
        </w:rPr>
        <w:t> </w:t>
      </w:r>
      <w:r>
        <w:rPr>
          <w:rFonts w:ascii="Book Antiqua" w:hAnsi="Book Antiqua"/>
          <w:color w:val="231F20"/>
          <w:sz w:val="17"/>
        </w:rPr>
        <w:t>be</w:t>
      </w:r>
      <w:r>
        <w:rPr>
          <w:rFonts w:ascii="Book Antiqua" w:hAnsi="Book Antiqua"/>
          <w:color w:val="231F20"/>
          <w:spacing w:val="-9"/>
          <w:sz w:val="17"/>
        </w:rPr>
        <w:t> </w:t>
      </w:r>
      <w:r>
        <w:rPr>
          <w:rFonts w:ascii="Book Antiqua" w:hAnsi="Book Antiqua"/>
          <w:color w:val="231F20"/>
          <w:sz w:val="17"/>
        </w:rPr>
        <w:t>No.</w:t>
      </w:r>
      <w:r>
        <w:rPr>
          <w:rFonts w:ascii="Book Antiqua" w:hAnsi="Book Antiqua"/>
          <w:color w:val="231F20"/>
          <w:spacing w:val="-9"/>
          <w:sz w:val="17"/>
        </w:rPr>
        <w:t> </w:t>
      </w:r>
      <w:r>
        <w:rPr>
          <w:rFonts w:ascii="Book Antiqua" w:hAnsi="Book Antiqua"/>
          <w:color w:val="231F20"/>
          <w:sz w:val="17"/>
        </w:rPr>
        <w:t>1.</w:t>
      </w:r>
      <w:r>
        <w:rPr>
          <w:rFonts w:ascii="Book Antiqua" w:hAnsi="Book Antiqua"/>
          <w:color w:val="231F20"/>
          <w:spacing w:val="-16"/>
          <w:sz w:val="17"/>
        </w:rPr>
        <w:t> </w:t>
      </w:r>
      <w:r>
        <w:rPr>
          <w:rFonts w:ascii="Book Antiqua" w:hAnsi="Book Antiqua"/>
          <w:color w:val="231F20"/>
          <w:sz w:val="17"/>
        </w:rPr>
        <w:t>The</w:t>
      </w:r>
      <w:r>
        <w:rPr>
          <w:rFonts w:ascii="Book Antiqua" w:hAnsi="Book Antiqua"/>
          <w:color w:val="231F20"/>
          <w:spacing w:val="-9"/>
          <w:sz w:val="17"/>
        </w:rPr>
        <w:t> </w:t>
      </w:r>
      <w:r>
        <w:rPr>
          <w:rFonts w:ascii="Book Antiqua" w:hAnsi="Book Antiqua"/>
          <w:color w:val="231F20"/>
          <w:spacing w:val="2"/>
          <w:sz w:val="17"/>
        </w:rPr>
        <w:t>grandfather of</w:t>
      </w:r>
      <w:r>
        <w:rPr>
          <w:rFonts w:ascii="Book Antiqua" w:hAnsi="Book Antiqua"/>
          <w:color w:val="231F20"/>
          <w:spacing w:val="-13"/>
          <w:sz w:val="17"/>
        </w:rPr>
        <w:t> </w:t>
      </w:r>
      <w:r>
        <w:rPr>
          <w:rFonts w:ascii="Book Antiqua" w:hAnsi="Book Antiqua"/>
          <w:color w:val="231F20"/>
          <w:spacing w:val="2"/>
          <w:sz w:val="17"/>
        </w:rPr>
        <w:t>the</w:t>
      </w:r>
      <w:r>
        <w:rPr>
          <w:rFonts w:ascii="Book Antiqua" w:hAnsi="Book Antiqua"/>
          <w:color w:val="231F20"/>
          <w:spacing w:val="-13"/>
          <w:sz w:val="17"/>
        </w:rPr>
        <w:t> </w:t>
      </w:r>
      <w:r>
        <w:rPr>
          <w:rFonts w:ascii="Book Antiqua" w:hAnsi="Book Antiqua"/>
          <w:color w:val="231F20"/>
          <w:spacing w:val="4"/>
          <w:sz w:val="17"/>
        </w:rPr>
        <w:t>low-cost</w:t>
      </w:r>
      <w:r>
        <w:rPr>
          <w:rFonts w:ascii="Book Antiqua" w:hAnsi="Book Antiqua"/>
          <w:color w:val="231F20"/>
          <w:spacing w:val="-16"/>
          <w:sz w:val="17"/>
        </w:rPr>
        <w:t> </w:t>
      </w:r>
      <w:r>
        <w:rPr>
          <w:rFonts w:ascii="Book Antiqua" w:hAnsi="Book Antiqua"/>
          <w:color w:val="231F20"/>
          <w:spacing w:val="3"/>
          <w:sz w:val="17"/>
        </w:rPr>
        <w:t>airline</w:t>
      </w:r>
      <w:r>
        <w:rPr>
          <w:rFonts w:ascii="Book Antiqua" w:hAnsi="Book Antiqua"/>
          <w:color w:val="231F20"/>
          <w:spacing w:val="-13"/>
          <w:sz w:val="17"/>
        </w:rPr>
        <w:t> </w:t>
      </w:r>
      <w:r>
        <w:rPr>
          <w:rFonts w:ascii="Book Antiqua" w:hAnsi="Book Antiqua"/>
          <w:color w:val="231F20"/>
          <w:spacing w:val="3"/>
          <w:sz w:val="17"/>
        </w:rPr>
        <w:t>has</w:t>
      </w:r>
      <w:r>
        <w:rPr>
          <w:rFonts w:ascii="Book Antiqua" w:hAnsi="Book Antiqua"/>
          <w:color w:val="231F20"/>
          <w:spacing w:val="-13"/>
          <w:sz w:val="17"/>
        </w:rPr>
        <w:t> </w:t>
      </w:r>
      <w:r>
        <w:rPr>
          <w:rFonts w:ascii="Book Antiqua" w:hAnsi="Book Antiqua"/>
          <w:color w:val="231F20"/>
          <w:spacing w:val="3"/>
          <w:sz w:val="17"/>
        </w:rPr>
        <w:t>set</w:t>
      </w:r>
      <w:r>
        <w:rPr>
          <w:rFonts w:ascii="Book Antiqua" w:hAnsi="Book Antiqua"/>
          <w:color w:val="231F20"/>
          <w:spacing w:val="-16"/>
          <w:sz w:val="17"/>
        </w:rPr>
        <w:t> </w:t>
      </w:r>
      <w:r>
        <w:rPr>
          <w:rFonts w:ascii="Book Antiqua" w:hAnsi="Book Antiqua"/>
          <w:color w:val="231F20"/>
          <w:sz w:val="17"/>
        </w:rPr>
        <w:t>the</w:t>
      </w:r>
      <w:r>
        <w:rPr>
          <w:rFonts w:ascii="Book Antiqua" w:hAnsi="Book Antiqua"/>
          <w:color w:val="231F20"/>
          <w:spacing w:val="-13"/>
          <w:sz w:val="17"/>
        </w:rPr>
        <w:t> </w:t>
      </w:r>
      <w:r>
        <w:rPr>
          <w:rFonts w:ascii="Book Antiqua" w:hAnsi="Book Antiqua"/>
          <w:color w:val="231F20"/>
          <w:spacing w:val="3"/>
          <w:sz w:val="17"/>
        </w:rPr>
        <w:t>pace</w:t>
      </w:r>
      <w:r>
        <w:rPr>
          <w:rFonts w:ascii="Book Antiqua" w:hAnsi="Book Antiqua"/>
          <w:color w:val="231F20"/>
          <w:spacing w:val="-13"/>
          <w:sz w:val="17"/>
        </w:rPr>
        <w:t> </w:t>
      </w:r>
      <w:r>
        <w:rPr>
          <w:rFonts w:ascii="Book Antiqua" w:hAnsi="Book Antiqua"/>
          <w:color w:val="231F20"/>
          <w:sz w:val="17"/>
        </w:rPr>
        <w:t>and</w:t>
      </w:r>
      <w:r>
        <w:rPr>
          <w:rFonts w:ascii="Book Antiqua" w:hAnsi="Book Antiqua"/>
          <w:color w:val="231F20"/>
          <w:spacing w:val="-13"/>
          <w:sz w:val="17"/>
        </w:rPr>
        <w:t> </w:t>
      </w:r>
      <w:r>
        <w:rPr>
          <w:rFonts w:ascii="Book Antiqua" w:hAnsi="Book Antiqua"/>
          <w:color w:val="231F20"/>
          <w:spacing w:val="3"/>
          <w:sz w:val="17"/>
        </w:rPr>
        <w:t>provided</w:t>
      </w:r>
      <w:r>
        <w:rPr>
          <w:rFonts w:ascii="Book Antiqua" w:hAnsi="Book Antiqua"/>
          <w:color w:val="231F20"/>
          <w:spacing w:val="-13"/>
          <w:sz w:val="17"/>
        </w:rPr>
        <w:t> </w:t>
      </w:r>
      <w:r>
        <w:rPr>
          <w:rFonts w:ascii="Book Antiqua" w:hAnsi="Book Antiqua"/>
          <w:color w:val="231F20"/>
          <w:spacing w:val="2"/>
          <w:sz w:val="17"/>
        </w:rPr>
        <w:t>the</w:t>
      </w:r>
      <w:r>
        <w:rPr>
          <w:rFonts w:ascii="Book Antiqua" w:hAnsi="Book Antiqua"/>
          <w:color w:val="231F20"/>
          <w:spacing w:val="-13"/>
          <w:sz w:val="17"/>
        </w:rPr>
        <w:t> </w:t>
      </w:r>
      <w:r>
        <w:rPr>
          <w:rFonts w:ascii="Book Antiqua" w:hAnsi="Book Antiqua"/>
          <w:color w:val="231F20"/>
          <w:spacing w:val="2"/>
          <w:sz w:val="17"/>
        </w:rPr>
        <w:t>model</w:t>
      </w:r>
      <w:r>
        <w:rPr>
          <w:rFonts w:ascii="Book Antiqua" w:hAnsi="Book Antiqua"/>
          <w:color w:val="231F20"/>
          <w:spacing w:val="-13"/>
          <w:sz w:val="17"/>
        </w:rPr>
        <w:t> </w:t>
      </w:r>
      <w:r>
        <w:rPr>
          <w:rFonts w:ascii="Book Antiqua" w:hAnsi="Book Antiqua"/>
          <w:color w:val="231F20"/>
          <w:spacing w:val="3"/>
          <w:sz w:val="17"/>
        </w:rPr>
        <w:t>for</w:t>
      </w:r>
      <w:r>
        <w:rPr>
          <w:rFonts w:ascii="Book Antiqua" w:hAnsi="Book Antiqua"/>
          <w:color w:val="231F20"/>
          <w:spacing w:val="-18"/>
          <w:sz w:val="17"/>
        </w:rPr>
        <w:t> </w:t>
      </w:r>
      <w:r>
        <w:rPr>
          <w:rFonts w:ascii="Book Antiqua" w:hAnsi="Book Antiqua"/>
          <w:color w:val="231F20"/>
          <w:spacing w:val="2"/>
          <w:sz w:val="17"/>
        </w:rPr>
        <w:t>the</w:t>
      </w:r>
      <w:r>
        <w:rPr>
          <w:rFonts w:ascii="Book Antiqua" w:hAnsi="Book Antiqua"/>
          <w:color w:val="231F20"/>
          <w:spacing w:val="-13"/>
          <w:sz w:val="17"/>
        </w:rPr>
        <w:t> </w:t>
      </w:r>
      <w:r>
        <w:rPr>
          <w:rFonts w:ascii="Book Antiqua" w:hAnsi="Book Antiqua"/>
          <w:color w:val="231F20"/>
          <w:spacing w:val="3"/>
          <w:sz w:val="17"/>
        </w:rPr>
        <w:t>latest</w:t>
      </w:r>
      <w:r>
        <w:rPr>
          <w:rFonts w:ascii="Book Antiqua" w:hAnsi="Book Antiqua"/>
          <w:color w:val="231F20"/>
          <w:spacing w:val="-16"/>
          <w:sz w:val="17"/>
        </w:rPr>
        <w:t> </w:t>
      </w:r>
      <w:r>
        <w:rPr>
          <w:rFonts w:ascii="Book Antiqua" w:hAnsi="Book Antiqua"/>
          <w:color w:val="231F20"/>
          <w:spacing w:val="3"/>
          <w:sz w:val="17"/>
        </w:rPr>
        <w:t>crop</w:t>
      </w:r>
      <w:r>
        <w:rPr>
          <w:rFonts w:ascii="Book Antiqua" w:hAnsi="Book Antiqua"/>
          <w:color w:val="231F20"/>
          <w:spacing w:val="-13"/>
          <w:sz w:val="17"/>
        </w:rPr>
        <w:t> </w:t>
      </w:r>
      <w:r>
        <w:rPr>
          <w:rFonts w:ascii="Book Antiqua" w:hAnsi="Book Antiqua"/>
          <w:color w:val="231F20"/>
          <w:spacing w:val="2"/>
          <w:sz w:val="17"/>
        </w:rPr>
        <w:t>of</w:t>
      </w:r>
      <w:r>
        <w:rPr>
          <w:rFonts w:ascii="Book Antiqua" w:hAnsi="Book Antiqua"/>
          <w:color w:val="231F20"/>
          <w:spacing w:val="-13"/>
          <w:sz w:val="17"/>
        </w:rPr>
        <w:t> </w:t>
      </w:r>
      <w:r>
        <w:rPr>
          <w:rFonts w:ascii="Book Antiqua" w:hAnsi="Book Antiqua"/>
          <w:color w:val="231F20"/>
          <w:spacing w:val="3"/>
          <w:sz w:val="17"/>
        </w:rPr>
        <w:t>low-fare</w:t>
      </w:r>
      <w:r>
        <w:rPr>
          <w:rFonts w:ascii="Book Antiqua" w:hAnsi="Book Antiqua"/>
          <w:color w:val="231F20"/>
          <w:spacing w:val="-13"/>
          <w:sz w:val="17"/>
        </w:rPr>
        <w:t> </w:t>
      </w:r>
      <w:r>
        <w:rPr>
          <w:rFonts w:ascii="Book Antiqua" w:hAnsi="Book Antiqua"/>
          <w:color w:val="231F20"/>
          <w:spacing w:val="4"/>
          <w:sz w:val="17"/>
        </w:rPr>
        <w:t>carriers.</w:t>
      </w:r>
      <w:r>
        <w:rPr>
          <w:rFonts w:ascii="Book Antiqua" w:hAnsi="Book Antiqua"/>
          <w:color w:val="231F20"/>
          <w:spacing w:val="-13"/>
          <w:sz w:val="17"/>
        </w:rPr>
        <w:t> </w:t>
      </w:r>
      <w:r>
        <w:rPr>
          <w:rFonts w:ascii="Book Antiqua" w:hAnsi="Book Antiqua"/>
          <w:color w:val="231F20"/>
          <w:spacing w:val="2"/>
          <w:sz w:val="17"/>
        </w:rPr>
        <w:t>…Southwest’s</w:t>
      </w:r>
      <w:r>
        <w:rPr>
          <w:rFonts w:ascii="Book Antiqua" w:hAnsi="Book Antiqua"/>
          <w:color w:val="231F20"/>
          <w:spacing w:val="-13"/>
          <w:sz w:val="17"/>
        </w:rPr>
        <w:t> </w:t>
      </w:r>
      <w:r>
        <w:rPr>
          <w:rFonts w:ascii="Book Antiqua" w:hAnsi="Book Antiqua"/>
          <w:color w:val="231F20"/>
          <w:spacing w:val="5"/>
          <w:sz w:val="17"/>
        </w:rPr>
        <w:t>financial</w:t>
      </w:r>
      <w:r>
        <w:rPr>
          <w:rFonts w:ascii="Book Antiqua" w:hAnsi="Book Antiqua"/>
          <w:color w:val="231F20"/>
          <w:spacing w:val="-13"/>
          <w:sz w:val="17"/>
        </w:rPr>
        <w:t> </w:t>
      </w:r>
      <w:r>
        <w:rPr>
          <w:rFonts w:ascii="Book Antiqua" w:hAnsi="Book Antiqua"/>
          <w:color w:val="231F20"/>
          <w:spacing w:val="3"/>
          <w:sz w:val="17"/>
        </w:rPr>
        <w:t>superlatives </w:t>
      </w:r>
      <w:r>
        <w:rPr>
          <w:rFonts w:ascii="Book Antiqua" w:hAnsi="Book Antiqua"/>
          <w:color w:val="231F20"/>
          <w:spacing w:val="2"/>
          <w:sz w:val="17"/>
        </w:rPr>
        <w:t>in</w:t>
      </w:r>
      <w:r>
        <w:rPr>
          <w:rFonts w:ascii="Book Antiqua" w:hAnsi="Book Antiqua"/>
          <w:color w:val="231F20"/>
          <w:spacing w:val="-5"/>
          <w:sz w:val="17"/>
        </w:rPr>
        <w:t> </w:t>
      </w:r>
      <w:r>
        <w:rPr>
          <w:rFonts w:ascii="Book Antiqua" w:hAnsi="Book Antiqua"/>
          <w:color w:val="231F20"/>
          <w:spacing w:val="3"/>
          <w:sz w:val="17"/>
        </w:rPr>
        <w:t>these</w:t>
      </w:r>
      <w:r>
        <w:rPr>
          <w:rFonts w:ascii="Book Antiqua" w:hAnsi="Book Antiqua"/>
          <w:color w:val="231F20"/>
          <w:spacing w:val="-5"/>
          <w:sz w:val="17"/>
        </w:rPr>
        <w:t> </w:t>
      </w:r>
      <w:r>
        <w:rPr>
          <w:rFonts w:ascii="Book Antiqua" w:hAnsi="Book Antiqua"/>
          <w:color w:val="231F20"/>
          <w:spacing w:val="3"/>
          <w:sz w:val="17"/>
        </w:rPr>
        <w:t>days</w:t>
      </w:r>
      <w:r>
        <w:rPr>
          <w:rFonts w:ascii="Book Antiqua" w:hAnsi="Book Antiqua"/>
          <w:color w:val="231F20"/>
          <w:spacing w:val="-5"/>
          <w:sz w:val="17"/>
        </w:rPr>
        <w:t> </w:t>
      </w:r>
      <w:r>
        <w:rPr>
          <w:rFonts w:ascii="Book Antiqua" w:hAnsi="Book Antiqua"/>
          <w:color w:val="231F20"/>
          <w:spacing w:val="2"/>
          <w:sz w:val="17"/>
        </w:rPr>
        <w:t>of</w:t>
      </w:r>
      <w:r>
        <w:rPr>
          <w:rFonts w:ascii="Book Antiqua" w:hAnsi="Book Antiqua"/>
          <w:color w:val="231F20"/>
          <w:spacing w:val="-5"/>
          <w:sz w:val="17"/>
        </w:rPr>
        <w:t> </w:t>
      </w:r>
      <w:r>
        <w:rPr>
          <w:rFonts w:ascii="Book Antiqua" w:hAnsi="Book Antiqua"/>
          <w:color w:val="231F20"/>
          <w:spacing w:val="3"/>
          <w:sz w:val="17"/>
        </w:rPr>
        <w:t>airline</w:t>
      </w:r>
      <w:r>
        <w:rPr>
          <w:rFonts w:ascii="Book Antiqua" w:hAnsi="Book Antiqua"/>
          <w:color w:val="231F20"/>
          <w:spacing w:val="-5"/>
          <w:sz w:val="17"/>
        </w:rPr>
        <w:t> </w:t>
      </w:r>
      <w:r>
        <w:rPr>
          <w:rFonts w:ascii="Book Antiqua" w:hAnsi="Book Antiqua"/>
          <w:color w:val="231F20"/>
          <w:spacing w:val="4"/>
          <w:sz w:val="17"/>
        </w:rPr>
        <w:t>bankruptcies</w:t>
      </w:r>
      <w:r>
        <w:rPr>
          <w:rFonts w:ascii="Book Antiqua" w:hAnsi="Book Antiqua"/>
          <w:color w:val="231F20"/>
          <w:spacing w:val="-5"/>
          <w:sz w:val="17"/>
        </w:rPr>
        <w:t> </w:t>
      </w:r>
      <w:r>
        <w:rPr>
          <w:rFonts w:ascii="Book Antiqua" w:hAnsi="Book Antiqua"/>
          <w:color w:val="231F20"/>
          <w:spacing w:val="3"/>
          <w:sz w:val="17"/>
        </w:rPr>
        <w:t>are</w:t>
      </w:r>
      <w:r>
        <w:rPr>
          <w:rFonts w:ascii="Book Antiqua" w:hAnsi="Book Antiqua"/>
          <w:color w:val="231F20"/>
          <w:spacing w:val="-5"/>
          <w:sz w:val="17"/>
        </w:rPr>
        <w:t> </w:t>
      </w:r>
      <w:r>
        <w:rPr>
          <w:rFonts w:ascii="Book Antiqua" w:hAnsi="Book Antiqua"/>
          <w:color w:val="231F20"/>
          <w:spacing w:val="2"/>
          <w:sz w:val="17"/>
        </w:rPr>
        <w:t>of</w:t>
      </w:r>
      <w:r>
        <w:rPr>
          <w:rFonts w:ascii="Book Antiqua" w:hAnsi="Book Antiqua"/>
          <w:color w:val="231F20"/>
          <w:spacing w:val="-5"/>
          <w:sz w:val="17"/>
        </w:rPr>
        <w:t> </w:t>
      </w:r>
      <w:r>
        <w:rPr>
          <w:rFonts w:ascii="Book Antiqua" w:hAnsi="Book Antiqua"/>
          <w:color w:val="231F20"/>
          <w:spacing w:val="3"/>
          <w:sz w:val="17"/>
        </w:rPr>
        <w:t>chest-pounding</w:t>
      </w:r>
      <w:r>
        <w:rPr>
          <w:rFonts w:ascii="Book Antiqua" w:hAnsi="Book Antiqua"/>
          <w:color w:val="231F20"/>
          <w:spacing w:val="-5"/>
          <w:sz w:val="17"/>
        </w:rPr>
        <w:t> </w:t>
      </w:r>
      <w:r>
        <w:rPr>
          <w:rFonts w:ascii="Book Antiqua" w:hAnsi="Book Antiqua"/>
          <w:color w:val="231F20"/>
          <w:spacing w:val="3"/>
          <w:sz w:val="17"/>
        </w:rPr>
        <w:t>stuff.”</w:t>
      </w:r>
      <w:r>
        <w:rPr>
          <w:rFonts w:ascii="Book Antiqua" w:hAnsi="Book Antiqua"/>
          <w:color w:val="231F20"/>
          <w:spacing w:val="-18"/>
          <w:sz w:val="17"/>
        </w:rPr>
        <w:t> </w:t>
      </w:r>
      <w:r>
        <w:rPr>
          <w:rFonts w:ascii="Book Antiqua" w:hAnsi="Book Antiqua"/>
          <w:color w:val="231F20"/>
          <w:sz w:val="16"/>
        </w:rPr>
        <w:t>– </w:t>
      </w:r>
      <w:r>
        <w:rPr>
          <w:rFonts w:ascii="Georgia" w:hAnsi="Georgia"/>
          <w:i/>
          <w:color w:val="231F20"/>
          <w:spacing w:val="3"/>
          <w:sz w:val="16"/>
        </w:rPr>
        <w:t>Airline</w:t>
      </w:r>
      <w:r>
        <w:rPr>
          <w:rFonts w:ascii="Georgia" w:hAnsi="Georgia"/>
          <w:i/>
          <w:color w:val="231F20"/>
          <w:spacing w:val="-5"/>
          <w:sz w:val="16"/>
        </w:rPr>
        <w:t> </w:t>
      </w:r>
      <w:r>
        <w:rPr>
          <w:rFonts w:ascii="Georgia" w:hAnsi="Georgia"/>
          <w:i/>
          <w:color w:val="231F20"/>
          <w:spacing w:val="2"/>
          <w:sz w:val="16"/>
        </w:rPr>
        <w:t>Financial</w:t>
      </w:r>
      <w:r>
        <w:rPr>
          <w:rFonts w:ascii="Georgia" w:hAnsi="Georgia"/>
          <w:i/>
          <w:color w:val="231F20"/>
          <w:spacing w:val="-5"/>
          <w:sz w:val="16"/>
        </w:rPr>
        <w:t> </w:t>
      </w:r>
      <w:r>
        <w:rPr>
          <w:rFonts w:ascii="Georgia" w:hAnsi="Georgia"/>
          <w:i/>
          <w:color w:val="231F20"/>
          <w:sz w:val="16"/>
        </w:rPr>
        <w:t>News</w:t>
      </w:r>
      <w:r>
        <w:rPr>
          <w:rFonts w:ascii="Book Antiqua" w:hAnsi="Book Antiqua"/>
          <w:color w:val="231F20"/>
          <w:sz w:val="16"/>
        </w:rPr>
        <w:t>,</w:t>
      </w:r>
      <w:r>
        <w:rPr>
          <w:rFonts w:ascii="Book Antiqua" w:hAnsi="Book Antiqua"/>
          <w:color w:val="231F20"/>
          <w:spacing w:val="-4"/>
          <w:sz w:val="16"/>
        </w:rPr>
        <w:t> </w:t>
      </w:r>
      <w:r>
        <w:rPr>
          <w:rFonts w:ascii="Book Antiqua" w:hAnsi="Book Antiqua"/>
          <w:color w:val="231F20"/>
          <w:spacing w:val="2"/>
          <w:sz w:val="16"/>
        </w:rPr>
        <w:t>December</w:t>
      </w:r>
      <w:r>
        <w:rPr>
          <w:rFonts w:ascii="Book Antiqua" w:hAnsi="Book Antiqua"/>
          <w:color w:val="231F20"/>
          <w:spacing w:val="-10"/>
          <w:sz w:val="16"/>
        </w:rPr>
        <w:t> </w:t>
      </w:r>
      <w:r>
        <w:rPr>
          <w:rFonts w:ascii="Book Antiqua" w:hAnsi="Book Antiqua"/>
          <w:color w:val="231F20"/>
          <w:spacing w:val="6"/>
          <w:sz w:val="16"/>
        </w:rPr>
        <w:t>4,</w:t>
      </w:r>
      <w:r>
        <w:rPr>
          <w:rFonts w:ascii="Book Antiqua" w:hAnsi="Book Antiqua"/>
          <w:color w:val="231F20"/>
          <w:spacing w:val="-4"/>
          <w:sz w:val="16"/>
        </w:rPr>
        <w:t> </w:t>
      </w:r>
      <w:r>
        <w:rPr>
          <w:rFonts w:ascii="Book Antiqua" w:hAnsi="Book Antiqua"/>
          <w:color w:val="231F20"/>
          <w:spacing w:val="4"/>
          <w:sz w:val="16"/>
        </w:rPr>
        <w:t>2003</w:t>
      </w:r>
    </w:p>
    <w:p>
      <w:pPr>
        <w:pStyle w:val="BodyText"/>
        <w:spacing w:before="8"/>
        <w:rPr>
          <w:rFonts w:ascii="Book Antiqua"/>
          <w:sz w:val="27"/>
        </w:rPr>
      </w:pPr>
      <w:r>
        <w:rPr/>
        <w:pict>
          <v:line style="position:absolute;mso-position-horizontal-relative:page;mso-position-vertical-relative:paragraph;z-index:5728;mso-wrap-distance-left:0;mso-wrap-distance-right:0" from="45pt,19.382723pt" to="567pt,19.382723pt" stroked="true" strokeweight=".5pt" strokecolor="#231f20">
            <v:stroke dashstyle="solid"/>
            <w10:wrap type="topAndBottom"/>
          </v:line>
        </w:pict>
      </w:r>
    </w:p>
    <w:p>
      <w:pPr>
        <w:pStyle w:val="BodyText"/>
        <w:rPr>
          <w:rFonts w:ascii="Book Antiqua"/>
          <w:sz w:val="20"/>
        </w:rPr>
      </w:pPr>
    </w:p>
    <w:p>
      <w:pPr>
        <w:pStyle w:val="BodyText"/>
        <w:spacing w:before="7"/>
        <w:rPr>
          <w:rFonts w:ascii="Book Antiqua"/>
          <w:sz w:val="26"/>
        </w:rPr>
      </w:pPr>
      <w:r>
        <w:rPr/>
        <w:pict>
          <v:group style="position:absolute;margin-left:256.607086pt;margin-top:18.464342pt;width:98.8pt;height:42.6pt;mso-position-horizontal-relative:page;mso-position-vertical-relative:paragraph;z-index:5752;mso-wrap-distance-left:0;mso-wrap-distance-right:0" coordorigin="5132,369" coordsize="1976,852">
            <v:shape style="position:absolute;left:5160;top:369;width:1940;height:852" coordorigin="5160,369" coordsize="1940,852" path="m6511,973l5737,973,5778,1044,5831,1104,5894,1153,5965,1190,6042,1213,6124,1221,6206,1213,6283,1190,6354,1153,6417,1104,6469,1044,6511,973xm7099,630l5160,630,5160,693,5169,704,5185,716,5207,726,5235,732,5236,737,5238,747,5243,760,5252,774,5264,786,5280,798,5303,807,5333,813,5334,818,5336,827,5341,840,5350,855,5361,867,5376,878,5396,887,5423,893,5423,898,5425,908,5430,921,5438,935,5451,948,5471,960,5499,969,5536,973,6711,973,6748,969,6776,960,6796,948,6809,935,6817,921,6822,908,6824,898,6824,893,6851,887,6872,878,6887,867,6898,855,6907,840,6912,827,6914,818,6914,813,6914,813,6944,807,6967,798,6984,786,6995,774,7004,760,7009,747,7011,737,7012,732,7041,726,7063,716,7079,704,7090,691,7098,675,7099,673,7099,630xm6124,369l6059,374,5996,389,5937,412,5881,445,5834,483,5793,527,5759,576,5732,630,6516,630,6489,576,6455,527,6414,483,6367,445,6311,412,6251,389,6189,374,6124,369xe" filled="true" fillcolor="#ffffff" stroked="false">
              <v:path arrowok="t"/>
              <v:fill type="solid"/>
            </v:shape>
            <v:shape style="position:absolute;left:5756;top:973;width:737;height:231" coordorigin="5756,973" coordsize="737,231" path="m5863,973l5756,973,5795,1038,5845,1094,5904,1140,5971,1174,6045,1196,6124,1204,6203,1196,6277,1174,6344,1140,6379,1113,6125,1113,6046,1103,5974,1074,5912,1030,5863,973xm6492,973l6387,973,6337,1030,6275,1074,6204,1103,6125,1113,6379,1113,6403,1094,6453,1038,6492,973xe" filled="true" fillcolor="#bcbec0" stroked="false">
              <v:path arrowok="t"/>
              <v:fill type="solid"/>
            </v:shape>
            <v:shape style="position:absolute;left:5756;top:973;width:737;height:231" coordorigin="5756,973" coordsize="737,231" path="m6387,973l6337,1030,6275,1074,6204,1103,6125,1113,6046,1103,5974,1074,5912,1030,5863,973,5756,973,5795,1038,5845,1094,5904,1140,5971,1174,6045,1196,6124,1204,6203,1196,6277,1174,6344,1140,6403,1094,6453,1038,6492,973,6387,973xe" filled="false" stroked="true" strokeweight="1.0154pt" strokecolor="#ffffff">
              <v:path arrowok="t"/>
              <v:stroke dashstyle="solid"/>
            </v:shape>
            <v:shape style="position:absolute;left:5750;top:386;width:748;height:244" coordorigin="5750,386" coordsize="748,244" path="m6124,386l6043,394,5967,417,5898,454,5838,503,5788,562,5750,630,5857,630,5906,569,5969,522,6043,492,6125,481,6383,481,6350,454,6281,417,6205,394,6124,386xm6383,481l6125,481,6206,492,6280,522,6343,569,6392,630,6498,630,6460,562,6410,503,6383,481xe" filled="true" fillcolor="#bcbec0" stroked="false">
              <v:path arrowok="t"/>
              <v:fill type="solid"/>
            </v:shape>
            <v:shape style="position:absolute;left:5750;top:386;width:748;height:244" coordorigin="5750,386" coordsize="748,244" path="m6392,630l6498,630,6460,562,6410,503,6350,454,6281,417,6205,394,6124,386,6043,394,5967,417,5898,454,5838,503,5788,562,5750,630,5857,630,5906,569,5969,522,6043,492,6125,481,6206,492,6280,522,6343,569,6392,630xe" filled="false" stroked="true" strokeweight="1.0154pt" strokecolor="#ffffff">
              <v:path arrowok="t"/>
              <v:stroke dashstyle="solid"/>
            </v:shape>
            <v:line style="position:absolute" from="5167,681" to="5955,681" stroked="true" strokeweight="3.4677pt" strokecolor="#bcbec0">
              <v:stroke dashstyle="solid"/>
            </v:line>
            <v:shape style="position:absolute;left:5167;top:647;width:788;height:70" coordorigin="5167,647" coordsize="788,70" path="m5955,647l5167,647,5169,687,5179,707,5208,715,5263,716,5294,716,5348,716,5896,716,5955,647xe" filled="false" stroked="true" strokeweight="1.0154pt" strokecolor="#ffffff">
              <v:path arrowok="t"/>
              <v:stroke dashstyle="solid"/>
            </v:shape>
            <v:shape style="position:absolute;left:5260;top:731;width:626;height:66" coordorigin="5260,731" coordsize="626,66" path="m5884,731l5260,731,5263,769,5274,788,5303,795,5359,796,5885,796,5884,731xe" filled="true" fillcolor="#bcbec0" stroked="false">
              <v:path arrowok="t"/>
              <v:fill type="solid"/>
            </v:shape>
            <v:shape style="position:absolute;left:5260;top:731;width:626;height:66" coordorigin="5260,731" coordsize="626,66" path="m5884,731l5260,731,5263,769,5274,788,5303,795,5359,796,5391,796,5448,796,5885,796,5884,731xe" filled="false" stroked="true" strokeweight="1.0154pt" strokecolor="#ffffff">
              <v:path arrowok="t"/>
              <v:stroke dashstyle="solid"/>
            </v:shape>
            <v:shape style="position:absolute;left:5358;top:812;width:560;height:66" coordorigin="5358,812" coordsize="560,66" path="m5890,812l5358,812,5360,850,5372,870,5400,877,5456,878,5917,878,5890,812xe" filled="true" fillcolor="#bcbec0" stroked="false">
              <v:path arrowok="t"/>
              <v:fill type="solid"/>
            </v:shape>
            <v:shape style="position:absolute;left:5358;top:812;width:560;height:66" coordorigin="5358,812" coordsize="560,66" path="m5890,812l5358,812,5360,850,5372,870,5400,877,5456,878,5493,878,5560,878,5646,878,5742,878,5836,878,5917,878,5890,812xe" filled="false" stroked="true" strokeweight="1.0154pt" strokecolor="#ffffff">
              <v:path arrowok="t"/>
              <v:stroke dashstyle="solid"/>
            </v:shape>
            <v:shape style="position:absolute;left:5447;top:893;width:536;height:64" coordorigin="5447,893" coordsize="536,64" path="m5928,893l5447,893,5449,929,5459,948,5488,955,5544,956,5983,956,5928,893xe" filled="true" fillcolor="#bcbec0" stroked="false">
              <v:path arrowok="t"/>
              <v:fill type="solid"/>
            </v:shape>
            <v:shape style="position:absolute;left:5447;top:893;width:536;height:64" coordorigin="5447,893" coordsize="536,64" path="m5928,893l5447,893,5449,929,5459,948,5488,955,5544,956,5593,956,5685,956,5796,956,5903,956,5983,956,5928,893xe" filled="false" stroked="true" strokeweight="1.0154pt" strokecolor="#ffffff">
              <v:path arrowok="t"/>
              <v:stroke dashstyle="solid"/>
            </v:shape>
            <v:line style="position:absolute" from="6285,681" to="7073,681" stroked="true" strokeweight="3.4677pt" strokecolor="#bcbec0">
              <v:stroke dashstyle="solid"/>
            </v:line>
            <v:shape style="position:absolute;left:6285;top:647;width:788;height:70" coordorigin="6285,647" coordsize="788,70" path="m6285,647l7073,647,7071,687,7061,707,7032,715,6976,716,6946,716,6891,716,6344,716,6285,647xe" filled="false" stroked="true" strokeweight="1.0154pt" strokecolor="#ffffff">
              <v:path arrowok="t"/>
              <v:stroke dashstyle="solid"/>
            </v:shape>
            <v:shape style="position:absolute;left:6355;top:731;width:626;height:66" coordorigin="6355,731" coordsize="626,66" path="m6980,731l6356,731,6355,796,6881,796,6937,795,6966,788,6977,769,6980,731xe" filled="true" fillcolor="#bcbec0" stroked="false">
              <v:path arrowok="t"/>
              <v:fill type="solid"/>
            </v:shape>
            <v:shape style="position:absolute;left:6355;top:731;width:626;height:66" coordorigin="6355,731" coordsize="626,66" path="m6356,731l6980,731,6977,769,6966,788,6937,795,6881,796,6849,796,6792,796,6355,796,6356,731xe" filled="false" stroked="true" strokeweight="1.0154pt" strokecolor="#ffffff">
              <v:path arrowok="t"/>
              <v:stroke dashstyle="solid"/>
            </v:shape>
            <v:shape style="position:absolute;left:6326;top:812;width:556;height:66" coordorigin="6326,812" coordsize="556,66" path="m6882,812l6350,812,6326,878,6784,878,6839,877,6868,870,6880,850,6882,812xe" filled="true" fillcolor="#bcbec0" stroked="false">
              <v:path arrowok="t"/>
              <v:fill type="solid"/>
            </v:shape>
            <v:shape style="position:absolute;left:6326;top:812;width:556;height:66" coordorigin="6326,812" coordsize="556,66" path="m6350,812l6882,812,6880,850,6868,870,6839,877,6784,878,6747,878,6681,878,6595,878,6501,878,6408,878,6326,878,6350,812xe" filled="false" stroked="true" strokeweight="1.0154pt" strokecolor="#ffffff">
              <v:path arrowok="t"/>
              <v:stroke dashstyle="solid"/>
            </v:shape>
            <v:shape style="position:absolute;left:6260;top:893;width:534;height:64" coordorigin="6260,893" coordsize="534,64" path="m6793,893l6317,893,6260,956,6696,956,6752,955,6780,948,6791,929,6793,893xe" filled="true" fillcolor="#bcbec0" stroked="false">
              <v:path arrowok="t"/>
              <v:fill type="solid"/>
            </v:shape>
            <v:shape style="position:absolute;left:6260;top:893;width:534;height:64" coordorigin="6260,893" coordsize="534,64" path="m6317,893l6793,893,6791,929,6780,948,6752,955,6696,956,6647,956,6556,956,6446,956,6339,956,6260,956,6317,893xe" filled="false" stroked="true" strokeweight="1.0154pt" strokecolor="#ffffff">
              <v:path arrowok="t"/>
              <v:stroke dashstyle="solid"/>
            </v:shape>
            <v:shape style="position:absolute;left:5855;top:565;width:538;height:528" coordorigin="5855,565" coordsize="538,528" path="m6011,565l5963,575,5904,613,5869,663,5855,718,5860,774,5874,817,5891,852,5911,884,5934,916,5973,958,6026,1008,6076,1052,6123,1092,6143,1076,6171,1052,6220,1009,6123,1009,6086,976,6045,939,6008,903,5983,876,5961,846,5944,819,5931,791,5921,758,5918,749,5917,740,5917,730,5921,703,5932,677,5953,654,5985,635,6028,631,6358,631,6335,604,6331,602,6124,602,6095,585,6056,571,6011,565xm6358,631l6221,631,6263,635,6295,654,6316,677,6327,703,6331,730,6331,740,6330,749,6328,758,6317,791,6304,819,6287,846,6265,876,6240,903,6203,939,6161,976,6123,1009,6220,1009,6221,1008,6275,958,6314,916,6337,884,6358,852,6374,816,6388,774,6390,763,6392,753,6393,742,6393,730,6387,685,6368,642,6358,631xm6221,631l6028,631,6066,642,6093,658,6104,666,6124,684,6144,666,6155,658,6183,642,6221,631xm6237,565l6192,571,6153,585,6124,602,6331,602,6285,575,6237,565xe" filled="true" fillcolor="#ed1b2d" stroked="false">
              <v:path arrowok="t"/>
              <v:fill type="solid"/>
            </v:shape>
            <w10:wrap type="topAndBottom"/>
          </v:group>
        </w:pict>
      </w:r>
    </w:p>
    <w:p>
      <w:pPr>
        <w:spacing w:before="158"/>
        <w:ind w:left="4109" w:right="4060" w:firstLine="0"/>
        <w:jc w:val="center"/>
        <w:rPr>
          <w:rFonts w:ascii="Book Antiqua"/>
          <w:sz w:val="18"/>
        </w:rPr>
      </w:pPr>
      <w:r>
        <w:rPr>
          <w:rFonts w:ascii="Book Antiqua"/>
          <w:color w:val="231F20"/>
          <w:sz w:val="18"/>
        </w:rPr>
        <w:t>SOUTHWEST  AIRLINES  CO.</w:t>
      </w:r>
    </w:p>
    <w:p>
      <w:pPr>
        <w:spacing w:line="290" w:lineRule="auto" w:before="35"/>
        <w:ind w:left="4551" w:right="4430" w:firstLine="315"/>
        <w:jc w:val="left"/>
        <w:rPr>
          <w:rFonts w:ascii="Book Antiqua"/>
          <w:sz w:val="16"/>
        </w:rPr>
      </w:pPr>
      <w:r>
        <w:rPr>
          <w:rFonts w:ascii="Book Antiqua"/>
          <w:color w:val="231F20"/>
          <w:spacing w:val="-4"/>
          <w:sz w:val="16"/>
        </w:rPr>
        <w:t>P.O. </w:t>
      </w:r>
      <w:r>
        <w:rPr>
          <w:rFonts w:ascii="Book Antiqua"/>
          <w:color w:val="231F20"/>
          <w:sz w:val="16"/>
        </w:rPr>
        <w:t>Box </w:t>
      </w:r>
      <w:r>
        <w:rPr>
          <w:rFonts w:ascii="Book Antiqua"/>
          <w:color w:val="231F20"/>
          <w:spacing w:val="-6"/>
          <w:sz w:val="16"/>
        </w:rPr>
        <w:t>36611 </w:t>
      </w:r>
      <w:r>
        <w:rPr>
          <w:rFonts w:ascii="Book Antiqua"/>
          <w:color w:val="231F20"/>
          <w:sz w:val="16"/>
        </w:rPr>
        <w:t>Dallas, </w:t>
      </w:r>
      <w:r>
        <w:rPr>
          <w:rFonts w:ascii="Book Antiqua"/>
          <w:color w:val="231F20"/>
          <w:spacing w:val="-6"/>
          <w:sz w:val="16"/>
        </w:rPr>
        <w:t>Texas </w:t>
      </w:r>
      <w:r>
        <w:rPr>
          <w:rFonts w:ascii="Book Antiqua"/>
          <w:color w:val="231F20"/>
          <w:spacing w:val="-4"/>
          <w:sz w:val="16"/>
        </w:rPr>
        <w:t>75235 </w:t>
      </w:r>
      <w:r>
        <w:rPr>
          <w:rFonts w:ascii="Book Antiqua"/>
          <w:color w:val="231F20"/>
          <w:spacing w:val="-9"/>
          <w:sz w:val="16"/>
        </w:rPr>
        <w:t>-1611</w:t>
      </w:r>
    </w:p>
    <w:p>
      <w:pPr>
        <w:spacing w:line="198" w:lineRule="exact" w:before="0"/>
        <w:ind w:left="4109" w:right="4060" w:firstLine="0"/>
        <w:jc w:val="center"/>
        <w:rPr>
          <w:rFonts w:ascii="Book Antiqua"/>
          <w:sz w:val="16"/>
        </w:rPr>
      </w:pPr>
      <w:r>
        <w:rPr>
          <w:rFonts w:ascii="Book Antiqua"/>
          <w:color w:val="231F20"/>
          <w:sz w:val="16"/>
        </w:rPr>
        <w:t>214.792.4000</w:t>
      </w:r>
    </w:p>
    <w:p>
      <w:pPr>
        <w:spacing w:before="42"/>
        <w:ind w:left="4109" w:right="4060" w:firstLine="0"/>
        <w:jc w:val="center"/>
        <w:rPr>
          <w:rFonts w:ascii="Book Antiqua"/>
          <w:sz w:val="16"/>
        </w:rPr>
      </w:pPr>
      <w:r>
        <w:rPr>
          <w:rFonts w:ascii="Book Antiqua"/>
          <w:color w:val="231F20"/>
          <w:sz w:val="16"/>
        </w:rPr>
        <w:t>1.800.I.FLY.SWA</w:t>
      </w:r>
    </w:p>
    <w:p>
      <w:pPr>
        <w:spacing w:before="41"/>
        <w:ind w:left="4109" w:right="4060" w:firstLine="0"/>
        <w:jc w:val="center"/>
        <w:rPr>
          <w:rFonts w:ascii="Book Antiqua"/>
          <w:sz w:val="16"/>
        </w:rPr>
      </w:pPr>
      <w:r>
        <w:rPr>
          <w:rFonts w:ascii="Book Antiqua"/>
          <w:color w:val="231F20"/>
          <w:sz w:val="16"/>
        </w:rPr>
        <w:t>southwest.com</w:t>
      </w:r>
    </w:p>
    <w:p>
      <w:pPr>
        <w:spacing w:after="0"/>
        <w:jc w:val="center"/>
        <w:rPr>
          <w:rFonts w:ascii="Book Antiqua"/>
          <w:sz w:val="16"/>
        </w:rPr>
        <w:sectPr>
          <w:pgSz w:w="12240" w:h="15840"/>
          <w:pgMar w:top="1500" w:bottom="280" w:left="780" w:right="780"/>
        </w:sectPr>
      </w:pPr>
    </w:p>
    <w:p>
      <w:pPr>
        <w:pStyle w:val="BodyText"/>
        <w:rPr>
          <w:rFonts w:ascii="Book Antiqua"/>
          <w:sz w:val="26"/>
        </w:rPr>
      </w:pPr>
    </w:p>
    <w:p>
      <w:pPr>
        <w:pStyle w:val="BodyText"/>
        <w:rPr>
          <w:rFonts w:ascii="Book Antiqua"/>
          <w:sz w:val="26"/>
        </w:rPr>
      </w:pPr>
    </w:p>
    <w:p>
      <w:pPr>
        <w:spacing w:before="184"/>
        <w:ind w:left="100" w:right="0" w:firstLine="0"/>
        <w:jc w:val="left"/>
        <w:rPr>
          <w:sz w:val="19"/>
        </w:rPr>
      </w:pPr>
      <w:bookmarkStart w:name="Form 10-K" w:id="18"/>
      <w:bookmarkEnd w:id="18"/>
      <w:r>
        <w:rPr/>
      </w:r>
      <w:bookmarkStart w:name="Cover Page" w:id="19"/>
      <w:bookmarkEnd w:id="19"/>
      <w:r>
        <w:rPr/>
      </w:r>
      <w:r>
        <w:rPr>
          <w:w w:val="105"/>
          <w:sz w:val="19"/>
        </w:rPr>
        <w:t>(Mark</w:t>
      </w:r>
      <w:r>
        <w:rPr>
          <w:spacing w:val="-14"/>
          <w:w w:val="105"/>
          <w:sz w:val="19"/>
        </w:rPr>
        <w:t> </w:t>
      </w:r>
      <w:r>
        <w:rPr>
          <w:w w:val="105"/>
          <w:sz w:val="19"/>
        </w:rPr>
        <w:t>One)</w:t>
      </w:r>
    </w:p>
    <w:p>
      <w:pPr>
        <w:spacing w:before="110"/>
        <w:ind w:left="54" w:right="2608" w:firstLine="0"/>
        <w:jc w:val="center"/>
        <w:rPr>
          <w:b/>
          <w:sz w:val="19"/>
        </w:rPr>
      </w:pPr>
      <w:r>
        <w:rPr/>
        <w:br w:type="column"/>
      </w:r>
      <w:r>
        <w:rPr>
          <w:b/>
          <w:w w:val="105"/>
          <w:sz w:val="19"/>
        </w:rPr>
        <w:t>SECURITIES AND EXCHANGE COMMISSION</w:t>
      </w:r>
    </w:p>
    <w:p>
      <w:pPr>
        <w:spacing w:before="21"/>
        <w:ind w:left="53" w:right="2608" w:firstLine="0"/>
        <w:jc w:val="center"/>
        <w:rPr>
          <w:sz w:val="19"/>
        </w:rPr>
      </w:pPr>
      <w:r>
        <w:rPr>
          <w:w w:val="105"/>
          <w:sz w:val="19"/>
        </w:rPr>
        <w:t>Washington, D.C. 20549</w:t>
      </w:r>
    </w:p>
    <w:p>
      <w:pPr>
        <w:spacing w:before="21"/>
        <w:ind w:left="54" w:right="2604" w:firstLine="0"/>
        <w:jc w:val="center"/>
        <w:rPr>
          <w:b/>
          <w:sz w:val="19"/>
        </w:rPr>
      </w:pPr>
      <w:r>
        <w:rPr>
          <w:b/>
          <w:w w:val="105"/>
          <w:sz w:val="19"/>
        </w:rPr>
        <w:t>FORM 10-K</w:t>
      </w:r>
    </w:p>
    <w:p>
      <w:pPr>
        <w:spacing w:after="0"/>
        <w:jc w:val="center"/>
        <w:rPr>
          <w:sz w:val="19"/>
        </w:rPr>
        <w:sectPr>
          <w:pgSz w:w="12240" w:h="15840"/>
          <w:pgMar w:top="1060" w:bottom="280" w:left="1200" w:right="1340"/>
          <w:cols w:num="2" w:equalWidth="0">
            <w:col w:w="1036" w:space="1666"/>
            <w:col w:w="6998"/>
          </w:cols>
        </w:sectPr>
      </w:pPr>
    </w:p>
    <w:p>
      <w:pPr>
        <w:tabs>
          <w:tab w:pos="820" w:val="left" w:leader="none"/>
        </w:tabs>
        <w:spacing w:line="264" w:lineRule="auto" w:before="21"/>
        <w:ind w:left="820" w:right="480" w:hanging="720"/>
        <w:jc w:val="left"/>
        <w:rPr>
          <w:b/>
          <w:sz w:val="19"/>
        </w:rPr>
      </w:pPr>
      <w:r>
        <w:rPr>
          <w:w w:val="105"/>
          <w:sz w:val="19"/>
        </w:rPr>
        <w:t>[X]</w:t>
        <w:tab/>
      </w:r>
      <w:r>
        <w:rPr>
          <w:b/>
          <w:w w:val="105"/>
          <w:sz w:val="19"/>
        </w:rPr>
        <w:t>ANNUAL</w:t>
      </w:r>
      <w:r>
        <w:rPr>
          <w:b/>
          <w:spacing w:val="-12"/>
          <w:w w:val="105"/>
          <w:sz w:val="19"/>
        </w:rPr>
        <w:t> </w:t>
      </w:r>
      <w:r>
        <w:rPr>
          <w:b/>
          <w:w w:val="105"/>
          <w:sz w:val="19"/>
        </w:rPr>
        <w:t>REPORT</w:t>
      </w:r>
      <w:r>
        <w:rPr>
          <w:b/>
          <w:spacing w:val="-11"/>
          <w:w w:val="105"/>
          <w:sz w:val="19"/>
        </w:rPr>
        <w:t> </w:t>
      </w:r>
      <w:r>
        <w:rPr>
          <w:b/>
          <w:w w:val="105"/>
          <w:sz w:val="19"/>
        </w:rPr>
        <w:t>PURSUANT</w:t>
      </w:r>
      <w:r>
        <w:rPr>
          <w:b/>
          <w:spacing w:val="-12"/>
          <w:w w:val="105"/>
          <w:sz w:val="19"/>
        </w:rPr>
        <w:t> </w:t>
      </w:r>
      <w:r>
        <w:rPr>
          <w:b/>
          <w:w w:val="105"/>
          <w:sz w:val="19"/>
        </w:rPr>
        <w:t>TO</w:t>
      </w:r>
      <w:r>
        <w:rPr>
          <w:b/>
          <w:spacing w:val="-12"/>
          <w:w w:val="105"/>
          <w:sz w:val="19"/>
        </w:rPr>
        <w:t> </w:t>
      </w:r>
      <w:r>
        <w:rPr>
          <w:b/>
          <w:w w:val="105"/>
          <w:sz w:val="19"/>
        </w:rPr>
        <w:t>SECTION</w:t>
      </w:r>
      <w:r>
        <w:rPr>
          <w:b/>
          <w:spacing w:val="-11"/>
          <w:w w:val="105"/>
          <w:sz w:val="19"/>
        </w:rPr>
        <w:t> </w:t>
      </w:r>
      <w:r>
        <w:rPr>
          <w:b/>
          <w:w w:val="105"/>
          <w:sz w:val="19"/>
        </w:rPr>
        <w:t>13</w:t>
      </w:r>
      <w:r>
        <w:rPr>
          <w:b/>
          <w:spacing w:val="-12"/>
          <w:w w:val="105"/>
          <w:sz w:val="19"/>
        </w:rPr>
        <w:t> </w:t>
      </w:r>
      <w:r>
        <w:rPr>
          <w:b/>
          <w:w w:val="105"/>
          <w:sz w:val="19"/>
        </w:rPr>
        <w:t>OR</w:t>
      </w:r>
      <w:r>
        <w:rPr>
          <w:b/>
          <w:spacing w:val="-12"/>
          <w:w w:val="105"/>
          <w:sz w:val="19"/>
        </w:rPr>
        <w:t> </w:t>
      </w:r>
      <w:r>
        <w:rPr>
          <w:b/>
          <w:w w:val="105"/>
          <w:sz w:val="19"/>
        </w:rPr>
        <w:t>15(d)</w:t>
      </w:r>
      <w:r>
        <w:rPr>
          <w:b/>
          <w:spacing w:val="-12"/>
          <w:w w:val="105"/>
          <w:sz w:val="19"/>
        </w:rPr>
        <w:t> </w:t>
      </w:r>
      <w:r>
        <w:rPr>
          <w:b/>
          <w:w w:val="105"/>
          <w:sz w:val="19"/>
        </w:rPr>
        <w:t>OF</w:t>
      </w:r>
      <w:r>
        <w:rPr>
          <w:b/>
          <w:spacing w:val="-12"/>
          <w:w w:val="105"/>
          <w:sz w:val="19"/>
        </w:rPr>
        <w:t> </w:t>
      </w:r>
      <w:r>
        <w:rPr>
          <w:b/>
          <w:w w:val="105"/>
          <w:sz w:val="19"/>
        </w:rPr>
        <w:t>THE</w:t>
      </w:r>
      <w:r>
        <w:rPr>
          <w:b/>
          <w:spacing w:val="-12"/>
          <w:w w:val="105"/>
          <w:sz w:val="19"/>
        </w:rPr>
        <w:t> </w:t>
      </w:r>
      <w:r>
        <w:rPr>
          <w:b/>
          <w:w w:val="105"/>
          <w:sz w:val="19"/>
        </w:rPr>
        <w:t>SECURITIES</w:t>
      </w:r>
      <w:r>
        <w:rPr>
          <w:b/>
          <w:spacing w:val="-11"/>
          <w:w w:val="105"/>
          <w:sz w:val="19"/>
        </w:rPr>
        <w:t> </w:t>
      </w:r>
      <w:r>
        <w:rPr>
          <w:b/>
          <w:w w:val="105"/>
          <w:sz w:val="19"/>
        </w:rPr>
        <w:t>EXCHANGE</w:t>
      </w:r>
      <w:r>
        <w:rPr>
          <w:b/>
          <w:w w:val="103"/>
          <w:sz w:val="19"/>
        </w:rPr>
        <w:t> </w:t>
      </w:r>
      <w:r>
        <w:rPr>
          <w:b/>
          <w:w w:val="105"/>
          <w:sz w:val="19"/>
        </w:rPr>
        <w:t>ACT OF</w:t>
      </w:r>
      <w:r>
        <w:rPr>
          <w:b/>
          <w:spacing w:val="-20"/>
          <w:w w:val="105"/>
          <w:sz w:val="19"/>
        </w:rPr>
        <w:t> </w:t>
      </w:r>
      <w:r>
        <w:rPr>
          <w:b/>
          <w:w w:val="105"/>
          <w:sz w:val="19"/>
        </w:rPr>
        <w:t>1934</w:t>
      </w:r>
    </w:p>
    <w:p>
      <w:pPr>
        <w:spacing w:before="0"/>
        <w:ind w:left="100" w:right="0" w:firstLine="0"/>
        <w:jc w:val="left"/>
        <w:rPr>
          <w:sz w:val="19"/>
        </w:rPr>
      </w:pPr>
      <w:r>
        <w:rPr>
          <w:w w:val="105"/>
          <w:sz w:val="19"/>
        </w:rPr>
        <w:t>For the Fiscal Year Ended December 31, 2003 or</w:t>
      </w:r>
    </w:p>
    <w:p>
      <w:pPr>
        <w:tabs>
          <w:tab w:pos="820" w:val="left" w:leader="none"/>
        </w:tabs>
        <w:spacing w:line="264" w:lineRule="auto" w:before="21"/>
        <w:ind w:left="820" w:right="1262" w:hanging="720"/>
        <w:jc w:val="left"/>
        <w:rPr>
          <w:b/>
          <w:sz w:val="19"/>
        </w:rPr>
      </w:pPr>
      <w:r>
        <w:rPr>
          <w:w w:val="105"/>
          <w:sz w:val="19"/>
        </w:rPr>
        <w:t>[</w:t>
      </w:r>
      <w:r>
        <w:rPr>
          <w:spacing w:val="-2"/>
          <w:w w:val="105"/>
          <w:sz w:val="19"/>
        </w:rPr>
        <w:t> </w:t>
      </w:r>
      <w:r>
        <w:rPr>
          <w:w w:val="105"/>
          <w:sz w:val="19"/>
        </w:rPr>
        <w:t>]</w:t>
        <w:tab/>
      </w:r>
      <w:r>
        <w:rPr>
          <w:b/>
          <w:w w:val="105"/>
          <w:sz w:val="19"/>
        </w:rPr>
        <w:t>TRANSITION</w:t>
      </w:r>
      <w:r>
        <w:rPr>
          <w:b/>
          <w:spacing w:val="-12"/>
          <w:w w:val="105"/>
          <w:sz w:val="19"/>
        </w:rPr>
        <w:t> </w:t>
      </w:r>
      <w:r>
        <w:rPr>
          <w:b/>
          <w:w w:val="105"/>
          <w:sz w:val="19"/>
        </w:rPr>
        <w:t>REPORT</w:t>
      </w:r>
      <w:r>
        <w:rPr>
          <w:b/>
          <w:spacing w:val="-11"/>
          <w:w w:val="105"/>
          <w:sz w:val="19"/>
        </w:rPr>
        <w:t> </w:t>
      </w:r>
      <w:r>
        <w:rPr>
          <w:b/>
          <w:w w:val="105"/>
          <w:sz w:val="19"/>
        </w:rPr>
        <w:t>PURSUANT</w:t>
      </w:r>
      <w:r>
        <w:rPr>
          <w:b/>
          <w:spacing w:val="-12"/>
          <w:w w:val="105"/>
          <w:sz w:val="19"/>
        </w:rPr>
        <w:t> </w:t>
      </w:r>
      <w:r>
        <w:rPr>
          <w:b/>
          <w:w w:val="105"/>
          <w:sz w:val="19"/>
        </w:rPr>
        <w:t>TO</w:t>
      </w:r>
      <w:r>
        <w:rPr>
          <w:b/>
          <w:spacing w:val="-12"/>
          <w:w w:val="105"/>
          <w:sz w:val="19"/>
        </w:rPr>
        <w:t> </w:t>
      </w:r>
      <w:r>
        <w:rPr>
          <w:b/>
          <w:w w:val="105"/>
          <w:sz w:val="19"/>
        </w:rPr>
        <w:t>SECTION</w:t>
      </w:r>
      <w:r>
        <w:rPr>
          <w:b/>
          <w:spacing w:val="-11"/>
          <w:w w:val="105"/>
          <w:sz w:val="19"/>
        </w:rPr>
        <w:t> </w:t>
      </w:r>
      <w:r>
        <w:rPr>
          <w:b/>
          <w:w w:val="105"/>
          <w:sz w:val="19"/>
        </w:rPr>
        <w:t>13</w:t>
      </w:r>
      <w:r>
        <w:rPr>
          <w:b/>
          <w:spacing w:val="-12"/>
          <w:w w:val="105"/>
          <w:sz w:val="19"/>
        </w:rPr>
        <w:t> </w:t>
      </w:r>
      <w:r>
        <w:rPr>
          <w:b/>
          <w:w w:val="105"/>
          <w:sz w:val="19"/>
        </w:rPr>
        <w:t>OR</w:t>
      </w:r>
      <w:r>
        <w:rPr>
          <w:b/>
          <w:spacing w:val="-12"/>
          <w:w w:val="105"/>
          <w:sz w:val="19"/>
        </w:rPr>
        <w:t> </w:t>
      </w:r>
      <w:r>
        <w:rPr>
          <w:b/>
          <w:w w:val="105"/>
          <w:sz w:val="19"/>
        </w:rPr>
        <w:t>15(d)</w:t>
      </w:r>
      <w:r>
        <w:rPr>
          <w:b/>
          <w:spacing w:val="-12"/>
          <w:w w:val="105"/>
          <w:sz w:val="19"/>
        </w:rPr>
        <w:t> </w:t>
      </w:r>
      <w:r>
        <w:rPr>
          <w:b/>
          <w:w w:val="105"/>
          <w:sz w:val="19"/>
        </w:rPr>
        <w:t>OF</w:t>
      </w:r>
      <w:r>
        <w:rPr>
          <w:b/>
          <w:spacing w:val="-12"/>
          <w:w w:val="105"/>
          <w:sz w:val="19"/>
        </w:rPr>
        <w:t> </w:t>
      </w:r>
      <w:r>
        <w:rPr>
          <w:b/>
          <w:w w:val="105"/>
          <w:sz w:val="19"/>
        </w:rPr>
        <w:t>THE</w:t>
      </w:r>
      <w:r>
        <w:rPr>
          <w:b/>
          <w:spacing w:val="-12"/>
          <w:w w:val="105"/>
          <w:sz w:val="19"/>
        </w:rPr>
        <w:t> </w:t>
      </w:r>
      <w:r>
        <w:rPr>
          <w:b/>
          <w:w w:val="105"/>
          <w:sz w:val="19"/>
        </w:rPr>
        <w:t>SECURITIES</w:t>
      </w:r>
      <w:r>
        <w:rPr>
          <w:b/>
          <w:w w:val="103"/>
          <w:sz w:val="19"/>
        </w:rPr>
        <w:t> </w:t>
      </w:r>
      <w:r>
        <w:rPr>
          <w:b/>
          <w:w w:val="105"/>
          <w:sz w:val="19"/>
        </w:rPr>
        <w:t>EXCHANGE ACT OF</w:t>
      </w:r>
      <w:r>
        <w:rPr>
          <w:b/>
          <w:spacing w:val="-35"/>
          <w:w w:val="105"/>
          <w:sz w:val="19"/>
        </w:rPr>
        <w:t> </w:t>
      </w:r>
      <w:r>
        <w:rPr>
          <w:b/>
          <w:w w:val="105"/>
          <w:sz w:val="19"/>
        </w:rPr>
        <w:t>1934</w:t>
      </w:r>
    </w:p>
    <w:p>
      <w:pPr>
        <w:tabs>
          <w:tab w:pos="3671" w:val="left" w:leader="none"/>
          <w:tab w:pos="5104" w:val="left" w:leader="none"/>
        </w:tabs>
        <w:spacing w:line="264" w:lineRule="auto" w:before="0"/>
        <w:ind w:left="100" w:right="4593" w:firstLine="0"/>
        <w:jc w:val="left"/>
        <w:rPr>
          <w:sz w:val="19"/>
        </w:rPr>
      </w:pPr>
      <w:r>
        <w:rPr>
          <w:w w:val="105"/>
          <w:sz w:val="19"/>
        </w:rPr>
        <w:t>For the transition</w:t>
      </w:r>
      <w:r>
        <w:rPr>
          <w:spacing w:val="-8"/>
          <w:w w:val="105"/>
          <w:sz w:val="19"/>
        </w:rPr>
        <w:t> </w:t>
      </w:r>
      <w:r>
        <w:rPr>
          <w:w w:val="105"/>
          <w:sz w:val="19"/>
        </w:rPr>
        <w:t>period</w:t>
      </w:r>
      <w:r>
        <w:rPr>
          <w:spacing w:val="-3"/>
          <w:w w:val="105"/>
          <w:sz w:val="19"/>
        </w:rPr>
        <w:t> </w:t>
      </w:r>
      <w:r>
        <w:rPr>
          <w:w w:val="105"/>
          <w:sz w:val="19"/>
        </w:rPr>
        <w:t>from</w:t>
      </w:r>
      <w:r>
        <w:rPr>
          <w:w w:val="105"/>
          <w:sz w:val="19"/>
          <w:u w:val="single"/>
        </w:rPr>
        <w:tab/>
      </w:r>
      <w:r>
        <w:rPr>
          <w:w w:val="105"/>
          <w:sz w:val="19"/>
        </w:rPr>
        <w:t>to</w:t>
      </w:r>
      <w:r>
        <w:rPr>
          <w:spacing w:val="1"/>
          <w:sz w:val="19"/>
        </w:rPr>
        <w:t> </w:t>
      </w:r>
      <w:r>
        <w:rPr>
          <w:w w:val="103"/>
          <w:sz w:val="19"/>
          <w:u w:val="single"/>
        </w:rPr>
        <w:t> </w:t>
      </w:r>
      <w:r>
        <w:rPr>
          <w:sz w:val="19"/>
          <w:u w:val="single"/>
        </w:rPr>
        <w:tab/>
      </w:r>
      <w:r>
        <w:rPr>
          <w:sz w:val="19"/>
        </w:rPr>
        <w:t> </w:t>
      </w:r>
      <w:r>
        <w:rPr>
          <w:w w:val="105"/>
          <w:sz w:val="19"/>
        </w:rPr>
        <w:t>Commission</w:t>
      </w:r>
      <w:r>
        <w:rPr>
          <w:spacing w:val="-13"/>
          <w:w w:val="105"/>
          <w:sz w:val="19"/>
        </w:rPr>
        <w:t> </w:t>
      </w:r>
      <w:r>
        <w:rPr>
          <w:w w:val="105"/>
          <w:sz w:val="19"/>
        </w:rPr>
        <w:t>File</w:t>
      </w:r>
      <w:r>
        <w:rPr>
          <w:spacing w:val="-13"/>
          <w:w w:val="105"/>
          <w:sz w:val="19"/>
        </w:rPr>
        <w:t> </w:t>
      </w:r>
      <w:r>
        <w:rPr>
          <w:w w:val="105"/>
          <w:sz w:val="19"/>
        </w:rPr>
        <w:t>No.</w:t>
      </w:r>
      <w:r>
        <w:rPr>
          <w:spacing w:val="-13"/>
          <w:w w:val="105"/>
          <w:sz w:val="19"/>
        </w:rPr>
        <w:t> </w:t>
      </w:r>
      <w:r>
        <w:rPr>
          <w:w w:val="105"/>
          <w:sz w:val="19"/>
        </w:rPr>
        <w:t>1-7259</w:t>
      </w:r>
    </w:p>
    <w:p>
      <w:pPr>
        <w:spacing w:before="0"/>
        <w:ind w:left="1678" w:right="1534" w:firstLine="0"/>
        <w:jc w:val="center"/>
        <w:rPr>
          <w:b/>
          <w:sz w:val="19"/>
        </w:rPr>
      </w:pPr>
      <w:r>
        <w:rPr>
          <w:b/>
          <w:w w:val="105"/>
          <w:sz w:val="19"/>
        </w:rPr>
        <w:t>SOUTHWEST AIRLINES CO.</w:t>
      </w:r>
    </w:p>
    <w:p>
      <w:pPr>
        <w:spacing w:before="21"/>
        <w:ind w:left="1682" w:right="1534" w:firstLine="0"/>
        <w:jc w:val="center"/>
        <w:rPr>
          <w:sz w:val="19"/>
        </w:rPr>
      </w:pPr>
      <w:r>
        <w:rPr>
          <w:w w:val="105"/>
          <w:sz w:val="19"/>
        </w:rPr>
        <w:t>(Exact name of registrant as specified in its charter)</w:t>
      </w:r>
    </w:p>
    <w:p>
      <w:pPr>
        <w:pStyle w:val="BodyText"/>
        <w:spacing w:before="8"/>
        <w:rPr>
          <w:sz w:val="22"/>
        </w:rPr>
      </w:pPr>
    </w:p>
    <w:p>
      <w:pPr>
        <w:tabs>
          <w:tab w:pos="4319" w:val="left" w:leader="none"/>
        </w:tabs>
        <w:spacing w:before="0"/>
        <w:ind w:left="0" w:right="2786" w:firstLine="0"/>
        <w:jc w:val="center"/>
        <w:rPr>
          <w:b/>
          <w:sz w:val="19"/>
        </w:rPr>
      </w:pPr>
      <w:r>
        <w:rPr>
          <w:b/>
          <w:w w:val="105"/>
          <w:sz w:val="19"/>
        </w:rPr>
        <w:t>TEXAS</w:t>
        <w:tab/>
        <w:t>74-1563240</w:t>
      </w:r>
    </w:p>
    <w:p>
      <w:pPr>
        <w:tabs>
          <w:tab w:pos="5140" w:val="left" w:leader="none"/>
        </w:tabs>
        <w:spacing w:before="21"/>
        <w:ind w:left="100" w:right="0" w:firstLine="0"/>
        <w:jc w:val="left"/>
        <w:rPr>
          <w:sz w:val="19"/>
        </w:rPr>
      </w:pPr>
      <w:r>
        <w:rPr>
          <w:w w:val="105"/>
          <w:sz w:val="19"/>
        </w:rPr>
        <w:t>(State or other</w:t>
      </w:r>
      <w:r>
        <w:rPr>
          <w:spacing w:val="-18"/>
          <w:w w:val="105"/>
          <w:sz w:val="19"/>
        </w:rPr>
        <w:t> </w:t>
      </w:r>
      <w:r>
        <w:rPr>
          <w:w w:val="105"/>
          <w:sz w:val="19"/>
        </w:rPr>
        <w:t>jurisdiction</w:t>
      </w:r>
      <w:r>
        <w:rPr>
          <w:spacing w:val="-6"/>
          <w:w w:val="105"/>
          <w:sz w:val="19"/>
        </w:rPr>
        <w:t> </w:t>
      </w:r>
      <w:r>
        <w:rPr>
          <w:w w:val="105"/>
          <w:sz w:val="19"/>
        </w:rPr>
        <w:t>of</w:t>
        <w:tab/>
        <w:t>(I.R.S.</w:t>
      </w:r>
      <w:r>
        <w:rPr>
          <w:spacing w:val="-19"/>
          <w:w w:val="105"/>
          <w:sz w:val="19"/>
        </w:rPr>
        <w:t> </w:t>
      </w:r>
      <w:r>
        <w:rPr>
          <w:w w:val="105"/>
          <w:sz w:val="19"/>
        </w:rPr>
        <w:t>employer</w:t>
      </w:r>
    </w:p>
    <w:p>
      <w:pPr>
        <w:tabs>
          <w:tab w:pos="5140" w:val="left" w:leader="none"/>
        </w:tabs>
        <w:spacing w:before="21"/>
        <w:ind w:left="100" w:right="0" w:firstLine="0"/>
        <w:jc w:val="left"/>
        <w:rPr>
          <w:sz w:val="19"/>
        </w:rPr>
      </w:pPr>
      <w:r>
        <w:rPr>
          <w:w w:val="105"/>
          <w:sz w:val="19"/>
        </w:rPr>
        <w:t>incorporation</w:t>
      </w:r>
      <w:r>
        <w:rPr>
          <w:spacing w:val="-9"/>
          <w:w w:val="105"/>
          <w:sz w:val="19"/>
        </w:rPr>
        <w:t> </w:t>
      </w:r>
      <w:r>
        <w:rPr>
          <w:w w:val="105"/>
          <w:sz w:val="19"/>
        </w:rPr>
        <w:t>or</w:t>
      </w:r>
      <w:r>
        <w:rPr>
          <w:spacing w:val="-9"/>
          <w:w w:val="105"/>
          <w:sz w:val="19"/>
        </w:rPr>
        <w:t> </w:t>
      </w:r>
      <w:r>
        <w:rPr>
          <w:w w:val="105"/>
          <w:sz w:val="19"/>
        </w:rPr>
        <w:t>organization)</w:t>
        <w:tab/>
        <w:t>identification</w:t>
      </w:r>
      <w:r>
        <w:rPr>
          <w:spacing w:val="-21"/>
          <w:w w:val="105"/>
          <w:sz w:val="19"/>
        </w:rPr>
        <w:t> </w:t>
      </w:r>
      <w:r>
        <w:rPr>
          <w:w w:val="105"/>
          <w:sz w:val="19"/>
        </w:rPr>
        <w:t>no.)</w:t>
      </w:r>
    </w:p>
    <w:p>
      <w:pPr>
        <w:pStyle w:val="BodyText"/>
        <w:spacing w:before="7"/>
        <w:rPr>
          <w:sz w:val="22"/>
        </w:rPr>
      </w:pPr>
    </w:p>
    <w:p>
      <w:pPr>
        <w:spacing w:before="1"/>
        <w:ind w:left="100" w:right="0" w:firstLine="0"/>
        <w:jc w:val="left"/>
        <w:rPr>
          <w:b/>
          <w:sz w:val="19"/>
        </w:rPr>
      </w:pPr>
      <w:r>
        <w:rPr>
          <w:b/>
          <w:w w:val="105"/>
          <w:sz w:val="19"/>
        </w:rPr>
        <w:t>P.O. Box 36611</w:t>
      </w:r>
    </w:p>
    <w:p>
      <w:pPr>
        <w:tabs>
          <w:tab w:pos="5140" w:val="left" w:leader="none"/>
        </w:tabs>
        <w:spacing w:before="21"/>
        <w:ind w:left="100" w:right="0" w:firstLine="0"/>
        <w:jc w:val="left"/>
        <w:rPr>
          <w:b/>
          <w:sz w:val="19"/>
        </w:rPr>
      </w:pPr>
      <w:r>
        <w:rPr>
          <w:b/>
          <w:w w:val="105"/>
          <w:sz w:val="19"/>
        </w:rPr>
        <w:t>Dallas,</w:t>
      </w:r>
      <w:r>
        <w:rPr>
          <w:b/>
          <w:spacing w:val="-7"/>
          <w:w w:val="105"/>
          <w:sz w:val="19"/>
        </w:rPr>
        <w:t> </w:t>
      </w:r>
      <w:r>
        <w:rPr>
          <w:b/>
          <w:w w:val="105"/>
          <w:sz w:val="19"/>
        </w:rPr>
        <w:t>Texas</w:t>
        <w:tab/>
        <w:t>75235-1611</w:t>
      </w:r>
    </w:p>
    <w:p>
      <w:pPr>
        <w:tabs>
          <w:tab w:pos="5140" w:val="left" w:leader="none"/>
        </w:tabs>
        <w:spacing w:line="528" w:lineRule="auto" w:before="21"/>
        <w:ind w:left="100" w:right="3326" w:firstLine="0"/>
        <w:jc w:val="left"/>
        <w:rPr>
          <w:b/>
          <w:sz w:val="19"/>
        </w:rPr>
      </w:pPr>
      <w:r>
        <w:rPr>
          <w:w w:val="105"/>
          <w:sz w:val="19"/>
        </w:rPr>
        <w:t>(Address of principal</w:t>
      </w:r>
      <w:r>
        <w:rPr>
          <w:spacing w:val="-24"/>
          <w:w w:val="105"/>
          <w:sz w:val="19"/>
        </w:rPr>
        <w:t> </w:t>
      </w:r>
      <w:r>
        <w:rPr>
          <w:w w:val="105"/>
          <w:sz w:val="19"/>
        </w:rPr>
        <w:t>executive</w:t>
      </w:r>
      <w:r>
        <w:rPr>
          <w:spacing w:val="-8"/>
          <w:w w:val="105"/>
          <w:sz w:val="19"/>
        </w:rPr>
        <w:t> </w:t>
      </w:r>
      <w:r>
        <w:rPr>
          <w:w w:val="105"/>
          <w:sz w:val="19"/>
        </w:rPr>
        <w:t>offices)</w:t>
        <w:tab/>
        <w:t>(Zip</w:t>
      </w:r>
      <w:r>
        <w:rPr>
          <w:spacing w:val="-13"/>
          <w:w w:val="105"/>
          <w:sz w:val="19"/>
        </w:rPr>
        <w:t> </w:t>
      </w:r>
      <w:r>
        <w:rPr>
          <w:w w:val="105"/>
          <w:sz w:val="19"/>
        </w:rPr>
        <w:t>Code)</w:t>
      </w:r>
      <w:r>
        <w:rPr>
          <w:w w:val="103"/>
          <w:sz w:val="19"/>
        </w:rPr>
        <w:t> </w:t>
      </w:r>
      <w:r>
        <w:rPr>
          <w:w w:val="105"/>
          <w:sz w:val="19"/>
        </w:rPr>
        <w:t>Registrant's telephone number, including</w:t>
      </w:r>
      <w:r>
        <w:rPr>
          <w:spacing w:val="-35"/>
          <w:w w:val="105"/>
          <w:sz w:val="19"/>
        </w:rPr>
        <w:t> </w:t>
      </w:r>
      <w:r>
        <w:rPr>
          <w:w w:val="105"/>
          <w:sz w:val="19"/>
        </w:rPr>
        <w:t>area</w:t>
      </w:r>
      <w:r>
        <w:rPr>
          <w:spacing w:val="-9"/>
          <w:w w:val="105"/>
          <w:sz w:val="19"/>
        </w:rPr>
        <w:t> </w:t>
      </w:r>
      <w:r>
        <w:rPr>
          <w:w w:val="105"/>
          <w:sz w:val="19"/>
        </w:rPr>
        <w:t>code:</w:t>
        <w:tab/>
      </w:r>
      <w:r>
        <w:rPr>
          <w:b/>
          <w:w w:val="105"/>
          <w:sz w:val="19"/>
        </w:rPr>
        <w:t>(214)</w:t>
      </w:r>
      <w:r>
        <w:rPr>
          <w:b/>
          <w:spacing w:val="-18"/>
          <w:w w:val="105"/>
          <w:sz w:val="19"/>
        </w:rPr>
        <w:t> </w:t>
      </w:r>
      <w:r>
        <w:rPr>
          <w:b/>
          <w:w w:val="105"/>
          <w:sz w:val="19"/>
        </w:rPr>
        <w:t>792-4000</w:t>
      </w:r>
    </w:p>
    <w:p>
      <w:pPr>
        <w:spacing w:before="9"/>
        <w:ind w:left="1685" w:right="1534" w:firstLine="0"/>
        <w:jc w:val="center"/>
        <w:rPr>
          <w:sz w:val="19"/>
        </w:rPr>
      </w:pPr>
      <w:r>
        <w:rPr>
          <w:w w:val="105"/>
          <w:sz w:val="19"/>
        </w:rPr>
        <w:t>SECURITIES REGISTERED PURSUANT TO SECTION 12(b) OF THE ACT:</w:t>
      </w:r>
    </w:p>
    <w:p>
      <w:pPr>
        <w:spacing w:before="21"/>
        <w:ind w:left="4420" w:right="0" w:firstLine="0"/>
        <w:jc w:val="left"/>
        <w:rPr>
          <w:b/>
          <w:sz w:val="19"/>
        </w:rPr>
      </w:pPr>
      <w:r>
        <w:rPr>
          <w:b/>
          <w:w w:val="105"/>
          <w:sz w:val="19"/>
        </w:rPr>
        <w:t>Name of Each Exchange</w:t>
      </w:r>
    </w:p>
    <w:p>
      <w:pPr>
        <w:tabs>
          <w:tab w:pos="4420" w:val="left" w:leader="none"/>
        </w:tabs>
        <w:spacing w:before="21"/>
        <w:ind w:left="100" w:right="0" w:firstLine="0"/>
        <w:jc w:val="left"/>
        <w:rPr>
          <w:b/>
          <w:sz w:val="19"/>
        </w:rPr>
      </w:pPr>
      <w:r>
        <w:rPr>
          <w:b/>
          <w:w w:val="105"/>
          <w:sz w:val="19"/>
          <w:u w:val="single"/>
        </w:rPr>
        <w:t>Title of</w:t>
      </w:r>
      <w:r>
        <w:rPr>
          <w:b/>
          <w:spacing w:val="-11"/>
          <w:w w:val="105"/>
          <w:sz w:val="19"/>
          <w:u w:val="single"/>
        </w:rPr>
        <w:t> </w:t>
      </w:r>
      <w:r>
        <w:rPr>
          <w:b/>
          <w:w w:val="105"/>
          <w:sz w:val="19"/>
          <w:u w:val="single"/>
        </w:rPr>
        <w:t>Each</w:t>
      </w:r>
      <w:r>
        <w:rPr>
          <w:b/>
          <w:spacing w:val="-6"/>
          <w:w w:val="105"/>
          <w:sz w:val="19"/>
          <w:u w:val="single"/>
        </w:rPr>
        <w:t> </w:t>
      </w:r>
      <w:r>
        <w:rPr>
          <w:b/>
          <w:w w:val="105"/>
          <w:sz w:val="19"/>
          <w:u w:val="single"/>
        </w:rPr>
        <w:t>Class</w:t>
      </w:r>
      <w:r>
        <w:rPr>
          <w:b/>
          <w:w w:val="105"/>
          <w:sz w:val="19"/>
        </w:rPr>
        <w:tab/>
      </w:r>
      <w:r>
        <w:rPr>
          <w:b/>
          <w:w w:val="105"/>
          <w:sz w:val="19"/>
          <w:u w:val="single"/>
        </w:rPr>
        <w:t>on Which</w:t>
      </w:r>
      <w:r>
        <w:rPr>
          <w:b/>
          <w:spacing w:val="-26"/>
          <w:w w:val="105"/>
          <w:sz w:val="19"/>
          <w:u w:val="single"/>
        </w:rPr>
        <w:t> </w:t>
      </w:r>
      <w:r>
        <w:rPr>
          <w:b/>
          <w:w w:val="105"/>
          <w:sz w:val="19"/>
          <w:u w:val="single"/>
        </w:rPr>
        <w:t>Registered</w:t>
      </w:r>
    </w:p>
    <w:p>
      <w:pPr>
        <w:tabs>
          <w:tab w:pos="4420" w:val="left" w:leader="none"/>
        </w:tabs>
        <w:spacing w:before="21"/>
        <w:ind w:left="100" w:right="0" w:firstLine="0"/>
        <w:jc w:val="left"/>
        <w:rPr>
          <w:sz w:val="19"/>
        </w:rPr>
      </w:pPr>
      <w:r>
        <w:rPr>
          <w:w w:val="105"/>
          <w:sz w:val="19"/>
        </w:rPr>
        <w:t>Common Stock ($1.00</w:t>
      </w:r>
      <w:r>
        <w:rPr>
          <w:spacing w:val="-22"/>
          <w:w w:val="105"/>
          <w:sz w:val="19"/>
        </w:rPr>
        <w:t> </w:t>
      </w:r>
      <w:r>
        <w:rPr>
          <w:w w:val="105"/>
          <w:sz w:val="19"/>
        </w:rPr>
        <w:t>par</w:t>
      </w:r>
      <w:r>
        <w:rPr>
          <w:spacing w:val="-8"/>
          <w:w w:val="105"/>
          <w:sz w:val="19"/>
        </w:rPr>
        <w:t> </w:t>
      </w:r>
      <w:r>
        <w:rPr>
          <w:w w:val="105"/>
          <w:sz w:val="19"/>
        </w:rPr>
        <w:t>value)</w:t>
        <w:tab/>
        <w:t>New</w:t>
      </w:r>
      <w:r>
        <w:rPr>
          <w:spacing w:val="-12"/>
          <w:w w:val="105"/>
          <w:sz w:val="19"/>
        </w:rPr>
        <w:t> </w:t>
      </w:r>
      <w:r>
        <w:rPr>
          <w:w w:val="105"/>
          <w:sz w:val="19"/>
        </w:rPr>
        <w:t>York</w:t>
      </w:r>
      <w:r>
        <w:rPr>
          <w:spacing w:val="-12"/>
          <w:w w:val="105"/>
          <w:sz w:val="19"/>
        </w:rPr>
        <w:t> </w:t>
      </w:r>
      <w:r>
        <w:rPr>
          <w:w w:val="105"/>
          <w:sz w:val="19"/>
        </w:rPr>
        <w:t>Stock</w:t>
      </w:r>
      <w:r>
        <w:rPr>
          <w:spacing w:val="-11"/>
          <w:w w:val="105"/>
          <w:sz w:val="19"/>
        </w:rPr>
        <w:t> </w:t>
      </w:r>
      <w:r>
        <w:rPr>
          <w:w w:val="105"/>
          <w:sz w:val="19"/>
        </w:rPr>
        <w:t>Exchange,</w:t>
      </w:r>
      <w:r>
        <w:rPr>
          <w:spacing w:val="-12"/>
          <w:w w:val="105"/>
          <w:sz w:val="19"/>
        </w:rPr>
        <w:t> </w:t>
      </w:r>
      <w:r>
        <w:rPr>
          <w:w w:val="105"/>
          <w:sz w:val="19"/>
        </w:rPr>
        <w:t>Inc.</w:t>
      </w:r>
    </w:p>
    <w:p>
      <w:pPr>
        <w:tabs>
          <w:tab w:pos="4421" w:val="left" w:leader="none"/>
        </w:tabs>
        <w:spacing w:before="21"/>
        <w:ind w:left="100" w:right="0" w:firstLine="0"/>
        <w:jc w:val="left"/>
        <w:rPr>
          <w:sz w:val="19"/>
        </w:rPr>
      </w:pPr>
      <w:r>
        <w:rPr>
          <w:w w:val="105"/>
          <w:sz w:val="19"/>
        </w:rPr>
        <w:t>Common Share</w:t>
      </w:r>
      <w:r>
        <w:rPr>
          <w:spacing w:val="-15"/>
          <w:w w:val="105"/>
          <w:sz w:val="19"/>
        </w:rPr>
        <w:t> </w:t>
      </w:r>
      <w:r>
        <w:rPr>
          <w:w w:val="105"/>
          <w:sz w:val="19"/>
        </w:rPr>
        <w:t>Purchase</w:t>
      </w:r>
      <w:r>
        <w:rPr>
          <w:spacing w:val="-7"/>
          <w:w w:val="105"/>
          <w:sz w:val="19"/>
        </w:rPr>
        <w:t> </w:t>
      </w:r>
      <w:r>
        <w:rPr>
          <w:w w:val="105"/>
          <w:sz w:val="19"/>
        </w:rPr>
        <w:t>Rights</w:t>
        <w:tab/>
        <w:t>New</w:t>
      </w:r>
      <w:r>
        <w:rPr>
          <w:spacing w:val="-10"/>
          <w:w w:val="105"/>
          <w:sz w:val="19"/>
        </w:rPr>
        <w:t> </w:t>
      </w:r>
      <w:r>
        <w:rPr>
          <w:w w:val="105"/>
          <w:sz w:val="19"/>
        </w:rPr>
        <w:t>York</w:t>
      </w:r>
      <w:r>
        <w:rPr>
          <w:spacing w:val="-10"/>
          <w:w w:val="105"/>
          <w:sz w:val="19"/>
        </w:rPr>
        <w:t> </w:t>
      </w:r>
      <w:r>
        <w:rPr>
          <w:w w:val="105"/>
          <w:sz w:val="19"/>
        </w:rPr>
        <w:t>Stock</w:t>
      </w:r>
      <w:r>
        <w:rPr>
          <w:spacing w:val="-9"/>
          <w:w w:val="105"/>
          <w:sz w:val="19"/>
        </w:rPr>
        <w:t> </w:t>
      </w:r>
      <w:r>
        <w:rPr>
          <w:w w:val="105"/>
          <w:sz w:val="19"/>
        </w:rPr>
        <w:t>Exchange,</w:t>
      </w:r>
      <w:r>
        <w:rPr>
          <w:spacing w:val="-10"/>
          <w:w w:val="105"/>
          <w:sz w:val="19"/>
        </w:rPr>
        <w:t> </w:t>
      </w:r>
      <w:r>
        <w:rPr>
          <w:w w:val="105"/>
          <w:sz w:val="19"/>
        </w:rPr>
        <w:t>Inc.</w:t>
      </w:r>
    </w:p>
    <w:p>
      <w:pPr>
        <w:pStyle w:val="BodyText"/>
        <w:spacing w:before="8"/>
        <w:rPr>
          <w:sz w:val="22"/>
        </w:rPr>
      </w:pPr>
    </w:p>
    <w:p>
      <w:pPr>
        <w:spacing w:before="0"/>
        <w:ind w:left="1685" w:right="1534" w:firstLine="0"/>
        <w:jc w:val="center"/>
        <w:rPr>
          <w:sz w:val="19"/>
        </w:rPr>
      </w:pPr>
      <w:r>
        <w:rPr>
          <w:w w:val="105"/>
          <w:sz w:val="19"/>
        </w:rPr>
        <w:t>SECURITIES REGISTERED PURSUANT TO SECTION 12(g) OF THE ACT:</w:t>
      </w:r>
    </w:p>
    <w:p>
      <w:pPr>
        <w:spacing w:before="21"/>
        <w:ind w:left="1677" w:right="1534" w:firstLine="0"/>
        <w:jc w:val="center"/>
        <w:rPr>
          <w:sz w:val="19"/>
        </w:rPr>
      </w:pPr>
      <w:r>
        <w:rPr>
          <w:w w:val="105"/>
          <w:sz w:val="19"/>
        </w:rPr>
        <w:t>None</w:t>
      </w:r>
    </w:p>
    <w:p>
      <w:pPr>
        <w:pStyle w:val="BodyText"/>
        <w:spacing w:before="8"/>
        <w:rPr>
          <w:sz w:val="22"/>
        </w:rPr>
      </w:pPr>
    </w:p>
    <w:p>
      <w:pPr>
        <w:spacing w:line="264" w:lineRule="auto" w:before="0"/>
        <w:ind w:left="100" w:right="0" w:firstLine="0"/>
        <w:jc w:val="left"/>
        <w:rPr>
          <w:sz w:val="19"/>
        </w:rPr>
      </w:pPr>
      <w:r>
        <w:rPr>
          <w:w w:val="105"/>
          <w:sz w:val="19"/>
        </w:rPr>
        <w:t>Indicate by check mark whether the registrant (1) has filed all reports required to be filed by Section 13 or 15(d) of the Securities Exchange Act of 1934 during the preceding 12 months (or for such shorter period that the registrant was required to file such reports), and (2) has been subject to such filing requirements for the past 90 days. Yes [X] No [ ]</w:t>
      </w:r>
    </w:p>
    <w:p>
      <w:pPr>
        <w:pStyle w:val="BodyText"/>
        <w:spacing w:before="9"/>
        <w:rPr>
          <w:sz w:val="20"/>
        </w:rPr>
      </w:pPr>
    </w:p>
    <w:p>
      <w:pPr>
        <w:spacing w:line="264" w:lineRule="auto" w:before="1"/>
        <w:ind w:left="100" w:right="0" w:firstLine="0"/>
        <w:jc w:val="left"/>
        <w:rPr>
          <w:sz w:val="19"/>
        </w:rPr>
      </w:pPr>
      <w:r>
        <w:rPr>
          <w:w w:val="105"/>
          <w:sz w:val="19"/>
        </w:rPr>
        <w:t>Indicate</w:t>
      </w:r>
      <w:r>
        <w:rPr>
          <w:spacing w:val="-8"/>
          <w:w w:val="105"/>
          <w:sz w:val="19"/>
        </w:rPr>
        <w:t> </w:t>
      </w:r>
      <w:r>
        <w:rPr>
          <w:w w:val="105"/>
          <w:sz w:val="19"/>
        </w:rPr>
        <w:t>by</w:t>
      </w:r>
      <w:r>
        <w:rPr>
          <w:spacing w:val="-8"/>
          <w:w w:val="105"/>
          <w:sz w:val="19"/>
        </w:rPr>
        <w:t> </w:t>
      </w:r>
      <w:r>
        <w:rPr>
          <w:w w:val="105"/>
          <w:sz w:val="19"/>
        </w:rPr>
        <w:t>check</w:t>
      </w:r>
      <w:r>
        <w:rPr>
          <w:spacing w:val="-8"/>
          <w:w w:val="105"/>
          <w:sz w:val="19"/>
        </w:rPr>
        <w:t> </w:t>
      </w:r>
      <w:r>
        <w:rPr>
          <w:w w:val="105"/>
          <w:sz w:val="19"/>
        </w:rPr>
        <w:t>mark</w:t>
      </w:r>
      <w:r>
        <w:rPr>
          <w:spacing w:val="-8"/>
          <w:w w:val="105"/>
          <w:sz w:val="19"/>
        </w:rPr>
        <w:t> </w:t>
      </w:r>
      <w:r>
        <w:rPr>
          <w:w w:val="105"/>
          <w:sz w:val="19"/>
        </w:rPr>
        <w:t>if</w:t>
      </w:r>
      <w:r>
        <w:rPr>
          <w:spacing w:val="-8"/>
          <w:w w:val="105"/>
          <w:sz w:val="19"/>
        </w:rPr>
        <w:t> </w:t>
      </w:r>
      <w:r>
        <w:rPr>
          <w:w w:val="105"/>
          <w:sz w:val="19"/>
        </w:rPr>
        <w:t>disclosure</w:t>
      </w:r>
      <w:r>
        <w:rPr>
          <w:spacing w:val="-8"/>
          <w:w w:val="105"/>
          <w:sz w:val="19"/>
        </w:rPr>
        <w:t> </w:t>
      </w:r>
      <w:r>
        <w:rPr>
          <w:w w:val="105"/>
          <w:sz w:val="19"/>
        </w:rPr>
        <w:t>of</w:t>
      </w:r>
      <w:r>
        <w:rPr>
          <w:spacing w:val="-8"/>
          <w:w w:val="105"/>
          <w:sz w:val="19"/>
        </w:rPr>
        <w:t> </w:t>
      </w:r>
      <w:r>
        <w:rPr>
          <w:w w:val="105"/>
          <w:sz w:val="19"/>
        </w:rPr>
        <w:t>delinquent</w:t>
      </w:r>
      <w:r>
        <w:rPr>
          <w:spacing w:val="-8"/>
          <w:w w:val="105"/>
          <w:sz w:val="19"/>
        </w:rPr>
        <w:t> </w:t>
      </w:r>
      <w:r>
        <w:rPr>
          <w:w w:val="105"/>
          <w:sz w:val="19"/>
        </w:rPr>
        <w:t>filers</w:t>
      </w:r>
      <w:r>
        <w:rPr>
          <w:spacing w:val="-8"/>
          <w:w w:val="105"/>
          <w:sz w:val="19"/>
        </w:rPr>
        <w:t> </w:t>
      </w:r>
      <w:r>
        <w:rPr>
          <w:w w:val="105"/>
          <w:sz w:val="19"/>
        </w:rPr>
        <w:t>pursuant</w:t>
      </w:r>
      <w:r>
        <w:rPr>
          <w:spacing w:val="-8"/>
          <w:w w:val="105"/>
          <w:sz w:val="19"/>
        </w:rPr>
        <w:t> </w:t>
      </w:r>
      <w:r>
        <w:rPr>
          <w:w w:val="105"/>
          <w:sz w:val="19"/>
        </w:rPr>
        <w:t>to</w:t>
      </w:r>
      <w:r>
        <w:rPr>
          <w:spacing w:val="-8"/>
          <w:w w:val="105"/>
          <w:sz w:val="19"/>
        </w:rPr>
        <w:t> </w:t>
      </w:r>
      <w:r>
        <w:rPr>
          <w:w w:val="105"/>
          <w:sz w:val="19"/>
        </w:rPr>
        <w:t>Item</w:t>
      </w:r>
      <w:r>
        <w:rPr>
          <w:spacing w:val="-8"/>
          <w:w w:val="105"/>
          <w:sz w:val="19"/>
        </w:rPr>
        <w:t> </w:t>
      </w:r>
      <w:r>
        <w:rPr>
          <w:w w:val="105"/>
          <w:sz w:val="19"/>
        </w:rPr>
        <w:t>405</w:t>
      </w:r>
      <w:r>
        <w:rPr>
          <w:spacing w:val="-8"/>
          <w:w w:val="105"/>
          <w:sz w:val="19"/>
        </w:rPr>
        <w:t> </w:t>
      </w:r>
      <w:r>
        <w:rPr>
          <w:w w:val="105"/>
          <w:sz w:val="19"/>
        </w:rPr>
        <w:t>of</w:t>
      </w:r>
      <w:r>
        <w:rPr>
          <w:spacing w:val="-8"/>
          <w:w w:val="105"/>
          <w:sz w:val="19"/>
        </w:rPr>
        <w:t> </w:t>
      </w:r>
      <w:r>
        <w:rPr>
          <w:w w:val="105"/>
          <w:sz w:val="19"/>
        </w:rPr>
        <w:t>Regulation</w:t>
      </w:r>
      <w:r>
        <w:rPr>
          <w:spacing w:val="-8"/>
          <w:w w:val="105"/>
          <w:sz w:val="19"/>
        </w:rPr>
        <w:t> </w:t>
      </w:r>
      <w:r>
        <w:rPr>
          <w:w w:val="105"/>
          <w:sz w:val="19"/>
        </w:rPr>
        <w:t>S-K</w:t>
      </w:r>
      <w:r>
        <w:rPr>
          <w:spacing w:val="-8"/>
          <w:w w:val="105"/>
          <w:sz w:val="19"/>
        </w:rPr>
        <w:t> </w:t>
      </w:r>
      <w:r>
        <w:rPr>
          <w:w w:val="105"/>
          <w:sz w:val="19"/>
        </w:rPr>
        <w:t>is</w:t>
      </w:r>
      <w:r>
        <w:rPr>
          <w:spacing w:val="-8"/>
          <w:w w:val="105"/>
          <w:sz w:val="19"/>
        </w:rPr>
        <w:t> </w:t>
      </w:r>
      <w:r>
        <w:rPr>
          <w:w w:val="105"/>
          <w:sz w:val="19"/>
        </w:rPr>
        <w:t>not</w:t>
      </w:r>
      <w:r>
        <w:rPr>
          <w:spacing w:val="-8"/>
          <w:w w:val="105"/>
          <w:sz w:val="19"/>
        </w:rPr>
        <w:t> </w:t>
      </w:r>
      <w:r>
        <w:rPr>
          <w:w w:val="105"/>
          <w:sz w:val="19"/>
        </w:rPr>
        <w:t>contained</w:t>
      </w:r>
      <w:r>
        <w:rPr>
          <w:spacing w:val="-8"/>
          <w:w w:val="105"/>
          <w:sz w:val="19"/>
        </w:rPr>
        <w:t> </w:t>
      </w:r>
      <w:r>
        <w:rPr>
          <w:w w:val="105"/>
          <w:sz w:val="19"/>
        </w:rPr>
        <w:t>herein, and will not be contained, to the best of registrant's knowledge, in definitive proxy or information statements incorporated</w:t>
      </w:r>
      <w:r>
        <w:rPr>
          <w:spacing w:val="-7"/>
          <w:w w:val="105"/>
          <w:sz w:val="19"/>
        </w:rPr>
        <w:t> </w:t>
      </w:r>
      <w:r>
        <w:rPr>
          <w:w w:val="105"/>
          <w:sz w:val="19"/>
        </w:rPr>
        <w:t>by</w:t>
      </w:r>
      <w:r>
        <w:rPr>
          <w:spacing w:val="-7"/>
          <w:w w:val="105"/>
          <w:sz w:val="19"/>
        </w:rPr>
        <w:t> </w:t>
      </w:r>
      <w:r>
        <w:rPr>
          <w:w w:val="105"/>
          <w:sz w:val="19"/>
        </w:rPr>
        <w:t>reference</w:t>
      </w:r>
      <w:r>
        <w:rPr>
          <w:spacing w:val="-7"/>
          <w:w w:val="105"/>
          <w:sz w:val="19"/>
        </w:rPr>
        <w:t> </w:t>
      </w:r>
      <w:r>
        <w:rPr>
          <w:w w:val="105"/>
          <w:sz w:val="19"/>
        </w:rPr>
        <w:t>in</w:t>
      </w:r>
      <w:r>
        <w:rPr>
          <w:spacing w:val="-7"/>
          <w:w w:val="105"/>
          <w:sz w:val="19"/>
        </w:rPr>
        <w:t> </w:t>
      </w:r>
      <w:r>
        <w:rPr>
          <w:w w:val="105"/>
          <w:sz w:val="19"/>
        </w:rPr>
        <w:t>Part</w:t>
      </w:r>
      <w:r>
        <w:rPr>
          <w:spacing w:val="-7"/>
          <w:w w:val="105"/>
          <w:sz w:val="19"/>
        </w:rPr>
        <w:t> </w:t>
      </w:r>
      <w:r>
        <w:rPr>
          <w:w w:val="105"/>
          <w:sz w:val="19"/>
        </w:rPr>
        <w:t>III</w:t>
      </w:r>
      <w:r>
        <w:rPr>
          <w:spacing w:val="-7"/>
          <w:w w:val="105"/>
          <w:sz w:val="19"/>
        </w:rPr>
        <w:t> </w:t>
      </w:r>
      <w:r>
        <w:rPr>
          <w:w w:val="105"/>
          <w:sz w:val="19"/>
        </w:rPr>
        <w:t>of</w:t>
      </w:r>
      <w:r>
        <w:rPr>
          <w:spacing w:val="-7"/>
          <w:w w:val="105"/>
          <w:sz w:val="19"/>
        </w:rPr>
        <w:t> </w:t>
      </w:r>
      <w:r>
        <w:rPr>
          <w:w w:val="105"/>
          <w:sz w:val="19"/>
        </w:rPr>
        <w:t>this</w:t>
      </w:r>
      <w:r>
        <w:rPr>
          <w:spacing w:val="-7"/>
          <w:w w:val="105"/>
          <w:sz w:val="19"/>
        </w:rPr>
        <w:t> </w:t>
      </w:r>
      <w:r>
        <w:rPr>
          <w:w w:val="105"/>
          <w:sz w:val="19"/>
        </w:rPr>
        <w:t>Form</w:t>
      </w:r>
      <w:r>
        <w:rPr>
          <w:spacing w:val="-7"/>
          <w:w w:val="105"/>
          <w:sz w:val="19"/>
        </w:rPr>
        <w:t> </w:t>
      </w:r>
      <w:r>
        <w:rPr>
          <w:w w:val="105"/>
          <w:sz w:val="19"/>
        </w:rPr>
        <w:t>10-K</w:t>
      </w:r>
      <w:r>
        <w:rPr>
          <w:spacing w:val="-7"/>
          <w:w w:val="105"/>
          <w:sz w:val="19"/>
        </w:rPr>
        <w:t> </w:t>
      </w:r>
      <w:r>
        <w:rPr>
          <w:w w:val="105"/>
          <w:sz w:val="19"/>
        </w:rPr>
        <w:t>or</w:t>
      </w:r>
      <w:r>
        <w:rPr>
          <w:spacing w:val="-7"/>
          <w:w w:val="105"/>
          <w:sz w:val="19"/>
        </w:rPr>
        <w:t> </w:t>
      </w:r>
      <w:r>
        <w:rPr>
          <w:w w:val="105"/>
          <w:sz w:val="19"/>
        </w:rPr>
        <w:t>any</w:t>
      </w:r>
      <w:r>
        <w:rPr>
          <w:spacing w:val="-7"/>
          <w:w w:val="105"/>
          <w:sz w:val="19"/>
        </w:rPr>
        <w:t> </w:t>
      </w:r>
      <w:r>
        <w:rPr>
          <w:w w:val="105"/>
          <w:sz w:val="19"/>
        </w:rPr>
        <w:t>amendment</w:t>
      </w:r>
      <w:r>
        <w:rPr>
          <w:spacing w:val="-7"/>
          <w:w w:val="105"/>
          <w:sz w:val="19"/>
        </w:rPr>
        <w:t> </w:t>
      </w:r>
      <w:r>
        <w:rPr>
          <w:w w:val="105"/>
          <w:sz w:val="19"/>
        </w:rPr>
        <w:t>to</w:t>
      </w:r>
      <w:r>
        <w:rPr>
          <w:spacing w:val="-7"/>
          <w:w w:val="105"/>
          <w:sz w:val="19"/>
        </w:rPr>
        <w:t> </w:t>
      </w:r>
      <w:r>
        <w:rPr>
          <w:w w:val="105"/>
          <w:sz w:val="19"/>
        </w:rPr>
        <w:t>this</w:t>
      </w:r>
      <w:r>
        <w:rPr>
          <w:spacing w:val="-7"/>
          <w:w w:val="105"/>
          <w:sz w:val="19"/>
        </w:rPr>
        <w:t> </w:t>
      </w:r>
      <w:r>
        <w:rPr>
          <w:w w:val="105"/>
          <w:sz w:val="19"/>
        </w:rPr>
        <w:t>Form</w:t>
      </w:r>
      <w:r>
        <w:rPr>
          <w:spacing w:val="-7"/>
          <w:w w:val="105"/>
          <w:sz w:val="19"/>
        </w:rPr>
        <w:t> </w:t>
      </w:r>
      <w:r>
        <w:rPr>
          <w:w w:val="105"/>
          <w:sz w:val="19"/>
        </w:rPr>
        <w:t>10-K.</w:t>
      </w:r>
      <w:r>
        <w:rPr>
          <w:spacing w:val="-7"/>
          <w:w w:val="105"/>
          <w:sz w:val="19"/>
        </w:rPr>
        <w:t> </w:t>
      </w:r>
      <w:r>
        <w:rPr>
          <w:w w:val="105"/>
          <w:sz w:val="19"/>
        </w:rPr>
        <w:t>[</w:t>
      </w:r>
      <w:r>
        <w:rPr>
          <w:spacing w:val="38"/>
          <w:w w:val="105"/>
          <w:sz w:val="19"/>
        </w:rPr>
        <w:t> </w:t>
      </w:r>
      <w:r>
        <w:rPr>
          <w:w w:val="105"/>
          <w:sz w:val="19"/>
        </w:rPr>
        <w:t>]</w:t>
      </w:r>
    </w:p>
    <w:p>
      <w:pPr>
        <w:pStyle w:val="BodyText"/>
        <w:spacing w:before="10"/>
        <w:rPr>
          <w:sz w:val="20"/>
        </w:rPr>
      </w:pPr>
    </w:p>
    <w:p>
      <w:pPr>
        <w:spacing w:line="264" w:lineRule="auto" w:before="0"/>
        <w:ind w:left="100" w:right="480" w:firstLine="0"/>
        <w:jc w:val="left"/>
        <w:rPr>
          <w:sz w:val="19"/>
        </w:rPr>
      </w:pPr>
      <w:r>
        <w:rPr>
          <w:w w:val="105"/>
          <w:sz w:val="19"/>
        </w:rPr>
        <w:t>Indicate</w:t>
      </w:r>
      <w:r>
        <w:rPr>
          <w:spacing w:val="-8"/>
          <w:w w:val="105"/>
          <w:sz w:val="19"/>
        </w:rPr>
        <w:t> </w:t>
      </w:r>
      <w:r>
        <w:rPr>
          <w:w w:val="105"/>
          <w:sz w:val="19"/>
        </w:rPr>
        <w:t>by</w:t>
      </w:r>
      <w:r>
        <w:rPr>
          <w:spacing w:val="-8"/>
          <w:w w:val="105"/>
          <w:sz w:val="19"/>
        </w:rPr>
        <w:t> </w:t>
      </w:r>
      <w:r>
        <w:rPr>
          <w:w w:val="105"/>
          <w:sz w:val="19"/>
        </w:rPr>
        <w:t>check</w:t>
      </w:r>
      <w:r>
        <w:rPr>
          <w:spacing w:val="-8"/>
          <w:w w:val="105"/>
          <w:sz w:val="19"/>
        </w:rPr>
        <w:t> </w:t>
      </w:r>
      <w:r>
        <w:rPr>
          <w:w w:val="105"/>
          <w:sz w:val="19"/>
        </w:rPr>
        <w:t>mark</w:t>
      </w:r>
      <w:r>
        <w:rPr>
          <w:spacing w:val="-8"/>
          <w:w w:val="105"/>
          <w:sz w:val="19"/>
        </w:rPr>
        <w:t> </w:t>
      </w:r>
      <w:r>
        <w:rPr>
          <w:w w:val="105"/>
          <w:sz w:val="19"/>
        </w:rPr>
        <w:t>whether</w:t>
      </w:r>
      <w:r>
        <w:rPr>
          <w:spacing w:val="-7"/>
          <w:w w:val="105"/>
          <w:sz w:val="19"/>
        </w:rPr>
        <w:t> </w:t>
      </w:r>
      <w:r>
        <w:rPr>
          <w:w w:val="105"/>
          <w:sz w:val="19"/>
        </w:rPr>
        <w:t>the</w:t>
      </w:r>
      <w:r>
        <w:rPr>
          <w:spacing w:val="-8"/>
          <w:w w:val="105"/>
          <w:sz w:val="19"/>
        </w:rPr>
        <w:t> </w:t>
      </w:r>
      <w:r>
        <w:rPr>
          <w:w w:val="105"/>
          <w:sz w:val="19"/>
        </w:rPr>
        <w:t>registrant</w:t>
      </w:r>
      <w:r>
        <w:rPr>
          <w:spacing w:val="-8"/>
          <w:w w:val="105"/>
          <w:sz w:val="19"/>
        </w:rPr>
        <w:t> </w:t>
      </w:r>
      <w:r>
        <w:rPr>
          <w:w w:val="105"/>
          <w:sz w:val="19"/>
        </w:rPr>
        <w:t>is</w:t>
      </w:r>
      <w:r>
        <w:rPr>
          <w:spacing w:val="-8"/>
          <w:w w:val="105"/>
          <w:sz w:val="19"/>
        </w:rPr>
        <w:t> </w:t>
      </w:r>
      <w:r>
        <w:rPr>
          <w:w w:val="105"/>
          <w:sz w:val="19"/>
        </w:rPr>
        <w:t>an</w:t>
      </w:r>
      <w:r>
        <w:rPr>
          <w:spacing w:val="-8"/>
          <w:w w:val="105"/>
          <w:sz w:val="19"/>
        </w:rPr>
        <w:t> </w:t>
      </w:r>
      <w:r>
        <w:rPr>
          <w:w w:val="105"/>
          <w:sz w:val="19"/>
        </w:rPr>
        <w:t>accelerated</w:t>
      </w:r>
      <w:r>
        <w:rPr>
          <w:spacing w:val="-8"/>
          <w:w w:val="105"/>
          <w:sz w:val="19"/>
        </w:rPr>
        <w:t> </w:t>
      </w:r>
      <w:r>
        <w:rPr>
          <w:w w:val="105"/>
          <w:sz w:val="19"/>
        </w:rPr>
        <w:t>filer</w:t>
      </w:r>
      <w:r>
        <w:rPr>
          <w:spacing w:val="-8"/>
          <w:w w:val="105"/>
          <w:sz w:val="19"/>
        </w:rPr>
        <w:t> </w:t>
      </w:r>
      <w:r>
        <w:rPr>
          <w:w w:val="105"/>
          <w:sz w:val="19"/>
        </w:rPr>
        <w:t>(as</w:t>
      </w:r>
      <w:r>
        <w:rPr>
          <w:spacing w:val="-8"/>
          <w:w w:val="105"/>
          <w:sz w:val="19"/>
        </w:rPr>
        <w:t> </w:t>
      </w:r>
      <w:r>
        <w:rPr>
          <w:w w:val="105"/>
          <w:sz w:val="19"/>
        </w:rPr>
        <w:t>defined</w:t>
      </w:r>
      <w:r>
        <w:rPr>
          <w:spacing w:val="-8"/>
          <w:w w:val="105"/>
          <w:sz w:val="19"/>
        </w:rPr>
        <w:t> </w:t>
      </w:r>
      <w:r>
        <w:rPr>
          <w:w w:val="105"/>
          <w:sz w:val="19"/>
        </w:rPr>
        <w:t>in</w:t>
      </w:r>
      <w:r>
        <w:rPr>
          <w:spacing w:val="-8"/>
          <w:w w:val="105"/>
          <w:sz w:val="19"/>
        </w:rPr>
        <w:t> </w:t>
      </w:r>
      <w:r>
        <w:rPr>
          <w:w w:val="105"/>
          <w:sz w:val="19"/>
        </w:rPr>
        <w:t>Rule</w:t>
      </w:r>
      <w:r>
        <w:rPr>
          <w:spacing w:val="-8"/>
          <w:w w:val="105"/>
          <w:sz w:val="19"/>
        </w:rPr>
        <w:t> </w:t>
      </w:r>
      <w:r>
        <w:rPr>
          <w:w w:val="105"/>
          <w:sz w:val="19"/>
        </w:rPr>
        <w:t>12b-2</w:t>
      </w:r>
      <w:r>
        <w:rPr>
          <w:spacing w:val="-8"/>
          <w:w w:val="105"/>
          <w:sz w:val="19"/>
        </w:rPr>
        <w:t> </w:t>
      </w:r>
      <w:r>
        <w:rPr>
          <w:w w:val="105"/>
          <w:sz w:val="19"/>
        </w:rPr>
        <w:t>of</w:t>
      </w:r>
      <w:r>
        <w:rPr>
          <w:spacing w:val="-8"/>
          <w:w w:val="105"/>
          <w:sz w:val="19"/>
        </w:rPr>
        <w:t> </w:t>
      </w:r>
      <w:r>
        <w:rPr>
          <w:w w:val="105"/>
          <w:sz w:val="19"/>
        </w:rPr>
        <w:t>the</w:t>
      </w:r>
      <w:r>
        <w:rPr>
          <w:spacing w:val="-8"/>
          <w:w w:val="105"/>
          <w:sz w:val="19"/>
        </w:rPr>
        <w:t> </w:t>
      </w:r>
      <w:r>
        <w:rPr>
          <w:w w:val="105"/>
          <w:sz w:val="19"/>
        </w:rPr>
        <w:t>Securities Exchange</w:t>
      </w:r>
      <w:r>
        <w:rPr>
          <w:spacing w:val="-6"/>
          <w:w w:val="105"/>
          <w:sz w:val="19"/>
        </w:rPr>
        <w:t> </w:t>
      </w:r>
      <w:r>
        <w:rPr>
          <w:w w:val="105"/>
          <w:sz w:val="19"/>
        </w:rPr>
        <w:t>Act</w:t>
      </w:r>
      <w:r>
        <w:rPr>
          <w:spacing w:val="-6"/>
          <w:w w:val="105"/>
          <w:sz w:val="19"/>
        </w:rPr>
        <w:t> </w:t>
      </w:r>
      <w:r>
        <w:rPr>
          <w:w w:val="105"/>
          <w:sz w:val="19"/>
        </w:rPr>
        <w:t>of</w:t>
      </w:r>
      <w:r>
        <w:rPr>
          <w:spacing w:val="-6"/>
          <w:w w:val="105"/>
          <w:sz w:val="19"/>
        </w:rPr>
        <w:t> </w:t>
      </w:r>
      <w:r>
        <w:rPr>
          <w:w w:val="105"/>
          <w:sz w:val="19"/>
        </w:rPr>
        <w:t>1934).</w:t>
      </w:r>
      <w:r>
        <w:rPr>
          <w:spacing w:val="-6"/>
          <w:w w:val="105"/>
          <w:sz w:val="19"/>
        </w:rPr>
        <w:t> </w:t>
      </w:r>
      <w:r>
        <w:rPr>
          <w:w w:val="105"/>
          <w:sz w:val="19"/>
        </w:rPr>
        <w:t>Yes</w:t>
      </w:r>
      <w:r>
        <w:rPr>
          <w:spacing w:val="-6"/>
          <w:w w:val="105"/>
          <w:sz w:val="19"/>
        </w:rPr>
        <w:t> </w:t>
      </w:r>
      <w:r>
        <w:rPr>
          <w:w w:val="105"/>
          <w:sz w:val="19"/>
        </w:rPr>
        <w:t>[X]</w:t>
      </w:r>
      <w:r>
        <w:rPr>
          <w:spacing w:val="-6"/>
          <w:w w:val="105"/>
          <w:sz w:val="19"/>
        </w:rPr>
        <w:t> </w:t>
      </w:r>
      <w:r>
        <w:rPr>
          <w:w w:val="105"/>
          <w:sz w:val="19"/>
        </w:rPr>
        <w:t>No</w:t>
      </w:r>
      <w:r>
        <w:rPr>
          <w:spacing w:val="-6"/>
          <w:w w:val="105"/>
          <w:sz w:val="19"/>
        </w:rPr>
        <w:t> </w:t>
      </w:r>
      <w:r>
        <w:rPr>
          <w:w w:val="105"/>
          <w:sz w:val="19"/>
        </w:rPr>
        <w:t>[</w:t>
      </w:r>
      <w:r>
        <w:rPr>
          <w:spacing w:val="-6"/>
          <w:w w:val="105"/>
          <w:sz w:val="19"/>
        </w:rPr>
        <w:t> </w:t>
      </w:r>
      <w:r>
        <w:rPr>
          <w:w w:val="105"/>
          <w:sz w:val="19"/>
        </w:rPr>
        <w:t>]</w:t>
      </w:r>
    </w:p>
    <w:p>
      <w:pPr>
        <w:pStyle w:val="BodyText"/>
        <w:spacing w:before="9"/>
        <w:rPr>
          <w:sz w:val="20"/>
        </w:rPr>
      </w:pPr>
    </w:p>
    <w:p>
      <w:pPr>
        <w:spacing w:before="1"/>
        <w:ind w:left="100" w:right="0" w:firstLine="0"/>
        <w:jc w:val="left"/>
        <w:rPr>
          <w:sz w:val="19"/>
        </w:rPr>
      </w:pPr>
      <w:r>
        <w:rPr>
          <w:w w:val="105"/>
          <w:sz w:val="19"/>
        </w:rPr>
        <w:t>The aggregate market value of the Common Stock held by non-affiliates of the registrant was approximately</w:t>
      </w:r>
    </w:p>
    <w:p>
      <w:pPr>
        <w:spacing w:line="264" w:lineRule="auto" w:before="21"/>
        <w:ind w:left="100" w:right="0" w:firstLine="0"/>
        <w:jc w:val="left"/>
        <w:rPr>
          <w:sz w:val="19"/>
        </w:rPr>
      </w:pPr>
      <w:r>
        <w:rPr>
          <w:w w:val="105"/>
          <w:sz w:val="19"/>
        </w:rPr>
        <w:t>$13,309,000,000,</w:t>
      </w:r>
      <w:r>
        <w:rPr>
          <w:spacing w:val="-9"/>
          <w:w w:val="105"/>
          <w:sz w:val="19"/>
        </w:rPr>
        <w:t> </w:t>
      </w:r>
      <w:r>
        <w:rPr>
          <w:w w:val="105"/>
          <w:sz w:val="19"/>
        </w:rPr>
        <w:t>computed</w:t>
      </w:r>
      <w:r>
        <w:rPr>
          <w:spacing w:val="-9"/>
          <w:w w:val="105"/>
          <w:sz w:val="19"/>
        </w:rPr>
        <w:t> </w:t>
      </w:r>
      <w:r>
        <w:rPr>
          <w:w w:val="105"/>
          <w:sz w:val="19"/>
        </w:rPr>
        <w:t>by</w:t>
      </w:r>
      <w:r>
        <w:rPr>
          <w:spacing w:val="-9"/>
          <w:w w:val="105"/>
          <w:sz w:val="19"/>
        </w:rPr>
        <w:t> </w:t>
      </w:r>
      <w:r>
        <w:rPr>
          <w:w w:val="105"/>
          <w:sz w:val="19"/>
        </w:rPr>
        <w:t>reference</w:t>
      </w:r>
      <w:r>
        <w:rPr>
          <w:spacing w:val="-9"/>
          <w:w w:val="105"/>
          <w:sz w:val="19"/>
        </w:rPr>
        <w:t> </w:t>
      </w:r>
      <w:r>
        <w:rPr>
          <w:w w:val="105"/>
          <w:sz w:val="19"/>
        </w:rPr>
        <w:t>to</w:t>
      </w:r>
      <w:r>
        <w:rPr>
          <w:spacing w:val="-9"/>
          <w:w w:val="105"/>
          <w:sz w:val="19"/>
        </w:rPr>
        <w:t> </w:t>
      </w:r>
      <w:r>
        <w:rPr>
          <w:w w:val="105"/>
          <w:sz w:val="19"/>
        </w:rPr>
        <w:t>the</w:t>
      </w:r>
      <w:r>
        <w:rPr>
          <w:spacing w:val="-9"/>
          <w:w w:val="105"/>
          <w:sz w:val="19"/>
        </w:rPr>
        <w:t> </w:t>
      </w:r>
      <w:r>
        <w:rPr>
          <w:w w:val="105"/>
          <w:sz w:val="19"/>
        </w:rPr>
        <w:t>closing</w:t>
      </w:r>
      <w:r>
        <w:rPr>
          <w:spacing w:val="-9"/>
          <w:w w:val="105"/>
          <w:sz w:val="19"/>
        </w:rPr>
        <w:t> </w:t>
      </w:r>
      <w:r>
        <w:rPr>
          <w:w w:val="105"/>
          <w:sz w:val="19"/>
        </w:rPr>
        <w:t>sale</w:t>
      </w:r>
      <w:r>
        <w:rPr>
          <w:spacing w:val="-8"/>
          <w:w w:val="105"/>
          <w:sz w:val="19"/>
        </w:rPr>
        <w:t> </w:t>
      </w:r>
      <w:r>
        <w:rPr>
          <w:w w:val="105"/>
          <w:sz w:val="19"/>
        </w:rPr>
        <w:t>price</w:t>
      </w:r>
      <w:r>
        <w:rPr>
          <w:spacing w:val="-9"/>
          <w:w w:val="105"/>
          <w:sz w:val="19"/>
        </w:rPr>
        <w:t> </w:t>
      </w:r>
      <w:r>
        <w:rPr>
          <w:w w:val="105"/>
          <w:sz w:val="19"/>
        </w:rPr>
        <w:t>of</w:t>
      </w:r>
      <w:r>
        <w:rPr>
          <w:spacing w:val="-9"/>
          <w:w w:val="105"/>
          <w:sz w:val="19"/>
        </w:rPr>
        <w:t> </w:t>
      </w:r>
      <w:r>
        <w:rPr>
          <w:w w:val="105"/>
          <w:sz w:val="19"/>
        </w:rPr>
        <w:t>the</w:t>
      </w:r>
      <w:r>
        <w:rPr>
          <w:spacing w:val="-9"/>
          <w:w w:val="105"/>
          <w:sz w:val="19"/>
        </w:rPr>
        <w:t> </w:t>
      </w:r>
      <w:r>
        <w:rPr>
          <w:w w:val="105"/>
          <w:sz w:val="19"/>
        </w:rPr>
        <w:t>stock</w:t>
      </w:r>
      <w:r>
        <w:rPr>
          <w:spacing w:val="-8"/>
          <w:w w:val="105"/>
          <w:sz w:val="19"/>
        </w:rPr>
        <w:t> </w:t>
      </w:r>
      <w:r>
        <w:rPr>
          <w:w w:val="105"/>
          <w:sz w:val="19"/>
        </w:rPr>
        <w:t>on</w:t>
      </w:r>
      <w:r>
        <w:rPr>
          <w:spacing w:val="-9"/>
          <w:w w:val="105"/>
          <w:sz w:val="19"/>
        </w:rPr>
        <w:t> </w:t>
      </w:r>
      <w:r>
        <w:rPr>
          <w:w w:val="105"/>
          <w:sz w:val="19"/>
        </w:rPr>
        <w:t>the</w:t>
      </w:r>
      <w:r>
        <w:rPr>
          <w:spacing w:val="-9"/>
          <w:w w:val="105"/>
          <w:sz w:val="19"/>
        </w:rPr>
        <w:t> </w:t>
      </w:r>
      <w:r>
        <w:rPr>
          <w:w w:val="105"/>
          <w:sz w:val="19"/>
        </w:rPr>
        <w:t>New</w:t>
      </w:r>
      <w:r>
        <w:rPr>
          <w:spacing w:val="-9"/>
          <w:w w:val="105"/>
          <w:sz w:val="19"/>
        </w:rPr>
        <w:t> </w:t>
      </w:r>
      <w:r>
        <w:rPr>
          <w:w w:val="105"/>
          <w:sz w:val="19"/>
        </w:rPr>
        <w:t>York</w:t>
      </w:r>
      <w:r>
        <w:rPr>
          <w:spacing w:val="-9"/>
          <w:w w:val="105"/>
          <w:sz w:val="19"/>
        </w:rPr>
        <w:t> </w:t>
      </w:r>
      <w:r>
        <w:rPr>
          <w:w w:val="105"/>
          <w:sz w:val="19"/>
        </w:rPr>
        <w:t>Stock</w:t>
      </w:r>
      <w:r>
        <w:rPr>
          <w:spacing w:val="-8"/>
          <w:w w:val="105"/>
          <w:sz w:val="19"/>
        </w:rPr>
        <w:t> </w:t>
      </w:r>
      <w:r>
        <w:rPr>
          <w:w w:val="105"/>
          <w:sz w:val="19"/>
        </w:rPr>
        <w:t>Exchange</w:t>
      </w:r>
      <w:r>
        <w:rPr>
          <w:spacing w:val="-9"/>
          <w:w w:val="105"/>
          <w:sz w:val="19"/>
        </w:rPr>
        <w:t> </w:t>
      </w:r>
      <w:r>
        <w:rPr>
          <w:w w:val="105"/>
          <w:sz w:val="19"/>
        </w:rPr>
        <w:t>on</w:t>
      </w:r>
      <w:r>
        <w:rPr>
          <w:spacing w:val="-9"/>
          <w:w w:val="105"/>
          <w:sz w:val="19"/>
        </w:rPr>
        <w:t> </w:t>
      </w:r>
      <w:r>
        <w:rPr>
          <w:w w:val="105"/>
          <w:sz w:val="19"/>
        </w:rPr>
        <w:t>June 30,</w:t>
      </w:r>
      <w:r>
        <w:rPr>
          <w:spacing w:val="-9"/>
          <w:w w:val="105"/>
          <w:sz w:val="19"/>
        </w:rPr>
        <w:t> </w:t>
      </w:r>
      <w:r>
        <w:rPr>
          <w:w w:val="105"/>
          <w:sz w:val="19"/>
        </w:rPr>
        <w:t>2003,</w:t>
      </w:r>
      <w:r>
        <w:rPr>
          <w:spacing w:val="-9"/>
          <w:w w:val="105"/>
          <w:sz w:val="19"/>
        </w:rPr>
        <w:t> </w:t>
      </w:r>
      <w:r>
        <w:rPr>
          <w:w w:val="105"/>
          <w:sz w:val="19"/>
        </w:rPr>
        <w:t>the</w:t>
      </w:r>
      <w:r>
        <w:rPr>
          <w:spacing w:val="-9"/>
          <w:w w:val="105"/>
          <w:sz w:val="19"/>
        </w:rPr>
        <w:t> </w:t>
      </w:r>
      <w:r>
        <w:rPr>
          <w:w w:val="105"/>
          <w:sz w:val="19"/>
        </w:rPr>
        <w:t>last</w:t>
      </w:r>
      <w:r>
        <w:rPr>
          <w:spacing w:val="-9"/>
          <w:w w:val="105"/>
          <w:sz w:val="19"/>
        </w:rPr>
        <w:t> </w:t>
      </w:r>
      <w:r>
        <w:rPr>
          <w:w w:val="105"/>
          <w:sz w:val="19"/>
        </w:rPr>
        <w:t>trading</w:t>
      </w:r>
      <w:r>
        <w:rPr>
          <w:spacing w:val="-9"/>
          <w:w w:val="105"/>
          <w:sz w:val="19"/>
        </w:rPr>
        <w:t> </w:t>
      </w:r>
      <w:r>
        <w:rPr>
          <w:w w:val="105"/>
          <w:sz w:val="19"/>
        </w:rPr>
        <w:t>day</w:t>
      </w:r>
      <w:r>
        <w:rPr>
          <w:spacing w:val="-9"/>
          <w:w w:val="105"/>
          <w:sz w:val="19"/>
        </w:rPr>
        <w:t> </w:t>
      </w:r>
      <w:r>
        <w:rPr>
          <w:w w:val="105"/>
          <w:sz w:val="19"/>
        </w:rPr>
        <w:t>of</w:t>
      </w:r>
      <w:r>
        <w:rPr>
          <w:spacing w:val="-9"/>
          <w:w w:val="105"/>
          <w:sz w:val="19"/>
        </w:rPr>
        <w:t> </w:t>
      </w:r>
      <w:r>
        <w:rPr>
          <w:w w:val="105"/>
          <w:sz w:val="19"/>
        </w:rPr>
        <w:t>the</w:t>
      </w:r>
      <w:r>
        <w:rPr>
          <w:spacing w:val="-9"/>
          <w:w w:val="105"/>
          <w:sz w:val="19"/>
        </w:rPr>
        <w:t> </w:t>
      </w:r>
      <w:r>
        <w:rPr>
          <w:w w:val="105"/>
          <w:sz w:val="19"/>
        </w:rPr>
        <w:t>registrant’s</w:t>
      </w:r>
      <w:r>
        <w:rPr>
          <w:spacing w:val="-9"/>
          <w:w w:val="105"/>
          <w:sz w:val="19"/>
        </w:rPr>
        <w:t> </w:t>
      </w:r>
      <w:r>
        <w:rPr>
          <w:w w:val="105"/>
          <w:sz w:val="19"/>
        </w:rPr>
        <w:t>most</w:t>
      </w:r>
      <w:r>
        <w:rPr>
          <w:spacing w:val="-9"/>
          <w:w w:val="105"/>
          <w:sz w:val="19"/>
        </w:rPr>
        <w:t> </w:t>
      </w:r>
      <w:r>
        <w:rPr>
          <w:w w:val="105"/>
          <w:sz w:val="19"/>
        </w:rPr>
        <w:t>recently</w:t>
      </w:r>
      <w:r>
        <w:rPr>
          <w:spacing w:val="-9"/>
          <w:w w:val="105"/>
          <w:sz w:val="19"/>
        </w:rPr>
        <w:t> </w:t>
      </w:r>
      <w:r>
        <w:rPr>
          <w:w w:val="105"/>
          <w:sz w:val="19"/>
        </w:rPr>
        <w:t>completed</w:t>
      </w:r>
      <w:r>
        <w:rPr>
          <w:spacing w:val="-9"/>
          <w:w w:val="105"/>
          <w:sz w:val="19"/>
        </w:rPr>
        <w:t> </w:t>
      </w:r>
      <w:r>
        <w:rPr>
          <w:w w:val="105"/>
          <w:sz w:val="19"/>
        </w:rPr>
        <w:t>second</w:t>
      </w:r>
      <w:r>
        <w:rPr>
          <w:spacing w:val="-8"/>
          <w:w w:val="105"/>
          <w:sz w:val="19"/>
        </w:rPr>
        <w:t> </w:t>
      </w:r>
      <w:r>
        <w:rPr>
          <w:w w:val="105"/>
          <w:sz w:val="19"/>
        </w:rPr>
        <w:t>fiscal</w:t>
      </w:r>
      <w:r>
        <w:rPr>
          <w:spacing w:val="-9"/>
          <w:w w:val="105"/>
          <w:sz w:val="19"/>
        </w:rPr>
        <w:t> </w:t>
      </w:r>
      <w:r>
        <w:rPr>
          <w:w w:val="105"/>
          <w:sz w:val="19"/>
        </w:rPr>
        <w:t>quarter.</w:t>
      </w:r>
    </w:p>
    <w:p>
      <w:pPr>
        <w:pStyle w:val="BodyText"/>
        <w:spacing w:before="9"/>
        <w:rPr>
          <w:sz w:val="20"/>
        </w:rPr>
      </w:pPr>
    </w:p>
    <w:p>
      <w:pPr>
        <w:spacing w:before="1"/>
        <w:ind w:left="100" w:right="0" w:firstLine="0"/>
        <w:jc w:val="left"/>
        <w:rPr>
          <w:sz w:val="19"/>
        </w:rPr>
      </w:pPr>
      <w:r>
        <w:rPr>
          <w:w w:val="105"/>
          <w:sz w:val="19"/>
        </w:rPr>
        <w:t>Number of shares of Common Stock outstanding as of the close of business on December 31, 2003: 789,390,678 shares</w:t>
      </w:r>
    </w:p>
    <w:p>
      <w:pPr>
        <w:pStyle w:val="BodyText"/>
        <w:spacing w:before="8"/>
        <w:rPr>
          <w:sz w:val="22"/>
        </w:rPr>
      </w:pPr>
    </w:p>
    <w:p>
      <w:pPr>
        <w:spacing w:before="0"/>
        <w:ind w:left="1685" w:right="1533" w:firstLine="0"/>
        <w:jc w:val="center"/>
        <w:rPr>
          <w:b/>
          <w:sz w:val="19"/>
        </w:rPr>
      </w:pPr>
      <w:r>
        <w:rPr>
          <w:b/>
          <w:w w:val="105"/>
          <w:sz w:val="19"/>
        </w:rPr>
        <w:t>DOCUMENTS INCORPORATED BY REFERENCE</w:t>
      </w:r>
    </w:p>
    <w:p>
      <w:pPr>
        <w:pStyle w:val="BodyText"/>
        <w:spacing w:before="7"/>
        <w:rPr>
          <w:b/>
          <w:sz w:val="22"/>
        </w:rPr>
      </w:pPr>
    </w:p>
    <w:p>
      <w:pPr>
        <w:spacing w:before="1"/>
        <w:ind w:left="100" w:right="0" w:firstLine="0"/>
        <w:jc w:val="left"/>
        <w:rPr>
          <w:sz w:val="19"/>
        </w:rPr>
      </w:pPr>
      <w:r>
        <w:rPr>
          <w:w w:val="105"/>
          <w:sz w:val="19"/>
        </w:rPr>
        <w:t>Proxy Statement for Annual Meeting of</w:t>
      </w:r>
    </w:p>
    <w:p>
      <w:pPr>
        <w:tabs>
          <w:tab w:pos="4420" w:val="left" w:leader="none"/>
        </w:tabs>
        <w:spacing w:before="21"/>
        <w:ind w:left="100" w:right="0" w:firstLine="0"/>
        <w:jc w:val="left"/>
        <w:rPr>
          <w:b/>
          <w:sz w:val="19"/>
        </w:rPr>
      </w:pPr>
      <w:r>
        <w:rPr>
          <w:w w:val="105"/>
          <w:sz w:val="19"/>
        </w:rPr>
        <w:t>Shareholders, May</w:t>
      </w:r>
      <w:r>
        <w:rPr>
          <w:spacing w:val="-19"/>
          <w:w w:val="105"/>
          <w:sz w:val="19"/>
        </w:rPr>
        <w:t> </w:t>
      </w:r>
      <w:r>
        <w:rPr>
          <w:w w:val="105"/>
          <w:sz w:val="19"/>
        </w:rPr>
        <w:t>19,</w:t>
      </w:r>
      <w:r>
        <w:rPr>
          <w:spacing w:val="-10"/>
          <w:w w:val="105"/>
          <w:sz w:val="19"/>
        </w:rPr>
        <w:t> </w:t>
      </w:r>
      <w:r>
        <w:rPr>
          <w:w w:val="105"/>
          <w:sz w:val="19"/>
        </w:rPr>
        <w:t>2004:</w:t>
        <w:tab/>
      </w:r>
      <w:r>
        <w:rPr>
          <w:b/>
          <w:w w:val="105"/>
          <w:sz w:val="19"/>
        </w:rPr>
        <w:t>PART</w:t>
      </w:r>
      <w:r>
        <w:rPr>
          <w:b/>
          <w:spacing w:val="-12"/>
          <w:w w:val="105"/>
          <w:sz w:val="19"/>
        </w:rPr>
        <w:t> </w:t>
      </w:r>
      <w:r>
        <w:rPr>
          <w:b/>
          <w:w w:val="105"/>
          <w:sz w:val="19"/>
        </w:rPr>
        <w:t>III</w:t>
      </w:r>
    </w:p>
    <w:p>
      <w:pPr>
        <w:spacing w:after="0"/>
        <w:jc w:val="left"/>
        <w:rPr>
          <w:sz w:val="19"/>
        </w:rPr>
        <w:sectPr>
          <w:type w:val="continuous"/>
          <w:pgSz w:w="12240" w:h="15840"/>
          <w:pgMar w:top="320" w:bottom="280" w:left="1200" w:right="1340"/>
        </w:sectPr>
      </w:pPr>
    </w:p>
    <w:p>
      <w:pPr>
        <w:pStyle w:val="Heading2"/>
        <w:spacing w:before="96"/>
        <w:ind w:left="0" w:right="1"/>
        <w:jc w:val="center"/>
      </w:pPr>
      <w:bookmarkStart w:name="Business" w:id="20"/>
      <w:bookmarkEnd w:id="20"/>
      <w:r>
        <w:rPr>
          <w:b w:val="0"/>
        </w:rPr>
      </w:r>
      <w:r>
        <w:rPr>
          <w:w w:val="105"/>
        </w:rPr>
        <w:t>PART I</w:t>
      </w:r>
    </w:p>
    <w:p>
      <w:pPr>
        <w:spacing w:before="199"/>
        <w:ind w:left="116" w:right="0" w:firstLine="0"/>
        <w:jc w:val="left"/>
        <w:rPr>
          <w:b/>
          <w:i/>
          <w:sz w:val="21"/>
        </w:rPr>
      </w:pPr>
      <w:r>
        <w:rPr>
          <w:b/>
          <w:w w:val="105"/>
          <w:sz w:val="21"/>
        </w:rPr>
        <w:t>Item 1. </w:t>
      </w:r>
      <w:r>
        <w:rPr>
          <w:b/>
          <w:i/>
          <w:w w:val="105"/>
          <w:sz w:val="21"/>
        </w:rPr>
        <w:t>Business</w:t>
      </w:r>
    </w:p>
    <w:p>
      <w:pPr>
        <w:pStyle w:val="Heading2"/>
        <w:spacing w:before="195"/>
        <w:ind w:left="116"/>
      </w:pPr>
      <w:r>
        <w:rPr>
          <w:w w:val="105"/>
        </w:rPr>
        <w:t>Description of Business</w:t>
      </w:r>
    </w:p>
    <w:p>
      <w:pPr>
        <w:pStyle w:val="BodyText"/>
        <w:spacing w:line="220" w:lineRule="exact" w:before="220"/>
        <w:ind w:left="116" w:right="109" w:firstLine="432"/>
        <w:jc w:val="both"/>
      </w:pPr>
      <w:r>
        <w:rPr>
          <w:w w:val="105"/>
        </w:rPr>
        <w:t>Southwest</w:t>
      </w:r>
      <w:r>
        <w:rPr>
          <w:spacing w:val="-6"/>
          <w:w w:val="105"/>
        </w:rPr>
        <w:t> </w:t>
      </w:r>
      <w:r>
        <w:rPr>
          <w:w w:val="105"/>
        </w:rPr>
        <w:t>Airlines</w:t>
      </w:r>
      <w:r>
        <w:rPr>
          <w:spacing w:val="-6"/>
          <w:w w:val="105"/>
        </w:rPr>
        <w:t> </w:t>
      </w:r>
      <w:r>
        <w:rPr>
          <w:w w:val="105"/>
        </w:rPr>
        <w:t>Co.</w:t>
      </w:r>
      <w:r>
        <w:rPr>
          <w:spacing w:val="-6"/>
          <w:w w:val="105"/>
        </w:rPr>
        <w:t> </w:t>
      </w:r>
      <w:r>
        <w:rPr>
          <w:w w:val="105"/>
        </w:rPr>
        <w:t>(“Southwest”)</w:t>
      </w:r>
      <w:r>
        <w:rPr>
          <w:spacing w:val="-6"/>
          <w:w w:val="105"/>
        </w:rPr>
        <w:t> </w:t>
      </w:r>
      <w:r>
        <w:rPr>
          <w:w w:val="105"/>
        </w:rPr>
        <w:t>is</w:t>
      </w:r>
      <w:r>
        <w:rPr>
          <w:spacing w:val="-6"/>
          <w:w w:val="105"/>
        </w:rPr>
        <w:t> </w:t>
      </w:r>
      <w:r>
        <w:rPr>
          <w:w w:val="105"/>
        </w:rPr>
        <w:t>a</w:t>
      </w:r>
      <w:r>
        <w:rPr>
          <w:spacing w:val="-6"/>
          <w:w w:val="105"/>
        </w:rPr>
        <w:t> </w:t>
      </w:r>
      <w:r>
        <w:rPr>
          <w:w w:val="105"/>
        </w:rPr>
        <w:t>major</w:t>
      </w:r>
      <w:r>
        <w:rPr>
          <w:spacing w:val="-6"/>
          <w:w w:val="105"/>
        </w:rPr>
        <w:t> </w:t>
      </w:r>
      <w:r>
        <w:rPr>
          <w:w w:val="105"/>
        </w:rPr>
        <w:t>domestic</w:t>
      </w:r>
      <w:r>
        <w:rPr>
          <w:spacing w:val="-6"/>
          <w:w w:val="105"/>
        </w:rPr>
        <w:t> </w:t>
      </w:r>
      <w:r>
        <w:rPr>
          <w:w w:val="105"/>
        </w:rPr>
        <w:t>airline</w:t>
      </w:r>
      <w:r>
        <w:rPr>
          <w:spacing w:val="-6"/>
          <w:w w:val="105"/>
        </w:rPr>
        <w:t> </w:t>
      </w:r>
      <w:r>
        <w:rPr>
          <w:w w:val="105"/>
        </w:rPr>
        <w:t>that</w:t>
      </w:r>
      <w:r>
        <w:rPr>
          <w:spacing w:val="-6"/>
          <w:w w:val="105"/>
        </w:rPr>
        <w:t> </w:t>
      </w:r>
      <w:r>
        <w:rPr>
          <w:w w:val="105"/>
        </w:rPr>
        <w:t>provides</w:t>
      </w:r>
      <w:r>
        <w:rPr>
          <w:spacing w:val="-6"/>
          <w:w w:val="105"/>
        </w:rPr>
        <w:t> </w:t>
      </w:r>
      <w:r>
        <w:rPr>
          <w:w w:val="105"/>
        </w:rPr>
        <w:t>predominantly</w:t>
      </w:r>
      <w:r>
        <w:rPr>
          <w:spacing w:val="-6"/>
          <w:w w:val="105"/>
        </w:rPr>
        <w:t> </w:t>
      </w:r>
      <w:r>
        <w:rPr>
          <w:w w:val="105"/>
        </w:rPr>
        <w:t>shorthaul, </w:t>
      </w:r>
      <w:r>
        <w:rPr>
          <w:spacing w:val="3"/>
          <w:w w:val="105"/>
        </w:rPr>
        <w:t>high-frequency, point-to-point, low-fare service. Southwest </w:t>
      </w:r>
      <w:r>
        <w:rPr>
          <w:spacing w:val="2"/>
          <w:w w:val="105"/>
        </w:rPr>
        <w:t>was </w:t>
      </w:r>
      <w:r>
        <w:rPr>
          <w:spacing w:val="3"/>
          <w:w w:val="105"/>
        </w:rPr>
        <w:t>incorporated </w:t>
      </w:r>
      <w:r>
        <w:rPr>
          <w:w w:val="105"/>
        </w:rPr>
        <w:t>in </w:t>
      </w:r>
      <w:r>
        <w:rPr>
          <w:spacing w:val="3"/>
          <w:w w:val="105"/>
        </w:rPr>
        <w:t>Texas </w:t>
      </w:r>
      <w:r>
        <w:rPr>
          <w:w w:val="105"/>
        </w:rPr>
        <w:t>in </w:t>
      </w:r>
      <w:r>
        <w:rPr>
          <w:spacing w:val="3"/>
          <w:w w:val="105"/>
        </w:rPr>
        <w:t>1967 </w:t>
      </w:r>
      <w:r>
        <w:rPr>
          <w:spacing w:val="4"/>
          <w:w w:val="105"/>
        </w:rPr>
        <w:t>and </w:t>
      </w:r>
      <w:r>
        <w:rPr>
          <w:w w:val="105"/>
        </w:rPr>
        <w:t>commenced Customer Service on June 18, 1971 with three Boeing 737 aircraft serving three Texas cities - Dallas,</w:t>
      </w:r>
      <w:r>
        <w:rPr>
          <w:spacing w:val="-20"/>
          <w:w w:val="105"/>
        </w:rPr>
        <w:t> </w:t>
      </w:r>
      <w:r>
        <w:rPr>
          <w:w w:val="105"/>
        </w:rPr>
        <w:t>Houston,</w:t>
      </w:r>
      <w:r>
        <w:rPr>
          <w:spacing w:val="-20"/>
          <w:w w:val="105"/>
        </w:rPr>
        <w:t> </w:t>
      </w:r>
      <w:r>
        <w:rPr>
          <w:w w:val="105"/>
        </w:rPr>
        <w:t>and</w:t>
      </w:r>
      <w:r>
        <w:rPr>
          <w:spacing w:val="-20"/>
          <w:w w:val="105"/>
        </w:rPr>
        <w:t> </w:t>
      </w:r>
      <w:r>
        <w:rPr>
          <w:w w:val="105"/>
        </w:rPr>
        <w:t>San</w:t>
      </w:r>
      <w:r>
        <w:rPr>
          <w:spacing w:val="-20"/>
          <w:w w:val="105"/>
        </w:rPr>
        <w:t> </w:t>
      </w:r>
      <w:r>
        <w:rPr>
          <w:w w:val="105"/>
        </w:rPr>
        <w:t>Antonio.</w:t>
      </w:r>
    </w:p>
    <w:p>
      <w:pPr>
        <w:pStyle w:val="BodyText"/>
        <w:spacing w:line="259" w:lineRule="auto" w:before="239"/>
        <w:ind w:left="116" w:right="107" w:firstLine="720"/>
        <w:jc w:val="both"/>
      </w:pPr>
      <w:r>
        <w:rPr>
          <w:w w:val="105"/>
        </w:rPr>
        <w:t>At year-end 2003, Southwest operated 388 Boeing 737 aircraft and provided service to 59 airports in 58 cities in 30 states throughout the United States. Southwest Airlines topped the monthly domestic passenger traffic rankings for the first time in May 2003. Based on monthly data from May through August 2003 (the latest available data), Southwest Airlines is the largest carrier in the United States based on originating domestic passengers boarded and scheduled domestic departures. The Company recently announced that it intends to begin service to Philadelphia in May 2004.</w:t>
      </w:r>
    </w:p>
    <w:p>
      <w:pPr>
        <w:pStyle w:val="BodyText"/>
        <w:spacing w:line="259" w:lineRule="auto" w:before="262"/>
        <w:ind w:left="116" w:right="107" w:firstLine="720"/>
        <w:jc w:val="both"/>
      </w:pPr>
      <w:r>
        <w:rPr>
          <w:w w:val="105"/>
        </w:rPr>
        <w:t>One of Southwest’s competitive strengths is its low operating costs. Southwest has the lowest costs, adjusted for stage length, on a per mile basis, of all of the major airlines. Among the factors that contribute  to its low cost structure are a single aircraft type, an efficient, high-utilization, point-to-point route structure, and</w:t>
      </w:r>
      <w:r>
        <w:rPr>
          <w:spacing w:val="-20"/>
          <w:w w:val="105"/>
        </w:rPr>
        <w:t> </w:t>
      </w:r>
      <w:r>
        <w:rPr>
          <w:w w:val="105"/>
        </w:rPr>
        <w:t>hardworking,</w:t>
      </w:r>
      <w:r>
        <w:rPr>
          <w:spacing w:val="-20"/>
          <w:w w:val="105"/>
        </w:rPr>
        <w:t> </w:t>
      </w:r>
      <w:r>
        <w:rPr>
          <w:w w:val="105"/>
        </w:rPr>
        <w:t>innovative,</w:t>
      </w:r>
      <w:r>
        <w:rPr>
          <w:spacing w:val="-21"/>
          <w:w w:val="105"/>
        </w:rPr>
        <w:t> </w:t>
      </w:r>
      <w:r>
        <w:rPr>
          <w:w w:val="105"/>
        </w:rPr>
        <w:t>and</w:t>
      </w:r>
      <w:r>
        <w:rPr>
          <w:spacing w:val="-20"/>
          <w:w w:val="105"/>
        </w:rPr>
        <w:t> </w:t>
      </w:r>
      <w:r>
        <w:rPr>
          <w:w w:val="105"/>
        </w:rPr>
        <w:t>highly</w:t>
      </w:r>
      <w:r>
        <w:rPr>
          <w:spacing w:val="-20"/>
          <w:w w:val="105"/>
        </w:rPr>
        <w:t> </w:t>
      </w:r>
      <w:r>
        <w:rPr>
          <w:w w:val="105"/>
        </w:rPr>
        <w:t>productive</w:t>
      </w:r>
      <w:r>
        <w:rPr>
          <w:spacing w:val="-20"/>
          <w:w w:val="105"/>
        </w:rPr>
        <w:t> </w:t>
      </w:r>
      <w:r>
        <w:rPr>
          <w:w w:val="105"/>
        </w:rPr>
        <w:t>Employees.</w:t>
      </w:r>
    </w:p>
    <w:p>
      <w:pPr>
        <w:pStyle w:val="BodyText"/>
        <w:spacing w:line="259" w:lineRule="auto" w:before="262"/>
        <w:ind w:left="116" w:right="110" w:firstLine="720"/>
        <w:jc w:val="both"/>
      </w:pPr>
      <w:r>
        <w:rPr>
          <w:w w:val="105"/>
        </w:rPr>
        <w:t>The business of the Company is somewhat seasonal. Quarterly operating income and, to a lesser extent, revenues tend to be lower in the first quarter (January 1 - March 31) and fourth quarter (October 1 - December 31) of most years.</w:t>
      </w:r>
    </w:p>
    <w:p>
      <w:pPr>
        <w:pStyle w:val="BodyText"/>
        <w:spacing w:line="259" w:lineRule="auto" w:before="257"/>
        <w:ind w:left="116" w:right="111" w:firstLine="720"/>
        <w:jc w:val="both"/>
      </w:pPr>
      <w:r>
        <w:rPr>
          <w:w w:val="105"/>
        </w:rPr>
        <w:t>Southwest’s filings with the Securities and Exchange Commission (“SEC”), including its annual report on Form 10-K, quarterly reports on Form 10-Q, current reports on Form 8-K and amendments to those reports are accessible free of charge at </w:t>
      </w:r>
      <w:hyperlink r:id="rId47">
        <w:r>
          <w:rPr>
            <w:w w:val="105"/>
          </w:rPr>
          <w:t>www.southwest.com.</w:t>
        </w:r>
      </w:hyperlink>
    </w:p>
    <w:p>
      <w:pPr>
        <w:pStyle w:val="Heading2"/>
        <w:spacing w:before="262"/>
        <w:ind w:left="116"/>
      </w:pPr>
      <w:r>
        <w:rPr>
          <w:w w:val="105"/>
        </w:rPr>
        <w:t>Fuel</w:t>
      </w:r>
    </w:p>
    <w:p>
      <w:pPr>
        <w:pStyle w:val="BodyText"/>
        <w:spacing w:before="7"/>
        <w:rPr>
          <w:b/>
          <w:sz w:val="14"/>
        </w:rPr>
      </w:pPr>
    </w:p>
    <w:p>
      <w:pPr>
        <w:pStyle w:val="BodyText"/>
        <w:spacing w:line="256" w:lineRule="auto" w:before="113"/>
        <w:ind w:left="116" w:right="108" w:firstLine="720"/>
        <w:jc w:val="both"/>
      </w:pPr>
      <w:r>
        <w:rPr>
          <w:w w:val="105"/>
        </w:rPr>
        <w:t>The cost of fuel is an item having significant impact on the Company's operating results. The Company's average cost of jet fuel, net of hedging gains, over the past five years was as follows:</w:t>
      </w:r>
    </w:p>
    <w:p>
      <w:pPr>
        <w:pStyle w:val="BodyText"/>
        <w:spacing w:before="2"/>
        <w:rPr>
          <w:sz w:val="22"/>
        </w:rPr>
      </w:pPr>
    </w:p>
    <w:tbl>
      <w:tblPr>
        <w:tblW w:w="0" w:type="auto"/>
        <w:jc w:val="left"/>
        <w:tblInd w:w="2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098"/>
        <w:gridCol w:w="2218"/>
        <w:gridCol w:w="2333"/>
        <w:gridCol w:w="2798"/>
      </w:tblGrid>
      <w:tr>
        <w:trPr>
          <w:trHeight w:val="619" w:hRule="exact"/>
        </w:trPr>
        <w:tc>
          <w:tcPr>
            <w:tcW w:w="2098" w:type="dxa"/>
          </w:tcPr>
          <w:p>
            <w:pPr>
              <w:pStyle w:val="TableParagraph"/>
              <w:spacing w:before="183"/>
              <w:ind w:left="791" w:right="787"/>
              <w:jc w:val="center"/>
              <w:rPr>
                <w:rFonts w:ascii="Times New Roman"/>
                <w:b/>
                <w:sz w:val="21"/>
              </w:rPr>
            </w:pPr>
            <w:r>
              <w:rPr>
                <w:rFonts w:ascii="Times New Roman"/>
                <w:b/>
                <w:w w:val="105"/>
                <w:sz w:val="21"/>
                <w:u w:val="single"/>
              </w:rPr>
              <w:t>Year</w:t>
            </w:r>
          </w:p>
        </w:tc>
        <w:tc>
          <w:tcPr>
            <w:tcW w:w="2218" w:type="dxa"/>
          </w:tcPr>
          <w:p>
            <w:pPr>
              <w:pStyle w:val="TableParagraph"/>
              <w:spacing w:line="213" w:lineRule="auto"/>
              <w:ind w:left="662" w:right="127" w:firstLine="153"/>
              <w:rPr>
                <w:rFonts w:ascii="Times New Roman"/>
                <w:sz w:val="21"/>
              </w:rPr>
            </w:pPr>
            <w:r>
              <w:rPr>
                <w:rFonts w:ascii="Times New Roman"/>
                <w:b/>
                <w:w w:val="105"/>
                <w:sz w:val="21"/>
              </w:rPr>
              <w:t>Cost </w:t>
            </w:r>
            <w:r>
              <w:rPr>
                <w:rFonts w:ascii="Times New Roman"/>
                <w:b/>
                <w:sz w:val="21"/>
              </w:rPr>
              <w:t>(</w:t>
            </w:r>
            <w:r>
              <w:rPr>
                <w:rFonts w:ascii="Times New Roman"/>
                <w:sz w:val="21"/>
                <w:u w:val="single"/>
              </w:rPr>
              <w:t>Millions)</w:t>
            </w:r>
          </w:p>
        </w:tc>
        <w:tc>
          <w:tcPr>
            <w:tcW w:w="2333" w:type="dxa"/>
          </w:tcPr>
          <w:p>
            <w:pPr>
              <w:pStyle w:val="TableParagraph"/>
              <w:spacing w:line="213" w:lineRule="auto"/>
              <w:ind w:left="667" w:right="215" w:hanging="130"/>
              <w:rPr>
                <w:rFonts w:ascii="Times New Roman"/>
                <w:b/>
                <w:sz w:val="21"/>
              </w:rPr>
            </w:pPr>
            <w:r>
              <w:rPr>
                <w:rFonts w:ascii="Times New Roman"/>
                <w:b/>
                <w:w w:val="105"/>
                <w:sz w:val="21"/>
              </w:rPr>
              <w:t>Average Cost</w:t>
            </w:r>
            <w:r>
              <w:rPr>
                <w:rFonts w:ascii="Times New Roman"/>
                <w:b/>
                <w:w w:val="102"/>
                <w:sz w:val="21"/>
              </w:rPr>
              <w:t> </w:t>
            </w:r>
            <w:r>
              <w:rPr>
                <w:rFonts w:ascii="Times New Roman"/>
                <w:b/>
                <w:w w:val="105"/>
                <w:sz w:val="21"/>
                <w:u w:val="single"/>
              </w:rPr>
              <w:t>per Gallon</w:t>
            </w:r>
          </w:p>
        </w:tc>
        <w:tc>
          <w:tcPr>
            <w:tcW w:w="2798" w:type="dxa"/>
          </w:tcPr>
          <w:p>
            <w:pPr>
              <w:pStyle w:val="TableParagraph"/>
              <w:spacing w:line="213" w:lineRule="auto"/>
              <w:ind w:left="470" w:right="440" w:firstLine="456"/>
              <w:rPr>
                <w:rFonts w:ascii="Times New Roman"/>
                <w:b/>
                <w:sz w:val="21"/>
              </w:rPr>
            </w:pPr>
            <w:r>
              <w:rPr>
                <w:rFonts w:ascii="Times New Roman"/>
                <w:b/>
                <w:w w:val="105"/>
                <w:sz w:val="21"/>
              </w:rPr>
              <w:t>Percent of </w:t>
            </w:r>
            <w:r>
              <w:rPr>
                <w:rFonts w:ascii="Times New Roman"/>
                <w:b/>
                <w:sz w:val="21"/>
                <w:u w:val="single"/>
              </w:rPr>
              <w:t>Operating</w:t>
            </w:r>
            <w:r>
              <w:rPr>
                <w:rFonts w:ascii="Times New Roman"/>
                <w:b/>
                <w:spacing w:val="51"/>
                <w:sz w:val="21"/>
                <w:u w:val="single"/>
              </w:rPr>
              <w:t> </w:t>
            </w:r>
            <w:r>
              <w:rPr>
                <w:rFonts w:ascii="Times New Roman"/>
                <w:b/>
                <w:sz w:val="21"/>
                <w:u w:val="single"/>
              </w:rPr>
              <w:t>Expenses</w:t>
            </w:r>
          </w:p>
        </w:tc>
      </w:tr>
      <w:tr>
        <w:trPr>
          <w:trHeight w:val="235" w:hRule="exact"/>
        </w:trPr>
        <w:tc>
          <w:tcPr>
            <w:tcW w:w="2098" w:type="dxa"/>
          </w:tcPr>
          <w:p>
            <w:pPr>
              <w:pStyle w:val="TableParagraph"/>
              <w:spacing w:line="209" w:lineRule="exact"/>
              <w:ind w:left="791" w:right="782"/>
              <w:jc w:val="center"/>
              <w:rPr>
                <w:rFonts w:ascii="Times New Roman"/>
                <w:sz w:val="21"/>
              </w:rPr>
            </w:pPr>
            <w:r>
              <w:rPr>
                <w:rFonts w:ascii="Times New Roman"/>
                <w:w w:val="105"/>
                <w:sz w:val="21"/>
              </w:rPr>
              <w:t>1999</w:t>
            </w:r>
          </w:p>
        </w:tc>
        <w:tc>
          <w:tcPr>
            <w:tcW w:w="2218" w:type="dxa"/>
          </w:tcPr>
          <w:p>
            <w:pPr>
              <w:pStyle w:val="TableParagraph"/>
              <w:spacing w:line="209" w:lineRule="exact"/>
              <w:ind w:left="863" w:right="859"/>
              <w:jc w:val="center"/>
              <w:rPr>
                <w:rFonts w:ascii="Times New Roman"/>
                <w:sz w:val="21"/>
              </w:rPr>
            </w:pPr>
            <w:r>
              <w:rPr>
                <w:rFonts w:ascii="Times New Roman"/>
                <w:w w:val="105"/>
                <w:sz w:val="21"/>
              </w:rPr>
              <w:t>$492</w:t>
            </w:r>
          </w:p>
        </w:tc>
        <w:tc>
          <w:tcPr>
            <w:tcW w:w="2333" w:type="dxa"/>
          </w:tcPr>
          <w:p>
            <w:pPr>
              <w:pStyle w:val="TableParagraph"/>
              <w:spacing w:line="209" w:lineRule="exact"/>
              <w:ind w:left="945" w:right="946"/>
              <w:jc w:val="center"/>
              <w:rPr>
                <w:rFonts w:ascii="Times New Roman"/>
                <w:sz w:val="21"/>
              </w:rPr>
            </w:pPr>
            <w:r>
              <w:rPr>
                <w:rFonts w:ascii="Times New Roman"/>
                <w:w w:val="105"/>
                <w:sz w:val="21"/>
              </w:rPr>
              <w:t>$.53</w:t>
            </w:r>
          </w:p>
        </w:tc>
        <w:tc>
          <w:tcPr>
            <w:tcW w:w="2798" w:type="dxa"/>
          </w:tcPr>
          <w:p>
            <w:pPr>
              <w:pStyle w:val="TableParagraph"/>
              <w:spacing w:line="209" w:lineRule="exact"/>
              <w:ind w:left="1092" w:right="1082"/>
              <w:jc w:val="center"/>
              <w:rPr>
                <w:rFonts w:ascii="Times New Roman"/>
                <w:sz w:val="21"/>
              </w:rPr>
            </w:pPr>
            <w:r>
              <w:rPr>
                <w:rFonts w:ascii="Times New Roman"/>
                <w:w w:val="105"/>
                <w:sz w:val="21"/>
              </w:rPr>
              <w:t>12.5%</w:t>
            </w:r>
          </w:p>
        </w:tc>
      </w:tr>
      <w:tr>
        <w:trPr>
          <w:trHeight w:val="235" w:hRule="exact"/>
        </w:trPr>
        <w:tc>
          <w:tcPr>
            <w:tcW w:w="2098" w:type="dxa"/>
          </w:tcPr>
          <w:p>
            <w:pPr>
              <w:pStyle w:val="TableParagraph"/>
              <w:spacing w:line="209" w:lineRule="exact"/>
              <w:ind w:left="791" w:right="782"/>
              <w:jc w:val="center"/>
              <w:rPr>
                <w:rFonts w:ascii="Times New Roman"/>
                <w:sz w:val="21"/>
              </w:rPr>
            </w:pPr>
            <w:r>
              <w:rPr>
                <w:rFonts w:ascii="Times New Roman"/>
                <w:w w:val="105"/>
                <w:sz w:val="21"/>
              </w:rPr>
              <w:t>2000</w:t>
            </w:r>
          </w:p>
        </w:tc>
        <w:tc>
          <w:tcPr>
            <w:tcW w:w="2218" w:type="dxa"/>
          </w:tcPr>
          <w:p>
            <w:pPr>
              <w:pStyle w:val="TableParagraph"/>
              <w:spacing w:line="209" w:lineRule="exact"/>
              <w:ind w:left="863" w:right="859"/>
              <w:jc w:val="center"/>
              <w:rPr>
                <w:rFonts w:ascii="Times New Roman"/>
                <w:sz w:val="21"/>
              </w:rPr>
            </w:pPr>
            <w:r>
              <w:rPr>
                <w:rFonts w:ascii="Times New Roman"/>
                <w:w w:val="105"/>
                <w:sz w:val="21"/>
              </w:rPr>
              <w:t>$804</w:t>
            </w:r>
          </w:p>
        </w:tc>
        <w:tc>
          <w:tcPr>
            <w:tcW w:w="2333" w:type="dxa"/>
          </w:tcPr>
          <w:p>
            <w:pPr>
              <w:pStyle w:val="TableParagraph"/>
              <w:spacing w:line="209" w:lineRule="exact"/>
              <w:ind w:left="945" w:right="946"/>
              <w:jc w:val="center"/>
              <w:rPr>
                <w:rFonts w:ascii="Times New Roman"/>
                <w:sz w:val="21"/>
              </w:rPr>
            </w:pPr>
            <w:r>
              <w:rPr>
                <w:rFonts w:ascii="Times New Roman"/>
                <w:w w:val="105"/>
                <w:sz w:val="21"/>
              </w:rPr>
              <w:t>$.79</w:t>
            </w:r>
          </w:p>
        </w:tc>
        <w:tc>
          <w:tcPr>
            <w:tcW w:w="2798" w:type="dxa"/>
          </w:tcPr>
          <w:p>
            <w:pPr>
              <w:pStyle w:val="TableParagraph"/>
              <w:spacing w:line="209" w:lineRule="exact"/>
              <w:ind w:left="1092" w:right="1082"/>
              <w:jc w:val="center"/>
              <w:rPr>
                <w:rFonts w:ascii="Times New Roman"/>
                <w:sz w:val="21"/>
              </w:rPr>
            </w:pPr>
            <w:r>
              <w:rPr>
                <w:rFonts w:ascii="Times New Roman"/>
                <w:w w:val="105"/>
                <w:sz w:val="21"/>
              </w:rPr>
              <w:t>17.4%</w:t>
            </w:r>
          </w:p>
        </w:tc>
      </w:tr>
      <w:tr>
        <w:trPr>
          <w:trHeight w:val="235" w:hRule="exact"/>
        </w:trPr>
        <w:tc>
          <w:tcPr>
            <w:tcW w:w="2098" w:type="dxa"/>
          </w:tcPr>
          <w:p>
            <w:pPr>
              <w:pStyle w:val="TableParagraph"/>
              <w:spacing w:line="209" w:lineRule="exact"/>
              <w:ind w:left="791" w:right="782"/>
              <w:jc w:val="center"/>
              <w:rPr>
                <w:rFonts w:ascii="Times New Roman"/>
                <w:sz w:val="21"/>
              </w:rPr>
            </w:pPr>
            <w:r>
              <w:rPr>
                <w:rFonts w:ascii="Times New Roman"/>
                <w:w w:val="105"/>
                <w:sz w:val="21"/>
              </w:rPr>
              <w:t>2001</w:t>
            </w:r>
          </w:p>
        </w:tc>
        <w:tc>
          <w:tcPr>
            <w:tcW w:w="2218" w:type="dxa"/>
          </w:tcPr>
          <w:p>
            <w:pPr>
              <w:pStyle w:val="TableParagraph"/>
              <w:spacing w:line="209" w:lineRule="exact"/>
              <w:ind w:left="863" w:right="859"/>
              <w:jc w:val="center"/>
              <w:rPr>
                <w:rFonts w:ascii="Times New Roman"/>
                <w:sz w:val="21"/>
              </w:rPr>
            </w:pPr>
            <w:r>
              <w:rPr>
                <w:rFonts w:ascii="Times New Roman"/>
                <w:w w:val="105"/>
                <w:sz w:val="21"/>
              </w:rPr>
              <w:t>$771</w:t>
            </w:r>
          </w:p>
        </w:tc>
        <w:tc>
          <w:tcPr>
            <w:tcW w:w="2333" w:type="dxa"/>
          </w:tcPr>
          <w:p>
            <w:pPr>
              <w:pStyle w:val="TableParagraph"/>
              <w:spacing w:line="209" w:lineRule="exact"/>
              <w:ind w:left="945" w:right="946"/>
              <w:jc w:val="center"/>
              <w:rPr>
                <w:rFonts w:ascii="Times New Roman"/>
                <w:sz w:val="21"/>
              </w:rPr>
            </w:pPr>
            <w:r>
              <w:rPr>
                <w:rFonts w:ascii="Times New Roman"/>
                <w:w w:val="105"/>
                <w:sz w:val="21"/>
              </w:rPr>
              <w:t>$.71</w:t>
            </w:r>
          </w:p>
        </w:tc>
        <w:tc>
          <w:tcPr>
            <w:tcW w:w="2798" w:type="dxa"/>
          </w:tcPr>
          <w:p>
            <w:pPr>
              <w:pStyle w:val="TableParagraph"/>
              <w:spacing w:line="209" w:lineRule="exact"/>
              <w:ind w:left="1092" w:right="1082"/>
              <w:jc w:val="center"/>
              <w:rPr>
                <w:rFonts w:ascii="Times New Roman"/>
                <w:sz w:val="21"/>
              </w:rPr>
            </w:pPr>
            <w:r>
              <w:rPr>
                <w:rFonts w:ascii="Times New Roman"/>
                <w:w w:val="105"/>
                <w:sz w:val="21"/>
              </w:rPr>
              <w:t>15.6%</w:t>
            </w:r>
          </w:p>
        </w:tc>
      </w:tr>
      <w:tr>
        <w:trPr>
          <w:trHeight w:val="235" w:hRule="exact"/>
        </w:trPr>
        <w:tc>
          <w:tcPr>
            <w:tcW w:w="2098" w:type="dxa"/>
          </w:tcPr>
          <w:p>
            <w:pPr>
              <w:pStyle w:val="TableParagraph"/>
              <w:spacing w:line="209" w:lineRule="exact"/>
              <w:ind w:left="791" w:right="782"/>
              <w:jc w:val="center"/>
              <w:rPr>
                <w:rFonts w:ascii="Times New Roman"/>
                <w:sz w:val="21"/>
              </w:rPr>
            </w:pPr>
            <w:r>
              <w:rPr>
                <w:rFonts w:ascii="Times New Roman"/>
                <w:w w:val="105"/>
                <w:sz w:val="21"/>
              </w:rPr>
              <w:t>2002</w:t>
            </w:r>
          </w:p>
        </w:tc>
        <w:tc>
          <w:tcPr>
            <w:tcW w:w="2218" w:type="dxa"/>
          </w:tcPr>
          <w:p>
            <w:pPr>
              <w:pStyle w:val="TableParagraph"/>
              <w:spacing w:line="209" w:lineRule="exact"/>
              <w:ind w:left="863" w:right="859"/>
              <w:jc w:val="center"/>
              <w:rPr>
                <w:rFonts w:ascii="Times New Roman"/>
                <w:sz w:val="21"/>
              </w:rPr>
            </w:pPr>
            <w:r>
              <w:rPr>
                <w:rFonts w:ascii="Times New Roman"/>
                <w:w w:val="105"/>
                <w:sz w:val="21"/>
              </w:rPr>
              <w:t>$762</w:t>
            </w:r>
          </w:p>
        </w:tc>
        <w:tc>
          <w:tcPr>
            <w:tcW w:w="2333" w:type="dxa"/>
          </w:tcPr>
          <w:p>
            <w:pPr>
              <w:pStyle w:val="TableParagraph"/>
              <w:spacing w:line="209" w:lineRule="exact"/>
              <w:ind w:left="945" w:right="946"/>
              <w:jc w:val="center"/>
              <w:rPr>
                <w:rFonts w:ascii="Times New Roman"/>
                <w:sz w:val="21"/>
              </w:rPr>
            </w:pPr>
            <w:r>
              <w:rPr>
                <w:rFonts w:ascii="Times New Roman"/>
                <w:w w:val="105"/>
                <w:sz w:val="21"/>
              </w:rPr>
              <w:t>$.68</w:t>
            </w:r>
          </w:p>
        </w:tc>
        <w:tc>
          <w:tcPr>
            <w:tcW w:w="2798" w:type="dxa"/>
          </w:tcPr>
          <w:p>
            <w:pPr>
              <w:pStyle w:val="TableParagraph"/>
              <w:spacing w:line="209" w:lineRule="exact"/>
              <w:ind w:left="1092" w:right="1082"/>
              <w:jc w:val="center"/>
              <w:rPr>
                <w:rFonts w:ascii="Times New Roman"/>
                <w:sz w:val="21"/>
              </w:rPr>
            </w:pPr>
            <w:r>
              <w:rPr>
                <w:rFonts w:ascii="Times New Roman"/>
                <w:w w:val="105"/>
                <w:sz w:val="21"/>
              </w:rPr>
              <w:t>14.9%</w:t>
            </w:r>
          </w:p>
        </w:tc>
      </w:tr>
      <w:tr>
        <w:trPr>
          <w:trHeight w:val="235" w:hRule="exact"/>
        </w:trPr>
        <w:tc>
          <w:tcPr>
            <w:tcW w:w="2098" w:type="dxa"/>
          </w:tcPr>
          <w:p>
            <w:pPr>
              <w:pStyle w:val="TableParagraph"/>
              <w:spacing w:line="209" w:lineRule="exact"/>
              <w:ind w:left="791" w:right="782"/>
              <w:jc w:val="center"/>
              <w:rPr>
                <w:rFonts w:ascii="Times New Roman"/>
                <w:sz w:val="21"/>
              </w:rPr>
            </w:pPr>
            <w:r>
              <w:rPr>
                <w:rFonts w:ascii="Times New Roman"/>
                <w:w w:val="105"/>
                <w:sz w:val="21"/>
              </w:rPr>
              <w:t>2003</w:t>
            </w:r>
          </w:p>
        </w:tc>
        <w:tc>
          <w:tcPr>
            <w:tcW w:w="2218" w:type="dxa"/>
          </w:tcPr>
          <w:p>
            <w:pPr>
              <w:pStyle w:val="TableParagraph"/>
              <w:spacing w:line="209" w:lineRule="exact"/>
              <w:ind w:left="863" w:right="859"/>
              <w:jc w:val="center"/>
              <w:rPr>
                <w:rFonts w:ascii="Times New Roman"/>
                <w:sz w:val="21"/>
              </w:rPr>
            </w:pPr>
            <w:r>
              <w:rPr>
                <w:rFonts w:ascii="Times New Roman"/>
                <w:w w:val="105"/>
                <w:sz w:val="21"/>
              </w:rPr>
              <w:t>$830</w:t>
            </w:r>
          </w:p>
        </w:tc>
        <w:tc>
          <w:tcPr>
            <w:tcW w:w="2333" w:type="dxa"/>
          </w:tcPr>
          <w:p>
            <w:pPr>
              <w:pStyle w:val="TableParagraph"/>
              <w:spacing w:line="209" w:lineRule="exact"/>
              <w:ind w:left="945" w:right="946"/>
              <w:jc w:val="center"/>
              <w:rPr>
                <w:rFonts w:ascii="Times New Roman"/>
                <w:sz w:val="21"/>
              </w:rPr>
            </w:pPr>
            <w:r>
              <w:rPr>
                <w:rFonts w:ascii="Times New Roman"/>
                <w:w w:val="105"/>
                <w:sz w:val="21"/>
              </w:rPr>
              <w:t>$.72</w:t>
            </w:r>
          </w:p>
        </w:tc>
        <w:tc>
          <w:tcPr>
            <w:tcW w:w="2798" w:type="dxa"/>
          </w:tcPr>
          <w:p>
            <w:pPr>
              <w:pStyle w:val="TableParagraph"/>
              <w:spacing w:line="209" w:lineRule="exact"/>
              <w:ind w:left="1092" w:right="1082"/>
              <w:jc w:val="center"/>
              <w:rPr>
                <w:rFonts w:ascii="Times New Roman"/>
                <w:sz w:val="21"/>
              </w:rPr>
            </w:pPr>
            <w:r>
              <w:rPr>
                <w:rFonts w:ascii="Times New Roman"/>
                <w:w w:val="105"/>
                <w:sz w:val="21"/>
              </w:rPr>
              <w:t>15.2%</w:t>
            </w:r>
          </w:p>
        </w:tc>
      </w:tr>
    </w:tbl>
    <w:p>
      <w:pPr>
        <w:pStyle w:val="BodyText"/>
        <w:spacing w:line="259" w:lineRule="auto" w:before="269"/>
        <w:ind w:left="116" w:right="108" w:firstLine="720"/>
        <w:jc w:val="both"/>
      </w:pPr>
      <w:r>
        <w:rPr>
          <w:w w:val="105"/>
        </w:rPr>
        <w:t>From October 1, 2003 through December 31, 2003, the average cost per gallon was $.74. See “Management’s Discussion and Analysis of Financial Condition and Results of Operations” for a discussion of Southwest’s fuel hedging activities.</w:t>
      </w:r>
    </w:p>
    <w:p>
      <w:pPr>
        <w:pStyle w:val="Heading2"/>
        <w:spacing w:before="262"/>
        <w:ind w:left="116"/>
      </w:pPr>
      <w:r>
        <w:rPr>
          <w:w w:val="105"/>
        </w:rPr>
        <w:t>Regulation</w:t>
      </w:r>
    </w:p>
    <w:p>
      <w:pPr>
        <w:pStyle w:val="BodyText"/>
        <w:spacing w:before="5"/>
        <w:rPr>
          <w:b/>
          <w:sz w:val="24"/>
        </w:rPr>
      </w:pPr>
    </w:p>
    <w:p>
      <w:pPr>
        <w:pStyle w:val="BodyText"/>
        <w:spacing w:line="259" w:lineRule="auto"/>
        <w:ind w:left="115" w:right="107" w:firstLine="720"/>
        <w:jc w:val="both"/>
      </w:pPr>
      <w:r>
        <w:rPr>
          <w:i/>
          <w:w w:val="105"/>
        </w:rPr>
        <w:t>Economic</w:t>
      </w:r>
      <w:r>
        <w:rPr>
          <w:w w:val="105"/>
        </w:rPr>
        <w:t>. The Dallas Love Field section of the International Air Transportation Competition Act of 1979, as amended in 1997 (commonly known as the “Wright Amendment”), as it affects Southwest's scheduled service, provides that no common carrier may provide scheduled passenger air transportation for compensation between Love Field and one or more points outside Texas, except that an air carrier may transport individuals by  air  on  a  flight between Love Field and  one  or  more points within the  states  of</w:t>
      </w:r>
    </w:p>
    <w:p>
      <w:pPr>
        <w:spacing w:after="0" w:line="259" w:lineRule="auto"/>
        <w:jc w:val="both"/>
        <w:sectPr>
          <w:pgSz w:w="12240" w:h="15840"/>
          <w:pgMar w:top="1080" w:bottom="280" w:left="1180" w:right="1180"/>
        </w:sectPr>
      </w:pPr>
    </w:p>
    <w:p>
      <w:pPr>
        <w:pStyle w:val="BodyText"/>
        <w:spacing w:line="259" w:lineRule="auto" w:before="100"/>
        <w:ind w:left="115" w:right="110"/>
        <w:jc w:val="both"/>
      </w:pPr>
      <w:r>
        <w:rPr>
          <w:w w:val="105"/>
        </w:rPr>
        <w:t>Alabama, Arkansas, Kansas, Louisiana, Mississippi, New Mexico, Oklahoma, and Texas if (a) "such </w:t>
      </w:r>
      <w:r>
        <w:rPr>
          <w:spacing w:val="2"/>
          <w:w w:val="105"/>
        </w:rPr>
        <w:t>air </w:t>
      </w:r>
      <w:r>
        <w:rPr>
          <w:w w:val="105"/>
        </w:rPr>
        <w:t>carrier does not offer or provide any through service or ticketing with another air carrier" and (b) "such air carrier does not offer for sale transportation to or from, and the flight or aircraft does not serve, any point</w:t>
      </w:r>
      <w:r>
        <w:rPr>
          <w:spacing w:val="55"/>
          <w:w w:val="105"/>
        </w:rPr>
        <w:t> </w:t>
      </w:r>
      <w:r>
        <w:rPr>
          <w:w w:val="105"/>
        </w:rPr>
        <w:t>which is outside any such states." The Wright Amendment does not restrict flights operated with aircraft having 56 or fewer passenger seats. The Wright Amendment does not restrict Southwest's intrastate Texas flights or its air service from points other than Love Field.</w:t>
      </w:r>
    </w:p>
    <w:p>
      <w:pPr>
        <w:pStyle w:val="BodyText"/>
        <w:spacing w:line="259" w:lineRule="auto" w:before="263"/>
        <w:ind w:left="115" w:right="104" w:firstLine="720"/>
        <w:jc w:val="both"/>
      </w:pPr>
      <w:r>
        <w:rPr>
          <w:w w:val="105"/>
        </w:rPr>
        <w:t>The Department of Transportation (“DOT”) has significant regulatory jurisdiction over passenger airlines. Unless exempted, no air carrier may furnish air transportation over any route without a DOT certificate of public convenience and necessity, which does not confer either exclusive or proprietary rights. The Company's certificates are unlimited in duration and permit the Company to operate among any points within the United States, its territories and possessions, except as limited by the Wright Amendment, as do the certificates of all other U.S. carriers. DOT may revoke such certificates, in whole or in part, for intentional failure to comply with certain provisions of the U.S. Transportation Code, or any order or regulation issued thereunder or any term of such certificate; provided that, with respect to revocation, the certificate holder has first been advised of the alleged violation and fails to comply after being given a reasonable time to do so.</w:t>
      </w:r>
    </w:p>
    <w:p>
      <w:pPr>
        <w:pStyle w:val="BodyText"/>
        <w:spacing w:line="259" w:lineRule="auto" w:before="263"/>
        <w:ind w:left="115" w:right="108" w:firstLine="720"/>
        <w:jc w:val="both"/>
      </w:pPr>
      <w:r>
        <w:rPr>
          <w:w w:val="105"/>
        </w:rPr>
        <w:t>DOT prescribes uniform disclosure standards regarding terms and conditions of carriage and prescribes that terms incorporated into the Contract of Carriage by reference are not binding upon passengers unless notice is given in accordance with its regulations.</w:t>
      </w:r>
    </w:p>
    <w:p>
      <w:pPr>
        <w:pStyle w:val="BodyText"/>
        <w:spacing w:line="259" w:lineRule="auto" w:before="258"/>
        <w:ind w:left="115" w:right="110" w:firstLine="720"/>
        <w:jc w:val="both"/>
      </w:pPr>
      <w:r>
        <w:rPr>
          <w:i/>
          <w:w w:val="105"/>
        </w:rPr>
        <w:t>Safety. </w:t>
      </w:r>
      <w:r>
        <w:rPr>
          <w:w w:val="105"/>
        </w:rPr>
        <w:t>The Company and its third-party maintenance providers are subject to the jurisdiction of the Federal Aviation Administration (“FAA”) with respect to its aircraft maintenance and operations, including equipment, ground facilities, dispatch, communications, flight training personnel, and other matters affecting air safety. To ensure compliance with its regulations, the FAA requires airlines to obtain operating, airworthiness, and other certificates, which are subject to suspension or revocation for cause. The Company has obtained such certificates. The FAA, acting through its own powers or through the appropriate U. S. Attorney, also has the power to bring proceedings for the imposition and collection of fines for violation of the Federal Air Regulations.</w:t>
      </w:r>
    </w:p>
    <w:p>
      <w:pPr>
        <w:pStyle w:val="BodyText"/>
        <w:spacing w:line="256" w:lineRule="auto" w:before="262"/>
        <w:ind w:left="115" w:right="109" w:firstLine="720"/>
        <w:jc w:val="both"/>
      </w:pPr>
      <w:r>
        <w:rPr>
          <w:w w:val="105"/>
        </w:rPr>
        <w:t>The Company is subject to various other federal, state, and local laws and regulations relating to</w:t>
      </w:r>
      <w:r>
        <w:rPr>
          <w:spacing w:val="55"/>
          <w:w w:val="105"/>
        </w:rPr>
        <w:t> </w:t>
      </w:r>
      <w:r>
        <w:rPr>
          <w:w w:val="105"/>
        </w:rPr>
        <w:t>occupational safety and health, including Occupational Safety and Health Administration (OSHA) and Food and Drug Administration (FDA) regulations.</w:t>
      </w:r>
    </w:p>
    <w:p>
      <w:pPr>
        <w:pStyle w:val="BodyText"/>
        <w:spacing w:line="259" w:lineRule="auto" w:before="264"/>
        <w:ind w:left="115" w:right="106" w:firstLine="720"/>
        <w:jc w:val="both"/>
      </w:pPr>
      <w:r>
        <w:rPr>
          <w:i/>
          <w:spacing w:val="3"/>
          <w:w w:val="105"/>
        </w:rPr>
        <w:t>Security. </w:t>
      </w:r>
      <w:r>
        <w:rPr>
          <w:w w:val="105"/>
        </w:rPr>
        <w:t>On November 19, 2001, President Bush signed into law the Aviation and Transportation Security Act (“Security Act”). The Security Act generally provides for enhanced aviation security measures. The Security Act established a new Transportation Security Administration (“TSA”), which has recently</w:t>
      </w:r>
      <w:r>
        <w:rPr>
          <w:spacing w:val="55"/>
          <w:w w:val="105"/>
        </w:rPr>
        <w:t> </w:t>
      </w:r>
      <w:r>
        <w:rPr>
          <w:w w:val="105"/>
        </w:rPr>
        <w:t>been moved to the new Department of Homeland Security. The TSA assumed the aviation security functions previously residing in the FAA and assumed passenger screening contracts at U.S. airports on February 17, </w:t>
      </w:r>
      <w:r>
        <w:rPr>
          <w:spacing w:val="2"/>
          <w:w w:val="105"/>
        </w:rPr>
        <w:t>2002. </w:t>
      </w:r>
      <w:r>
        <w:rPr>
          <w:w w:val="105"/>
        </w:rPr>
        <w:t>The TSA now </w:t>
      </w:r>
      <w:r>
        <w:rPr>
          <w:spacing w:val="2"/>
          <w:w w:val="105"/>
        </w:rPr>
        <w:t>provides </w:t>
      </w:r>
      <w:r>
        <w:rPr>
          <w:w w:val="105"/>
        </w:rPr>
        <w:t>for the </w:t>
      </w:r>
      <w:r>
        <w:rPr>
          <w:spacing w:val="2"/>
          <w:w w:val="105"/>
        </w:rPr>
        <w:t>screening </w:t>
      </w:r>
      <w:r>
        <w:rPr>
          <w:w w:val="105"/>
        </w:rPr>
        <w:t>of all </w:t>
      </w:r>
      <w:r>
        <w:rPr>
          <w:spacing w:val="2"/>
          <w:w w:val="105"/>
        </w:rPr>
        <w:t>passengers </w:t>
      </w:r>
      <w:r>
        <w:rPr>
          <w:w w:val="105"/>
        </w:rPr>
        <w:t>and </w:t>
      </w:r>
      <w:r>
        <w:rPr>
          <w:spacing w:val="2"/>
          <w:w w:val="105"/>
        </w:rPr>
        <w:t>property, which </w:t>
      </w:r>
      <w:r>
        <w:rPr>
          <w:w w:val="105"/>
        </w:rPr>
        <w:t>is </w:t>
      </w:r>
      <w:r>
        <w:rPr>
          <w:spacing w:val="2"/>
          <w:w w:val="105"/>
        </w:rPr>
        <w:t>performed </w:t>
      </w:r>
      <w:r>
        <w:rPr>
          <w:spacing w:val="3"/>
          <w:w w:val="105"/>
        </w:rPr>
        <w:t>by </w:t>
      </w:r>
      <w:r>
        <w:rPr>
          <w:spacing w:val="2"/>
          <w:w w:val="105"/>
        </w:rPr>
        <w:t>federal employees. Beginning February </w:t>
      </w:r>
      <w:r>
        <w:rPr>
          <w:w w:val="105"/>
        </w:rPr>
        <w:t>1, </w:t>
      </w:r>
      <w:r>
        <w:rPr>
          <w:spacing w:val="2"/>
          <w:w w:val="105"/>
        </w:rPr>
        <w:t>2002, </w:t>
      </w:r>
      <w:r>
        <w:rPr>
          <w:w w:val="105"/>
        </w:rPr>
        <w:t>a </w:t>
      </w:r>
      <w:r>
        <w:rPr>
          <w:spacing w:val="2"/>
          <w:w w:val="105"/>
        </w:rPr>
        <w:t>$2.50 </w:t>
      </w:r>
      <w:r>
        <w:rPr>
          <w:w w:val="105"/>
        </w:rPr>
        <w:t>per </w:t>
      </w:r>
      <w:r>
        <w:rPr>
          <w:spacing w:val="2"/>
          <w:w w:val="105"/>
        </w:rPr>
        <w:t>enplanement security </w:t>
      </w:r>
      <w:r>
        <w:rPr>
          <w:w w:val="105"/>
        </w:rPr>
        <w:t>fee is </w:t>
      </w:r>
      <w:r>
        <w:rPr>
          <w:spacing w:val="2"/>
          <w:w w:val="105"/>
        </w:rPr>
        <w:t>imposed </w:t>
      </w:r>
      <w:r>
        <w:rPr>
          <w:spacing w:val="3"/>
          <w:w w:val="105"/>
        </w:rPr>
        <w:t>on </w:t>
      </w:r>
      <w:r>
        <w:rPr>
          <w:w w:val="105"/>
        </w:rPr>
        <w:t>passengers (maximum of $5.00 per one-way trip). This fee was suspended by Congress from June 1 through September 30, 2003. Pursuant to authority granted to the TSA to impose additional fees on air carriers if </w:t>
      </w:r>
      <w:r>
        <w:rPr>
          <w:spacing w:val="2"/>
          <w:w w:val="105"/>
        </w:rPr>
        <w:t>necessary </w:t>
      </w:r>
      <w:r>
        <w:rPr>
          <w:w w:val="105"/>
        </w:rPr>
        <w:t>to </w:t>
      </w:r>
      <w:r>
        <w:rPr>
          <w:spacing w:val="2"/>
          <w:w w:val="105"/>
        </w:rPr>
        <w:t>cover additional federal aviation security costs, </w:t>
      </w:r>
      <w:r>
        <w:rPr>
          <w:w w:val="105"/>
        </w:rPr>
        <w:t>the TSA has </w:t>
      </w:r>
      <w:r>
        <w:rPr>
          <w:spacing w:val="2"/>
          <w:w w:val="105"/>
        </w:rPr>
        <w:t>imposed </w:t>
      </w:r>
      <w:r>
        <w:rPr>
          <w:w w:val="105"/>
        </w:rPr>
        <w:t>an </w:t>
      </w:r>
      <w:r>
        <w:rPr>
          <w:spacing w:val="2"/>
          <w:w w:val="105"/>
        </w:rPr>
        <w:t>annual </w:t>
      </w:r>
      <w:r>
        <w:rPr>
          <w:spacing w:val="3"/>
          <w:w w:val="105"/>
        </w:rPr>
        <w:t>Security </w:t>
      </w:r>
      <w:r>
        <w:rPr>
          <w:w w:val="105"/>
        </w:rPr>
        <w:t>Infrastructure Fee, which approximated $23 million for Southwest in 2002 and $18 million in 2003. This </w:t>
      </w:r>
      <w:r>
        <w:rPr>
          <w:spacing w:val="2"/>
          <w:w w:val="105"/>
        </w:rPr>
        <w:t>fee </w:t>
      </w:r>
      <w:r>
        <w:rPr>
          <w:w w:val="105"/>
        </w:rPr>
        <w:t>was also suspended by Congress from June 1 through September 30, 2003. Like the FAA, the TSA </w:t>
      </w:r>
      <w:r>
        <w:rPr>
          <w:spacing w:val="2"/>
          <w:w w:val="105"/>
        </w:rPr>
        <w:t>may </w:t>
      </w:r>
      <w:r>
        <w:rPr>
          <w:w w:val="105"/>
        </w:rPr>
        <w:t>impose</w:t>
      </w:r>
      <w:r>
        <w:rPr>
          <w:spacing w:val="-14"/>
          <w:w w:val="105"/>
        </w:rPr>
        <w:t> </w:t>
      </w:r>
      <w:r>
        <w:rPr>
          <w:w w:val="105"/>
        </w:rPr>
        <w:t>and</w:t>
      </w:r>
      <w:r>
        <w:rPr>
          <w:spacing w:val="-14"/>
          <w:w w:val="105"/>
        </w:rPr>
        <w:t> </w:t>
      </w:r>
      <w:r>
        <w:rPr>
          <w:w w:val="105"/>
        </w:rPr>
        <w:t>collect</w:t>
      </w:r>
      <w:r>
        <w:rPr>
          <w:spacing w:val="-14"/>
          <w:w w:val="105"/>
        </w:rPr>
        <w:t> </w:t>
      </w:r>
      <w:r>
        <w:rPr>
          <w:w w:val="105"/>
        </w:rPr>
        <w:t>fines</w:t>
      </w:r>
      <w:r>
        <w:rPr>
          <w:spacing w:val="-14"/>
          <w:w w:val="105"/>
        </w:rPr>
        <w:t> </w:t>
      </w:r>
      <w:r>
        <w:rPr>
          <w:w w:val="105"/>
        </w:rPr>
        <w:t>for</w:t>
      </w:r>
      <w:r>
        <w:rPr>
          <w:spacing w:val="-14"/>
          <w:w w:val="105"/>
        </w:rPr>
        <w:t> </w:t>
      </w:r>
      <w:r>
        <w:rPr>
          <w:w w:val="105"/>
        </w:rPr>
        <w:t>violations</w:t>
      </w:r>
      <w:r>
        <w:rPr>
          <w:spacing w:val="-14"/>
          <w:w w:val="105"/>
        </w:rPr>
        <w:t> </w:t>
      </w:r>
      <w:r>
        <w:rPr>
          <w:w w:val="105"/>
        </w:rPr>
        <w:t>of</w:t>
      </w:r>
      <w:r>
        <w:rPr>
          <w:spacing w:val="-14"/>
          <w:w w:val="105"/>
        </w:rPr>
        <w:t> </w:t>
      </w:r>
      <w:r>
        <w:rPr>
          <w:w w:val="105"/>
        </w:rPr>
        <w:t>its</w:t>
      </w:r>
      <w:r>
        <w:rPr>
          <w:spacing w:val="-14"/>
          <w:w w:val="105"/>
        </w:rPr>
        <w:t> </w:t>
      </w:r>
      <w:r>
        <w:rPr>
          <w:w w:val="105"/>
        </w:rPr>
        <w:t>regulations.</w:t>
      </w:r>
    </w:p>
    <w:p>
      <w:pPr>
        <w:pStyle w:val="BodyText"/>
        <w:spacing w:line="261" w:lineRule="auto" w:before="257"/>
        <w:ind w:left="115" w:right="105" w:firstLine="720"/>
        <w:jc w:val="both"/>
      </w:pPr>
      <w:r>
        <w:rPr>
          <w:w w:val="105"/>
        </w:rPr>
        <w:t>Enhanced security measures have had, and will continue to have, a significant impact on the airport experience</w:t>
      </w:r>
      <w:r>
        <w:rPr>
          <w:spacing w:val="-7"/>
          <w:w w:val="105"/>
        </w:rPr>
        <w:t> </w:t>
      </w:r>
      <w:r>
        <w:rPr>
          <w:w w:val="105"/>
        </w:rPr>
        <w:t>for</w:t>
      </w:r>
      <w:r>
        <w:rPr>
          <w:spacing w:val="-6"/>
          <w:w w:val="105"/>
        </w:rPr>
        <w:t> </w:t>
      </w:r>
      <w:r>
        <w:rPr>
          <w:w w:val="105"/>
        </w:rPr>
        <w:t>passengers.</w:t>
      </w:r>
      <w:r>
        <w:rPr>
          <w:spacing w:val="-6"/>
          <w:w w:val="105"/>
        </w:rPr>
        <w:t> </w:t>
      </w:r>
      <w:r>
        <w:rPr>
          <w:w w:val="105"/>
        </w:rPr>
        <w:t>While</w:t>
      </w:r>
      <w:r>
        <w:rPr>
          <w:spacing w:val="-6"/>
          <w:w w:val="105"/>
        </w:rPr>
        <w:t> </w:t>
      </w:r>
      <w:r>
        <w:rPr>
          <w:w w:val="105"/>
        </w:rPr>
        <w:t>these</w:t>
      </w:r>
      <w:r>
        <w:rPr>
          <w:spacing w:val="-7"/>
          <w:w w:val="105"/>
        </w:rPr>
        <w:t> </w:t>
      </w:r>
      <w:r>
        <w:rPr>
          <w:w w:val="105"/>
        </w:rPr>
        <w:t>security</w:t>
      </w:r>
      <w:r>
        <w:rPr>
          <w:spacing w:val="-6"/>
          <w:w w:val="105"/>
        </w:rPr>
        <w:t> </w:t>
      </w:r>
      <w:r>
        <w:rPr>
          <w:w w:val="105"/>
        </w:rPr>
        <w:t>requirements</w:t>
      </w:r>
      <w:r>
        <w:rPr>
          <w:spacing w:val="-6"/>
          <w:w w:val="105"/>
        </w:rPr>
        <w:t> </w:t>
      </w:r>
      <w:r>
        <w:rPr>
          <w:w w:val="105"/>
        </w:rPr>
        <w:t>have</w:t>
      </w:r>
      <w:r>
        <w:rPr>
          <w:spacing w:val="-6"/>
          <w:w w:val="105"/>
        </w:rPr>
        <w:t> </w:t>
      </w:r>
      <w:r>
        <w:rPr>
          <w:w w:val="105"/>
        </w:rPr>
        <w:t>not</w:t>
      </w:r>
      <w:r>
        <w:rPr>
          <w:spacing w:val="-6"/>
          <w:w w:val="105"/>
        </w:rPr>
        <w:t> </w:t>
      </w:r>
      <w:r>
        <w:rPr>
          <w:w w:val="105"/>
        </w:rPr>
        <w:t>impacted</w:t>
      </w:r>
      <w:r>
        <w:rPr>
          <w:spacing w:val="-7"/>
          <w:w w:val="105"/>
        </w:rPr>
        <w:t> </w:t>
      </w:r>
      <w:r>
        <w:rPr>
          <w:w w:val="105"/>
        </w:rPr>
        <w:t>aircraft</w:t>
      </w:r>
      <w:r>
        <w:rPr>
          <w:spacing w:val="-7"/>
          <w:w w:val="105"/>
        </w:rPr>
        <w:t> </w:t>
      </w:r>
      <w:r>
        <w:rPr>
          <w:w w:val="105"/>
        </w:rPr>
        <w:t>utilization,</w:t>
      </w:r>
      <w:r>
        <w:rPr>
          <w:spacing w:val="-6"/>
          <w:w w:val="105"/>
        </w:rPr>
        <w:t> </w:t>
      </w:r>
      <w:r>
        <w:rPr>
          <w:w w:val="105"/>
        </w:rPr>
        <w:t>they</w:t>
      </w:r>
      <w:r>
        <w:rPr>
          <w:spacing w:val="-7"/>
          <w:w w:val="105"/>
        </w:rPr>
        <w:t> </w:t>
      </w:r>
      <w:r>
        <w:rPr>
          <w:w w:val="105"/>
        </w:rPr>
        <w:t>have impacted our business. The Company has invested significantly in facilities, equipment, and technology to </w:t>
      </w:r>
      <w:r>
        <w:rPr>
          <w:spacing w:val="3"/>
          <w:w w:val="105"/>
        </w:rPr>
        <w:t>process</w:t>
      </w:r>
      <w:r>
        <w:rPr>
          <w:spacing w:val="44"/>
          <w:w w:val="105"/>
        </w:rPr>
        <w:t> </w:t>
      </w:r>
      <w:r>
        <w:rPr>
          <w:spacing w:val="3"/>
          <w:w w:val="105"/>
        </w:rPr>
        <w:t>Customers</w:t>
      </w:r>
      <w:r>
        <w:rPr>
          <w:spacing w:val="44"/>
          <w:w w:val="105"/>
        </w:rPr>
        <w:t> </w:t>
      </w:r>
      <w:r>
        <w:rPr>
          <w:spacing w:val="3"/>
          <w:w w:val="105"/>
        </w:rPr>
        <w:t>efficiently</w:t>
      </w:r>
      <w:r>
        <w:rPr>
          <w:spacing w:val="43"/>
          <w:w w:val="105"/>
        </w:rPr>
        <w:t> </w:t>
      </w:r>
      <w:r>
        <w:rPr>
          <w:spacing w:val="2"/>
          <w:w w:val="105"/>
        </w:rPr>
        <w:t>and</w:t>
      </w:r>
      <w:r>
        <w:rPr>
          <w:spacing w:val="44"/>
          <w:w w:val="105"/>
        </w:rPr>
        <w:t> </w:t>
      </w:r>
      <w:r>
        <w:rPr>
          <w:spacing w:val="3"/>
          <w:w w:val="105"/>
        </w:rPr>
        <w:t>restore</w:t>
      </w:r>
      <w:r>
        <w:rPr>
          <w:spacing w:val="44"/>
          <w:w w:val="105"/>
        </w:rPr>
        <w:t> </w:t>
      </w:r>
      <w:r>
        <w:rPr>
          <w:spacing w:val="2"/>
          <w:w w:val="105"/>
        </w:rPr>
        <w:t>the</w:t>
      </w:r>
      <w:r>
        <w:rPr>
          <w:spacing w:val="44"/>
          <w:w w:val="105"/>
        </w:rPr>
        <w:t> </w:t>
      </w:r>
      <w:r>
        <w:rPr>
          <w:spacing w:val="3"/>
          <w:w w:val="105"/>
        </w:rPr>
        <w:t>airport</w:t>
      </w:r>
      <w:r>
        <w:rPr>
          <w:spacing w:val="44"/>
          <w:w w:val="105"/>
        </w:rPr>
        <w:t> </w:t>
      </w:r>
      <w:r>
        <w:rPr>
          <w:spacing w:val="3"/>
          <w:w w:val="105"/>
        </w:rPr>
        <w:t>experience.</w:t>
      </w:r>
      <w:r>
        <w:rPr>
          <w:spacing w:val="43"/>
          <w:w w:val="105"/>
        </w:rPr>
        <w:t> </w:t>
      </w:r>
      <w:r>
        <w:rPr>
          <w:spacing w:val="2"/>
          <w:w w:val="105"/>
        </w:rPr>
        <w:t>The</w:t>
      </w:r>
      <w:r>
        <w:rPr>
          <w:spacing w:val="44"/>
          <w:w w:val="105"/>
        </w:rPr>
        <w:t> </w:t>
      </w:r>
      <w:r>
        <w:rPr>
          <w:spacing w:val="3"/>
          <w:w w:val="105"/>
        </w:rPr>
        <w:t>Company</w:t>
      </w:r>
      <w:r>
        <w:rPr>
          <w:spacing w:val="44"/>
          <w:w w:val="105"/>
        </w:rPr>
        <w:t> </w:t>
      </w:r>
      <w:r>
        <w:rPr>
          <w:spacing w:val="2"/>
          <w:w w:val="105"/>
        </w:rPr>
        <w:t>has</w:t>
      </w:r>
      <w:r>
        <w:rPr>
          <w:spacing w:val="44"/>
          <w:w w:val="105"/>
        </w:rPr>
        <w:t> </w:t>
      </w:r>
      <w:r>
        <w:rPr>
          <w:spacing w:val="3"/>
          <w:w w:val="105"/>
        </w:rPr>
        <w:t>implemented</w:t>
      </w:r>
      <w:r>
        <w:rPr>
          <w:spacing w:val="43"/>
          <w:w w:val="105"/>
        </w:rPr>
        <w:t> </w:t>
      </w:r>
      <w:r>
        <w:rPr>
          <w:spacing w:val="4"/>
          <w:w w:val="105"/>
        </w:rPr>
        <w:t>its</w:t>
      </w:r>
    </w:p>
    <w:p>
      <w:pPr>
        <w:spacing w:after="0" w:line="261" w:lineRule="auto"/>
        <w:jc w:val="both"/>
        <w:sectPr>
          <w:pgSz w:w="12240" w:h="15840"/>
          <w:pgMar w:top="1120" w:bottom="280" w:left="1180" w:right="1180"/>
        </w:sectPr>
      </w:pPr>
    </w:p>
    <w:p>
      <w:pPr>
        <w:pStyle w:val="BodyText"/>
        <w:spacing w:line="259" w:lineRule="auto" w:before="100"/>
        <w:ind w:left="115" w:right="109"/>
        <w:jc w:val="both"/>
      </w:pPr>
      <w:r>
        <w:rPr>
          <w:w w:val="105"/>
        </w:rPr>
        <w:t>Automated Boarding Passes and RAPID CHECK-IN self service kiosks in its 59 airports to reduce the number of lines in which a Customer must wait. During 2003, the Company also installed gate readers at all of its airports to improve the boarding reconciliation process. In 2004, Customers will be able to check baggage using RAPID CHECK-IN kiosks. Southwest also plans to introduce internet checkin and transfer boarding passes at the time of checkin.</w:t>
      </w:r>
    </w:p>
    <w:p>
      <w:pPr>
        <w:pStyle w:val="BodyText"/>
        <w:spacing w:line="259" w:lineRule="auto" w:before="258"/>
        <w:ind w:left="115" w:right="107" w:firstLine="720"/>
        <w:jc w:val="both"/>
      </w:pPr>
      <w:r>
        <w:rPr>
          <w:i/>
          <w:w w:val="105"/>
        </w:rPr>
        <w:t>Environmental. </w:t>
      </w:r>
      <w:r>
        <w:rPr>
          <w:w w:val="105"/>
        </w:rPr>
        <w:t>Certain airports, including San Diego and Orange County, have established airport restrictions to limit noise, including restrictions on aircraft types to be used, and limits on the number of hourly or daily operations or the time of such operations. In some instances, these restrictions have caused curtailments in service or increases in operating costs and such restrictions could limit the ability of Southwest to expand its operations at the affected airports. Local authorities at other airports may consider adopting similar noise regulations, but such regulations are subject to the provisions of the Airport Noise and Capacity Act of 1990 and regulations promulgated thereunder.</w:t>
      </w:r>
    </w:p>
    <w:p>
      <w:pPr>
        <w:pStyle w:val="BodyText"/>
        <w:spacing w:line="259" w:lineRule="auto" w:before="258"/>
        <w:ind w:left="115" w:right="108" w:firstLine="720"/>
        <w:jc w:val="both"/>
      </w:pPr>
      <w:r>
        <w:rPr>
          <w:w w:val="105"/>
        </w:rPr>
        <w:t>Operations at John Wayne Airport, Orange County, California, are governed by the Airport's Phase 2 Commercial Airline Access Plan and Regulation (the "Plan"). Pursuant to the Plan, each airline is allocated total annual seat capacity to be operated at the airport, subject to renewal/reallocation on an annual basis. Service at this airport may be adjusted annually to meet these requirements.</w:t>
      </w:r>
    </w:p>
    <w:p>
      <w:pPr>
        <w:pStyle w:val="BodyText"/>
        <w:spacing w:line="259" w:lineRule="auto" w:before="263"/>
        <w:ind w:left="115" w:right="106" w:firstLine="720"/>
        <w:jc w:val="both"/>
      </w:pPr>
      <w:r>
        <w:rPr>
          <w:w w:val="105"/>
        </w:rPr>
        <w:t>The Company is subject to various other federal, state, and local laws and regulations relating to the protection of the environment, including the discharge or disposal of materials such as chemicals, hazardous waste, and aircraft deicing fluid. Regulatory developments pertaining to such things as control of engine exhaust emissions from ground support equipment and prevention of leaks from underground aircraft fueling systems could increase operating costs in the airline industry. The Company does not believe, however, that such environmental regulatory developments will have a material impact on the Company’s capital expenditures or otherwise adversely effect its operations, operating costs, or competitive position. Additionally, in conjunction with airport authorities, other airlines, and state and local environmental regulatory agencies, the Company is undertaking voluntary investigation or remediation of soil or groundwater contamination at several airport sites. The Company does not believe that any environmental liability associated with such sites will have a material adverse effect on the Company’s operations, costs, or profitability.</w:t>
      </w:r>
    </w:p>
    <w:p>
      <w:pPr>
        <w:pStyle w:val="BodyText"/>
        <w:spacing w:line="259" w:lineRule="auto" w:before="263"/>
        <w:ind w:left="115" w:right="105" w:firstLine="720"/>
        <w:jc w:val="both"/>
      </w:pPr>
      <w:r>
        <w:rPr>
          <w:i/>
          <w:w w:val="105"/>
        </w:rPr>
        <w:t>Customer Service Commitment</w:t>
      </w:r>
      <w:r>
        <w:rPr>
          <w:w w:val="105"/>
        </w:rPr>
        <w:t>. From time to time, the airline transportation industry has been faced with possible legislation dealing with certain Customer service practices. As a compromise with Congress, the industry, working with the Air Transport Association, has responded by adopting and filing with </w:t>
      </w:r>
      <w:r>
        <w:rPr>
          <w:spacing w:val="2"/>
          <w:w w:val="105"/>
        </w:rPr>
        <w:t>the  DOT </w:t>
      </w:r>
      <w:r>
        <w:rPr>
          <w:spacing w:val="3"/>
          <w:w w:val="105"/>
        </w:rPr>
        <w:t>written plans disclosing </w:t>
      </w:r>
      <w:r>
        <w:rPr>
          <w:spacing w:val="2"/>
          <w:w w:val="105"/>
        </w:rPr>
        <w:t>how </w:t>
      </w:r>
      <w:r>
        <w:rPr>
          <w:w w:val="105"/>
        </w:rPr>
        <w:t>it </w:t>
      </w:r>
      <w:r>
        <w:rPr>
          <w:spacing w:val="3"/>
          <w:w w:val="105"/>
        </w:rPr>
        <w:t>would commit </w:t>
      </w:r>
      <w:r>
        <w:rPr>
          <w:w w:val="105"/>
        </w:rPr>
        <w:t>to </w:t>
      </w:r>
      <w:r>
        <w:rPr>
          <w:spacing w:val="3"/>
          <w:w w:val="105"/>
        </w:rPr>
        <w:t>improving performance. Southwest </w:t>
      </w:r>
      <w:r>
        <w:rPr>
          <w:spacing w:val="4"/>
          <w:w w:val="105"/>
        </w:rPr>
        <w:t>Airlines </w:t>
      </w:r>
      <w:r>
        <w:rPr>
          <w:spacing w:val="3"/>
          <w:w w:val="105"/>
        </w:rPr>
        <w:t>formalized </w:t>
      </w:r>
      <w:r>
        <w:rPr>
          <w:spacing w:val="2"/>
          <w:w w:val="105"/>
        </w:rPr>
        <w:t>its </w:t>
      </w:r>
      <w:r>
        <w:rPr>
          <w:spacing w:val="3"/>
          <w:w w:val="105"/>
        </w:rPr>
        <w:t>dedication </w:t>
      </w:r>
      <w:r>
        <w:rPr>
          <w:w w:val="105"/>
        </w:rPr>
        <w:t>to </w:t>
      </w:r>
      <w:r>
        <w:rPr>
          <w:spacing w:val="3"/>
          <w:w w:val="105"/>
        </w:rPr>
        <w:t>Customer Satisfaction </w:t>
      </w:r>
      <w:r>
        <w:rPr>
          <w:w w:val="105"/>
        </w:rPr>
        <w:t>by </w:t>
      </w:r>
      <w:r>
        <w:rPr>
          <w:spacing w:val="3"/>
          <w:w w:val="105"/>
        </w:rPr>
        <w:t>adopting </w:t>
      </w:r>
      <w:r>
        <w:rPr>
          <w:spacing w:val="2"/>
          <w:w w:val="105"/>
        </w:rPr>
        <w:t>its </w:t>
      </w:r>
      <w:r>
        <w:rPr>
          <w:spacing w:val="3"/>
          <w:w w:val="105"/>
        </w:rPr>
        <w:t>Customer Service Commitment, </w:t>
      </w:r>
      <w:r>
        <w:rPr>
          <w:w w:val="105"/>
        </w:rPr>
        <w:t>a comprehensive plan which embodies the Mission Statement of Southwest Airlines: dedication to the highest quality of Customer Service delivered with a sense of warmth, friendliness, individual pride, and Company </w:t>
      </w:r>
      <w:r>
        <w:rPr>
          <w:spacing w:val="6"/>
          <w:w w:val="105"/>
        </w:rPr>
        <w:t>Spirit. </w:t>
      </w:r>
      <w:r>
        <w:rPr>
          <w:spacing w:val="4"/>
          <w:w w:val="105"/>
        </w:rPr>
        <w:t>The </w:t>
      </w:r>
      <w:r>
        <w:rPr>
          <w:spacing w:val="6"/>
          <w:w w:val="105"/>
        </w:rPr>
        <w:t>Customer Service Commitment </w:t>
      </w:r>
      <w:r>
        <w:rPr>
          <w:spacing w:val="4"/>
          <w:w w:val="105"/>
        </w:rPr>
        <w:t>can </w:t>
      </w:r>
      <w:r>
        <w:rPr>
          <w:spacing w:val="3"/>
          <w:w w:val="105"/>
        </w:rPr>
        <w:t>be </w:t>
      </w:r>
      <w:r>
        <w:rPr>
          <w:spacing w:val="6"/>
          <w:w w:val="105"/>
        </w:rPr>
        <w:t>reviewed </w:t>
      </w:r>
      <w:r>
        <w:rPr>
          <w:spacing w:val="3"/>
          <w:w w:val="105"/>
        </w:rPr>
        <w:t>by </w:t>
      </w:r>
      <w:r>
        <w:rPr>
          <w:spacing w:val="6"/>
          <w:w w:val="105"/>
        </w:rPr>
        <w:t>clicking </w:t>
      </w:r>
      <w:r>
        <w:rPr>
          <w:spacing w:val="3"/>
          <w:w w:val="105"/>
        </w:rPr>
        <w:t>on </w:t>
      </w:r>
      <w:r>
        <w:rPr>
          <w:spacing w:val="5"/>
          <w:w w:val="105"/>
        </w:rPr>
        <w:t>“About SWA” </w:t>
      </w:r>
      <w:r>
        <w:rPr>
          <w:spacing w:val="7"/>
          <w:w w:val="105"/>
        </w:rPr>
        <w:t>at </w:t>
      </w:r>
      <w:hyperlink r:id="rId47">
        <w:r>
          <w:rPr>
            <w:w w:val="105"/>
          </w:rPr>
          <w:t>www.southwest.com.</w:t>
        </w:r>
      </w:hyperlink>
      <w:r>
        <w:rPr>
          <w:w w:val="105"/>
        </w:rPr>
        <w:t> Congress is expected to monitor the effects of the industry’s plans, and there can be no assurance</w:t>
      </w:r>
      <w:r>
        <w:rPr>
          <w:spacing w:val="-14"/>
          <w:w w:val="105"/>
        </w:rPr>
        <w:t> </w:t>
      </w:r>
      <w:r>
        <w:rPr>
          <w:w w:val="105"/>
        </w:rPr>
        <w:t>that</w:t>
      </w:r>
      <w:r>
        <w:rPr>
          <w:spacing w:val="-14"/>
          <w:w w:val="105"/>
        </w:rPr>
        <w:t> </w:t>
      </w:r>
      <w:r>
        <w:rPr>
          <w:w w:val="105"/>
        </w:rPr>
        <w:t>legislation</w:t>
      </w:r>
      <w:r>
        <w:rPr>
          <w:spacing w:val="-14"/>
          <w:w w:val="105"/>
        </w:rPr>
        <w:t> </w:t>
      </w:r>
      <w:r>
        <w:rPr>
          <w:w w:val="105"/>
        </w:rPr>
        <w:t>will</w:t>
      </w:r>
      <w:r>
        <w:rPr>
          <w:spacing w:val="-14"/>
          <w:w w:val="105"/>
        </w:rPr>
        <w:t> </w:t>
      </w:r>
      <w:r>
        <w:rPr>
          <w:w w:val="105"/>
        </w:rPr>
        <w:t>not</w:t>
      </w:r>
      <w:r>
        <w:rPr>
          <w:spacing w:val="-14"/>
          <w:w w:val="105"/>
        </w:rPr>
        <w:t> </w:t>
      </w:r>
      <w:r>
        <w:rPr>
          <w:w w:val="105"/>
        </w:rPr>
        <w:t>be</w:t>
      </w:r>
      <w:r>
        <w:rPr>
          <w:spacing w:val="-14"/>
          <w:w w:val="105"/>
        </w:rPr>
        <w:t> </w:t>
      </w:r>
      <w:r>
        <w:rPr>
          <w:w w:val="105"/>
        </w:rPr>
        <w:t>proposed</w:t>
      </w:r>
      <w:r>
        <w:rPr>
          <w:spacing w:val="-14"/>
          <w:w w:val="105"/>
        </w:rPr>
        <w:t> </w:t>
      </w:r>
      <w:r>
        <w:rPr>
          <w:w w:val="105"/>
        </w:rPr>
        <w:t>in</w:t>
      </w:r>
      <w:r>
        <w:rPr>
          <w:spacing w:val="-14"/>
          <w:w w:val="105"/>
        </w:rPr>
        <w:t> </w:t>
      </w:r>
      <w:r>
        <w:rPr>
          <w:w w:val="105"/>
        </w:rPr>
        <w:t>the</w:t>
      </w:r>
      <w:r>
        <w:rPr>
          <w:spacing w:val="-14"/>
          <w:w w:val="105"/>
        </w:rPr>
        <w:t> </w:t>
      </w:r>
      <w:r>
        <w:rPr>
          <w:w w:val="105"/>
        </w:rPr>
        <w:t>future</w:t>
      </w:r>
      <w:r>
        <w:rPr>
          <w:spacing w:val="-14"/>
          <w:w w:val="105"/>
        </w:rPr>
        <w:t> </w:t>
      </w:r>
      <w:r>
        <w:rPr>
          <w:w w:val="105"/>
        </w:rPr>
        <w:t>to</w:t>
      </w:r>
      <w:r>
        <w:rPr>
          <w:spacing w:val="-14"/>
          <w:w w:val="105"/>
        </w:rPr>
        <w:t> </w:t>
      </w:r>
      <w:r>
        <w:rPr>
          <w:w w:val="105"/>
        </w:rPr>
        <w:t>regulate</w:t>
      </w:r>
      <w:r>
        <w:rPr>
          <w:spacing w:val="-14"/>
          <w:w w:val="105"/>
        </w:rPr>
        <w:t> </w:t>
      </w:r>
      <w:r>
        <w:rPr>
          <w:w w:val="105"/>
        </w:rPr>
        <w:t>airline</w:t>
      </w:r>
      <w:r>
        <w:rPr>
          <w:spacing w:val="-14"/>
          <w:w w:val="105"/>
        </w:rPr>
        <w:t> </w:t>
      </w:r>
      <w:r>
        <w:rPr>
          <w:w w:val="105"/>
        </w:rPr>
        <w:t>Customer</w:t>
      </w:r>
      <w:r>
        <w:rPr>
          <w:spacing w:val="-14"/>
          <w:w w:val="105"/>
        </w:rPr>
        <w:t> </w:t>
      </w:r>
      <w:r>
        <w:rPr>
          <w:w w:val="105"/>
        </w:rPr>
        <w:t>service</w:t>
      </w:r>
      <w:r>
        <w:rPr>
          <w:spacing w:val="-13"/>
          <w:w w:val="105"/>
        </w:rPr>
        <w:t> </w:t>
      </w:r>
      <w:r>
        <w:rPr>
          <w:w w:val="105"/>
        </w:rPr>
        <w:t>practices.</w:t>
      </w:r>
    </w:p>
    <w:p>
      <w:pPr>
        <w:spacing w:after="0" w:line="259" w:lineRule="auto"/>
        <w:jc w:val="both"/>
        <w:sectPr>
          <w:pgSz w:w="12240" w:h="15840"/>
          <w:pgMar w:top="1120" w:bottom="280" w:left="1180" w:right="1180"/>
        </w:sectPr>
      </w:pPr>
    </w:p>
    <w:p>
      <w:pPr>
        <w:pStyle w:val="Heading2"/>
        <w:spacing w:before="100"/>
      </w:pPr>
      <w:r>
        <w:rPr>
          <w:w w:val="105"/>
        </w:rPr>
        <w:t>Marketing and Competition</w:t>
      </w:r>
    </w:p>
    <w:p>
      <w:pPr>
        <w:pStyle w:val="BodyText"/>
        <w:spacing w:before="5"/>
        <w:rPr>
          <w:b/>
          <w:sz w:val="24"/>
        </w:rPr>
      </w:pPr>
    </w:p>
    <w:p>
      <w:pPr>
        <w:pStyle w:val="BodyText"/>
        <w:spacing w:line="259" w:lineRule="auto"/>
        <w:ind w:left="115" w:right="106" w:firstLine="786"/>
        <w:jc w:val="both"/>
      </w:pPr>
      <w:r>
        <w:rPr>
          <w:w w:val="105"/>
        </w:rPr>
        <w:t>Southwest focuses principally on point-to-point, rather than hub-and-spoke, service in markets with frequent, conveniently timed flights and low fares. At year-end, Southwest served 337 nonstop city </w:t>
      </w:r>
      <w:r>
        <w:rPr>
          <w:spacing w:val="2"/>
          <w:w w:val="105"/>
        </w:rPr>
        <w:t>pairs. </w:t>
      </w:r>
      <w:r>
        <w:rPr>
          <w:spacing w:val="4"/>
          <w:w w:val="105"/>
        </w:rPr>
        <w:t>Southwest’s average aircraft </w:t>
      </w:r>
      <w:r>
        <w:rPr>
          <w:spacing w:val="3"/>
          <w:w w:val="105"/>
        </w:rPr>
        <w:t>trip </w:t>
      </w:r>
      <w:r>
        <w:rPr>
          <w:spacing w:val="4"/>
          <w:w w:val="105"/>
        </w:rPr>
        <w:t>stage length </w:t>
      </w:r>
      <w:r>
        <w:rPr>
          <w:spacing w:val="2"/>
          <w:w w:val="105"/>
        </w:rPr>
        <w:t>in </w:t>
      </w:r>
      <w:r>
        <w:rPr>
          <w:spacing w:val="3"/>
          <w:w w:val="105"/>
        </w:rPr>
        <w:t>2003 was 558 </w:t>
      </w:r>
      <w:r>
        <w:rPr>
          <w:spacing w:val="4"/>
          <w:w w:val="105"/>
        </w:rPr>
        <w:t>miles </w:t>
      </w:r>
      <w:r>
        <w:rPr>
          <w:spacing w:val="3"/>
          <w:w w:val="105"/>
        </w:rPr>
        <w:t>with </w:t>
      </w:r>
      <w:r>
        <w:rPr>
          <w:spacing w:val="2"/>
          <w:w w:val="105"/>
        </w:rPr>
        <w:t>an </w:t>
      </w:r>
      <w:r>
        <w:rPr>
          <w:spacing w:val="4"/>
          <w:w w:val="105"/>
        </w:rPr>
        <w:t>average duration </w:t>
      </w:r>
      <w:r>
        <w:rPr>
          <w:spacing w:val="5"/>
          <w:w w:val="105"/>
        </w:rPr>
        <w:t>of </w:t>
      </w:r>
      <w:r>
        <w:rPr>
          <w:w w:val="105"/>
        </w:rPr>
        <w:t>approximately 1.5 hours. Examples of markets offering frequent daily flights are: Dallas to Houston, 35</w:t>
      </w:r>
      <w:r>
        <w:rPr>
          <w:spacing w:val="55"/>
          <w:w w:val="105"/>
        </w:rPr>
        <w:t> </w:t>
      </w:r>
      <w:r>
        <w:rPr>
          <w:spacing w:val="3"/>
          <w:w w:val="105"/>
        </w:rPr>
        <w:t>weekday roundtrips; Phoenix </w:t>
      </w:r>
      <w:r>
        <w:rPr>
          <w:w w:val="105"/>
        </w:rPr>
        <w:t>to </w:t>
      </w:r>
      <w:r>
        <w:rPr>
          <w:spacing w:val="2"/>
          <w:w w:val="105"/>
        </w:rPr>
        <w:t>Las </w:t>
      </w:r>
      <w:r>
        <w:rPr>
          <w:spacing w:val="3"/>
          <w:w w:val="105"/>
        </w:rPr>
        <w:t>Vegas, </w:t>
      </w:r>
      <w:r>
        <w:rPr>
          <w:w w:val="105"/>
        </w:rPr>
        <w:t>19 </w:t>
      </w:r>
      <w:r>
        <w:rPr>
          <w:spacing w:val="3"/>
          <w:w w:val="105"/>
        </w:rPr>
        <w:t>weekday roundtrips; </w:t>
      </w:r>
      <w:r>
        <w:rPr>
          <w:spacing w:val="2"/>
          <w:w w:val="105"/>
        </w:rPr>
        <w:t>and Los </w:t>
      </w:r>
      <w:r>
        <w:rPr>
          <w:spacing w:val="3"/>
          <w:w w:val="105"/>
        </w:rPr>
        <w:t>Angeles International </w:t>
      </w:r>
      <w:r>
        <w:rPr>
          <w:spacing w:val="4"/>
          <w:w w:val="105"/>
        </w:rPr>
        <w:t>to </w:t>
      </w:r>
      <w:r>
        <w:rPr>
          <w:spacing w:val="2"/>
          <w:w w:val="105"/>
        </w:rPr>
        <w:t>Oakland, </w:t>
      </w:r>
      <w:r>
        <w:rPr>
          <w:w w:val="105"/>
        </w:rPr>
        <w:t>22 </w:t>
      </w:r>
      <w:r>
        <w:rPr>
          <w:spacing w:val="2"/>
          <w:w w:val="105"/>
        </w:rPr>
        <w:t>weekday </w:t>
      </w:r>
      <w:r>
        <w:rPr>
          <w:spacing w:val="3"/>
          <w:w w:val="105"/>
        </w:rPr>
        <w:t>roundtrips. </w:t>
      </w:r>
      <w:r>
        <w:rPr>
          <w:spacing w:val="2"/>
          <w:w w:val="105"/>
        </w:rPr>
        <w:t>Southwest </w:t>
      </w:r>
      <w:r>
        <w:rPr>
          <w:spacing w:val="3"/>
          <w:w w:val="105"/>
        </w:rPr>
        <w:t>complements these high-frequency </w:t>
      </w:r>
      <w:r>
        <w:rPr>
          <w:spacing w:val="2"/>
          <w:w w:val="105"/>
        </w:rPr>
        <w:t>shorthaul </w:t>
      </w:r>
      <w:r>
        <w:rPr>
          <w:spacing w:val="3"/>
          <w:w w:val="105"/>
        </w:rPr>
        <w:t>routes with </w:t>
      </w:r>
      <w:r>
        <w:rPr>
          <w:w w:val="105"/>
        </w:rPr>
        <w:t>longhaul nonstop service between markets such as Baltimore and Los Angeles, Phoenix and Tampa Bay,</w:t>
      </w:r>
      <w:r>
        <w:rPr>
          <w:spacing w:val="55"/>
          <w:w w:val="105"/>
        </w:rPr>
        <w:t> </w:t>
      </w:r>
      <w:r>
        <w:rPr>
          <w:w w:val="105"/>
        </w:rPr>
        <w:t>Seattle and Nashville, and Houston and Oakland.</w:t>
      </w:r>
    </w:p>
    <w:p>
      <w:pPr>
        <w:pStyle w:val="BodyText"/>
        <w:spacing w:line="259" w:lineRule="auto" w:before="262"/>
        <w:ind w:left="115" w:right="106" w:firstLine="720"/>
        <w:jc w:val="both"/>
      </w:pPr>
      <w:r>
        <w:rPr>
          <w:w w:val="105"/>
        </w:rPr>
        <w:t>Southwest's point-to-point route system, as compared to hub-and-spoke, provides for more </w:t>
      </w:r>
      <w:r>
        <w:rPr>
          <w:spacing w:val="2"/>
          <w:w w:val="105"/>
        </w:rPr>
        <w:t>direct </w:t>
      </w:r>
      <w:r>
        <w:rPr>
          <w:w w:val="105"/>
        </w:rPr>
        <w:t>nonstop routings for Customers and, therefore, minimizes connections, delays, and total trip time. Southwest </w:t>
      </w:r>
      <w:r>
        <w:rPr>
          <w:spacing w:val="3"/>
          <w:w w:val="105"/>
        </w:rPr>
        <w:t>focuses </w:t>
      </w:r>
      <w:r>
        <w:rPr>
          <w:w w:val="105"/>
        </w:rPr>
        <w:t>on </w:t>
      </w:r>
      <w:r>
        <w:rPr>
          <w:spacing w:val="3"/>
          <w:w w:val="105"/>
        </w:rPr>
        <w:t>nonstop, </w:t>
      </w:r>
      <w:r>
        <w:rPr>
          <w:spacing w:val="2"/>
          <w:w w:val="105"/>
        </w:rPr>
        <w:t>not </w:t>
      </w:r>
      <w:r>
        <w:rPr>
          <w:spacing w:val="3"/>
          <w:w w:val="105"/>
        </w:rPr>
        <w:t>connecting, traffic. </w:t>
      </w:r>
      <w:r>
        <w:rPr>
          <w:w w:val="105"/>
        </w:rPr>
        <w:t>As a </w:t>
      </w:r>
      <w:r>
        <w:rPr>
          <w:spacing w:val="3"/>
          <w:w w:val="105"/>
        </w:rPr>
        <w:t>result, approximately </w:t>
      </w:r>
      <w:r>
        <w:rPr>
          <w:w w:val="105"/>
        </w:rPr>
        <w:t>79 </w:t>
      </w:r>
      <w:r>
        <w:rPr>
          <w:spacing w:val="4"/>
          <w:w w:val="105"/>
        </w:rPr>
        <w:t>percent </w:t>
      </w:r>
      <w:r>
        <w:rPr>
          <w:spacing w:val="2"/>
          <w:w w:val="105"/>
        </w:rPr>
        <w:t>of </w:t>
      </w:r>
      <w:r>
        <w:rPr>
          <w:spacing w:val="3"/>
          <w:w w:val="105"/>
        </w:rPr>
        <w:t>the </w:t>
      </w:r>
      <w:r>
        <w:rPr>
          <w:spacing w:val="5"/>
          <w:w w:val="105"/>
        </w:rPr>
        <w:t>Company's </w:t>
      </w:r>
      <w:r>
        <w:rPr>
          <w:spacing w:val="2"/>
          <w:w w:val="105"/>
        </w:rPr>
        <w:t>Customers </w:t>
      </w:r>
      <w:r>
        <w:rPr>
          <w:w w:val="105"/>
        </w:rPr>
        <w:t>fly </w:t>
      </w:r>
      <w:r>
        <w:rPr>
          <w:spacing w:val="2"/>
          <w:w w:val="105"/>
        </w:rPr>
        <w:t>nonstop. </w:t>
      </w:r>
      <w:r>
        <w:rPr>
          <w:w w:val="105"/>
        </w:rPr>
        <w:t>In </w:t>
      </w:r>
      <w:r>
        <w:rPr>
          <w:spacing w:val="2"/>
          <w:w w:val="105"/>
        </w:rPr>
        <w:t>addition, Southwest serves many conveniently located satellite </w:t>
      </w:r>
      <w:r>
        <w:rPr>
          <w:w w:val="105"/>
        </w:rPr>
        <w:t>or </w:t>
      </w:r>
      <w:r>
        <w:rPr>
          <w:spacing w:val="3"/>
          <w:w w:val="105"/>
        </w:rPr>
        <w:t>downtown </w:t>
      </w:r>
      <w:r>
        <w:rPr>
          <w:w w:val="105"/>
        </w:rPr>
        <w:t>airports such as Dallas Love Field, Houston Hobby, Chicago Midway, Baltimore-Washington International, </w:t>
      </w:r>
      <w:r>
        <w:rPr>
          <w:spacing w:val="2"/>
          <w:w w:val="105"/>
        </w:rPr>
        <w:t>Burbank, Manchester, Oakland, </w:t>
      </w:r>
      <w:r>
        <w:rPr>
          <w:w w:val="105"/>
        </w:rPr>
        <w:t>San </w:t>
      </w:r>
      <w:r>
        <w:rPr>
          <w:spacing w:val="2"/>
          <w:w w:val="105"/>
        </w:rPr>
        <w:t>Jose, Providence, </w:t>
      </w:r>
      <w:r>
        <w:rPr>
          <w:w w:val="105"/>
        </w:rPr>
        <w:t>Ft. </w:t>
      </w:r>
      <w:r>
        <w:rPr>
          <w:spacing w:val="2"/>
          <w:w w:val="105"/>
        </w:rPr>
        <w:t>Lauderdale/Hollywood </w:t>
      </w:r>
      <w:r>
        <w:rPr>
          <w:w w:val="105"/>
        </w:rPr>
        <w:t>and </w:t>
      </w:r>
      <w:r>
        <w:rPr>
          <w:spacing w:val="2"/>
          <w:w w:val="105"/>
        </w:rPr>
        <w:t>Long Island </w:t>
      </w:r>
      <w:r>
        <w:rPr>
          <w:spacing w:val="3"/>
          <w:w w:val="105"/>
        </w:rPr>
        <w:t>Islip </w:t>
      </w:r>
      <w:r>
        <w:rPr>
          <w:spacing w:val="2"/>
          <w:w w:val="105"/>
        </w:rPr>
        <w:t>airports, </w:t>
      </w:r>
      <w:r>
        <w:rPr>
          <w:w w:val="105"/>
        </w:rPr>
        <w:t>which are </w:t>
      </w:r>
      <w:r>
        <w:rPr>
          <w:spacing w:val="2"/>
          <w:w w:val="105"/>
        </w:rPr>
        <w:t>typically less congested than other airlines' </w:t>
      </w:r>
      <w:r>
        <w:rPr>
          <w:w w:val="105"/>
        </w:rPr>
        <w:t>hub </w:t>
      </w:r>
      <w:r>
        <w:rPr>
          <w:spacing w:val="2"/>
          <w:w w:val="105"/>
        </w:rPr>
        <w:t>airports </w:t>
      </w:r>
      <w:r>
        <w:rPr>
          <w:w w:val="105"/>
        </w:rPr>
        <w:t>and </w:t>
      </w:r>
      <w:r>
        <w:rPr>
          <w:spacing w:val="2"/>
          <w:w w:val="105"/>
        </w:rPr>
        <w:t>enhance </w:t>
      </w:r>
      <w:r>
        <w:rPr>
          <w:w w:val="105"/>
        </w:rPr>
        <w:t>the </w:t>
      </w:r>
      <w:r>
        <w:rPr>
          <w:spacing w:val="3"/>
          <w:w w:val="105"/>
        </w:rPr>
        <w:t>Company's </w:t>
      </w:r>
      <w:r>
        <w:rPr>
          <w:w w:val="105"/>
        </w:rPr>
        <w:t>ability to sustain high Employee productivity and reliable ontime performance. This operating strategy also permits the Company to achieve high asset utilization. Aircraft are scheduled to minimize the amount of  time the aircraft are at the gate, currently approximately 25 minutes, thereby reducing the number of aircraft and </w:t>
      </w:r>
      <w:r>
        <w:rPr>
          <w:spacing w:val="2"/>
          <w:w w:val="105"/>
        </w:rPr>
        <w:t>gate facilities that would otherwise </w:t>
      </w:r>
      <w:r>
        <w:rPr>
          <w:w w:val="105"/>
        </w:rPr>
        <w:t>be </w:t>
      </w:r>
      <w:r>
        <w:rPr>
          <w:spacing w:val="2"/>
          <w:w w:val="105"/>
        </w:rPr>
        <w:t>required. </w:t>
      </w:r>
      <w:r>
        <w:rPr>
          <w:w w:val="105"/>
        </w:rPr>
        <w:t>The </w:t>
      </w:r>
      <w:r>
        <w:rPr>
          <w:spacing w:val="2"/>
          <w:w w:val="105"/>
        </w:rPr>
        <w:t>Company operates only </w:t>
      </w:r>
      <w:r>
        <w:rPr>
          <w:w w:val="105"/>
        </w:rPr>
        <w:t>one </w:t>
      </w:r>
      <w:r>
        <w:rPr>
          <w:spacing w:val="2"/>
          <w:w w:val="105"/>
        </w:rPr>
        <w:t>aircraft type, </w:t>
      </w:r>
      <w:r>
        <w:rPr>
          <w:spacing w:val="3"/>
          <w:w w:val="105"/>
        </w:rPr>
        <w:t>the </w:t>
      </w:r>
      <w:r>
        <w:rPr>
          <w:w w:val="105"/>
        </w:rPr>
        <w:t>Boeing 737, which simplifies scheduling, maintenance, flight operations, and training activities. Southwest does</w:t>
      </w:r>
      <w:r>
        <w:rPr>
          <w:spacing w:val="-13"/>
          <w:w w:val="105"/>
        </w:rPr>
        <w:t> </w:t>
      </w:r>
      <w:r>
        <w:rPr>
          <w:w w:val="105"/>
        </w:rPr>
        <w:t>not</w:t>
      </w:r>
      <w:r>
        <w:rPr>
          <w:spacing w:val="-13"/>
          <w:w w:val="105"/>
        </w:rPr>
        <w:t> </w:t>
      </w:r>
      <w:r>
        <w:rPr>
          <w:w w:val="105"/>
        </w:rPr>
        <w:t>interline</w:t>
      </w:r>
      <w:r>
        <w:rPr>
          <w:spacing w:val="-13"/>
          <w:w w:val="105"/>
        </w:rPr>
        <w:t> </w:t>
      </w:r>
      <w:r>
        <w:rPr>
          <w:w w:val="105"/>
        </w:rPr>
        <w:t>or</w:t>
      </w:r>
      <w:r>
        <w:rPr>
          <w:spacing w:val="-13"/>
          <w:w w:val="105"/>
        </w:rPr>
        <w:t> </w:t>
      </w:r>
      <w:r>
        <w:rPr>
          <w:w w:val="105"/>
        </w:rPr>
        <w:t>offer</w:t>
      </w:r>
      <w:r>
        <w:rPr>
          <w:spacing w:val="-13"/>
          <w:w w:val="105"/>
        </w:rPr>
        <w:t> </w:t>
      </w:r>
      <w:r>
        <w:rPr>
          <w:w w:val="105"/>
        </w:rPr>
        <w:t>joint</w:t>
      </w:r>
      <w:r>
        <w:rPr>
          <w:spacing w:val="-13"/>
          <w:w w:val="105"/>
        </w:rPr>
        <w:t> </w:t>
      </w:r>
      <w:r>
        <w:rPr>
          <w:w w:val="105"/>
        </w:rPr>
        <w:t>fares</w:t>
      </w:r>
      <w:r>
        <w:rPr>
          <w:spacing w:val="-13"/>
          <w:w w:val="105"/>
        </w:rPr>
        <w:t> </w:t>
      </w:r>
      <w:r>
        <w:rPr>
          <w:w w:val="105"/>
        </w:rPr>
        <w:t>with</w:t>
      </w:r>
      <w:r>
        <w:rPr>
          <w:spacing w:val="-13"/>
          <w:w w:val="105"/>
        </w:rPr>
        <w:t> </w:t>
      </w:r>
      <w:r>
        <w:rPr>
          <w:w w:val="105"/>
        </w:rPr>
        <w:t>other</w:t>
      </w:r>
      <w:r>
        <w:rPr>
          <w:spacing w:val="-13"/>
          <w:w w:val="105"/>
        </w:rPr>
        <w:t> </w:t>
      </w:r>
      <w:r>
        <w:rPr>
          <w:w w:val="105"/>
        </w:rPr>
        <w:t>airlines,</w:t>
      </w:r>
      <w:r>
        <w:rPr>
          <w:spacing w:val="-13"/>
          <w:w w:val="105"/>
        </w:rPr>
        <w:t> </w:t>
      </w:r>
      <w:r>
        <w:rPr>
          <w:w w:val="105"/>
        </w:rPr>
        <w:t>nor</w:t>
      </w:r>
      <w:r>
        <w:rPr>
          <w:spacing w:val="-13"/>
          <w:w w:val="105"/>
        </w:rPr>
        <w:t> </w:t>
      </w:r>
      <w:r>
        <w:rPr>
          <w:w w:val="105"/>
        </w:rPr>
        <w:t>have</w:t>
      </w:r>
      <w:r>
        <w:rPr>
          <w:spacing w:val="-13"/>
          <w:w w:val="105"/>
        </w:rPr>
        <w:t> </w:t>
      </w:r>
      <w:r>
        <w:rPr>
          <w:w w:val="105"/>
        </w:rPr>
        <w:t>any</w:t>
      </w:r>
      <w:r>
        <w:rPr>
          <w:spacing w:val="-13"/>
          <w:w w:val="105"/>
        </w:rPr>
        <w:t> </w:t>
      </w:r>
      <w:r>
        <w:rPr>
          <w:w w:val="105"/>
        </w:rPr>
        <w:t>commuter</w:t>
      </w:r>
      <w:r>
        <w:rPr>
          <w:spacing w:val="-13"/>
          <w:w w:val="105"/>
        </w:rPr>
        <w:t> </w:t>
      </w:r>
      <w:r>
        <w:rPr>
          <w:w w:val="105"/>
        </w:rPr>
        <w:t>feeder</w:t>
      </w:r>
      <w:r>
        <w:rPr>
          <w:spacing w:val="-13"/>
          <w:w w:val="105"/>
        </w:rPr>
        <w:t> </w:t>
      </w:r>
      <w:r>
        <w:rPr>
          <w:w w:val="105"/>
        </w:rPr>
        <w:t>relationships.</w:t>
      </w:r>
    </w:p>
    <w:p>
      <w:pPr>
        <w:pStyle w:val="BodyText"/>
        <w:spacing w:line="261" w:lineRule="auto" w:before="258"/>
        <w:ind w:left="116" w:right="106" w:firstLine="720"/>
        <w:jc w:val="both"/>
      </w:pPr>
      <w:r>
        <w:rPr>
          <w:w w:val="105"/>
        </w:rPr>
        <w:t>Southwest</w:t>
      </w:r>
      <w:r>
        <w:rPr>
          <w:spacing w:val="-6"/>
          <w:w w:val="105"/>
        </w:rPr>
        <w:t> </w:t>
      </w:r>
      <w:r>
        <w:rPr>
          <w:w w:val="105"/>
        </w:rPr>
        <w:t>employs</w:t>
      </w:r>
      <w:r>
        <w:rPr>
          <w:spacing w:val="-7"/>
          <w:w w:val="105"/>
        </w:rPr>
        <w:t> </w:t>
      </w:r>
      <w:r>
        <w:rPr>
          <w:w w:val="105"/>
        </w:rPr>
        <w:t>a</w:t>
      </w:r>
      <w:r>
        <w:rPr>
          <w:spacing w:val="-7"/>
          <w:w w:val="105"/>
        </w:rPr>
        <w:t> </w:t>
      </w:r>
      <w:r>
        <w:rPr>
          <w:w w:val="105"/>
        </w:rPr>
        <w:t>relatively</w:t>
      </w:r>
      <w:r>
        <w:rPr>
          <w:spacing w:val="-7"/>
          <w:w w:val="105"/>
        </w:rPr>
        <w:t> </w:t>
      </w:r>
      <w:r>
        <w:rPr>
          <w:w w:val="105"/>
        </w:rPr>
        <w:t>simple</w:t>
      </w:r>
      <w:r>
        <w:rPr>
          <w:spacing w:val="-6"/>
          <w:w w:val="105"/>
        </w:rPr>
        <w:t> </w:t>
      </w:r>
      <w:r>
        <w:rPr>
          <w:w w:val="105"/>
        </w:rPr>
        <w:t>fare</w:t>
      </w:r>
      <w:r>
        <w:rPr>
          <w:spacing w:val="-7"/>
          <w:w w:val="105"/>
        </w:rPr>
        <w:t> </w:t>
      </w:r>
      <w:r>
        <w:rPr>
          <w:w w:val="105"/>
        </w:rPr>
        <w:t>structure,</w:t>
      </w:r>
      <w:r>
        <w:rPr>
          <w:spacing w:val="-6"/>
          <w:w w:val="105"/>
        </w:rPr>
        <w:t> </w:t>
      </w:r>
      <w:r>
        <w:rPr>
          <w:w w:val="105"/>
        </w:rPr>
        <w:t>featuring</w:t>
      </w:r>
      <w:r>
        <w:rPr>
          <w:spacing w:val="-7"/>
          <w:w w:val="105"/>
        </w:rPr>
        <w:t> </w:t>
      </w:r>
      <w:r>
        <w:rPr>
          <w:w w:val="105"/>
        </w:rPr>
        <w:t>low,</w:t>
      </w:r>
      <w:r>
        <w:rPr>
          <w:spacing w:val="-7"/>
          <w:w w:val="105"/>
        </w:rPr>
        <w:t> </w:t>
      </w:r>
      <w:r>
        <w:rPr>
          <w:w w:val="105"/>
        </w:rPr>
        <w:t>unrestricted,</w:t>
      </w:r>
      <w:r>
        <w:rPr>
          <w:spacing w:val="-7"/>
          <w:w w:val="105"/>
        </w:rPr>
        <w:t> </w:t>
      </w:r>
      <w:r>
        <w:rPr>
          <w:w w:val="105"/>
        </w:rPr>
        <w:t>unlimited,</w:t>
      </w:r>
      <w:r>
        <w:rPr>
          <w:spacing w:val="-7"/>
          <w:w w:val="105"/>
        </w:rPr>
        <w:t> </w:t>
      </w:r>
      <w:r>
        <w:rPr>
          <w:w w:val="105"/>
        </w:rPr>
        <w:t>everyday coach fares, as well as even lower fares available on a restricted basis. The Company’s highest </w:t>
      </w:r>
      <w:r>
        <w:rPr>
          <w:spacing w:val="2"/>
          <w:w w:val="105"/>
        </w:rPr>
        <w:t>oneway </w:t>
      </w:r>
      <w:r>
        <w:rPr>
          <w:spacing w:val="3"/>
          <w:w w:val="105"/>
        </w:rPr>
        <w:t>unrestricted walkup fare offered </w:t>
      </w:r>
      <w:r>
        <w:rPr>
          <w:spacing w:val="2"/>
          <w:w w:val="105"/>
        </w:rPr>
        <w:t>is </w:t>
      </w:r>
      <w:r>
        <w:rPr>
          <w:spacing w:val="3"/>
          <w:w w:val="105"/>
        </w:rPr>
        <w:t>$299 </w:t>
      </w:r>
      <w:r>
        <w:rPr>
          <w:spacing w:val="2"/>
          <w:w w:val="105"/>
        </w:rPr>
        <w:t>for </w:t>
      </w:r>
      <w:r>
        <w:rPr>
          <w:spacing w:val="3"/>
          <w:w w:val="105"/>
        </w:rPr>
        <w:t>any flight. Even </w:t>
      </w:r>
      <w:r>
        <w:rPr>
          <w:spacing w:val="4"/>
          <w:w w:val="105"/>
        </w:rPr>
        <w:t>lower </w:t>
      </w:r>
      <w:r>
        <w:rPr>
          <w:spacing w:val="3"/>
          <w:w w:val="105"/>
        </w:rPr>
        <w:t>walkup fares are </w:t>
      </w:r>
      <w:r>
        <w:rPr>
          <w:spacing w:val="4"/>
          <w:w w:val="105"/>
        </w:rPr>
        <w:t>available on </w:t>
      </w:r>
      <w:r>
        <w:rPr>
          <w:w w:val="105"/>
        </w:rPr>
        <w:t>Southwest’s</w:t>
      </w:r>
      <w:r>
        <w:rPr>
          <w:spacing w:val="-16"/>
          <w:w w:val="105"/>
        </w:rPr>
        <w:t> </w:t>
      </w:r>
      <w:r>
        <w:rPr>
          <w:w w:val="105"/>
        </w:rPr>
        <w:t>short</w:t>
      </w:r>
      <w:r>
        <w:rPr>
          <w:spacing w:val="-17"/>
          <w:w w:val="105"/>
        </w:rPr>
        <w:t> </w:t>
      </w:r>
      <w:r>
        <w:rPr>
          <w:w w:val="105"/>
        </w:rPr>
        <w:t>and</w:t>
      </w:r>
      <w:r>
        <w:rPr>
          <w:spacing w:val="-17"/>
          <w:w w:val="105"/>
        </w:rPr>
        <w:t> </w:t>
      </w:r>
      <w:r>
        <w:rPr>
          <w:w w:val="105"/>
        </w:rPr>
        <w:t>medium</w:t>
      </w:r>
      <w:r>
        <w:rPr>
          <w:spacing w:val="-17"/>
          <w:w w:val="105"/>
        </w:rPr>
        <w:t> </w:t>
      </w:r>
      <w:r>
        <w:rPr>
          <w:w w:val="105"/>
        </w:rPr>
        <w:t>haul</w:t>
      </w:r>
      <w:r>
        <w:rPr>
          <w:spacing w:val="-17"/>
          <w:w w:val="105"/>
        </w:rPr>
        <w:t> </w:t>
      </w:r>
      <w:r>
        <w:rPr>
          <w:w w:val="105"/>
        </w:rPr>
        <w:t>flights.</w:t>
      </w:r>
    </w:p>
    <w:p>
      <w:pPr>
        <w:pStyle w:val="BodyText"/>
        <w:spacing w:line="259" w:lineRule="auto" w:before="256"/>
        <w:ind w:left="116" w:right="107" w:firstLine="720"/>
        <w:jc w:val="both"/>
      </w:pPr>
      <w:r>
        <w:rPr>
          <w:w w:val="105"/>
        </w:rPr>
        <w:t>Southwest was the first major airline to introduce a Ticketless travel option, eliminating the need to print and then process a paper ticket altogether, and the first to offer Ticketless travel through the Company’s home page on the Internet, </w:t>
      </w:r>
      <w:hyperlink r:id="rId47">
        <w:r>
          <w:rPr>
            <w:w w:val="105"/>
          </w:rPr>
          <w:t>www.southwest.com.</w:t>
        </w:r>
      </w:hyperlink>
      <w:r>
        <w:rPr>
          <w:w w:val="105"/>
        </w:rPr>
        <w:t> For the year ended December 31, 2003, more than 85 </w:t>
      </w:r>
      <w:r>
        <w:rPr>
          <w:spacing w:val="3"/>
          <w:w w:val="105"/>
        </w:rPr>
        <w:t>percent </w:t>
      </w:r>
      <w:r>
        <w:rPr>
          <w:w w:val="105"/>
        </w:rPr>
        <w:t>of </w:t>
      </w:r>
      <w:r>
        <w:rPr>
          <w:spacing w:val="3"/>
          <w:w w:val="105"/>
        </w:rPr>
        <w:t>Southwest's Customers chose </w:t>
      </w:r>
      <w:r>
        <w:rPr>
          <w:spacing w:val="2"/>
          <w:w w:val="105"/>
        </w:rPr>
        <w:t>the </w:t>
      </w:r>
      <w:r>
        <w:rPr>
          <w:spacing w:val="3"/>
          <w:w w:val="105"/>
        </w:rPr>
        <w:t>Ticketless travel option </w:t>
      </w:r>
      <w:r>
        <w:rPr>
          <w:spacing w:val="2"/>
          <w:w w:val="105"/>
        </w:rPr>
        <w:t>and </w:t>
      </w:r>
      <w:r>
        <w:rPr>
          <w:spacing w:val="3"/>
          <w:w w:val="105"/>
        </w:rPr>
        <w:t>approximately </w:t>
      </w:r>
      <w:r>
        <w:rPr>
          <w:w w:val="105"/>
        </w:rPr>
        <w:t>54 </w:t>
      </w:r>
      <w:r>
        <w:rPr>
          <w:spacing w:val="3"/>
          <w:w w:val="105"/>
        </w:rPr>
        <w:t>percent </w:t>
      </w:r>
      <w:r>
        <w:rPr>
          <w:spacing w:val="4"/>
          <w:w w:val="105"/>
        </w:rPr>
        <w:t>of </w:t>
      </w:r>
      <w:r>
        <w:rPr>
          <w:spacing w:val="3"/>
          <w:w w:val="105"/>
        </w:rPr>
        <w:t>Southwest’s passenger revenues came through </w:t>
      </w:r>
      <w:r>
        <w:rPr>
          <w:spacing w:val="2"/>
          <w:w w:val="105"/>
        </w:rPr>
        <w:t>its </w:t>
      </w:r>
      <w:r>
        <w:rPr>
          <w:spacing w:val="3"/>
          <w:w w:val="105"/>
        </w:rPr>
        <w:t>Internet site, which </w:t>
      </w:r>
      <w:r>
        <w:rPr>
          <w:spacing w:val="2"/>
          <w:w w:val="105"/>
        </w:rPr>
        <w:t>has </w:t>
      </w:r>
      <w:r>
        <w:rPr>
          <w:spacing w:val="3"/>
          <w:w w:val="105"/>
        </w:rPr>
        <w:t>become </w:t>
      </w:r>
      <w:r>
        <w:rPr>
          <w:w w:val="105"/>
        </w:rPr>
        <w:t>a </w:t>
      </w:r>
      <w:r>
        <w:rPr>
          <w:spacing w:val="3"/>
          <w:w w:val="105"/>
        </w:rPr>
        <w:t>vital part </w:t>
      </w:r>
      <w:r>
        <w:rPr>
          <w:w w:val="105"/>
        </w:rPr>
        <w:t>of </w:t>
      </w:r>
      <w:r>
        <w:rPr>
          <w:spacing w:val="4"/>
          <w:w w:val="105"/>
        </w:rPr>
        <w:t>the </w:t>
      </w:r>
      <w:r>
        <w:rPr>
          <w:w w:val="105"/>
        </w:rPr>
        <w:t>Company’s distribution strategy. As part of Southwest’s cost reduction measures and due to the success of  its website, the Company has announced it will no longer pay commissions to travel agents for sales on or after</w:t>
      </w:r>
      <w:r>
        <w:rPr>
          <w:spacing w:val="-18"/>
          <w:w w:val="105"/>
        </w:rPr>
        <w:t> </w:t>
      </w:r>
      <w:r>
        <w:rPr>
          <w:w w:val="105"/>
        </w:rPr>
        <w:t>December</w:t>
      </w:r>
      <w:r>
        <w:rPr>
          <w:spacing w:val="-18"/>
          <w:w w:val="105"/>
        </w:rPr>
        <w:t> </w:t>
      </w:r>
      <w:r>
        <w:rPr>
          <w:w w:val="105"/>
        </w:rPr>
        <w:t>15,</w:t>
      </w:r>
      <w:r>
        <w:rPr>
          <w:spacing w:val="-18"/>
          <w:w w:val="105"/>
        </w:rPr>
        <w:t> </w:t>
      </w:r>
      <w:r>
        <w:rPr>
          <w:w w:val="105"/>
        </w:rPr>
        <w:t>2003.</w:t>
      </w:r>
    </w:p>
    <w:p>
      <w:pPr>
        <w:pStyle w:val="BodyText"/>
        <w:spacing w:line="259" w:lineRule="auto" w:before="263"/>
        <w:ind w:left="116" w:right="106" w:firstLine="720"/>
        <w:jc w:val="both"/>
      </w:pPr>
      <w:r>
        <w:rPr>
          <w:w w:val="105"/>
        </w:rPr>
        <w:t>The airline industry is highly competitive as to fares, frequent flyer benefits, routes, and service, and some carriers competing with the Company have larger fleets and wider name recognition. Certain major United States airlines have established marketing or codesharing alliances with each other, including Northwest Airlines/Continental Airlines/Delta Air Lines; American Airlines/Alaska Airlines; and United Airlines/USAirways.</w:t>
      </w:r>
    </w:p>
    <w:p>
      <w:pPr>
        <w:pStyle w:val="BodyText"/>
        <w:spacing w:line="259" w:lineRule="auto" w:before="263"/>
        <w:ind w:left="116" w:right="107" w:firstLine="720"/>
        <w:jc w:val="both"/>
      </w:pPr>
      <w:r>
        <w:rPr>
          <w:w w:val="105"/>
        </w:rPr>
        <w:t>After the terrorist acts of September 11, 2001, and in the face of weak demand for air service, most major carriers (not including Southwest) significantly reduced service, grounded aircraft, and furloughed</w:t>
      </w:r>
      <w:r>
        <w:rPr>
          <w:spacing w:val="55"/>
          <w:w w:val="105"/>
        </w:rPr>
        <w:t> </w:t>
      </w:r>
      <w:r>
        <w:rPr>
          <w:w w:val="105"/>
        </w:rPr>
        <w:t>employees. UAL, the parent of United Airlines, and US Airways sought relief from financial obligations in bankruptcy and other, smaller carriers have ceased operation entirely. America West Airlines, USAirways, and others received federal loan guarantees authorized by federal law and additional airlines may do so in the future. Many carriers renegotiated collective bargaining agreements and vendor agreements, resulting in a reduction in their costs. More recently, many major carriers have announced plans for capacity increases in 2004; likewise, smaller low cost carriers have accelerated their growth plans. While Southwest’s share of the</w:t>
      </w:r>
    </w:p>
    <w:p>
      <w:pPr>
        <w:spacing w:after="0" w:line="259" w:lineRule="auto"/>
        <w:jc w:val="both"/>
        <w:sectPr>
          <w:pgSz w:w="12240" w:h="15840"/>
          <w:pgMar w:top="1120" w:bottom="280" w:left="1180" w:right="1180"/>
        </w:sectPr>
      </w:pPr>
    </w:p>
    <w:p>
      <w:pPr>
        <w:pStyle w:val="BodyText"/>
        <w:spacing w:line="256" w:lineRule="auto" w:before="100"/>
        <w:ind w:left="115"/>
      </w:pPr>
      <w:r>
        <w:rPr>
          <w:w w:val="105"/>
        </w:rPr>
        <w:t>domestic market has continued to increase, it is not currently possible to assess the ultimate impact of all of these events on airline competition.</w:t>
      </w:r>
    </w:p>
    <w:p>
      <w:pPr>
        <w:pStyle w:val="BodyText"/>
        <w:spacing w:line="259" w:lineRule="auto" w:before="265"/>
        <w:ind w:left="115" w:right="109" w:firstLine="720"/>
        <w:jc w:val="both"/>
      </w:pPr>
      <w:r>
        <w:rPr>
          <w:w w:val="105"/>
        </w:rPr>
        <w:t>The Company is also subject to varying degrees of competition from surface transportation in its shorthaul markets, particularly the private automobile. In shorthaul air services that compete with surface transportation, price is a competitive factor, but frequency and convenience of scheduling, facilities, transportation safety and security procedures, and Customer Service are also of great importance to many passengers.</w:t>
      </w:r>
    </w:p>
    <w:p>
      <w:pPr>
        <w:pStyle w:val="Heading2"/>
        <w:spacing w:before="258"/>
      </w:pPr>
      <w:r>
        <w:rPr>
          <w:w w:val="105"/>
        </w:rPr>
        <w:t>Insurance</w:t>
      </w:r>
    </w:p>
    <w:p>
      <w:pPr>
        <w:pStyle w:val="BodyText"/>
        <w:spacing w:before="5"/>
        <w:rPr>
          <w:b/>
          <w:sz w:val="24"/>
        </w:rPr>
      </w:pPr>
    </w:p>
    <w:p>
      <w:pPr>
        <w:pStyle w:val="BodyText"/>
        <w:spacing w:line="259" w:lineRule="auto" w:before="1"/>
        <w:ind w:left="115" w:right="106" w:firstLine="720"/>
        <w:jc w:val="both"/>
      </w:pPr>
      <w:r>
        <w:rPr>
          <w:w w:val="105"/>
        </w:rPr>
        <w:t>The Company carries insurance of types customary in the airline industry and at amounts deemed adequate to protect the Company and its property and to comply both with federal regulations and certain of the Company’s credit and lease agreements. The policies principally provide coverage for public and passenger liability, property damage, cargo and baggage liability, loss or damage to aircraft, engines, and spare parts, and workers’ compensation.</w:t>
      </w:r>
    </w:p>
    <w:p>
      <w:pPr>
        <w:pStyle w:val="BodyText"/>
        <w:spacing w:line="259" w:lineRule="auto" w:before="258"/>
        <w:ind w:left="115" w:right="107" w:firstLine="720"/>
        <w:jc w:val="both"/>
      </w:pPr>
      <w:r>
        <w:rPr>
          <w:w w:val="105"/>
        </w:rPr>
        <w:t>Following the terrorist attacks, commercial aviation insurers significantly increased the premiums and reduced the amount of war-risk coverage available to commercial carriers. The federal government</w:t>
      </w:r>
      <w:r>
        <w:rPr>
          <w:spacing w:val="55"/>
          <w:w w:val="105"/>
        </w:rPr>
        <w:t> </w:t>
      </w:r>
      <w:r>
        <w:rPr>
          <w:spacing w:val="2"/>
          <w:w w:val="105"/>
        </w:rPr>
        <w:t>stepped </w:t>
      </w:r>
      <w:r>
        <w:rPr>
          <w:w w:val="105"/>
        </w:rPr>
        <w:t>in to </w:t>
      </w:r>
      <w:r>
        <w:rPr>
          <w:spacing w:val="2"/>
          <w:w w:val="105"/>
        </w:rPr>
        <w:t>provide supplemental </w:t>
      </w:r>
      <w:r>
        <w:rPr>
          <w:spacing w:val="3"/>
          <w:w w:val="105"/>
        </w:rPr>
        <w:t>third-party </w:t>
      </w:r>
      <w:r>
        <w:rPr>
          <w:spacing w:val="2"/>
          <w:w w:val="105"/>
        </w:rPr>
        <w:t>war-risk </w:t>
      </w:r>
      <w:r>
        <w:rPr>
          <w:spacing w:val="3"/>
          <w:w w:val="105"/>
        </w:rPr>
        <w:t>insurance coverage </w:t>
      </w:r>
      <w:r>
        <w:rPr>
          <w:w w:val="105"/>
        </w:rPr>
        <w:t>to </w:t>
      </w:r>
      <w:r>
        <w:rPr>
          <w:spacing w:val="3"/>
          <w:w w:val="105"/>
        </w:rPr>
        <w:t>commercial carriers for </w:t>
      </w:r>
      <w:r>
        <w:rPr>
          <w:w w:val="105"/>
        </w:rPr>
        <w:t>renewable 60-day periods, at substantially lower premiums than prevailing commercial rates and for levels of </w:t>
      </w:r>
      <w:r>
        <w:rPr>
          <w:spacing w:val="2"/>
          <w:w w:val="105"/>
        </w:rPr>
        <w:t>coverage </w:t>
      </w:r>
      <w:r>
        <w:rPr>
          <w:w w:val="105"/>
        </w:rPr>
        <w:t>not </w:t>
      </w:r>
      <w:r>
        <w:rPr>
          <w:spacing w:val="2"/>
          <w:w w:val="105"/>
        </w:rPr>
        <w:t>available </w:t>
      </w:r>
      <w:r>
        <w:rPr>
          <w:w w:val="105"/>
        </w:rPr>
        <w:t>in the </w:t>
      </w:r>
      <w:r>
        <w:rPr>
          <w:spacing w:val="2"/>
          <w:w w:val="105"/>
        </w:rPr>
        <w:t>commercial market. </w:t>
      </w:r>
      <w:r>
        <w:rPr>
          <w:w w:val="105"/>
        </w:rPr>
        <w:t>In </w:t>
      </w:r>
      <w:r>
        <w:rPr>
          <w:spacing w:val="2"/>
          <w:w w:val="105"/>
        </w:rPr>
        <w:t>November 2002, Congress passed </w:t>
      </w:r>
      <w:r>
        <w:rPr>
          <w:w w:val="105"/>
        </w:rPr>
        <w:t>the </w:t>
      </w:r>
      <w:r>
        <w:rPr>
          <w:spacing w:val="3"/>
          <w:w w:val="105"/>
        </w:rPr>
        <w:t>Homeland </w:t>
      </w:r>
      <w:r>
        <w:rPr>
          <w:w w:val="105"/>
        </w:rPr>
        <w:t>Security Act of 2002, which mandated the federal government to provide third party, passenger and hull war- risk insurance coverage to commercial carriers through August 31, 2003, and which permitted such coverage to be extended by the government through December 31, 2003. The Emergency Wartime </w:t>
      </w:r>
      <w:r>
        <w:rPr>
          <w:spacing w:val="2"/>
          <w:w w:val="105"/>
        </w:rPr>
        <w:t>Supplemental </w:t>
      </w:r>
      <w:r>
        <w:rPr>
          <w:w w:val="105"/>
        </w:rPr>
        <w:t>Appropriations Act (see Note 3 to the Consolidated Financial Statements) extends the government's mandate to </w:t>
      </w:r>
      <w:r>
        <w:rPr>
          <w:spacing w:val="3"/>
          <w:w w:val="105"/>
        </w:rPr>
        <w:t>provide war-risk insurance until August </w:t>
      </w:r>
      <w:r>
        <w:rPr>
          <w:spacing w:val="2"/>
          <w:w w:val="105"/>
        </w:rPr>
        <w:t>31, </w:t>
      </w:r>
      <w:r>
        <w:rPr>
          <w:spacing w:val="3"/>
          <w:w w:val="105"/>
        </w:rPr>
        <w:t>2004, </w:t>
      </w:r>
      <w:r>
        <w:rPr>
          <w:spacing w:val="2"/>
          <w:w w:val="105"/>
        </w:rPr>
        <w:t>and </w:t>
      </w:r>
      <w:r>
        <w:rPr>
          <w:spacing w:val="3"/>
          <w:w w:val="105"/>
        </w:rPr>
        <w:t>permits such coverage </w:t>
      </w:r>
      <w:r>
        <w:rPr>
          <w:w w:val="105"/>
        </w:rPr>
        <w:t>to be </w:t>
      </w:r>
      <w:r>
        <w:rPr>
          <w:spacing w:val="3"/>
          <w:w w:val="105"/>
        </w:rPr>
        <w:t>extended </w:t>
      </w:r>
      <w:r>
        <w:rPr>
          <w:spacing w:val="4"/>
          <w:w w:val="105"/>
        </w:rPr>
        <w:t>until </w:t>
      </w:r>
      <w:r>
        <w:rPr>
          <w:w w:val="105"/>
        </w:rPr>
        <w:t>December 31, 2004. The Company is unable to predict whether the government will extend this insurance coverage past August 31, 2004, whether alternative commercial insurance with comparable coverage will </w:t>
      </w:r>
      <w:r>
        <w:rPr>
          <w:spacing w:val="2"/>
          <w:w w:val="105"/>
        </w:rPr>
        <w:t>become available </w:t>
      </w:r>
      <w:r>
        <w:rPr>
          <w:w w:val="105"/>
        </w:rPr>
        <w:t>at </w:t>
      </w:r>
      <w:r>
        <w:rPr>
          <w:spacing w:val="2"/>
          <w:w w:val="105"/>
        </w:rPr>
        <w:t>reasonable premiums, </w:t>
      </w:r>
      <w:r>
        <w:rPr>
          <w:w w:val="105"/>
        </w:rPr>
        <w:t>and </w:t>
      </w:r>
      <w:r>
        <w:rPr>
          <w:spacing w:val="2"/>
          <w:w w:val="105"/>
        </w:rPr>
        <w:t>what impact this will have </w:t>
      </w:r>
      <w:r>
        <w:rPr>
          <w:w w:val="105"/>
        </w:rPr>
        <w:t>on the </w:t>
      </w:r>
      <w:r>
        <w:rPr>
          <w:spacing w:val="2"/>
          <w:w w:val="105"/>
        </w:rPr>
        <w:t>Company’s </w:t>
      </w:r>
      <w:r>
        <w:rPr>
          <w:spacing w:val="3"/>
          <w:w w:val="105"/>
        </w:rPr>
        <w:t>ongoing </w:t>
      </w:r>
      <w:r>
        <w:rPr>
          <w:w w:val="105"/>
        </w:rPr>
        <w:t>operations or future financial performance.</w:t>
      </w:r>
    </w:p>
    <w:p>
      <w:pPr>
        <w:pStyle w:val="Heading2"/>
        <w:spacing w:before="262"/>
      </w:pPr>
      <w:r>
        <w:rPr>
          <w:w w:val="105"/>
        </w:rPr>
        <w:t>Frequent Flyer Awards</w:t>
      </w:r>
    </w:p>
    <w:p>
      <w:pPr>
        <w:pStyle w:val="BodyText"/>
        <w:spacing w:before="5"/>
        <w:rPr>
          <w:b/>
          <w:sz w:val="24"/>
        </w:rPr>
      </w:pPr>
    </w:p>
    <w:p>
      <w:pPr>
        <w:pStyle w:val="BodyText"/>
        <w:spacing w:line="256" w:lineRule="auto"/>
        <w:ind w:left="115" w:right="105" w:firstLine="720"/>
        <w:jc w:val="both"/>
      </w:pPr>
      <w:r>
        <w:rPr>
          <w:w w:val="105"/>
        </w:rPr>
        <w:t>Southwest's frequent flyer program, Rapid Rewards, is based on trips flown rather than mileage.</w:t>
      </w:r>
      <w:r>
        <w:rPr>
          <w:spacing w:val="55"/>
          <w:w w:val="105"/>
        </w:rPr>
        <w:t> </w:t>
      </w:r>
      <w:r>
        <w:rPr>
          <w:w w:val="105"/>
        </w:rPr>
        <w:t>Rapid Rewards Customers earn a flight segment credit for each one-way trip flown or two credits for each round trip flown. Rapid Rewards Customers can also receive flight segment credits by using the services of </w:t>
      </w:r>
      <w:r>
        <w:rPr>
          <w:spacing w:val="3"/>
          <w:w w:val="105"/>
        </w:rPr>
        <w:t>non-airline partners, which include </w:t>
      </w:r>
      <w:r>
        <w:rPr>
          <w:spacing w:val="2"/>
          <w:w w:val="105"/>
        </w:rPr>
        <w:t>car </w:t>
      </w:r>
      <w:r>
        <w:rPr>
          <w:spacing w:val="3"/>
          <w:w w:val="105"/>
        </w:rPr>
        <w:t>rental agencies, hotels, </w:t>
      </w:r>
      <w:r>
        <w:rPr>
          <w:spacing w:val="2"/>
          <w:w w:val="105"/>
        </w:rPr>
        <w:t>and </w:t>
      </w:r>
      <w:r>
        <w:rPr>
          <w:spacing w:val="3"/>
          <w:w w:val="105"/>
        </w:rPr>
        <w:t>credit card partners, including </w:t>
      </w:r>
      <w:r>
        <w:rPr>
          <w:spacing w:val="4"/>
          <w:w w:val="105"/>
        </w:rPr>
        <w:t>the </w:t>
      </w:r>
      <w:r>
        <w:rPr>
          <w:w w:val="105"/>
        </w:rPr>
        <w:t>Southwest Airlines Bank One (formerly First USA </w:t>
      </w:r>
      <w:r>
        <w:rPr>
          <w:w w:val="105"/>
          <w:position w:val="9"/>
          <w:sz w:val="13"/>
        </w:rPr>
        <w:t>(R)</w:t>
      </w:r>
      <w:r>
        <w:rPr>
          <w:w w:val="105"/>
        </w:rPr>
        <w:t>) Visa card. Rapid Rewards offers two types of travel awards. The Rapid Rewards Award Ticket (“Award Ticket”) offers one free roundtrip travel award to any Southwest destination after the accumulation of 16 flight segment credits within a consecutive twelve-month period. The Rapid Rewards Companion Pass (“Companion Pass”) is granted for flying 50 roundtrips (or 100 </w:t>
      </w:r>
      <w:r>
        <w:rPr>
          <w:spacing w:val="3"/>
          <w:w w:val="105"/>
        </w:rPr>
        <w:t>one-way trips) </w:t>
      </w:r>
      <w:r>
        <w:rPr>
          <w:w w:val="105"/>
        </w:rPr>
        <w:t>on </w:t>
      </w:r>
      <w:r>
        <w:rPr>
          <w:spacing w:val="3"/>
          <w:w w:val="105"/>
        </w:rPr>
        <w:t>Southwest within </w:t>
      </w:r>
      <w:r>
        <w:rPr>
          <w:w w:val="105"/>
        </w:rPr>
        <w:t>a </w:t>
      </w:r>
      <w:r>
        <w:rPr>
          <w:spacing w:val="3"/>
          <w:w w:val="105"/>
        </w:rPr>
        <w:t>consecutive twelve-month period. </w:t>
      </w:r>
      <w:r>
        <w:rPr>
          <w:spacing w:val="2"/>
          <w:w w:val="105"/>
        </w:rPr>
        <w:t>The </w:t>
      </w:r>
      <w:r>
        <w:rPr>
          <w:spacing w:val="3"/>
          <w:w w:val="105"/>
        </w:rPr>
        <w:t>Companion Pass </w:t>
      </w:r>
      <w:r>
        <w:rPr>
          <w:spacing w:val="4"/>
          <w:w w:val="105"/>
        </w:rPr>
        <w:t>offers </w:t>
      </w:r>
      <w:r>
        <w:rPr>
          <w:w w:val="105"/>
        </w:rPr>
        <w:t>unlimited free roundtrip travel to any Southwest destination for a designated companion of the qualifying</w:t>
      </w:r>
      <w:r>
        <w:rPr>
          <w:spacing w:val="55"/>
          <w:w w:val="105"/>
        </w:rPr>
        <w:t> </w:t>
      </w:r>
      <w:r>
        <w:rPr>
          <w:w w:val="105"/>
        </w:rPr>
        <w:t>Rapid Rewards member. In order for the designated companion to use this pass, the Rapid Rewards member must purchase a ticket or use an Award Ticket. Additionally, the Rapid Rewards member and designated</w:t>
      </w:r>
      <w:r>
        <w:rPr>
          <w:spacing w:val="55"/>
          <w:w w:val="105"/>
        </w:rPr>
        <w:t> </w:t>
      </w:r>
      <w:r>
        <w:rPr>
          <w:w w:val="105"/>
        </w:rPr>
        <w:t>companion must travel together on the same flight.</w:t>
      </w:r>
    </w:p>
    <w:p>
      <w:pPr>
        <w:pStyle w:val="BodyText"/>
        <w:spacing w:line="259" w:lineRule="auto" w:before="265"/>
        <w:ind w:left="115" w:right="108" w:firstLine="720"/>
        <w:jc w:val="both"/>
      </w:pPr>
      <w:r>
        <w:rPr>
          <w:w w:val="105"/>
        </w:rPr>
        <w:t>Trips flown are valid for flight segment credits toward Award Tickets and Companion Passes for twelve months only; Award Tickets and Companion Passes are automatically generated when earned by the Customer rather than allowing the Customer to bank credits indefinitely; and Award Tickets and Companion Passes are valid for one year with an automatic expiration date.  “Black out” dates apply during peak holiday</w:t>
      </w:r>
    </w:p>
    <w:p>
      <w:pPr>
        <w:spacing w:after="0" w:line="259" w:lineRule="auto"/>
        <w:jc w:val="both"/>
        <w:sectPr>
          <w:pgSz w:w="12240" w:h="15840"/>
          <w:pgMar w:top="1120" w:bottom="280" w:left="1180" w:right="1180"/>
        </w:sectPr>
      </w:pPr>
    </w:p>
    <w:p>
      <w:pPr>
        <w:pStyle w:val="BodyText"/>
        <w:spacing w:line="256" w:lineRule="auto" w:before="100"/>
        <w:ind w:left="115" w:right="108"/>
      </w:pPr>
      <w:r>
        <w:rPr>
          <w:w w:val="105"/>
        </w:rPr>
        <w:t>periods. Unlike most of its competitors, the Company does not limit the number of seats available to holders of Award Tickets and Companion Passes.</w:t>
      </w:r>
    </w:p>
    <w:p>
      <w:pPr>
        <w:pStyle w:val="BodyText"/>
        <w:spacing w:line="259" w:lineRule="auto" w:before="265"/>
        <w:ind w:left="115" w:right="111" w:firstLine="720"/>
        <w:jc w:val="both"/>
      </w:pPr>
      <w:r>
        <w:rPr>
          <w:w w:val="105"/>
        </w:rPr>
        <w:t>The Company also sells flight segment credits to business partners including credit card companies, phone companies, hotels, and car rental agencies. These credits may be redeemed for Award Tickets having the same program characteristics as those earned by flying.</w:t>
      </w:r>
    </w:p>
    <w:p>
      <w:pPr>
        <w:pStyle w:val="BodyText"/>
        <w:spacing w:line="259" w:lineRule="auto" w:before="262"/>
        <w:ind w:left="115" w:right="101" w:firstLine="720"/>
        <w:jc w:val="both"/>
      </w:pPr>
      <w:r>
        <w:rPr>
          <w:w w:val="105"/>
        </w:rPr>
        <w:t>Customers redeemed approximately 2.5 million, 2.2 million, and 1.7 million Award Tickets and flights on Companion Passes during 2003, 2002, and 2001, respectively. The amount of free travel award usage as a percentage of total Southwest revenue passengers carried was 7.5 percent in 2003, 6.8 percent in 2002, and 5.4 percent in 2001. The number of Award Tickets outstanding at December 31, 2003 and 2002 was approximately 1.4 million. In addition, there were approximately 5.6 million partially earned Award Tickets as of December 31, 2003. However, due to the expected expiration of a portion of credits making up these partial awards, not all of them will eventually turn into useable Award Tickets. Also, not all Award Tickets will be redeemed for future travel. Since the inception of Rapid Rewards in 1987, approximately 14 percent of all Award Tickets have expired without being used. The number of Companion Passes for Southwest outstanding at December 31, 2003 and 2002 was approximately 53,000 and 55,000, respectively. The Company currently estimates that an average of 3 to 4 trips will be redeemed per outstanding Companion Pass.</w:t>
      </w:r>
    </w:p>
    <w:p>
      <w:pPr>
        <w:pStyle w:val="BodyText"/>
        <w:spacing w:line="259" w:lineRule="auto" w:before="219"/>
        <w:ind w:left="116" w:right="108" w:firstLine="720"/>
        <w:jc w:val="both"/>
      </w:pPr>
      <w:r>
        <w:rPr>
          <w:w w:val="105"/>
        </w:rPr>
        <w:t>The Company accounts for its frequent flyer program obligations by recording a liability for the estimated incremental cost of flight awards the Company expects to be redeemed (except for flight segment credits sold to business partners). This method recognizes an average incremental cost to provide roundtrip transportation to one additional passenger. The estimated incremental cost includes direct passenger costs such as fuel, food, and other operational costs, but does not include any contribution to overhead or profit. The incremental cost is accrued at the time an award is earned and revenue is subsequently recognized, at the amount accrued, when the free travel award is used. Revenue from the sale of flight segment credits and associated with future travel is deferred and recognized when the ultimate free travel award is flown or the credits expire unused. Accordingly, Southwest does not accrue incremental cost for the expected redemption of free travel awards for credits sold to business partners. The liability for free travel awards earned but not used at December 31, 2003 and 2002 was not material.</w:t>
      </w:r>
    </w:p>
    <w:p>
      <w:pPr>
        <w:pStyle w:val="Heading2"/>
        <w:spacing w:before="219"/>
        <w:ind w:left="116"/>
      </w:pPr>
      <w:r>
        <w:rPr>
          <w:w w:val="105"/>
        </w:rPr>
        <w:t>Employees</w:t>
      </w:r>
    </w:p>
    <w:p>
      <w:pPr>
        <w:pStyle w:val="BodyText"/>
        <w:spacing w:line="259" w:lineRule="auto" w:before="238"/>
        <w:ind w:left="116" w:right="110" w:firstLine="720"/>
        <w:jc w:val="both"/>
      </w:pPr>
      <w:r>
        <w:rPr>
          <w:w w:val="105"/>
        </w:rPr>
        <w:t>At December 31, 2003, Southwest had 32,847 active Employees, consisting of 10,854 flight, 1,956 maintenance, 15,949 ground Customer and fleet service and 4,088 management, accounting, marketing, and clerical personnel.</w:t>
      </w:r>
    </w:p>
    <w:p>
      <w:pPr>
        <w:pStyle w:val="BodyText"/>
        <w:spacing w:line="261" w:lineRule="auto" w:before="220"/>
        <w:ind w:left="116" w:right="112" w:firstLine="720"/>
        <w:jc w:val="both"/>
      </w:pPr>
      <w:r>
        <w:rPr>
          <w:w w:val="105"/>
        </w:rPr>
        <w:t>Southwest has ten collective bargaining agreements covering approximately 80.2 percent of its Employees. The following table sets forth the Company’s Employee groups and collective bargaining status:</w:t>
      </w:r>
    </w:p>
    <w:p>
      <w:pPr>
        <w:spacing w:after="0" w:line="261" w:lineRule="auto"/>
        <w:jc w:val="both"/>
        <w:sectPr>
          <w:pgSz w:w="12240" w:h="15840"/>
          <w:pgMar w:top="1120" w:bottom="280" w:left="1180" w:right="1180"/>
        </w:sectPr>
      </w:pPr>
    </w:p>
    <w:tbl>
      <w:tblPr>
        <w:tblW w:w="0" w:type="auto"/>
        <w:jc w:val="left"/>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029"/>
        <w:gridCol w:w="3600"/>
        <w:gridCol w:w="3317"/>
      </w:tblGrid>
      <w:tr>
        <w:trPr>
          <w:trHeight w:val="422" w:hRule="exact"/>
        </w:trPr>
        <w:tc>
          <w:tcPr>
            <w:tcW w:w="3029" w:type="dxa"/>
          </w:tcPr>
          <w:p>
            <w:pPr>
              <w:pStyle w:val="TableParagraph"/>
              <w:spacing w:line="209" w:lineRule="exact"/>
              <w:ind w:left="719"/>
              <w:rPr>
                <w:rFonts w:ascii="Times New Roman"/>
                <w:b/>
                <w:sz w:val="21"/>
              </w:rPr>
            </w:pPr>
            <w:bookmarkStart w:name="Properties" w:id="21"/>
            <w:bookmarkEnd w:id="21"/>
            <w:r>
              <w:rPr/>
            </w:r>
            <w:r>
              <w:rPr>
                <w:rFonts w:ascii="Times New Roman"/>
                <w:b/>
                <w:w w:val="105"/>
                <w:sz w:val="21"/>
                <w:u w:val="single"/>
              </w:rPr>
              <w:t>Employee Group</w:t>
            </w:r>
          </w:p>
        </w:tc>
        <w:tc>
          <w:tcPr>
            <w:tcW w:w="3600" w:type="dxa"/>
          </w:tcPr>
          <w:p>
            <w:pPr>
              <w:pStyle w:val="TableParagraph"/>
              <w:spacing w:line="209" w:lineRule="exact"/>
              <w:ind w:left="1075"/>
              <w:rPr>
                <w:rFonts w:ascii="Times New Roman"/>
                <w:b/>
                <w:sz w:val="21"/>
              </w:rPr>
            </w:pPr>
            <w:r>
              <w:rPr>
                <w:rFonts w:ascii="Times New Roman"/>
                <w:b/>
                <w:w w:val="105"/>
                <w:sz w:val="21"/>
                <w:u w:val="single"/>
              </w:rPr>
              <w:t>Represented by</w:t>
            </w:r>
          </w:p>
        </w:tc>
        <w:tc>
          <w:tcPr>
            <w:tcW w:w="3317" w:type="dxa"/>
          </w:tcPr>
          <w:p>
            <w:pPr>
              <w:pStyle w:val="TableParagraph"/>
              <w:spacing w:line="209" w:lineRule="exact"/>
              <w:ind w:left="470"/>
              <w:rPr>
                <w:rFonts w:ascii="Times New Roman"/>
                <w:b/>
                <w:sz w:val="21"/>
              </w:rPr>
            </w:pPr>
            <w:r>
              <w:rPr>
                <w:rFonts w:ascii="Times New Roman"/>
                <w:b/>
                <w:w w:val="105"/>
                <w:sz w:val="21"/>
                <w:u w:val="single"/>
              </w:rPr>
              <w:t>Agreement amendable on</w:t>
            </w:r>
          </w:p>
        </w:tc>
      </w:tr>
      <w:tr>
        <w:trPr>
          <w:trHeight w:val="734" w:hRule="exact"/>
        </w:trPr>
        <w:tc>
          <w:tcPr>
            <w:tcW w:w="3029" w:type="dxa"/>
          </w:tcPr>
          <w:p>
            <w:pPr>
              <w:pStyle w:val="TableParagraph"/>
              <w:spacing w:line="264" w:lineRule="auto" w:before="14"/>
              <w:ind w:left="95" w:right="147"/>
              <w:rPr>
                <w:rFonts w:ascii="Times New Roman"/>
                <w:sz w:val="19"/>
              </w:rPr>
            </w:pPr>
            <w:r>
              <w:rPr>
                <w:rFonts w:ascii="Times New Roman"/>
                <w:w w:val="105"/>
                <w:sz w:val="19"/>
              </w:rPr>
              <w:t>Customer Service and Reservations</w:t>
            </w:r>
          </w:p>
        </w:tc>
        <w:tc>
          <w:tcPr>
            <w:tcW w:w="3600" w:type="dxa"/>
          </w:tcPr>
          <w:p>
            <w:pPr>
              <w:pStyle w:val="TableParagraph"/>
              <w:spacing w:line="264" w:lineRule="auto" w:before="14"/>
              <w:ind w:left="95" w:right="97"/>
              <w:rPr>
                <w:rFonts w:ascii="Times New Roman"/>
                <w:sz w:val="19"/>
              </w:rPr>
            </w:pPr>
            <w:r>
              <w:rPr>
                <w:rFonts w:ascii="Times New Roman"/>
                <w:w w:val="105"/>
                <w:sz w:val="19"/>
              </w:rPr>
              <w:t>International Association of Machinists and Aerospace Workers, AFL-CIO</w:t>
            </w:r>
          </w:p>
        </w:tc>
        <w:tc>
          <w:tcPr>
            <w:tcW w:w="3317" w:type="dxa"/>
          </w:tcPr>
          <w:p>
            <w:pPr>
              <w:pStyle w:val="TableParagraph"/>
              <w:spacing w:line="264" w:lineRule="auto" w:before="14"/>
              <w:ind w:left="95" w:right="74"/>
              <w:rPr>
                <w:rFonts w:ascii="Times New Roman" w:hAnsi="Times New Roman"/>
                <w:sz w:val="19"/>
              </w:rPr>
            </w:pPr>
            <w:r>
              <w:rPr>
                <w:rFonts w:ascii="Times New Roman" w:hAnsi="Times New Roman"/>
                <w:w w:val="105"/>
                <w:sz w:val="19"/>
              </w:rPr>
              <w:t>November 2008 (or 2006 at the Union’s option under certain conditions)</w:t>
            </w:r>
          </w:p>
        </w:tc>
      </w:tr>
      <w:tr>
        <w:trPr>
          <w:trHeight w:val="494" w:hRule="exact"/>
        </w:trPr>
        <w:tc>
          <w:tcPr>
            <w:tcW w:w="3029" w:type="dxa"/>
          </w:tcPr>
          <w:p>
            <w:pPr>
              <w:pStyle w:val="TableParagraph"/>
              <w:spacing w:before="14"/>
              <w:ind w:left="95"/>
              <w:rPr>
                <w:rFonts w:ascii="Times New Roman"/>
                <w:sz w:val="19"/>
              </w:rPr>
            </w:pPr>
            <w:r>
              <w:rPr>
                <w:rFonts w:ascii="Times New Roman"/>
                <w:w w:val="105"/>
                <w:sz w:val="19"/>
              </w:rPr>
              <w:t>Flight Attendants</w:t>
            </w:r>
          </w:p>
        </w:tc>
        <w:tc>
          <w:tcPr>
            <w:tcW w:w="3600" w:type="dxa"/>
          </w:tcPr>
          <w:p>
            <w:pPr>
              <w:pStyle w:val="TableParagraph"/>
              <w:spacing w:line="264" w:lineRule="auto" w:before="14"/>
              <w:ind w:left="95" w:right="553"/>
              <w:rPr>
                <w:rFonts w:ascii="Times New Roman" w:hAnsi="Times New Roman"/>
                <w:sz w:val="19"/>
              </w:rPr>
            </w:pPr>
            <w:r>
              <w:rPr>
                <w:rFonts w:ascii="Times New Roman" w:hAnsi="Times New Roman"/>
                <w:w w:val="105"/>
                <w:sz w:val="19"/>
              </w:rPr>
              <w:t>Transportation Workers of America, AFL-CIO (“TWU”)</w:t>
            </w:r>
          </w:p>
        </w:tc>
        <w:tc>
          <w:tcPr>
            <w:tcW w:w="3317" w:type="dxa"/>
          </w:tcPr>
          <w:p>
            <w:pPr>
              <w:pStyle w:val="TableParagraph"/>
              <w:spacing w:before="14"/>
              <w:ind w:left="95"/>
              <w:rPr>
                <w:rFonts w:ascii="Times New Roman"/>
                <w:sz w:val="19"/>
              </w:rPr>
            </w:pPr>
            <w:r>
              <w:rPr>
                <w:rFonts w:ascii="Times New Roman"/>
                <w:w w:val="105"/>
                <w:sz w:val="19"/>
              </w:rPr>
              <w:t>In negotiations</w:t>
            </w:r>
          </w:p>
        </w:tc>
      </w:tr>
      <w:tr>
        <w:trPr>
          <w:trHeight w:val="494" w:hRule="exact"/>
        </w:trPr>
        <w:tc>
          <w:tcPr>
            <w:tcW w:w="3029" w:type="dxa"/>
          </w:tcPr>
          <w:p>
            <w:pPr>
              <w:pStyle w:val="TableParagraph"/>
              <w:spacing w:line="264" w:lineRule="auto" w:before="14"/>
              <w:ind w:left="95" w:right="147"/>
              <w:rPr>
                <w:rFonts w:ascii="Times New Roman"/>
                <w:sz w:val="19"/>
              </w:rPr>
            </w:pPr>
            <w:r>
              <w:rPr>
                <w:rFonts w:ascii="Times New Roman"/>
                <w:w w:val="105"/>
                <w:sz w:val="19"/>
              </w:rPr>
              <w:t>Ramp, Operations and Provisioning</w:t>
            </w:r>
          </w:p>
        </w:tc>
        <w:tc>
          <w:tcPr>
            <w:tcW w:w="3600" w:type="dxa"/>
          </w:tcPr>
          <w:p>
            <w:pPr>
              <w:pStyle w:val="TableParagraph"/>
              <w:spacing w:before="14"/>
              <w:ind w:left="95"/>
              <w:rPr>
                <w:rFonts w:ascii="Times New Roman"/>
                <w:sz w:val="19"/>
              </w:rPr>
            </w:pPr>
            <w:r>
              <w:rPr>
                <w:rFonts w:ascii="Times New Roman"/>
                <w:w w:val="105"/>
                <w:sz w:val="19"/>
              </w:rPr>
              <w:t>TWU</w:t>
            </w:r>
          </w:p>
        </w:tc>
        <w:tc>
          <w:tcPr>
            <w:tcW w:w="3317" w:type="dxa"/>
          </w:tcPr>
          <w:p>
            <w:pPr>
              <w:pStyle w:val="TableParagraph"/>
              <w:spacing w:line="264" w:lineRule="auto" w:before="14"/>
              <w:ind w:left="95"/>
              <w:rPr>
                <w:rFonts w:ascii="Times New Roman" w:hAnsi="Times New Roman"/>
                <w:sz w:val="19"/>
              </w:rPr>
            </w:pPr>
            <w:r>
              <w:rPr>
                <w:rFonts w:ascii="Times New Roman" w:hAnsi="Times New Roman"/>
                <w:w w:val="105"/>
                <w:sz w:val="19"/>
              </w:rPr>
              <w:t>June 2008 (or 2006 at the Union’s option under certain conditions)</w:t>
            </w:r>
          </w:p>
        </w:tc>
      </w:tr>
      <w:tr>
        <w:trPr>
          <w:trHeight w:val="418" w:hRule="exact"/>
        </w:trPr>
        <w:tc>
          <w:tcPr>
            <w:tcW w:w="3029" w:type="dxa"/>
          </w:tcPr>
          <w:p>
            <w:pPr>
              <w:pStyle w:val="TableParagraph"/>
              <w:spacing w:before="14"/>
              <w:ind w:left="95"/>
              <w:rPr>
                <w:rFonts w:ascii="Times New Roman"/>
                <w:sz w:val="19"/>
              </w:rPr>
            </w:pPr>
            <w:r>
              <w:rPr>
                <w:rFonts w:ascii="Times New Roman"/>
                <w:w w:val="105"/>
                <w:sz w:val="19"/>
              </w:rPr>
              <w:t>Pilots</w:t>
            </w:r>
          </w:p>
        </w:tc>
        <w:tc>
          <w:tcPr>
            <w:tcW w:w="3600" w:type="dxa"/>
          </w:tcPr>
          <w:p>
            <w:pPr>
              <w:pStyle w:val="TableParagraph"/>
              <w:spacing w:before="14"/>
              <w:ind w:left="96"/>
              <w:rPr>
                <w:rFonts w:ascii="Times New Roman" w:hAnsi="Times New Roman"/>
                <w:sz w:val="19"/>
              </w:rPr>
            </w:pPr>
            <w:r>
              <w:rPr>
                <w:rFonts w:ascii="Times New Roman" w:hAnsi="Times New Roman"/>
                <w:w w:val="105"/>
                <w:sz w:val="19"/>
              </w:rPr>
              <w:t>Southwest Airlines Pilots’ Association</w:t>
            </w:r>
          </w:p>
        </w:tc>
        <w:tc>
          <w:tcPr>
            <w:tcW w:w="3317" w:type="dxa"/>
          </w:tcPr>
          <w:p>
            <w:pPr>
              <w:pStyle w:val="TableParagraph"/>
              <w:spacing w:before="14"/>
              <w:ind w:left="95"/>
              <w:rPr>
                <w:rFonts w:ascii="Times New Roman"/>
                <w:sz w:val="19"/>
              </w:rPr>
            </w:pPr>
            <w:r>
              <w:rPr>
                <w:rFonts w:ascii="Times New Roman"/>
                <w:w w:val="105"/>
                <w:sz w:val="19"/>
              </w:rPr>
              <w:t>September 2006</w:t>
            </w:r>
          </w:p>
        </w:tc>
      </w:tr>
      <w:tr>
        <w:trPr>
          <w:trHeight w:val="418" w:hRule="exact"/>
        </w:trPr>
        <w:tc>
          <w:tcPr>
            <w:tcW w:w="3029" w:type="dxa"/>
          </w:tcPr>
          <w:p>
            <w:pPr>
              <w:pStyle w:val="TableParagraph"/>
              <w:spacing w:before="14"/>
              <w:ind w:left="95"/>
              <w:rPr>
                <w:rFonts w:ascii="Times New Roman"/>
                <w:sz w:val="19"/>
              </w:rPr>
            </w:pPr>
            <w:r>
              <w:rPr>
                <w:rFonts w:ascii="Times New Roman"/>
                <w:w w:val="105"/>
                <w:sz w:val="19"/>
              </w:rPr>
              <w:t>Flight Dispatchers</w:t>
            </w:r>
          </w:p>
        </w:tc>
        <w:tc>
          <w:tcPr>
            <w:tcW w:w="3600" w:type="dxa"/>
          </w:tcPr>
          <w:p>
            <w:pPr>
              <w:pStyle w:val="TableParagraph"/>
              <w:spacing w:before="14"/>
              <w:ind w:left="96"/>
              <w:rPr>
                <w:rFonts w:ascii="Times New Roman"/>
                <w:sz w:val="19"/>
              </w:rPr>
            </w:pPr>
            <w:r>
              <w:rPr>
                <w:rFonts w:ascii="Times New Roman"/>
                <w:w w:val="105"/>
                <w:sz w:val="19"/>
              </w:rPr>
              <w:t>Southwest Airlines Employee Association</w:t>
            </w:r>
          </w:p>
        </w:tc>
        <w:tc>
          <w:tcPr>
            <w:tcW w:w="3317" w:type="dxa"/>
          </w:tcPr>
          <w:p>
            <w:pPr>
              <w:pStyle w:val="TableParagraph"/>
              <w:spacing w:before="14"/>
              <w:ind w:left="96"/>
              <w:rPr>
                <w:rFonts w:ascii="Times New Roman"/>
                <w:sz w:val="19"/>
              </w:rPr>
            </w:pPr>
            <w:r>
              <w:rPr>
                <w:rFonts w:ascii="Times New Roman"/>
                <w:w w:val="105"/>
                <w:sz w:val="19"/>
              </w:rPr>
              <w:t>November 2009</w:t>
            </w:r>
          </w:p>
        </w:tc>
      </w:tr>
      <w:tr>
        <w:trPr>
          <w:trHeight w:val="494" w:hRule="exact"/>
        </w:trPr>
        <w:tc>
          <w:tcPr>
            <w:tcW w:w="3029" w:type="dxa"/>
          </w:tcPr>
          <w:p>
            <w:pPr>
              <w:pStyle w:val="TableParagraph"/>
              <w:spacing w:before="14"/>
              <w:ind w:left="95"/>
              <w:rPr>
                <w:rFonts w:ascii="Times New Roman"/>
                <w:sz w:val="19"/>
              </w:rPr>
            </w:pPr>
            <w:r>
              <w:rPr>
                <w:rFonts w:ascii="Times New Roman"/>
                <w:w w:val="105"/>
                <w:sz w:val="19"/>
              </w:rPr>
              <w:t>Aircraft Appearance Technicians</w:t>
            </w:r>
          </w:p>
        </w:tc>
        <w:tc>
          <w:tcPr>
            <w:tcW w:w="3600" w:type="dxa"/>
          </w:tcPr>
          <w:p>
            <w:pPr>
              <w:pStyle w:val="TableParagraph"/>
              <w:spacing w:line="264" w:lineRule="auto" w:before="14"/>
              <w:ind w:left="95"/>
              <w:rPr>
                <w:rFonts w:ascii="Times New Roman" w:hAnsi="Times New Roman"/>
                <w:sz w:val="19"/>
              </w:rPr>
            </w:pPr>
            <w:r>
              <w:rPr>
                <w:rFonts w:ascii="Times New Roman" w:hAnsi="Times New Roman"/>
                <w:w w:val="105"/>
                <w:sz w:val="19"/>
              </w:rPr>
              <w:t>Aircraft Mechanics Fraternal Association (“AMFA”)</w:t>
            </w:r>
          </w:p>
        </w:tc>
        <w:tc>
          <w:tcPr>
            <w:tcW w:w="3317" w:type="dxa"/>
          </w:tcPr>
          <w:p>
            <w:pPr>
              <w:pStyle w:val="TableParagraph"/>
              <w:spacing w:before="14"/>
              <w:ind w:left="95"/>
              <w:rPr>
                <w:rFonts w:ascii="Times New Roman"/>
                <w:sz w:val="19"/>
              </w:rPr>
            </w:pPr>
            <w:r>
              <w:rPr>
                <w:rFonts w:ascii="Times New Roman"/>
                <w:w w:val="105"/>
                <w:sz w:val="19"/>
              </w:rPr>
              <w:t>February 2009</w:t>
            </w:r>
          </w:p>
        </w:tc>
      </w:tr>
      <w:tr>
        <w:trPr>
          <w:trHeight w:val="494" w:hRule="exact"/>
        </w:trPr>
        <w:tc>
          <w:tcPr>
            <w:tcW w:w="3029" w:type="dxa"/>
          </w:tcPr>
          <w:p>
            <w:pPr>
              <w:pStyle w:val="TableParagraph"/>
              <w:spacing w:before="14"/>
              <w:ind w:left="95"/>
              <w:rPr>
                <w:rFonts w:ascii="Times New Roman"/>
                <w:sz w:val="19"/>
              </w:rPr>
            </w:pPr>
            <w:r>
              <w:rPr>
                <w:rFonts w:ascii="Times New Roman"/>
                <w:w w:val="105"/>
                <w:sz w:val="19"/>
              </w:rPr>
              <w:t>Stock Clerks</w:t>
            </w:r>
          </w:p>
        </w:tc>
        <w:tc>
          <w:tcPr>
            <w:tcW w:w="3600" w:type="dxa"/>
          </w:tcPr>
          <w:p>
            <w:pPr>
              <w:pStyle w:val="TableParagraph"/>
              <w:spacing w:line="264" w:lineRule="auto" w:before="14"/>
              <w:ind w:left="95"/>
              <w:rPr>
                <w:rFonts w:ascii="Times New Roman" w:hAnsi="Times New Roman"/>
                <w:sz w:val="19"/>
              </w:rPr>
            </w:pPr>
            <w:r>
              <w:rPr>
                <w:rFonts w:ascii="Times New Roman" w:hAnsi="Times New Roman"/>
                <w:w w:val="105"/>
                <w:sz w:val="19"/>
              </w:rPr>
              <w:t>International Brotherhood of Teamsters (“Teamsters”)</w:t>
            </w:r>
          </w:p>
        </w:tc>
        <w:tc>
          <w:tcPr>
            <w:tcW w:w="3317" w:type="dxa"/>
          </w:tcPr>
          <w:p>
            <w:pPr>
              <w:pStyle w:val="TableParagraph"/>
              <w:spacing w:before="14"/>
              <w:ind w:left="95"/>
              <w:rPr>
                <w:rFonts w:ascii="Times New Roman"/>
                <w:sz w:val="19"/>
              </w:rPr>
            </w:pPr>
            <w:r>
              <w:rPr>
                <w:rFonts w:ascii="Times New Roman"/>
                <w:w w:val="105"/>
                <w:sz w:val="19"/>
              </w:rPr>
              <w:t>August 2008</w:t>
            </w:r>
          </w:p>
        </w:tc>
      </w:tr>
      <w:tr>
        <w:trPr>
          <w:trHeight w:val="418" w:hRule="exact"/>
        </w:trPr>
        <w:tc>
          <w:tcPr>
            <w:tcW w:w="3029" w:type="dxa"/>
          </w:tcPr>
          <w:p>
            <w:pPr>
              <w:pStyle w:val="TableParagraph"/>
              <w:spacing w:before="14"/>
              <w:ind w:left="95"/>
              <w:rPr>
                <w:rFonts w:ascii="Times New Roman"/>
                <w:sz w:val="19"/>
              </w:rPr>
            </w:pPr>
            <w:r>
              <w:rPr>
                <w:rFonts w:ascii="Times New Roman"/>
                <w:w w:val="105"/>
                <w:sz w:val="19"/>
              </w:rPr>
              <w:t>Mechanics</w:t>
            </w:r>
          </w:p>
        </w:tc>
        <w:tc>
          <w:tcPr>
            <w:tcW w:w="3600" w:type="dxa"/>
          </w:tcPr>
          <w:p>
            <w:pPr>
              <w:pStyle w:val="TableParagraph"/>
              <w:spacing w:before="14"/>
              <w:ind w:left="96"/>
              <w:rPr>
                <w:rFonts w:ascii="Times New Roman"/>
                <w:sz w:val="19"/>
              </w:rPr>
            </w:pPr>
            <w:r>
              <w:rPr>
                <w:rFonts w:ascii="Times New Roman"/>
                <w:w w:val="105"/>
                <w:sz w:val="19"/>
              </w:rPr>
              <w:t>AMFA</w:t>
            </w:r>
          </w:p>
        </w:tc>
        <w:tc>
          <w:tcPr>
            <w:tcW w:w="3317" w:type="dxa"/>
          </w:tcPr>
          <w:p>
            <w:pPr>
              <w:pStyle w:val="TableParagraph"/>
              <w:spacing w:before="14"/>
              <w:ind w:left="95"/>
              <w:rPr>
                <w:rFonts w:ascii="Times New Roman"/>
                <w:sz w:val="19"/>
              </w:rPr>
            </w:pPr>
            <w:r>
              <w:rPr>
                <w:rFonts w:ascii="Times New Roman"/>
                <w:w w:val="105"/>
                <w:sz w:val="19"/>
              </w:rPr>
              <w:t>August 2005</w:t>
            </w:r>
          </w:p>
        </w:tc>
      </w:tr>
      <w:tr>
        <w:trPr>
          <w:trHeight w:val="418" w:hRule="exact"/>
        </w:trPr>
        <w:tc>
          <w:tcPr>
            <w:tcW w:w="3029" w:type="dxa"/>
          </w:tcPr>
          <w:p>
            <w:pPr>
              <w:pStyle w:val="TableParagraph"/>
              <w:spacing w:before="14"/>
              <w:ind w:left="95"/>
              <w:rPr>
                <w:rFonts w:ascii="Times New Roman"/>
                <w:sz w:val="19"/>
              </w:rPr>
            </w:pPr>
            <w:r>
              <w:rPr>
                <w:rFonts w:ascii="Times New Roman"/>
                <w:w w:val="105"/>
                <w:sz w:val="19"/>
              </w:rPr>
              <w:t>Flight Simulator Technicians</w:t>
            </w:r>
          </w:p>
        </w:tc>
        <w:tc>
          <w:tcPr>
            <w:tcW w:w="3600" w:type="dxa"/>
          </w:tcPr>
          <w:p>
            <w:pPr>
              <w:pStyle w:val="TableParagraph"/>
              <w:spacing w:before="14"/>
              <w:ind w:left="96"/>
              <w:rPr>
                <w:rFonts w:ascii="Times New Roman"/>
                <w:sz w:val="19"/>
              </w:rPr>
            </w:pPr>
            <w:r>
              <w:rPr>
                <w:rFonts w:ascii="Times New Roman"/>
                <w:w w:val="105"/>
                <w:sz w:val="19"/>
              </w:rPr>
              <w:t>Teamsters</w:t>
            </w:r>
          </w:p>
        </w:tc>
        <w:tc>
          <w:tcPr>
            <w:tcW w:w="3317" w:type="dxa"/>
          </w:tcPr>
          <w:p>
            <w:pPr>
              <w:pStyle w:val="TableParagraph"/>
              <w:spacing w:before="14"/>
              <w:ind w:left="96"/>
              <w:rPr>
                <w:rFonts w:ascii="Times New Roman"/>
                <w:sz w:val="19"/>
              </w:rPr>
            </w:pPr>
            <w:r>
              <w:rPr>
                <w:rFonts w:ascii="Times New Roman"/>
                <w:w w:val="105"/>
                <w:sz w:val="19"/>
              </w:rPr>
              <w:t>November 2008</w:t>
            </w:r>
          </w:p>
        </w:tc>
      </w:tr>
      <w:tr>
        <w:trPr>
          <w:trHeight w:val="739" w:hRule="exact"/>
        </w:trPr>
        <w:tc>
          <w:tcPr>
            <w:tcW w:w="3029" w:type="dxa"/>
          </w:tcPr>
          <w:p>
            <w:pPr>
              <w:pStyle w:val="TableParagraph"/>
              <w:spacing w:line="264" w:lineRule="auto" w:before="14"/>
              <w:ind w:left="95" w:right="147"/>
              <w:rPr>
                <w:rFonts w:ascii="Times New Roman"/>
                <w:sz w:val="19"/>
              </w:rPr>
            </w:pPr>
            <w:r>
              <w:rPr>
                <w:rFonts w:ascii="Times New Roman"/>
                <w:w w:val="105"/>
                <w:sz w:val="19"/>
              </w:rPr>
              <w:t>Flight/Ground School Instructors and Flight Crew Training Instructors</w:t>
            </w:r>
          </w:p>
        </w:tc>
        <w:tc>
          <w:tcPr>
            <w:tcW w:w="3600" w:type="dxa"/>
          </w:tcPr>
          <w:p>
            <w:pPr>
              <w:pStyle w:val="TableParagraph"/>
              <w:spacing w:line="264" w:lineRule="auto" w:before="14"/>
              <w:ind w:left="95" w:right="97"/>
              <w:rPr>
                <w:rFonts w:ascii="Times New Roman"/>
                <w:sz w:val="19"/>
              </w:rPr>
            </w:pPr>
            <w:r>
              <w:rPr>
                <w:rFonts w:ascii="Times New Roman"/>
                <w:w w:val="105"/>
                <w:sz w:val="19"/>
              </w:rPr>
              <w:t>Southwest Airlines Professional Instructors Association</w:t>
            </w:r>
          </w:p>
        </w:tc>
        <w:tc>
          <w:tcPr>
            <w:tcW w:w="3317" w:type="dxa"/>
          </w:tcPr>
          <w:p>
            <w:pPr>
              <w:pStyle w:val="TableParagraph"/>
              <w:spacing w:before="14"/>
              <w:ind w:left="95"/>
              <w:rPr>
                <w:rFonts w:ascii="Times New Roman"/>
                <w:sz w:val="19"/>
              </w:rPr>
            </w:pPr>
            <w:r>
              <w:rPr>
                <w:rFonts w:ascii="Times New Roman"/>
                <w:w w:val="105"/>
                <w:sz w:val="19"/>
              </w:rPr>
              <w:t>December 2012</w:t>
            </w:r>
          </w:p>
        </w:tc>
      </w:tr>
    </w:tbl>
    <w:p>
      <w:pPr>
        <w:pStyle w:val="BodyText"/>
        <w:spacing w:before="7"/>
        <w:rPr>
          <w:sz w:val="13"/>
        </w:rPr>
      </w:pPr>
    </w:p>
    <w:p>
      <w:pPr>
        <w:spacing w:before="122"/>
        <w:ind w:left="275" w:right="0" w:firstLine="0"/>
        <w:jc w:val="left"/>
        <w:rPr>
          <w:b/>
          <w:i/>
          <w:sz w:val="21"/>
        </w:rPr>
      </w:pPr>
      <w:r>
        <w:rPr>
          <w:b/>
          <w:w w:val="105"/>
          <w:sz w:val="21"/>
        </w:rPr>
        <w:t>Item 2. </w:t>
      </w:r>
      <w:r>
        <w:rPr>
          <w:b/>
          <w:i/>
          <w:w w:val="105"/>
          <w:sz w:val="21"/>
        </w:rPr>
        <w:t>Properties</w:t>
      </w:r>
    </w:p>
    <w:p>
      <w:pPr>
        <w:pStyle w:val="BodyText"/>
        <w:spacing w:before="5"/>
        <w:rPr>
          <w:b/>
          <w:i/>
          <w:sz w:val="24"/>
        </w:rPr>
      </w:pPr>
    </w:p>
    <w:p>
      <w:pPr>
        <w:pStyle w:val="Heading2"/>
        <w:spacing w:before="1"/>
        <w:ind w:left="276"/>
      </w:pPr>
      <w:r>
        <w:rPr>
          <w:w w:val="105"/>
        </w:rPr>
        <w:t>Aircraft</w:t>
      </w:r>
    </w:p>
    <w:p>
      <w:pPr>
        <w:pStyle w:val="BodyText"/>
        <w:spacing w:before="5"/>
        <w:rPr>
          <w:b/>
          <w:sz w:val="24"/>
        </w:rPr>
      </w:pPr>
    </w:p>
    <w:p>
      <w:pPr>
        <w:pStyle w:val="BodyText"/>
        <w:spacing w:line="256" w:lineRule="auto" w:before="1"/>
        <w:ind w:left="276" w:right="382" w:firstLine="720"/>
      </w:pPr>
      <w:r>
        <w:rPr>
          <w:w w:val="105"/>
        </w:rPr>
        <w:t>Southwest operated a total of 388 Boeing 737 aircraft as of December 31, 2003, of which 89 and 7 were under operating and capital leases, respectively. The remaining 292 aircraft were owned.</w:t>
      </w:r>
    </w:p>
    <w:p>
      <w:pPr>
        <w:pStyle w:val="BodyText"/>
        <w:spacing w:line="259" w:lineRule="auto" w:before="265"/>
        <w:ind w:left="276" w:right="270" w:firstLine="720"/>
        <w:jc w:val="both"/>
      </w:pPr>
      <w:r>
        <w:rPr>
          <w:w w:val="105"/>
        </w:rPr>
        <w:t>Southwest was the launch Customer for the Boeing 737-700 aircraft, the newest generation of the Boeing 737 aircraft type. The first 737-700 aircraft was delivered in December 1997 and entered revenue service in January 1998. At December 31, 2003, Southwest had 146 Boeing 737-700 aircraft in service.</w:t>
      </w:r>
    </w:p>
    <w:p>
      <w:pPr>
        <w:pStyle w:val="BodyText"/>
        <w:spacing w:line="261" w:lineRule="auto" w:before="257"/>
        <w:ind w:left="276" w:right="382" w:firstLine="720"/>
      </w:pPr>
      <w:r>
        <w:rPr>
          <w:w w:val="105"/>
        </w:rPr>
        <w:t>The following table details information on the 388 aircraft in the Company’s fleet as of December 31,</w:t>
      </w:r>
      <w:r>
        <w:rPr>
          <w:spacing w:val="-18"/>
          <w:w w:val="105"/>
        </w:rPr>
        <w:t> </w:t>
      </w:r>
      <w:r>
        <w:rPr>
          <w:w w:val="105"/>
        </w:rPr>
        <w:t>2003:</w:t>
      </w:r>
    </w:p>
    <w:p>
      <w:pPr>
        <w:pStyle w:val="BodyText"/>
        <w:spacing w:before="3"/>
      </w:pPr>
    </w:p>
    <w:tbl>
      <w:tblPr>
        <w:tblW w:w="0" w:type="auto"/>
        <w:jc w:val="left"/>
        <w:tblInd w:w="3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618"/>
        <w:gridCol w:w="1080"/>
        <w:gridCol w:w="1622"/>
        <w:gridCol w:w="1618"/>
        <w:gridCol w:w="1891"/>
        <w:gridCol w:w="1618"/>
      </w:tblGrid>
      <w:tr>
        <w:trPr>
          <w:trHeight w:val="850" w:hRule="exact"/>
        </w:trPr>
        <w:tc>
          <w:tcPr>
            <w:tcW w:w="1618" w:type="dxa"/>
          </w:tcPr>
          <w:p>
            <w:pPr>
              <w:pStyle w:val="TableParagraph"/>
              <w:spacing w:before="130"/>
              <w:ind w:left="379"/>
              <w:rPr>
                <w:rFonts w:ascii="Times New Roman"/>
                <w:b/>
                <w:sz w:val="21"/>
              </w:rPr>
            </w:pPr>
            <w:r>
              <w:rPr>
                <w:rFonts w:ascii="Times New Roman"/>
                <w:b/>
                <w:w w:val="105"/>
                <w:sz w:val="21"/>
                <w:u w:val="single"/>
              </w:rPr>
              <w:t>737 Type</w:t>
            </w:r>
          </w:p>
        </w:tc>
        <w:tc>
          <w:tcPr>
            <w:tcW w:w="1080" w:type="dxa"/>
          </w:tcPr>
          <w:p>
            <w:pPr>
              <w:pStyle w:val="TableParagraph"/>
              <w:spacing w:before="130"/>
              <w:ind w:left="267" w:right="267"/>
              <w:jc w:val="center"/>
              <w:rPr>
                <w:rFonts w:ascii="Times New Roman"/>
                <w:b/>
                <w:sz w:val="21"/>
              </w:rPr>
            </w:pPr>
            <w:r>
              <w:rPr>
                <w:rFonts w:ascii="Times New Roman"/>
                <w:b/>
                <w:w w:val="105"/>
                <w:sz w:val="21"/>
                <w:u w:val="single"/>
              </w:rPr>
              <w:t>Seats</w:t>
            </w:r>
          </w:p>
        </w:tc>
        <w:tc>
          <w:tcPr>
            <w:tcW w:w="1622" w:type="dxa"/>
          </w:tcPr>
          <w:p>
            <w:pPr>
              <w:pStyle w:val="TableParagraph"/>
              <w:spacing w:line="220" w:lineRule="exact" w:before="150"/>
              <w:ind w:left="566" w:hanging="351"/>
              <w:rPr>
                <w:rFonts w:ascii="Times New Roman"/>
                <w:b/>
                <w:sz w:val="21"/>
              </w:rPr>
            </w:pPr>
            <w:r>
              <w:rPr>
                <w:rFonts w:ascii="Times New Roman"/>
                <w:b/>
                <w:w w:val="105"/>
                <w:sz w:val="21"/>
                <w:u w:val="single"/>
              </w:rPr>
              <w:t>Average Age (Yrs)</w:t>
            </w:r>
          </w:p>
        </w:tc>
        <w:tc>
          <w:tcPr>
            <w:tcW w:w="1618" w:type="dxa"/>
          </w:tcPr>
          <w:p>
            <w:pPr>
              <w:pStyle w:val="TableParagraph"/>
              <w:spacing w:line="220" w:lineRule="exact" w:before="150"/>
              <w:ind w:left="422" w:hanging="125"/>
              <w:rPr>
                <w:rFonts w:ascii="Times New Roman"/>
                <w:b/>
                <w:sz w:val="21"/>
              </w:rPr>
            </w:pPr>
            <w:r>
              <w:rPr>
                <w:rFonts w:ascii="Times New Roman"/>
                <w:b/>
                <w:w w:val="105"/>
                <w:sz w:val="21"/>
                <w:u w:val="single"/>
              </w:rPr>
              <w:t>Number of Aircraft</w:t>
            </w:r>
          </w:p>
        </w:tc>
        <w:tc>
          <w:tcPr>
            <w:tcW w:w="1891" w:type="dxa"/>
          </w:tcPr>
          <w:p>
            <w:pPr>
              <w:pStyle w:val="TableParagraph"/>
              <w:spacing w:line="220" w:lineRule="exact" w:before="150"/>
              <w:ind w:left="609" w:hanging="53"/>
              <w:rPr>
                <w:rFonts w:ascii="Times New Roman"/>
                <w:b/>
                <w:sz w:val="21"/>
              </w:rPr>
            </w:pPr>
            <w:r>
              <w:rPr>
                <w:rFonts w:ascii="Times New Roman"/>
                <w:b/>
                <w:sz w:val="21"/>
                <w:u w:val="single"/>
              </w:rPr>
              <w:t>Number </w:t>
            </w:r>
            <w:r>
              <w:rPr>
                <w:rFonts w:ascii="Times New Roman"/>
                <w:b/>
                <w:w w:val="105"/>
                <w:sz w:val="21"/>
                <w:u w:val="single"/>
              </w:rPr>
              <w:t>Owned</w:t>
            </w:r>
          </w:p>
        </w:tc>
        <w:tc>
          <w:tcPr>
            <w:tcW w:w="1618" w:type="dxa"/>
          </w:tcPr>
          <w:p>
            <w:pPr>
              <w:pStyle w:val="TableParagraph"/>
              <w:spacing w:line="220" w:lineRule="exact" w:before="150"/>
              <w:ind w:left="480" w:hanging="58"/>
              <w:rPr>
                <w:rFonts w:ascii="Times New Roman"/>
                <w:b/>
                <w:sz w:val="21"/>
              </w:rPr>
            </w:pPr>
            <w:r>
              <w:rPr>
                <w:rFonts w:ascii="Times New Roman"/>
                <w:b/>
                <w:sz w:val="21"/>
                <w:u w:val="single"/>
              </w:rPr>
              <w:t>Number </w:t>
            </w:r>
            <w:r>
              <w:rPr>
                <w:rFonts w:ascii="Times New Roman"/>
                <w:b/>
                <w:w w:val="105"/>
                <w:sz w:val="21"/>
                <w:u w:val="single"/>
              </w:rPr>
              <w:t>Leased</w:t>
            </w:r>
          </w:p>
        </w:tc>
      </w:tr>
      <w:tr>
        <w:trPr>
          <w:trHeight w:val="235" w:hRule="exact"/>
        </w:trPr>
        <w:tc>
          <w:tcPr>
            <w:tcW w:w="1618" w:type="dxa"/>
          </w:tcPr>
          <w:p>
            <w:pPr>
              <w:pStyle w:val="TableParagraph"/>
              <w:spacing w:line="209" w:lineRule="exact"/>
              <w:ind w:left="580" w:right="578"/>
              <w:jc w:val="center"/>
              <w:rPr>
                <w:rFonts w:ascii="Times New Roman"/>
                <w:sz w:val="21"/>
              </w:rPr>
            </w:pPr>
            <w:r>
              <w:rPr>
                <w:rFonts w:ascii="Times New Roman"/>
                <w:w w:val="105"/>
                <w:sz w:val="21"/>
              </w:rPr>
              <w:t>-200</w:t>
            </w:r>
          </w:p>
        </w:tc>
        <w:tc>
          <w:tcPr>
            <w:tcW w:w="1080" w:type="dxa"/>
          </w:tcPr>
          <w:p>
            <w:pPr>
              <w:pStyle w:val="TableParagraph"/>
              <w:spacing w:line="209" w:lineRule="exact"/>
              <w:ind w:left="267" w:right="267"/>
              <w:jc w:val="center"/>
              <w:rPr>
                <w:rFonts w:ascii="Times New Roman"/>
                <w:sz w:val="21"/>
              </w:rPr>
            </w:pPr>
            <w:r>
              <w:rPr>
                <w:rFonts w:ascii="Times New Roman"/>
                <w:w w:val="105"/>
                <w:sz w:val="21"/>
              </w:rPr>
              <w:t>122</w:t>
            </w:r>
          </w:p>
        </w:tc>
        <w:tc>
          <w:tcPr>
            <w:tcW w:w="1622" w:type="dxa"/>
          </w:tcPr>
          <w:p>
            <w:pPr>
              <w:pStyle w:val="TableParagraph"/>
              <w:spacing w:line="209" w:lineRule="exact"/>
              <w:ind w:left="590" w:right="591"/>
              <w:jc w:val="center"/>
              <w:rPr>
                <w:rFonts w:ascii="Times New Roman"/>
                <w:sz w:val="21"/>
              </w:rPr>
            </w:pPr>
            <w:r>
              <w:rPr>
                <w:rFonts w:ascii="Times New Roman"/>
                <w:w w:val="105"/>
                <w:sz w:val="21"/>
              </w:rPr>
              <w:t>21.2</w:t>
            </w:r>
          </w:p>
        </w:tc>
        <w:tc>
          <w:tcPr>
            <w:tcW w:w="1618" w:type="dxa"/>
          </w:tcPr>
          <w:p>
            <w:pPr>
              <w:pStyle w:val="TableParagraph"/>
              <w:spacing w:line="209" w:lineRule="exact"/>
              <w:ind w:left="576" w:right="578"/>
              <w:jc w:val="center"/>
              <w:rPr>
                <w:rFonts w:ascii="Times New Roman"/>
                <w:sz w:val="21"/>
              </w:rPr>
            </w:pPr>
            <w:r>
              <w:rPr>
                <w:rFonts w:ascii="Times New Roman"/>
                <w:w w:val="105"/>
                <w:sz w:val="21"/>
              </w:rPr>
              <w:t>23</w:t>
            </w:r>
          </w:p>
        </w:tc>
        <w:tc>
          <w:tcPr>
            <w:tcW w:w="1891" w:type="dxa"/>
          </w:tcPr>
          <w:p>
            <w:pPr>
              <w:pStyle w:val="TableParagraph"/>
              <w:spacing w:line="209" w:lineRule="exact"/>
              <w:ind w:left="752" w:right="752"/>
              <w:jc w:val="center"/>
              <w:rPr>
                <w:rFonts w:ascii="Times New Roman"/>
                <w:sz w:val="21"/>
              </w:rPr>
            </w:pPr>
            <w:r>
              <w:rPr>
                <w:rFonts w:ascii="Times New Roman"/>
                <w:w w:val="105"/>
                <w:sz w:val="21"/>
              </w:rPr>
              <w:t>21</w:t>
            </w:r>
          </w:p>
        </w:tc>
        <w:tc>
          <w:tcPr>
            <w:tcW w:w="1618" w:type="dxa"/>
          </w:tcPr>
          <w:p>
            <w:pPr>
              <w:pStyle w:val="TableParagraph"/>
              <w:spacing w:line="209" w:lineRule="exact"/>
              <w:ind w:left="748"/>
              <w:rPr>
                <w:rFonts w:ascii="Times New Roman"/>
                <w:sz w:val="21"/>
              </w:rPr>
            </w:pPr>
            <w:r>
              <w:rPr>
                <w:rFonts w:ascii="Times New Roman"/>
                <w:w w:val="102"/>
                <w:sz w:val="21"/>
              </w:rPr>
              <w:t>2</w:t>
            </w:r>
          </w:p>
        </w:tc>
      </w:tr>
      <w:tr>
        <w:trPr>
          <w:trHeight w:val="235" w:hRule="exact"/>
        </w:trPr>
        <w:tc>
          <w:tcPr>
            <w:tcW w:w="1618" w:type="dxa"/>
          </w:tcPr>
          <w:p>
            <w:pPr>
              <w:pStyle w:val="TableParagraph"/>
              <w:spacing w:line="209" w:lineRule="exact"/>
              <w:ind w:left="580" w:right="578"/>
              <w:jc w:val="center"/>
              <w:rPr>
                <w:rFonts w:ascii="Times New Roman"/>
                <w:sz w:val="21"/>
              </w:rPr>
            </w:pPr>
            <w:r>
              <w:rPr>
                <w:rFonts w:ascii="Times New Roman"/>
                <w:w w:val="105"/>
                <w:sz w:val="21"/>
              </w:rPr>
              <w:t>-300</w:t>
            </w:r>
          </w:p>
        </w:tc>
        <w:tc>
          <w:tcPr>
            <w:tcW w:w="1080" w:type="dxa"/>
          </w:tcPr>
          <w:p>
            <w:pPr>
              <w:pStyle w:val="TableParagraph"/>
              <w:spacing w:line="209" w:lineRule="exact"/>
              <w:ind w:left="267" w:right="267"/>
              <w:jc w:val="center"/>
              <w:rPr>
                <w:rFonts w:ascii="Times New Roman"/>
                <w:sz w:val="21"/>
              </w:rPr>
            </w:pPr>
            <w:r>
              <w:rPr>
                <w:rFonts w:ascii="Times New Roman"/>
                <w:w w:val="105"/>
                <w:sz w:val="21"/>
              </w:rPr>
              <w:t>137</w:t>
            </w:r>
          </w:p>
        </w:tc>
        <w:tc>
          <w:tcPr>
            <w:tcW w:w="1622" w:type="dxa"/>
          </w:tcPr>
          <w:p>
            <w:pPr>
              <w:pStyle w:val="TableParagraph"/>
              <w:spacing w:line="209" w:lineRule="exact"/>
              <w:ind w:left="590" w:right="591"/>
              <w:jc w:val="center"/>
              <w:rPr>
                <w:rFonts w:ascii="Times New Roman"/>
                <w:sz w:val="21"/>
              </w:rPr>
            </w:pPr>
            <w:r>
              <w:rPr>
                <w:rFonts w:ascii="Times New Roman"/>
                <w:w w:val="105"/>
                <w:sz w:val="21"/>
              </w:rPr>
              <w:t>12.6</w:t>
            </w:r>
          </w:p>
        </w:tc>
        <w:tc>
          <w:tcPr>
            <w:tcW w:w="1618" w:type="dxa"/>
          </w:tcPr>
          <w:p>
            <w:pPr>
              <w:pStyle w:val="TableParagraph"/>
              <w:spacing w:line="209" w:lineRule="exact"/>
              <w:ind w:left="578" w:right="578"/>
              <w:jc w:val="center"/>
              <w:rPr>
                <w:rFonts w:ascii="Times New Roman"/>
                <w:sz w:val="21"/>
              </w:rPr>
            </w:pPr>
            <w:r>
              <w:rPr>
                <w:rFonts w:ascii="Times New Roman"/>
                <w:w w:val="105"/>
                <w:sz w:val="21"/>
              </w:rPr>
              <w:t>194</w:t>
            </w:r>
          </w:p>
        </w:tc>
        <w:tc>
          <w:tcPr>
            <w:tcW w:w="1891" w:type="dxa"/>
          </w:tcPr>
          <w:p>
            <w:pPr>
              <w:pStyle w:val="TableParagraph"/>
              <w:spacing w:line="209" w:lineRule="exact"/>
              <w:ind w:left="754" w:right="752"/>
              <w:jc w:val="center"/>
              <w:rPr>
                <w:rFonts w:ascii="Times New Roman"/>
                <w:sz w:val="21"/>
              </w:rPr>
            </w:pPr>
            <w:r>
              <w:rPr>
                <w:rFonts w:ascii="Times New Roman"/>
                <w:w w:val="105"/>
                <w:sz w:val="21"/>
              </w:rPr>
              <w:t>110</w:t>
            </w:r>
          </w:p>
        </w:tc>
        <w:tc>
          <w:tcPr>
            <w:tcW w:w="1618" w:type="dxa"/>
          </w:tcPr>
          <w:p>
            <w:pPr>
              <w:pStyle w:val="TableParagraph"/>
              <w:spacing w:line="209" w:lineRule="exact"/>
              <w:ind w:left="696"/>
              <w:rPr>
                <w:rFonts w:ascii="Times New Roman"/>
                <w:sz w:val="21"/>
              </w:rPr>
            </w:pPr>
            <w:r>
              <w:rPr>
                <w:rFonts w:ascii="Times New Roman"/>
                <w:w w:val="105"/>
                <w:sz w:val="21"/>
              </w:rPr>
              <w:t>84</w:t>
            </w:r>
          </w:p>
        </w:tc>
      </w:tr>
      <w:tr>
        <w:trPr>
          <w:trHeight w:val="235" w:hRule="exact"/>
        </w:trPr>
        <w:tc>
          <w:tcPr>
            <w:tcW w:w="1618" w:type="dxa"/>
          </w:tcPr>
          <w:p>
            <w:pPr>
              <w:pStyle w:val="TableParagraph"/>
              <w:spacing w:line="209" w:lineRule="exact"/>
              <w:ind w:left="580" w:right="578"/>
              <w:jc w:val="center"/>
              <w:rPr>
                <w:rFonts w:ascii="Times New Roman"/>
                <w:sz w:val="21"/>
              </w:rPr>
            </w:pPr>
            <w:r>
              <w:rPr>
                <w:rFonts w:ascii="Times New Roman"/>
                <w:w w:val="105"/>
                <w:sz w:val="21"/>
              </w:rPr>
              <w:t>-500</w:t>
            </w:r>
          </w:p>
        </w:tc>
        <w:tc>
          <w:tcPr>
            <w:tcW w:w="1080" w:type="dxa"/>
          </w:tcPr>
          <w:p>
            <w:pPr>
              <w:pStyle w:val="TableParagraph"/>
              <w:spacing w:line="209" w:lineRule="exact"/>
              <w:ind w:left="267" w:right="267"/>
              <w:jc w:val="center"/>
              <w:rPr>
                <w:rFonts w:ascii="Times New Roman"/>
                <w:sz w:val="21"/>
              </w:rPr>
            </w:pPr>
            <w:r>
              <w:rPr>
                <w:rFonts w:ascii="Times New Roman"/>
                <w:w w:val="105"/>
                <w:sz w:val="21"/>
              </w:rPr>
              <w:t>122</w:t>
            </w:r>
          </w:p>
        </w:tc>
        <w:tc>
          <w:tcPr>
            <w:tcW w:w="1622" w:type="dxa"/>
          </w:tcPr>
          <w:p>
            <w:pPr>
              <w:pStyle w:val="TableParagraph"/>
              <w:spacing w:line="209" w:lineRule="exact"/>
              <w:ind w:left="590" w:right="591"/>
              <w:jc w:val="center"/>
              <w:rPr>
                <w:rFonts w:ascii="Times New Roman"/>
                <w:sz w:val="21"/>
              </w:rPr>
            </w:pPr>
            <w:r>
              <w:rPr>
                <w:rFonts w:ascii="Times New Roman"/>
                <w:w w:val="105"/>
                <w:sz w:val="21"/>
              </w:rPr>
              <w:t>12.7</w:t>
            </w:r>
          </w:p>
        </w:tc>
        <w:tc>
          <w:tcPr>
            <w:tcW w:w="1618" w:type="dxa"/>
          </w:tcPr>
          <w:p>
            <w:pPr>
              <w:pStyle w:val="TableParagraph"/>
              <w:spacing w:line="209" w:lineRule="exact"/>
              <w:ind w:left="576" w:right="578"/>
              <w:jc w:val="center"/>
              <w:rPr>
                <w:rFonts w:ascii="Times New Roman"/>
                <w:sz w:val="21"/>
              </w:rPr>
            </w:pPr>
            <w:r>
              <w:rPr>
                <w:rFonts w:ascii="Times New Roman"/>
                <w:w w:val="105"/>
                <w:sz w:val="21"/>
              </w:rPr>
              <w:t>25</w:t>
            </w:r>
          </w:p>
        </w:tc>
        <w:tc>
          <w:tcPr>
            <w:tcW w:w="1891" w:type="dxa"/>
          </w:tcPr>
          <w:p>
            <w:pPr>
              <w:pStyle w:val="TableParagraph"/>
              <w:spacing w:line="209" w:lineRule="exact"/>
              <w:ind w:left="752" w:right="752"/>
              <w:jc w:val="center"/>
              <w:rPr>
                <w:rFonts w:ascii="Times New Roman"/>
                <w:sz w:val="21"/>
              </w:rPr>
            </w:pPr>
            <w:r>
              <w:rPr>
                <w:rFonts w:ascii="Times New Roman"/>
                <w:w w:val="105"/>
                <w:sz w:val="21"/>
              </w:rPr>
              <w:t>16</w:t>
            </w:r>
          </w:p>
        </w:tc>
        <w:tc>
          <w:tcPr>
            <w:tcW w:w="1618" w:type="dxa"/>
          </w:tcPr>
          <w:p>
            <w:pPr>
              <w:pStyle w:val="TableParagraph"/>
              <w:spacing w:line="209" w:lineRule="exact"/>
              <w:ind w:left="748"/>
              <w:rPr>
                <w:rFonts w:ascii="Times New Roman"/>
                <w:sz w:val="21"/>
              </w:rPr>
            </w:pPr>
            <w:r>
              <w:rPr>
                <w:rFonts w:ascii="Times New Roman"/>
                <w:w w:val="102"/>
                <w:sz w:val="21"/>
              </w:rPr>
              <w:t>9</w:t>
            </w:r>
          </w:p>
        </w:tc>
      </w:tr>
      <w:tr>
        <w:trPr>
          <w:trHeight w:val="230" w:hRule="exact"/>
        </w:trPr>
        <w:tc>
          <w:tcPr>
            <w:tcW w:w="1618" w:type="dxa"/>
          </w:tcPr>
          <w:p>
            <w:pPr>
              <w:pStyle w:val="TableParagraph"/>
              <w:spacing w:line="209" w:lineRule="exact"/>
              <w:ind w:left="580" w:right="578"/>
              <w:jc w:val="center"/>
              <w:rPr>
                <w:rFonts w:ascii="Times New Roman"/>
                <w:sz w:val="21"/>
              </w:rPr>
            </w:pPr>
            <w:r>
              <w:rPr>
                <w:rFonts w:ascii="Times New Roman"/>
                <w:w w:val="105"/>
                <w:sz w:val="21"/>
              </w:rPr>
              <w:t>-700</w:t>
            </w:r>
          </w:p>
        </w:tc>
        <w:tc>
          <w:tcPr>
            <w:tcW w:w="1080" w:type="dxa"/>
          </w:tcPr>
          <w:p>
            <w:pPr>
              <w:pStyle w:val="TableParagraph"/>
              <w:spacing w:line="209" w:lineRule="exact"/>
              <w:ind w:left="267" w:right="267"/>
              <w:jc w:val="center"/>
              <w:rPr>
                <w:rFonts w:ascii="Times New Roman"/>
                <w:sz w:val="21"/>
              </w:rPr>
            </w:pPr>
            <w:r>
              <w:rPr>
                <w:rFonts w:ascii="Times New Roman"/>
                <w:w w:val="105"/>
                <w:sz w:val="21"/>
              </w:rPr>
              <w:t>137</w:t>
            </w:r>
          </w:p>
        </w:tc>
        <w:tc>
          <w:tcPr>
            <w:tcW w:w="1622" w:type="dxa"/>
          </w:tcPr>
          <w:p>
            <w:pPr>
              <w:pStyle w:val="TableParagraph"/>
              <w:spacing w:line="209" w:lineRule="exact"/>
              <w:ind w:left="590" w:right="585"/>
              <w:jc w:val="center"/>
              <w:rPr>
                <w:rFonts w:ascii="Times New Roman"/>
                <w:sz w:val="21"/>
              </w:rPr>
            </w:pPr>
            <w:r>
              <w:rPr>
                <w:rFonts w:ascii="Times New Roman"/>
                <w:w w:val="105"/>
                <w:sz w:val="21"/>
              </w:rPr>
              <w:t>3.3</w:t>
            </w:r>
          </w:p>
        </w:tc>
        <w:tc>
          <w:tcPr>
            <w:tcW w:w="1618" w:type="dxa"/>
          </w:tcPr>
          <w:p>
            <w:pPr>
              <w:pStyle w:val="TableParagraph"/>
              <w:spacing w:line="209" w:lineRule="exact"/>
              <w:ind w:left="578" w:right="578"/>
              <w:jc w:val="center"/>
              <w:rPr>
                <w:rFonts w:ascii="Times New Roman"/>
                <w:sz w:val="21"/>
              </w:rPr>
            </w:pPr>
            <w:r>
              <w:rPr>
                <w:rFonts w:ascii="Times New Roman"/>
                <w:w w:val="105"/>
                <w:sz w:val="21"/>
              </w:rPr>
              <w:t>146</w:t>
            </w:r>
          </w:p>
        </w:tc>
        <w:tc>
          <w:tcPr>
            <w:tcW w:w="1891" w:type="dxa"/>
          </w:tcPr>
          <w:p>
            <w:pPr>
              <w:pStyle w:val="TableParagraph"/>
              <w:spacing w:line="209" w:lineRule="exact"/>
              <w:ind w:left="754" w:right="752"/>
              <w:jc w:val="center"/>
              <w:rPr>
                <w:rFonts w:ascii="Times New Roman"/>
                <w:sz w:val="21"/>
              </w:rPr>
            </w:pPr>
            <w:r>
              <w:rPr>
                <w:rFonts w:ascii="Times New Roman"/>
                <w:w w:val="105"/>
                <w:sz w:val="21"/>
              </w:rPr>
              <w:t>145</w:t>
            </w:r>
          </w:p>
        </w:tc>
        <w:tc>
          <w:tcPr>
            <w:tcW w:w="1618" w:type="dxa"/>
          </w:tcPr>
          <w:p>
            <w:pPr>
              <w:pStyle w:val="TableParagraph"/>
              <w:spacing w:line="209" w:lineRule="exact"/>
              <w:ind w:left="748"/>
              <w:rPr>
                <w:rFonts w:ascii="Times New Roman"/>
                <w:sz w:val="21"/>
              </w:rPr>
            </w:pPr>
            <w:r>
              <w:rPr>
                <w:rFonts w:ascii="Times New Roman"/>
                <w:w w:val="102"/>
                <w:sz w:val="21"/>
              </w:rPr>
              <w:t>1</w:t>
            </w:r>
          </w:p>
        </w:tc>
      </w:tr>
      <w:tr>
        <w:trPr>
          <w:trHeight w:val="283" w:hRule="exact"/>
        </w:trPr>
        <w:tc>
          <w:tcPr>
            <w:tcW w:w="1618" w:type="dxa"/>
          </w:tcPr>
          <w:p>
            <w:pPr>
              <w:pStyle w:val="TableParagraph"/>
              <w:spacing w:line="209" w:lineRule="exact"/>
              <w:ind w:left="91"/>
              <w:rPr>
                <w:rFonts w:ascii="Times New Roman"/>
                <w:b/>
                <w:sz w:val="21"/>
              </w:rPr>
            </w:pPr>
            <w:r>
              <w:rPr>
                <w:rFonts w:ascii="Times New Roman"/>
                <w:b/>
                <w:w w:val="105"/>
                <w:sz w:val="21"/>
              </w:rPr>
              <w:t>Totals</w:t>
            </w:r>
          </w:p>
        </w:tc>
        <w:tc>
          <w:tcPr>
            <w:tcW w:w="1080" w:type="dxa"/>
          </w:tcPr>
          <w:p>
            <w:pPr/>
          </w:p>
        </w:tc>
        <w:tc>
          <w:tcPr>
            <w:tcW w:w="1622" w:type="dxa"/>
          </w:tcPr>
          <w:p>
            <w:pPr>
              <w:pStyle w:val="TableParagraph"/>
              <w:spacing w:line="209" w:lineRule="exact"/>
              <w:ind w:left="590" w:right="585"/>
              <w:jc w:val="center"/>
              <w:rPr>
                <w:rFonts w:ascii="Times New Roman"/>
                <w:b/>
                <w:sz w:val="21"/>
              </w:rPr>
            </w:pPr>
            <w:r>
              <w:rPr>
                <w:rFonts w:ascii="Times New Roman"/>
                <w:b/>
                <w:w w:val="105"/>
                <w:sz w:val="21"/>
              </w:rPr>
              <w:t>9.6</w:t>
            </w:r>
          </w:p>
        </w:tc>
        <w:tc>
          <w:tcPr>
            <w:tcW w:w="1618" w:type="dxa"/>
          </w:tcPr>
          <w:p>
            <w:pPr>
              <w:pStyle w:val="TableParagraph"/>
              <w:spacing w:line="209" w:lineRule="exact"/>
              <w:ind w:left="578" w:right="578"/>
              <w:jc w:val="center"/>
              <w:rPr>
                <w:rFonts w:ascii="Times New Roman"/>
                <w:b/>
                <w:sz w:val="21"/>
              </w:rPr>
            </w:pPr>
            <w:r>
              <w:rPr>
                <w:rFonts w:ascii="Times New Roman"/>
                <w:b/>
                <w:w w:val="105"/>
                <w:sz w:val="21"/>
              </w:rPr>
              <w:t>388</w:t>
            </w:r>
          </w:p>
        </w:tc>
        <w:tc>
          <w:tcPr>
            <w:tcW w:w="1891" w:type="dxa"/>
          </w:tcPr>
          <w:p>
            <w:pPr>
              <w:pStyle w:val="TableParagraph"/>
              <w:spacing w:line="209" w:lineRule="exact"/>
              <w:ind w:left="754" w:right="752"/>
              <w:jc w:val="center"/>
              <w:rPr>
                <w:rFonts w:ascii="Times New Roman"/>
                <w:b/>
                <w:sz w:val="21"/>
              </w:rPr>
            </w:pPr>
            <w:r>
              <w:rPr>
                <w:rFonts w:ascii="Times New Roman"/>
                <w:b/>
                <w:w w:val="105"/>
                <w:sz w:val="21"/>
              </w:rPr>
              <w:t>292</w:t>
            </w:r>
          </w:p>
        </w:tc>
        <w:tc>
          <w:tcPr>
            <w:tcW w:w="1618" w:type="dxa"/>
          </w:tcPr>
          <w:p>
            <w:pPr>
              <w:pStyle w:val="TableParagraph"/>
              <w:spacing w:line="209" w:lineRule="exact"/>
              <w:ind w:left="695"/>
              <w:rPr>
                <w:rFonts w:ascii="Times New Roman"/>
                <w:b/>
                <w:sz w:val="21"/>
              </w:rPr>
            </w:pPr>
            <w:r>
              <w:rPr>
                <w:rFonts w:ascii="Times New Roman"/>
                <w:b/>
                <w:w w:val="105"/>
                <w:sz w:val="21"/>
              </w:rPr>
              <w:t>96</w:t>
            </w:r>
          </w:p>
        </w:tc>
      </w:tr>
    </w:tbl>
    <w:p>
      <w:pPr>
        <w:pStyle w:val="BodyText"/>
        <w:spacing w:line="261" w:lineRule="auto" w:before="269"/>
        <w:ind w:left="276" w:right="804" w:firstLine="720"/>
      </w:pPr>
      <w:r>
        <w:rPr>
          <w:w w:val="105"/>
        </w:rPr>
        <w:t>The</w:t>
      </w:r>
      <w:r>
        <w:rPr>
          <w:spacing w:val="-11"/>
          <w:w w:val="105"/>
        </w:rPr>
        <w:t> </w:t>
      </w:r>
      <w:r>
        <w:rPr>
          <w:w w:val="105"/>
        </w:rPr>
        <w:t>Company</w:t>
      </w:r>
      <w:r>
        <w:rPr>
          <w:spacing w:val="-11"/>
          <w:w w:val="105"/>
        </w:rPr>
        <w:t> </w:t>
      </w:r>
      <w:r>
        <w:rPr>
          <w:w w:val="105"/>
        </w:rPr>
        <w:t>currently</w:t>
      </w:r>
      <w:r>
        <w:rPr>
          <w:spacing w:val="-11"/>
          <w:w w:val="105"/>
        </w:rPr>
        <w:t> </w:t>
      </w:r>
      <w:r>
        <w:rPr>
          <w:w w:val="105"/>
        </w:rPr>
        <w:t>intends</w:t>
      </w:r>
      <w:r>
        <w:rPr>
          <w:spacing w:val="-11"/>
          <w:w w:val="105"/>
        </w:rPr>
        <w:t> </w:t>
      </w:r>
      <w:r>
        <w:rPr>
          <w:w w:val="105"/>
        </w:rPr>
        <w:t>to</w:t>
      </w:r>
      <w:r>
        <w:rPr>
          <w:spacing w:val="-11"/>
          <w:w w:val="105"/>
        </w:rPr>
        <w:t> </w:t>
      </w:r>
      <w:r>
        <w:rPr>
          <w:w w:val="105"/>
        </w:rPr>
        <w:t>retire</w:t>
      </w:r>
      <w:r>
        <w:rPr>
          <w:spacing w:val="-11"/>
          <w:w w:val="105"/>
        </w:rPr>
        <w:t> </w:t>
      </w:r>
      <w:r>
        <w:rPr>
          <w:w w:val="105"/>
        </w:rPr>
        <w:t>its</w:t>
      </w:r>
      <w:r>
        <w:rPr>
          <w:spacing w:val="-11"/>
          <w:w w:val="105"/>
        </w:rPr>
        <w:t> </w:t>
      </w:r>
      <w:r>
        <w:rPr>
          <w:w w:val="105"/>
        </w:rPr>
        <w:t>fleet</w:t>
      </w:r>
      <w:r>
        <w:rPr>
          <w:spacing w:val="-11"/>
          <w:w w:val="105"/>
        </w:rPr>
        <w:t> </w:t>
      </w:r>
      <w:r>
        <w:rPr>
          <w:w w:val="105"/>
        </w:rPr>
        <w:t>of</w:t>
      </w:r>
      <w:r>
        <w:rPr>
          <w:spacing w:val="-11"/>
          <w:w w:val="105"/>
        </w:rPr>
        <w:t> </w:t>
      </w:r>
      <w:r>
        <w:rPr>
          <w:w w:val="105"/>
        </w:rPr>
        <w:t>23</w:t>
      </w:r>
      <w:r>
        <w:rPr>
          <w:spacing w:val="-11"/>
          <w:w w:val="105"/>
        </w:rPr>
        <w:t> </w:t>
      </w:r>
      <w:r>
        <w:rPr>
          <w:w w:val="105"/>
        </w:rPr>
        <w:t>Boeing</w:t>
      </w:r>
      <w:r>
        <w:rPr>
          <w:spacing w:val="-11"/>
          <w:w w:val="105"/>
        </w:rPr>
        <w:t> </w:t>
      </w:r>
      <w:r>
        <w:rPr>
          <w:w w:val="105"/>
        </w:rPr>
        <w:t>737-200</w:t>
      </w:r>
      <w:r>
        <w:rPr>
          <w:spacing w:val="-11"/>
          <w:w w:val="105"/>
        </w:rPr>
        <w:t> </w:t>
      </w:r>
      <w:r>
        <w:rPr>
          <w:w w:val="105"/>
        </w:rPr>
        <w:t>aircraft</w:t>
      </w:r>
      <w:r>
        <w:rPr>
          <w:spacing w:val="-11"/>
          <w:w w:val="105"/>
        </w:rPr>
        <w:t> </w:t>
      </w:r>
      <w:r>
        <w:rPr>
          <w:w w:val="105"/>
        </w:rPr>
        <w:t>by</w:t>
      </w:r>
      <w:r>
        <w:rPr>
          <w:spacing w:val="-11"/>
          <w:w w:val="105"/>
        </w:rPr>
        <w:t> </w:t>
      </w:r>
      <w:r>
        <w:rPr>
          <w:w w:val="105"/>
        </w:rPr>
        <w:t>the</w:t>
      </w:r>
      <w:r>
        <w:rPr>
          <w:spacing w:val="-11"/>
          <w:w w:val="105"/>
        </w:rPr>
        <w:t> </w:t>
      </w:r>
      <w:r>
        <w:rPr>
          <w:w w:val="105"/>
        </w:rPr>
        <w:t>end</w:t>
      </w:r>
      <w:r>
        <w:rPr>
          <w:spacing w:val="-11"/>
          <w:w w:val="105"/>
        </w:rPr>
        <w:t> </w:t>
      </w:r>
      <w:r>
        <w:rPr>
          <w:w w:val="105"/>
        </w:rPr>
        <w:t>of</w:t>
      </w:r>
      <w:r>
        <w:rPr>
          <w:spacing w:val="-11"/>
          <w:w w:val="105"/>
        </w:rPr>
        <w:t> </w:t>
      </w:r>
      <w:r>
        <w:rPr>
          <w:w w:val="105"/>
        </w:rPr>
        <w:t>first quarter</w:t>
      </w:r>
      <w:r>
        <w:rPr>
          <w:spacing w:val="-25"/>
          <w:w w:val="105"/>
        </w:rPr>
        <w:t> </w:t>
      </w:r>
      <w:r>
        <w:rPr>
          <w:w w:val="105"/>
        </w:rPr>
        <w:t>2005.</w:t>
      </w:r>
    </w:p>
    <w:p>
      <w:pPr>
        <w:pStyle w:val="BodyText"/>
        <w:spacing w:line="261" w:lineRule="auto" w:before="255"/>
        <w:ind w:left="276" w:right="382" w:firstLine="720"/>
      </w:pPr>
      <w:r>
        <w:rPr>
          <w:w w:val="105"/>
        </w:rPr>
        <w:t>In</w:t>
      </w:r>
      <w:r>
        <w:rPr>
          <w:spacing w:val="-12"/>
          <w:w w:val="105"/>
        </w:rPr>
        <w:t> </w:t>
      </w:r>
      <w:r>
        <w:rPr>
          <w:w w:val="105"/>
        </w:rPr>
        <w:t>total,</w:t>
      </w:r>
      <w:r>
        <w:rPr>
          <w:spacing w:val="-12"/>
          <w:w w:val="105"/>
        </w:rPr>
        <w:t> </w:t>
      </w:r>
      <w:r>
        <w:rPr>
          <w:w w:val="105"/>
        </w:rPr>
        <w:t>at</w:t>
      </w:r>
      <w:r>
        <w:rPr>
          <w:spacing w:val="-12"/>
          <w:w w:val="105"/>
        </w:rPr>
        <w:t> </w:t>
      </w:r>
      <w:r>
        <w:rPr>
          <w:w w:val="105"/>
        </w:rPr>
        <w:t>January</w:t>
      </w:r>
      <w:r>
        <w:rPr>
          <w:spacing w:val="-11"/>
          <w:w w:val="105"/>
        </w:rPr>
        <w:t> </w:t>
      </w:r>
      <w:r>
        <w:rPr>
          <w:w w:val="105"/>
        </w:rPr>
        <w:t>29,</w:t>
      </w:r>
      <w:r>
        <w:rPr>
          <w:spacing w:val="-12"/>
          <w:w w:val="105"/>
        </w:rPr>
        <w:t> </w:t>
      </w:r>
      <w:r>
        <w:rPr>
          <w:w w:val="105"/>
        </w:rPr>
        <w:t>2004,</w:t>
      </w:r>
      <w:r>
        <w:rPr>
          <w:spacing w:val="-12"/>
          <w:w w:val="105"/>
        </w:rPr>
        <w:t> </w:t>
      </w:r>
      <w:r>
        <w:rPr>
          <w:w w:val="105"/>
        </w:rPr>
        <w:t>the</w:t>
      </w:r>
      <w:r>
        <w:rPr>
          <w:spacing w:val="-12"/>
          <w:w w:val="105"/>
        </w:rPr>
        <w:t> </w:t>
      </w:r>
      <w:r>
        <w:rPr>
          <w:w w:val="105"/>
        </w:rPr>
        <w:t>Company</w:t>
      </w:r>
      <w:r>
        <w:rPr>
          <w:spacing w:val="-12"/>
          <w:w w:val="105"/>
        </w:rPr>
        <w:t> </w:t>
      </w:r>
      <w:r>
        <w:rPr>
          <w:w w:val="105"/>
        </w:rPr>
        <w:t>had</w:t>
      </w:r>
      <w:r>
        <w:rPr>
          <w:spacing w:val="-12"/>
          <w:w w:val="105"/>
        </w:rPr>
        <w:t> </w:t>
      </w:r>
      <w:r>
        <w:rPr>
          <w:w w:val="105"/>
        </w:rPr>
        <w:t>firm</w:t>
      </w:r>
      <w:r>
        <w:rPr>
          <w:spacing w:val="-12"/>
          <w:w w:val="105"/>
        </w:rPr>
        <w:t> </w:t>
      </w:r>
      <w:r>
        <w:rPr>
          <w:w w:val="105"/>
        </w:rPr>
        <w:t>orders</w:t>
      </w:r>
      <w:r>
        <w:rPr>
          <w:spacing w:val="-12"/>
          <w:w w:val="105"/>
        </w:rPr>
        <w:t> </w:t>
      </w:r>
      <w:r>
        <w:rPr>
          <w:w w:val="105"/>
        </w:rPr>
        <w:t>and</w:t>
      </w:r>
      <w:r>
        <w:rPr>
          <w:spacing w:val="-12"/>
          <w:w w:val="105"/>
        </w:rPr>
        <w:t> </w:t>
      </w:r>
      <w:r>
        <w:rPr>
          <w:w w:val="105"/>
        </w:rPr>
        <w:t>options</w:t>
      </w:r>
      <w:r>
        <w:rPr>
          <w:spacing w:val="-12"/>
          <w:w w:val="105"/>
        </w:rPr>
        <w:t> </w:t>
      </w:r>
      <w:r>
        <w:rPr>
          <w:w w:val="105"/>
        </w:rPr>
        <w:t>to</w:t>
      </w:r>
      <w:r>
        <w:rPr>
          <w:spacing w:val="-12"/>
          <w:w w:val="105"/>
        </w:rPr>
        <w:t> </w:t>
      </w:r>
      <w:r>
        <w:rPr>
          <w:w w:val="105"/>
        </w:rPr>
        <w:t>purchase</w:t>
      </w:r>
      <w:r>
        <w:rPr>
          <w:spacing w:val="-12"/>
          <w:w w:val="105"/>
        </w:rPr>
        <w:t> </w:t>
      </w:r>
      <w:r>
        <w:rPr>
          <w:w w:val="105"/>
        </w:rPr>
        <w:t>Boeing</w:t>
      </w:r>
      <w:r>
        <w:rPr>
          <w:spacing w:val="-12"/>
          <w:w w:val="105"/>
        </w:rPr>
        <w:t> </w:t>
      </w:r>
      <w:r>
        <w:rPr>
          <w:w w:val="105"/>
        </w:rPr>
        <w:t>737 aircraft as</w:t>
      </w:r>
      <w:r>
        <w:rPr>
          <w:spacing w:val="-35"/>
          <w:w w:val="105"/>
        </w:rPr>
        <w:t> </w:t>
      </w:r>
      <w:r>
        <w:rPr>
          <w:w w:val="105"/>
        </w:rPr>
        <w:t>follows:</w:t>
      </w:r>
    </w:p>
    <w:p>
      <w:pPr>
        <w:spacing w:after="0" w:line="261" w:lineRule="auto"/>
        <w:sectPr>
          <w:pgSz w:w="12240" w:h="15840"/>
          <w:pgMar w:top="1460" w:bottom="280" w:left="1020" w:right="1020"/>
        </w:sectPr>
      </w:pPr>
    </w:p>
    <w:p>
      <w:pPr>
        <w:pStyle w:val="Heading2"/>
        <w:spacing w:before="100" w:after="7"/>
        <w:ind w:left="2045"/>
      </w:pPr>
      <w:bookmarkStart w:name="Legal Proceedings" w:id="22"/>
      <w:bookmarkEnd w:id="22"/>
      <w:r>
        <w:rPr>
          <w:b w:val="0"/>
        </w:rPr>
      </w:r>
      <w:r>
        <w:rPr>
          <w:w w:val="105"/>
        </w:rPr>
        <w:t>Firm Orders and Options to Purchase Boeing 737-700 Aircraft</w:t>
      </w:r>
    </w:p>
    <w:tbl>
      <w:tblPr>
        <w:tblW w:w="0" w:type="auto"/>
        <w:jc w:val="left"/>
        <w:tblInd w:w="2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362"/>
        <w:gridCol w:w="2362"/>
        <w:gridCol w:w="2357"/>
        <w:gridCol w:w="2366"/>
      </w:tblGrid>
      <w:tr>
        <w:trPr>
          <w:trHeight w:val="523" w:hRule="exact"/>
        </w:trPr>
        <w:tc>
          <w:tcPr>
            <w:tcW w:w="2362" w:type="dxa"/>
          </w:tcPr>
          <w:p>
            <w:pPr>
              <w:pStyle w:val="TableParagraph"/>
              <w:spacing w:before="130"/>
              <w:ind w:left="527"/>
              <w:rPr>
                <w:rFonts w:ascii="Times New Roman"/>
                <w:b/>
                <w:sz w:val="21"/>
              </w:rPr>
            </w:pPr>
            <w:r>
              <w:rPr>
                <w:rFonts w:ascii="Times New Roman"/>
                <w:b/>
                <w:w w:val="105"/>
                <w:sz w:val="21"/>
                <w:u w:val="single"/>
              </w:rPr>
              <w:t>Delivery Year</w:t>
            </w:r>
          </w:p>
        </w:tc>
        <w:tc>
          <w:tcPr>
            <w:tcW w:w="2362" w:type="dxa"/>
          </w:tcPr>
          <w:p>
            <w:pPr>
              <w:pStyle w:val="TableParagraph"/>
              <w:spacing w:before="130"/>
              <w:ind w:left="553" w:right="547"/>
              <w:jc w:val="center"/>
              <w:rPr>
                <w:rFonts w:ascii="Times New Roman"/>
                <w:b/>
                <w:sz w:val="21"/>
              </w:rPr>
            </w:pPr>
            <w:r>
              <w:rPr>
                <w:rFonts w:ascii="Times New Roman"/>
                <w:b/>
                <w:w w:val="105"/>
                <w:sz w:val="21"/>
                <w:u w:val="single"/>
              </w:rPr>
              <w:t>Firm Orders</w:t>
            </w:r>
          </w:p>
        </w:tc>
        <w:tc>
          <w:tcPr>
            <w:tcW w:w="2357" w:type="dxa"/>
          </w:tcPr>
          <w:p>
            <w:pPr>
              <w:pStyle w:val="TableParagraph"/>
              <w:spacing w:before="130"/>
              <w:ind w:left="775" w:right="778"/>
              <w:jc w:val="center"/>
              <w:rPr>
                <w:rFonts w:ascii="Times New Roman"/>
                <w:b/>
                <w:sz w:val="21"/>
              </w:rPr>
            </w:pPr>
            <w:r>
              <w:rPr>
                <w:rFonts w:ascii="Times New Roman"/>
                <w:b/>
                <w:w w:val="105"/>
                <w:sz w:val="21"/>
                <w:u w:val="single"/>
              </w:rPr>
              <w:t>Options</w:t>
            </w:r>
          </w:p>
        </w:tc>
        <w:tc>
          <w:tcPr>
            <w:tcW w:w="2366" w:type="dxa"/>
          </w:tcPr>
          <w:p>
            <w:pPr>
              <w:pStyle w:val="TableParagraph"/>
              <w:spacing w:before="130"/>
              <w:ind w:left="387" w:right="387"/>
              <w:jc w:val="center"/>
              <w:rPr>
                <w:rFonts w:ascii="Times New Roman"/>
                <w:b/>
                <w:sz w:val="21"/>
              </w:rPr>
            </w:pPr>
            <w:r>
              <w:rPr>
                <w:rFonts w:ascii="Times New Roman"/>
                <w:b/>
                <w:w w:val="105"/>
                <w:sz w:val="21"/>
                <w:u w:val="single"/>
              </w:rPr>
              <w:t>Purchase Rights</w:t>
            </w:r>
          </w:p>
        </w:tc>
      </w:tr>
      <w:tr>
        <w:trPr>
          <w:trHeight w:val="235" w:hRule="exact"/>
        </w:trPr>
        <w:tc>
          <w:tcPr>
            <w:tcW w:w="2362" w:type="dxa"/>
          </w:tcPr>
          <w:p>
            <w:pPr>
              <w:pStyle w:val="TableParagraph"/>
              <w:spacing w:line="209" w:lineRule="exact"/>
              <w:ind w:left="551" w:right="547"/>
              <w:jc w:val="center"/>
              <w:rPr>
                <w:rFonts w:ascii="Times New Roman"/>
                <w:sz w:val="21"/>
              </w:rPr>
            </w:pPr>
            <w:r>
              <w:rPr>
                <w:rFonts w:ascii="Times New Roman"/>
                <w:w w:val="105"/>
                <w:sz w:val="21"/>
              </w:rPr>
              <w:t>2004</w:t>
            </w:r>
          </w:p>
        </w:tc>
        <w:tc>
          <w:tcPr>
            <w:tcW w:w="2362" w:type="dxa"/>
          </w:tcPr>
          <w:p>
            <w:pPr>
              <w:pStyle w:val="TableParagraph"/>
              <w:spacing w:line="209" w:lineRule="exact"/>
              <w:ind w:left="553" w:right="501"/>
              <w:jc w:val="center"/>
              <w:rPr>
                <w:rFonts w:ascii="Times New Roman"/>
                <w:sz w:val="21"/>
              </w:rPr>
            </w:pPr>
            <w:r>
              <w:rPr>
                <w:rFonts w:ascii="Times New Roman"/>
                <w:w w:val="105"/>
                <w:sz w:val="21"/>
              </w:rPr>
              <w:t>47*</w:t>
            </w:r>
          </w:p>
        </w:tc>
        <w:tc>
          <w:tcPr>
            <w:tcW w:w="2357" w:type="dxa"/>
          </w:tcPr>
          <w:p>
            <w:pPr>
              <w:pStyle w:val="TableParagraph"/>
              <w:spacing w:line="209" w:lineRule="exact"/>
              <w:ind w:right="2"/>
              <w:jc w:val="center"/>
              <w:rPr>
                <w:rFonts w:ascii="Times New Roman"/>
                <w:sz w:val="21"/>
              </w:rPr>
            </w:pPr>
            <w:r>
              <w:rPr>
                <w:rFonts w:ascii="Times New Roman"/>
                <w:w w:val="102"/>
                <w:sz w:val="21"/>
              </w:rPr>
              <w:t>-</w:t>
            </w:r>
          </w:p>
        </w:tc>
        <w:tc>
          <w:tcPr>
            <w:tcW w:w="2366" w:type="dxa"/>
          </w:tcPr>
          <w:p>
            <w:pPr>
              <w:pStyle w:val="TableParagraph"/>
              <w:spacing w:line="209" w:lineRule="exact"/>
              <w:ind w:left="4"/>
              <w:jc w:val="center"/>
              <w:rPr>
                <w:rFonts w:ascii="Times New Roman"/>
                <w:sz w:val="21"/>
              </w:rPr>
            </w:pPr>
            <w:r>
              <w:rPr>
                <w:rFonts w:ascii="Times New Roman"/>
                <w:w w:val="102"/>
                <w:sz w:val="21"/>
              </w:rPr>
              <w:t>-</w:t>
            </w:r>
          </w:p>
        </w:tc>
      </w:tr>
      <w:tr>
        <w:trPr>
          <w:trHeight w:val="235" w:hRule="exact"/>
        </w:trPr>
        <w:tc>
          <w:tcPr>
            <w:tcW w:w="2362" w:type="dxa"/>
          </w:tcPr>
          <w:p>
            <w:pPr>
              <w:pStyle w:val="TableParagraph"/>
              <w:spacing w:line="209" w:lineRule="exact"/>
              <w:ind w:left="551" w:right="547"/>
              <w:jc w:val="center"/>
              <w:rPr>
                <w:rFonts w:ascii="Times New Roman"/>
                <w:sz w:val="21"/>
              </w:rPr>
            </w:pPr>
            <w:r>
              <w:rPr>
                <w:rFonts w:ascii="Times New Roman"/>
                <w:w w:val="105"/>
                <w:sz w:val="21"/>
              </w:rPr>
              <w:t>2005</w:t>
            </w:r>
          </w:p>
        </w:tc>
        <w:tc>
          <w:tcPr>
            <w:tcW w:w="2362" w:type="dxa"/>
          </w:tcPr>
          <w:p>
            <w:pPr>
              <w:pStyle w:val="TableParagraph"/>
              <w:spacing w:line="209" w:lineRule="exact"/>
              <w:ind w:left="547" w:right="547"/>
              <w:jc w:val="center"/>
              <w:rPr>
                <w:rFonts w:ascii="Times New Roman"/>
                <w:sz w:val="21"/>
              </w:rPr>
            </w:pPr>
            <w:r>
              <w:rPr>
                <w:rFonts w:ascii="Times New Roman"/>
                <w:w w:val="105"/>
                <w:sz w:val="21"/>
              </w:rPr>
              <w:t>28</w:t>
            </w:r>
          </w:p>
        </w:tc>
        <w:tc>
          <w:tcPr>
            <w:tcW w:w="2357" w:type="dxa"/>
          </w:tcPr>
          <w:p>
            <w:pPr>
              <w:pStyle w:val="TableParagraph"/>
              <w:spacing w:line="209" w:lineRule="exact"/>
              <w:ind w:right="5"/>
              <w:jc w:val="center"/>
              <w:rPr>
                <w:rFonts w:ascii="Times New Roman"/>
                <w:sz w:val="21"/>
              </w:rPr>
            </w:pPr>
            <w:r>
              <w:rPr>
                <w:rFonts w:ascii="Times New Roman"/>
                <w:w w:val="102"/>
                <w:sz w:val="21"/>
              </w:rPr>
              <w:t>6</w:t>
            </w:r>
          </w:p>
        </w:tc>
        <w:tc>
          <w:tcPr>
            <w:tcW w:w="2366" w:type="dxa"/>
          </w:tcPr>
          <w:p>
            <w:pPr>
              <w:pStyle w:val="TableParagraph"/>
              <w:spacing w:line="209" w:lineRule="exact"/>
              <w:ind w:left="4"/>
              <w:jc w:val="center"/>
              <w:rPr>
                <w:rFonts w:ascii="Times New Roman"/>
                <w:sz w:val="21"/>
              </w:rPr>
            </w:pPr>
            <w:r>
              <w:rPr>
                <w:rFonts w:ascii="Times New Roman"/>
                <w:w w:val="102"/>
                <w:sz w:val="21"/>
              </w:rPr>
              <w:t>-</w:t>
            </w:r>
          </w:p>
        </w:tc>
      </w:tr>
      <w:tr>
        <w:trPr>
          <w:trHeight w:val="235" w:hRule="exact"/>
        </w:trPr>
        <w:tc>
          <w:tcPr>
            <w:tcW w:w="2362" w:type="dxa"/>
          </w:tcPr>
          <w:p>
            <w:pPr>
              <w:pStyle w:val="TableParagraph"/>
              <w:spacing w:line="209" w:lineRule="exact"/>
              <w:ind w:left="551" w:right="547"/>
              <w:jc w:val="center"/>
              <w:rPr>
                <w:rFonts w:ascii="Times New Roman"/>
                <w:sz w:val="21"/>
              </w:rPr>
            </w:pPr>
            <w:r>
              <w:rPr>
                <w:rFonts w:ascii="Times New Roman"/>
                <w:w w:val="105"/>
                <w:sz w:val="21"/>
              </w:rPr>
              <w:t>2006</w:t>
            </w:r>
          </w:p>
        </w:tc>
        <w:tc>
          <w:tcPr>
            <w:tcW w:w="2362" w:type="dxa"/>
          </w:tcPr>
          <w:p>
            <w:pPr>
              <w:pStyle w:val="TableParagraph"/>
              <w:spacing w:line="209" w:lineRule="exact"/>
              <w:ind w:left="547" w:right="547"/>
              <w:jc w:val="center"/>
              <w:rPr>
                <w:rFonts w:ascii="Times New Roman"/>
                <w:sz w:val="21"/>
              </w:rPr>
            </w:pPr>
            <w:r>
              <w:rPr>
                <w:rFonts w:ascii="Times New Roman"/>
                <w:w w:val="105"/>
                <w:sz w:val="21"/>
              </w:rPr>
              <w:t>22</w:t>
            </w:r>
          </w:p>
        </w:tc>
        <w:tc>
          <w:tcPr>
            <w:tcW w:w="2357" w:type="dxa"/>
          </w:tcPr>
          <w:p>
            <w:pPr>
              <w:pStyle w:val="TableParagraph"/>
              <w:spacing w:line="209" w:lineRule="exact"/>
              <w:ind w:left="775" w:right="777"/>
              <w:jc w:val="center"/>
              <w:rPr>
                <w:rFonts w:ascii="Times New Roman"/>
                <w:sz w:val="21"/>
              </w:rPr>
            </w:pPr>
            <w:r>
              <w:rPr>
                <w:rFonts w:ascii="Times New Roman"/>
                <w:w w:val="105"/>
                <w:sz w:val="21"/>
              </w:rPr>
              <w:t>12</w:t>
            </w:r>
          </w:p>
        </w:tc>
        <w:tc>
          <w:tcPr>
            <w:tcW w:w="2366" w:type="dxa"/>
          </w:tcPr>
          <w:p>
            <w:pPr>
              <w:pStyle w:val="TableParagraph"/>
              <w:spacing w:line="209" w:lineRule="exact"/>
              <w:ind w:left="4"/>
              <w:jc w:val="center"/>
              <w:rPr>
                <w:rFonts w:ascii="Times New Roman"/>
                <w:sz w:val="21"/>
              </w:rPr>
            </w:pPr>
            <w:r>
              <w:rPr>
                <w:rFonts w:ascii="Times New Roman"/>
                <w:w w:val="102"/>
                <w:sz w:val="21"/>
              </w:rPr>
              <w:t>-</w:t>
            </w:r>
          </w:p>
        </w:tc>
      </w:tr>
      <w:tr>
        <w:trPr>
          <w:trHeight w:val="235" w:hRule="exact"/>
        </w:trPr>
        <w:tc>
          <w:tcPr>
            <w:tcW w:w="2362" w:type="dxa"/>
          </w:tcPr>
          <w:p>
            <w:pPr>
              <w:pStyle w:val="TableParagraph"/>
              <w:spacing w:line="209" w:lineRule="exact"/>
              <w:ind w:left="551" w:right="547"/>
              <w:jc w:val="center"/>
              <w:rPr>
                <w:rFonts w:ascii="Times New Roman"/>
                <w:sz w:val="21"/>
              </w:rPr>
            </w:pPr>
            <w:r>
              <w:rPr>
                <w:rFonts w:ascii="Times New Roman"/>
                <w:w w:val="105"/>
                <w:sz w:val="21"/>
              </w:rPr>
              <w:t>2007</w:t>
            </w:r>
          </w:p>
        </w:tc>
        <w:tc>
          <w:tcPr>
            <w:tcW w:w="2362" w:type="dxa"/>
          </w:tcPr>
          <w:p>
            <w:pPr>
              <w:pStyle w:val="TableParagraph"/>
              <w:spacing w:line="209" w:lineRule="exact"/>
              <w:ind w:left="547" w:right="547"/>
              <w:jc w:val="center"/>
              <w:rPr>
                <w:rFonts w:ascii="Times New Roman"/>
                <w:sz w:val="21"/>
              </w:rPr>
            </w:pPr>
            <w:r>
              <w:rPr>
                <w:rFonts w:ascii="Times New Roman"/>
                <w:w w:val="105"/>
                <w:sz w:val="21"/>
              </w:rPr>
              <w:t>25</w:t>
            </w:r>
          </w:p>
        </w:tc>
        <w:tc>
          <w:tcPr>
            <w:tcW w:w="2357" w:type="dxa"/>
          </w:tcPr>
          <w:p>
            <w:pPr>
              <w:pStyle w:val="TableParagraph"/>
              <w:spacing w:line="209" w:lineRule="exact"/>
              <w:ind w:right="5"/>
              <w:jc w:val="center"/>
              <w:rPr>
                <w:rFonts w:ascii="Times New Roman"/>
                <w:sz w:val="21"/>
              </w:rPr>
            </w:pPr>
            <w:r>
              <w:rPr>
                <w:rFonts w:ascii="Times New Roman"/>
                <w:w w:val="102"/>
                <w:sz w:val="21"/>
              </w:rPr>
              <w:t>9</w:t>
            </w:r>
          </w:p>
        </w:tc>
        <w:tc>
          <w:tcPr>
            <w:tcW w:w="2366" w:type="dxa"/>
          </w:tcPr>
          <w:p>
            <w:pPr>
              <w:pStyle w:val="TableParagraph"/>
              <w:spacing w:line="209" w:lineRule="exact"/>
              <w:ind w:left="387" w:right="383"/>
              <w:jc w:val="center"/>
              <w:rPr>
                <w:rFonts w:ascii="Times New Roman"/>
                <w:sz w:val="21"/>
              </w:rPr>
            </w:pPr>
            <w:r>
              <w:rPr>
                <w:rFonts w:ascii="Times New Roman"/>
                <w:w w:val="105"/>
                <w:sz w:val="21"/>
              </w:rPr>
              <w:t>20</w:t>
            </w:r>
          </w:p>
        </w:tc>
      </w:tr>
      <w:tr>
        <w:trPr>
          <w:trHeight w:val="235" w:hRule="exact"/>
        </w:trPr>
        <w:tc>
          <w:tcPr>
            <w:tcW w:w="2362" w:type="dxa"/>
          </w:tcPr>
          <w:p>
            <w:pPr>
              <w:pStyle w:val="TableParagraph"/>
              <w:spacing w:line="209" w:lineRule="exact"/>
              <w:ind w:left="551" w:right="547"/>
              <w:jc w:val="center"/>
              <w:rPr>
                <w:rFonts w:ascii="Times New Roman"/>
                <w:sz w:val="21"/>
              </w:rPr>
            </w:pPr>
            <w:r>
              <w:rPr>
                <w:rFonts w:ascii="Times New Roman"/>
                <w:w w:val="105"/>
                <w:sz w:val="21"/>
              </w:rPr>
              <w:t>2008</w:t>
            </w:r>
          </w:p>
        </w:tc>
        <w:tc>
          <w:tcPr>
            <w:tcW w:w="2362" w:type="dxa"/>
          </w:tcPr>
          <w:p>
            <w:pPr>
              <w:pStyle w:val="TableParagraph"/>
              <w:spacing w:line="209" w:lineRule="exact"/>
              <w:jc w:val="center"/>
              <w:rPr>
                <w:rFonts w:ascii="Times New Roman"/>
                <w:sz w:val="21"/>
              </w:rPr>
            </w:pPr>
            <w:r>
              <w:rPr>
                <w:rFonts w:ascii="Times New Roman"/>
                <w:w w:val="102"/>
                <w:sz w:val="21"/>
              </w:rPr>
              <w:t>6</w:t>
            </w:r>
          </w:p>
        </w:tc>
        <w:tc>
          <w:tcPr>
            <w:tcW w:w="2357" w:type="dxa"/>
          </w:tcPr>
          <w:p>
            <w:pPr>
              <w:pStyle w:val="TableParagraph"/>
              <w:spacing w:line="209" w:lineRule="exact"/>
              <w:ind w:left="775" w:right="777"/>
              <w:jc w:val="center"/>
              <w:rPr>
                <w:rFonts w:ascii="Times New Roman"/>
                <w:sz w:val="21"/>
              </w:rPr>
            </w:pPr>
            <w:r>
              <w:rPr>
                <w:rFonts w:ascii="Times New Roman"/>
                <w:w w:val="105"/>
                <w:sz w:val="21"/>
              </w:rPr>
              <w:t>25</w:t>
            </w:r>
          </w:p>
        </w:tc>
        <w:tc>
          <w:tcPr>
            <w:tcW w:w="2366" w:type="dxa"/>
          </w:tcPr>
          <w:p>
            <w:pPr>
              <w:pStyle w:val="TableParagraph"/>
              <w:spacing w:line="209" w:lineRule="exact"/>
              <w:ind w:left="387" w:right="383"/>
              <w:jc w:val="center"/>
              <w:rPr>
                <w:rFonts w:ascii="Times New Roman"/>
                <w:sz w:val="21"/>
              </w:rPr>
            </w:pPr>
            <w:r>
              <w:rPr>
                <w:rFonts w:ascii="Times New Roman"/>
                <w:w w:val="105"/>
                <w:sz w:val="21"/>
              </w:rPr>
              <w:t>20</w:t>
            </w:r>
          </w:p>
        </w:tc>
      </w:tr>
      <w:tr>
        <w:trPr>
          <w:trHeight w:val="235" w:hRule="exact"/>
        </w:trPr>
        <w:tc>
          <w:tcPr>
            <w:tcW w:w="2362" w:type="dxa"/>
          </w:tcPr>
          <w:p>
            <w:pPr>
              <w:pStyle w:val="TableParagraph"/>
              <w:spacing w:line="209" w:lineRule="exact"/>
              <w:ind w:left="705"/>
              <w:rPr>
                <w:rFonts w:ascii="Times New Roman"/>
                <w:sz w:val="21"/>
              </w:rPr>
            </w:pPr>
            <w:r>
              <w:rPr>
                <w:rFonts w:ascii="Times New Roman"/>
                <w:w w:val="105"/>
                <w:sz w:val="21"/>
              </w:rPr>
              <w:t>2009-2012</w:t>
            </w:r>
          </w:p>
        </w:tc>
        <w:tc>
          <w:tcPr>
            <w:tcW w:w="2362" w:type="dxa"/>
          </w:tcPr>
          <w:p>
            <w:pPr>
              <w:pStyle w:val="TableParagraph"/>
              <w:spacing w:line="209" w:lineRule="exact"/>
              <w:jc w:val="center"/>
              <w:rPr>
                <w:rFonts w:ascii="Times New Roman"/>
                <w:sz w:val="21"/>
              </w:rPr>
            </w:pPr>
            <w:r>
              <w:rPr>
                <w:rFonts w:ascii="Times New Roman"/>
                <w:w w:val="102"/>
                <w:sz w:val="21"/>
              </w:rPr>
              <w:t>-</w:t>
            </w:r>
          </w:p>
        </w:tc>
        <w:tc>
          <w:tcPr>
            <w:tcW w:w="2357" w:type="dxa"/>
          </w:tcPr>
          <w:p>
            <w:pPr>
              <w:pStyle w:val="TableParagraph"/>
              <w:spacing w:line="209" w:lineRule="exact"/>
              <w:ind w:right="2"/>
              <w:jc w:val="center"/>
              <w:rPr>
                <w:rFonts w:ascii="Times New Roman"/>
                <w:sz w:val="21"/>
              </w:rPr>
            </w:pPr>
            <w:r>
              <w:rPr>
                <w:rFonts w:ascii="Times New Roman"/>
                <w:w w:val="102"/>
                <w:sz w:val="21"/>
              </w:rPr>
              <w:t>-</w:t>
            </w:r>
          </w:p>
        </w:tc>
        <w:tc>
          <w:tcPr>
            <w:tcW w:w="2366" w:type="dxa"/>
          </w:tcPr>
          <w:p>
            <w:pPr>
              <w:pStyle w:val="TableParagraph"/>
              <w:spacing w:line="209" w:lineRule="exact"/>
              <w:ind w:left="387" w:right="387"/>
              <w:jc w:val="center"/>
              <w:rPr>
                <w:rFonts w:ascii="Times New Roman"/>
                <w:sz w:val="21"/>
              </w:rPr>
            </w:pPr>
            <w:r>
              <w:rPr>
                <w:rFonts w:ascii="Times New Roman"/>
                <w:w w:val="105"/>
                <w:sz w:val="21"/>
              </w:rPr>
              <w:t>177</w:t>
            </w:r>
          </w:p>
        </w:tc>
      </w:tr>
      <w:tr>
        <w:trPr>
          <w:trHeight w:val="235" w:hRule="exact"/>
        </w:trPr>
        <w:tc>
          <w:tcPr>
            <w:tcW w:w="2362" w:type="dxa"/>
          </w:tcPr>
          <w:p>
            <w:pPr>
              <w:pStyle w:val="TableParagraph"/>
              <w:spacing w:line="209" w:lineRule="exact"/>
              <w:ind w:left="95"/>
              <w:rPr>
                <w:rFonts w:ascii="Times New Roman"/>
                <w:b/>
                <w:sz w:val="21"/>
              </w:rPr>
            </w:pPr>
            <w:r>
              <w:rPr>
                <w:rFonts w:ascii="Times New Roman"/>
                <w:b/>
                <w:w w:val="105"/>
                <w:sz w:val="21"/>
              </w:rPr>
              <w:t>Totals</w:t>
            </w:r>
          </w:p>
        </w:tc>
        <w:tc>
          <w:tcPr>
            <w:tcW w:w="2362" w:type="dxa"/>
          </w:tcPr>
          <w:p>
            <w:pPr>
              <w:pStyle w:val="TableParagraph"/>
              <w:spacing w:line="209" w:lineRule="exact"/>
              <w:ind w:left="549" w:right="547"/>
              <w:jc w:val="center"/>
              <w:rPr>
                <w:rFonts w:ascii="Times New Roman"/>
                <w:b/>
                <w:sz w:val="21"/>
              </w:rPr>
            </w:pPr>
            <w:r>
              <w:rPr>
                <w:rFonts w:ascii="Times New Roman"/>
                <w:b/>
                <w:w w:val="105"/>
                <w:sz w:val="21"/>
              </w:rPr>
              <w:t>128</w:t>
            </w:r>
          </w:p>
        </w:tc>
        <w:tc>
          <w:tcPr>
            <w:tcW w:w="2357" w:type="dxa"/>
          </w:tcPr>
          <w:p>
            <w:pPr>
              <w:pStyle w:val="TableParagraph"/>
              <w:spacing w:line="209" w:lineRule="exact"/>
              <w:ind w:left="775" w:right="777"/>
              <w:jc w:val="center"/>
              <w:rPr>
                <w:rFonts w:ascii="Times New Roman"/>
                <w:b/>
                <w:sz w:val="21"/>
              </w:rPr>
            </w:pPr>
            <w:r>
              <w:rPr>
                <w:rFonts w:ascii="Times New Roman"/>
                <w:b/>
                <w:w w:val="105"/>
                <w:sz w:val="21"/>
              </w:rPr>
              <w:t>52</w:t>
            </w:r>
          </w:p>
        </w:tc>
        <w:tc>
          <w:tcPr>
            <w:tcW w:w="2366" w:type="dxa"/>
          </w:tcPr>
          <w:p>
            <w:pPr>
              <w:pStyle w:val="TableParagraph"/>
              <w:spacing w:line="209" w:lineRule="exact"/>
              <w:ind w:left="387" w:right="387"/>
              <w:jc w:val="center"/>
              <w:rPr>
                <w:rFonts w:ascii="Times New Roman"/>
                <w:b/>
                <w:sz w:val="21"/>
              </w:rPr>
            </w:pPr>
            <w:r>
              <w:rPr>
                <w:rFonts w:ascii="Times New Roman"/>
                <w:b/>
                <w:w w:val="105"/>
                <w:sz w:val="21"/>
              </w:rPr>
              <w:t>217</w:t>
            </w:r>
          </w:p>
        </w:tc>
      </w:tr>
    </w:tbl>
    <w:p>
      <w:pPr>
        <w:pStyle w:val="BodyText"/>
        <w:spacing w:before="269"/>
        <w:ind w:left="115"/>
      </w:pPr>
      <w:r>
        <w:rPr>
          <w:w w:val="105"/>
        </w:rPr>
        <w:t>*Includes one leased aircraft to be delivered new from a third party.</w:t>
      </w:r>
    </w:p>
    <w:p>
      <w:pPr>
        <w:pStyle w:val="BodyText"/>
        <w:spacing w:before="10"/>
        <w:rPr>
          <w:sz w:val="24"/>
        </w:rPr>
      </w:pPr>
    </w:p>
    <w:p>
      <w:pPr>
        <w:pStyle w:val="Heading2"/>
      </w:pPr>
      <w:r>
        <w:rPr>
          <w:w w:val="105"/>
        </w:rPr>
        <w:t>Ground Facilities and Services</w:t>
      </w:r>
    </w:p>
    <w:p>
      <w:pPr>
        <w:pStyle w:val="BodyText"/>
        <w:spacing w:before="5"/>
        <w:rPr>
          <w:b/>
          <w:sz w:val="24"/>
        </w:rPr>
      </w:pPr>
    </w:p>
    <w:p>
      <w:pPr>
        <w:pStyle w:val="BodyText"/>
        <w:spacing w:line="259" w:lineRule="auto"/>
        <w:ind w:left="116" w:right="105" w:firstLine="432"/>
        <w:jc w:val="both"/>
      </w:pPr>
      <w:r>
        <w:rPr>
          <w:w w:val="105"/>
        </w:rPr>
        <w:t>Southwest leases terminal passenger service facilities at each of the airports it serves, to which it has added various leasehold improvements. The Company leases land on a long-term basis for its maintenance centers located at Dallas Love Field, Houston Hobby, Phoenix Sky Harbor, and Chicago Midway, its training center near Love Field, which houses six 737 simulators, and its corporate headquarters, also located near Love Field. The maintenance, training center, and corporate headquarters buildings on these sites were built and are owned by Southwest. At December 31, 2003, the Company operated nine reservation centers. The reservation centers located in Little Rock, Arkansas; Chicago, Illinois; Albuquerque, New Mexico; Oklahoma City, Oklahoma; and Salt Lake City, Utah occupy leased space. The Company owns its Dallas, Texas; Houston, Texas; Phoenix, Arizona; and San Antonio, Texas reservation centers. The Company recently announced that it intends to close its Dallas, Salt Lake City, and Little Rock reservations centers on February 28, 2004.</w:t>
      </w:r>
    </w:p>
    <w:p>
      <w:pPr>
        <w:pStyle w:val="BodyText"/>
        <w:spacing w:line="259" w:lineRule="auto" w:before="262"/>
        <w:ind w:left="116" w:right="108" w:firstLine="499"/>
        <w:jc w:val="both"/>
      </w:pPr>
      <w:r>
        <w:rPr>
          <w:w w:val="105"/>
        </w:rPr>
        <w:t>Southwest has entered into a concession agreement with the Town of Islip, New York which gives the Company the right to construct, furnish, occupy, and maintain a new concourse at the airport. Once </w:t>
      </w:r>
      <w:r>
        <w:rPr>
          <w:spacing w:val="2"/>
          <w:w w:val="105"/>
        </w:rPr>
        <w:t>all  </w:t>
      </w:r>
      <w:r>
        <w:rPr>
          <w:w w:val="105"/>
        </w:rPr>
        <w:t>phases of the project are completed, the concourse could have up to a total of eight gates. Phase I of this project, which is expected to be ready for operations in mid-2004, includes four gates. Phase II construction, </w:t>
      </w:r>
      <w:r>
        <w:rPr>
          <w:spacing w:val="3"/>
          <w:w w:val="105"/>
        </w:rPr>
        <w:t>which includes </w:t>
      </w:r>
      <w:r>
        <w:rPr>
          <w:w w:val="105"/>
        </w:rPr>
        <w:t>an </w:t>
      </w:r>
      <w:r>
        <w:rPr>
          <w:spacing w:val="3"/>
          <w:w w:val="105"/>
        </w:rPr>
        <w:t>additional </w:t>
      </w:r>
      <w:r>
        <w:rPr>
          <w:w w:val="105"/>
        </w:rPr>
        <w:t>4 </w:t>
      </w:r>
      <w:r>
        <w:rPr>
          <w:spacing w:val="3"/>
          <w:w w:val="105"/>
        </w:rPr>
        <w:t>gates, could, </w:t>
      </w:r>
      <w:r>
        <w:rPr>
          <w:w w:val="105"/>
        </w:rPr>
        <w:t>at </w:t>
      </w:r>
      <w:r>
        <w:rPr>
          <w:spacing w:val="2"/>
          <w:w w:val="105"/>
        </w:rPr>
        <w:t>the </w:t>
      </w:r>
      <w:r>
        <w:rPr>
          <w:spacing w:val="3"/>
          <w:w w:val="105"/>
        </w:rPr>
        <w:t>Company’s election, begin immediately upon </w:t>
      </w:r>
      <w:r>
        <w:rPr>
          <w:spacing w:val="4"/>
          <w:w w:val="105"/>
        </w:rPr>
        <w:t>the </w:t>
      </w:r>
      <w:r>
        <w:rPr>
          <w:w w:val="105"/>
        </w:rPr>
        <w:t>completion of Phase I and could be completed in 2005. When all phases of construction are complete, </w:t>
      </w:r>
      <w:r>
        <w:rPr>
          <w:spacing w:val="2"/>
          <w:w w:val="105"/>
        </w:rPr>
        <w:t>the </w:t>
      </w:r>
      <w:r>
        <w:rPr>
          <w:w w:val="105"/>
        </w:rPr>
        <w:t>entire new concourse will become the property of the Town of Islip. In return for constructing the </w:t>
      </w:r>
      <w:r>
        <w:rPr>
          <w:spacing w:val="2"/>
          <w:w w:val="105"/>
        </w:rPr>
        <w:t>new </w:t>
      </w:r>
      <w:r>
        <w:rPr>
          <w:w w:val="105"/>
        </w:rPr>
        <w:t>concourse, Southwest will receive fixed-rent abatements for a total of 25 years; however, the Company will still</w:t>
      </w:r>
      <w:r>
        <w:rPr>
          <w:spacing w:val="-12"/>
          <w:w w:val="105"/>
        </w:rPr>
        <w:t> </w:t>
      </w:r>
      <w:r>
        <w:rPr>
          <w:w w:val="105"/>
        </w:rPr>
        <w:t>be</w:t>
      </w:r>
      <w:r>
        <w:rPr>
          <w:spacing w:val="-12"/>
          <w:w w:val="105"/>
        </w:rPr>
        <w:t> </w:t>
      </w:r>
      <w:r>
        <w:rPr>
          <w:w w:val="105"/>
        </w:rPr>
        <w:t>required</w:t>
      </w:r>
      <w:r>
        <w:rPr>
          <w:spacing w:val="-12"/>
          <w:w w:val="105"/>
        </w:rPr>
        <w:t> </w:t>
      </w:r>
      <w:r>
        <w:rPr>
          <w:w w:val="105"/>
        </w:rPr>
        <w:t>to</w:t>
      </w:r>
      <w:r>
        <w:rPr>
          <w:spacing w:val="-12"/>
          <w:w w:val="105"/>
        </w:rPr>
        <w:t> </w:t>
      </w:r>
      <w:r>
        <w:rPr>
          <w:w w:val="105"/>
        </w:rPr>
        <w:t>pay</w:t>
      </w:r>
      <w:r>
        <w:rPr>
          <w:spacing w:val="-12"/>
          <w:w w:val="105"/>
        </w:rPr>
        <w:t> </w:t>
      </w:r>
      <w:r>
        <w:rPr>
          <w:w w:val="105"/>
        </w:rPr>
        <w:t>variable</w:t>
      </w:r>
      <w:r>
        <w:rPr>
          <w:spacing w:val="-12"/>
          <w:w w:val="105"/>
        </w:rPr>
        <w:t> </w:t>
      </w:r>
      <w:r>
        <w:rPr>
          <w:w w:val="105"/>
        </w:rPr>
        <w:t>rents</w:t>
      </w:r>
      <w:r>
        <w:rPr>
          <w:spacing w:val="-12"/>
          <w:w w:val="105"/>
        </w:rPr>
        <w:t> </w:t>
      </w:r>
      <w:r>
        <w:rPr>
          <w:w w:val="105"/>
        </w:rPr>
        <w:t>for</w:t>
      </w:r>
      <w:r>
        <w:rPr>
          <w:spacing w:val="-12"/>
          <w:w w:val="105"/>
        </w:rPr>
        <w:t> </w:t>
      </w:r>
      <w:r>
        <w:rPr>
          <w:w w:val="105"/>
        </w:rPr>
        <w:t>common</w:t>
      </w:r>
      <w:r>
        <w:rPr>
          <w:spacing w:val="-12"/>
          <w:w w:val="105"/>
        </w:rPr>
        <w:t> </w:t>
      </w:r>
      <w:r>
        <w:rPr>
          <w:w w:val="105"/>
        </w:rPr>
        <w:t>use</w:t>
      </w:r>
      <w:r>
        <w:rPr>
          <w:spacing w:val="-12"/>
          <w:w w:val="105"/>
        </w:rPr>
        <w:t> </w:t>
      </w:r>
      <w:r>
        <w:rPr>
          <w:w w:val="105"/>
        </w:rPr>
        <w:t>areas</w:t>
      </w:r>
      <w:r>
        <w:rPr>
          <w:spacing w:val="-12"/>
          <w:w w:val="105"/>
        </w:rPr>
        <w:t> </w:t>
      </w:r>
      <w:r>
        <w:rPr>
          <w:w w:val="105"/>
        </w:rPr>
        <w:t>and</w:t>
      </w:r>
      <w:r>
        <w:rPr>
          <w:spacing w:val="-12"/>
          <w:w w:val="105"/>
        </w:rPr>
        <w:t> </w:t>
      </w:r>
      <w:r>
        <w:rPr>
          <w:w w:val="105"/>
        </w:rPr>
        <w:t>manage</w:t>
      </w:r>
      <w:r>
        <w:rPr>
          <w:spacing w:val="-12"/>
          <w:w w:val="105"/>
        </w:rPr>
        <w:t> </w:t>
      </w:r>
      <w:r>
        <w:rPr>
          <w:w w:val="105"/>
        </w:rPr>
        <w:t>the</w:t>
      </w:r>
      <w:r>
        <w:rPr>
          <w:spacing w:val="-12"/>
          <w:w w:val="105"/>
        </w:rPr>
        <w:t> </w:t>
      </w:r>
      <w:r>
        <w:rPr>
          <w:w w:val="105"/>
        </w:rPr>
        <w:t>new</w:t>
      </w:r>
      <w:r>
        <w:rPr>
          <w:spacing w:val="-12"/>
          <w:w w:val="105"/>
        </w:rPr>
        <w:t> </w:t>
      </w:r>
      <w:r>
        <w:rPr>
          <w:w w:val="105"/>
        </w:rPr>
        <w:t>concourse.</w:t>
      </w:r>
    </w:p>
    <w:p>
      <w:pPr>
        <w:pStyle w:val="BodyText"/>
        <w:spacing w:line="259" w:lineRule="auto" w:before="262"/>
        <w:ind w:left="116" w:right="107" w:firstLine="432"/>
        <w:jc w:val="both"/>
      </w:pPr>
      <w:r>
        <w:rPr>
          <w:w w:val="105"/>
        </w:rPr>
        <w:t>The Company performs substantially all line maintenance on its aircraft and provides ground support services at most of the airports it serves. However, the Company has arrangements with certain aircraft maintenance firms for major component inspections and repairs for its airframes and engines, which comprise the majority of the annual aircraft maintenance costs.</w:t>
      </w:r>
    </w:p>
    <w:p>
      <w:pPr>
        <w:spacing w:before="262"/>
        <w:ind w:left="116" w:right="0" w:firstLine="0"/>
        <w:jc w:val="left"/>
        <w:rPr>
          <w:b/>
          <w:i/>
          <w:sz w:val="21"/>
        </w:rPr>
      </w:pPr>
      <w:r>
        <w:rPr>
          <w:b/>
          <w:w w:val="105"/>
          <w:sz w:val="21"/>
        </w:rPr>
        <w:t>Item 3. </w:t>
      </w:r>
      <w:r>
        <w:rPr>
          <w:b/>
          <w:i/>
          <w:w w:val="105"/>
          <w:sz w:val="21"/>
        </w:rPr>
        <w:t>Legal Proceedings</w:t>
      </w:r>
    </w:p>
    <w:p>
      <w:pPr>
        <w:pStyle w:val="BodyText"/>
        <w:spacing w:before="5"/>
        <w:rPr>
          <w:b/>
          <w:i/>
          <w:sz w:val="24"/>
        </w:rPr>
      </w:pPr>
    </w:p>
    <w:p>
      <w:pPr>
        <w:pStyle w:val="BodyText"/>
        <w:spacing w:line="259" w:lineRule="auto"/>
        <w:ind w:left="116" w:right="106" w:firstLine="432"/>
        <w:jc w:val="both"/>
      </w:pPr>
      <w:r>
        <w:rPr>
          <w:w w:val="105"/>
        </w:rPr>
        <w:t>The </w:t>
      </w:r>
      <w:r>
        <w:rPr>
          <w:spacing w:val="2"/>
          <w:w w:val="105"/>
        </w:rPr>
        <w:t>Company </w:t>
      </w:r>
      <w:r>
        <w:rPr>
          <w:w w:val="105"/>
        </w:rPr>
        <w:t>is </w:t>
      </w:r>
      <w:r>
        <w:rPr>
          <w:spacing w:val="2"/>
          <w:w w:val="105"/>
        </w:rPr>
        <w:t>subject </w:t>
      </w:r>
      <w:r>
        <w:rPr>
          <w:w w:val="105"/>
        </w:rPr>
        <w:t>to </w:t>
      </w:r>
      <w:r>
        <w:rPr>
          <w:spacing w:val="2"/>
          <w:w w:val="105"/>
        </w:rPr>
        <w:t>various legal proceedings </w:t>
      </w:r>
      <w:r>
        <w:rPr>
          <w:w w:val="105"/>
        </w:rPr>
        <w:t>and </w:t>
      </w:r>
      <w:r>
        <w:rPr>
          <w:spacing w:val="2"/>
          <w:w w:val="105"/>
        </w:rPr>
        <w:t>claims arising </w:t>
      </w:r>
      <w:r>
        <w:rPr>
          <w:w w:val="105"/>
        </w:rPr>
        <w:t>in the </w:t>
      </w:r>
      <w:r>
        <w:rPr>
          <w:spacing w:val="2"/>
          <w:w w:val="105"/>
        </w:rPr>
        <w:t>ordinary course </w:t>
      </w:r>
      <w:r>
        <w:rPr>
          <w:spacing w:val="3"/>
          <w:w w:val="105"/>
        </w:rPr>
        <w:t>of </w:t>
      </w:r>
      <w:r>
        <w:rPr>
          <w:spacing w:val="2"/>
          <w:w w:val="105"/>
        </w:rPr>
        <w:t>business, </w:t>
      </w:r>
      <w:r>
        <w:rPr>
          <w:spacing w:val="3"/>
          <w:w w:val="105"/>
        </w:rPr>
        <w:t>including, </w:t>
      </w:r>
      <w:r>
        <w:rPr>
          <w:w w:val="105"/>
        </w:rPr>
        <w:t>but not </w:t>
      </w:r>
      <w:r>
        <w:rPr>
          <w:spacing w:val="3"/>
          <w:w w:val="105"/>
        </w:rPr>
        <w:t>limited </w:t>
      </w:r>
      <w:r>
        <w:rPr>
          <w:spacing w:val="2"/>
          <w:w w:val="105"/>
        </w:rPr>
        <w:t>to, </w:t>
      </w:r>
      <w:r>
        <w:rPr>
          <w:spacing w:val="3"/>
          <w:w w:val="105"/>
        </w:rPr>
        <w:t>examinations </w:t>
      </w:r>
      <w:r>
        <w:rPr>
          <w:w w:val="105"/>
        </w:rPr>
        <w:t>by </w:t>
      </w:r>
      <w:r>
        <w:rPr>
          <w:spacing w:val="2"/>
          <w:w w:val="105"/>
        </w:rPr>
        <w:t>the Internal Revenue Service (IRS). The </w:t>
      </w:r>
      <w:r>
        <w:rPr>
          <w:spacing w:val="3"/>
          <w:w w:val="105"/>
        </w:rPr>
        <w:t>IRS </w:t>
      </w:r>
      <w:r>
        <w:rPr>
          <w:spacing w:val="2"/>
          <w:w w:val="105"/>
        </w:rPr>
        <w:t>regularly examines </w:t>
      </w:r>
      <w:r>
        <w:rPr>
          <w:w w:val="105"/>
        </w:rPr>
        <w:t>the </w:t>
      </w:r>
      <w:r>
        <w:rPr>
          <w:spacing w:val="2"/>
          <w:w w:val="105"/>
        </w:rPr>
        <w:t>Company's federal income </w:t>
      </w:r>
      <w:r>
        <w:rPr>
          <w:w w:val="105"/>
        </w:rPr>
        <w:t>tax </w:t>
      </w:r>
      <w:r>
        <w:rPr>
          <w:spacing w:val="2"/>
          <w:w w:val="105"/>
        </w:rPr>
        <w:t>returns and, </w:t>
      </w:r>
      <w:r>
        <w:rPr>
          <w:w w:val="105"/>
        </w:rPr>
        <w:t>in the </w:t>
      </w:r>
      <w:r>
        <w:rPr>
          <w:spacing w:val="2"/>
          <w:w w:val="105"/>
        </w:rPr>
        <w:t>course </w:t>
      </w:r>
      <w:r>
        <w:rPr>
          <w:w w:val="105"/>
        </w:rPr>
        <w:t>of </w:t>
      </w:r>
      <w:r>
        <w:rPr>
          <w:spacing w:val="2"/>
          <w:w w:val="105"/>
        </w:rPr>
        <w:t>those </w:t>
      </w:r>
      <w:r>
        <w:rPr>
          <w:spacing w:val="3"/>
          <w:w w:val="105"/>
        </w:rPr>
        <w:t>examinations, </w:t>
      </w:r>
      <w:r>
        <w:rPr>
          <w:spacing w:val="2"/>
          <w:w w:val="105"/>
        </w:rPr>
        <w:t>proposes adjustments </w:t>
      </w:r>
      <w:r>
        <w:rPr>
          <w:w w:val="105"/>
        </w:rPr>
        <w:t>to the </w:t>
      </w:r>
      <w:r>
        <w:rPr>
          <w:spacing w:val="2"/>
          <w:w w:val="105"/>
        </w:rPr>
        <w:t>Company's federal income </w:t>
      </w:r>
      <w:r>
        <w:rPr>
          <w:w w:val="105"/>
        </w:rPr>
        <w:t>tax </w:t>
      </w:r>
      <w:r>
        <w:rPr>
          <w:spacing w:val="2"/>
          <w:w w:val="105"/>
        </w:rPr>
        <w:t>liability reported </w:t>
      </w:r>
      <w:r>
        <w:rPr>
          <w:w w:val="105"/>
        </w:rPr>
        <w:t>on </w:t>
      </w:r>
      <w:r>
        <w:rPr>
          <w:spacing w:val="2"/>
          <w:w w:val="105"/>
        </w:rPr>
        <w:t>such returns. </w:t>
      </w:r>
      <w:r>
        <w:rPr>
          <w:w w:val="105"/>
        </w:rPr>
        <w:t>It is </w:t>
      </w:r>
      <w:r>
        <w:rPr>
          <w:spacing w:val="3"/>
          <w:w w:val="105"/>
        </w:rPr>
        <w:t>the </w:t>
      </w:r>
      <w:r>
        <w:rPr>
          <w:w w:val="105"/>
        </w:rPr>
        <w:t>Company's practice to vigorously contest those proposed adjustments that it deems lacking of merit. </w:t>
      </w:r>
      <w:r>
        <w:rPr>
          <w:spacing w:val="2"/>
          <w:w w:val="105"/>
        </w:rPr>
        <w:t>The </w:t>
      </w:r>
      <w:r>
        <w:rPr>
          <w:w w:val="105"/>
        </w:rPr>
        <w:t>Company's management does not expect that the outcome in any of its currently ongoing legal proceedings or the outcome of any proposed adjustments presented to date by the IRS, individually or collectively, will have</w:t>
      </w:r>
      <w:r>
        <w:rPr>
          <w:spacing w:val="-13"/>
          <w:w w:val="105"/>
        </w:rPr>
        <w:t> </w:t>
      </w:r>
      <w:r>
        <w:rPr>
          <w:w w:val="105"/>
        </w:rPr>
        <w:t>a</w:t>
      </w:r>
      <w:r>
        <w:rPr>
          <w:spacing w:val="-13"/>
          <w:w w:val="105"/>
        </w:rPr>
        <w:t> </w:t>
      </w:r>
      <w:r>
        <w:rPr>
          <w:w w:val="105"/>
        </w:rPr>
        <w:t>material</w:t>
      </w:r>
      <w:r>
        <w:rPr>
          <w:spacing w:val="-13"/>
          <w:w w:val="105"/>
        </w:rPr>
        <w:t> </w:t>
      </w:r>
      <w:r>
        <w:rPr>
          <w:w w:val="105"/>
        </w:rPr>
        <w:t>adverse</w:t>
      </w:r>
      <w:r>
        <w:rPr>
          <w:spacing w:val="-13"/>
          <w:w w:val="105"/>
        </w:rPr>
        <w:t> </w:t>
      </w:r>
      <w:r>
        <w:rPr>
          <w:w w:val="105"/>
        </w:rPr>
        <w:t>effect</w:t>
      </w:r>
      <w:r>
        <w:rPr>
          <w:spacing w:val="-13"/>
          <w:w w:val="105"/>
        </w:rPr>
        <w:t> </w:t>
      </w:r>
      <w:r>
        <w:rPr>
          <w:w w:val="105"/>
        </w:rPr>
        <w:t>on</w:t>
      </w:r>
      <w:r>
        <w:rPr>
          <w:spacing w:val="-13"/>
          <w:w w:val="105"/>
        </w:rPr>
        <w:t> </w:t>
      </w:r>
      <w:r>
        <w:rPr>
          <w:w w:val="105"/>
        </w:rPr>
        <w:t>the</w:t>
      </w:r>
      <w:r>
        <w:rPr>
          <w:spacing w:val="-13"/>
          <w:w w:val="105"/>
        </w:rPr>
        <w:t> </w:t>
      </w:r>
      <w:r>
        <w:rPr>
          <w:w w:val="105"/>
        </w:rPr>
        <w:t>Company's</w:t>
      </w:r>
      <w:r>
        <w:rPr>
          <w:spacing w:val="-13"/>
          <w:w w:val="105"/>
        </w:rPr>
        <w:t> </w:t>
      </w:r>
      <w:r>
        <w:rPr>
          <w:w w:val="105"/>
        </w:rPr>
        <w:t>financial</w:t>
      </w:r>
      <w:r>
        <w:rPr>
          <w:spacing w:val="-13"/>
          <w:w w:val="105"/>
        </w:rPr>
        <w:t> </w:t>
      </w:r>
      <w:r>
        <w:rPr>
          <w:w w:val="105"/>
        </w:rPr>
        <w:t>condition,</w:t>
      </w:r>
      <w:r>
        <w:rPr>
          <w:spacing w:val="-13"/>
          <w:w w:val="105"/>
        </w:rPr>
        <w:t> </w:t>
      </w:r>
      <w:r>
        <w:rPr>
          <w:w w:val="105"/>
        </w:rPr>
        <w:t>results</w:t>
      </w:r>
      <w:r>
        <w:rPr>
          <w:spacing w:val="-13"/>
          <w:w w:val="105"/>
        </w:rPr>
        <w:t> </w:t>
      </w:r>
      <w:r>
        <w:rPr>
          <w:w w:val="105"/>
        </w:rPr>
        <w:t>of</w:t>
      </w:r>
      <w:r>
        <w:rPr>
          <w:spacing w:val="-13"/>
          <w:w w:val="105"/>
        </w:rPr>
        <w:t> </w:t>
      </w:r>
      <w:r>
        <w:rPr>
          <w:w w:val="105"/>
        </w:rPr>
        <w:t>operations</w:t>
      </w:r>
      <w:r>
        <w:rPr>
          <w:spacing w:val="-13"/>
          <w:w w:val="105"/>
        </w:rPr>
        <w:t> </w:t>
      </w:r>
      <w:r>
        <w:rPr>
          <w:w w:val="105"/>
        </w:rPr>
        <w:t>or</w:t>
      </w:r>
      <w:r>
        <w:rPr>
          <w:spacing w:val="-13"/>
          <w:w w:val="105"/>
        </w:rPr>
        <w:t> </w:t>
      </w:r>
      <w:r>
        <w:rPr>
          <w:w w:val="105"/>
        </w:rPr>
        <w:t>cash</w:t>
      </w:r>
      <w:r>
        <w:rPr>
          <w:spacing w:val="-13"/>
          <w:w w:val="105"/>
        </w:rPr>
        <w:t> </w:t>
      </w:r>
      <w:r>
        <w:rPr>
          <w:w w:val="105"/>
        </w:rPr>
        <w:t>flows.</w:t>
      </w:r>
    </w:p>
    <w:p>
      <w:pPr>
        <w:spacing w:after="0" w:line="259" w:lineRule="auto"/>
        <w:jc w:val="both"/>
        <w:sectPr>
          <w:pgSz w:w="12240" w:h="15840"/>
          <w:pgMar w:top="1120" w:bottom="280" w:left="1180" w:right="1180"/>
        </w:sectPr>
      </w:pPr>
    </w:p>
    <w:p>
      <w:pPr>
        <w:pStyle w:val="Heading3"/>
        <w:spacing w:before="100"/>
        <w:ind w:left="115"/>
        <w:rPr>
          <w:i/>
        </w:rPr>
      </w:pPr>
      <w:bookmarkStart w:name="Submission of Matters to a Vote" w:id="23"/>
      <w:bookmarkEnd w:id="23"/>
      <w:r>
        <w:rPr>
          <w:b w:val="0"/>
          <w:i w:val="0"/>
        </w:rPr>
      </w:r>
      <w:r>
        <w:rPr>
          <w:i w:val="0"/>
          <w:w w:val="105"/>
        </w:rPr>
        <w:t>Item 4. </w:t>
      </w:r>
      <w:r>
        <w:rPr>
          <w:i/>
          <w:w w:val="105"/>
        </w:rPr>
        <w:t>Submission of Matters to a Vote of Security Holders</w:t>
      </w:r>
    </w:p>
    <w:p>
      <w:pPr>
        <w:pStyle w:val="BodyText"/>
        <w:spacing w:before="5"/>
        <w:rPr>
          <w:b/>
          <w:i/>
          <w:sz w:val="24"/>
        </w:rPr>
      </w:pPr>
    </w:p>
    <w:p>
      <w:pPr>
        <w:pStyle w:val="BodyText"/>
        <w:ind w:left="835"/>
      </w:pPr>
      <w:r>
        <w:rPr>
          <w:w w:val="105"/>
        </w:rPr>
        <w:t>None to be reported.</w:t>
      </w:r>
    </w:p>
    <w:p>
      <w:pPr>
        <w:spacing w:after="0"/>
        <w:sectPr>
          <w:pgSz w:w="12240" w:h="15840"/>
          <w:pgMar w:top="1120" w:bottom="280" w:left="1180" w:right="1720"/>
        </w:sectPr>
      </w:pPr>
    </w:p>
    <w:p>
      <w:pPr>
        <w:pStyle w:val="Heading2"/>
        <w:spacing w:before="96"/>
        <w:ind w:left="2549"/>
      </w:pPr>
      <w:r>
        <w:rPr>
          <w:w w:val="105"/>
        </w:rPr>
        <w:t>EXECUTIVE OFFICERS OF THE REGISTRANT</w:t>
      </w:r>
    </w:p>
    <w:p>
      <w:pPr>
        <w:pStyle w:val="BodyText"/>
        <w:spacing w:line="260" w:lineRule="atLeast" w:before="262"/>
        <w:ind w:left="116" w:right="108" w:firstLine="720"/>
      </w:pPr>
      <w:r>
        <w:rPr>
          <w:w w:val="105"/>
        </w:rPr>
        <w:t>The executive officers of Southwest, their positions, and their respective ages (as of January 1, 2004) are as follows:</w:t>
      </w:r>
    </w:p>
    <w:p>
      <w:pPr>
        <w:pStyle w:val="Heading2"/>
        <w:tabs>
          <w:tab w:pos="5722" w:val="left" w:leader="none"/>
          <w:tab w:pos="8827" w:val="left" w:leader="none"/>
        </w:tabs>
        <w:spacing w:line="216" w:lineRule="exact"/>
        <w:ind w:left="1584"/>
      </w:pPr>
      <w:r>
        <w:rPr>
          <w:w w:val="105"/>
          <w:u w:val="single"/>
        </w:rPr>
        <w:t>Name</w:t>
      </w:r>
      <w:r>
        <w:rPr>
          <w:w w:val="105"/>
        </w:rPr>
        <w:tab/>
      </w:r>
      <w:r>
        <w:rPr>
          <w:w w:val="105"/>
          <w:u w:val="single"/>
        </w:rPr>
        <w:t>Position</w:t>
      </w:r>
      <w:r>
        <w:rPr>
          <w:w w:val="105"/>
        </w:rPr>
        <w:tab/>
      </w:r>
      <w:r>
        <w:rPr>
          <w:w w:val="105"/>
          <w:u w:val="single"/>
        </w:rPr>
        <w:t>Age</w:t>
      </w:r>
    </w:p>
    <w:p>
      <w:pPr>
        <w:pStyle w:val="BodyText"/>
        <w:tabs>
          <w:tab w:pos="3610" w:val="left" w:leader="none"/>
          <w:tab w:pos="9044" w:val="right" w:leader="none"/>
        </w:tabs>
        <w:spacing w:before="161"/>
        <w:ind w:left="336"/>
      </w:pPr>
      <w:r>
        <w:rPr>
          <w:w w:val="105"/>
        </w:rPr>
        <w:t>Herbert</w:t>
      </w:r>
      <w:r>
        <w:rPr>
          <w:spacing w:val="-9"/>
          <w:w w:val="105"/>
        </w:rPr>
        <w:t> </w:t>
      </w:r>
      <w:r>
        <w:rPr>
          <w:w w:val="105"/>
        </w:rPr>
        <w:t>D.</w:t>
      </w:r>
      <w:r>
        <w:rPr>
          <w:spacing w:val="-10"/>
          <w:w w:val="105"/>
        </w:rPr>
        <w:t> </w:t>
      </w:r>
      <w:r>
        <w:rPr>
          <w:w w:val="105"/>
        </w:rPr>
        <w:t>Kelleher</w:t>
        <w:tab/>
        <w:t>Chairman of</w:t>
      </w:r>
      <w:r>
        <w:rPr>
          <w:spacing w:val="-5"/>
          <w:w w:val="105"/>
        </w:rPr>
        <w:t> </w:t>
      </w:r>
      <w:r>
        <w:rPr>
          <w:w w:val="105"/>
        </w:rPr>
        <w:t>the</w:t>
      </w:r>
      <w:r>
        <w:rPr>
          <w:spacing w:val="-3"/>
          <w:w w:val="105"/>
        </w:rPr>
        <w:t> </w:t>
      </w:r>
      <w:r>
        <w:rPr>
          <w:w w:val="105"/>
        </w:rPr>
        <w:t>Board</w:t>
        <w:tab/>
        <w:t>72</w:t>
      </w:r>
    </w:p>
    <w:p>
      <w:pPr>
        <w:pStyle w:val="BodyText"/>
        <w:tabs>
          <w:tab w:pos="3610" w:val="left" w:leader="none"/>
          <w:tab w:pos="9043" w:val="right" w:leader="none"/>
        </w:tabs>
        <w:spacing w:line="231" w:lineRule="exact" w:before="161"/>
        <w:ind w:left="336"/>
      </w:pPr>
      <w:r>
        <w:rPr>
          <w:w w:val="105"/>
        </w:rPr>
        <w:t>James</w:t>
      </w:r>
      <w:r>
        <w:rPr>
          <w:spacing w:val="-8"/>
          <w:w w:val="105"/>
        </w:rPr>
        <w:t> </w:t>
      </w:r>
      <w:r>
        <w:rPr>
          <w:w w:val="105"/>
        </w:rPr>
        <w:t>F.</w:t>
      </w:r>
      <w:r>
        <w:rPr>
          <w:spacing w:val="-8"/>
          <w:w w:val="105"/>
        </w:rPr>
        <w:t> </w:t>
      </w:r>
      <w:r>
        <w:rPr>
          <w:w w:val="105"/>
        </w:rPr>
        <w:t>Parker</w:t>
        <w:tab/>
        <w:t>Vice Chairman of the</w:t>
      </w:r>
      <w:r>
        <w:rPr>
          <w:spacing w:val="-12"/>
          <w:w w:val="105"/>
        </w:rPr>
        <w:t> </w:t>
      </w:r>
      <w:r>
        <w:rPr>
          <w:w w:val="105"/>
        </w:rPr>
        <w:t>Board</w:t>
      </w:r>
      <w:r>
        <w:rPr>
          <w:spacing w:val="-3"/>
          <w:w w:val="105"/>
        </w:rPr>
        <w:t> </w:t>
      </w:r>
      <w:r>
        <w:rPr>
          <w:w w:val="105"/>
        </w:rPr>
        <w:t>and</w:t>
        <w:tab/>
        <w:t>57</w:t>
      </w:r>
    </w:p>
    <w:p>
      <w:pPr>
        <w:pStyle w:val="BodyText"/>
        <w:spacing w:line="197" w:lineRule="exact"/>
        <w:ind w:right="472"/>
        <w:jc w:val="center"/>
      </w:pPr>
      <w:r>
        <w:rPr>
          <w:w w:val="105"/>
        </w:rPr>
        <w:t>Chief Executive Officer</w:t>
      </w:r>
    </w:p>
    <w:p>
      <w:pPr>
        <w:pStyle w:val="BodyText"/>
        <w:tabs>
          <w:tab w:pos="3610" w:val="left" w:leader="none"/>
          <w:tab w:pos="9044" w:val="right" w:leader="none"/>
        </w:tabs>
        <w:spacing w:before="13"/>
        <w:ind w:left="336"/>
      </w:pPr>
      <w:r>
        <w:rPr>
          <w:w w:val="105"/>
        </w:rPr>
        <w:t>Colleen</w:t>
      </w:r>
      <w:r>
        <w:rPr>
          <w:spacing w:val="-9"/>
          <w:w w:val="105"/>
        </w:rPr>
        <w:t> </w:t>
      </w:r>
      <w:r>
        <w:rPr>
          <w:w w:val="105"/>
        </w:rPr>
        <w:t>C.</w:t>
      </w:r>
      <w:r>
        <w:rPr>
          <w:spacing w:val="-9"/>
          <w:w w:val="105"/>
        </w:rPr>
        <w:t> </w:t>
      </w:r>
      <w:r>
        <w:rPr>
          <w:w w:val="105"/>
        </w:rPr>
        <w:t>Barrett</w:t>
        <w:tab/>
        <w:t>Director, President and Chief</w:t>
      </w:r>
      <w:r>
        <w:rPr>
          <w:spacing w:val="-18"/>
          <w:w w:val="105"/>
        </w:rPr>
        <w:t> </w:t>
      </w:r>
      <w:r>
        <w:rPr>
          <w:w w:val="105"/>
        </w:rPr>
        <w:t>Operating</w:t>
      </w:r>
      <w:r>
        <w:rPr>
          <w:spacing w:val="-5"/>
          <w:w w:val="105"/>
        </w:rPr>
        <w:t> </w:t>
      </w:r>
      <w:r>
        <w:rPr>
          <w:w w:val="105"/>
        </w:rPr>
        <w:t>Officer</w:t>
        <w:tab/>
        <w:t>59</w:t>
      </w:r>
    </w:p>
    <w:p>
      <w:pPr>
        <w:pStyle w:val="BodyText"/>
        <w:tabs>
          <w:tab w:pos="3610" w:val="left" w:leader="none"/>
          <w:tab w:pos="9043" w:val="right" w:leader="none"/>
        </w:tabs>
        <w:spacing w:before="161"/>
        <w:ind w:left="336"/>
      </w:pPr>
      <w:r>
        <w:rPr>
          <w:w w:val="105"/>
        </w:rPr>
        <w:t>Donna</w:t>
      </w:r>
      <w:r>
        <w:rPr>
          <w:spacing w:val="-11"/>
          <w:w w:val="105"/>
        </w:rPr>
        <w:t> </w:t>
      </w:r>
      <w:r>
        <w:rPr>
          <w:w w:val="105"/>
        </w:rPr>
        <w:t>D.</w:t>
      </w:r>
      <w:r>
        <w:rPr>
          <w:spacing w:val="-11"/>
          <w:w w:val="105"/>
        </w:rPr>
        <w:t> </w:t>
      </w:r>
      <w:r>
        <w:rPr>
          <w:w w:val="105"/>
        </w:rPr>
        <w:t>Conover</w:t>
        <w:tab/>
        <w:t>Executive Vice President-</w:t>
      </w:r>
      <w:r>
        <w:rPr>
          <w:spacing w:val="-14"/>
          <w:w w:val="105"/>
        </w:rPr>
        <w:t> </w:t>
      </w:r>
      <w:r>
        <w:rPr>
          <w:w w:val="105"/>
        </w:rPr>
        <w:t>Customer</w:t>
      </w:r>
      <w:r>
        <w:rPr>
          <w:spacing w:val="-5"/>
          <w:w w:val="105"/>
        </w:rPr>
        <w:t> </w:t>
      </w:r>
      <w:r>
        <w:rPr>
          <w:w w:val="105"/>
        </w:rPr>
        <w:t>Service</w:t>
        <w:tab/>
        <w:t>50</w:t>
      </w:r>
    </w:p>
    <w:p>
      <w:pPr>
        <w:pStyle w:val="BodyText"/>
        <w:tabs>
          <w:tab w:pos="3610" w:val="left" w:leader="none"/>
          <w:tab w:pos="9045" w:val="right" w:leader="none"/>
        </w:tabs>
        <w:spacing w:before="161"/>
        <w:ind w:left="336"/>
      </w:pPr>
      <w:r>
        <w:rPr>
          <w:w w:val="105"/>
        </w:rPr>
        <w:t>Gary</w:t>
      </w:r>
      <w:r>
        <w:rPr>
          <w:spacing w:val="-8"/>
          <w:w w:val="105"/>
        </w:rPr>
        <w:t> </w:t>
      </w:r>
      <w:r>
        <w:rPr>
          <w:w w:val="105"/>
        </w:rPr>
        <w:t>C.</w:t>
      </w:r>
      <w:r>
        <w:rPr>
          <w:spacing w:val="-8"/>
          <w:w w:val="105"/>
        </w:rPr>
        <w:t> </w:t>
      </w:r>
      <w:r>
        <w:rPr>
          <w:w w:val="105"/>
        </w:rPr>
        <w:t>Kelly</w:t>
        <w:tab/>
        <w:t>Executive Vice President and Chief</w:t>
      </w:r>
      <w:r>
        <w:rPr>
          <w:spacing w:val="-35"/>
          <w:w w:val="105"/>
        </w:rPr>
        <w:t> </w:t>
      </w:r>
      <w:r>
        <w:rPr>
          <w:w w:val="105"/>
        </w:rPr>
        <w:t>Financial</w:t>
      </w:r>
      <w:r>
        <w:rPr>
          <w:spacing w:val="-7"/>
          <w:w w:val="105"/>
        </w:rPr>
        <w:t> </w:t>
      </w:r>
      <w:r>
        <w:rPr>
          <w:w w:val="105"/>
        </w:rPr>
        <w:t>Officer</w:t>
        <w:tab/>
        <w:t>48</w:t>
      </w:r>
    </w:p>
    <w:p>
      <w:pPr>
        <w:pStyle w:val="BodyText"/>
        <w:tabs>
          <w:tab w:pos="3610" w:val="left" w:leader="none"/>
          <w:tab w:pos="9044" w:val="right" w:leader="none"/>
        </w:tabs>
        <w:spacing w:before="157"/>
        <w:ind w:left="336"/>
      </w:pPr>
      <w:r>
        <w:rPr>
          <w:w w:val="105"/>
        </w:rPr>
        <w:t>James</w:t>
      </w:r>
      <w:r>
        <w:rPr>
          <w:spacing w:val="-10"/>
          <w:w w:val="105"/>
        </w:rPr>
        <w:t> </w:t>
      </w:r>
      <w:r>
        <w:rPr>
          <w:w w:val="105"/>
        </w:rPr>
        <w:t>C.</w:t>
      </w:r>
      <w:r>
        <w:rPr>
          <w:spacing w:val="-10"/>
          <w:w w:val="105"/>
        </w:rPr>
        <w:t> </w:t>
      </w:r>
      <w:r>
        <w:rPr>
          <w:w w:val="105"/>
        </w:rPr>
        <w:t>Wimberly</w:t>
        <w:tab/>
        <w:t>Executive Vice President- Chief</w:t>
      </w:r>
      <w:r>
        <w:rPr>
          <w:spacing w:val="-25"/>
          <w:w w:val="105"/>
        </w:rPr>
        <w:t> </w:t>
      </w:r>
      <w:r>
        <w:rPr>
          <w:w w:val="105"/>
        </w:rPr>
        <w:t>Operations</w:t>
      </w:r>
      <w:r>
        <w:rPr>
          <w:spacing w:val="-6"/>
          <w:w w:val="105"/>
        </w:rPr>
        <w:t> </w:t>
      </w:r>
      <w:r>
        <w:rPr>
          <w:w w:val="105"/>
        </w:rPr>
        <w:t>Officer</w:t>
        <w:tab/>
        <w:t>50</w:t>
      </w:r>
    </w:p>
    <w:p>
      <w:pPr>
        <w:pStyle w:val="BodyText"/>
        <w:tabs>
          <w:tab w:pos="3610" w:val="left" w:leader="none"/>
          <w:tab w:pos="9044" w:val="right" w:leader="none"/>
        </w:tabs>
        <w:spacing w:before="162"/>
        <w:ind w:left="336"/>
      </w:pPr>
      <w:r>
        <w:rPr>
          <w:w w:val="105"/>
        </w:rPr>
        <w:t>Joyce</w:t>
      </w:r>
      <w:r>
        <w:rPr>
          <w:spacing w:val="-8"/>
          <w:w w:val="105"/>
        </w:rPr>
        <w:t> </w:t>
      </w:r>
      <w:r>
        <w:rPr>
          <w:w w:val="105"/>
        </w:rPr>
        <w:t>C.</w:t>
      </w:r>
      <w:r>
        <w:rPr>
          <w:spacing w:val="-8"/>
          <w:w w:val="105"/>
        </w:rPr>
        <w:t> </w:t>
      </w:r>
      <w:r>
        <w:rPr>
          <w:w w:val="105"/>
        </w:rPr>
        <w:t>Rogge</w:t>
        <w:tab/>
        <w:t>Senior Vice President</w:t>
      </w:r>
      <w:r>
        <w:rPr>
          <w:spacing w:val="-8"/>
          <w:w w:val="105"/>
        </w:rPr>
        <w:t> </w:t>
      </w:r>
      <w:r>
        <w:rPr>
          <w:w w:val="105"/>
        </w:rPr>
        <w:t>-</w:t>
      </w:r>
      <w:r>
        <w:rPr>
          <w:spacing w:val="-3"/>
          <w:w w:val="105"/>
        </w:rPr>
        <w:t> </w:t>
      </w:r>
      <w:r>
        <w:rPr>
          <w:w w:val="105"/>
        </w:rPr>
        <w:t>Marketing</w:t>
        <w:tab/>
        <w:t>46</w:t>
      </w:r>
    </w:p>
    <w:p>
      <w:pPr>
        <w:pStyle w:val="BodyText"/>
        <w:tabs>
          <w:tab w:pos="3610" w:val="left" w:leader="none"/>
          <w:tab w:pos="9044" w:val="right" w:leader="none"/>
        </w:tabs>
        <w:spacing w:before="162"/>
        <w:ind w:left="336"/>
      </w:pPr>
      <w:r>
        <w:rPr>
          <w:w w:val="105"/>
        </w:rPr>
        <w:t>Ron</w:t>
      </w:r>
      <w:r>
        <w:rPr>
          <w:spacing w:val="-8"/>
          <w:w w:val="105"/>
        </w:rPr>
        <w:t> </w:t>
      </w:r>
      <w:r>
        <w:rPr>
          <w:w w:val="105"/>
        </w:rPr>
        <w:t>Ricks</w:t>
        <w:tab/>
        <w:t>Vice</w:t>
      </w:r>
      <w:r>
        <w:rPr>
          <w:spacing w:val="-4"/>
          <w:w w:val="105"/>
        </w:rPr>
        <w:t> </w:t>
      </w:r>
      <w:r>
        <w:rPr>
          <w:w w:val="105"/>
        </w:rPr>
        <w:t>President-Governmental</w:t>
      </w:r>
      <w:r>
        <w:rPr>
          <w:spacing w:val="-2"/>
          <w:w w:val="105"/>
        </w:rPr>
        <w:t> </w:t>
      </w:r>
      <w:r>
        <w:rPr>
          <w:w w:val="105"/>
        </w:rPr>
        <w:t>Affairs</w:t>
        <w:tab/>
        <w:t>54</w:t>
      </w:r>
    </w:p>
    <w:p>
      <w:pPr>
        <w:pStyle w:val="BodyText"/>
        <w:tabs>
          <w:tab w:pos="3610" w:val="left" w:leader="none"/>
          <w:tab w:pos="9044" w:val="right" w:leader="none"/>
        </w:tabs>
        <w:spacing w:before="162"/>
        <w:ind w:left="336"/>
      </w:pPr>
      <w:r>
        <w:rPr>
          <w:w w:val="105"/>
        </w:rPr>
        <w:t>Dave</w:t>
      </w:r>
      <w:r>
        <w:rPr>
          <w:spacing w:val="-9"/>
          <w:w w:val="105"/>
        </w:rPr>
        <w:t> </w:t>
      </w:r>
      <w:r>
        <w:rPr>
          <w:w w:val="105"/>
        </w:rPr>
        <w:t>Ridley</w:t>
        <w:tab/>
        <w:t>Vice</w:t>
      </w:r>
      <w:r>
        <w:rPr>
          <w:spacing w:val="-4"/>
          <w:w w:val="105"/>
        </w:rPr>
        <w:t> </w:t>
      </w:r>
      <w:r>
        <w:rPr>
          <w:w w:val="105"/>
        </w:rPr>
        <w:t>President-Ground</w:t>
      </w:r>
      <w:r>
        <w:rPr>
          <w:spacing w:val="-3"/>
          <w:w w:val="105"/>
        </w:rPr>
        <w:t> </w:t>
      </w:r>
      <w:r>
        <w:rPr>
          <w:w w:val="105"/>
        </w:rPr>
        <w:t>Operations</w:t>
        <w:tab/>
        <w:t>50</w:t>
      </w:r>
    </w:p>
    <w:p>
      <w:pPr>
        <w:pStyle w:val="BodyText"/>
        <w:spacing w:line="259" w:lineRule="auto" w:before="469"/>
        <w:ind w:left="116" w:right="107" w:firstLine="432"/>
        <w:jc w:val="both"/>
      </w:pPr>
      <w:r>
        <w:rPr>
          <w:w w:val="105"/>
        </w:rPr>
        <w:t>Executive officers are elected annually at the first meeting of Southwest's Board of Directors following the annual meeting of shareholders or appointed by the Chief Executive Officer pursuant to Board authorization. Each of the above individuals has worked for Southwest Airlines Co. for more than the past five years.</w:t>
      </w:r>
    </w:p>
    <w:p>
      <w:pPr>
        <w:spacing w:after="0" w:line="259" w:lineRule="auto"/>
        <w:jc w:val="both"/>
        <w:sectPr>
          <w:pgSz w:w="12240" w:h="15840"/>
          <w:pgMar w:top="1080" w:bottom="280" w:left="1180" w:right="1180"/>
        </w:sectPr>
      </w:pPr>
    </w:p>
    <w:p>
      <w:pPr>
        <w:pStyle w:val="Heading2"/>
        <w:spacing w:before="100"/>
        <w:ind w:left="0" w:right="3"/>
        <w:jc w:val="center"/>
      </w:pPr>
      <w:bookmarkStart w:name="Market for Common Equity" w:id="24"/>
      <w:bookmarkEnd w:id="24"/>
      <w:r>
        <w:rPr>
          <w:b w:val="0"/>
        </w:rPr>
      </w:r>
      <w:r>
        <w:rPr>
          <w:w w:val="105"/>
        </w:rPr>
        <w:t>PART II</w:t>
      </w:r>
    </w:p>
    <w:p>
      <w:pPr>
        <w:pStyle w:val="BodyText"/>
        <w:spacing w:before="5"/>
        <w:rPr>
          <w:b/>
          <w:sz w:val="24"/>
        </w:rPr>
      </w:pPr>
    </w:p>
    <w:p>
      <w:pPr>
        <w:pStyle w:val="Heading3"/>
        <w:spacing w:line="256" w:lineRule="auto"/>
        <w:ind w:left="836" w:right="489" w:hanging="720"/>
      </w:pPr>
      <w:r>
        <w:rPr>
          <w:i w:val="0"/>
          <w:w w:val="105"/>
        </w:rPr>
        <w:t>Item</w:t>
      </w:r>
      <w:r>
        <w:rPr>
          <w:i w:val="0"/>
          <w:spacing w:val="-14"/>
          <w:w w:val="105"/>
        </w:rPr>
        <w:t> </w:t>
      </w:r>
      <w:r>
        <w:rPr>
          <w:i w:val="0"/>
          <w:w w:val="105"/>
        </w:rPr>
        <w:t>5.</w:t>
      </w:r>
      <w:r>
        <w:rPr>
          <w:i w:val="0"/>
          <w:spacing w:val="27"/>
          <w:w w:val="105"/>
        </w:rPr>
        <w:t> </w:t>
      </w:r>
      <w:r>
        <w:rPr>
          <w:i/>
          <w:w w:val="105"/>
        </w:rPr>
        <w:t>Market</w:t>
      </w:r>
      <w:r>
        <w:rPr>
          <w:i/>
          <w:spacing w:val="-14"/>
          <w:w w:val="105"/>
        </w:rPr>
        <w:t> </w:t>
      </w:r>
      <w:r>
        <w:rPr>
          <w:i/>
          <w:w w:val="105"/>
        </w:rPr>
        <w:t>for</w:t>
      </w:r>
      <w:r>
        <w:rPr>
          <w:i/>
          <w:spacing w:val="-14"/>
          <w:w w:val="105"/>
        </w:rPr>
        <w:t> </w:t>
      </w:r>
      <w:r>
        <w:rPr>
          <w:i/>
          <w:w w:val="105"/>
        </w:rPr>
        <w:t>Registrant's</w:t>
      </w:r>
      <w:r>
        <w:rPr>
          <w:i/>
          <w:spacing w:val="-14"/>
          <w:w w:val="105"/>
        </w:rPr>
        <w:t> </w:t>
      </w:r>
      <w:r>
        <w:rPr>
          <w:i/>
          <w:w w:val="105"/>
        </w:rPr>
        <w:t>Common</w:t>
      </w:r>
      <w:r>
        <w:rPr>
          <w:i/>
          <w:spacing w:val="-14"/>
          <w:w w:val="105"/>
        </w:rPr>
        <w:t> </w:t>
      </w:r>
      <w:r>
        <w:rPr>
          <w:i/>
          <w:w w:val="105"/>
        </w:rPr>
        <w:t>Equity,</w:t>
      </w:r>
      <w:r>
        <w:rPr>
          <w:i/>
          <w:spacing w:val="-14"/>
          <w:w w:val="105"/>
        </w:rPr>
        <w:t> </w:t>
      </w:r>
      <w:r>
        <w:rPr>
          <w:i/>
          <w:w w:val="105"/>
        </w:rPr>
        <w:t>Related</w:t>
      </w:r>
      <w:r>
        <w:rPr>
          <w:i/>
          <w:spacing w:val="-14"/>
          <w:w w:val="105"/>
        </w:rPr>
        <w:t> </w:t>
      </w:r>
      <w:r>
        <w:rPr>
          <w:i/>
          <w:w w:val="105"/>
        </w:rPr>
        <w:t>Stockholder</w:t>
      </w:r>
      <w:r>
        <w:rPr>
          <w:i/>
          <w:spacing w:val="-14"/>
          <w:w w:val="105"/>
        </w:rPr>
        <w:t> </w:t>
      </w:r>
      <w:r>
        <w:rPr>
          <w:i/>
          <w:w w:val="105"/>
        </w:rPr>
        <w:t>Matters,</w:t>
      </w:r>
      <w:r>
        <w:rPr>
          <w:i/>
          <w:spacing w:val="-14"/>
          <w:w w:val="105"/>
        </w:rPr>
        <w:t> </w:t>
      </w:r>
      <w:r>
        <w:rPr>
          <w:i/>
          <w:w w:val="105"/>
        </w:rPr>
        <w:t>and</w:t>
      </w:r>
      <w:r>
        <w:rPr>
          <w:i/>
          <w:spacing w:val="-14"/>
          <w:w w:val="105"/>
        </w:rPr>
        <w:t> </w:t>
      </w:r>
      <w:r>
        <w:rPr>
          <w:i/>
          <w:w w:val="105"/>
        </w:rPr>
        <w:t>Issuer</w:t>
      </w:r>
      <w:r>
        <w:rPr>
          <w:i/>
          <w:spacing w:val="-14"/>
          <w:w w:val="105"/>
        </w:rPr>
        <w:t> </w:t>
      </w:r>
      <w:r>
        <w:rPr>
          <w:i/>
          <w:w w:val="105"/>
        </w:rPr>
        <w:t>Purchases</w:t>
      </w:r>
      <w:r>
        <w:rPr>
          <w:i/>
          <w:spacing w:val="-15"/>
          <w:w w:val="105"/>
        </w:rPr>
        <w:t> </w:t>
      </w:r>
      <w:r>
        <w:rPr>
          <w:i/>
          <w:w w:val="105"/>
        </w:rPr>
        <w:t>of </w:t>
      </w:r>
      <w:r>
        <w:rPr>
          <w:w w:val="105"/>
        </w:rPr>
        <w:t>Equity</w:t>
      </w:r>
      <w:r>
        <w:rPr>
          <w:spacing w:val="-33"/>
          <w:w w:val="105"/>
        </w:rPr>
        <w:t> </w:t>
      </w:r>
      <w:r>
        <w:rPr>
          <w:w w:val="105"/>
        </w:rPr>
        <w:t>Securities</w:t>
      </w:r>
    </w:p>
    <w:p>
      <w:pPr>
        <w:pStyle w:val="BodyText"/>
        <w:spacing w:line="259" w:lineRule="auto" w:before="264"/>
        <w:ind w:left="116" w:right="489" w:firstLine="432"/>
      </w:pPr>
      <w:r>
        <w:rPr>
          <w:w w:val="105"/>
        </w:rPr>
        <w:t>Southwest's</w:t>
      </w:r>
      <w:r>
        <w:rPr>
          <w:spacing w:val="-13"/>
          <w:w w:val="105"/>
        </w:rPr>
        <w:t> </w:t>
      </w:r>
      <w:r>
        <w:rPr>
          <w:w w:val="105"/>
        </w:rPr>
        <w:t>common</w:t>
      </w:r>
      <w:r>
        <w:rPr>
          <w:spacing w:val="-13"/>
          <w:w w:val="105"/>
        </w:rPr>
        <w:t> </w:t>
      </w:r>
      <w:r>
        <w:rPr>
          <w:w w:val="105"/>
        </w:rPr>
        <w:t>stock</w:t>
      </w:r>
      <w:r>
        <w:rPr>
          <w:spacing w:val="-13"/>
          <w:w w:val="105"/>
        </w:rPr>
        <w:t> </w:t>
      </w:r>
      <w:r>
        <w:rPr>
          <w:w w:val="105"/>
        </w:rPr>
        <w:t>is</w:t>
      </w:r>
      <w:r>
        <w:rPr>
          <w:spacing w:val="-13"/>
          <w:w w:val="105"/>
        </w:rPr>
        <w:t> </w:t>
      </w:r>
      <w:r>
        <w:rPr>
          <w:w w:val="105"/>
        </w:rPr>
        <w:t>listed</w:t>
      </w:r>
      <w:r>
        <w:rPr>
          <w:spacing w:val="-13"/>
          <w:w w:val="105"/>
        </w:rPr>
        <w:t> </w:t>
      </w:r>
      <w:r>
        <w:rPr>
          <w:w w:val="105"/>
        </w:rPr>
        <w:t>on</w:t>
      </w:r>
      <w:r>
        <w:rPr>
          <w:spacing w:val="-13"/>
          <w:w w:val="105"/>
        </w:rPr>
        <w:t> </w:t>
      </w:r>
      <w:r>
        <w:rPr>
          <w:w w:val="105"/>
        </w:rPr>
        <w:t>the</w:t>
      </w:r>
      <w:r>
        <w:rPr>
          <w:spacing w:val="-13"/>
          <w:w w:val="105"/>
        </w:rPr>
        <w:t> </w:t>
      </w:r>
      <w:r>
        <w:rPr>
          <w:w w:val="105"/>
        </w:rPr>
        <w:t>New</w:t>
      </w:r>
      <w:r>
        <w:rPr>
          <w:spacing w:val="-13"/>
          <w:w w:val="105"/>
        </w:rPr>
        <w:t> </w:t>
      </w:r>
      <w:r>
        <w:rPr>
          <w:w w:val="105"/>
        </w:rPr>
        <w:t>York</w:t>
      </w:r>
      <w:r>
        <w:rPr>
          <w:spacing w:val="-13"/>
          <w:w w:val="105"/>
        </w:rPr>
        <w:t> </w:t>
      </w:r>
      <w:r>
        <w:rPr>
          <w:w w:val="105"/>
        </w:rPr>
        <w:t>Stock</w:t>
      </w:r>
      <w:r>
        <w:rPr>
          <w:spacing w:val="-13"/>
          <w:w w:val="105"/>
        </w:rPr>
        <w:t> </w:t>
      </w:r>
      <w:r>
        <w:rPr>
          <w:w w:val="105"/>
        </w:rPr>
        <w:t>Exchange</w:t>
      </w:r>
      <w:r>
        <w:rPr>
          <w:spacing w:val="-13"/>
          <w:w w:val="105"/>
        </w:rPr>
        <w:t> </w:t>
      </w:r>
      <w:r>
        <w:rPr>
          <w:w w:val="105"/>
        </w:rPr>
        <w:t>and</w:t>
      </w:r>
      <w:r>
        <w:rPr>
          <w:spacing w:val="-13"/>
          <w:w w:val="105"/>
        </w:rPr>
        <w:t> </w:t>
      </w:r>
      <w:r>
        <w:rPr>
          <w:w w:val="105"/>
        </w:rPr>
        <w:t>is</w:t>
      </w:r>
      <w:r>
        <w:rPr>
          <w:spacing w:val="-13"/>
          <w:w w:val="105"/>
        </w:rPr>
        <w:t> </w:t>
      </w:r>
      <w:r>
        <w:rPr>
          <w:w w:val="105"/>
        </w:rPr>
        <w:t>traded</w:t>
      </w:r>
      <w:r>
        <w:rPr>
          <w:spacing w:val="-13"/>
          <w:w w:val="105"/>
        </w:rPr>
        <w:t> </w:t>
      </w:r>
      <w:r>
        <w:rPr>
          <w:w w:val="105"/>
        </w:rPr>
        <w:t>under</w:t>
      </w:r>
      <w:r>
        <w:rPr>
          <w:spacing w:val="-13"/>
          <w:w w:val="105"/>
        </w:rPr>
        <w:t> </w:t>
      </w:r>
      <w:r>
        <w:rPr>
          <w:w w:val="105"/>
        </w:rPr>
        <w:t>the</w:t>
      </w:r>
      <w:r>
        <w:rPr>
          <w:spacing w:val="-13"/>
          <w:w w:val="105"/>
        </w:rPr>
        <w:t> </w:t>
      </w:r>
      <w:r>
        <w:rPr>
          <w:w w:val="105"/>
        </w:rPr>
        <w:t>symbol LUV. The high and low sales prices of the common stock on the Composite Tape and the quarterly dividends</w:t>
      </w:r>
      <w:r>
        <w:rPr>
          <w:spacing w:val="-14"/>
          <w:w w:val="105"/>
        </w:rPr>
        <w:t> </w:t>
      </w:r>
      <w:r>
        <w:rPr>
          <w:w w:val="105"/>
        </w:rPr>
        <w:t>per</w:t>
      </w:r>
      <w:r>
        <w:rPr>
          <w:spacing w:val="-14"/>
          <w:w w:val="105"/>
        </w:rPr>
        <w:t> </w:t>
      </w:r>
      <w:r>
        <w:rPr>
          <w:w w:val="105"/>
        </w:rPr>
        <w:t>share</w:t>
      </w:r>
      <w:r>
        <w:rPr>
          <w:spacing w:val="-14"/>
          <w:w w:val="105"/>
        </w:rPr>
        <w:t> </w:t>
      </w:r>
      <w:r>
        <w:rPr>
          <w:w w:val="105"/>
        </w:rPr>
        <w:t>paid</w:t>
      </w:r>
      <w:r>
        <w:rPr>
          <w:spacing w:val="-14"/>
          <w:w w:val="105"/>
        </w:rPr>
        <w:t> </w:t>
      </w:r>
      <w:r>
        <w:rPr>
          <w:w w:val="105"/>
        </w:rPr>
        <w:t>on</w:t>
      </w:r>
      <w:r>
        <w:rPr>
          <w:spacing w:val="-14"/>
          <w:w w:val="105"/>
        </w:rPr>
        <w:t> </w:t>
      </w:r>
      <w:r>
        <w:rPr>
          <w:w w:val="105"/>
        </w:rPr>
        <w:t>the</w:t>
      </w:r>
      <w:r>
        <w:rPr>
          <w:spacing w:val="-14"/>
          <w:w w:val="105"/>
        </w:rPr>
        <w:t> </w:t>
      </w:r>
      <w:r>
        <w:rPr>
          <w:w w:val="105"/>
        </w:rPr>
        <w:t>common</w:t>
      </w:r>
      <w:r>
        <w:rPr>
          <w:spacing w:val="-14"/>
          <w:w w:val="105"/>
        </w:rPr>
        <w:t> </w:t>
      </w:r>
      <w:r>
        <w:rPr>
          <w:w w:val="105"/>
        </w:rPr>
        <w:t>stock</w:t>
      </w:r>
      <w:r>
        <w:rPr>
          <w:spacing w:val="-14"/>
          <w:w w:val="105"/>
        </w:rPr>
        <w:t> </w:t>
      </w:r>
      <w:r>
        <w:rPr>
          <w:w w:val="105"/>
        </w:rPr>
        <w:t>were:</w:t>
      </w:r>
    </w:p>
    <w:p>
      <w:pPr>
        <w:pStyle w:val="BodyText"/>
        <w:spacing w:before="9"/>
        <w:rPr>
          <w:sz w:val="16"/>
        </w:rPr>
      </w:pPr>
    </w:p>
    <w:tbl>
      <w:tblPr>
        <w:tblW w:w="0" w:type="auto"/>
        <w:jc w:val="left"/>
        <w:tblInd w:w="63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980"/>
        <w:gridCol w:w="2462"/>
        <w:gridCol w:w="2303"/>
        <w:gridCol w:w="1364"/>
      </w:tblGrid>
      <w:tr>
        <w:trPr>
          <w:trHeight w:val="355" w:hRule="exact"/>
        </w:trPr>
        <w:tc>
          <w:tcPr>
            <w:tcW w:w="1980" w:type="dxa"/>
          </w:tcPr>
          <w:p>
            <w:pPr>
              <w:pStyle w:val="TableParagraph"/>
              <w:spacing w:before="21"/>
              <w:ind w:left="32"/>
              <w:rPr>
                <w:rFonts w:ascii="Times New Roman"/>
                <w:b/>
                <w:sz w:val="21"/>
              </w:rPr>
            </w:pPr>
            <w:r>
              <w:rPr>
                <w:rFonts w:ascii="Times New Roman"/>
                <w:b/>
                <w:w w:val="105"/>
                <w:sz w:val="21"/>
                <w:u w:val="single"/>
              </w:rPr>
              <w:t>Period</w:t>
            </w:r>
          </w:p>
        </w:tc>
        <w:tc>
          <w:tcPr>
            <w:tcW w:w="2462" w:type="dxa"/>
          </w:tcPr>
          <w:p>
            <w:pPr>
              <w:pStyle w:val="TableParagraph"/>
              <w:spacing w:before="21"/>
              <w:ind w:right="969"/>
              <w:jc w:val="right"/>
              <w:rPr>
                <w:rFonts w:ascii="Times New Roman"/>
                <w:b/>
                <w:sz w:val="21"/>
              </w:rPr>
            </w:pPr>
            <w:r>
              <w:rPr>
                <w:rFonts w:ascii="Times New Roman"/>
                <w:b/>
                <w:sz w:val="21"/>
                <w:u w:val="single"/>
              </w:rPr>
              <w:t>Dividend</w:t>
            </w:r>
          </w:p>
        </w:tc>
        <w:tc>
          <w:tcPr>
            <w:tcW w:w="2303" w:type="dxa"/>
          </w:tcPr>
          <w:p>
            <w:pPr>
              <w:pStyle w:val="TableParagraph"/>
              <w:spacing w:before="21"/>
              <w:ind w:left="1014" w:right="783"/>
              <w:jc w:val="center"/>
              <w:rPr>
                <w:rFonts w:ascii="Times New Roman"/>
                <w:b/>
                <w:sz w:val="21"/>
              </w:rPr>
            </w:pPr>
            <w:r>
              <w:rPr>
                <w:rFonts w:ascii="Times New Roman"/>
                <w:b/>
                <w:w w:val="105"/>
                <w:sz w:val="21"/>
                <w:u w:val="single"/>
              </w:rPr>
              <w:t>High</w:t>
            </w:r>
          </w:p>
        </w:tc>
        <w:tc>
          <w:tcPr>
            <w:tcW w:w="1364" w:type="dxa"/>
          </w:tcPr>
          <w:p>
            <w:pPr>
              <w:pStyle w:val="TableParagraph"/>
              <w:spacing w:before="21"/>
              <w:ind w:right="120"/>
              <w:jc w:val="right"/>
              <w:rPr>
                <w:rFonts w:ascii="Times New Roman"/>
                <w:b/>
                <w:sz w:val="21"/>
              </w:rPr>
            </w:pPr>
            <w:r>
              <w:rPr>
                <w:rFonts w:ascii="Times New Roman"/>
                <w:b/>
                <w:sz w:val="21"/>
                <w:u w:val="single"/>
              </w:rPr>
              <w:t>Low</w:t>
            </w:r>
          </w:p>
        </w:tc>
      </w:tr>
      <w:tr>
        <w:trPr>
          <w:trHeight w:val="407" w:hRule="exact"/>
        </w:trPr>
        <w:tc>
          <w:tcPr>
            <w:tcW w:w="1980" w:type="dxa"/>
          </w:tcPr>
          <w:p>
            <w:pPr>
              <w:pStyle w:val="TableParagraph"/>
              <w:spacing w:before="70"/>
              <w:ind w:left="32"/>
              <w:rPr>
                <w:rFonts w:ascii="Times New Roman"/>
                <w:b/>
                <w:sz w:val="21"/>
              </w:rPr>
            </w:pPr>
            <w:r>
              <w:rPr>
                <w:rFonts w:ascii="Times New Roman"/>
                <w:b/>
                <w:w w:val="105"/>
                <w:sz w:val="21"/>
              </w:rPr>
              <w:t>2003</w:t>
            </w:r>
          </w:p>
        </w:tc>
        <w:tc>
          <w:tcPr>
            <w:tcW w:w="2462" w:type="dxa"/>
          </w:tcPr>
          <w:p>
            <w:pPr/>
          </w:p>
        </w:tc>
        <w:tc>
          <w:tcPr>
            <w:tcW w:w="2303" w:type="dxa"/>
          </w:tcPr>
          <w:p>
            <w:pPr/>
          </w:p>
        </w:tc>
        <w:tc>
          <w:tcPr>
            <w:tcW w:w="1364" w:type="dxa"/>
          </w:tcPr>
          <w:p>
            <w:pPr/>
          </w:p>
        </w:tc>
      </w:tr>
      <w:tr>
        <w:trPr>
          <w:trHeight w:val="404" w:hRule="exact"/>
        </w:trPr>
        <w:tc>
          <w:tcPr>
            <w:tcW w:w="1980" w:type="dxa"/>
          </w:tcPr>
          <w:p>
            <w:pPr>
              <w:pStyle w:val="TableParagraph"/>
              <w:spacing w:before="66"/>
              <w:ind w:left="292"/>
              <w:rPr>
                <w:rFonts w:ascii="Times New Roman"/>
                <w:sz w:val="21"/>
              </w:rPr>
            </w:pPr>
            <w:r>
              <w:rPr>
                <w:rFonts w:ascii="Times New Roman"/>
                <w:w w:val="105"/>
                <w:sz w:val="21"/>
              </w:rPr>
              <w:t>1st Quarter</w:t>
            </w:r>
          </w:p>
        </w:tc>
        <w:tc>
          <w:tcPr>
            <w:tcW w:w="2462" w:type="dxa"/>
          </w:tcPr>
          <w:p>
            <w:pPr>
              <w:pStyle w:val="TableParagraph"/>
              <w:spacing w:before="66"/>
              <w:ind w:right="986"/>
              <w:jc w:val="right"/>
              <w:rPr>
                <w:rFonts w:ascii="Times New Roman"/>
                <w:sz w:val="21"/>
              </w:rPr>
            </w:pPr>
            <w:r>
              <w:rPr>
                <w:rFonts w:ascii="Times New Roman"/>
                <w:sz w:val="21"/>
              </w:rPr>
              <w:t>$0.00450</w:t>
            </w:r>
          </w:p>
        </w:tc>
        <w:tc>
          <w:tcPr>
            <w:tcW w:w="2303" w:type="dxa"/>
          </w:tcPr>
          <w:p>
            <w:pPr>
              <w:pStyle w:val="TableParagraph"/>
              <w:spacing w:before="66"/>
              <w:ind w:right="735"/>
              <w:jc w:val="right"/>
              <w:rPr>
                <w:rFonts w:ascii="Times New Roman"/>
                <w:sz w:val="21"/>
              </w:rPr>
            </w:pPr>
            <w:r>
              <w:rPr>
                <w:rFonts w:ascii="Times New Roman"/>
                <w:sz w:val="21"/>
              </w:rPr>
              <w:t>$15.33</w:t>
            </w:r>
          </w:p>
        </w:tc>
        <w:tc>
          <w:tcPr>
            <w:tcW w:w="1364" w:type="dxa"/>
          </w:tcPr>
          <w:p>
            <w:pPr>
              <w:pStyle w:val="TableParagraph"/>
              <w:spacing w:before="66"/>
              <w:ind w:right="30"/>
              <w:jc w:val="right"/>
              <w:rPr>
                <w:rFonts w:ascii="Times New Roman"/>
                <w:sz w:val="21"/>
              </w:rPr>
            </w:pPr>
            <w:r>
              <w:rPr>
                <w:rFonts w:ascii="Times New Roman"/>
                <w:sz w:val="21"/>
              </w:rPr>
              <w:t>$11.72</w:t>
            </w:r>
          </w:p>
        </w:tc>
      </w:tr>
      <w:tr>
        <w:trPr>
          <w:trHeight w:val="403" w:hRule="exact"/>
        </w:trPr>
        <w:tc>
          <w:tcPr>
            <w:tcW w:w="1980" w:type="dxa"/>
          </w:tcPr>
          <w:p>
            <w:pPr>
              <w:pStyle w:val="TableParagraph"/>
              <w:spacing w:before="65"/>
              <w:ind w:right="648"/>
              <w:jc w:val="right"/>
              <w:rPr>
                <w:rFonts w:ascii="Times New Roman"/>
                <w:sz w:val="21"/>
              </w:rPr>
            </w:pPr>
            <w:r>
              <w:rPr>
                <w:rFonts w:ascii="Times New Roman"/>
                <w:w w:val="105"/>
                <w:sz w:val="21"/>
              </w:rPr>
              <w:t>2nd Quarter</w:t>
            </w:r>
          </w:p>
        </w:tc>
        <w:tc>
          <w:tcPr>
            <w:tcW w:w="2462" w:type="dxa"/>
          </w:tcPr>
          <w:p>
            <w:pPr>
              <w:pStyle w:val="TableParagraph"/>
              <w:spacing w:before="65"/>
              <w:ind w:right="985"/>
              <w:jc w:val="right"/>
              <w:rPr>
                <w:rFonts w:ascii="Times New Roman"/>
                <w:sz w:val="21"/>
              </w:rPr>
            </w:pPr>
            <w:r>
              <w:rPr>
                <w:rFonts w:ascii="Times New Roman"/>
                <w:sz w:val="21"/>
              </w:rPr>
              <w:t>0.00450</w:t>
            </w:r>
          </w:p>
        </w:tc>
        <w:tc>
          <w:tcPr>
            <w:tcW w:w="2303" w:type="dxa"/>
          </w:tcPr>
          <w:p>
            <w:pPr>
              <w:pStyle w:val="TableParagraph"/>
              <w:spacing w:before="65"/>
              <w:ind w:right="735"/>
              <w:jc w:val="right"/>
              <w:rPr>
                <w:rFonts w:ascii="Times New Roman"/>
                <w:sz w:val="21"/>
              </w:rPr>
            </w:pPr>
            <w:r>
              <w:rPr>
                <w:rFonts w:ascii="Times New Roman"/>
                <w:sz w:val="21"/>
              </w:rPr>
              <w:t>17.70</w:t>
            </w:r>
          </w:p>
        </w:tc>
        <w:tc>
          <w:tcPr>
            <w:tcW w:w="1364" w:type="dxa"/>
          </w:tcPr>
          <w:p>
            <w:pPr>
              <w:pStyle w:val="TableParagraph"/>
              <w:spacing w:before="65"/>
              <w:ind w:right="30"/>
              <w:jc w:val="right"/>
              <w:rPr>
                <w:rFonts w:ascii="Times New Roman"/>
                <w:sz w:val="21"/>
              </w:rPr>
            </w:pPr>
            <w:r>
              <w:rPr>
                <w:rFonts w:ascii="Times New Roman"/>
                <w:sz w:val="21"/>
              </w:rPr>
              <w:t>14.09</w:t>
            </w:r>
          </w:p>
        </w:tc>
      </w:tr>
      <w:tr>
        <w:trPr>
          <w:trHeight w:val="403" w:hRule="exact"/>
        </w:trPr>
        <w:tc>
          <w:tcPr>
            <w:tcW w:w="1980" w:type="dxa"/>
          </w:tcPr>
          <w:p>
            <w:pPr>
              <w:pStyle w:val="TableParagraph"/>
              <w:spacing w:before="65"/>
              <w:ind w:right="684"/>
              <w:jc w:val="right"/>
              <w:rPr>
                <w:rFonts w:ascii="Times New Roman"/>
                <w:sz w:val="21"/>
              </w:rPr>
            </w:pPr>
            <w:r>
              <w:rPr>
                <w:rFonts w:ascii="Times New Roman"/>
                <w:w w:val="105"/>
                <w:sz w:val="21"/>
              </w:rPr>
              <w:t>3rd Quarter</w:t>
            </w:r>
          </w:p>
        </w:tc>
        <w:tc>
          <w:tcPr>
            <w:tcW w:w="2462" w:type="dxa"/>
          </w:tcPr>
          <w:p>
            <w:pPr>
              <w:pStyle w:val="TableParagraph"/>
              <w:spacing w:before="65"/>
              <w:ind w:right="986"/>
              <w:jc w:val="right"/>
              <w:rPr>
                <w:rFonts w:ascii="Times New Roman"/>
                <w:sz w:val="21"/>
              </w:rPr>
            </w:pPr>
            <w:r>
              <w:rPr>
                <w:rFonts w:ascii="Times New Roman"/>
                <w:sz w:val="21"/>
              </w:rPr>
              <w:t>0.00450</w:t>
            </w:r>
          </w:p>
        </w:tc>
        <w:tc>
          <w:tcPr>
            <w:tcW w:w="2303" w:type="dxa"/>
          </w:tcPr>
          <w:p>
            <w:pPr>
              <w:pStyle w:val="TableParagraph"/>
              <w:spacing w:before="65"/>
              <w:ind w:right="735"/>
              <w:jc w:val="right"/>
              <w:rPr>
                <w:rFonts w:ascii="Times New Roman"/>
                <w:sz w:val="21"/>
              </w:rPr>
            </w:pPr>
            <w:r>
              <w:rPr>
                <w:rFonts w:ascii="Times New Roman"/>
                <w:sz w:val="21"/>
              </w:rPr>
              <w:t>18.99</w:t>
            </w:r>
          </w:p>
        </w:tc>
        <w:tc>
          <w:tcPr>
            <w:tcW w:w="1364" w:type="dxa"/>
          </w:tcPr>
          <w:p>
            <w:pPr>
              <w:pStyle w:val="TableParagraph"/>
              <w:spacing w:before="65"/>
              <w:ind w:right="31"/>
              <w:jc w:val="right"/>
              <w:rPr>
                <w:rFonts w:ascii="Times New Roman"/>
                <w:sz w:val="21"/>
              </w:rPr>
            </w:pPr>
            <w:r>
              <w:rPr>
                <w:rFonts w:ascii="Times New Roman"/>
                <w:sz w:val="21"/>
              </w:rPr>
              <w:t>15.86</w:t>
            </w:r>
          </w:p>
        </w:tc>
      </w:tr>
      <w:tr>
        <w:trPr>
          <w:trHeight w:val="351" w:hRule="exact"/>
        </w:trPr>
        <w:tc>
          <w:tcPr>
            <w:tcW w:w="1980" w:type="dxa"/>
          </w:tcPr>
          <w:p>
            <w:pPr>
              <w:pStyle w:val="TableParagraph"/>
              <w:spacing w:before="65"/>
              <w:ind w:right="695"/>
              <w:jc w:val="right"/>
              <w:rPr>
                <w:rFonts w:ascii="Times New Roman"/>
                <w:sz w:val="21"/>
              </w:rPr>
            </w:pPr>
            <w:r>
              <w:rPr>
                <w:rFonts w:ascii="Times New Roman"/>
                <w:w w:val="105"/>
                <w:sz w:val="21"/>
              </w:rPr>
              <w:t>4th Quarter</w:t>
            </w:r>
          </w:p>
        </w:tc>
        <w:tc>
          <w:tcPr>
            <w:tcW w:w="2462" w:type="dxa"/>
          </w:tcPr>
          <w:p>
            <w:pPr>
              <w:pStyle w:val="TableParagraph"/>
              <w:spacing w:before="65"/>
              <w:ind w:right="985"/>
              <w:jc w:val="right"/>
              <w:rPr>
                <w:rFonts w:ascii="Times New Roman"/>
                <w:sz w:val="21"/>
              </w:rPr>
            </w:pPr>
            <w:r>
              <w:rPr>
                <w:rFonts w:ascii="Times New Roman"/>
                <w:sz w:val="21"/>
              </w:rPr>
              <w:t>0.00450</w:t>
            </w:r>
          </w:p>
        </w:tc>
        <w:tc>
          <w:tcPr>
            <w:tcW w:w="2303" w:type="dxa"/>
          </w:tcPr>
          <w:p>
            <w:pPr>
              <w:pStyle w:val="TableParagraph"/>
              <w:spacing w:before="65"/>
              <w:ind w:right="735"/>
              <w:jc w:val="right"/>
              <w:rPr>
                <w:rFonts w:ascii="Times New Roman"/>
                <w:sz w:val="21"/>
              </w:rPr>
            </w:pPr>
            <w:r>
              <w:rPr>
                <w:rFonts w:ascii="Times New Roman"/>
                <w:sz w:val="21"/>
              </w:rPr>
              <w:t>19.69</w:t>
            </w:r>
          </w:p>
        </w:tc>
        <w:tc>
          <w:tcPr>
            <w:tcW w:w="1364" w:type="dxa"/>
          </w:tcPr>
          <w:p>
            <w:pPr>
              <w:pStyle w:val="TableParagraph"/>
              <w:spacing w:before="65"/>
              <w:ind w:right="30"/>
              <w:jc w:val="right"/>
              <w:rPr>
                <w:rFonts w:ascii="Times New Roman"/>
                <w:sz w:val="21"/>
              </w:rPr>
            </w:pPr>
            <w:r>
              <w:rPr>
                <w:rFonts w:ascii="Times New Roman"/>
                <w:sz w:val="21"/>
              </w:rPr>
              <w:t>15.30</w:t>
            </w:r>
          </w:p>
        </w:tc>
      </w:tr>
      <w:tr>
        <w:trPr>
          <w:trHeight w:val="455" w:hRule="exact"/>
        </w:trPr>
        <w:tc>
          <w:tcPr>
            <w:tcW w:w="1980" w:type="dxa"/>
          </w:tcPr>
          <w:p>
            <w:pPr>
              <w:pStyle w:val="TableParagraph"/>
              <w:spacing w:before="118"/>
              <w:ind w:left="32"/>
              <w:rPr>
                <w:rFonts w:ascii="Times New Roman"/>
                <w:b/>
                <w:sz w:val="21"/>
              </w:rPr>
            </w:pPr>
            <w:r>
              <w:rPr>
                <w:rFonts w:ascii="Times New Roman"/>
                <w:b/>
                <w:w w:val="105"/>
                <w:sz w:val="21"/>
              </w:rPr>
              <w:t>2002</w:t>
            </w:r>
          </w:p>
        </w:tc>
        <w:tc>
          <w:tcPr>
            <w:tcW w:w="2462" w:type="dxa"/>
          </w:tcPr>
          <w:p>
            <w:pPr/>
          </w:p>
        </w:tc>
        <w:tc>
          <w:tcPr>
            <w:tcW w:w="2303" w:type="dxa"/>
          </w:tcPr>
          <w:p>
            <w:pPr/>
          </w:p>
        </w:tc>
        <w:tc>
          <w:tcPr>
            <w:tcW w:w="1364" w:type="dxa"/>
          </w:tcPr>
          <w:p>
            <w:pPr/>
          </w:p>
        </w:tc>
      </w:tr>
      <w:tr>
        <w:trPr>
          <w:trHeight w:val="404" w:hRule="exact"/>
        </w:trPr>
        <w:tc>
          <w:tcPr>
            <w:tcW w:w="1980" w:type="dxa"/>
          </w:tcPr>
          <w:p>
            <w:pPr>
              <w:pStyle w:val="TableParagraph"/>
              <w:spacing w:before="66"/>
              <w:ind w:left="292"/>
              <w:rPr>
                <w:rFonts w:ascii="Times New Roman"/>
                <w:sz w:val="21"/>
              </w:rPr>
            </w:pPr>
            <w:r>
              <w:rPr>
                <w:rFonts w:ascii="Times New Roman"/>
                <w:w w:val="105"/>
                <w:sz w:val="21"/>
              </w:rPr>
              <w:t>1st Quarter</w:t>
            </w:r>
          </w:p>
        </w:tc>
        <w:tc>
          <w:tcPr>
            <w:tcW w:w="2462" w:type="dxa"/>
          </w:tcPr>
          <w:p>
            <w:pPr>
              <w:pStyle w:val="TableParagraph"/>
              <w:spacing w:before="66"/>
              <w:ind w:right="986"/>
              <w:jc w:val="right"/>
              <w:rPr>
                <w:rFonts w:ascii="Times New Roman"/>
                <w:sz w:val="21"/>
              </w:rPr>
            </w:pPr>
            <w:r>
              <w:rPr>
                <w:rFonts w:ascii="Times New Roman"/>
                <w:sz w:val="21"/>
              </w:rPr>
              <w:t>$0.00450</w:t>
            </w:r>
          </w:p>
        </w:tc>
        <w:tc>
          <w:tcPr>
            <w:tcW w:w="2303" w:type="dxa"/>
          </w:tcPr>
          <w:p>
            <w:pPr>
              <w:pStyle w:val="TableParagraph"/>
              <w:spacing w:before="66"/>
              <w:ind w:right="735"/>
              <w:jc w:val="right"/>
              <w:rPr>
                <w:rFonts w:ascii="Times New Roman"/>
                <w:sz w:val="21"/>
              </w:rPr>
            </w:pPr>
            <w:r>
              <w:rPr>
                <w:rFonts w:ascii="Times New Roman"/>
                <w:sz w:val="21"/>
              </w:rPr>
              <w:t>$22.00</w:t>
            </w:r>
          </w:p>
        </w:tc>
        <w:tc>
          <w:tcPr>
            <w:tcW w:w="1364" w:type="dxa"/>
          </w:tcPr>
          <w:p>
            <w:pPr>
              <w:pStyle w:val="TableParagraph"/>
              <w:spacing w:before="66"/>
              <w:ind w:right="30"/>
              <w:jc w:val="right"/>
              <w:rPr>
                <w:rFonts w:ascii="Times New Roman"/>
                <w:sz w:val="21"/>
              </w:rPr>
            </w:pPr>
            <w:r>
              <w:rPr>
                <w:rFonts w:ascii="Times New Roman"/>
                <w:sz w:val="21"/>
              </w:rPr>
              <w:t>$17.17</w:t>
            </w:r>
          </w:p>
        </w:tc>
      </w:tr>
      <w:tr>
        <w:trPr>
          <w:trHeight w:val="403" w:hRule="exact"/>
        </w:trPr>
        <w:tc>
          <w:tcPr>
            <w:tcW w:w="1980" w:type="dxa"/>
          </w:tcPr>
          <w:p>
            <w:pPr>
              <w:pStyle w:val="TableParagraph"/>
              <w:spacing w:before="65"/>
              <w:ind w:right="648"/>
              <w:jc w:val="right"/>
              <w:rPr>
                <w:rFonts w:ascii="Times New Roman"/>
                <w:sz w:val="21"/>
              </w:rPr>
            </w:pPr>
            <w:r>
              <w:rPr>
                <w:rFonts w:ascii="Times New Roman"/>
                <w:w w:val="105"/>
                <w:sz w:val="21"/>
              </w:rPr>
              <w:t>2nd Quarter</w:t>
            </w:r>
          </w:p>
        </w:tc>
        <w:tc>
          <w:tcPr>
            <w:tcW w:w="2462" w:type="dxa"/>
          </w:tcPr>
          <w:p>
            <w:pPr>
              <w:pStyle w:val="TableParagraph"/>
              <w:spacing w:before="65"/>
              <w:ind w:right="985"/>
              <w:jc w:val="right"/>
              <w:rPr>
                <w:rFonts w:ascii="Times New Roman"/>
                <w:sz w:val="21"/>
              </w:rPr>
            </w:pPr>
            <w:r>
              <w:rPr>
                <w:rFonts w:ascii="Times New Roman"/>
                <w:sz w:val="21"/>
              </w:rPr>
              <w:t>0.00450</w:t>
            </w:r>
          </w:p>
        </w:tc>
        <w:tc>
          <w:tcPr>
            <w:tcW w:w="2303" w:type="dxa"/>
          </w:tcPr>
          <w:p>
            <w:pPr>
              <w:pStyle w:val="TableParagraph"/>
              <w:spacing w:before="65"/>
              <w:ind w:right="735"/>
              <w:jc w:val="right"/>
              <w:rPr>
                <w:rFonts w:ascii="Times New Roman"/>
                <w:sz w:val="21"/>
              </w:rPr>
            </w:pPr>
            <w:r>
              <w:rPr>
                <w:rFonts w:ascii="Times New Roman"/>
                <w:sz w:val="21"/>
              </w:rPr>
              <w:t>19.35</w:t>
            </w:r>
          </w:p>
        </w:tc>
        <w:tc>
          <w:tcPr>
            <w:tcW w:w="1364" w:type="dxa"/>
          </w:tcPr>
          <w:p>
            <w:pPr>
              <w:pStyle w:val="TableParagraph"/>
              <w:spacing w:before="65"/>
              <w:ind w:right="30"/>
              <w:jc w:val="right"/>
              <w:rPr>
                <w:rFonts w:ascii="Times New Roman"/>
                <w:sz w:val="21"/>
              </w:rPr>
            </w:pPr>
            <w:r>
              <w:rPr>
                <w:rFonts w:ascii="Times New Roman"/>
                <w:sz w:val="21"/>
              </w:rPr>
              <w:t>14.85</w:t>
            </w:r>
          </w:p>
        </w:tc>
      </w:tr>
      <w:tr>
        <w:trPr>
          <w:trHeight w:val="403" w:hRule="exact"/>
        </w:trPr>
        <w:tc>
          <w:tcPr>
            <w:tcW w:w="1980" w:type="dxa"/>
          </w:tcPr>
          <w:p>
            <w:pPr>
              <w:pStyle w:val="TableParagraph"/>
              <w:spacing w:before="65"/>
              <w:ind w:right="684"/>
              <w:jc w:val="right"/>
              <w:rPr>
                <w:rFonts w:ascii="Times New Roman"/>
                <w:sz w:val="21"/>
              </w:rPr>
            </w:pPr>
            <w:r>
              <w:rPr>
                <w:rFonts w:ascii="Times New Roman"/>
                <w:w w:val="105"/>
                <w:sz w:val="21"/>
              </w:rPr>
              <w:t>3rd Quarter</w:t>
            </w:r>
          </w:p>
        </w:tc>
        <w:tc>
          <w:tcPr>
            <w:tcW w:w="2462" w:type="dxa"/>
          </w:tcPr>
          <w:p>
            <w:pPr>
              <w:pStyle w:val="TableParagraph"/>
              <w:spacing w:before="65"/>
              <w:ind w:right="986"/>
              <w:jc w:val="right"/>
              <w:rPr>
                <w:rFonts w:ascii="Times New Roman"/>
                <w:sz w:val="21"/>
              </w:rPr>
            </w:pPr>
            <w:r>
              <w:rPr>
                <w:rFonts w:ascii="Times New Roman"/>
                <w:sz w:val="21"/>
              </w:rPr>
              <w:t>0.00450</w:t>
            </w:r>
          </w:p>
        </w:tc>
        <w:tc>
          <w:tcPr>
            <w:tcW w:w="2303" w:type="dxa"/>
          </w:tcPr>
          <w:p>
            <w:pPr>
              <w:pStyle w:val="TableParagraph"/>
              <w:spacing w:before="65"/>
              <w:ind w:right="735"/>
              <w:jc w:val="right"/>
              <w:rPr>
                <w:rFonts w:ascii="Times New Roman"/>
                <w:sz w:val="21"/>
              </w:rPr>
            </w:pPr>
            <w:r>
              <w:rPr>
                <w:rFonts w:ascii="Times New Roman"/>
                <w:sz w:val="21"/>
              </w:rPr>
              <w:t>16.08</w:t>
            </w:r>
          </w:p>
        </w:tc>
        <w:tc>
          <w:tcPr>
            <w:tcW w:w="1364" w:type="dxa"/>
          </w:tcPr>
          <w:p>
            <w:pPr>
              <w:pStyle w:val="TableParagraph"/>
              <w:spacing w:before="65"/>
              <w:ind w:right="31"/>
              <w:jc w:val="right"/>
              <w:rPr>
                <w:rFonts w:ascii="Times New Roman"/>
                <w:sz w:val="21"/>
              </w:rPr>
            </w:pPr>
            <w:r>
              <w:rPr>
                <w:rFonts w:ascii="Times New Roman"/>
                <w:sz w:val="21"/>
              </w:rPr>
              <w:t>10.90</w:t>
            </w:r>
          </w:p>
        </w:tc>
      </w:tr>
      <w:tr>
        <w:trPr>
          <w:trHeight w:val="351" w:hRule="exact"/>
        </w:trPr>
        <w:tc>
          <w:tcPr>
            <w:tcW w:w="1980" w:type="dxa"/>
          </w:tcPr>
          <w:p>
            <w:pPr>
              <w:pStyle w:val="TableParagraph"/>
              <w:spacing w:before="65"/>
              <w:ind w:right="695"/>
              <w:jc w:val="right"/>
              <w:rPr>
                <w:rFonts w:ascii="Times New Roman"/>
                <w:sz w:val="21"/>
              </w:rPr>
            </w:pPr>
            <w:r>
              <w:rPr>
                <w:rFonts w:ascii="Times New Roman"/>
                <w:w w:val="105"/>
                <w:sz w:val="21"/>
              </w:rPr>
              <w:t>4th Quarter</w:t>
            </w:r>
          </w:p>
        </w:tc>
        <w:tc>
          <w:tcPr>
            <w:tcW w:w="2462" w:type="dxa"/>
          </w:tcPr>
          <w:p>
            <w:pPr>
              <w:pStyle w:val="TableParagraph"/>
              <w:spacing w:before="65"/>
              <w:ind w:right="985"/>
              <w:jc w:val="right"/>
              <w:rPr>
                <w:rFonts w:ascii="Times New Roman"/>
                <w:sz w:val="21"/>
              </w:rPr>
            </w:pPr>
            <w:r>
              <w:rPr>
                <w:rFonts w:ascii="Times New Roman"/>
                <w:sz w:val="21"/>
              </w:rPr>
              <w:t>0.00450</w:t>
            </w:r>
          </w:p>
        </w:tc>
        <w:tc>
          <w:tcPr>
            <w:tcW w:w="2303" w:type="dxa"/>
          </w:tcPr>
          <w:p>
            <w:pPr>
              <w:pStyle w:val="TableParagraph"/>
              <w:spacing w:before="65"/>
              <w:ind w:right="735"/>
              <w:jc w:val="right"/>
              <w:rPr>
                <w:rFonts w:ascii="Times New Roman"/>
                <w:sz w:val="21"/>
              </w:rPr>
            </w:pPr>
            <w:r>
              <w:rPr>
                <w:rFonts w:ascii="Times New Roman"/>
                <w:sz w:val="21"/>
              </w:rPr>
              <w:t>16.70</w:t>
            </w:r>
          </w:p>
        </w:tc>
        <w:tc>
          <w:tcPr>
            <w:tcW w:w="1364" w:type="dxa"/>
          </w:tcPr>
          <w:p>
            <w:pPr>
              <w:pStyle w:val="TableParagraph"/>
              <w:spacing w:before="65"/>
              <w:ind w:right="30"/>
              <w:jc w:val="right"/>
              <w:rPr>
                <w:rFonts w:ascii="Times New Roman"/>
                <w:sz w:val="21"/>
              </w:rPr>
            </w:pPr>
            <w:r>
              <w:rPr>
                <w:rFonts w:ascii="Times New Roman"/>
                <w:sz w:val="21"/>
              </w:rPr>
              <w:t>11.23</w:t>
            </w:r>
          </w:p>
        </w:tc>
      </w:tr>
    </w:tbl>
    <w:p>
      <w:pPr>
        <w:pStyle w:val="BodyText"/>
        <w:spacing w:before="6"/>
        <w:rPr>
          <w:sz w:val="36"/>
        </w:rPr>
      </w:pPr>
    </w:p>
    <w:p>
      <w:pPr>
        <w:pStyle w:val="BodyText"/>
        <w:ind w:left="836"/>
      </w:pPr>
      <w:r>
        <w:rPr>
          <w:w w:val="105"/>
        </w:rPr>
        <w:t>As of December 31, 2003, there were 12,114 holders of record of the Company's common stock.</w:t>
      </w:r>
    </w:p>
    <w:p>
      <w:pPr>
        <w:pStyle w:val="BodyText"/>
        <w:spacing w:before="5"/>
        <w:rPr>
          <w:sz w:val="24"/>
        </w:rPr>
      </w:pPr>
    </w:p>
    <w:p>
      <w:pPr>
        <w:pStyle w:val="Heading2"/>
        <w:ind w:left="116"/>
      </w:pPr>
      <w:r>
        <w:rPr>
          <w:w w:val="105"/>
        </w:rPr>
        <w:t>Recent Sales of Unregistered Securities</w:t>
      </w:r>
    </w:p>
    <w:p>
      <w:pPr>
        <w:pStyle w:val="BodyText"/>
        <w:spacing w:before="5"/>
        <w:rPr>
          <w:b/>
          <w:sz w:val="24"/>
        </w:rPr>
      </w:pPr>
    </w:p>
    <w:p>
      <w:pPr>
        <w:pStyle w:val="BodyText"/>
        <w:spacing w:line="256" w:lineRule="auto"/>
        <w:ind w:left="116" w:right="489" w:firstLine="720"/>
      </w:pPr>
      <w:r>
        <w:rPr>
          <w:w w:val="105"/>
        </w:rPr>
        <w:t>During</w:t>
      </w:r>
      <w:r>
        <w:rPr>
          <w:spacing w:val="-16"/>
          <w:w w:val="105"/>
        </w:rPr>
        <w:t> </w:t>
      </w:r>
      <w:r>
        <w:rPr>
          <w:w w:val="105"/>
        </w:rPr>
        <w:t>2003,</w:t>
      </w:r>
      <w:r>
        <w:rPr>
          <w:spacing w:val="-16"/>
          <w:w w:val="105"/>
        </w:rPr>
        <w:t> </w:t>
      </w:r>
      <w:r>
        <w:rPr>
          <w:w w:val="105"/>
        </w:rPr>
        <w:t>Herbert</w:t>
      </w:r>
      <w:r>
        <w:rPr>
          <w:spacing w:val="-15"/>
          <w:w w:val="105"/>
        </w:rPr>
        <w:t> </w:t>
      </w:r>
      <w:r>
        <w:rPr>
          <w:w w:val="105"/>
        </w:rPr>
        <w:t>D.</w:t>
      </w:r>
      <w:r>
        <w:rPr>
          <w:spacing w:val="-16"/>
          <w:w w:val="105"/>
        </w:rPr>
        <w:t> </w:t>
      </w:r>
      <w:r>
        <w:rPr>
          <w:w w:val="105"/>
        </w:rPr>
        <w:t>Kelleher,</w:t>
      </w:r>
      <w:r>
        <w:rPr>
          <w:spacing w:val="-15"/>
          <w:w w:val="105"/>
        </w:rPr>
        <w:t> </w:t>
      </w:r>
      <w:r>
        <w:rPr>
          <w:w w:val="105"/>
        </w:rPr>
        <w:t>Chairman</w:t>
      </w:r>
      <w:r>
        <w:rPr>
          <w:spacing w:val="-16"/>
          <w:w w:val="105"/>
        </w:rPr>
        <w:t> </w:t>
      </w:r>
      <w:r>
        <w:rPr>
          <w:w w:val="105"/>
        </w:rPr>
        <w:t>of</w:t>
      </w:r>
      <w:r>
        <w:rPr>
          <w:spacing w:val="-16"/>
          <w:w w:val="105"/>
        </w:rPr>
        <w:t> </w:t>
      </w:r>
      <w:r>
        <w:rPr>
          <w:w w:val="105"/>
        </w:rPr>
        <w:t>the</w:t>
      </w:r>
      <w:r>
        <w:rPr>
          <w:spacing w:val="-16"/>
          <w:w w:val="105"/>
        </w:rPr>
        <w:t> </w:t>
      </w:r>
      <w:r>
        <w:rPr>
          <w:w w:val="105"/>
        </w:rPr>
        <w:t>Board,</w:t>
      </w:r>
      <w:r>
        <w:rPr>
          <w:spacing w:val="-16"/>
          <w:w w:val="105"/>
        </w:rPr>
        <w:t> </w:t>
      </w:r>
      <w:r>
        <w:rPr>
          <w:w w:val="105"/>
        </w:rPr>
        <w:t>exercised</w:t>
      </w:r>
      <w:r>
        <w:rPr>
          <w:spacing w:val="-16"/>
          <w:w w:val="105"/>
        </w:rPr>
        <w:t> </w:t>
      </w:r>
      <w:r>
        <w:rPr>
          <w:w w:val="105"/>
        </w:rPr>
        <w:t>unregistered</w:t>
      </w:r>
      <w:r>
        <w:rPr>
          <w:spacing w:val="-16"/>
          <w:w w:val="105"/>
        </w:rPr>
        <w:t> </w:t>
      </w:r>
      <w:r>
        <w:rPr>
          <w:w w:val="105"/>
        </w:rPr>
        <w:t>options</w:t>
      </w:r>
      <w:r>
        <w:rPr>
          <w:spacing w:val="-16"/>
          <w:w w:val="105"/>
        </w:rPr>
        <w:t> </w:t>
      </w:r>
      <w:r>
        <w:rPr>
          <w:w w:val="105"/>
        </w:rPr>
        <w:t>to purchase</w:t>
      </w:r>
      <w:r>
        <w:rPr>
          <w:spacing w:val="-18"/>
          <w:w w:val="105"/>
        </w:rPr>
        <w:t> </w:t>
      </w:r>
      <w:r>
        <w:rPr>
          <w:w w:val="105"/>
        </w:rPr>
        <w:t>Southwest</w:t>
      </w:r>
      <w:r>
        <w:rPr>
          <w:spacing w:val="-17"/>
          <w:w w:val="105"/>
        </w:rPr>
        <w:t> </w:t>
      </w:r>
      <w:r>
        <w:rPr>
          <w:w w:val="105"/>
        </w:rPr>
        <w:t>Common</w:t>
      </w:r>
      <w:r>
        <w:rPr>
          <w:spacing w:val="-18"/>
          <w:w w:val="105"/>
        </w:rPr>
        <w:t> </w:t>
      </w:r>
      <w:r>
        <w:rPr>
          <w:w w:val="105"/>
        </w:rPr>
        <w:t>Stock</w:t>
      </w:r>
      <w:r>
        <w:rPr>
          <w:spacing w:val="-18"/>
          <w:w w:val="105"/>
        </w:rPr>
        <w:t> </w:t>
      </w:r>
      <w:r>
        <w:rPr>
          <w:w w:val="105"/>
        </w:rPr>
        <w:t>as</w:t>
      </w:r>
      <w:r>
        <w:rPr>
          <w:spacing w:val="-18"/>
          <w:w w:val="105"/>
        </w:rPr>
        <w:t> </w:t>
      </w:r>
      <w:r>
        <w:rPr>
          <w:w w:val="105"/>
        </w:rPr>
        <w:t>follows:</w:t>
      </w:r>
    </w:p>
    <w:p>
      <w:pPr>
        <w:pStyle w:val="Heading2"/>
        <w:tabs>
          <w:tab w:pos="3447" w:val="left" w:leader="none"/>
          <w:tab w:pos="5175" w:val="left" w:leader="none"/>
          <w:tab w:pos="6984" w:val="left" w:leader="none"/>
        </w:tabs>
        <w:spacing w:before="222"/>
        <w:ind w:left="365"/>
      </w:pPr>
      <w:r>
        <w:rPr>
          <w:w w:val="105"/>
          <w:u w:val="single"/>
        </w:rPr>
        <w:t>Number of</w:t>
      </w:r>
      <w:r>
        <w:rPr>
          <w:spacing w:val="-24"/>
          <w:w w:val="105"/>
          <w:u w:val="single"/>
        </w:rPr>
        <w:t> </w:t>
      </w:r>
      <w:r>
        <w:rPr>
          <w:w w:val="105"/>
          <w:u w:val="single"/>
        </w:rPr>
        <w:t>Shares</w:t>
      </w:r>
      <w:r>
        <w:rPr>
          <w:spacing w:val="-12"/>
          <w:w w:val="105"/>
          <w:u w:val="single"/>
        </w:rPr>
        <w:t> </w:t>
      </w:r>
      <w:r>
        <w:rPr>
          <w:w w:val="105"/>
          <w:u w:val="single"/>
        </w:rPr>
        <w:t>Purchased</w:t>
      </w:r>
      <w:r>
        <w:rPr>
          <w:w w:val="105"/>
        </w:rPr>
        <w:tab/>
      </w:r>
      <w:r>
        <w:rPr>
          <w:w w:val="105"/>
          <w:u w:val="single"/>
        </w:rPr>
        <w:t>Exercise</w:t>
      </w:r>
      <w:r>
        <w:rPr>
          <w:spacing w:val="-10"/>
          <w:w w:val="105"/>
          <w:u w:val="single"/>
        </w:rPr>
        <w:t> </w:t>
      </w:r>
      <w:r>
        <w:rPr>
          <w:w w:val="105"/>
          <w:u w:val="single"/>
        </w:rPr>
        <w:t>Price</w:t>
      </w:r>
      <w:r>
        <w:rPr>
          <w:w w:val="105"/>
        </w:rPr>
        <w:tab/>
      </w:r>
      <w:r>
        <w:rPr>
          <w:w w:val="105"/>
          <w:u w:val="single"/>
        </w:rPr>
        <w:t>Date</w:t>
      </w:r>
      <w:r>
        <w:rPr>
          <w:spacing w:val="-9"/>
          <w:w w:val="105"/>
          <w:u w:val="single"/>
        </w:rPr>
        <w:t> </w:t>
      </w:r>
      <w:r>
        <w:rPr>
          <w:w w:val="105"/>
          <w:u w:val="single"/>
        </w:rPr>
        <w:t>of</w:t>
      </w:r>
      <w:r>
        <w:rPr>
          <w:spacing w:val="-9"/>
          <w:w w:val="105"/>
          <w:u w:val="single"/>
        </w:rPr>
        <w:t> </w:t>
      </w:r>
      <w:r>
        <w:rPr>
          <w:w w:val="105"/>
          <w:u w:val="single"/>
        </w:rPr>
        <w:t>Exercise</w:t>
      </w:r>
      <w:r>
        <w:rPr>
          <w:w w:val="105"/>
        </w:rPr>
        <w:tab/>
      </w:r>
      <w:r>
        <w:rPr>
          <w:w w:val="105"/>
          <w:u w:val="single"/>
        </w:rPr>
        <w:t>Date</w:t>
      </w:r>
      <w:r>
        <w:rPr>
          <w:spacing w:val="-15"/>
          <w:w w:val="105"/>
          <w:u w:val="single"/>
        </w:rPr>
        <w:t> </w:t>
      </w:r>
      <w:r>
        <w:rPr>
          <w:w w:val="105"/>
          <w:u w:val="single"/>
        </w:rPr>
        <w:t>of</w:t>
      </w:r>
      <w:r>
        <w:rPr>
          <w:spacing w:val="-15"/>
          <w:w w:val="105"/>
          <w:u w:val="single"/>
        </w:rPr>
        <w:t> </w:t>
      </w:r>
      <w:r>
        <w:rPr>
          <w:w w:val="105"/>
          <w:u w:val="single"/>
        </w:rPr>
        <w:t>Option</w:t>
      </w:r>
      <w:r>
        <w:rPr>
          <w:spacing w:val="-15"/>
          <w:w w:val="105"/>
          <w:u w:val="single"/>
        </w:rPr>
        <w:t> </w:t>
      </w:r>
      <w:r>
        <w:rPr>
          <w:w w:val="105"/>
          <w:u w:val="single"/>
        </w:rPr>
        <w:t>Grant</w:t>
      </w:r>
    </w:p>
    <w:p>
      <w:pPr>
        <w:spacing w:after="0"/>
        <w:sectPr>
          <w:pgSz w:w="12240" w:h="15840"/>
          <w:pgMar w:top="1120" w:bottom="280" w:left="1180" w:right="1180"/>
        </w:sectPr>
      </w:pPr>
    </w:p>
    <w:p>
      <w:pPr>
        <w:pStyle w:val="BodyText"/>
        <w:spacing w:line="231" w:lineRule="exact" w:before="161"/>
        <w:jc w:val="right"/>
      </w:pPr>
      <w:r>
        <w:rPr/>
        <w:t>51,947</w:t>
      </w:r>
    </w:p>
    <w:p>
      <w:pPr>
        <w:pStyle w:val="BodyText"/>
        <w:spacing w:line="221" w:lineRule="exact"/>
        <w:jc w:val="right"/>
      </w:pPr>
      <w:r>
        <w:rPr/>
        <w:t>287,173</w:t>
      </w:r>
    </w:p>
    <w:p>
      <w:pPr>
        <w:pStyle w:val="BodyText"/>
        <w:spacing w:line="218" w:lineRule="exact"/>
        <w:jc w:val="right"/>
      </w:pPr>
      <w:r>
        <w:rPr/>
        <w:t>506,250</w:t>
      </w:r>
    </w:p>
    <w:p>
      <w:pPr>
        <w:pStyle w:val="BodyText"/>
        <w:spacing w:line="218" w:lineRule="exact"/>
        <w:jc w:val="right"/>
      </w:pPr>
      <w:r>
        <w:rPr/>
        <w:t>54,630</w:t>
      </w:r>
    </w:p>
    <w:p>
      <w:pPr>
        <w:pStyle w:val="BodyText"/>
        <w:spacing w:line="231" w:lineRule="exact"/>
        <w:jc w:val="right"/>
      </w:pPr>
      <w:r>
        <w:rPr/>
        <w:t>120,000</w:t>
      </w:r>
    </w:p>
    <w:p>
      <w:pPr>
        <w:pStyle w:val="BodyText"/>
        <w:spacing w:line="220" w:lineRule="exact" w:before="181"/>
        <w:ind w:left="1476" w:hanging="108"/>
        <w:jc w:val="right"/>
      </w:pPr>
      <w:r>
        <w:rPr/>
        <w:br w:type="column"/>
      </w:r>
      <w:r>
        <w:rPr/>
        <w:t>$1.00 1.00</w:t>
      </w:r>
    </w:p>
    <w:p>
      <w:pPr>
        <w:pStyle w:val="BodyText"/>
        <w:spacing w:line="209" w:lineRule="exact"/>
        <w:jc w:val="right"/>
      </w:pPr>
      <w:r>
        <w:rPr/>
        <w:t>4.64</w:t>
      </w:r>
    </w:p>
    <w:p>
      <w:pPr>
        <w:pStyle w:val="BodyText"/>
        <w:spacing w:line="218" w:lineRule="exact"/>
        <w:jc w:val="right"/>
      </w:pPr>
      <w:r>
        <w:rPr/>
        <w:t>2.24</w:t>
      </w:r>
    </w:p>
    <w:p>
      <w:pPr>
        <w:pStyle w:val="BodyText"/>
        <w:spacing w:line="231" w:lineRule="exact"/>
        <w:jc w:val="right"/>
      </w:pPr>
      <w:r>
        <w:rPr/>
        <w:t>1.00</w:t>
      </w:r>
    </w:p>
    <w:p>
      <w:pPr>
        <w:pStyle w:val="BodyText"/>
        <w:spacing w:line="231" w:lineRule="exact" w:before="161"/>
        <w:ind w:left="1221"/>
        <w:jc w:val="center"/>
      </w:pPr>
      <w:r>
        <w:rPr/>
        <w:br w:type="column"/>
      </w:r>
      <w:r>
        <w:rPr/>
        <w:t>6/16/03</w:t>
      </w:r>
    </w:p>
    <w:p>
      <w:pPr>
        <w:pStyle w:val="BodyText"/>
        <w:spacing w:line="221" w:lineRule="exact"/>
        <w:ind w:left="1221"/>
        <w:jc w:val="center"/>
      </w:pPr>
      <w:r>
        <w:rPr/>
        <w:t>6/16/03</w:t>
      </w:r>
    </w:p>
    <w:p>
      <w:pPr>
        <w:pStyle w:val="BodyText"/>
        <w:spacing w:line="218" w:lineRule="exact"/>
        <w:ind w:left="1221"/>
        <w:jc w:val="center"/>
      </w:pPr>
      <w:r>
        <w:rPr/>
        <w:t>6/16/03</w:t>
      </w:r>
    </w:p>
    <w:p>
      <w:pPr>
        <w:pStyle w:val="BodyText"/>
        <w:spacing w:line="218" w:lineRule="exact"/>
        <w:ind w:left="1221"/>
        <w:jc w:val="center"/>
      </w:pPr>
      <w:r>
        <w:rPr/>
        <w:t>6/16/03</w:t>
      </w:r>
    </w:p>
    <w:p>
      <w:pPr>
        <w:pStyle w:val="BodyText"/>
        <w:spacing w:line="231" w:lineRule="exact"/>
        <w:ind w:left="1125"/>
        <w:jc w:val="center"/>
      </w:pPr>
      <w:r>
        <w:rPr/>
        <w:t>11/19/03</w:t>
      </w:r>
    </w:p>
    <w:p>
      <w:pPr>
        <w:pStyle w:val="BodyText"/>
        <w:spacing w:line="231" w:lineRule="exact" w:before="161"/>
        <w:ind w:left="1343" w:right="1408"/>
        <w:jc w:val="center"/>
      </w:pPr>
      <w:r>
        <w:rPr/>
        <w:br w:type="column"/>
      </w:r>
      <w:r>
        <w:rPr>
          <w:w w:val="105"/>
        </w:rPr>
        <w:t>1/1/92</w:t>
      </w:r>
    </w:p>
    <w:p>
      <w:pPr>
        <w:pStyle w:val="BodyText"/>
        <w:spacing w:line="221" w:lineRule="exact"/>
        <w:ind w:left="1343" w:right="1408"/>
        <w:jc w:val="center"/>
      </w:pPr>
      <w:r>
        <w:rPr>
          <w:w w:val="105"/>
        </w:rPr>
        <w:t>1/1/96</w:t>
      </w:r>
    </w:p>
    <w:p>
      <w:pPr>
        <w:pStyle w:val="BodyText"/>
        <w:spacing w:line="218" w:lineRule="exact"/>
        <w:ind w:left="1343" w:right="1408"/>
        <w:jc w:val="center"/>
      </w:pPr>
      <w:r>
        <w:rPr>
          <w:w w:val="105"/>
        </w:rPr>
        <w:t>1/1/96</w:t>
      </w:r>
    </w:p>
    <w:p>
      <w:pPr>
        <w:pStyle w:val="BodyText"/>
        <w:spacing w:line="218" w:lineRule="exact"/>
        <w:ind w:left="1343" w:right="1408"/>
        <w:jc w:val="center"/>
      </w:pPr>
      <w:r>
        <w:rPr>
          <w:w w:val="105"/>
        </w:rPr>
        <w:t>1/1/92</w:t>
      </w:r>
    </w:p>
    <w:p>
      <w:pPr>
        <w:pStyle w:val="BodyText"/>
        <w:spacing w:line="231" w:lineRule="exact"/>
        <w:ind w:left="1343" w:right="1408"/>
        <w:jc w:val="center"/>
      </w:pPr>
      <w:r>
        <w:rPr>
          <w:w w:val="105"/>
        </w:rPr>
        <w:t>1/1/96</w:t>
      </w:r>
    </w:p>
    <w:p>
      <w:pPr>
        <w:spacing w:after="0" w:line="231" w:lineRule="exact"/>
        <w:jc w:val="center"/>
        <w:sectPr>
          <w:type w:val="continuous"/>
          <w:pgSz w:w="12240" w:h="15840"/>
          <w:pgMar w:top="320" w:bottom="280" w:left="1180" w:right="1180"/>
          <w:cols w:num="4" w:equalWidth="0">
            <w:col w:w="2071" w:space="425"/>
            <w:col w:w="1855" w:space="40"/>
            <w:col w:w="1894" w:space="239"/>
            <w:col w:w="3356"/>
          </w:cols>
        </w:sectPr>
      </w:pPr>
    </w:p>
    <w:p>
      <w:pPr>
        <w:pStyle w:val="BodyText"/>
        <w:spacing w:before="6"/>
        <w:rPr>
          <w:sz w:val="14"/>
        </w:rPr>
      </w:pPr>
    </w:p>
    <w:p>
      <w:pPr>
        <w:pStyle w:val="BodyText"/>
        <w:spacing w:line="259" w:lineRule="auto" w:before="114"/>
        <w:ind w:left="116" w:right="107" w:firstLine="720"/>
        <w:jc w:val="both"/>
      </w:pPr>
      <w:r>
        <w:rPr>
          <w:w w:val="105"/>
        </w:rPr>
        <w:t>The </w:t>
      </w:r>
      <w:r>
        <w:rPr>
          <w:spacing w:val="2"/>
          <w:w w:val="105"/>
        </w:rPr>
        <w:t>issuances </w:t>
      </w:r>
      <w:r>
        <w:rPr>
          <w:w w:val="105"/>
        </w:rPr>
        <w:t>of the </w:t>
      </w:r>
      <w:r>
        <w:rPr>
          <w:spacing w:val="2"/>
          <w:w w:val="105"/>
        </w:rPr>
        <w:t>above options </w:t>
      </w:r>
      <w:r>
        <w:rPr>
          <w:w w:val="105"/>
        </w:rPr>
        <w:t>and </w:t>
      </w:r>
      <w:r>
        <w:rPr>
          <w:spacing w:val="2"/>
          <w:w w:val="105"/>
        </w:rPr>
        <w:t>shares </w:t>
      </w:r>
      <w:r>
        <w:rPr>
          <w:w w:val="105"/>
        </w:rPr>
        <w:t>to Mr. </w:t>
      </w:r>
      <w:r>
        <w:rPr>
          <w:spacing w:val="2"/>
          <w:w w:val="105"/>
        </w:rPr>
        <w:t>Kelleher were deemed exempt from </w:t>
      </w:r>
      <w:r>
        <w:rPr>
          <w:spacing w:val="3"/>
          <w:w w:val="105"/>
        </w:rPr>
        <w:t>the </w:t>
      </w:r>
      <w:r>
        <w:rPr>
          <w:w w:val="105"/>
        </w:rPr>
        <w:t>registration provisions of the Securities Act of 1933, as amended (the “Securities Act”), by reason of </w:t>
      </w:r>
      <w:r>
        <w:rPr>
          <w:spacing w:val="2"/>
          <w:w w:val="105"/>
        </w:rPr>
        <w:t>the provision </w:t>
      </w:r>
      <w:r>
        <w:rPr>
          <w:w w:val="105"/>
        </w:rPr>
        <w:t>of </w:t>
      </w:r>
      <w:r>
        <w:rPr>
          <w:spacing w:val="2"/>
          <w:w w:val="105"/>
        </w:rPr>
        <w:t>Section 4(2) </w:t>
      </w:r>
      <w:r>
        <w:rPr>
          <w:w w:val="105"/>
        </w:rPr>
        <w:t>of the </w:t>
      </w:r>
      <w:r>
        <w:rPr>
          <w:spacing w:val="2"/>
          <w:w w:val="105"/>
        </w:rPr>
        <w:t>Securities </w:t>
      </w:r>
      <w:r>
        <w:rPr>
          <w:w w:val="105"/>
        </w:rPr>
        <w:t>Act </w:t>
      </w:r>
      <w:r>
        <w:rPr>
          <w:spacing w:val="2"/>
          <w:w w:val="105"/>
        </w:rPr>
        <w:t>because, among other things, </w:t>
      </w:r>
      <w:r>
        <w:rPr>
          <w:w w:val="105"/>
        </w:rPr>
        <w:t>of the </w:t>
      </w:r>
      <w:r>
        <w:rPr>
          <w:spacing w:val="2"/>
          <w:w w:val="105"/>
        </w:rPr>
        <w:t>limited number </w:t>
      </w:r>
      <w:r>
        <w:rPr>
          <w:spacing w:val="3"/>
          <w:w w:val="105"/>
        </w:rPr>
        <w:t>of </w:t>
      </w:r>
      <w:r>
        <w:rPr>
          <w:w w:val="105"/>
        </w:rPr>
        <w:t>participants in such transactions and the agreement and representation of Mr. Kelleher that he was acquiring such securities for investment and not with a view to distribution thereof. The certificates representing the shares issued to Mr. Kelleher contain a legend to the effect that such shares are not registered under </w:t>
      </w:r>
      <w:r>
        <w:rPr>
          <w:spacing w:val="2"/>
          <w:w w:val="105"/>
        </w:rPr>
        <w:t>the </w:t>
      </w:r>
      <w:r>
        <w:rPr>
          <w:w w:val="105"/>
        </w:rPr>
        <w:t>Securities Act and may not be transferred except pursuant to a registration statement which has </w:t>
      </w:r>
      <w:r>
        <w:rPr>
          <w:spacing w:val="2"/>
          <w:w w:val="105"/>
        </w:rPr>
        <w:t>become </w:t>
      </w:r>
      <w:r>
        <w:rPr>
          <w:w w:val="105"/>
        </w:rPr>
        <w:t>effective under the Securities Act or to an exemption from such registration.  The issuance of such </w:t>
      </w:r>
      <w:r>
        <w:rPr>
          <w:spacing w:val="2"/>
          <w:w w:val="105"/>
        </w:rPr>
        <w:t>shares  </w:t>
      </w:r>
      <w:r>
        <w:rPr>
          <w:w w:val="105"/>
        </w:rPr>
        <w:t>was not</w:t>
      </w:r>
      <w:r>
        <w:rPr>
          <w:spacing w:val="-41"/>
          <w:w w:val="105"/>
        </w:rPr>
        <w:t> </w:t>
      </w:r>
      <w:r>
        <w:rPr>
          <w:w w:val="105"/>
        </w:rPr>
        <w:t>underwritten.</w:t>
      </w:r>
    </w:p>
    <w:p>
      <w:pPr>
        <w:pStyle w:val="BodyText"/>
        <w:rPr>
          <w:sz w:val="30"/>
        </w:rPr>
      </w:pPr>
    </w:p>
    <w:p>
      <w:pPr>
        <w:pStyle w:val="Heading2"/>
        <w:spacing w:before="177"/>
        <w:ind w:left="116"/>
      </w:pPr>
      <w:r>
        <w:rPr>
          <w:w w:val="105"/>
        </w:rPr>
        <w:t>Securities Authorized for Issuance under Equity Compensation Plans</w:t>
      </w:r>
    </w:p>
    <w:p>
      <w:pPr>
        <w:spacing w:after="0"/>
        <w:sectPr>
          <w:type w:val="continuous"/>
          <w:pgSz w:w="12240" w:h="15840"/>
          <w:pgMar w:top="320" w:bottom="280" w:left="1180" w:right="1180"/>
        </w:sectPr>
      </w:pPr>
    </w:p>
    <w:p>
      <w:pPr>
        <w:pStyle w:val="BodyText"/>
        <w:spacing w:line="259" w:lineRule="auto" w:before="99"/>
        <w:ind w:left="116" w:right="108" w:firstLine="720"/>
        <w:jc w:val="both"/>
      </w:pPr>
      <w:r>
        <w:rPr>
          <w:w w:val="105"/>
        </w:rPr>
        <w:t>The following table provides information as of December 31, 2003 regarding compensation plans (including individual compensation arrangements) under which equity securities of Southwest are authorized for issuance.</w:t>
      </w:r>
    </w:p>
    <w:p>
      <w:pPr>
        <w:pStyle w:val="BodyText"/>
        <w:spacing w:before="3"/>
        <w:rPr>
          <w:sz w:val="12"/>
        </w:rPr>
      </w:pPr>
    </w:p>
    <w:p>
      <w:pPr>
        <w:pStyle w:val="Heading2"/>
        <w:spacing w:before="122" w:after="7"/>
        <w:ind w:left="3106"/>
      </w:pPr>
      <w:r>
        <w:rPr>
          <w:w w:val="105"/>
        </w:rPr>
        <w:t>Equity Compensation Plan Information</w:t>
      </w:r>
    </w:p>
    <w:tbl>
      <w:tblPr>
        <w:tblW w:w="0" w:type="auto"/>
        <w:jc w:val="left"/>
        <w:tblInd w:w="2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978"/>
        <w:gridCol w:w="2251"/>
        <w:gridCol w:w="2611"/>
        <w:gridCol w:w="2606"/>
      </w:tblGrid>
      <w:tr>
        <w:trPr>
          <w:trHeight w:val="1997" w:hRule="exact"/>
        </w:trPr>
        <w:tc>
          <w:tcPr>
            <w:tcW w:w="1978" w:type="dxa"/>
            <w:vMerge w:val="restart"/>
          </w:tcPr>
          <w:p>
            <w:pPr>
              <w:pStyle w:val="TableParagraph"/>
              <w:rPr>
                <w:rFonts w:ascii="Times New Roman"/>
                <w:b/>
                <w:sz w:val="24"/>
              </w:rPr>
            </w:pPr>
          </w:p>
          <w:p>
            <w:pPr>
              <w:pStyle w:val="TableParagraph"/>
              <w:rPr>
                <w:rFonts w:ascii="Times New Roman"/>
                <w:b/>
                <w:sz w:val="24"/>
              </w:rPr>
            </w:pPr>
          </w:p>
          <w:p>
            <w:pPr>
              <w:pStyle w:val="TableParagraph"/>
              <w:rPr>
                <w:rFonts w:ascii="Times New Roman"/>
                <w:b/>
                <w:sz w:val="24"/>
              </w:rPr>
            </w:pPr>
          </w:p>
          <w:p>
            <w:pPr>
              <w:pStyle w:val="TableParagraph"/>
              <w:rPr>
                <w:rFonts w:ascii="Times New Roman"/>
                <w:b/>
                <w:sz w:val="24"/>
              </w:rPr>
            </w:pPr>
          </w:p>
          <w:p>
            <w:pPr>
              <w:pStyle w:val="TableParagraph"/>
              <w:rPr>
                <w:rFonts w:ascii="Times New Roman"/>
                <w:b/>
                <w:sz w:val="24"/>
              </w:rPr>
            </w:pPr>
          </w:p>
          <w:p>
            <w:pPr>
              <w:pStyle w:val="TableParagraph"/>
              <w:spacing w:before="4"/>
              <w:rPr>
                <w:rFonts w:ascii="Times New Roman"/>
                <w:b/>
                <w:sz w:val="34"/>
              </w:rPr>
            </w:pPr>
          </w:p>
          <w:p>
            <w:pPr>
              <w:pStyle w:val="TableParagraph"/>
              <w:spacing w:before="1"/>
              <w:ind w:left="436"/>
              <w:rPr>
                <w:rFonts w:ascii="Times New Roman"/>
                <w:b/>
                <w:sz w:val="17"/>
              </w:rPr>
            </w:pPr>
            <w:r>
              <w:rPr>
                <w:rFonts w:ascii="Times New Roman"/>
                <w:b/>
                <w:w w:val="105"/>
                <w:sz w:val="17"/>
              </w:rPr>
              <w:t>Plan Category</w:t>
            </w:r>
          </w:p>
        </w:tc>
        <w:tc>
          <w:tcPr>
            <w:tcW w:w="2251" w:type="dxa"/>
          </w:tcPr>
          <w:p>
            <w:pPr>
              <w:pStyle w:val="TableParagraph"/>
              <w:rPr>
                <w:rFonts w:ascii="Times New Roman"/>
                <w:b/>
                <w:sz w:val="24"/>
              </w:rPr>
            </w:pPr>
          </w:p>
          <w:p>
            <w:pPr>
              <w:pStyle w:val="TableParagraph"/>
              <w:spacing w:line="271" w:lineRule="auto" w:before="179"/>
              <w:ind w:left="88" w:right="78"/>
              <w:jc w:val="center"/>
              <w:rPr>
                <w:rFonts w:ascii="Times New Roman"/>
                <w:b/>
                <w:sz w:val="17"/>
              </w:rPr>
            </w:pPr>
            <w:r>
              <w:rPr>
                <w:rFonts w:ascii="Times New Roman"/>
                <w:b/>
                <w:w w:val="105"/>
                <w:sz w:val="17"/>
              </w:rPr>
              <w:t>Number of Securities to be</w:t>
            </w:r>
            <w:r>
              <w:rPr>
                <w:rFonts w:ascii="Times New Roman"/>
                <w:b/>
                <w:w w:val="104"/>
                <w:sz w:val="17"/>
              </w:rPr>
              <w:t> </w:t>
            </w:r>
            <w:r>
              <w:rPr>
                <w:rFonts w:ascii="Times New Roman"/>
                <w:b/>
                <w:w w:val="105"/>
                <w:sz w:val="17"/>
              </w:rPr>
              <w:t>Issued Upon Exercise of Outstanding Options,</w:t>
            </w:r>
          </w:p>
          <w:p>
            <w:pPr>
              <w:pStyle w:val="TableParagraph"/>
              <w:ind w:left="84" w:right="78"/>
              <w:jc w:val="center"/>
              <w:rPr>
                <w:rFonts w:ascii="Times New Roman"/>
                <w:b/>
                <w:sz w:val="17"/>
              </w:rPr>
            </w:pPr>
            <w:r>
              <w:rPr>
                <w:rFonts w:ascii="Times New Roman"/>
                <w:b/>
                <w:w w:val="105"/>
                <w:sz w:val="17"/>
              </w:rPr>
              <w:t>Warrants and Rights</w:t>
            </w:r>
          </w:p>
          <w:p>
            <w:pPr>
              <w:pStyle w:val="TableParagraph"/>
              <w:spacing w:before="20"/>
              <w:ind w:left="82" w:right="78"/>
              <w:jc w:val="center"/>
              <w:rPr>
                <w:rFonts w:ascii="Times New Roman"/>
                <w:sz w:val="17"/>
              </w:rPr>
            </w:pPr>
            <w:r>
              <w:rPr>
                <w:rFonts w:ascii="Times New Roman"/>
                <w:w w:val="105"/>
                <w:sz w:val="17"/>
              </w:rPr>
              <w:t>(in thousands)</w:t>
            </w:r>
          </w:p>
        </w:tc>
        <w:tc>
          <w:tcPr>
            <w:tcW w:w="2611" w:type="dxa"/>
          </w:tcPr>
          <w:p>
            <w:pPr>
              <w:pStyle w:val="TableParagraph"/>
              <w:rPr>
                <w:rFonts w:ascii="Times New Roman"/>
                <w:b/>
                <w:sz w:val="24"/>
              </w:rPr>
            </w:pPr>
          </w:p>
          <w:p>
            <w:pPr>
              <w:pStyle w:val="TableParagraph"/>
              <w:rPr>
                <w:rFonts w:ascii="Times New Roman"/>
                <w:b/>
                <w:sz w:val="24"/>
              </w:rPr>
            </w:pPr>
          </w:p>
          <w:p>
            <w:pPr>
              <w:pStyle w:val="TableParagraph"/>
              <w:rPr>
                <w:rFonts w:ascii="Times New Roman"/>
                <w:b/>
                <w:sz w:val="30"/>
              </w:rPr>
            </w:pPr>
          </w:p>
          <w:p>
            <w:pPr>
              <w:pStyle w:val="TableParagraph"/>
              <w:spacing w:line="268" w:lineRule="auto"/>
              <w:ind w:left="163" w:right="159" w:hanging="2"/>
              <w:jc w:val="center"/>
              <w:rPr>
                <w:rFonts w:ascii="Times New Roman"/>
                <w:sz w:val="17"/>
              </w:rPr>
            </w:pPr>
            <w:r>
              <w:rPr>
                <w:rFonts w:ascii="Times New Roman"/>
                <w:b/>
                <w:w w:val="105"/>
                <w:sz w:val="17"/>
              </w:rPr>
              <w:t>Weighted-Average Exercise Price of Outstanding</w:t>
            </w:r>
            <w:r>
              <w:rPr>
                <w:rFonts w:ascii="Times New Roman"/>
                <w:b/>
                <w:spacing w:val="-13"/>
                <w:w w:val="105"/>
                <w:sz w:val="17"/>
              </w:rPr>
              <w:t> </w:t>
            </w:r>
            <w:r>
              <w:rPr>
                <w:rFonts w:ascii="Times New Roman"/>
                <w:b/>
                <w:w w:val="105"/>
                <w:sz w:val="17"/>
              </w:rPr>
              <w:t>Options, Warrants and</w:t>
            </w:r>
            <w:r>
              <w:rPr>
                <w:rFonts w:ascii="Times New Roman"/>
                <w:b/>
                <w:spacing w:val="-12"/>
                <w:w w:val="105"/>
                <w:sz w:val="17"/>
              </w:rPr>
              <w:t> </w:t>
            </w:r>
            <w:r>
              <w:rPr>
                <w:rFonts w:ascii="Times New Roman"/>
                <w:b/>
                <w:w w:val="105"/>
                <w:sz w:val="17"/>
              </w:rPr>
              <w:t>Rights</w:t>
            </w:r>
            <w:r>
              <w:rPr>
                <w:rFonts w:ascii="Times New Roman"/>
                <w:w w:val="105"/>
                <w:sz w:val="17"/>
              </w:rPr>
              <w:t>*</w:t>
            </w:r>
          </w:p>
        </w:tc>
        <w:tc>
          <w:tcPr>
            <w:tcW w:w="2606" w:type="dxa"/>
          </w:tcPr>
          <w:p>
            <w:pPr>
              <w:pStyle w:val="TableParagraph"/>
              <w:spacing w:line="271" w:lineRule="auto" w:before="14"/>
              <w:ind w:left="110" w:right="110" w:hanging="2"/>
              <w:jc w:val="center"/>
              <w:rPr>
                <w:rFonts w:ascii="Times New Roman"/>
                <w:b/>
                <w:sz w:val="17"/>
              </w:rPr>
            </w:pPr>
            <w:r>
              <w:rPr>
                <w:rFonts w:ascii="Times New Roman"/>
                <w:b/>
                <w:w w:val="105"/>
                <w:sz w:val="17"/>
              </w:rPr>
              <w:t>Number of Securities Remaining Available for Future Issuance Under Equity Compensation Plans (Excluding</w:t>
            </w:r>
            <w:r>
              <w:rPr>
                <w:rFonts w:ascii="Times New Roman"/>
                <w:b/>
                <w:spacing w:val="-6"/>
                <w:w w:val="105"/>
                <w:sz w:val="17"/>
              </w:rPr>
              <w:t> </w:t>
            </w:r>
            <w:r>
              <w:rPr>
                <w:rFonts w:ascii="Times New Roman"/>
                <w:b/>
                <w:w w:val="105"/>
                <w:sz w:val="17"/>
              </w:rPr>
              <w:t>Securities</w:t>
            </w:r>
            <w:r>
              <w:rPr>
                <w:rFonts w:ascii="Times New Roman"/>
                <w:b/>
                <w:spacing w:val="-6"/>
                <w:w w:val="105"/>
                <w:sz w:val="17"/>
              </w:rPr>
              <w:t> </w:t>
            </w:r>
            <w:r>
              <w:rPr>
                <w:rFonts w:ascii="Times New Roman"/>
                <w:b/>
                <w:w w:val="105"/>
                <w:sz w:val="17"/>
              </w:rPr>
              <w:t>Reflected</w:t>
            </w:r>
            <w:r>
              <w:rPr>
                <w:rFonts w:ascii="Times New Roman"/>
                <w:b/>
                <w:w w:val="104"/>
                <w:sz w:val="17"/>
              </w:rPr>
              <w:t> </w:t>
            </w:r>
            <w:r>
              <w:rPr>
                <w:rFonts w:ascii="Times New Roman"/>
                <w:b/>
                <w:w w:val="105"/>
                <w:sz w:val="17"/>
              </w:rPr>
              <w:t>in Column</w:t>
            </w:r>
            <w:r>
              <w:rPr>
                <w:rFonts w:ascii="Times New Roman"/>
                <w:b/>
                <w:spacing w:val="-7"/>
                <w:w w:val="105"/>
                <w:sz w:val="17"/>
              </w:rPr>
              <w:t> </w:t>
            </w:r>
            <w:r>
              <w:rPr>
                <w:rFonts w:ascii="Times New Roman"/>
                <w:b/>
                <w:w w:val="105"/>
                <w:sz w:val="17"/>
              </w:rPr>
              <w:t>(a))</w:t>
            </w:r>
          </w:p>
          <w:p>
            <w:pPr>
              <w:pStyle w:val="TableParagraph"/>
              <w:spacing w:line="192" w:lineRule="exact"/>
              <w:ind w:left="766" w:right="769"/>
              <w:jc w:val="center"/>
              <w:rPr>
                <w:rFonts w:ascii="Times New Roman"/>
                <w:sz w:val="17"/>
              </w:rPr>
            </w:pPr>
            <w:r>
              <w:rPr>
                <w:rFonts w:ascii="Times New Roman"/>
                <w:w w:val="105"/>
                <w:sz w:val="17"/>
              </w:rPr>
              <w:t>(in thousands)</w:t>
            </w:r>
          </w:p>
        </w:tc>
      </w:tr>
      <w:tr>
        <w:trPr>
          <w:trHeight w:val="360" w:hRule="exact"/>
        </w:trPr>
        <w:tc>
          <w:tcPr>
            <w:tcW w:w="1978" w:type="dxa"/>
            <w:vMerge/>
          </w:tcPr>
          <w:p>
            <w:pPr/>
          </w:p>
        </w:tc>
        <w:tc>
          <w:tcPr>
            <w:tcW w:w="2251" w:type="dxa"/>
          </w:tcPr>
          <w:p>
            <w:pPr>
              <w:pStyle w:val="TableParagraph"/>
              <w:spacing w:before="14"/>
              <w:ind w:left="83" w:right="78"/>
              <w:jc w:val="center"/>
              <w:rPr>
                <w:rFonts w:ascii="Times New Roman"/>
                <w:sz w:val="17"/>
              </w:rPr>
            </w:pPr>
            <w:r>
              <w:rPr>
                <w:rFonts w:ascii="Times New Roman"/>
                <w:w w:val="105"/>
                <w:sz w:val="17"/>
              </w:rPr>
              <w:t>(a)</w:t>
            </w:r>
          </w:p>
        </w:tc>
        <w:tc>
          <w:tcPr>
            <w:tcW w:w="2611" w:type="dxa"/>
          </w:tcPr>
          <w:p>
            <w:pPr>
              <w:pStyle w:val="TableParagraph"/>
              <w:spacing w:before="14"/>
              <w:ind w:left="1174" w:right="1174"/>
              <w:jc w:val="center"/>
              <w:rPr>
                <w:rFonts w:ascii="Times New Roman"/>
                <w:sz w:val="17"/>
              </w:rPr>
            </w:pPr>
            <w:r>
              <w:rPr>
                <w:rFonts w:ascii="Times New Roman"/>
                <w:w w:val="105"/>
                <w:sz w:val="17"/>
              </w:rPr>
              <w:t>(b)</w:t>
            </w:r>
          </w:p>
        </w:tc>
        <w:tc>
          <w:tcPr>
            <w:tcW w:w="2606" w:type="dxa"/>
          </w:tcPr>
          <w:p>
            <w:pPr>
              <w:pStyle w:val="TableParagraph"/>
              <w:spacing w:before="14"/>
              <w:ind w:left="766" w:right="768"/>
              <w:jc w:val="center"/>
              <w:rPr>
                <w:rFonts w:ascii="Times New Roman"/>
                <w:sz w:val="17"/>
              </w:rPr>
            </w:pPr>
            <w:r>
              <w:rPr>
                <w:rFonts w:ascii="Times New Roman"/>
                <w:w w:val="105"/>
                <w:sz w:val="17"/>
              </w:rPr>
              <w:t>(c)</w:t>
            </w:r>
          </w:p>
        </w:tc>
      </w:tr>
      <w:tr>
        <w:trPr>
          <w:trHeight w:val="677" w:hRule="exact"/>
        </w:trPr>
        <w:tc>
          <w:tcPr>
            <w:tcW w:w="1978" w:type="dxa"/>
          </w:tcPr>
          <w:p>
            <w:pPr>
              <w:pStyle w:val="TableParagraph"/>
              <w:spacing w:line="271" w:lineRule="auto" w:before="14"/>
              <w:ind w:left="91"/>
              <w:rPr>
                <w:rFonts w:ascii="Times New Roman"/>
                <w:sz w:val="17"/>
              </w:rPr>
            </w:pPr>
            <w:r>
              <w:rPr>
                <w:rFonts w:ascii="Times New Roman"/>
                <w:w w:val="105"/>
                <w:sz w:val="17"/>
              </w:rPr>
              <w:t>Equity Compensation Plans Approved by Security Holders</w:t>
            </w:r>
          </w:p>
        </w:tc>
        <w:tc>
          <w:tcPr>
            <w:tcW w:w="2251" w:type="dxa"/>
          </w:tcPr>
          <w:p>
            <w:pPr>
              <w:pStyle w:val="TableParagraph"/>
              <w:rPr>
                <w:rFonts w:ascii="Times New Roman"/>
                <w:b/>
                <w:sz w:val="24"/>
              </w:rPr>
            </w:pPr>
          </w:p>
          <w:p>
            <w:pPr>
              <w:pStyle w:val="TableParagraph"/>
              <w:spacing w:before="179"/>
              <w:ind w:right="90"/>
              <w:jc w:val="right"/>
              <w:rPr>
                <w:rFonts w:ascii="Times New Roman"/>
                <w:sz w:val="17"/>
              </w:rPr>
            </w:pPr>
            <w:r>
              <w:rPr>
                <w:rFonts w:ascii="Times New Roman"/>
                <w:sz w:val="17"/>
              </w:rPr>
              <w:t>29,821</w:t>
            </w:r>
          </w:p>
        </w:tc>
        <w:tc>
          <w:tcPr>
            <w:tcW w:w="2611" w:type="dxa"/>
          </w:tcPr>
          <w:p>
            <w:pPr>
              <w:pStyle w:val="TableParagraph"/>
              <w:rPr>
                <w:rFonts w:ascii="Times New Roman"/>
                <w:b/>
                <w:sz w:val="24"/>
              </w:rPr>
            </w:pPr>
          </w:p>
          <w:p>
            <w:pPr>
              <w:pStyle w:val="TableParagraph"/>
              <w:spacing w:before="179"/>
              <w:ind w:right="90"/>
              <w:jc w:val="right"/>
              <w:rPr>
                <w:rFonts w:ascii="Times New Roman"/>
                <w:sz w:val="17"/>
              </w:rPr>
            </w:pPr>
            <w:r>
              <w:rPr>
                <w:rFonts w:ascii="Times New Roman"/>
                <w:sz w:val="17"/>
              </w:rPr>
              <w:t>$10.77</w:t>
            </w:r>
          </w:p>
        </w:tc>
        <w:tc>
          <w:tcPr>
            <w:tcW w:w="2606" w:type="dxa"/>
          </w:tcPr>
          <w:p>
            <w:pPr>
              <w:pStyle w:val="TableParagraph"/>
              <w:rPr>
                <w:rFonts w:ascii="Times New Roman"/>
                <w:b/>
                <w:sz w:val="24"/>
              </w:rPr>
            </w:pPr>
          </w:p>
          <w:p>
            <w:pPr>
              <w:pStyle w:val="TableParagraph"/>
              <w:spacing w:before="179"/>
              <w:ind w:right="90"/>
              <w:jc w:val="right"/>
              <w:rPr>
                <w:rFonts w:ascii="Times New Roman"/>
                <w:sz w:val="17"/>
              </w:rPr>
            </w:pPr>
            <w:r>
              <w:rPr>
                <w:rFonts w:ascii="Times New Roman"/>
                <w:sz w:val="17"/>
              </w:rPr>
              <w:t>18,317</w:t>
            </w:r>
          </w:p>
        </w:tc>
      </w:tr>
      <w:tr>
        <w:trPr>
          <w:trHeight w:val="672" w:hRule="exact"/>
        </w:trPr>
        <w:tc>
          <w:tcPr>
            <w:tcW w:w="1978" w:type="dxa"/>
          </w:tcPr>
          <w:p>
            <w:pPr>
              <w:pStyle w:val="TableParagraph"/>
              <w:spacing w:line="268" w:lineRule="auto" w:before="14"/>
              <w:ind w:left="91"/>
              <w:rPr>
                <w:rFonts w:ascii="Times New Roman"/>
                <w:sz w:val="17"/>
              </w:rPr>
            </w:pPr>
            <w:r>
              <w:rPr>
                <w:rFonts w:ascii="Times New Roman"/>
                <w:w w:val="105"/>
                <w:sz w:val="17"/>
              </w:rPr>
              <w:t>Equity Compensation Plans not Approved by Security Holders</w:t>
            </w:r>
          </w:p>
        </w:tc>
        <w:tc>
          <w:tcPr>
            <w:tcW w:w="2251" w:type="dxa"/>
          </w:tcPr>
          <w:p>
            <w:pPr>
              <w:pStyle w:val="TableParagraph"/>
              <w:rPr>
                <w:rFonts w:ascii="Times New Roman"/>
                <w:b/>
                <w:sz w:val="24"/>
              </w:rPr>
            </w:pPr>
          </w:p>
          <w:p>
            <w:pPr>
              <w:pStyle w:val="TableParagraph"/>
              <w:spacing w:before="175"/>
              <w:ind w:right="88"/>
              <w:jc w:val="right"/>
              <w:rPr>
                <w:rFonts w:ascii="Times New Roman"/>
                <w:sz w:val="17"/>
              </w:rPr>
            </w:pPr>
            <w:r>
              <w:rPr>
                <w:rFonts w:ascii="Times New Roman"/>
                <w:sz w:val="17"/>
              </w:rPr>
              <w:t>127,694</w:t>
            </w:r>
          </w:p>
        </w:tc>
        <w:tc>
          <w:tcPr>
            <w:tcW w:w="2611" w:type="dxa"/>
          </w:tcPr>
          <w:p>
            <w:pPr>
              <w:pStyle w:val="TableParagraph"/>
              <w:rPr>
                <w:rFonts w:ascii="Times New Roman"/>
                <w:b/>
                <w:sz w:val="24"/>
              </w:rPr>
            </w:pPr>
          </w:p>
          <w:p>
            <w:pPr>
              <w:pStyle w:val="TableParagraph"/>
              <w:spacing w:before="175"/>
              <w:ind w:right="90"/>
              <w:jc w:val="right"/>
              <w:rPr>
                <w:rFonts w:ascii="Times New Roman"/>
                <w:sz w:val="17"/>
              </w:rPr>
            </w:pPr>
            <w:r>
              <w:rPr>
                <w:rFonts w:ascii="Times New Roman"/>
                <w:sz w:val="17"/>
              </w:rPr>
              <w:t>$10.77</w:t>
            </w:r>
          </w:p>
        </w:tc>
        <w:tc>
          <w:tcPr>
            <w:tcW w:w="2606" w:type="dxa"/>
          </w:tcPr>
          <w:p>
            <w:pPr>
              <w:pStyle w:val="TableParagraph"/>
              <w:rPr>
                <w:rFonts w:ascii="Times New Roman"/>
                <w:b/>
                <w:sz w:val="24"/>
              </w:rPr>
            </w:pPr>
          </w:p>
          <w:p>
            <w:pPr>
              <w:pStyle w:val="TableParagraph"/>
              <w:spacing w:before="175"/>
              <w:ind w:right="90"/>
              <w:jc w:val="right"/>
              <w:rPr>
                <w:rFonts w:ascii="Times New Roman"/>
                <w:sz w:val="17"/>
              </w:rPr>
            </w:pPr>
            <w:r>
              <w:rPr>
                <w:rFonts w:ascii="Times New Roman"/>
                <w:sz w:val="17"/>
              </w:rPr>
              <w:t>36,616</w:t>
            </w:r>
          </w:p>
        </w:tc>
      </w:tr>
      <w:tr>
        <w:trPr>
          <w:trHeight w:val="418" w:hRule="exact"/>
        </w:trPr>
        <w:tc>
          <w:tcPr>
            <w:tcW w:w="1978" w:type="dxa"/>
          </w:tcPr>
          <w:p>
            <w:pPr>
              <w:pStyle w:val="TableParagraph"/>
              <w:spacing w:before="14"/>
              <w:ind w:left="91"/>
              <w:rPr>
                <w:rFonts w:ascii="Times New Roman"/>
                <w:sz w:val="17"/>
              </w:rPr>
            </w:pPr>
            <w:r>
              <w:rPr>
                <w:rFonts w:ascii="Times New Roman"/>
                <w:w w:val="105"/>
                <w:sz w:val="17"/>
              </w:rPr>
              <w:t>Total</w:t>
            </w:r>
          </w:p>
        </w:tc>
        <w:tc>
          <w:tcPr>
            <w:tcW w:w="2251" w:type="dxa"/>
          </w:tcPr>
          <w:p>
            <w:pPr>
              <w:pStyle w:val="TableParagraph"/>
              <w:spacing w:before="14"/>
              <w:ind w:right="87"/>
              <w:jc w:val="right"/>
              <w:rPr>
                <w:rFonts w:ascii="Times New Roman"/>
                <w:sz w:val="17"/>
              </w:rPr>
            </w:pPr>
            <w:r>
              <w:rPr>
                <w:rFonts w:ascii="Times New Roman"/>
                <w:sz w:val="17"/>
              </w:rPr>
              <w:t>157,515</w:t>
            </w:r>
          </w:p>
        </w:tc>
        <w:tc>
          <w:tcPr>
            <w:tcW w:w="2611" w:type="dxa"/>
          </w:tcPr>
          <w:p>
            <w:pPr>
              <w:pStyle w:val="TableParagraph"/>
              <w:spacing w:before="14"/>
              <w:ind w:right="90"/>
              <w:jc w:val="right"/>
              <w:rPr>
                <w:rFonts w:ascii="Times New Roman"/>
                <w:sz w:val="17"/>
              </w:rPr>
            </w:pPr>
            <w:r>
              <w:rPr>
                <w:rFonts w:ascii="Times New Roman"/>
                <w:sz w:val="17"/>
              </w:rPr>
              <w:t>$10.77</w:t>
            </w:r>
          </w:p>
        </w:tc>
        <w:tc>
          <w:tcPr>
            <w:tcW w:w="2606" w:type="dxa"/>
          </w:tcPr>
          <w:p>
            <w:pPr>
              <w:pStyle w:val="TableParagraph"/>
              <w:spacing w:before="14"/>
              <w:ind w:right="90"/>
              <w:jc w:val="right"/>
              <w:rPr>
                <w:rFonts w:ascii="Times New Roman"/>
                <w:sz w:val="17"/>
              </w:rPr>
            </w:pPr>
            <w:r>
              <w:rPr>
                <w:rFonts w:ascii="Times New Roman"/>
                <w:sz w:val="17"/>
              </w:rPr>
              <w:t>54,933</w:t>
            </w:r>
          </w:p>
        </w:tc>
      </w:tr>
    </w:tbl>
    <w:p>
      <w:pPr>
        <w:pStyle w:val="BodyText"/>
        <w:spacing w:before="10"/>
        <w:ind w:left="115"/>
      </w:pPr>
      <w:r>
        <w:rPr>
          <w:w w:val="105"/>
        </w:rPr>
        <w:t>*As adjusted for stock splits.</w:t>
      </w:r>
    </w:p>
    <w:p>
      <w:pPr>
        <w:pStyle w:val="BodyText"/>
        <w:spacing w:before="5"/>
        <w:rPr>
          <w:sz w:val="24"/>
        </w:rPr>
      </w:pPr>
    </w:p>
    <w:p>
      <w:pPr>
        <w:pStyle w:val="BodyText"/>
        <w:spacing w:line="259" w:lineRule="auto"/>
        <w:ind w:left="115" w:right="110" w:firstLine="720"/>
        <w:jc w:val="both"/>
      </w:pPr>
      <w:r>
        <w:rPr>
          <w:w w:val="105"/>
        </w:rPr>
        <w:t>See Note 13 to the Consolidated Financial Statements for information regarding the material features of the above plans. Each of the above plans provides that the number of shares with respect to which options may be granted, and the number of shares of Common Stock subject to an outstanding option, shall be proportionately adjusted in the event of a subdivision or consolidation of shares or the payment of a stock dividend on Common Stock, and the purchase price per share of outstanding options shall be proportionately revised.</w:t>
      </w:r>
    </w:p>
    <w:p>
      <w:pPr>
        <w:spacing w:after="0" w:line="259" w:lineRule="auto"/>
        <w:jc w:val="both"/>
        <w:sectPr>
          <w:pgSz w:w="12240" w:h="15840"/>
          <w:pgMar w:top="1380" w:bottom="280" w:left="1180" w:right="1180"/>
        </w:sectPr>
      </w:pPr>
    </w:p>
    <w:p>
      <w:pPr>
        <w:spacing w:before="104"/>
        <w:ind w:left="340" w:right="0" w:firstLine="0"/>
        <w:jc w:val="left"/>
        <w:rPr>
          <w:b/>
          <w:i/>
          <w:sz w:val="21"/>
        </w:rPr>
      </w:pPr>
      <w:bookmarkStart w:name="Selected Financial Data" w:id="25"/>
      <w:bookmarkEnd w:id="25"/>
      <w:r>
        <w:rPr/>
      </w:r>
      <w:r>
        <w:rPr>
          <w:b/>
          <w:w w:val="105"/>
          <w:sz w:val="21"/>
        </w:rPr>
        <w:t>Item 6. </w:t>
      </w:r>
      <w:r>
        <w:rPr>
          <w:b/>
          <w:i/>
          <w:w w:val="105"/>
          <w:sz w:val="21"/>
        </w:rPr>
        <w:t>Selected Financial Data</w:t>
      </w:r>
    </w:p>
    <w:p>
      <w:pPr>
        <w:pStyle w:val="BodyText"/>
        <w:spacing w:before="5"/>
        <w:rPr>
          <w:b/>
          <w:i/>
          <w:sz w:val="24"/>
        </w:rPr>
      </w:pPr>
    </w:p>
    <w:p>
      <w:pPr>
        <w:pStyle w:val="BodyText"/>
        <w:spacing w:line="259" w:lineRule="auto"/>
        <w:ind w:left="340" w:right="323" w:firstLine="720"/>
        <w:jc w:val="both"/>
      </w:pPr>
      <w:r>
        <w:rPr/>
        <w:pict>
          <v:line style="position:absolute;mso-position-horizontal-relative:page;mso-position-vertical-relative:paragraph;z-index:-232576" from="483.839996pt,36.922894pt" to="486.479996pt,36.922894pt" stroked="true" strokeweight=".4801pt" strokecolor="#000000">
            <v:stroke dashstyle="solid"/>
            <w10:wrap type="none"/>
          </v:line>
        </w:pict>
      </w:r>
      <w:r>
        <w:rPr>
          <w:w w:val="105"/>
        </w:rPr>
        <w:t>The following financial information for the five years ended December 31, 2003 has been derived from the Company's Consolidated Financial Statements. This information should be read in conjunction with the Consolidated Financial Statements and related notes thereto included elsewhere herein.</w:t>
      </w:r>
    </w:p>
    <w:p>
      <w:pPr>
        <w:tabs>
          <w:tab w:pos="5963" w:val="left" w:leader="none"/>
          <w:tab w:pos="9632" w:val="left" w:leader="none"/>
        </w:tabs>
        <w:spacing w:before="266"/>
        <w:ind w:left="4098" w:right="0" w:firstLine="0"/>
        <w:jc w:val="left"/>
        <w:rPr>
          <w:sz w:val="16"/>
        </w:rPr>
      </w:pPr>
      <w:r>
        <w:rPr>
          <w:b/>
          <w:w w:val="104"/>
          <w:sz w:val="17"/>
          <w:u w:val="single"/>
        </w:rPr>
        <w:t> </w:t>
      </w:r>
      <w:r>
        <w:rPr>
          <w:b/>
          <w:sz w:val="17"/>
          <w:u w:val="single"/>
        </w:rPr>
        <w:tab/>
      </w:r>
      <w:r>
        <w:rPr>
          <w:b/>
          <w:w w:val="105"/>
          <w:sz w:val="17"/>
          <w:u w:val="single"/>
        </w:rPr>
        <w:t>Years ended</w:t>
      </w:r>
      <w:r>
        <w:rPr>
          <w:b/>
          <w:spacing w:val="-9"/>
          <w:w w:val="105"/>
          <w:sz w:val="17"/>
          <w:u w:val="single"/>
        </w:rPr>
        <w:t> </w:t>
      </w:r>
      <w:r>
        <w:rPr>
          <w:b/>
          <w:w w:val="105"/>
          <w:sz w:val="17"/>
          <w:u w:val="single"/>
        </w:rPr>
        <w:t>December</w:t>
      </w:r>
      <w:r>
        <w:rPr>
          <w:b/>
          <w:spacing w:val="-4"/>
          <w:w w:val="105"/>
          <w:sz w:val="17"/>
          <w:u w:val="single"/>
        </w:rPr>
        <w:t> </w:t>
      </w:r>
      <w:r>
        <w:rPr>
          <w:b/>
          <w:w w:val="105"/>
          <w:sz w:val="17"/>
          <w:u w:val="single"/>
        </w:rPr>
        <w:t>31,</w:t>
        <w:tab/>
      </w:r>
      <w:r>
        <w:rPr>
          <w:w w:val="105"/>
          <w:sz w:val="16"/>
        </w:rPr>
        <w:t>.</w:t>
      </w:r>
    </w:p>
    <w:p>
      <w:pPr>
        <w:pStyle w:val="BodyText"/>
        <w:spacing w:before="3"/>
        <w:rPr>
          <w:sz w:val="19"/>
        </w:rPr>
      </w:pPr>
    </w:p>
    <w:p>
      <w:pPr>
        <w:tabs>
          <w:tab w:pos="5701" w:val="left" w:leader="none"/>
          <w:tab w:pos="7031" w:val="left" w:leader="none"/>
          <w:tab w:pos="8327" w:val="left" w:leader="none"/>
          <w:tab w:pos="9623" w:val="left" w:leader="none"/>
        </w:tabs>
        <w:spacing w:before="0"/>
        <w:ind w:left="4367" w:right="0" w:firstLine="0"/>
        <w:jc w:val="left"/>
        <w:rPr>
          <w:b/>
          <w:sz w:val="17"/>
        </w:rPr>
      </w:pPr>
      <w:r>
        <w:rPr>
          <w:b/>
          <w:w w:val="105"/>
          <w:sz w:val="17"/>
          <w:u w:val="single"/>
        </w:rPr>
        <w:t>2003</w:t>
      </w:r>
      <w:r>
        <w:rPr>
          <w:b/>
          <w:w w:val="105"/>
          <w:sz w:val="17"/>
        </w:rPr>
        <w:tab/>
      </w:r>
      <w:r>
        <w:rPr>
          <w:b/>
          <w:w w:val="105"/>
          <w:sz w:val="17"/>
          <w:u w:val="single"/>
        </w:rPr>
        <w:t>2002</w:t>
      </w:r>
      <w:r>
        <w:rPr>
          <w:b/>
          <w:w w:val="105"/>
          <w:sz w:val="17"/>
        </w:rPr>
        <w:tab/>
      </w:r>
      <w:r>
        <w:rPr>
          <w:b/>
          <w:w w:val="105"/>
          <w:sz w:val="17"/>
          <w:u w:val="single"/>
        </w:rPr>
        <w:t>2001</w:t>
      </w:r>
      <w:r>
        <w:rPr>
          <w:b/>
          <w:w w:val="105"/>
          <w:sz w:val="17"/>
        </w:rPr>
        <w:tab/>
      </w:r>
      <w:r>
        <w:rPr>
          <w:b/>
          <w:w w:val="105"/>
          <w:sz w:val="17"/>
          <w:u w:val="single"/>
        </w:rPr>
        <w:t>2000</w:t>
      </w:r>
      <w:r>
        <w:rPr>
          <w:b/>
          <w:w w:val="105"/>
          <w:sz w:val="17"/>
        </w:rPr>
        <w:tab/>
      </w:r>
      <w:r>
        <w:rPr>
          <w:b/>
          <w:w w:val="105"/>
          <w:sz w:val="17"/>
          <w:u w:val="single"/>
        </w:rPr>
        <w:t>1999</w:t>
      </w:r>
    </w:p>
    <w:p>
      <w:pPr>
        <w:spacing w:before="207"/>
        <w:ind w:left="100" w:right="0" w:firstLine="0"/>
        <w:jc w:val="left"/>
        <w:rPr>
          <w:b/>
          <w:sz w:val="17"/>
        </w:rPr>
      </w:pPr>
      <w:r>
        <w:rPr>
          <w:b/>
          <w:w w:val="105"/>
          <w:sz w:val="17"/>
        </w:rPr>
        <w:t>Financial Data:</w:t>
      </w:r>
    </w:p>
    <w:p>
      <w:pPr>
        <w:spacing w:before="25" w:after="12"/>
        <w:ind w:left="233" w:right="0" w:firstLine="0"/>
        <w:jc w:val="left"/>
        <w:rPr>
          <w:sz w:val="17"/>
        </w:rPr>
      </w:pPr>
      <w:r>
        <w:rPr>
          <w:w w:val="105"/>
          <w:sz w:val="17"/>
        </w:rPr>
        <w:t>(In millions, except per share amounts)</w:t>
      </w:r>
    </w:p>
    <w:tbl>
      <w:tblPr>
        <w:tblW w:w="0" w:type="auto"/>
        <w:jc w:val="left"/>
        <w:tblInd w:w="20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323"/>
        <w:gridCol w:w="1622"/>
        <w:gridCol w:w="1332"/>
        <w:gridCol w:w="1313"/>
        <w:gridCol w:w="1296"/>
        <w:gridCol w:w="926"/>
      </w:tblGrid>
      <w:tr>
        <w:trPr>
          <w:trHeight w:val="233" w:hRule="exact"/>
        </w:trPr>
        <w:tc>
          <w:tcPr>
            <w:tcW w:w="3323" w:type="dxa"/>
          </w:tcPr>
          <w:p>
            <w:pPr>
              <w:pStyle w:val="TableParagraph"/>
              <w:spacing w:before="13"/>
              <w:ind w:left="32"/>
              <w:rPr>
                <w:rFonts w:ascii="Times New Roman"/>
                <w:sz w:val="17"/>
              </w:rPr>
            </w:pPr>
            <w:r>
              <w:rPr>
                <w:rFonts w:ascii="Times New Roman"/>
                <w:w w:val="105"/>
                <w:sz w:val="17"/>
              </w:rPr>
              <w:t>Operating revenues</w:t>
            </w:r>
          </w:p>
        </w:tc>
        <w:tc>
          <w:tcPr>
            <w:tcW w:w="1622" w:type="dxa"/>
          </w:tcPr>
          <w:p>
            <w:pPr>
              <w:pStyle w:val="TableParagraph"/>
              <w:spacing w:before="13"/>
              <w:ind w:right="421"/>
              <w:jc w:val="right"/>
              <w:rPr>
                <w:rFonts w:ascii="Times New Roman"/>
                <w:sz w:val="17"/>
              </w:rPr>
            </w:pPr>
            <w:r>
              <w:rPr>
                <w:rFonts w:ascii="Times New Roman"/>
                <w:sz w:val="17"/>
              </w:rPr>
              <w:t>$5,937</w:t>
            </w:r>
          </w:p>
        </w:tc>
        <w:tc>
          <w:tcPr>
            <w:tcW w:w="1332" w:type="dxa"/>
          </w:tcPr>
          <w:p>
            <w:pPr>
              <w:pStyle w:val="TableParagraph"/>
              <w:spacing w:before="13"/>
              <w:ind w:right="419"/>
              <w:jc w:val="right"/>
              <w:rPr>
                <w:rFonts w:ascii="Times New Roman"/>
                <w:sz w:val="17"/>
              </w:rPr>
            </w:pPr>
            <w:r>
              <w:rPr>
                <w:rFonts w:ascii="Times New Roman"/>
                <w:sz w:val="17"/>
              </w:rPr>
              <w:t>$5,522</w:t>
            </w:r>
          </w:p>
        </w:tc>
        <w:tc>
          <w:tcPr>
            <w:tcW w:w="1313" w:type="dxa"/>
          </w:tcPr>
          <w:p>
            <w:pPr>
              <w:pStyle w:val="TableParagraph"/>
              <w:spacing w:before="13"/>
              <w:ind w:right="402"/>
              <w:jc w:val="right"/>
              <w:rPr>
                <w:rFonts w:ascii="Times New Roman"/>
                <w:sz w:val="17"/>
              </w:rPr>
            </w:pPr>
            <w:r>
              <w:rPr>
                <w:rFonts w:ascii="Times New Roman"/>
                <w:sz w:val="17"/>
              </w:rPr>
              <w:t>$5,555</w:t>
            </w:r>
          </w:p>
        </w:tc>
        <w:tc>
          <w:tcPr>
            <w:tcW w:w="1296" w:type="dxa"/>
          </w:tcPr>
          <w:p>
            <w:pPr>
              <w:pStyle w:val="TableParagraph"/>
              <w:spacing w:before="13"/>
              <w:ind w:right="404"/>
              <w:jc w:val="right"/>
              <w:rPr>
                <w:rFonts w:ascii="Times New Roman"/>
                <w:sz w:val="17"/>
              </w:rPr>
            </w:pPr>
            <w:r>
              <w:rPr>
                <w:rFonts w:ascii="Times New Roman"/>
                <w:sz w:val="17"/>
              </w:rPr>
              <w:t>$5,650</w:t>
            </w:r>
          </w:p>
        </w:tc>
        <w:tc>
          <w:tcPr>
            <w:tcW w:w="926" w:type="dxa"/>
          </w:tcPr>
          <w:p>
            <w:pPr>
              <w:pStyle w:val="TableParagraph"/>
              <w:spacing w:before="13"/>
              <w:ind w:right="33"/>
              <w:jc w:val="right"/>
              <w:rPr>
                <w:rFonts w:ascii="Times New Roman"/>
                <w:sz w:val="17"/>
              </w:rPr>
            </w:pPr>
            <w:r>
              <w:rPr>
                <w:rFonts w:ascii="Times New Roman"/>
                <w:sz w:val="17"/>
              </w:rPr>
              <w:t>$4,736</w:t>
            </w:r>
          </w:p>
        </w:tc>
      </w:tr>
      <w:tr>
        <w:trPr>
          <w:trHeight w:val="221" w:hRule="exact"/>
        </w:trPr>
        <w:tc>
          <w:tcPr>
            <w:tcW w:w="3323" w:type="dxa"/>
          </w:tcPr>
          <w:p>
            <w:pPr>
              <w:pStyle w:val="TableParagraph"/>
              <w:spacing w:before="1"/>
              <w:ind w:left="32"/>
              <w:rPr>
                <w:rFonts w:ascii="Times New Roman"/>
                <w:sz w:val="17"/>
              </w:rPr>
            </w:pPr>
            <w:r>
              <w:rPr>
                <w:rFonts w:ascii="Times New Roman"/>
                <w:w w:val="105"/>
                <w:sz w:val="17"/>
              </w:rPr>
              <w:t>Operating expenses</w:t>
            </w:r>
          </w:p>
        </w:tc>
        <w:tc>
          <w:tcPr>
            <w:tcW w:w="1622" w:type="dxa"/>
          </w:tcPr>
          <w:p>
            <w:pPr>
              <w:pStyle w:val="TableParagraph"/>
              <w:spacing w:before="1"/>
              <w:ind w:right="419"/>
              <w:jc w:val="right"/>
              <w:rPr>
                <w:rFonts w:ascii="Times New Roman"/>
                <w:sz w:val="17"/>
              </w:rPr>
            </w:pPr>
            <w:r>
              <w:rPr>
                <w:rFonts w:ascii="Times New Roman"/>
                <w:sz w:val="17"/>
                <w:u w:val="single"/>
              </w:rPr>
              <w:t>5,454</w:t>
            </w:r>
          </w:p>
        </w:tc>
        <w:tc>
          <w:tcPr>
            <w:tcW w:w="1332" w:type="dxa"/>
          </w:tcPr>
          <w:p>
            <w:pPr>
              <w:pStyle w:val="TableParagraph"/>
              <w:spacing w:before="1"/>
              <w:ind w:right="417"/>
              <w:jc w:val="right"/>
              <w:rPr>
                <w:rFonts w:ascii="Times New Roman"/>
                <w:sz w:val="17"/>
              </w:rPr>
            </w:pPr>
            <w:r>
              <w:rPr>
                <w:rFonts w:ascii="Times New Roman"/>
                <w:sz w:val="17"/>
                <w:u w:val="single"/>
              </w:rPr>
              <w:t>5,104</w:t>
            </w:r>
          </w:p>
        </w:tc>
        <w:tc>
          <w:tcPr>
            <w:tcW w:w="1313" w:type="dxa"/>
          </w:tcPr>
          <w:p>
            <w:pPr>
              <w:pStyle w:val="TableParagraph"/>
              <w:spacing w:before="1"/>
              <w:ind w:right="404"/>
              <w:jc w:val="right"/>
              <w:rPr>
                <w:rFonts w:ascii="Times New Roman"/>
                <w:sz w:val="17"/>
              </w:rPr>
            </w:pPr>
            <w:r>
              <w:rPr>
                <w:rFonts w:ascii="Times New Roman"/>
                <w:w w:val="104"/>
                <w:sz w:val="17"/>
                <w:u w:val="single"/>
              </w:rPr>
              <w:t> </w:t>
            </w:r>
            <w:r>
              <w:rPr>
                <w:rFonts w:ascii="Times New Roman"/>
                <w:sz w:val="17"/>
                <w:u w:val="single"/>
              </w:rPr>
              <w:t>4,924</w:t>
            </w:r>
          </w:p>
        </w:tc>
        <w:tc>
          <w:tcPr>
            <w:tcW w:w="1296" w:type="dxa"/>
          </w:tcPr>
          <w:p>
            <w:pPr>
              <w:pStyle w:val="TableParagraph"/>
              <w:spacing w:before="1"/>
              <w:ind w:right="400"/>
              <w:jc w:val="right"/>
              <w:rPr>
                <w:rFonts w:ascii="Times New Roman"/>
                <w:sz w:val="17"/>
              </w:rPr>
            </w:pPr>
            <w:r>
              <w:rPr>
                <w:rFonts w:ascii="Times New Roman"/>
                <w:sz w:val="17"/>
                <w:u w:val="single"/>
              </w:rPr>
              <w:t>4,628</w:t>
            </w:r>
          </w:p>
        </w:tc>
        <w:tc>
          <w:tcPr>
            <w:tcW w:w="926" w:type="dxa"/>
          </w:tcPr>
          <w:p>
            <w:pPr>
              <w:pStyle w:val="TableParagraph"/>
              <w:spacing w:before="1"/>
              <w:ind w:right="30"/>
              <w:jc w:val="right"/>
              <w:rPr>
                <w:rFonts w:ascii="Times New Roman"/>
                <w:sz w:val="17"/>
              </w:rPr>
            </w:pPr>
            <w:r>
              <w:rPr>
                <w:rFonts w:ascii="Times New Roman"/>
                <w:sz w:val="17"/>
                <w:u w:val="single"/>
              </w:rPr>
              <w:t>3,954</w:t>
            </w:r>
          </w:p>
        </w:tc>
      </w:tr>
      <w:tr>
        <w:trPr>
          <w:trHeight w:val="221" w:hRule="exact"/>
        </w:trPr>
        <w:tc>
          <w:tcPr>
            <w:tcW w:w="3323" w:type="dxa"/>
          </w:tcPr>
          <w:p>
            <w:pPr>
              <w:pStyle w:val="TableParagraph"/>
              <w:spacing w:before="1"/>
              <w:ind w:left="32"/>
              <w:rPr>
                <w:rFonts w:ascii="Times New Roman"/>
                <w:sz w:val="17"/>
              </w:rPr>
            </w:pPr>
            <w:r>
              <w:rPr>
                <w:rFonts w:ascii="Times New Roman"/>
                <w:w w:val="105"/>
                <w:sz w:val="17"/>
              </w:rPr>
              <w:t>Operating income</w:t>
            </w:r>
          </w:p>
        </w:tc>
        <w:tc>
          <w:tcPr>
            <w:tcW w:w="1622" w:type="dxa"/>
          </w:tcPr>
          <w:p>
            <w:pPr>
              <w:pStyle w:val="TableParagraph"/>
              <w:spacing w:before="1"/>
              <w:ind w:right="423"/>
              <w:jc w:val="right"/>
              <w:rPr>
                <w:rFonts w:ascii="Times New Roman"/>
                <w:sz w:val="17"/>
              </w:rPr>
            </w:pPr>
            <w:r>
              <w:rPr>
                <w:rFonts w:ascii="Times New Roman"/>
                <w:sz w:val="17"/>
              </w:rPr>
              <w:t>483</w:t>
            </w:r>
          </w:p>
        </w:tc>
        <w:tc>
          <w:tcPr>
            <w:tcW w:w="1332" w:type="dxa"/>
          </w:tcPr>
          <w:p>
            <w:pPr>
              <w:pStyle w:val="TableParagraph"/>
              <w:spacing w:before="1"/>
              <w:ind w:right="422"/>
              <w:jc w:val="right"/>
              <w:rPr>
                <w:rFonts w:ascii="Times New Roman"/>
                <w:sz w:val="17"/>
              </w:rPr>
            </w:pPr>
            <w:r>
              <w:rPr>
                <w:rFonts w:ascii="Times New Roman"/>
                <w:sz w:val="17"/>
              </w:rPr>
              <w:t>418</w:t>
            </w:r>
          </w:p>
        </w:tc>
        <w:tc>
          <w:tcPr>
            <w:tcW w:w="1313" w:type="dxa"/>
          </w:tcPr>
          <w:p>
            <w:pPr>
              <w:pStyle w:val="TableParagraph"/>
              <w:spacing w:before="1"/>
              <w:ind w:right="404"/>
              <w:jc w:val="right"/>
              <w:rPr>
                <w:rFonts w:ascii="Times New Roman"/>
                <w:sz w:val="17"/>
              </w:rPr>
            </w:pPr>
            <w:r>
              <w:rPr>
                <w:rFonts w:ascii="Times New Roman"/>
                <w:w w:val="105"/>
                <w:sz w:val="17"/>
              </w:rPr>
              <w:t>631</w:t>
            </w:r>
          </w:p>
        </w:tc>
        <w:tc>
          <w:tcPr>
            <w:tcW w:w="1296" w:type="dxa"/>
          </w:tcPr>
          <w:p>
            <w:pPr>
              <w:pStyle w:val="TableParagraph"/>
              <w:spacing w:before="1"/>
              <w:ind w:right="400"/>
              <w:jc w:val="right"/>
              <w:rPr>
                <w:rFonts w:ascii="Times New Roman"/>
                <w:sz w:val="17"/>
              </w:rPr>
            </w:pPr>
            <w:r>
              <w:rPr>
                <w:rFonts w:ascii="Times New Roman"/>
                <w:sz w:val="17"/>
              </w:rPr>
              <w:t>1,022</w:t>
            </w:r>
          </w:p>
        </w:tc>
        <w:tc>
          <w:tcPr>
            <w:tcW w:w="926" w:type="dxa"/>
          </w:tcPr>
          <w:p>
            <w:pPr>
              <w:pStyle w:val="TableParagraph"/>
              <w:spacing w:before="1"/>
              <w:ind w:right="34"/>
              <w:jc w:val="right"/>
              <w:rPr>
                <w:rFonts w:ascii="Times New Roman"/>
                <w:sz w:val="17"/>
              </w:rPr>
            </w:pPr>
            <w:r>
              <w:rPr>
                <w:rFonts w:ascii="Times New Roman"/>
                <w:w w:val="105"/>
                <w:sz w:val="17"/>
              </w:rPr>
              <w:t>782</w:t>
            </w:r>
          </w:p>
        </w:tc>
      </w:tr>
      <w:tr>
        <w:trPr>
          <w:trHeight w:val="218" w:hRule="exact"/>
        </w:trPr>
        <w:tc>
          <w:tcPr>
            <w:tcW w:w="3323" w:type="dxa"/>
          </w:tcPr>
          <w:p>
            <w:pPr>
              <w:pStyle w:val="TableParagraph"/>
              <w:spacing w:before="1"/>
              <w:ind w:left="32"/>
              <w:rPr>
                <w:rFonts w:ascii="Times New Roman"/>
                <w:sz w:val="17"/>
              </w:rPr>
            </w:pPr>
            <w:r>
              <w:rPr>
                <w:rFonts w:ascii="Times New Roman"/>
                <w:w w:val="105"/>
                <w:sz w:val="17"/>
              </w:rPr>
              <w:t>Other expenses(income), net</w:t>
            </w:r>
          </w:p>
        </w:tc>
        <w:tc>
          <w:tcPr>
            <w:tcW w:w="1622" w:type="dxa"/>
          </w:tcPr>
          <w:p>
            <w:pPr>
              <w:pStyle w:val="TableParagraph"/>
              <w:spacing w:before="1"/>
              <w:ind w:right="420"/>
              <w:jc w:val="right"/>
              <w:rPr>
                <w:rFonts w:ascii="Times New Roman"/>
                <w:sz w:val="17"/>
              </w:rPr>
            </w:pPr>
            <w:r>
              <w:rPr>
                <w:rFonts w:ascii="Times New Roman"/>
                <w:w w:val="105"/>
                <w:sz w:val="17"/>
                <w:u w:val="single"/>
              </w:rPr>
              <w:t>(225)</w:t>
            </w:r>
          </w:p>
        </w:tc>
        <w:tc>
          <w:tcPr>
            <w:tcW w:w="1332" w:type="dxa"/>
          </w:tcPr>
          <w:p>
            <w:pPr>
              <w:pStyle w:val="TableParagraph"/>
              <w:spacing w:before="1"/>
              <w:ind w:right="418"/>
              <w:jc w:val="right"/>
              <w:rPr>
                <w:rFonts w:ascii="Times New Roman"/>
                <w:sz w:val="17"/>
              </w:rPr>
            </w:pPr>
            <w:r>
              <w:rPr>
                <w:rFonts w:ascii="Times New Roman"/>
                <w:sz w:val="17"/>
                <w:u w:val="single"/>
              </w:rPr>
              <w:t>25</w:t>
            </w:r>
          </w:p>
        </w:tc>
        <w:tc>
          <w:tcPr>
            <w:tcW w:w="1313" w:type="dxa"/>
          </w:tcPr>
          <w:p>
            <w:pPr>
              <w:pStyle w:val="TableParagraph"/>
              <w:spacing w:before="1"/>
              <w:ind w:right="400"/>
              <w:jc w:val="right"/>
              <w:rPr>
                <w:rFonts w:ascii="Times New Roman"/>
                <w:sz w:val="17"/>
              </w:rPr>
            </w:pPr>
            <w:r>
              <w:rPr>
                <w:rFonts w:ascii="Times New Roman"/>
                <w:sz w:val="17"/>
                <w:u w:val="single"/>
              </w:rPr>
              <w:t>(197)</w:t>
            </w:r>
          </w:p>
        </w:tc>
        <w:tc>
          <w:tcPr>
            <w:tcW w:w="1296" w:type="dxa"/>
          </w:tcPr>
          <w:p>
            <w:pPr>
              <w:pStyle w:val="TableParagraph"/>
              <w:spacing w:before="1"/>
              <w:ind w:right="404"/>
              <w:jc w:val="right"/>
              <w:rPr>
                <w:rFonts w:ascii="Times New Roman"/>
                <w:sz w:val="17"/>
              </w:rPr>
            </w:pPr>
            <w:r>
              <w:rPr>
                <w:rFonts w:ascii="Times New Roman"/>
                <w:w w:val="104"/>
                <w:sz w:val="17"/>
                <w:u w:val="single"/>
              </w:rPr>
              <w:t>4</w:t>
            </w:r>
          </w:p>
        </w:tc>
        <w:tc>
          <w:tcPr>
            <w:tcW w:w="926" w:type="dxa"/>
          </w:tcPr>
          <w:p>
            <w:pPr>
              <w:pStyle w:val="TableParagraph"/>
              <w:spacing w:before="1"/>
              <w:ind w:right="34"/>
              <w:jc w:val="right"/>
              <w:rPr>
                <w:rFonts w:ascii="Times New Roman"/>
                <w:sz w:val="17"/>
              </w:rPr>
            </w:pPr>
            <w:r>
              <w:rPr>
                <w:rFonts w:ascii="Times New Roman"/>
                <w:w w:val="104"/>
                <w:sz w:val="17"/>
                <w:u w:val="single"/>
              </w:rPr>
              <w:t>8</w:t>
            </w:r>
          </w:p>
        </w:tc>
      </w:tr>
      <w:tr>
        <w:trPr>
          <w:trHeight w:val="218" w:hRule="exact"/>
        </w:trPr>
        <w:tc>
          <w:tcPr>
            <w:tcW w:w="3323" w:type="dxa"/>
          </w:tcPr>
          <w:p>
            <w:pPr>
              <w:pStyle w:val="TableParagraph"/>
              <w:spacing w:line="194" w:lineRule="exact"/>
              <w:ind w:left="32"/>
              <w:rPr>
                <w:rFonts w:ascii="Times New Roman"/>
                <w:sz w:val="17"/>
              </w:rPr>
            </w:pPr>
            <w:r>
              <w:rPr>
                <w:rFonts w:ascii="Times New Roman"/>
                <w:w w:val="105"/>
                <w:sz w:val="17"/>
              </w:rPr>
              <w:t>Income before income taxes</w:t>
            </w:r>
          </w:p>
        </w:tc>
        <w:tc>
          <w:tcPr>
            <w:tcW w:w="1622" w:type="dxa"/>
          </w:tcPr>
          <w:p>
            <w:pPr>
              <w:pStyle w:val="TableParagraph"/>
              <w:spacing w:line="194" w:lineRule="exact"/>
              <w:ind w:right="423"/>
              <w:jc w:val="right"/>
              <w:rPr>
                <w:rFonts w:ascii="Times New Roman"/>
                <w:sz w:val="17"/>
              </w:rPr>
            </w:pPr>
            <w:r>
              <w:rPr>
                <w:rFonts w:ascii="Times New Roman"/>
                <w:w w:val="105"/>
                <w:sz w:val="17"/>
              </w:rPr>
              <w:t>708</w:t>
            </w:r>
          </w:p>
        </w:tc>
        <w:tc>
          <w:tcPr>
            <w:tcW w:w="1332" w:type="dxa"/>
          </w:tcPr>
          <w:p>
            <w:pPr>
              <w:pStyle w:val="TableParagraph"/>
              <w:spacing w:line="194" w:lineRule="exact"/>
              <w:ind w:right="422"/>
              <w:jc w:val="right"/>
              <w:rPr>
                <w:rFonts w:ascii="Times New Roman"/>
                <w:sz w:val="17"/>
              </w:rPr>
            </w:pPr>
            <w:r>
              <w:rPr>
                <w:rFonts w:ascii="Times New Roman"/>
                <w:w w:val="105"/>
                <w:sz w:val="17"/>
              </w:rPr>
              <w:t>393</w:t>
            </w:r>
          </w:p>
        </w:tc>
        <w:tc>
          <w:tcPr>
            <w:tcW w:w="1313" w:type="dxa"/>
          </w:tcPr>
          <w:p>
            <w:pPr>
              <w:pStyle w:val="TableParagraph"/>
              <w:spacing w:line="194" w:lineRule="exact"/>
              <w:ind w:right="404"/>
              <w:jc w:val="right"/>
              <w:rPr>
                <w:rFonts w:ascii="Times New Roman"/>
                <w:sz w:val="17"/>
              </w:rPr>
            </w:pPr>
            <w:r>
              <w:rPr>
                <w:rFonts w:ascii="Times New Roman"/>
                <w:w w:val="105"/>
                <w:sz w:val="17"/>
              </w:rPr>
              <w:t>828</w:t>
            </w:r>
          </w:p>
        </w:tc>
        <w:tc>
          <w:tcPr>
            <w:tcW w:w="1296" w:type="dxa"/>
          </w:tcPr>
          <w:p>
            <w:pPr>
              <w:pStyle w:val="TableParagraph"/>
              <w:spacing w:line="194" w:lineRule="exact"/>
              <w:ind w:right="400"/>
              <w:jc w:val="right"/>
              <w:rPr>
                <w:rFonts w:ascii="Times New Roman"/>
                <w:sz w:val="17"/>
              </w:rPr>
            </w:pPr>
            <w:r>
              <w:rPr>
                <w:rFonts w:ascii="Times New Roman"/>
                <w:sz w:val="17"/>
              </w:rPr>
              <w:t>1,018</w:t>
            </w:r>
          </w:p>
        </w:tc>
        <w:tc>
          <w:tcPr>
            <w:tcW w:w="926" w:type="dxa"/>
          </w:tcPr>
          <w:p>
            <w:pPr>
              <w:pStyle w:val="TableParagraph"/>
              <w:spacing w:line="194" w:lineRule="exact"/>
              <w:ind w:right="34"/>
              <w:jc w:val="right"/>
              <w:rPr>
                <w:rFonts w:ascii="Times New Roman"/>
                <w:sz w:val="17"/>
              </w:rPr>
            </w:pPr>
            <w:r>
              <w:rPr>
                <w:rFonts w:ascii="Times New Roman"/>
                <w:w w:val="105"/>
                <w:sz w:val="17"/>
              </w:rPr>
              <w:t>774</w:t>
            </w:r>
          </w:p>
        </w:tc>
      </w:tr>
      <w:tr>
        <w:trPr>
          <w:trHeight w:val="220" w:hRule="exact"/>
        </w:trPr>
        <w:tc>
          <w:tcPr>
            <w:tcW w:w="3323" w:type="dxa"/>
          </w:tcPr>
          <w:p>
            <w:pPr>
              <w:pStyle w:val="TableParagraph"/>
              <w:spacing w:before="1"/>
              <w:ind w:left="32"/>
              <w:rPr>
                <w:rFonts w:ascii="Times New Roman"/>
                <w:sz w:val="17"/>
              </w:rPr>
            </w:pPr>
            <w:r>
              <w:rPr>
                <w:rFonts w:ascii="Times New Roman"/>
                <w:w w:val="105"/>
                <w:sz w:val="17"/>
              </w:rPr>
              <w:t>Provision for income taxes</w:t>
            </w:r>
          </w:p>
        </w:tc>
        <w:tc>
          <w:tcPr>
            <w:tcW w:w="1622" w:type="dxa"/>
          </w:tcPr>
          <w:p>
            <w:pPr>
              <w:pStyle w:val="TableParagraph"/>
              <w:spacing w:before="1"/>
              <w:ind w:right="423"/>
              <w:jc w:val="right"/>
              <w:rPr>
                <w:rFonts w:ascii="Times New Roman"/>
                <w:sz w:val="17"/>
              </w:rPr>
            </w:pPr>
            <w:r>
              <w:rPr>
                <w:rFonts w:ascii="Times New Roman"/>
                <w:w w:val="105"/>
                <w:sz w:val="17"/>
                <w:u w:val="single"/>
              </w:rPr>
              <w:t>266</w:t>
            </w:r>
          </w:p>
        </w:tc>
        <w:tc>
          <w:tcPr>
            <w:tcW w:w="1332" w:type="dxa"/>
          </w:tcPr>
          <w:p>
            <w:pPr>
              <w:pStyle w:val="TableParagraph"/>
              <w:spacing w:before="1"/>
              <w:ind w:right="422"/>
              <w:jc w:val="right"/>
              <w:rPr>
                <w:rFonts w:ascii="Times New Roman"/>
                <w:sz w:val="17"/>
              </w:rPr>
            </w:pPr>
            <w:r>
              <w:rPr>
                <w:rFonts w:ascii="Times New Roman"/>
                <w:w w:val="105"/>
                <w:sz w:val="17"/>
                <w:u w:val="single"/>
              </w:rPr>
              <w:t>152</w:t>
            </w:r>
          </w:p>
        </w:tc>
        <w:tc>
          <w:tcPr>
            <w:tcW w:w="1313" w:type="dxa"/>
          </w:tcPr>
          <w:p>
            <w:pPr>
              <w:pStyle w:val="TableParagraph"/>
              <w:spacing w:before="1"/>
              <w:ind w:right="404"/>
              <w:jc w:val="right"/>
              <w:rPr>
                <w:rFonts w:ascii="Times New Roman"/>
                <w:sz w:val="17"/>
              </w:rPr>
            </w:pPr>
            <w:r>
              <w:rPr>
                <w:rFonts w:ascii="Times New Roman"/>
                <w:w w:val="105"/>
                <w:sz w:val="17"/>
                <w:u w:val="single"/>
              </w:rPr>
              <w:t>317</w:t>
            </w:r>
          </w:p>
        </w:tc>
        <w:tc>
          <w:tcPr>
            <w:tcW w:w="1296" w:type="dxa"/>
          </w:tcPr>
          <w:p>
            <w:pPr>
              <w:pStyle w:val="TableParagraph"/>
              <w:spacing w:before="1"/>
              <w:ind w:right="404"/>
              <w:jc w:val="right"/>
              <w:rPr>
                <w:rFonts w:ascii="Times New Roman"/>
                <w:sz w:val="17"/>
              </w:rPr>
            </w:pPr>
            <w:r>
              <w:rPr>
                <w:rFonts w:ascii="Times New Roman"/>
                <w:w w:val="105"/>
                <w:sz w:val="17"/>
                <w:u w:val="single"/>
              </w:rPr>
              <w:t>392</w:t>
            </w:r>
          </w:p>
        </w:tc>
        <w:tc>
          <w:tcPr>
            <w:tcW w:w="926" w:type="dxa"/>
          </w:tcPr>
          <w:p>
            <w:pPr>
              <w:pStyle w:val="TableParagraph"/>
              <w:spacing w:before="1"/>
              <w:ind w:right="34"/>
              <w:jc w:val="right"/>
              <w:rPr>
                <w:rFonts w:ascii="Times New Roman"/>
                <w:sz w:val="17"/>
              </w:rPr>
            </w:pPr>
            <w:r>
              <w:rPr>
                <w:rFonts w:ascii="Times New Roman"/>
                <w:w w:val="105"/>
                <w:sz w:val="17"/>
                <w:u w:val="single"/>
              </w:rPr>
              <w:t>299</w:t>
            </w:r>
          </w:p>
        </w:tc>
      </w:tr>
      <w:tr>
        <w:trPr>
          <w:trHeight w:val="366" w:hRule="exact"/>
        </w:trPr>
        <w:tc>
          <w:tcPr>
            <w:tcW w:w="3323" w:type="dxa"/>
          </w:tcPr>
          <w:p>
            <w:pPr>
              <w:pStyle w:val="TableParagraph"/>
              <w:spacing w:line="198" w:lineRule="exact"/>
              <w:ind w:left="32"/>
              <w:rPr>
                <w:rFonts w:ascii="Times New Roman"/>
                <w:sz w:val="10"/>
              </w:rPr>
            </w:pPr>
            <w:r>
              <w:rPr>
                <w:rFonts w:ascii="Times New Roman"/>
                <w:w w:val="105"/>
                <w:sz w:val="17"/>
              </w:rPr>
              <w:t>Net income </w:t>
            </w:r>
            <w:r>
              <w:rPr>
                <w:rFonts w:ascii="Times New Roman"/>
                <w:w w:val="105"/>
                <w:position w:val="7"/>
                <w:sz w:val="10"/>
              </w:rPr>
              <w:t>(3)</w:t>
            </w:r>
          </w:p>
        </w:tc>
        <w:tc>
          <w:tcPr>
            <w:tcW w:w="1622" w:type="dxa"/>
          </w:tcPr>
          <w:p>
            <w:pPr>
              <w:pStyle w:val="TableParagraph"/>
              <w:spacing w:before="7"/>
              <w:ind w:right="421"/>
              <w:jc w:val="right"/>
              <w:rPr>
                <w:rFonts w:ascii="Times New Roman"/>
                <w:sz w:val="17"/>
              </w:rPr>
            </w:pPr>
            <w:r>
              <w:rPr>
                <w:rFonts w:ascii="Times New Roman"/>
                <w:sz w:val="17"/>
                <w:u w:val="thick"/>
              </w:rPr>
              <w:t>$442</w:t>
            </w:r>
          </w:p>
        </w:tc>
        <w:tc>
          <w:tcPr>
            <w:tcW w:w="1332" w:type="dxa"/>
          </w:tcPr>
          <w:p>
            <w:pPr>
              <w:pStyle w:val="TableParagraph"/>
              <w:spacing w:before="7"/>
              <w:ind w:right="418"/>
              <w:jc w:val="right"/>
              <w:rPr>
                <w:rFonts w:ascii="Times New Roman"/>
                <w:sz w:val="17"/>
              </w:rPr>
            </w:pPr>
            <w:r>
              <w:rPr>
                <w:rFonts w:ascii="Times New Roman"/>
                <w:sz w:val="17"/>
                <w:u w:val="thick"/>
              </w:rPr>
              <w:t>$241</w:t>
            </w:r>
          </w:p>
        </w:tc>
        <w:tc>
          <w:tcPr>
            <w:tcW w:w="1313" w:type="dxa"/>
          </w:tcPr>
          <w:p>
            <w:pPr>
              <w:pStyle w:val="TableParagraph"/>
              <w:spacing w:before="7"/>
              <w:ind w:right="401"/>
              <w:jc w:val="right"/>
              <w:rPr>
                <w:rFonts w:ascii="Times New Roman"/>
                <w:sz w:val="17"/>
              </w:rPr>
            </w:pPr>
            <w:r>
              <w:rPr>
                <w:rFonts w:ascii="Times New Roman"/>
                <w:sz w:val="17"/>
                <w:u w:val="thick"/>
              </w:rPr>
              <w:t>$511</w:t>
            </w:r>
          </w:p>
        </w:tc>
        <w:tc>
          <w:tcPr>
            <w:tcW w:w="1296" w:type="dxa"/>
          </w:tcPr>
          <w:p>
            <w:pPr>
              <w:pStyle w:val="TableParagraph"/>
              <w:spacing w:before="7"/>
              <w:ind w:right="401"/>
              <w:jc w:val="right"/>
              <w:rPr>
                <w:rFonts w:ascii="Times New Roman"/>
                <w:sz w:val="17"/>
              </w:rPr>
            </w:pPr>
            <w:r>
              <w:rPr>
                <w:rFonts w:ascii="Times New Roman"/>
                <w:sz w:val="17"/>
                <w:u w:val="thick"/>
              </w:rPr>
              <w:t>$626</w:t>
            </w:r>
          </w:p>
        </w:tc>
        <w:tc>
          <w:tcPr>
            <w:tcW w:w="926" w:type="dxa"/>
          </w:tcPr>
          <w:p>
            <w:pPr>
              <w:pStyle w:val="TableParagraph"/>
              <w:spacing w:before="7"/>
              <w:ind w:right="30"/>
              <w:jc w:val="right"/>
              <w:rPr>
                <w:rFonts w:ascii="Times New Roman"/>
                <w:sz w:val="17"/>
              </w:rPr>
            </w:pPr>
            <w:r>
              <w:rPr>
                <w:rFonts w:ascii="Times New Roman"/>
                <w:w w:val="105"/>
                <w:sz w:val="17"/>
                <w:u w:val="thick"/>
              </w:rPr>
              <w:t>$ 475</w:t>
            </w:r>
          </w:p>
        </w:tc>
      </w:tr>
      <w:tr>
        <w:trPr>
          <w:trHeight w:val="360" w:hRule="exact"/>
        </w:trPr>
        <w:tc>
          <w:tcPr>
            <w:tcW w:w="3323" w:type="dxa"/>
          </w:tcPr>
          <w:p>
            <w:pPr>
              <w:pStyle w:val="TableParagraph"/>
              <w:spacing w:before="140"/>
              <w:ind w:left="32"/>
              <w:rPr>
                <w:rFonts w:ascii="Times New Roman"/>
                <w:sz w:val="17"/>
              </w:rPr>
            </w:pPr>
            <w:r>
              <w:rPr>
                <w:rFonts w:ascii="Times New Roman"/>
                <w:w w:val="105"/>
                <w:sz w:val="17"/>
              </w:rPr>
              <w:t>Net income per share, basic</w:t>
            </w:r>
          </w:p>
        </w:tc>
        <w:tc>
          <w:tcPr>
            <w:tcW w:w="1622" w:type="dxa"/>
          </w:tcPr>
          <w:p>
            <w:pPr>
              <w:pStyle w:val="TableParagraph"/>
              <w:spacing w:before="140"/>
              <w:ind w:right="422"/>
              <w:jc w:val="right"/>
              <w:rPr>
                <w:rFonts w:ascii="Times New Roman"/>
                <w:sz w:val="17"/>
              </w:rPr>
            </w:pPr>
            <w:r>
              <w:rPr>
                <w:rFonts w:ascii="Times New Roman"/>
                <w:sz w:val="17"/>
              </w:rPr>
              <w:t>$.56</w:t>
            </w:r>
          </w:p>
        </w:tc>
        <w:tc>
          <w:tcPr>
            <w:tcW w:w="1332" w:type="dxa"/>
          </w:tcPr>
          <w:p>
            <w:pPr>
              <w:pStyle w:val="TableParagraph"/>
              <w:spacing w:before="140"/>
              <w:ind w:right="419"/>
              <w:jc w:val="right"/>
              <w:rPr>
                <w:rFonts w:ascii="Times New Roman"/>
                <w:sz w:val="17"/>
              </w:rPr>
            </w:pPr>
            <w:r>
              <w:rPr>
                <w:rFonts w:ascii="Times New Roman"/>
                <w:sz w:val="17"/>
              </w:rPr>
              <w:t>$.31</w:t>
            </w:r>
          </w:p>
        </w:tc>
        <w:tc>
          <w:tcPr>
            <w:tcW w:w="1313" w:type="dxa"/>
          </w:tcPr>
          <w:p>
            <w:pPr>
              <w:pStyle w:val="TableParagraph"/>
              <w:spacing w:before="140"/>
              <w:ind w:right="402"/>
              <w:jc w:val="right"/>
              <w:rPr>
                <w:rFonts w:ascii="Times New Roman"/>
                <w:sz w:val="17"/>
              </w:rPr>
            </w:pPr>
            <w:r>
              <w:rPr>
                <w:rFonts w:ascii="Times New Roman"/>
                <w:sz w:val="17"/>
              </w:rPr>
              <w:t>$.67</w:t>
            </w:r>
          </w:p>
        </w:tc>
        <w:tc>
          <w:tcPr>
            <w:tcW w:w="1296" w:type="dxa"/>
          </w:tcPr>
          <w:p>
            <w:pPr>
              <w:pStyle w:val="TableParagraph"/>
              <w:spacing w:before="140"/>
              <w:ind w:right="403"/>
              <w:jc w:val="right"/>
              <w:rPr>
                <w:rFonts w:ascii="Times New Roman"/>
                <w:sz w:val="17"/>
              </w:rPr>
            </w:pPr>
            <w:r>
              <w:rPr>
                <w:rFonts w:ascii="Times New Roman"/>
                <w:sz w:val="17"/>
              </w:rPr>
              <w:t>$.84</w:t>
            </w:r>
          </w:p>
        </w:tc>
        <w:tc>
          <w:tcPr>
            <w:tcW w:w="926" w:type="dxa"/>
          </w:tcPr>
          <w:p>
            <w:pPr>
              <w:pStyle w:val="TableParagraph"/>
              <w:spacing w:before="140"/>
              <w:ind w:right="33"/>
              <w:jc w:val="right"/>
              <w:rPr>
                <w:rFonts w:ascii="Times New Roman"/>
                <w:sz w:val="17"/>
              </w:rPr>
            </w:pPr>
            <w:r>
              <w:rPr>
                <w:rFonts w:ascii="Times New Roman"/>
                <w:sz w:val="17"/>
              </w:rPr>
              <w:t>$.63</w:t>
            </w:r>
          </w:p>
        </w:tc>
      </w:tr>
      <w:tr>
        <w:trPr>
          <w:trHeight w:val="221" w:hRule="exact"/>
        </w:trPr>
        <w:tc>
          <w:tcPr>
            <w:tcW w:w="3323" w:type="dxa"/>
          </w:tcPr>
          <w:p>
            <w:pPr>
              <w:pStyle w:val="TableParagraph"/>
              <w:spacing w:before="1"/>
              <w:ind w:left="32"/>
              <w:rPr>
                <w:rFonts w:ascii="Times New Roman"/>
                <w:sz w:val="17"/>
              </w:rPr>
            </w:pPr>
            <w:r>
              <w:rPr>
                <w:rFonts w:ascii="Times New Roman"/>
                <w:w w:val="105"/>
                <w:sz w:val="17"/>
              </w:rPr>
              <w:t>Net income per share, diluted</w:t>
            </w:r>
          </w:p>
        </w:tc>
        <w:tc>
          <w:tcPr>
            <w:tcW w:w="1622" w:type="dxa"/>
          </w:tcPr>
          <w:p>
            <w:pPr>
              <w:pStyle w:val="TableParagraph"/>
              <w:spacing w:before="1"/>
              <w:ind w:right="422"/>
              <w:jc w:val="right"/>
              <w:rPr>
                <w:rFonts w:ascii="Times New Roman"/>
                <w:sz w:val="17"/>
              </w:rPr>
            </w:pPr>
            <w:r>
              <w:rPr>
                <w:rFonts w:ascii="Times New Roman"/>
                <w:sz w:val="17"/>
              </w:rPr>
              <w:t>$.54</w:t>
            </w:r>
          </w:p>
        </w:tc>
        <w:tc>
          <w:tcPr>
            <w:tcW w:w="1332" w:type="dxa"/>
          </w:tcPr>
          <w:p>
            <w:pPr>
              <w:pStyle w:val="TableParagraph"/>
              <w:spacing w:before="1"/>
              <w:ind w:right="419"/>
              <w:jc w:val="right"/>
              <w:rPr>
                <w:rFonts w:ascii="Times New Roman"/>
                <w:sz w:val="17"/>
              </w:rPr>
            </w:pPr>
            <w:r>
              <w:rPr>
                <w:rFonts w:ascii="Times New Roman"/>
                <w:sz w:val="17"/>
              </w:rPr>
              <w:t>$.30</w:t>
            </w:r>
          </w:p>
        </w:tc>
        <w:tc>
          <w:tcPr>
            <w:tcW w:w="1313" w:type="dxa"/>
          </w:tcPr>
          <w:p>
            <w:pPr>
              <w:pStyle w:val="TableParagraph"/>
              <w:spacing w:before="1"/>
              <w:ind w:right="402"/>
              <w:jc w:val="right"/>
              <w:rPr>
                <w:rFonts w:ascii="Times New Roman"/>
                <w:sz w:val="17"/>
              </w:rPr>
            </w:pPr>
            <w:r>
              <w:rPr>
                <w:rFonts w:ascii="Times New Roman"/>
                <w:sz w:val="17"/>
              </w:rPr>
              <w:t>$.63</w:t>
            </w:r>
          </w:p>
        </w:tc>
        <w:tc>
          <w:tcPr>
            <w:tcW w:w="1296" w:type="dxa"/>
          </w:tcPr>
          <w:p>
            <w:pPr>
              <w:pStyle w:val="TableParagraph"/>
              <w:spacing w:before="1"/>
              <w:ind w:right="403"/>
              <w:jc w:val="right"/>
              <w:rPr>
                <w:rFonts w:ascii="Times New Roman"/>
                <w:sz w:val="17"/>
              </w:rPr>
            </w:pPr>
            <w:r>
              <w:rPr>
                <w:rFonts w:ascii="Times New Roman"/>
                <w:sz w:val="17"/>
              </w:rPr>
              <w:t>$.79</w:t>
            </w:r>
          </w:p>
        </w:tc>
        <w:tc>
          <w:tcPr>
            <w:tcW w:w="926" w:type="dxa"/>
          </w:tcPr>
          <w:p>
            <w:pPr>
              <w:pStyle w:val="TableParagraph"/>
              <w:ind w:right="33"/>
              <w:jc w:val="right"/>
              <w:rPr>
                <w:rFonts w:ascii="Times New Roman"/>
                <w:sz w:val="17"/>
              </w:rPr>
            </w:pPr>
            <w:r>
              <w:rPr>
                <w:rFonts w:ascii="Times New Roman"/>
                <w:sz w:val="17"/>
              </w:rPr>
              <w:t>$.59</w:t>
            </w:r>
          </w:p>
        </w:tc>
      </w:tr>
      <w:tr>
        <w:trPr>
          <w:trHeight w:val="221" w:hRule="exact"/>
        </w:trPr>
        <w:tc>
          <w:tcPr>
            <w:tcW w:w="3323" w:type="dxa"/>
          </w:tcPr>
          <w:p>
            <w:pPr>
              <w:pStyle w:val="TableParagraph"/>
              <w:spacing w:before="1"/>
              <w:ind w:left="32"/>
              <w:rPr>
                <w:rFonts w:ascii="Times New Roman"/>
                <w:sz w:val="17"/>
              </w:rPr>
            </w:pPr>
            <w:r>
              <w:rPr>
                <w:rFonts w:ascii="Times New Roman"/>
                <w:w w:val="105"/>
                <w:sz w:val="17"/>
              </w:rPr>
              <w:t>Cash dividends per common share</w:t>
            </w:r>
          </w:p>
        </w:tc>
        <w:tc>
          <w:tcPr>
            <w:tcW w:w="1622" w:type="dxa"/>
          </w:tcPr>
          <w:p>
            <w:pPr>
              <w:pStyle w:val="TableParagraph"/>
              <w:spacing w:before="1"/>
              <w:ind w:right="422"/>
              <w:jc w:val="right"/>
              <w:rPr>
                <w:rFonts w:ascii="Times New Roman"/>
                <w:sz w:val="17"/>
              </w:rPr>
            </w:pPr>
            <w:r>
              <w:rPr>
                <w:rFonts w:ascii="Times New Roman"/>
                <w:sz w:val="17"/>
              </w:rPr>
              <w:t>$.0180</w:t>
            </w:r>
          </w:p>
        </w:tc>
        <w:tc>
          <w:tcPr>
            <w:tcW w:w="1332" w:type="dxa"/>
          </w:tcPr>
          <w:p>
            <w:pPr>
              <w:pStyle w:val="TableParagraph"/>
              <w:spacing w:before="1"/>
              <w:ind w:right="419"/>
              <w:jc w:val="right"/>
              <w:rPr>
                <w:rFonts w:ascii="Times New Roman"/>
                <w:sz w:val="17"/>
              </w:rPr>
            </w:pPr>
            <w:r>
              <w:rPr>
                <w:rFonts w:ascii="Times New Roman"/>
                <w:sz w:val="17"/>
              </w:rPr>
              <w:t>$.0180</w:t>
            </w:r>
          </w:p>
        </w:tc>
        <w:tc>
          <w:tcPr>
            <w:tcW w:w="1313" w:type="dxa"/>
          </w:tcPr>
          <w:p>
            <w:pPr>
              <w:pStyle w:val="TableParagraph"/>
              <w:spacing w:before="1"/>
              <w:ind w:right="402"/>
              <w:jc w:val="right"/>
              <w:rPr>
                <w:rFonts w:ascii="Times New Roman"/>
                <w:sz w:val="17"/>
              </w:rPr>
            </w:pPr>
            <w:r>
              <w:rPr>
                <w:rFonts w:ascii="Times New Roman"/>
                <w:sz w:val="17"/>
              </w:rPr>
              <w:t>$.0180</w:t>
            </w:r>
          </w:p>
        </w:tc>
        <w:tc>
          <w:tcPr>
            <w:tcW w:w="1296" w:type="dxa"/>
          </w:tcPr>
          <w:p>
            <w:pPr>
              <w:pStyle w:val="TableParagraph"/>
              <w:spacing w:before="1"/>
              <w:ind w:right="403"/>
              <w:jc w:val="right"/>
              <w:rPr>
                <w:rFonts w:ascii="Times New Roman"/>
                <w:sz w:val="17"/>
              </w:rPr>
            </w:pPr>
            <w:r>
              <w:rPr>
                <w:rFonts w:ascii="Times New Roman"/>
                <w:sz w:val="17"/>
              </w:rPr>
              <w:t>$.0148</w:t>
            </w:r>
          </w:p>
        </w:tc>
        <w:tc>
          <w:tcPr>
            <w:tcW w:w="926" w:type="dxa"/>
          </w:tcPr>
          <w:p>
            <w:pPr>
              <w:pStyle w:val="TableParagraph"/>
              <w:ind w:right="33"/>
              <w:jc w:val="right"/>
              <w:rPr>
                <w:rFonts w:ascii="Times New Roman"/>
                <w:sz w:val="17"/>
              </w:rPr>
            </w:pPr>
            <w:r>
              <w:rPr>
                <w:rFonts w:ascii="Times New Roman"/>
                <w:sz w:val="17"/>
              </w:rPr>
              <w:t>$.0143</w:t>
            </w:r>
          </w:p>
        </w:tc>
      </w:tr>
      <w:tr>
        <w:trPr>
          <w:trHeight w:val="221" w:hRule="exact"/>
        </w:trPr>
        <w:tc>
          <w:tcPr>
            <w:tcW w:w="3323" w:type="dxa"/>
          </w:tcPr>
          <w:p>
            <w:pPr>
              <w:pStyle w:val="TableParagraph"/>
              <w:spacing w:before="1"/>
              <w:ind w:left="32"/>
              <w:rPr>
                <w:rFonts w:ascii="Times New Roman"/>
                <w:sz w:val="17"/>
              </w:rPr>
            </w:pPr>
            <w:r>
              <w:rPr>
                <w:rFonts w:ascii="Times New Roman"/>
                <w:w w:val="105"/>
                <w:sz w:val="17"/>
              </w:rPr>
              <w:t>Total assets at period-end</w:t>
            </w:r>
          </w:p>
        </w:tc>
        <w:tc>
          <w:tcPr>
            <w:tcW w:w="1622" w:type="dxa"/>
          </w:tcPr>
          <w:p>
            <w:pPr>
              <w:pStyle w:val="TableParagraph"/>
              <w:spacing w:before="1"/>
              <w:ind w:right="422"/>
              <w:jc w:val="right"/>
              <w:rPr>
                <w:rFonts w:ascii="Times New Roman"/>
                <w:sz w:val="17"/>
              </w:rPr>
            </w:pPr>
            <w:r>
              <w:rPr>
                <w:rFonts w:ascii="Times New Roman"/>
                <w:sz w:val="17"/>
              </w:rPr>
              <w:t>$9,878</w:t>
            </w:r>
          </w:p>
        </w:tc>
        <w:tc>
          <w:tcPr>
            <w:tcW w:w="1332" w:type="dxa"/>
          </w:tcPr>
          <w:p>
            <w:pPr>
              <w:pStyle w:val="TableParagraph"/>
              <w:spacing w:before="1"/>
              <w:ind w:right="419"/>
              <w:jc w:val="right"/>
              <w:rPr>
                <w:rFonts w:ascii="Times New Roman"/>
                <w:sz w:val="17"/>
              </w:rPr>
            </w:pPr>
            <w:r>
              <w:rPr>
                <w:rFonts w:ascii="Times New Roman"/>
                <w:sz w:val="17"/>
              </w:rPr>
              <w:t>$8,954</w:t>
            </w:r>
          </w:p>
        </w:tc>
        <w:tc>
          <w:tcPr>
            <w:tcW w:w="1313" w:type="dxa"/>
          </w:tcPr>
          <w:p>
            <w:pPr>
              <w:pStyle w:val="TableParagraph"/>
              <w:spacing w:before="1"/>
              <w:ind w:right="402"/>
              <w:jc w:val="right"/>
              <w:rPr>
                <w:rFonts w:ascii="Times New Roman"/>
                <w:sz w:val="17"/>
              </w:rPr>
            </w:pPr>
            <w:r>
              <w:rPr>
                <w:rFonts w:ascii="Times New Roman"/>
                <w:sz w:val="17"/>
              </w:rPr>
              <w:t>$8,997</w:t>
            </w:r>
          </w:p>
        </w:tc>
        <w:tc>
          <w:tcPr>
            <w:tcW w:w="1296" w:type="dxa"/>
          </w:tcPr>
          <w:p>
            <w:pPr>
              <w:pStyle w:val="TableParagraph"/>
              <w:spacing w:before="1"/>
              <w:ind w:right="403"/>
              <w:jc w:val="right"/>
              <w:rPr>
                <w:rFonts w:ascii="Times New Roman"/>
                <w:sz w:val="17"/>
              </w:rPr>
            </w:pPr>
            <w:r>
              <w:rPr>
                <w:rFonts w:ascii="Times New Roman"/>
                <w:sz w:val="17"/>
              </w:rPr>
              <w:t>$6,670</w:t>
            </w:r>
          </w:p>
        </w:tc>
        <w:tc>
          <w:tcPr>
            <w:tcW w:w="926" w:type="dxa"/>
          </w:tcPr>
          <w:p>
            <w:pPr>
              <w:pStyle w:val="TableParagraph"/>
              <w:ind w:right="33"/>
              <w:jc w:val="right"/>
              <w:rPr>
                <w:rFonts w:ascii="Times New Roman"/>
                <w:sz w:val="17"/>
              </w:rPr>
            </w:pPr>
            <w:r>
              <w:rPr>
                <w:rFonts w:ascii="Times New Roman"/>
                <w:sz w:val="17"/>
              </w:rPr>
              <w:t>$5,654</w:t>
            </w:r>
          </w:p>
        </w:tc>
      </w:tr>
      <w:tr>
        <w:trPr>
          <w:trHeight w:val="218" w:hRule="exact"/>
        </w:trPr>
        <w:tc>
          <w:tcPr>
            <w:tcW w:w="3323" w:type="dxa"/>
          </w:tcPr>
          <w:p>
            <w:pPr>
              <w:pStyle w:val="TableParagraph"/>
              <w:spacing w:before="1"/>
              <w:ind w:left="32"/>
              <w:rPr>
                <w:rFonts w:ascii="Times New Roman"/>
                <w:sz w:val="17"/>
              </w:rPr>
            </w:pPr>
            <w:r>
              <w:rPr>
                <w:rFonts w:ascii="Times New Roman"/>
                <w:w w:val="105"/>
                <w:sz w:val="17"/>
              </w:rPr>
              <w:t>Long-term obligations at period-end</w:t>
            </w:r>
          </w:p>
        </w:tc>
        <w:tc>
          <w:tcPr>
            <w:tcW w:w="1622" w:type="dxa"/>
          </w:tcPr>
          <w:p>
            <w:pPr>
              <w:pStyle w:val="TableParagraph"/>
              <w:spacing w:before="1"/>
              <w:ind w:right="422"/>
              <w:jc w:val="right"/>
              <w:rPr>
                <w:rFonts w:ascii="Times New Roman"/>
                <w:sz w:val="17"/>
              </w:rPr>
            </w:pPr>
            <w:r>
              <w:rPr>
                <w:rFonts w:ascii="Times New Roman"/>
                <w:sz w:val="17"/>
              </w:rPr>
              <w:t>$1,332</w:t>
            </w:r>
          </w:p>
        </w:tc>
        <w:tc>
          <w:tcPr>
            <w:tcW w:w="1332" w:type="dxa"/>
          </w:tcPr>
          <w:p>
            <w:pPr>
              <w:pStyle w:val="TableParagraph"/>
              <w:spacing w:before="1"/>
              <w:ind w:right="419"/>
              <w:jc w:val="right"/>
              <w:rPr>
                <w:rFonts w:ascii="Times New Roman"/>
                <w:sz w:val="17"/>
              </w:rPr>
            </w:pPr>
            <w:r>
              <w:rPr>
                <w:rFonts w:ascii="Times New Roman"/>
                <w:sz w:val="17"/>
              </w:rPr>
              <w:t>$1,553</w:t>
            </w:r>
          </w:p>
        </w:tc>
        <w:tc>
          <w:tcPr>
            <w:tcW w:w="1313" w:type="dxa"/>
          </w:tcPr>
          <w:p>
            <w:pPr>
              <w:pStyle w:val="TableParagraph"/>
              <w:spacing w:before="1"/>
              <w:ind w:right="402"/>
              <w:jc w:val="right"/>
              <w:rPr>
                <w:rFonts w:ascii="Times New Roman"/>
                <w:sz w:val="17"/>
              </w:rPr>
            </w:pPr>
            <w:r>
              <w:rPr>
                <w:rFonts w:ascii="Times New Roman"/>
                <w:sz w:val="17"/>
              </w:rPr>
              <w:t>$1,327</w:t>
            </w:r>
          </w:p>
        </w:tc>
        <w:tc>
          <w:tcPr>
            <w:tcW w:w="1296" w:type="dxa"/>
          </w:tcPr>
          <w:p>
            <w:pPr>
              <w:pStyle w:val="TableParagraph"/>
              <w:spacing w:before="1"/>
              <w:ind w:right="401"/>
              <w:jc w:val="right"/>
              <w:rPr>
                <w:rFonts w:ascii="Times New Roman"/>
                <w:sz w:val="17"/>
              </w:rPr>
            </w:pPr>
            <w:r>
              <w:rPr>
                <w:rFonts w:ascii="Times New Roman"/>
                <w:sz w:val="17"/>
              </w:rPr>
              <w:t>$761</w:t>
            </w:r>
          </w:p>
        </w:tc>
        <w:tc>
          <w:tcPr>
            <w:tcW w:w="926" w:type="dxa"/>
          </w:tcPr>
          <w:p>
            <w:pPr>
              <w:pStyle w:val="TableParagraph"/>
              <w:ind w:right="32"/>
              <w:jc w:val="right"/>
              <w:rPr>
                <w:rFonts w:ascii="Times New Roman"/>
                <w:sz w:val="17"/>
              </w:rPr>
            </w:pPr>
            <w:r>
              <w:rPr>
                <w:rFonts w:ascii="Times New Roman"/>
                <w:sz w:val="17"/>
              </w:rPr>
              <w:t>$872</w:t>
            </w:r>
          </w:p>
        </w:tc>
      </w:tr>
      <w:tr>
        <w:trPr>
          <w:trHeight w:val="231" w:hRule="exact"/>
        </w:trPr>
        <w:tc>
          <w:tcPr>
            <w:tcW w:w="3323" w:type="dxa"/>
          </w:tcPr>
          <w:p>
            <w:pPr>
              <w:pStyle w:val="TableParagraph"/>
              <w:spacing w:line="194" w:lineRule="exact"/>
              <w:ind w:left="32"/>
              <w:rPr>
                <w:rFonts w:ascii="Times New Roman"/>
                <w:sz w:val="17"/>
              </w:rPr>
            </w:pPr>
            <w:r>
              <w:rPr>
                <w:rFonts w:ascii="Times New Roman"/>
                <w:w w:val="105"/>
                <w:sz w:val="17"/>
              </w:rPr>
              <w:t>Stockholders' equity at period-end</w:t>
            </w:r>
          </w:p>
        </w:tc>
        <w:tc>
          <w:tcPr>
            <w:tcW w:w="1622" w:type="dxa"/>
          </w:tcPr>
          <w:p>
            <w:pPr>
              <w:pStyle w:val="TableParagraph"/>
              <w:spacing w:line="194" w:lineRule="exact"/>
              <w:ind w:right="422"/>
              <w:jc w:val="right"/>
              <w:rPr>
                <w:rFonts w:ascii="Times New Roman"/>
                <w:sz w:val="17"/>
              </w:rPr>
            </w:pPr>
            <w:r>
              <w:rPr>
                <w:rFonts w:ascii="Times New Roman"/>
                <w:sz w:val="17"/>
              </w:rPr>
              <w:t>$5,052</w:t>
            </w:r>
          </w:p>
        </w:tc>
        <w:tc>
          <w:tcPr>
            <w:tcW w:w="1332" w:type="dxa"/>
          </w:tcPr>
          <w:p>
            <w:pPr>
              <w:pStyle w:val="TableParagraph"/>
              <w:spacing w:line="194" w:lineRule="exact"/>
              <w:ind w:right="419"/>
              <w:jc w:val="right"/>
              <w:rPr>
                <w:rFonts w:ascii="Times New Roman"/>
                <w:sz w:val="17"/>
              </w:rPr>
            </w:pPr>
            <w:r>
              <w:rPr>
                <w:rFonts w:ascii="Times New Roman"/>
                <w:sz w:val="17"/>
              </w:rPr>
              <w:t>$4,422</w:t>
            </w:r>
          </w:p>
        </w:tc>
        <w:tc>
          <w:tcPr>
            <w:tcW w:w="1313" w:type="dxa"/>
          </w:tcPr>
          <w:p>
            <w:pPr>
              <w:pStyle w:val="TableParagraph"/>
              <w:spacing w:line="194" w:lineRule="exact"/>
              <w:ind w:right="402"/>
              <w:jc w:val="right"/>
              <w:rPr>
                <w:rFonts w:ascii="Times New Roman"/>
                <w:sz w:val="17"/>
              </w:rPr>
            </w:pPr>
            <w:r>
              <w:rPr>
                <w:rFonts w:ascii="Times New Roman"/>
                <w:sz w:val="17"/>
              </w:rPr>
              <w:t>$4,014</w:t>
            </w:r>
          </w:p>
        </w:tc>
        <w:tc>
          <w:tcPr>
            <w:tcW w:w="1296" w:type="dxa"/>
          </w:tcPr>
          <w:p>
            <w:pPr>
              <w:pStyle w:val="TableParagraph"/>
              <w:spacing w:line="194" w:lineRule="exact"/>
              <w:ind w:right="403"/>
              <w:jc w:val="right"/>
              <w:rPr>
                <w:rFonts w:ascii="Times New Roman"/>
                <w:sz w:val="17"/>
              </w:rPr>
            </w:pPr>
            <w:r>
              <w:rPr>
                <w:rFonts w:ascii="Times New Roman"/>
                <w:sz w:val="17"/>
              </w:rPr>
              <w:t>$3,451</w:t>
            </w:r>
          </w:p>
        </w:tc>
        <w:tc>
          <w:tcPr>
            <w:tcW w:w="926" w:type="dxa"/>
          </w:tcPr>
          <w:p>
            <w:pPr>
              <w:pStyle w:val="TableParagraph"/>
              <w:spacing w:line="194" w:lineRule="exact"/>
              <w:ind w:right="33"/>
              <w:jc w:val="right"/>
              <w:rPr>
                <w:rFonts w:ascii="Times New Roman"/>
                <w:sz w:val="17"/>
              </w:rPr>
            </w:pPr>
            <w:r>
              <w:rPr>
                <w:rFonts w:ascii="Times New Roman"/>
                <w:sz w:val="17"/>
              </w:rPr>
              <w:t>$2,836</w:t>
            </w:r>
          </w:p>
        </w:tc>
      </w:tr>
    </w:tbl>
    <w:p>
      <w:pPr>
        <w:spacing w:before="209" w:after="11"/>
        <w:ind w:left="100" w:right="0" w:firstLine="0"/>
        <w:jc w:val="left"/>
        <w:rPr>
          <w:b/>
          <w:sz w:val="17"/>
        </w:rPr>
      </w:pPr>
      <w:r>
        <w:rPr>
          <w:b/>
          <w:w w:val="105"/>
          <w:sz w:val="17"/>
        </w:rPr>
        <w:t>Operating Data:</w:t>
      </w:r>
    </w:p>
    <w:tbl>
      <w:tblPr>
        <w:tblW w:w="0" w:type="auto"/>
        <w:jc w:val="left"/>
        <w:tblInd w:w="20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481"/>
        <w:gridCol w:w="1308"/>
        <w:gridCol w:w="1332"/>
        <w:gridCol w:w="1313"/>
        <w:gridCol w:w="1296"/>
        <w:gridCol w:w="1082"/>
      </w:tblGrid>
      <w:tr>
        <w:trPr>
          <w:trHeight w:val="233" w:hRule="exact"/>
        </w:trPr>
        <w:tc>
          <w:tcPr>
            <w:tcW w:w="3481" w:type="dxa"/>
          </w:tcPr>
          <w:p>
            <w:pPr>
              <w:pStyle w:val="TableParagraph"/>
              <w:spacing w:before="13"/>
              <w:ind w:left="32"/>
              <w:rPr>
                <w:rFonts w:ascii="Times New Roman"/>
                <w:sz w:val="17"/>
              </w:rPr>
            </w:pPr>
            <w:r>
              <w:rPr>
                <w:rFonts w:ascii="Times New Roman"/>
                <w:w w:val="105"/>
                <w:sz w:val="17"/>
              </w:rPr>
              <w:t>Revenue passengers carried</w:t>
            </w:r>
          </w:p>
        </w:tc>
        <w:tc>
          <w:tcPr>
            <w:tcW w:w="1308" w:type="dxa"/>
          </w:tcPr>
          <w:p>
            <w:pPr>
              <w:pStyle w:val="TableParagraph"/>
              <w:spacing w:before="13"/>
              <w:ind w:right="267"/>
              <w:jc w:val="right"/>
              <w:rPr>
                <w:rFonts w:ascii="Times New Roman"/>
                <w:sz w:val="17"/>
              </w:rPr>
            </w:pPr>
            <w:r>
              <w:rPr>
                <w:rFonts w:ascii="Times New Roman"/>
                <w:sz w:val="17"/>
              </w:rPr>
              <w:t>65,673,945</w:t>
            </w:r>
          </w:p>
        </w:tc>
        <w:tc>
          <w:tcPr>
            <w:tcW w:w="1332" w:type="dxa"/>
          </w:tcPr>
          <w:p>
            <w:pPr>
              <w:pStyle w:val="TableParagraph"/>
              <w:spacing w:before="13"/>
              <w:ind w:right="266"/>
              <w:jc w:val="right"/>
              <w:rPr>
                <w:rFonts w:ascii="Times New Roman"/>
                <w:sz w:val="17"/>
              </w:rPr>
            </w:pPr>
            <w:r>
              <w:rPr>
                <w:rFonts w:ascii="Times New Roman"/>
                <w:sz w:val="17"/>
              </w:rPr>
              <w:t>63,045,988</w:t>
            </w:r>
          </w:p>
        </w:tc>
        <w:tc>
          <w:tcPr>
            <w:tcW w:w="1313" w:type="dxa"/>
          </w:tcPr>
          <w:p>
            <w:pPr>
              <w:pStyle w:val="TableParagraph"/>
              <w:spacing w:before="13"/>
              <w:ind w:right="248"/>
              <w:jc w:val="right"/>
              <w:rPr>
                <w:rFonts w:ascii="Times New Roman"/>
                <w:sz w:val="17"/>
              </w:rPr>
            </w:pPr>
            <w:r>
              <w:rPr>
                <w:rFonts w:ascii="Times New Roman"/>
                <w:w w:val="105"/>
                <w:sz w:val="17"/>
              </w:rPr>
              <w:t>64,446,773</w:t>
            </w:r>
          </w:p>
        </w:tc>
        <w:tc>
          <w:tcPr>
            <w:tcW w:w="1296" w:type="dxa"/>
          </w:tcPr>
          <w:p>
            <w:pPr>
              <w:pStyle w:val="TableParagraph"/>
              <w:spacing w:before="13"/>
              <w:ind w:right="248"/>
              <w:jc w:val="right"/>
              <w:rPr>
                <w:rFonts w:ascii="Times New Roman"/>
                <w:sz w:val="17"/>
              </w:rPr>
            </w:pPr>
            <w:r>
              <w:rPr>
                <w:rFonts w:ascii="Times New Roman"/>
                <w:sz w:val="17"/>
              </w:rPr>
              <w:t>63,678,261</w:t>
            </w:r>
          </w:p>
        </w:tc>
        <w:tc>
          <w:tcPr>
            <w:tcW w:w="1082" w:type="dxa"/>
          </w:tcPr>
          <w:p>
            <w:pPr>
              <w:pStyle w:val="TableParagraph"/>
              <w:spacing w:before="13"/>
              <w:ind w:right="34"/>
              <w:jc w:val="right"/>
              <w:rPr>
                <w:rFonts w:ascii="Times New Roman"/>
                <w:sz w:val="17"/>
              </w:rPr>
            </w:pPr>
            <w:r>
              <w:rPr>
                <w:rFonts w:ascii="Times New Roman"/>
                <w:sz w:val="17"/>
              </w:rPr>
              <w:t>57,500,213</w:t>
            </w:r>
          </w:p>
        </w:tc>
      </w:tr>
      <w:tr>
        <w:trPr>
          <w:trHeight w:val="221" w:hRule="exact"/>
        </w:trPr>
        <w:tc>
          <w:tcPr>
            <w:tcW w:w="3481" w:type="dxa"/>
          </w:tcPr>
          <w:p>
            <w:pPr>
              <w:pStyle w:val="TableParagraph"/>
              <w:spacing w:before="1"/>
              <w:ind w:left="32"/>
              <w:rPr>
                <w:rFonts w:ascii="Times New Roman"/>
                <w:sz w:val="17"/>
              </w:rPr>
            </w:pPr>
            <w:r>
              <w:rPr>
                <w:rFonts w:ascii="Times New Roman"/>
                <w:w w:val="105"/>
                <w:sz w:val="17"/>
              </w:rPr>
              <w:t>Revenue passenger miles (RPMs) (000s)</w:t>
            </w:r>
          </w:p>
        </w:tc>
        <w:tc>
          <w:tcPr>
            <w:tcW w:w="1308" w:type="dxa"/>
          </w:tcPr>
          <w:p>
            <w:pPr>
              <w:pStyle w:val="TableParagraph"/>
              <w:spacing w:before="1"/>
              <w:ind w:right="267"/>
              <w:jc w:val="right"/>
              <w:rPr>
                <w:rFonts w:ascii="Times New Roman"/>
                <w:sz w:val="17"/>
              </w:rPr>
            </w:pPr>
            <w:r>
              <w:rPr>
                <w:rFonts w:ascii="Times New Roman"/>
                <w:sz w:val="17"/>
              </w:rPr>
              <w:t>47,943,066</w:t>
            </w:r>
          </w:p>
        </w:tc>
        <w:tc>
          <w:tcPr>
            <w:tcW w:w="1332" w:type="dxa"/>
          </w:tcPr>
          <w:p>
            <w:pPr>
              <w:pStyle w:val="TableParagraph"/>
              <w:spacing w:before="1"/>
              <w:ind w:right="266"/>
              <w:jc w:val="right"/>
              <w:rPr>
                <w:rFonts w:ascii="Times New Roman"/>
                <w:sz w:val="17"/>
              </w:rPr>
            </w:pPr>
            <w:r>
              <w:rPr>
                <w:rFonts w:ascii="Times New Roman"/>
                <w:sz w:val="17"/>
              </w:rPr>
              <w:t>45,391,903</w:t>
            </w:r>
          </w:p>
        </w:tc>
        <w:tc>
          <w:tcPr>
            <w:tcW w:w="1313" w:type="dxa"/>
          </w:tcPr>
          <w:p>
            <w:pPr>
              <w:pStyle w:val="TableParagraph"/>
              <w:spacing w:before="1"/>
              <w:ind w:right="248"/>
              <w:jc w:val="right"/>
              <w:rPr>
                <w:rFonts w:ascii="Times New Roman"/>
                <w:sz w:val="17"/>
              </w:rPr>
            </w:pPr>
            <w:r>
              <w:rPr>
                <w:rFonts w:ascii="Times New Roman"/>
                <w:w w:val="105"/>
                <w:sz w:val="17"/>
              </w:rPr>
              <w:t>44,493,916</w:t>
            </w:r>
          </w:p>
        </w:tc>
        <w:tc>
          <w:tcPr>
            <w:tcW w:w="1296" w:type="dxa"/>
          </w:tcPr>
          <w:p>
            <w:pPr>
              <w:pStyle w:val="TableParagraph"/>
              <w:spacing w:before="1"/>
              <w:ind w:right="248"/>
              <w:jc w:val="right"/>
              <w:rPr>
                <w:rFonts w:ascii="Times New Roman"/>
                <w:sz w:val="17"/>
              </w:rPr>
            </w:pPr>
            <w:r>
              <w:rPr>
                <w:rFonts w:ascii="Times New Roman"/>
                <w:sz w:val="17"/>
              </w:rPr>
              <w:t>42,215,162</w:t>
            </w:r>
          </w:p>
        </w:tc>
        <w:tc>
          <w:tcPr>
            <w:tcW w:w="1082" w:type="dxa"/>
          </w:tcPr>
          <w:p>
            <w:pPr>
              <w:pStyle w:val="TableParagraph"/>
              <w:ind w:right="34"/>
              <w:jc w:val="right"/>
              <w:rPr>
                <w:rFonts w:ascii="Times New Roman"/>
                <w:sz w:val="17"/>
              </w:rPr>
            </w:pPr>
            <w:r>
              <w:rPr>
                <w:rFonts w:ascii="Times New Roman"/>
                <w:sz w:val="17"/>
              </w:rPr>
              <w:t>36,479,322</w:t>
            </w:r>
          </w:p>
        </w:tc>
      </w:tr>
      <w:tr>
        <w:trPr>
          <w:trHeight w:val="218" w:hRule="exact"/>
        </w:trPr>
        <w:tc>
          <w:tcPr>
            <w:tcW w:w="3481" w:type="dxa"/>
          </w:tcPr>
          <w:p>
            <w:pPr>
              <w:pStyle w:val="TableParagraph"/>
              <w:spacing w:before="1"/>
              <w:ind w:left="32"/>
              <w:rPr>
                <w:rFonts w:ascii="Times New Roman"/>
                <w:sz w:val="17"/>
              </w:rPr>
            </w:pPr>
            <w:r>
              <w:rPr>
                <w:rFonts w:ascii="Times New Roman"/>
                <w:w w:val="105"/>
                <w:sz w:val="17"/>
              </w:rPr>
              <w:t>Available seat miles (ASMs) (000s)</w:t>
            </w:r>
          </w:p>
        </w:tc>
        <w:tc>
          <w:tcPr>
            <w:tcW w:w="1308" w:type="dxa"/>
          </w:tcPr>
          <w:p>
            <w:pPr>
              <w:pStyle w:val="TableParagraph"/>
              <w:spacing w:before="1"/>
              <w:ind w:right="267"/>
              <w:jc w:val="right"/>
              <w:rPr>
                <w:rFonts w:ascii="Times New Roman"/>
                <w:sz w:val="17"/>
              </w:rPr>
            </w:pPr>
            <w:r>
              <w:rPr>
                <w:rFonts w:ascii="Times New Roman"/>
                <w:sz w:val="17"/>
              </w:rPr>
              <w:t>71,790,425</w:t>
            </w:r>
          </w:p>
        </w:tc>
        <w:tc>
          <w:tcPr>
            <w:tcW w:w="1332" w:type="dxa"/>
          </w:tcPr>
          <w:p>
            <w:pPr>
              <w:pStyle w:val="TableParagraph"/>
              <w:spacing w:before="1"/>
              <w:ind w:right="266"/>
              <w:jc w:val="right"/>
              <w:rPr>
                <w:rFonts w:ascii="Times New Roman"/>
                <w:sz w:val="17"/>
              </w:rPr>
            </w:pPr>
            <w:r>
              <w:rPr>
                <w:rFonts w:ascii="Times New Roman"/>
                <w:sz w:val="17"/>
              </w:rPr>
              <w:t>68,886,546</w:t>
            </w:r>
          </w:p>
        </w:tc>
        <w:tc>
          <w:tcPr>
            <w:tcW w:w="1313" w:type="dxa"/>
          </w:tcPr>
          <w:p>
            <w:pPr>
              <w:pStyle w:val="TableParagraph"/>
              <w:spacing w:before="1"/>
              <w:ind w:right="248"/>
              <w:jc w:val="right"/>
              <w:rPr>
                <w:rFonts w:ascii="Times New Roman"/>
                <w:sz w:val="17"/>
              </w:rPr>
            </w:pPr>
            <w:r>
              <w:rPr>
                <w:rFonts w:ascii="Times New Roman"/>
                <w:sz w:val="17"/>
              </w:rPr>
              <w:t>65,295,290</w:t>
            </w:r>
          </w:p>
        </w:tc>
        <w:tc>
          <w:tcPr>
            <w:tcW w:w="1296" w:type="dxa"/>
          </w:tcPr>
          <w:p>
            <w:pPr>
              <w:pStyle w:val="TableParagraph"/>
              <w:spacing w:before="1"/>
              <w:ind w:right="248"/>
              <w:jc w:val="right"/>
              <w:rPr>
                <w:rFonts w:ascii="Times New Roman"/>
                <w:sz w:val="17"/>
              </w:rPr>
            </w:pPr>
            <w:r>
              <w:rPr>
                <w:rFonts w:ascii="Times New Roman"/>
                <w:sz w:val="17"/>
              </w:rPr>
              <w:t>59,909,965</w:t>
            </w:r>
          </w:p>
        </w:tc>
        <w:tc>
          <w:tcPr>
            <w:tcW w:w="1082" w:type="dxa"/>
          </w:tcPr>
          <w:p>
            <w:pPr>
              <w:pStyle w:val="TableParagraph"/>
              <w:ind w:right="34"/>
              <w:jc w:val="right"/>
              <w:rPr>
                <w:rFonts w:ascii="Times New Roman"/>
                <w:sz w:val="17"/>
              </w:rPr>
            </w:pPr>
            <w:r>
              <w:rPr>
                <w:rFonts w:ascii="Times New Roman"/>
                <w:sz w:val="17"/>
              </w:rPr>
              <w:t>52,855,467</w:t>
            </w:r>
          </w:p>
        </w:tc>
      </w:tr>
      <w:tr>
        <w:trPr>
          <w:trHeight w:val="219" w:hRule="exact"/>
        </w:trPr>
        <w:tc>
          <w:tcPr>
            <w:tcW w:w="3481" w:type="dxa"/>
          </w:tcPr>
          <w:p>
            <w:pPr>
              <w:pStyle w:val="TableParagraph"/>
              <w:spacing w:line="195" w:lineRule="exact"/>
              <w:ind w:left="32"/>
              <w:rPr>
                <w:rFonts w:ascii="Times New Roman"/>
                <w:sz w:val="10"/>
              </w:rPr>
            </w:pPr>
            <w:r>
              <w:rPr>
                <w:rFonts w:ascii="Times New Roman"/>
                <w:w w:val="105"/>
                <w:sz w:val="17"/>
              </w:rPr>
              <w:t>Load factor </w:t>
            </w:r>
            <w:r>
              <w:rPr>
                <w:rFonts w:ascii="Times New Roman"/>
                <w:w w:val="105"/>
                <w:position w:val="7"/>
                <w:sz w:val="10"/>
              </w:rPr>
              <w:t>(1)</w:t>
            </w:r>
          </w:p>
        </w:tc>
        <w:tc>
          <w:tcPr>
            <w:tcW w:w="1308" w:type="dxa"/>
          </w:tcPr>
          <w:p>
            <w:pPr>
              <w:pStyle w:val="TableParagraph"/>
              <w:spacing w:line="195" w:lineRule="exact"/>
              <w:ind w:right="267"/>
              <w:jc w:val="right"/>
              <w:rPr>
                <w:rFonts w:ascii="Times New Roman"/>
                <w:sz w:val="17"/>
              </w:rPr>
            </w:pPr>
            <w:r>
              <w:rPr>
                <w:rFonts w:ascii="Times New Roman"/>
                <w:sz w:val="17"/>
              </w:rPr>
              <w:t>66.8%</w:t>
            </w:r>
          </w:p>
        </w:tc>
        <w:tc>
          <w:tcPr>
            <w:tcW w:w="1332" w:type="dxa"/>
          </w:tcPr>
          <w:p>
            <w:pPr>
              <w:pStyle w:val="TableParagraph"/>
              <w:spacing w:line="195" w:lineRule="exact"/>
              <w:ind w:right="264"/>
              <w:jc w:val="right"/>
              <w:rPr>
                <w:rFonts w:ascii="Times New Roman"/>
                <w:sz w:val="17"/>
              </w:rPr>
            </w:pPr>
            <w:r>
              <w:rPr>
                <w:rFonts w:ascii="Times New Roman"/>
                <w:sz w:val="17"/>
              </w:rPr>
              <w:t>65.9%</w:t>
            </w:r>
          </w:p>
        </w:tc>
        <w:tc>
          <w:tcPr>
            <w:tcW w:w="1313" w:type="dxa"/>
          </w:tcPr>
          <w:p>
            <w:pPr>
              <w:pStyle w:val="TableParagraph"/>
              <w:spacing w:line="195" w:lineRule="exact"/>
              <w:ind w:right="247"/>
              <w:jc w:val="right"/>
              <w:rPr>
                <w:rFonts w:ascii="Times New Roman"/>
                <w:sz w:val="17"/>
              </w:rPr>
            </w:pPr>
            <w:r>
              <w:rPr>
                <w:rFonts w:ascii="Times New Roman"/>
                <w:sz w:val="17"/>
              </w:rPr>
              <w:t>68.1%</w:t>
            </w:r>
          </w:p>
        </w:tc>
        <w:tc>
          <w:tcPr>
            <w:tcW w:w="1296" w:type="dxa"/>
          </w:tcPr>
          <w:p>
            <w:pPr>
              <w:pStyle w:val="TableParagraph"/>
              <w:spacing w:line="195" w:lineRule="exact"/>
              <w:ind w:right="247"/>
              <w:jc w:val="right"/>
              <w:rPr>
                <w:rFonts w:ascii="Times New Roman"/>
                <w:sz w:val="17"/>
              </w:rPr>
            </w:pPr>
            <w:r>
              <w:rPr>
                <w:rFonts w:ascii="Times New Roman"/>
                <w:sz w:val="17"/>
              </w:rPr>
              <w:t>70.5%</w:t>
            </w:r>
          </w:p>
        </w:tc>
        <w:tc>
          <w:tcPr>
            <w:tcW w:w="1082" w:type="dxa"/>
          </w:tcPr>
          <w:p>
            <w:pPr>
              <w:pStyle w:val="TableParagraph"/>
              <w:spacing w:line="195" w:lineRule="exact"/>
              <w:ind w:right="34"/>
              <w:jc w:val="right"/>
              <w:rPr>
                <w:rFonts w:ascii="Times New Roman"/>
                <w:sz w:val="17"/>
              </w:rPr>
            </w:pPr>
            <w:r>
              <w:rPr>
                <w:rFonts w:ascii="Times New Roman"/>
                <w:sz w:val="17"/>
              </w:rPr>
              <w:t>69.0%</w:t>
            </w:r>
          </w:p>
        </w:tc>
      </w:tr>
      <w:tr>
        <w:trPr>
          <w:trHeight w:val="221" w:hRule="exact"/>
        </w:trPr>
        <w:tc>
          <w:tcPr>
            <w:tcW w:w="3481" w:type="dxa"/>
          </w:tcPr>
          <w:p>
            <w:pPr>
              <w:pStyle w:val="TableParagraph"/>
              <w:spacing w:before="1"/>
              <w:ind w:left="32"/>
              <w:rPr>
                <w:rFonts w:ascii="Times New Roman"/>
                <w:sz w:val="17"/>
              </w:rPr>
            </w:pPr>
            <w:r>
              <w:rPr>
                <w:rFonts w:ascii="Times New Roman"/>
                <w:w w:val="105"/>
                <w:sz w:val="17"/>
              </w:rPr>
              <w:t>Average length of passenger haul (miles)</w:t>
            </w:r>
          </w:p>
        </w:tc>
        <w:tc>
          <w:tcPr>
            <w:tcW w:w="1308" w:type="dxa"/>
          </w:tcPr>
          <w:p>
            <w:pPr>
              <w:pStyle w:val="TableParagraph"/>
              <w:spacing w:before="1"/>
              <w:ind w:right="267"/>
              <w:jc w:val="right"/>
              <w:rPr>
                <w:rFonts w:ascii="Times New Roman"/>
                <w:sz w:val="17"/>
              </w:rPr>
            </w:pPr>
            <w:r>
              <w:rPr>
                <w:rFonts w:ascii="Times New Roman"/>
                <w:sz w:val="17"/>
              </w:rPr>
              <w:t>730</w:t>
            </w:r>
          </w:p>
        </w:tc>
        <w:tc>
          <w:tcPr>
            <w:tcW w:w="1332" w:type="dxa"/>
          </w:tcPr>
          <w:p>
            <w:pPr>
              <w:pStyle w:val="TableParagraph"/>
              <w:spacing w:before="1"/>
              <w:ind w:right="266"/>
              <w:jc w:val="right"/>
              <w:rPr>
                <w:rFonts w:ascii="Times New Roman"/>
                <w:sz w:val="17"/>
              </w:rPr>
            </w:pPr>
            <w:r>
              <w:rPr>
                <w:rFonts w:ascii="Times New Roman"/>
                <w:w w:val="105"/>
                <w:sz w:val="17"/>
              </w:rPr>
              <w:t>720</w:t>
            </w:r>
          </w:p>
        </w:tc>
        <w:tc>
          <w:tcPr>
            <w:tcW w:w="1313" w:type="dxa"/>
          </w:tcPr>
          <w:p>
            <w:pPr>
              <w:pStyle w:val="TableParagraph"/>
              <w:spacing w:before="1"/>
              <w:ind w:right="248"/>
              <w:jc w:val="right"/>
              <w:rPr>
                <w:rFonts w:ascii="Times New Roman"/>
                <w:sz w:val="17"/>
              </w:rPr>
            </w:pPr>
            <w:r>
              <w:rPr>
                <w:rFonts w:ascii="Times New Roman"/>
                <w:w w:val="105"/>
                <w:sz w:val="17"/>
              </w:rPr>
              <w:t>690</w:t>
            </w:r>
          </w:p>
        </w:tc>
        <w:tc>
          <w:tcPr>
            <w:tcW w:w="1296" w:type="dxa"/>
          </w:tcPr>
          <w:p>
            <w:pPr>
              <w:pStyle w:val="TableParagraph"/>
              <w:spacing w:before="1"/>
              <w:ind w:right="248"/>
              <w:jc w:val="right"/>
              <w:rPr>
                <w:rFonts w:ascii="Times New Roman"/>
                <w:sz w:val="17"/>
              </w:rPr>
            </w:pPr>
            <w:r>
              <w:rPr>
                <w:rFonts w:ascii="Times New Roman"/>
                <w:sz w:val="17"/>
              </w:rPr>
              <w:t>663</w:t>
            </w:r>
          </w:p>
        </w:tc>
        <w:tc>
          <w:tcPr>
            <w:tcW w:w="1082" w:type="dxa"/>
          </w:tcPr>
          <w:p>
            <w:pPr>
              <w:pStyle w:val="TableParagraph"/>
              <w:ind w:right="34"/>
              <w:jc w:val="right"/>
              <w:rPr>
                <w:rFonts w:ascii="Times New Roman"/>
                <w:sz w:val="17"/>
              </w:rPr>
            </w:pPr>
            <w:r>
              <w:rPr>
                <w:rFonts w:ascii="Times New Roman"/>
                <w:w w:val="105"/>
                <w:sz w:val="17"/>
              </w:rPr>
              <w:t>634</w:t>
            </w:r>
          </w:p>
        </w:tc>
      </w:tr>
      <w:tr>
        <w:trPr>
          <w:trHeight w:val="221" w:hRule="exact"/>
        </w:trPr>
        <w:tc>
          <w:tcPr>
            <w:tcW w:w="3481" w:type="dxa"/>
          </w:tcPr>
          <w:p>
            <w:pPr>
              <w:pStyle w:val="TableParagraph"/>
              <w:spacing w:before="1"/>
              <w:ind w:left="32"/>
              <w:rPr>
                <w:rFonts w:ascii="Times New Roman"/>
                <w:sz w:val="17"/>
              </w:rPr>
            </w:pPr>
            <w:r>
              <w:rPr>
                <w:rFonts w:ascii="Times New Roman"/>
                <w:w w:val="105"/>
                <w:sz w:val="17"/>
              </w:rPr>
              <w:t>Trips flown</w:t>
            </w:r>
          </w:p>
        </w:tc>
        <w:tc>
          <w:tcPr>
            <w:tcW w:w="1308" w:type="dxa"/>
          </w:tcPr>
          <w:p>
            <w:pPr>
              <w:pStyle w:val="TableParagraph"/>
              <w:spacing w:before="1"/>
              <w:ind w:right="263"/>
              <w:jc w:val="right"/>
              <w:rPr>
                <w:rFonts w:ascii="Times New Roman"/>
                <w:sz w:val="17"/>
              </w:rPr>
            </w:pPr>
            <w:r>
              <w:rPr>
                <w:rFonts w:ascii="Times New Roman"/>
                <w:sz w:val="17"/>
              </w:rPr>
              <w:t>949,882</w:t>
            </w:r>
          </w:p>
        </w:tc>
        <w:tc>
          <w:tcPr>
            <w:tcW w:w="1332" w:type="dxa"/>
          </w:tcPr>
          <w:p>
            <w:pPr>
              <w:pStyle w:val="TableParagraph"/>
              <w:spacing w:before="1"/>
              <w:ind w:right="261"/>
              <w:jc w:val="right"/>
              <w:rPr>
                <w:rFonts w:ascii="Times New Roman"/>
                <w:sz w:val="17"/>
              </w:rPr>
            </w:pPr>
            <w:r>
              <w:rPr>
                <w:rFonts w:ascii="Times New Roman"/>
                <w:sz w:val="17"/>
              </w:rPr>
              <w:t>947,331</w:t>
            </w:r>
          </w:p>
        </w:tc>
        <w:tc>
          <w:tcPr>
            <w:tcW w:w="1313" w:type="dxa"/>
          </w:tcPr>
          <w:p>
            <w:pPr>
              <w:pStyle w:val="TableParagraph"/>
              <w:spacing w:before="1"/>
              <w:ind w:right="244"/>
              <w:jc w:val="right"/>
              <w:rPr>
                <w:rFonts w:ascii="Times New Roman"/>
                <w:sz w:val="17"/>
              </w:rPr>
            </w:pPr>
            <w:r>
              <w:rPr>
                <w:rFonts w:ascii="Times New Roman"/>
                <w:sz w:val="17"/>
              </w:rPr>
              <w:t>940,426</w:t>
            </w:r>
          </w:p>
        </w:tc>
        <w:tc>
          <w:tcPr>
            <w:tcW w:w="1296" w:type="dxa"/>
          </w:tcPr>
          <w:p>
            <w:pPr>
              <w:pStyle w:val="TableParagraph"/>
              <w:ind w:right="244"/>
              <w:jc w:val="right"/>
              <w:rPr>
                <w:rFonts w:ascii="Times New Roman"/>
                <w:sz w:val="17"/>
              </w:rPr>
            </w:pPr>
            <w:r>
              <w:rPr>
                <w:rFonts w:ascii="Times New Roman"/>
                <w:sz w:val="17"/>
              </w:rPr>
              <w:t>903,754</w:t>
            </w:r>
          </w:p>
        </w:tc>
        <w:tc>
          <w:tcPr>
            <w:tcW w:w="1082" w:type="dxa"/>
          </w:tcPr>
          <w:p>
            <w:pPr>
              <w:pStyle w:val="TableParagraph"/>
              <w:ind w:right="30"/>
              <w:jc w:val="right"/>
              <w:rPr>
                <w:rFonts w:ascii="Times New Roman"/>
                <w:sz w:val="17"/>
              </w:rPr>
            </w:pPr>
            <w:r>
              <w:rPr>
                <w:rFonts w:ascii="Times New Roman"/>
                <w:sz w:val="17"/>
              </w:rPr>
              <w:t>846,823</w:t>
            </w:r>
          </w:p>
        </w:tc>
      </w:tr>
      <w:tr>
        <w:trPr>
          <w:trHeight w:val="221" w:hRule="exact"/>
        </w:trPr>
        <w:tc>
          <w:tcPr>
            <w:tcW w:w="3481" w:type="dxa"/>
          </w:tcPr>
          <w:p>
            <w:pPr>
              <w:pStyle w:val="TableParagraph"/>
              <w:spacing w:before="1"/>
              <w:ind w:left="32"/>
              <w:rPr>
                <w:rFonts w:ascii="Times New Roman"/>
                <w:sz w:val="17"/>
              </w:rPr>
            </w:pPr>
            <w:r>
              <w:rPr>
                <w:rFonts w:ascii="Times New Roman"/>
                <w:w w:val="105"/>
                <w:sz w:val="17"/>
              </w:rPr>
              <w:t>Average passenger fare</w:t>
            </w:r>
          </w:p>
        </w:tc>
        <w:tc>
          <w:tcPr>
            <w:tcW w:w="1308" w:type="dxa"/>
          </w:tcPr>
          <w:p>
            <w:pPr>
              <w:pStyle w:val="TableParagraph"/>
              <w:spacing w:before="1"/>
              <w:ind w:right="266"/>
              <w:jc w:val="right"/>
              <w:rPr>
                <w:rFonts w:ascii="Times New Roman"/>
                <w:sz w:val="17"/>
              </w:rPr>
            </w:pPr>
            <w:r>
              <w:rPr>
                <w:rFonts w:ascii="Times New Roman"/>
                <w:sz w:val="17"/>
              </w:rPr>
              <w:t>$87.42</w:t>
            </w:r>
          </w:p>
        </w:tc>
        <w:tc>
          <w:tcPr>
            <w:tcW w:w="1332" w:type="dxa"/>
          </w:tcPr>
          <w:p>
            <w:pPr>
              <w:pStyle w:val="TableParagraph"/>
              <w:spacing w:before="1"/>
              <w:ind w:right="263"/>
              <w:jc w:val="right"/>
              <w:rPr>
                <w:rFonts w:ascii="Times New Roman"/>
                <w:sz w:val="17"/>
              </w:rPr>
            </w:pPr>
            <w:r>
              <w:rPr>
                <w:rFonts w:ascii="Times New Roman"/>
                <w:w w:val="105"/>
                <w:sz w:val="17"/>
              </w:rPr>
              <w:t>$84.72</w:t>
            </w:r>
          </w:p>
        </w:tc>
        <w:tc>
          <w:tcPr>
            <w:tcW w:w="1313" w:type="dxa"/>
          </w:tcPr>
          <w:p>
            <w:pPr>
              <w:pStyle w:val="TableParagraph"/>
              <w:spacing w:before="1"/>
              <w:ind w:right="248"/>
              <w:jc w:val="right"/>
              <w:rPr>
                <w:rFonts w:ascii="Times New Roman"/>
                <w:sz w:val="17"/>
              </w:rPr>
            </w:pPr>
            <w:r>
              <w:rPr>
                <w:rFonts w:ascii="Times New Roman"/>
                <w:sz w:val="17"/>
              </w:rPr>
              <w:t>$83.46</w:t>
            </w:r>
          </w:p>
        </w:tc>
        <w:tc>
          <w:tcPr>
            <w:tcW w:w="1296" w:type="dxa"/>
          </w:tcPr>
          <w:p>
            <w:pPr>
              <w:pStyle w:val="TableParagraph"/>
              <w:ind w:right="248"/>
              <w:jc w:val="right"/>
              <w:rPr>
                <w:rFonts w:ascii="Times New Roman"/>
                <w:sz w:val="17"/>
              </w:rPr>
            </w:pPr>
            <w:r>
              <w:rPr>
                <w:rFonts w:ascii="Times New Roman"/>
                <w:sz w:val="17"/>
              </w:rPr>
              <w:t>$85.87</w:t>
            </w:r>
          </w:p>
        </w:tc>
        <w:tc>
          <w:tcPr>
            <w:tcW w:w="1082" w:type="dxa"/>
          </w:tcPr>
          <w:p>
            <w:pPr>
              <w:pStyle w:val="TableParagraph"/>
              <w:ind w:right="33"/>
              <w:jc w:val="right"/>
              <w:rPr>
                <w:rFonts w:ascii="Times New Roman"/>
                <w:sz w:val="17"/>
              </w:rPr>
            </w:pPr>
            <w:r>
              <w:rPr>
                <w:rFonts w:ascii="Times New Roman"/>
                <w:w w:val="105"/>
                <w:sz w:val="17"/>
              </w:rPr>
              <w:t>$79.35</w:t>
            </w:r>
          </w:p>
        </w:tc>
      </w:tr>
      <w:tr>
        <w:trPr>
          <w:trHeight w:val="221" w:hRule="exact"/>
        </w:trPr>
        <w:tc>
          <w:tcPr>
            <w:tcW w:w="3481" w:type="dxa"/>
          </w:tcPr>
          <w:p>
            <w:pPr>
              <w:pStyle w:val="TableParagraph"/>
              <w:spacing w:before="1"/>
              <w:ind w:left="32"/>
              <w:rPr>
                <w:rFonts w:ascii="Times New Roman"/>
                <w:sz w:val="17"/>
              </w:rPr>
            </w:pPr>
            <w:r>
              <w:rPr>
                <w:rFonts w:ascii="Times New Roman"/>
                <w:w w:val="105"/>
                <w:sz w:val="17"/>
              </w:rPr>
              <w:t>Passenger revenue yield per RPM</w:t>
            </w:r>
          </w:p>
        </w:tc>
        <w:tc>
          <w:tcPr>
            <w:tcW w:w="1308" w:type="dxa"/>
          </w:tcPr>
          <w:p>
            <w:pPr>
              <w:pStyle w:val="TableParagraph"/>
              <w:spacing w:before="1"/>
              <w:ind w:right="266"/>
              <w:jc w:val="right"/>
              <w:rPr>
                <w:rFonts w:ascii="Times New Roman" w:hAnsi="Times New Roman"/>
                <w:sz w:val="17"/>
              </w:rPr>
            </w:pPr>
            <w:r>
              <w:rPr>
                <w:rFonts w:ascii="Times New Roman" w:hAnsi="Times New Roman"/>
                <w:sz w:val="17"/>
              </w:rPr>
              <w:t>11.97¢</w:t>
            </w:r>
          </w:p>
        </w:tc>
        <w:tc>
          <w:tcPr>
            <w:tcW w:w="1332" w:type="dxa"/>
          </w:tcPr>
          <w:p>
            <w:pPr>
              <w:pStyle w:val="TableParagraph"/>
              <w:spacing w:before="1"/>
              <w:ind w:right="263"/>
              <w:jc w:val="right"/>
              <w:rPr>
                <w:rFonts w:ascii="Times New Roman" w:hAnsi="Times New Roman"/>
                <w:sz w:val="17"/>
              </w:rPr>
            </w:pPr>
            <w:r>
              <w:rPr>
                <w:rFonts w:ascii="Times New Roman" w:hAnsi="Times New Roman"/>
                <w:sz w:val="17"/>
              </w:rPr>
              <w:t>11.77¢</w:t>
            </w:r>
          </w:p>
        </w:tc>
        <w:tc>
          <w:tcPr>
            <w:tcW w:w="1313" w:type="dxa"/>
          </w:tcPr>
          <w:p>
            <w:pPr>
              <w:pStyle w:val="TableParagraph"/>
              <w:spacing w:before="1"/>
              <w:ind w:right="248"/>
              <w:jc w:val="right"/>
              <w:rPr>
                <w:rFonts w:ascii="Times New Roman" w:hAnsi="Times New Roman"/>
                <w:sz w:val="17"/>
              </w:rPr>
            </w:pPr>
            <w:r>
              <w:rPr>
                <w:rFonts w:ascii="Times New Roman" w:hAnsi="Times New Roman"/>
                <w:sz w:val="17"/>
              </w:rPr>
              <w:t>12.09¢</w:t>
            </w:r>
          </w:p>
        </w:tc>
        <w:tc>
          <w:tcPr>
            <w:tcW w:w="1296" w:type="dxa"/>
          </w:tcPr>
          <w:p>
            <w:pPr>
              <w:pStyle w:val="TableParagraph"/>
              <w:ind w:right="248"/>
              <w:jc w:val="right"/>
              <w:rPr>
                <w:rFonts w:ascii="Times New Roman" w:hAnsi="Times New Roman"/>
                <w:sz w:val="17"/>
              </w:rPr>
            </w:pPr>
            <w:r>
              <w:rPr>
                <w:rFonts w:ascii="Times New Roman" w:hAnsi="Times New Roman"/>
                <w:sz w:val="17"/>
              </w:rPr>
              <w:t>12.95¢</w:t>
            </w:r>
          </w:p>
        </w:tc>
        <w:tc>
          <w:tcPr>
            <w:tcW w:w="1082" w:type="dxa"/>
          </w:tcPr>
          <w:p>
            <w:pPr>
              <w:pStyle w:val="TableParagraph"/>
              <w:ind w:right="33"/>
              <w:jc w:val="right"/>
              <w:rPr>
                <w:rFonts w:ascii="Times New Roman" w:hAnsi="Times New Roman"/>
                <w:sz w:val="17"/>
              </w:rPr>
            </w:pPr>
            <w:r>
              <w:rPr>
                <w:rFonts w:ascii="Times New Roman" w:hAnsi="Times New Roman"/>
                <w:sz w:val="17"/>
              </w:rPr>
              <w:t>12.51¢</w:t>
            </w:r>
          </w:p>
        </w:tc>
      </w:tr>
      <w:tr>
        <w:trPr>
          <w:trHeight w:val="218" w:hRule="exact"/>
        </w:trPr>
        <w:tc>
          <w:tcPr>
            <w:tcW w:w="3481" w:type="dxa"/>
          </w:tcPr>
          <w:p>
            <w:pPr>
              <w:pStyle w:val="TableParagraph"/>
              <w:spacing w:before="1"/>
              <w:ind w:left="32"/>
              <w:rPr>
                <w:rFonts w:ascii="Times New Roman"/>
                <w:sz w:val="17"/>
              </w:rPr>
            </w:pPr>
            <w:r>
              <w:rPr>
                <w:rFonts w:ascii="Times New Roman"/>
                <w:w w:val="105"/>
                <w:sz w:val="17"/>
              </w:rPr>
              <w:t>Operating revenue yield per ASM</w:t>
            </w:r>
          </w:p>
        </w:tc>
        <w:tc>
          <w:tcPr>
            <w:tcW w:w="1308" w:type="dxa"/>
          </w:tcPr>
          <w:p>
            <w:pPr>
              <w:pStyle w:val="TableParagraph"/>
              <w:spacing w:before="1"/>
              <w:ind w:right="263"/>
              <w:jc w:val="right"/>
              <w:rPr>
                <w:rFonts w:ascii="Times New Roman" w:hAnsi="Times New Roman"/>
                <w:sz w:val="17"/>
              </w:rPr>
            </w:pPr>
            <w:r>
              <w:rPr>
                <w:rFonts w:ascii="Times New Roman" w:hAnsi="Times New Roman"/>
                <w:sz w:val="17"/>
              </w:rPr>
              <w:t>8.27¢</w:t>
            </w:r>
          </w:p>
        </w:tc>
        <w:tc>
          <w:tcPr>
            <w:tcW w:w="1332" w:type="dxa"/>
          </w:tcPr>
          <w:p>
            <w:pPr>
              <w:pStyle w:val="TableParagraph"/>
              <w:spacing w:before="1"/>
              <w:ind w:right="261"/>
              <w:jc w:val="right"/>
              <w:rPr>
                <w:rFonts w:ascii="Times New Roman" w:hAnsi="Times New Roman"/>
                <w:sz w:val="17"/>
              </w:rPr>
            </w:pPr>
            <w:r>
              <w:rPr>
                <w:rFonts w:ascii="Times New Roman" w:hAnsi="Times New Roman"/>
                <w:sz w:val="17"/>
              </w:rPr>
              <w:t>8.02¢</w:t>
            </w:r>
          </w:p>
        </w:tc>
        <w:tc>
          <w:tcPr>
            <w:tcW w:w="1313" w:type="dxa"/>
          </w:tcPr>
          <w:p>
            <w:pPr>
              <w:pStyle w:val="TableParagraph"/>
              <w:spacing w:before="1"/>
              <w:ind w:right="249"/>
              <w:jc w:val="right"/>
              <w:rPr>
                <w:rFonts w:ascii="Times New Roman" w:hAnsi="Times New Roman"/>
                <w:sz w:val="17"/>
              </w:rPr>
            </w:pPr>
            <w:r>
              <w:rPr>
                <w:rFonts w:ascii="Times New Roman" w:hAnsi="Times New Roman"/>
                <w:sz w:val="17"/>
              </w:rPr>
              <w:t>8.51¢</w:t>
            </w:r>
          </w:p>
        </w:tc>
        <w:tc>
          <w:tcPr>
            <w:tcW w:w="1296" w:type="dxa"/>
          </w:tcPr>
          <w:p>
            <w:pPr>
              <w:pStyle w:val="TableParagraph"/>
              <w:ind w:right="244"/>
              <w:jc w:val="right"/>
              <w:rPr>
                <w:rFonts w:ascii="Times New Roman" w:hAnsi="Times New Roman"/>
                <w:sz w:val="17"/>
              </w:rPr>
            </w:pPr>
            <w:r>
              <w:rPr>
                <w:rFonts w:ascii="Times New Roman" w:hAnsi="Times New Roman"/>
                <w:sz w:val="17"/>
              </w:rPr>
              <w:t>9.43¢</w:t>
            </w:r>
          </w:p>
        </w:tc>
        <w:tc>
          <w:tcPr>
            <w:tcW w:w="1082" w:type="dxa"/>
          </w:tcPr>
          <w:p>
            <w:pPr>
              <w:pStyle w:val="TableParagraph"/>
              <w:ind w:right="30"/>
              <w:jc w:val="right"/>
              <w:rPr>
                <w:rFonts w:ascii="Times New Roman" w:hAnsi="Times New Roman"/>
                <w:sz w:val="17"/>
              </w:rPr>
            </w:pPr>
            <w:r>
              <w:rPr>
                <w:rFonts w:ascii="Times New Roman" w:hAnsi="Times New Roman"/>
                <w:sz w:val="17"/>
              </w:rPr>
              <w:t>8.96¢</w:t>
            </w:r>
          </w:p>
        </w:tc>
      </w:tr>
      <w:tr>
        <w:trPr>
          <w:trHeight w:val="218" w:hRule="exact"/>
        </w:trPr>
        <w:tc>
          <w:tcPr>
            <w:tcW w:w="3481" w:type="dxa"/>
          </w:tcPr>
          <w:p>
            <w:pPr>
              <w:pStyle w:val="TableParagraph"/>
              <w:spacing w:line="194" w:lineRule="exact"/>
              <w:ind w:left="32"/>
              <w:rPr>
                <w:rFonts w:ascii="Times New Roman"/>
                <w:sz w:val="17"/>
              </w:rPr>
            </w:pPr>
            <w:r>
              <w:rPr>
                <w:rFonts w:ascii="Times New Roman"/>
                <w:w w:val="105"/>
                <w:sz w:val="17"/>
              </w:rPr>
              <w:t>Operating expenses per ASM</w:t>
            </w:r>
          </w:p>
        </w:tc>
        <w:tc>
          <w:tcPr>
            <w:tcW w:w="1308" w:type="dxa"/>
          </w:tcPr>
          <w:p>
            <w:pPr>
              <w:pStyle w:val="TableParagraph"/>
              <w:spacing w:line="194" w:lineRule="exact"/>
              <w:ind w:right="263"/>
              <w:jc w:val="right"/>
              <w:rPr>
                <w:rFonts w:ascii="Times New Roman" w:hAnsi="Times New Roman"/>
                <w:sz w:val="17"/>
              </w:rPr>
            </w:pPr>
            <w:r>
              <w:rPr>
                <w:rFonts w:ascii="Times New Roman" w:hAnsi="Times New Roman"/>
                <w:sz w:val="17"/>
              </w:rPr>
              <w:t>7.60¢</w:t>
            </w:r>
          </w:p>
        </w:tc>
        <w:tc>
          <w:tcPr>
            <w:tcW w:w="1332" w:type="dxa"/>
          </w:tcPr>
          <w:p>
            <w:pPr>
              <w:pStyle w:val="TableParagraph"/>
              <w:spacing w:line="194" w:lineRule="exact"/>
              <w:ind w:right="261"/>
              <w:jc w:val="right"/>
              <w:rPr>
                <w:rFonts w:ascii="Times New Roman" w:hAnsi="Times New Roman"/>
                <w:sz w:val="17"/>
              </w:rPr>
            </w:pPr>
            <w:r>
              <w:rPr>
                <w:rFonts w:ascii="Times New Roman" w:hAnsi="Times New Roman"/>
                <w:sz w:val="17"/>
              </w:rPr>
              <w:t>7.41¢</w:t>
            </w:r>
          </w:p>
        </w:tc>
        <w:tc>
          <w:tcPr>
            <w:tcW w:w="1313" w:type="dxa"/>
          </w:tcPr>
          <w:p>
            <w:pPr>
              <w:pStyle w:val="TableParagraph"/>
              <w:spacing w:line="194" w:lineRule="exact"/>
              <w:ind w:right="249"/>
              <w:jc w:val="right"/>
              <w:rPr>
                <w:rFonts w:ascii="Times New Roman" w:hAnsi="Times New Roman"/>
                <w:sz w:val="17"/>
              </w:rPr>
            </w:pPr>
            <w:r>
              <w:rPr>
                <w:rFonts w:ascii="Times New Roman" w:hAnsi="Times New Roman"/>
                <w:sz w:val="17"/>
              </w:rPr>
              <w:t>7.54¢</w:t>
            </w:r>
          </w:p>
        </w:tc>
        <w:tc>
          <w:tcPr>
            <w:tcW w:w="1296" w:type="dxa"/>
          </w:tcPr>
          <w:p>
            <w:pPr>
              <w:pStyle w:val="TableParagraph"/>
              <w:spacing w:line="194" w:lineRule="exact"/>
              <w:ind w:right="244"/>
              <w:jc w:val="right"/>
              <w:rPr>
                <w:rFonts w:ascii="Times New Roman" w:hAnsi="Times New Roman"/>
                <w:sz w:val="17"/>
              </w:rPr>
            </w:pPr>
            <w:r>
              <w:rPr>
                <w:rFonts w:ascii="Times New Roman" w:hAnsi="Times New Roman"/>
                <w:sz w:val="17"/>
              </w:rPr>
              <w:t>7.73¢</w:t>
            </w:r>
          </w:p>
        </w:tc>
        <w:tc>
          <w:tcPr>
            <w:tcW w:w="1082" w:type="dxa"/>
          </w:tcPr>
          <w:p>
            <w:pPr>
              <w:pStyle w:val="TableParagraph"/>
              <w:spacing w:line="194" w:lineRule="exact"/>
              <w:ind w:right="30"/>
              <w:jc w:val="right"/>
              <w:rPr>
                <w:rFonts w:ascii="Times New Roman" w:hAnsi="Times New Roman"/>
                <w:sz w:val="17"/>
              </w:rPr>
            </w:pPr>
            <w:r>
              <w:rPr>
                <w:rFonts w:ascii="Times New Roman" w:hAnsi="Times New Roman"/>
                <w:sz w:val="17"/>
              </w:rPr>
              <w:t>7.48¢</w:t>
            </w:r>
          </w:p>
        </w:tc>
      </w:tr>
      <w:tr>
        <w:trPr>
          <w:trHeight w:val="221" w:hRule="exact"/>
        </w:trPr>
        <w:tc>
          <w:tcPr>
            <w:tcW w:w="3481" w:type="dxa"/>
          </w:tcPr>
          <w:p>
            <w:pPr>
              <w:pStyle w:val="TableParagraph"/>
              <w:spacing w:before="1"/>
              <w:ind w:left="32"/>
              <w:rPr>
                <w:rFonts w:ascii="Times New Roman"/>
                <w:sz w:val="17"/>
              </w:rPr>
            </w:pPr>
            <w:r>
              <w:rPr>
                <w:rFonts w:ascii="Times New Roman"/>
                <w:w w:val="105"/>
                <w:sz w:val="17"/>
              </w:rPr>
              <w:t>Operating expenses per ASM, excluding fuel</w:t>
            </w:r>
          </w:p>
        </w:tc>
        <w:tc>
          <w:tcPr>
            <w:tcW w:w="1308" w:type="dxa"/>
          </w:tcPr>
          <w:p>
            <w:pPr>
              <w:pStyle w:val="TableParagraph"/>
              <w:spacing w:before="1"/>
              <w:ind w:right="263"/>
              <w:jc w:val="right"/>
              <w:rPr>
                <w:rFonts w:ascii="Times New Roman" w:hAnsi="Times New Roman"/>
                <w:sz w:val="17"/>
              </w:rPr>
            </w:pPr>
            <w:r>
              <w:rPr>
                <w:rFonts w:ascii="Times New Roman" w:hAnsi="Times New Roman"/>
                <w:sz w:val="17"/>
              </w:rPr>
              <w:t>6.44¢</w:t>
            </w:r>
          </w:p>
        </w:tc>
        <w:tc>
          <w:tcPr>
            <w:tcW w:w="1332" w:type="dxa"/>
          </w:tcPr>
          <w:p>
            <w:pPr>
              <w:pStyle w:val="TableParagraph"/>
              <w:spacing w:before="1"/>
              <w:ind w:right="261"/>
              <w:jc w:val="right"/>
              <w:rPr>
                <w:rFonts w:ascii="Times New Roman" w:hAnsi="Times New Roman"/>
                <w:sz w:val="17"/>
              </w:rPr>
            </w:pPr>
            <w:r>
              <w:rPr>
                <w:rFonts w:ascii="Times New Roman" w:hAnsi="Times New Roman"/>
                <w:sz w:val="17"/>
              </w:rPr>
              <w:t>6.30¢</w:t>
            </w:r>
          </w:p>
        </w:tc>
        <w:tc>
          <w:tcPr>
            <w:tcW w:w="1313" w:type="dxa"/>
          </w:tcPr>
          <w:p>
            <w:pPr>
              <w:pStyle w:val="TableParagraph"/>
              <w:spacing w:before="1"/>
              <w:ind w:right="249"/>
              <w:jc w:val="right"/>
              <w:rPr>
                <w:rFonts w:ascii="Times New Roman" w:hAnsi="Times New Roman"/>
                <w:sz w:val="17"/>
              </w:rPr>
            </w:pPr>
            <w:r>
              <w:rPr>
                <w:rFonts w:ascii="Times New Roman" w:hAnsi="Times New Roman"/>
                <w:sz w:val="17"/>
              </w:rPr>
              <w:t>6.36¢</w:t>
            </w:r>
          </w:p>
        </w:tc>
        <w:tc>
          <w:tcPr>
            <w:tcW w:w="1296" w:type="dxa"/>
          </w:tcPr>
          <w:p>
            <w:pPr>
              <w:pStyle w:val="TableParagraph"/>
              <w:ind w:right="244"/>
              <w:jc w:val="right"/>
              <w:rPr>
                <w:rFonts w:ascii="Times New Roman" w:hAnsi="Times New Roman"/>
                <w:sz w:val="17"/>
              </w:rPr>
            </w:pPr>
            <w:r>
              <w:rPr>
                <w:rFonts w:ascii="Times New Roman" w:hAnsi="Times New Roman"/>
                <w:sz w:val="17"/>
              </w:rPr>
              <w:t>6.38¢</w:t>
            </w:r>
          </w:p>
        </w:tc>
        <w:tc>
          <w:tcPr>
            <w:tcW w:w="1082" w:type="dxa"/>
          </w:tcPr>
          <w:p>
            <w:pPr>
              <w:pStyle w:val="TableParagraph"/>
              <w:ind w:right="30"/>
              <w:jc w:val="right"/>
              <w:rPr>
                <w:rFonts w:ascii="Times New Roman" w:hAnsi="Times New Roman"/>
                <w:sz w:val="17"/>
              </w:rPr>
            </w:pPr>
            <w:r>
              <w:rPr>
                <w:rFonts w:ascii="Times New Roman" w:hAnsi="Times New Roman"/>
                <w:sz w:val="17"/>
              </w:rPr>
              <w:t>6.55¢</w:t>
            </w:r>
          </w:p>
        </w:tc>
      </w:tr>
      <w:tr>
        <w:trPr>
          <w:trHeight w:val="221" w:hRule="exact"/>
        </w:trPr>
        <w:tc>
          <w:tcPr>
            <w:tcW w:w="3481" w:type="dxa"/>
          </w:tcPr>
          <w:p>
            <w:pPr>
              <w:pStyle w:val="TableParagraph"/>
              <w:spacing w:before="1"/>
              <w:ind w:left="32"/>
              <w:rPr>
                <w:rFonts w:ascii="Times New Roman"/>
                <w:sz w:val="17"/>
              </w:rPr>
            </w:pPr>
            <w:r>
              <w:rPr>
                <w:rFonts w:ascii="Times New Roman"/>
                <w:w w:val="105"/>
                <w:sz w:val="17"/>
              </w:rPr>
              <w:t>Fuel cost per gallon (average)</w:t>
            </w:r>
          </w:p>
        </w:tc>
        <w:tc>
          <w:tcPr>
            <w:tcW w:w="1308" w:type="dxa"/>
          </w:tcPr>
          <w:p>
            <w:pPr>
              <w:pStyle w:val="TableParagraph"/>
              <w:spacing w:before="1"/>
              <w:ind w:right="263"/>
              <w:jc w:val="right"/>
              <w:rPr>
                <w:rFonts w:ascii="Times New Roman" w:hAnsi="Times New Roman"/>
                <w:sz w:val="17"/>
              </w:rPr>
            </w:pPr>
            <w:r>
              <w:rPr>
                <w:rFonts w:ascii="Times New Roman" w:hAnsi="Times New Roman"/>
                <w:sz w:val="17"/>
              </w:rPr>
              <w:t>72.3¢</w:t>
            </w:r>
          </w:p>
        </w:tc>
        <w:tc>
          <w:tcPr>
            <w:tcW w:w="1332" w:type="dxa"/>
          </w:tcPr>
          <w:p>
            <w:pPr>
              <w:pStyle w:val="TableParagraph"/>
              <w:spacing w:before="1"/>
              <w:ind w:right="261"/>
              <w:jc w:val="right"/>
              <w:rPr>
                <w:rFonts w:ascii="Times New Roman" w:hAnsi="Times New Roman"/>
                <w:sz w:val="17"/>
              </w:rPr>
            </w:pPr>
            <w:r>
              <w:rPr>
                <w:rFonts w:ascii="Times New Roman" w:hAnsi="Times New Roman"/>
                <w:sz w:val="17"/>
              </w:rPr>
              <w:t>68.0¢</w:t>
            </w:r>
          </w:p>
        </w:tc>
        <w:tc>
          <w:tcPr>
            <w:tcW w:w="1313" w:type="dxa"/>
          </w:tcPr>
          <w:p>
            <w:pPr>
              <w:pStyle w:val="TableParagraph"/>
              <w:spacing w:before="1"/>
              <w:ind w:right="244"/>
              <w:jc w:val="right"/>
              <w:rPr>
                <w:rFonts w:ascii="Times New Roman" w:hAnsi="Times New Roman"/>
                <w:sz w:val="17"/>
              </w:rPr>
            </w:pPr>
            <w:r>
              <w:rPr>
                <w:rFonts w:ascii="Times New Roman" w:hAnsi="Times New Roman"/>
                <w:sz w:val="17"/>
              </w:rPr>
              <w:t>70.9¢</w:t>
            </w:r>
          </w:p>
        </w:tc>
        <w:tc>
          <w:tcPr>
            <w:tcW w:w="1296" w:type="dxa"/>
          </w:tcPr>
          <w:p>
            <w:pPr>
              <w:pStyle w:val="TableParagraph"/>
              <w:ind w:right="244"/>
              <w:jc w:val="right"/>
              <w:rPr>
                <w:rFonts w:ascii="Times New Roman" w:hAnsi="Times New Roman"/>
                <w:sz w:val="17"/>
              </w:rPr>
            </w:pPr>
            <w:r>
              <w:rPr>
                <w:rFonts w:ascii="Times New Roman" w:hAnsi="Times New Roman"/>
                <w:sz w:val="17"/>
              </w:rPr>
              <w:t>78.7¢</w:t>
            </w:r>
          </w:p>
        </w:tc>
        <w:tc>
          <w:tcPr>
            <w:tcW w:w="1082" w:type="dxa"/>
          </w:tcPr>
          <w:p>
            <w:pPr>
              <w:pStyle w:val="TableParagraph"/>
              <w:ind w:right="30"/>
              <w:jc w:val="right"/>
              <w:rPr>
                <w:rFonts w:ascii="Times New Roman" w:hAnsi="Times New Roman"/>
                <w:sz w:val="17"/>
              </w:rPr>
            </w:pPr>
            <w:r>
              <w:rPr>
                <w:rFonts w:ascii="Times New Roman" w:hAnsi="Times New Roman"/>
                <w:sz w:val="17"/>
              </w:rPr>
              <w:t>52.7¢</w:t>
            </w:r>
          </w:p>
        </w:tc>
      </w:tr>
      <w:tr>
        <w:trPr>
          <w:trHeight w:val="220" w:hRule="exact"/>
        </w:trPr>
        <w:tc>
          <w:tcPr>
            <w:tcW w:w="3481" w:type="dxa"/>
          </w:tcPr>
          <w:p>
            <w:pPr>
              <w:pStyle w:val="TableParagraph"/>
              <w:spacing w:before="1"/>
              <w:ind w:left="32"/>
              <w:rPr>
                <w:rFonts w:ascii="Times New Roman"/>
                <w:sz w:val="17"/>
              </w:rPr>
            </w:pPr>
            <w:r>
              <w:rPr>
                <w:rFonts w:ascii="Times New Roman"/>
                <w:w w:val="105"/>
                <w:sz w:val="17"/>
              </w:rPr>
              <w:t>Number of Employees at year-end</w:t>
            </w:r>
          </w:p>
        </w:tc>
        <w:tc>
          <w:tcPr>
            <w:tcW w:w="1308" w:type="dxa"/>
          </w:tcPr>
          <w:p>
            <w:pPr>
              <w:pStyle w:val="TableParagraph"/>
              <w:spacing w:before="1"/>
              <w:ind w:right="266"/>
              <w:jc w:val="right"/>
              <w:rPr>
                <w:rFonts w:ascii="Times New Roman"/>
                <w:sz w:val="17"/>
              </w:rPr>
            </w:pPr>
            <w:r>
              <w:rPr>
                <w:rFonts w:ascii="Times New Roman"/>
                <w:sz w:val="17"/>
              </w:rPr>
              <w:t>32,847</w:t>
            </w:r>
          </w:p>
        </w:tc>
        <w:tc>
          <w:tcPr>
            <w:tcW w:w="1332" w:type="dxa"/>
          </w:tcPr>
          <w:p>
            <w:pPr>
              <w:pStyle w:val="TableParagraph"/>
              <w:spacing w:before="1"/>
              <w:ind w:right="263"/>
              <w:jc w:val="right"/>
              <w:rPr>
                <w:rFonts w:ascii="Times New Roman"/>
                <w:sz w:val="17"/>
              </w:rPr>
            </w:pPr>
            <w:r>
              <w:rPr>
                <w:rFonts w:ascii="Times New Roman"/>
                <w:sz w:val="17"/>
              </w:rPr>
              <w:t>33,705</w:t>
            </w:r>
          </w:p>
        </w:tc>
        <w:tc>
          <w:tcPr>
            <w:tcW w:w="1313" w:type="dxa"/>
          </w:tcPr>
          <w:p>
            <w:pPr>
              <w:pStyle w:val="TableParagraph"/>
              <w:spacing w:before="1"/>
              <w:ind w:right="248"/>
              <w:jc w:val="right"/>
              <w:rPr>
                <w:rFonts w:ascii="Times New Roman"/>
                <w:sz w:val="17"/>
              </w:rPr>
            </w:pPr>
            <w:r>
              <w:rPr>
                <w:rFonts w:ascii="Times New Roman"/>
                <w:sz w:val="17"/>
              </w:rPr>
              <w:t>31,580</w:t>
            </w:r>
          </w:p>
        </w:tc>
        <w:tc>
          <w:tcPr>
            <w:tcW w:w="1296" w:type="dxa"/>
          </w:tcPr>
          <w:p>
            <w:pPr>
              <w:pStyle w:val="TableParagraph"/>
              <w:ind w:right="248"/>
              <w:jc w:val="right"/>
              <w:rPr>
                <w:rFonts w:ascii="Times New Roman"/>
                <w:sz w:val="17"/>
              </w:rPr>
            </w:pPr>
            <w:r>
              <w:rPr>
                <w:rFonts w:ascii="Times New Roman"/>
                <w:sz w:val="17"/>
              </w:rPr>
              <w:t>29,274</w:t>
            </w:r>
          </w:p>
        </w:tc>
        <w:tc>
          <w:tcPr>
            <w:tcW w:w="1082" w:type="dxa"/>
          </w:tcPr>
          <w:p>
            <w:pPr>
              <w:pStyle w:val="TableParagraph"/>
              <w:ind w:right="33"/>
              <w:jc w:val="right"/>
              <w:rPr>
                <w:rFonts w:ascii="Times New Roman"/>
                <w:sz w:val="17"/>
              </w:rPr>
            </w:pPr>
            <w:r>
              <w:rPr>
                <w:rFonts w:ascii="Times New Roman"/>
                <w:sz w:val="17"/>
              </w:rPr>
              <w:t>27,653</w:t>
            </w:r>
          </w:p>
        </w:tc>
      </w:tr>
      <w:tr>
        <w:trPr>
          <w:trHeight w:val="234" w:hRule="exact"/>
        </w:trPr>
        <w:tc>
          <w:tcPr>
            <w:tcW w:w="3481" w:type="dxa"/>
          </w:tcPr>
          <w:p>
            <w:pPr>
              <w:pStyle w:val="TableParagraph"/>
              <w:spacing w:line="198" w:lineRule="exact"/>
              <w:ind w:left="32"/>
              <w:rPr>
                <w:rFonts w:ascii="Times New Roman"/>
                <w:sz w:val="10"/>
              </w:rPr>
            </w:pPr>
            <w:r>
              <w:rPr>
                <w:rFonts w:ascii="Times New Roman"/>
                <w:w w:val="105"/>
                <w:sz w:val="17"/>
              </w:rPr>
              <w:t>Size of fleet at year-end </w:t>
            </w:r>
            <w:r>
              <w:rPr>
                <w:rFonts w:ascii="Times New Roman"/>
                <w:w w:val="105"/>
                <w:position w:val="7"/>
                <w:sz w:val="10"/>
              </w:rPr>
              <w:t>(2)</w:t>
            </w:r>
          </w:p>
        </w:tc>
        <w:tc>
          <w:tcPr>
            <w:tcW w:w="1308" w:type="dxa"/>
          </w:tcPr>
          <w:p>
            <w:pPr>
              <w:pStyle w:val="TableParagraph"/>
              <w:spacing w:before="2"/>
              <w:ind w:right="267"/>
              <w:jc w:val="right"/>
              <w:rPr>
                <w:rFonts w:ascii="Times New Roman"/>
                <w:sz w:val="17"/>
              </w:rPr>
            </w:pPr>
            <w:r>
              <w:rPr>
                <w:rFonts w:ascii="Times New Roman"/>
                <w:sz w:val="17"/>
              </w:rPr>
              <w:t>388</w:t>
            </w:r>
          </w:p>
        </w:tc>
        <w:tc>
          <w:tcPr>
            <w:tcW w:w="1332" w:type="dxa"/>
          </w:tcPr>
          <w:p>
            <w:pPr>
              <w:pStyle w:val="TableParagraph"/>
              <w:spacing w:before="2"/>
              <w:ind w:right="266"/>
              <w:jc w:val="right"/>
              <w:rPr>
                <w:rFonts w:ascii="Times New Roman"/>
                <w:sz w:val="17"/>
              </w:rPr>
            </w:pPr>
            <w:r>
              <w:rPr>
                <w:rFonts w:ascii="Times New Roman"/>
                <w:w w:val="105"/>
                <w:sz w:val="17"/>
              </w:rPr>
              <w:t>375</w:t>
            </w:r>
          </w:p>
        </w:tc>
        <w:tc>
          <w:tcPr>
            <w:tcW w:w="1313" w:type="dxa"/>
          </w:tcPr>
          <w:p>
            <w:pPr>
              <w:pStyle w:val="TableParagraph"/>
              <w:spacing w:before="1"/>
              <w:ind w:right="248"/>
              <w:jc w:val="right"/>
              <w:rPr>
                <w:rFonts w:ascii="Times New Roman"/>
                <w:sz w:val="17"/>
              </w:rPr>
            </w:pPr>
            <w:r>
              <w:rPr>
                <w:rFonts w:ascii="Times New Roman"/>
                <w:sz w:val="17"/>
              </w:rPr>
              <w:t>355</w:t>
            </w:r>
          </w:p>
        </w:tc>
        <w:tc>
          <w:tcPr>
            <w:tcW w:w="1296" w:type="dxa"/>
          </w:tcPr>
          <w:p>
            <w:pPr>
              <w:pStyle w:val="TableParagraph"/>
              <w:spacing w:before="1"/>
              <w:ind w:right="248"/>
              <w:jc w:val="right"/>
              <w:rPr>
                <w:rFonts w:ascii="Times New Roman"/>
                <w:sz w:val="17"/>
              </w:rPr>
            </w:pPr>
            <w:r>
              <w:rPr>
                <w:rFonts w:ascii="Times New Roman"/>
                <w:sz w:val="17"/>
              </w:rPr>
              <w:t>344</w:t>
            </w:r>
          </w:p>
        </w:tc>
        <w:tc>
          <w:tcPr>
            <w:tcW w:w="1082" w:type="dxa"/>
          </w:tcPr>
          <w:p>
            <w:pPr>
              <w:pStyle w:val="TableParagraph"/>
              <w:spacing w:before="1"/>
              <w:ind w:right="34"/>
              <w:jc w:val="right"/>
              <w:rPr>
                <w:rFonts w:ascii="Times New Roman"/>
                <w:sz w:val="17"/>
              </w:rPr>
            </w:pPr>
            <w:r>
              <w:rPr>
                <w:rFonts w:ascii="Times New Roman"/>
                <w:w w:val="105"/>
                <w:sz w:val="17"/>
              </w:rPr>
              <w:t>312</w:t>
            </w:r>
          </w:p>
        </w:tc>
      </w:tr>
    </w:tbl>
    <w:p>
      <w:pPr>
        <w:pStyle w:val="BodyText"/>
        <w:rPr>
          <w:b/>
          <w:sz w:val="20"/>
        </w:rPr>
      </w:pPr>
    </w:p>
    <w:p>
      <w:pPr>
        <w:pStyle w:val="BodyText"/>
        <w:spacing w:before="4"/>
        <w:rPr>
          <w:b/>
          <w:sz w:val="29"/>
        </w:rPr>
      </w:pPr>
      <w:r>
        <w:rPr/>
        <w:pict>
          <v:line style="position:absolute;mso-position-horizontal-relative:page;mso-position-vertical-relative:paragraph;z-index:5800;mso-wrap-distance-left:0;mso-wrap-distance-right:0" from="64.798485pt,19.051767pt" to="144.71849pt,19.051767pt" stroked="true" strokeweight=".437895pt" strokecolor="#000000">
            <v:stroke dashstyle="solid"/>
            <w10:wrap type="topAndBottom"/>
          </v:line>
        </w:pict>
      </w:r>
    </w:p>
    <w:p>
      <w:pPr>
        <w:tabs>
          <w:tab w:pos="915" w:val="left" w:leader="none"/>
        </w:tabs>
        <w:spacing w:before="45"/>
        <w:ind w:left="195" w:right="0" w:firstLine="0"/>
        <w:jc w:val="left"/>
        <w:rPr>
          <w:sz w:val="17"/>
        </w:rPr>
      </w:pPr>
      <w:r>
        <w:rPr>
          <w:w w:val="105"/>
          <w:position w:val="7"/>
          <w:sz w:val="10"/>
        </w:rPr>
        <w:t>(1)</w:t>
        <w:tab/>
      </w:r>
      <w:r>
        <w:rPr>
          <w:w w:val="105"/>
          <w:sz w:val="17"/>
        </w:rPr>
        <w:t>Revenue passenger miles divided by available seat</w:t>
      </w:r>
      <w:r>
        <w:rPr>
          <w:spacing w:val="-27"/>
          <w:w w:val="105"/>
          <w:sz w:val="17"/>
        </w:rPr>
        <w:t> </w:t>
      </w:r>
      <w:r>
        <w:rPr>
          <w:w w:val="105"/>
          <w:sz w:val="17"/>
        </w:rPr>
        <w:t>miles.</w:t>
      </w:r>
    </w:p>
    <w:p>
      <w:pPr>
        <w:pStyle w:val="BodyText"/>
        <w:spacing w:before="11"/>
        <w:rPr>
          <w:sz w:val="25"/>
        </w:rPr>
      </w:pPr>
    </w:p>
    <w:p>
      <w:pPr>
        <w:tabs>
          <w:tab w:pos="915" w:val="left" w:leader="none"/>
        </w:tabs>
        <w:spacing w:before="0"/>
        <w:ind w:left="195" w:right="0" w:firstLine="0"/>
        <w:jc w:val="left"/>
        <w:rPr>
          <w:sz w:val="17"/>
        </w:rPr>
      </w:pPr>
      <w:r>
        <w:rPr>
          <w:w w:val="105"/>
          <w:position w:val="7"/>
          <w:sz w:val="10"/>
        </w:rPr>
        <w:t>(2)</w:t>
        <w:tab/>
      </w:r>
      <w:r>
        <w:rPr>
          <w:w w:val="105"/>
          <w:sz w:val="17"/>
        </w:rPr>
        <w:t>Includes leased</w:t>
      </w:r>
      <w:r>
        <w:rPr>
          <w:spacing w:val="-10"/>
          <w:w w:val="105"/>
          <w:sz w:val="17"/>
        </w:rPr>
        <w:t> </w:t>
      </w:r>
      <w:r>
        <w:rPr>
          <w:w w:val="105"/>
          <w:sz w:val="17"/>
        </w:rPr>
        <w:t>aircraft.</w:t>
      </w:r>
    </w:p>
    <w:p>
      <w:pPr>
        <w:pStyle w:val="BodyText"/>
        <w:spacing w:before="4"/>
        <w:rPr>
          <w:sz w:val="26"/>
        </w:rPr>
      </w:pPr>
    </w:p>
    <w:p>
      <w:pPr>
        <w:tabs>
          <w:tab w:pos="915" w:val="left" w:leader="none"/>
        </w:tabs>
        <w:spacing w:before="0"/>
        <w:ind w:left="195" w:right="0" w:firstLine="0"/>
        <w:jc w:val="left"/>
        <w:rPr>
          <w:sz w:val="17"/>
        </w:rPr>
      </w:pPr>
      <w:r>
        <w:rPr>
          <w:w w:val="105"/>
          <w:position w:val="7"/>
          <w:sz w:val="10"/>
        </w:rPr>
        <w:t>(3)</w:t>
        <w:tab/>
      </w:r>
      <w:r>
        <w:rPr>
          <w:w w:val="105"/>
          <w:sz w:val="17"/>
        </w:rPr>
        <w:t>Before cumulative effect of change in accounting</w:t>
      </w:r>
      <w:r>
        <w:rPr>
          <w:spacing w:val="-28"/>
          <w:w w:val="105"/>
          <w:sz w:val="17"/>
        </w:rPr>
        <w:t> </w:t>
      </w:r>
      <w:r>
        <w:rPr>
          <w:w w:val="105"/>
          <w:sz w:val="17"/>
        </w:rPr>
        <w:t>principle.</w:t>
      </w:r>
    </w:p>
    <w:p>
      <w:pPr>
        <w:spacing w:after="0"/>
        <w:jc w:val="left"/>
        <w:rPr>
          <w:sz w:val="17"/>
        </w:rPr>
        <w:sectPr>
          <w:pgSz w:w="12240" w:h="15840"/>
          <w:pgMar w:top="1380" w:bottom="280" w:left="1100" w:right="1020"/>
        </w:sectPr>
      </w:pPr>
    </w:p>
    <w:p>
      <w:pPr>
        <w:pStyle w:val="Heading2"/>
        <w:spacing w:line="220" w:lineRule="exact" w:before="117"/>
        <w:ind w:right="501"/>
      </w:pPr>
      <w:bookmarkStart w:name="Management's Discussion and Analysis" w:id="26"/>
      <w:bookmarkEnd w:id="26"/>
      <w:r>
        <w:rPr>
          <w:b w:val="0"/>
        </w:rPr>
      </w:r>
      <w:bookmarkStart w:name="Year in Review" w:id="27"/>
      <w:bookmarkEnd w:id="27"/>
      <w:r>
        <w:rPr>
          <w:b w:val="0"/>
        </w:rPr>
      </w:r>
      <w:r>
        <w:rPr>
          <w:w w:val="105"/>
        </w:rPr>
        <w:t>ITEM</w:t>
      </w:r>
      <w:r>
        <w:rPr>
          <w:spacing w:val="-20"/>
          <w:w w:val="105"/>
        </w:rPr>
        <w:t> </w:t>
      </w:r>
      <w:r>
        <w:rPr>
          <w:w w:val="105"/>
        </w:rPr>
        <w:t>7.</w:t>
      </w:r>
      <w:r>
        <w:rPr>
          <w:spacing w:val="17"/>
          <w:w w:val="105"/>
        </w:rPr>
        <w:t> </w:t>
      </w:r>
      <w:r>
        <w:rPr>
          <w:w w:val="105"/>
        </w:rPr>
        <w:t>MANAGEMENT’S</w:t>
      </w:r>
      <w:r>
        <w:rPr>
          <w:spacing w:val="-20"/>
          <w:w w:val="105"/>
        </w:rPr>
        <w:t> </w:t>
      </w:r>
      <w:r>
        <w:rPr>
          <w:w w:val="105"/>
        </w:rPr>
        <w:t>DISCUSSION</w:t>
      </w:r>
      <w:r>
        <w:rPr>
          <w:spacing w:val="-19"/>
          <w:w w:val="105"/>
        </w:rPr>
        <w:t> </w:t>
      </w:r>
      <w:r>
        <w:rPr>
          <w:w w:val="105"/>
        </w:rPr>
        <w:t>AND</w:t>
      </w:r>
      <w:r>
        <w:rPr>
          <w:spacing w:val="-20"/>
          <w:w w:val="105"/>
        </w:rPr>
        <w:t> </w:t>
      </w:r>
      <w:r>
        <w:rPr>
          <w:w w:val="105"/>
        </w:rPr>
        <w:t>ANALYSIS</w:t>
      </w:r>
      <w:r>
        <w:rPr>
          <w:spacing w:val="-20"/>
          <w:w w:val="105"/>
        </w:rPr>
        <w:t> </w:t>
      </w:r>
      <w:r>
        <w:rPr>
          <w:w w:val="105"/>
        </w:rPr>
        <w:t>OF</w:t>
      </w:r>
      <w:r>
        <w:rPr>
          <w:spacing w:val="-20"/>
          <w:w w:val="105"/>
        </w:rPr>
        <w:t> </w:t>
      </w:r>
      <w:r>
        <w:rPr>
          <w:w w:val="105"/>
        </w:rPr>
        <w:t>FINANCIAL</w:t>
      </w:r>
      <w:r>
        <w:rPr>
          <w:spacing w:val="-20"/>
          <w:w w:val="105"/>
        </w:rPr>
        <w:t> </w:t>
      </w:r>
      <w:r>
        <w:rPr>
          <w:w w:val="105"/>
        </w:rPr>
        <w:t>CONDITION</w:t>
      </w:r>
      <w:r>
        <w:rPr>
          <w:spacing w:val="-19"/>
          <w:w w:val="105"/>
        </w:rPr>
        <w:t> </w:t>
      </w:r>
      <w:r>
        <w:rPr>
          <w:w w:val="105"/>
        </w:rPr>
        <w:t>AND RESULTS</w:t>
      </w:r>
      <w:r>
        <w:rPr>
          <w:spacing w:val="-29"/>
          <w:w w:val="105"/>
        </w:rPr>
        <w:t> </w:t>
      </w:r>
      <w:r>
        <w:rPr>
          <w:w w:val="105"/>
        </w:rPr>
        <w:t>OF</w:t>
      </w:r>
      <w:r>
        <w:rPr>
          <w:spacing w:val="-29"/>
          <w:w w:val="105"/>
        </w:rPr>
        <w:t> </w:t>
      </w:r>
      <w:r>
        <w:rPr>
          <w:w w:val="105"/>
        </w:rPr>
        <w:t>OPERATION</w:t>
      </w:r>
    </w:p>
    <w:p>
      <w:pPr>
        <w:spacing w:before="245"/>
        <w:ind w:left="115" w:right="0" w:firstLine="0"/>
        <w:jc w:val="both"/>
        <w:rPr>
          <w:b/>
          <w:sz w:val="21"/>
        </w:rPr>
      </w:pPr>
      <w:r>
        <w:rPr>
          <w:b/>
          <w:w w:val="105"/>
          <w:sz w:val="21"/>
        </w:rPr>
        <w:t>Year in Review</w:t>
      </w:r>
    </w:p>
    <w:p>
      <w:pPr>
        <w:pStyle w:val="BodyText"/>
        <w:spacing w:line="218" w:lineRule="auto" w:before="213"/>
        <w:ind w:left="115" w:right="106"/>
        <w:jc w:val="both"/>
      </w:pPr>
      <w:r>
        <w:rPr>
          <w:w w:val="105"/>
        </w:rPr>
        <w:t>In 2003, Southwest posted a profit for the 31st consecutive year. The Company also extended its streak of consecutive quarterly profits to 51 periods in fourth quarter 2003. Both of these achievements are unsurpassed in the airline industry. For the third consecutive year, the airline industry as a whole suffered a net loss and many of the larger airlines underwent or continued massive efforts to restructure their business, gain wage concessions from their employees, and slash costs in efforts to avoid bankruptcy or emerge from bankruptcy. For the Company, although profitability levels have not returned to those achieved prior to the September 11, 2001, terrorist attacks, profits increased considerably versus 2002, even excluding the impact of government grants received in both years.</w:t>
      </w:r>
    </w:p>
    <w:p>
      <w:pPr>
        <w:pStyle w:val="BodyText"/>
        <w:spacing w:line="218" w:lineRule="auto" w:before="217"/>
        <w:ind w:left="115" w:right="108"/>
        <w:jc w:val="both"/>
      </w:pPr>
      <w:r>
        <w:rPr>
          <w:w w:val="105"/>
        </w:rPr>
        <w:t>Although the process has been gradual, revenue trends had shown improvement prior to the Iraq war, and have steadily improved since major hostilities in Iraq ended in May 2003. However, air traffic remains depressed compared to pre-September 11, 2001, levels, particularly business demand. Unit revenues continue to run below pre-September 11, 2001, levels by more than 10 percent and the percentage of Customers traveling on full-fares remains down from historical levels. The Company does not anticipate a complete recovery in revenues until the economy fully recovers and there is an upturn in business travel.</w:t>
      </w:r>
    </w:p>
    <w:p>
      <w:pPr>
        <w:pStyle w:val="BodyText"/>
        <w:spacing w:line="220" w:lineRule="exact" w:before="224"/>
        <w:ind w:left="115" w:right="107"/>
        <w:jc w:val="both"/>
      </w:pPr>
      <w:r>
        <w:rPr>
          <w:w w:val="105"/>
        </w:rPr>
        <w:t>The Company’s business strategy did not waver in 2003. Southwest remained committed to providing predominantly shorthaul flights, high frequency service, low fares, point-to-point flying, and high-quality Customer Service, all while keeping costs low. The Company also continued to complement this strategy by adding longer haul flights, including transcontinental service.</w:t>
      </w:r>
    </w:p>
    <w:p>
      <w:pPr>
        <w:pStyle w:val="BodyText"/>
        <w:spacing w:line="218" w:lineRule="auto" w:before="214"/>
        <w:ind w:left="115" w:right="105"/>
        <w:jc w:val="both"/>
      </w:pPr>
      <w:r>
        <w:rPr>
          <w:w w:val="105"/>
        </w:rPr>
        <w:t>The Company continued to respond to the many security changes imposed since the terrorist attacks and find ways to improve Customer convenience and the airport experience. The Company has automated and significantly streamlined the ticketing and boarding process with computer generated bag tags, automated boarding passes, self-service boarding pass kiosks, and electronic boarding pass readers at the gate. The Company also has made technological advancements, including the addition of functionality to its website at </w:t>
      </w:r>
      <w:hyperlink r:id="rId47">
        <w:r>
          <w:rPr>
            <w:w w:val="105"/>
          </w:rPr>
          <w:t>www.southwest.com,</w:t>
        </w:r>
      </w:hyperlink>
      <w:r>
        <w:rPr>
          <w:w w:val="105"/>
        </w:rPr>
        <w:t> and has continued to enhance its fleet interiors with a new look, including comfortable leather seats.</w:t>
      </w:r>
    </w:p>
    <w:p>
      <w:pPr>
        <w:pStyle w:val="BodyText"/>
        <w:spacing w:line="216" w:lineRule="auto" w:before="267"/>
        <w:ind w:left="115" w:right="107"/>
        <w:jc w:val="both"/>
      </w:pPr>
      <w:r>
        <w:rPr>
          <w:w w:val="105"/>
        </w:rPr>
        <w:t>The Company did not open any new cities in 2003, although it continued to improve its quality of service </w:t>
      </w:r>
      <w:r>
        <w:rPr>
          <w:spacing w:val="3"/>
          <w:w w:val="105"/>
        </w:rPr>
        <w:t>between cities already served. </w:t>
      </w:r>
      <w:r>
        <w:rPr>
          <w:spacing w:val="2"/>
          <w:w w:val="105"/>
        </w:rPr>
        <w:t>The </w:t>
      </w:r>
      <w:r>
        <w:rPr>
          <w:spacing w:val="3"/>
          <w:w w:val="105"/>
        </w:rPr>
        <w:t>Company recently announced that </w:t>
      </w:r>
      <w:r>
        <w:rPr>
          <w:w w:val="105"/>
        </w:rPr>
        <w:t>it </w:t>
      </w:r>
      <w:r>
        <w:rPr>
          <w:spacing w:val="3"/>
          <w:w w:val="105"/>
        </w:rPr>
        <w:t>would begin </w:t>
      </w:r>
      <w:r>
        <w:rPr>
          <w:spacing w:val="2"/>
          <w:w w:val="105"/>
        </w:rPr>
        <w:t>new </w:t>
      </w:r>
      <w:r>
        <w:rPr>
          <w:spacing w:val="3"/>
          <w:w w:val="105"/>
        </w:rPr>
        <w:t>service </w:t>
      </w:r>
      <w:r>
        <w:rPr>
          <w:spacing w:val="4"/>
          <w:w w:val="105"/>
        </w:rPr>
        <w:t>to </w:t>
      </w:r>
      <w:r>
        <w:rPr>
          <w:w w:val="105"/>
        </w:rPr>
        <w:t>Philadelphia, Pennsylvania in May 2004, which will represent the Company’s 60</w:t>
      </w:r>
      <w:r>
        <w:rPr>
          <w:w w:val="105"/>
          <w:position w:val="9"/>
          <w:sz w:val="13"/>
        </w:rPr>
        <w:t>th </w:t>
      </w:r>
      <w:r>
        <w:rPr>
          <w:w w:val="105"/>
        </w:rPr>
        <w:t>airport and 31</w:t>
      </w:r>
      <w:r>
        <w:rPr>
          <w:w w:val="105"/>
          <w:position w:val="9"/>
          <w:sz w:val="13"/>
        </w:rPr>
        <w:t>st </w:t>
      </w:r>
      <w:r>
        <w:rPr>
          <w:w w:val="105"/>
        </w:rPr>
        <w:t>state to which it flies. During 2003, the Company added 17 new 737-700 aircraft to its fleet and retired four older 737-200 aircraft, resulting in a net capacity increase of 4.2 percent. This brought the Company’s all-737 </w:t>
      </w:r>
      <w:r>
        <w:rPr>
          <w:spacing w:val="55"/>
          <w:w w:val="105"/>
        </w:rPr>
        <w:t> </w:t>
      </w:r>
      <w:r>
        <w:rPr>
          <w:w w:val="105"/>
        </w:rPr>
        <w:t>fleet</w:t>
      </w:r>
      <w:r>
        <w:rPr>
          <w:spacing w:val="-10"/>
          <w:w w:val="105"/>
        </w:rPr>
        <w:t> </w:t>
      </w:r>
      <w:r>
        <w:rPr>
          <w:w w:val="105"/>
        </w:rPr>
        <w:t>to</w:t>
      </w:r>
      <w:r>
        <w:rPr>
          <w:spacing w:val="-10"/>
          <w:w w:val="105"/>
        </w:rPr>
        <w:t> </w:t>
      </w:r>
      <w:r>
        <w:rPr>
          <w:w w:val="105"/>
        </w:rPr>
        <w:t>388</w:t>
      </w:r>
      <w:r>
        <w:rPr>
          <w:spacing w:val="-10"/>
          <w:w w:val="105"/>
        </w:rPr>
        <w:t> </w:t>
      </w:r>
      <w:r>
        <w:rPr>
          <w:w w:val="105"/>
        </w:rPr>
        <w:t>aircraft</w:t>
      </w:r>
      <w:r>
        <w:rPr>
          <w:spacing w:val="-10"/>
          <w:w w:val="105"/>
        </w:rPr>
        <w:t> </w:t>
      </w:r>
      <w:r>
        <w:rPr>
          <w:w w:val="105"/>
        </w:rPr>
        <w:t>at</w:t>
      </w:r>
      <w:r>
        <w:rPr>
          <w:spacing w:val="-10"/>
          <w:w w:val="105"/>
        </w:rPr>
        <w:t> </w:t>
      </w:r>
      <w:r>
        <w:rPr>
          <w:w w:val="105"/>
        </w:rPr>
        <w:t>the</w:t>
      </w:r>
      <w:r>
        <w:rPr>
          <w:spacing w:val="-10"/>
          <w:w w:val="105"/>
        </w:rPr>
        <w:t> </w:t>
      </w:r>
      <w:r>
        <w:rPr>
          <w:w w:val="105"/>
        </w:rPr>
        <w:t>end</w:t>
      </w:r>
      <w:r>
        <w:rPr>
          <w:spacing w:val="-10"/>
          <w:w w:val="105"/>
        </w:rPr>
        <w:t> </w:t>
      </w:r>
      <w:r>
        <w:rPr>
          <w:w w:val="105"/>
        </w:rPr>
        <w:t>of</w:t>
      </w:r>
      <w:r>
        <w:rPr>
          <w:spacing w:val="-10"/>
          <w:w w:val="105"/>
        </w:rPr>
        <w:t> </w:t>
      </w:r>
      <w:r>
        <w:rPr>
          <w:w w:val="105"/>
        </w:rPr>
        <w:t>2003.</w:t>
      </w:r>
    </w:p>
    <w:p>
      <w:pPr>
        <w:pStyle w:val="BodyText"/>
        <w:spacing w:line="259" w:lineRule="auto" w:before="243"/>
        <w:ind w:left="116" w:right="106"/>
        <w:jc w:val="both"/>
      </w:pPr>
      <w:r>
        <w:rPr>
          <w:w w:val="105"/>
        </w:rPr>
        <w:t>During 2003, the Company made announcements that are expected to benefit the Company’s overall cost</w:t>
      </w:r>
      <w:r>
        <w:rPr>
          <w:spacing w:val="55"/>
          <w:w w:val="105"/>
        </w:rPr>
        <w:t> </w:t>
      </w:r>
      <w:r>
        <w:rPr>
          <w:w w:val="105"/>
        </w:rPr>
        <w:t>structure in 2004 and beyond. The Company announced it would add “blended winglets” to its fleet of 737- 700 aircraft. The addition of these wing enhancements, which began to be retrofitted on existing aircraft in fourth quarter 2003 and are expected to take place through early 2005, will extend the range of these aircraft, save fuel, lower engine maintenance costs, and reduce takeoff noise. New aircraft are expected to arrive with winglets already installed beginning in August 2004. In October 2003, the Company announced it would no longer pay commissions on travel agency sales effective December 15, 2003, consistent with virtually </w:t>
      </w:r>
      <w:r>
        <w:rPr>
          <w:spacing w:val="2"/>
          <w:w w:val="105"/>
        </w:rPr>
        <w:t>all </w:t>
      </w:r>
      <w:r>
        <w:rPr>
          <w:w w:val="105"/>
        </w:rPr>
        <w:t>other U.S. airlines. This change in policy is expected to save the Company approximately $40 million in 2004. In November 2003, the Company also announced the consolidation of its nine Reservations Centers into six, effective February 28, 2004. This decision was made in response to the established shift to </w:t>
      </w:r>
      <w:r>
        <w:rPr>
          <w:spacing w:val="2"/>
          <w:w w:val="105"/>
        </w:rPr>
        <w:t>the </w:t>
      </w:r>
      <w:r>
        <w:rPr>
          <w:spacing w:val="3"/>
          <w:w w:val="105"/>
        </w:rPr>
        <w:t>internet </w:t>
      </w:r>
      <w:r>
        <w:rPr>
          <w:w w:val="105"/>
        </w:rPr>
        <w:t>as a </w:t>
      </w:r>
      <w:r>
        <w:rPr>
          <w:spacing w:val="3"/>
          <w:w w:val="105"/>
        </w:rPr>
        <w:t>preferred </w:t>
      </w:r>
      <w:r>
        <w:rPr>
          <w:spacing w:val="2"/>
          <w:w w:val="105"/>
        </w:rPr>
        <w:t>way </w:t>
      </w:r>
      <w:r>
        <w:rPr>
          <w:w w:val="105"/>
        </w:rPr>
        <w:t>of </w:t>
      </w:r>
      <w:r>
        <w:rPr>
          <w:spacing w:val="3"/>
          <w:w w:val="105"/>
        </w:rPr>
        <w:t>booking travel. </w:t>
      </w:r>
      <w:r>
        <w:rPr>
          <w:spacing w:val="2"/>
          <w:w w:val="105"/>
        </w:rPr>
        <w:t>The </w:t>
      </w:r>
      <w:r>
        <w:rPr>
          <w:spacing w:val="3"/>
          <w:w w:val="105"/>
        </w:rPr>
        <w:t>Company’s website, </w:t>
      </w:r>
      <w:hyperlink r:id="rId47">
        <w:r>
          <w:rPr>
            <w:spacing w:val="3"/>
            <w:w w:val="105"/>
          </w:rPr>
          <w:t>www.southwest.com,</w:t>
        </w:r>
      </w:hyperlink>
      <w:r>
        <w:rPr>
          <w:spacing w:val="3"/>
          <w:w w:val="105"/>
        </w:rPr>
        <w:t> </w:t>
      </w:r>
      <w:r>
        <w:rPr>
          <w:w w:val="105"/>
        </w:rPr>
        <w:t>is </w:t>
      </w:r>
      <w:r>
        <w:rPr>
          <w:spacing w:val="3"/>
          <w:w w:val="105"/>
        </w:rPr>
        <w:t>now </w:t>
      </w:r>
      <w:r>
        <w:rPr>
          <w:w w:val="105"/>
        </w:rPr>
        <w:t>accountable for more than half of passenger revenues, and, as a consequence, demand for phone contact has dramatically decreased. The Company estimates the costs associated with this decision, approximately $20 million, will be recognized primarily in first quarter 2004. These costs are primarily related to Employee </w:t>
      </w:r>
      <w:r>
        <w:rPr>
          <w:spacing w:val="2"/>
          <w:w w:val="105"/>
        </w:rPr>
        <w:t>relocation expenses </w:t>
      </w:r>
      <w:r>
        <w:rPr>
          <w:w w:val="105"/>
        </w:rPr>
        <w:t>and </w:t>
      </w:r>
      <w:r>
        <w:rPr>
          <w:spacing w:val="2"/>
          <w:w w:val="105"/>
        </w:rPr>
        <w:t>severance packages. </w:t>
      </w:r>
      <w:r>
        <w:rPr>
          <w:w w:val="105"/>
        </w:rPr>
        <w:t>The </w:t>
      </w:r>
      <w:r>
        <w:rPr>
          <w:spacing w:val="2"/>
          <w:w w:val="105"/>
        </w:rPr>
        <w:t>Company estimates that future annual operating </w:t>
      </w:r>
      <w:r>
        <w:rPr>
          <w:spacing w:val="3"/>
          <w:w w:val="105"/>
        </w:rPr>
        <w:t>cost </w:t>
      </w:r>
      <w:r>
        <w:rPr>
          <w:w w:val="105"/>
        </w:rPr>
        <w:t>savings related to this decision will exceed the costs incurred. See Note 9 to the Consolidated Financial </w:t>
      </w:r>
      <w:r>
        <w:rPr>
          <w:spacing w:val="2"/>
          <w:w w:val="105"/>
        </w:rPr>
        <w:t>Statements </w:t>
      </w:r>
      <w:r>
        <w:rPr>
          <w:w w:val="105"/>
        </w:rPr>
        <w:t>for </w:t>
      </w:r>
      <w:r>
        <w:rPr>
          <w:spacing w:val="2"/>
          <w:w w:val="105"/>
        </w:rPr>
        <w:t>further information. </w:t>
      </w:r>
      <w:r>
        <w:rPr>
          <w:w w:val="105"/>
        </w:rPr>
        <w:t>The </w:t>
      </w:r>
      <w:r>
        <w:rPr>
          <w:spacing w:val="2"/>
          <w:w w:val="105"/>
        </w:rPr>
        <w:t>Company also expects </w:t>
      </w:r>
      <w:r>
        <w:rPr>
          <w:w w:val="105"/>
        </w:rPr>
        <w:t>to </w:t>
      </w:r>
      <w:r>
        <w:rPr>
          <w:spacing w:val="2"/>
          <w:w w:val="105"/>
        </w:rPr>
        <w:t>benefit from efficiencies achieved </w:t>
      </w:r>
      <w:r>
        <w:rPr>
          <w:spacing w:val="3"/>
          <w:w w:val="105"/>
        </w:rPr>
        <w:t>at </w:t>
      </w:r>
      <w:r>
        <w:rPr>
          <w:w w:val="105"/>
        </w:rPr>
        <w:t>airports through our effort to improve the Customer experience in ticketing and boarding.</w:t>
      </w:r>
    </w:p>
    <w:p>
      <w:pPr>
        <w:spacing w:after="0" w:line="259" w:lineRule="auto"/>
        <w:jc w:val="both"/>
        <w:sectPr>
          <w:pgSz w:w="12240" w:h="15840"/>
          <w:pgMar w:top="1080" w:bottom="280" w:left="1180" w:right="1180"/>
        </w:sectPr>
      </w:pPr>
    </w:p>
    <w:p>
      <w:pPr>
        <w:pStyle w:val="BodyText"/>
        <w:spacing w:line="220" w:lineRule="exact" w:before="117"/>
        <w:ind w:left="115" w:right="191"/>
        <w:jc w:val="both"/>
      </w:pPr>
      <w:bookmarkStart w:name="Results of Operations - 2003 vs. 2002" w:id="28"/>
      <w:bookmarkEnd w:id="28"/>
      <w:r>
        <w:rPr/>
      </w:r>
      <w:r>
        <w:rPr>
          <w:w w:val="105"/>
        </w:rPr>
        <w:t>Available seat mile (ASM) capacity currently is expected to grow in the 7 to 8 percent range in 2004 with the planned net addition of 29 aircraft. The Company currently has 47 new Boeing 737–700s scheduled for delivery during the year and plans to retire 18 of the Company's older 737-200s.</w:t>
      </w:r>
    </w:p>
    <w:p>
      <w:pPr>
        <w:pStyle w:val="Heading2"/>
        <w:spacing w:before="196"/>
        <w:jc w:val="both"/>
      </w:pPr>
      <w:r>
        <w:rPr>
          <w:w w:val="105"/>
        </w:rPr>
        <w:t>Results of Operations</w:t>
      </w:r>
    </w:p>
    <w:p>
      <w:pPr>
        <w:pStyle w:val="BodyText"/>
        <w:spacing w:line="218" w:lineRule="auto" w:before="217"/>
        <w:ind w:left="115" w:right="191"/>
        <w:jc w:val="both"/>
      </w:pPr>
      <w:r>
        <w:rPr>
          <w:b/>
          <w:w w:val="105"/>
        </w:rPr>
        <w:t>2003 Compared With 2002. </w:t>
      </w:r>
      <w:r>
        <w:rPr>
          <w:w w:val="105"/>
        </w:rPr>
        <w:t>The Company's consolidated net income for 2003 was $442 million ($.54 per share,</w:t>
      </w:r>
      <w:r>
        <w:rPr>
          <w:spacing w:val="-3"/>
          <w:w w:val="105"/>
        </w:rPr>
        <w:t> </w:t>
      </w:r>
      <w:r>
        <w:rPr>
          <w:w w:val="105"/>
        </w:rPr>
        <w:t>diluted),</w:t>
      </w:r>
      <w:r>
        <w:rPr>
          <w:spacing w:val="-3"/>
          <w:w w:val="105"/>
        </w:rPr>
        <w:t> </w:t>
      </w:r>
      <w:r>
        <w:rPr>
          <w:w w:val="105"/>
        </w:rPr>
        <w:t>as</w:t>
      </w:r>
      <w:r>
        <w:rPr>
          <w:spacing w:val="-3"/>
          <w:w w:val="105"/>
        </w:rPr>
        <w:t> </w:t>
      </w:r>
      <w:r>
        <w:rPr>
          <w:w w:val="105"/>
        </w:rPr>
        <w:t>compared</w:t>
      </w:r>
      <w:r>
        <w:rPr>
          <w:spacing w:val="-4"/>
          <w:w w:val="105"/>
        </w:rPr>
        <w:t> </w:t>
      </w:r>
      <w:r>
        <w:rPr>
          <w:w w:val="105"/>
        </w:rPr>
        <w:t>to</w:t>
      </w:r>
      <w:r>
        <w:rPr>
          <w:spacing w:val="-3"/>
          <w:w w:val="105"/>
        </w:rPr>
        <w:t> </w:t>
      </w:r>
      <w:r>
        <w:rPr>
          <w:w w:val="105"/>
        </w:rPr>
        <w:t>2002</w:t>
      </w:r>
      <w:r>
        <w:rPr>
          <w:spacing w:val="-3"/>
          <w:w w:val="105"/>
        </w:rPr>
        <w:t> </w:t>
      </w:r>
      <w:r>
        <w:rPr>
          <w:w w:val="105"/>
        </w:rPr>
        <w:t>net</w:t>
      </w:r>
      <w:r>
        <w:rPr>
          <w:spacing w:val="-3"/>
          <w:w w:val="105"/>
        </w:rPr>
        <w:t> </w:t>
      </w:r>
      <w:r>
        <w:rPr>
          <w:w w:val="105"/>
        </w:rPr>
        <w:t>income</w:t>
      </w:r>
      <w:r>
        <w:rPr>
          <w:spacing w:val="-4"/>
          <w:w w:val="105"/>
        </w:rPr>
        <w:t> </w:t>
      </w:r>
      <w:r>
        <w:rPr>
          <w:w w:val="105"/>
        </w:rPr>
        <w:t>of</w:t>
      </w:r>
      <w:r>
        <w:rPr>
          <w:spacing w:val="-3"/>
          <w:w w:val="105"/>
        </w:rPr>
        <w:t> </w:t>
      </w:r>
      <w:r>
        <w:rPr>
          <w:w w:val="105"/>
        </w:rPr>
        <w:t>$241</w:t>
      </w:r>
      <w:r>
        <w:rPr>
          <w:spacing w:val="-3"/>
          <w:w w:val="105"/>
        </w:rPr>
        <w:t> </w:t>
      </w:r>
      <w:r>
        <w:rPr>
          <w:w w:val="105"/>
        </w:rPr>
        <w:t>million</w:t>
      </w:r>
      <w:r>
        <w:rPr>
          <w:spacing w:val="-4"/>
          <w:w w:val="105"/>
        </w:rPr>
        <w:t> </w:t>
      </w:r>
      <w:r>
        <w:rPr>
          <w:w w:val="105"/>
        </w:rPr>
        <w:t>($.30</w:t>
      </w:r>
      <w:r>
        <w:rPr>
          <w:spacing w:val="-3"/>
          <w:w w:val="105"/>
        </w:rPr>
        <w:t> </w:t>
      </w:r>
      <w:r>
        <w:rPr>
          <w:w w:val="105"/>
        </w:rPr>
        <w:t>per</w:t>
      </w:r>
      <w:r>
        <w:rPr>
          <w:spacing w:val="-3"/>
          <w:w w:val="105"/>
        </w:rPr>
        <w:t> </w:t>
      </w:r>
      <w:r>
        <w:rPr>
          <w:w w:val="105"/>
        </w:rPr>
        <w:t>share,</w:t>
      </w:r>
      <w:r>
        <w:rPr>
          <w:spacing w:val="-3"/>
          <w:w w:val="105"/>
        </w:rPr>
        <w:t> </w:t>
      </w:r>
      <w:r>
        <w:rPr>
          <w:w w:val="105"/>
        </w:rPr>
        <w:t>diluted),</w:t>
      </w:r>
      <w:r>
        <w:rPr>
          <w:spacing w:val="-3"/>
          <w:w w:val="105"/>
        </w:rPr>
        <w:t> </w:t>
      </w:r>
      <w:r>
        <w:rPr>
          <w:w w:val="105"/>
        </w:rPr>
        <w:t>an</w:t>
      </w:r>
      <w:r>
        <w:rPr>
          <w:spacing w:val="-3"/>
          <w:w w:val="105"/>
        </w:rPr>
        <w:t> </w:t>
      </w:r>
      <w:r>
        <w:rPr>
          <w:w w:val="105"/>
        </w:rPr>
        <w:t>increase</w:t>
      </w:r>
      <w:r>
        <w:rPr>
          <w:spacing w:val="-4"/>
          <w:w w:val="105"/>
        </w:rPr>
        <w:t> </w:t>
      </w:r>
      <w:r>
        <w:rPr>
          <w:w w:val="105"/>
        </w:rPr>
        <w:t>of</w:t>
      </w:r>
      <w:r>
        <w:rPr>
          <w:spacing w:val="-3"/>
          <w:w w:val="105"/>
        </w:rPr>
        <w:t> </w:t>
      </w:r>
      <w:r>
        <w:rPr>
          <w:w w:val="105"/>
        </w:rPr>
        <w:t>$201 million or 83.4 percent. Operating income for 2003 was $483 million, an increase of $66 million, or 15.8 percent</w:t>
      </w:r>
      <w:r>
        <w:rPr>
          <w:spacing w:val="-17"/>
          <w:w w:val="105"/>
        </w:rPr>
        <w:t> </w:t>
      </w:r>
      <w:r>
        <w:rPr>
          <w:w w:val="105"/>
        </w:rPr>
        <w:t>compared</w:t>
      </w:r>
      <w:r>
        <w:rPr>
          <w:spacing w:val="-17"/>
          <w:w w:val="105"/>
        </w:rPr>
        <w:t> </w:t>
      </w:r>
      <w:r>
        <w:rPr>
          <w:w w:val="105"/>
        </w:rPr>
        <w:t>to</w:t>
      </w:r>
      <w:r>
        <w:rPr>
          <w:spacing w:val="-17"/>
          <w:w w:val="105"/>
        </w:rPr>
        <w:t> </w:t>
      </w:r>
      <w:r>
        <w:rPr>
          <w:w w:val="105"/>
        </w:rPr>
        <w:t>2002.</w:t>
      </w:r>
    </w:p>
    <w:p>
      <w:pPr>
        <w:pStyle w:val="BodyText"/>
        <w:spacing w:line="259" w:lineRule="auto" w:before="246"/>
        <w:ind w:left="115" w:right="188"/>
        <w:jc w:val="both"/>
      </w:pPr>
      <w:r>
        <w:rPr/>
        <w:pict>
          <v:line style="position:absolute;mso-position-horizontal-relative:page;mso-position-vertical-relative:paragraph;z-index:-232552" from="65.279999pt,170.917725pt" to="549.599999pt,170.917725pt" stroked="true" strokeweight=".96pt" strokecolor="#000000">
            <v:stroke dashstyle="solid"/>
            <w10:wrap type="none"/>
          </v:line>
        </w:pict>
      </w:r>
      <w:r>
        <w:rPr>
          <w:w w:val="105"/>
        </w:rPr>
        <w:t>As disclosed in Note 3 to the consolidated financial statements, results for 2003 included $271 million as</w:t>
      </w:r>
      <w:r>
        <w:rPr>
          <w:spacing w:val="55"/>
          <w:w w:val="105"/>
        </w:rPr>
        <w:t> </w:t>
      </w:r>
      <w:r>
        <w:rPr>
          <w:w w:val="105"/>
        </w:rPr>
        <w:t>“Other gains” from the Emergency Wartime Supplemental Appropriations Act (Wartime Act) and results for 2002 included $48 million as “Other gains” from grants under the Air Transportation Safety and </w:t>
      </w:r>
      <w:r>
        <w:rPr>
          <w:spacing w:val="2"/>
          <w:w w:val="105"/>
        </w:rPr>
        <w:t>System </w:t>
      </w:r>
      <w:r>
        <w:rPr>
          <w:w w:val="105"/>
        </w:rPr>
        <w:t>Stabilization Act (Stabilization Act). The Company believes that excluding the impact of these special items will </w:t>
      </w:r>
      <w:r>
        <w:rPr>
          <w:spacing w:val="2"/>
          <w:w w:val="105"/>
        </w:rPr>
        <w:t>enhance comparative analysis </w:t>
      </w:r>
      <w:r>
        <w:rPr>
          <w:w w:val="105"/>
        </w:rPr>
        <w:t>of results. The grants were </w:t>
      </w:r>
      <w:r>
        <w:rPr>
          <w:spacing w:val="2"/>
          <w:w w:val="105"/>
        </w:rPr>
        <w:t>made </w:t>
      </w:r>
      <w:r>
        <w:rPr>
          <w:w w:val="105"/>
        </w:rPr>
        <w:t>to stabilize and support the </w:t>
      </w:r>
      <w:r>
        <w:rPr>
          <w:spacing w:val="3"/>
          <w:w w:val="105"/>
        </w:rPr>
        <w:t>airline </w:t>
      </w:r>
      <w:r>
        <w:rPr>
          <w:w w:val="105"/>
        </w:rPr>
        <w:t>industry as a result of the devastating effects of the September 11, 2001 terrorist attacks and the 2003 war </w:t>
      </w:r>
      <w:r>
        <w:rPr>
          <w:spacing w:val="3"/>
          <w:w w:val="105"/>
        </w:rPr>
        <w:t>with Iraq. Neither </w:t>
      </w:r>
      <w:r>
        <w:rPr>
          <w:w w:val="105"/>
        </w:rPr>
        <w:t>of </w:t>
      </w:r>
      <w:r>
        <w:rPr>
          <w:spacing w:val="3"/>
          <w:w w:val="105"/>
        </w:rPr>
        <w:t>these grants </w:t>
      </w:r>
      <w:r>
        <w:rPr>
          <w:spacing w:val="2"/>
          <w:w w:val="105"/>
        </w:rPr>
        <w:t>was </w:t>
      </w:r>
      <w:r>
        <w:rPr>
          <w:spacing w:val="3"/>
          <w:w w:val="105"/>
        </w:rPr>
        <w:t>indicative </w:t>
      </w:r>
      <w:r>
        <w:rPr>
          <w:w w:val="105"/>
        </w:rPr>
        <w:t>of </w:t>
      </w:r>
      <w:r>
        <w:rPr>
          <w:spacing w:val="2"/>
          <w:w w:val="105"/>
        </w:rPr>
        <w:t>the </w:t>
      </w:r>
      <w:r>
        <w:rPr>
          <w:spacing w:val="3"/>
          <w:w w:val="105"/>
        </w:rPr>
        <w:t>Company’s operating performance </w:t>
      </w:r>
      <w:r>
        <w:rPr>
          <w:spacing w:val="2"/>
          <w:w w:val="105"/>
        </w:rPr>
        <w:t>for </w:t>
      </w:r>
      <w:r>
        <w:rPr>
          <w:spacing w:val="4"/>
          <w:w w:val="105"/>
        </w:rPr>
        <w:t>these </w:t>
      </w:r>
      <w:r>
        <w:rPr>
          <w:spacing w:val="2"/>
          <w:w w:val="105"/>
        </w:rPr>
        <w:t>respective periods, </w:t>
      </w:r>
      <w:r>
        <w:rPr>
          <w:w w:val="105"/>
        </w:rPr>
        <w:t>nor </w:t>
      </w:r>
      <w:r>
        <w:rPr>
          <w:spacing w:val="2"/>
          <w:w w:val="105"/>
        </w:rPr>
        <w:t>should they </w:t>
      </w:r>
      <w:r>
        <w:rPr>
          <w:w w:val="105"/>
        </w:rPr>
        <w:t>be </w:t>
      </w:r>
      <w:r>
        <w:rPr>
          <w:spacing w:val="2"/>
          <w:w w:val="105"/>
        </w:rPr>
        <w:t>considered </w:t>
      </w:r>
      <w:r>
        <w:rPr>
          <w:w w:val="105"/>
        </w:rPr>
        <w:t>in </w:t>
      </w:r>
      <w:r>
        <w:rPr>
          <w:spacing w:val="2"/>
          <w:w w:val="105"/>
        </w:rPr>
        <w:t>developing trend analysis </w:t>
      </w:r>
      <w:r>
        <w:rPr>
          <w:w w:val="105"/>
        </w:rPr>
        <w:t>for </w:t>
      </w:r>
      <w:r>
        <w:rPr>
          <w:spacing w:val="2"/>
          <w:w w:val="105"/>
        </w:rPr>
        <w:t>future periods. </w:t>
      </w:r>
      <w:r>
        <w:rPr>
          <w:spacing w:val="3"/>
          <w:w w:val="105"/>
        </w:rPr>
        <w:t>The </w:t>
      </w:r>
      <w:r>
        <w:rPr>
          <w:w w:val="105"/>
        </w:rPr>
        <w:t>following table reconciles results reported in accordance with Generally Accepted Accounting Principles (GAAP) for 2003 and 2002 with results excluding the impact of the government grants received:</w:t>
      </w:r>
    </w:p>
    <w:p>
      <w:pPr>
        <w:pStyle w:val="BodyText"/>
        <w:spacing w:before="8"/>
        <w:rPr>
          <w:sz w:val="22"/>
        </w:rPr>
      </w:pPr>
    </w:p>
    <w:tbl>
      <w:tblPr>
        <w:tblW w:w="0" w:type="auto"/>
        <w:jc w:val="left"/>
        <w:tblInd w:w="12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475"/>
        <w:gridCol w:w="1827"/>
        <w:gridCol w:w="1418"/>
      </w:tblGrid>
      <w:tr>
        <w:trPr>
          <w:trHeight w:val="394" w:hRule="exact"/>
        </w:trPr>
        <w:tc>
          <w:tcPr>
            <w:tcW w:w="6475" w:type="dxa"/>
            <w:tcBorders>
              <w:top w:val="single" w:sz="8" w:space="0" w:color="000000"/>
            </w:tcBorders>
          </w:tcPr>
          <w:p>
            <w:pPr>
              <w:pStyle w:val="TableParagraph"/>
              <w:spacing w:before="39"/>
              <w:ind w:left="43"/>
              <w:rPr>
                <w:rFonts w:ascii="Verdana"/>
                <w:sz w:val="20"/>
              </w:rPr>
            </w:pPr>
            <w:r>
              <w:rPr>
                <w:rFonts w:ascii="Verdana"/>
                <w:sz w:val="20"/>
              </w:rPr>
              <w:t>(in millions, except per share amounts)</w:t>
            </w:r>
          </w:p>
        </w:tc>
        <w:tc>
          <w:tcPr>
            <w:tcW w:w="1827" w:type="dxa"/>
            <w:tcBorders>
              <w:top w:val="single" w:sz="8" w:space="0" w:color="000000"/>
            </w:tcBorders>
          </w:tcPr>
          <w:p>
            <w:pPr>
              <w:pStyle w:val="TableParagraph"/>
              <w:spacing w:before="39"/>
              <w:ind w:left="780"/>
              <w:rPr>
                <w:rFonts w:ascii="Verdana"/>
                <w:sz w:val="20"/>
              </w:rPr>
            </w:pPr>
            <w:r>
              <w:rPr>
                <w:rFonts w:ascii="Verdana"/>
                <w:w w:val="105"/>
                <w:sz w:val="20"/>
              </w:rPr>
              <w:t>2003</w:t>
            </w:r>
          </w:p>
        </w:tc>
        <w:tc>
          <w:tcPr>
            <w:tcW w:w="1418" w:type="dxa"/>
            <w:tcBorders>
              <w:top w:val="single" w:sz="8" w:space="0" w:color="000000"/>
            </w:tcBorders>
          </w:tcPr>
          <w:p>
            <w:pPr>
              <w:pStyle w:val="TableParagraph"/>
              <w:spacing w:before="39"/>
              <w:ind w:left="428"/>
              <w:rPr>
                <w:rFonts w:ascii="Verdana"/>
                <w:sz w:val="20"/>
              </w:rPr>
            </w:pPr>
            <w:r>
              <w:rPr>
                <w:rFonts w:ascii="Verdana"/>
                <w:w w:val="105"/>
                <w:sz w:val="20"/>
              </w:rPr>
              <w:t>2002</w:t>
            </w:r>
          </w:p>
        </w:tc>
      </w:tr>
      <w:tr>
        <w:trPr>
          <w:trHeight w:val="341" w:hRule="exact"/>
        </w:trPr>
        <w:tc>
          <w:tcPr>
            <w:tcW w:w="6475" w:type="dxa"/>
          </w:tcPr>
          <w:p>
            <w:pPr>
              <w:pStyle w:val="TableParagraph"/>
              <w:spacing w:before="58"/>
              <w:ind w:left="43"/>
              <w:rPr>
                <w:rFonts w:ascii="Verdana"/>
                <w:sz w:val="20"/>
              </w:rPr>
            </w:pPr>
            <w:r>
              <w:rPr>
                <w:rFonts w:ascii="Verdana"/>
                <w:w w:val="95"/>
                <w:sz w:val="20"/>
              </w:rPr>
              <w:t>Operating expenses, as reported</w:t>
            </w:r>
          </w:p>
        </w:tc>
        <w:tc>
          <w:tcPr>
            <w:tcW w:w="1827" w:type="dxa"/>
          </w:tcPr>
          <w:p>
            <w:pPr>
              <w:pStyle w:val="TableParagraph"/>
              <w:tabs>
                <w:tab w:pos="424" w:val="left" w:leader="none"/>
              </w:tabs>
              <w:spacing w:before="58"/>
              <w:ind w:right="226"/>
              <w:jc w:val="right"/>
              <w:rPr>
                <w:rFonts w:ascii="Verdana"/>
                <w:sz w:val="20"/>
              </w:rPr>
            </w:pPr>
            <w:r>
              <w:rPr>
                <w:rFonts w:ascii="Verdana"/>
                <w:w w:val="105"/>
                <w:sz w:val="20"/>
              </w:rPr>
              <w:t>$</w:t>
              <w:tab/>
            </w:r>
            <w:r>
              <w:rPr>
                <w:rFonts w:ascii="Verdana"/>
                <w:spacing w:val="-2"/>
                <w:sz w:val="20"/>
              </w:rPr>
              <w:t>5,454</w:t>
            </w:r>
          </w:p>
        </w:tc>
        <w:tc>
          <w:tcPr>
            <w:tcW w:w="1418" w:type="dxa"/>
          </w:tcPr>
          <w:p>
            <w:pPr>
              <w:pStyle w:val="TableParagraph"/>
              <w:tabs>
                <w:tab w:pos="645" w:val="left" w:leader="none"/>
              </w:tabs>
              <w:spacing w:before="58"/>
              <w:ind w:left="223"/>
              <w:rPr>
                <w:rFonts w:ascii="Verdana"/>
                <w:sz w:val="20"/>
              </w:rPr>
            </w:pPr>
            <w:r>
              <w:rPr>
                <w:rFonts w:ascii="Verdana"/>
                <w:w w:val="105"/>
                <w:sz w:val="20"/>
              </w:rPr>
              <w:t>$</w:t>
              <w:tab/>
              <w:t>5,105</w:t>
            </w:r>
          </w:p>
        </w:tc>
      </w:tr>
      <w:tr>
        <w:trPr>
          <w:trHeight w:val="279" w:hRule="exact"/>
        </w:trPr>
        <w:tc>
          <w:tcPr>
            <w:tcW w:w="6475" w:type="dxa"/>
          </w:tcPr>
          <w:p>
            <w:pPr>
              <w:pStyle w:val="TableParagraph"/>
              <w:spacing w:line="239" w:lineRule="exact"/>
              <w:ind w:left="43"/>
              <w:rPr>
                <w:rFonts w:ascii="Verdana"/>
                <w:sz w:val="20"/>
              </w:rPr>
            </w:pPr>
            <w:r>
              <w:rPr>
                <w:rFonts w:ascii="Verdana"/>
                <w:sz w:val="20"/>
              </w:rPr>
              <w:t>Profitsharing impact of Stabilization Act grant</w:t>
            </w:r>
          </w:p>
        </w:tc>
        <w:tc>
          <w:tcPr>
            <w:tcW w:w="1827" w:type="dxa"/>
          </w:tcPr>
          <w:p>
            <w:pPr>
              <w:pStyle w:val="TableParagraph"/>
              <w:spacing w:line="239" w:lineRule="exact"/>
              <w:ind w:right="227"/>
              <w:jc w:val="right"/>
              <w:rPr>
                <w:rFonts w:ascii="Verdana"/>
                <w:sz w:val="20"/>
              </w:rPr>
            </w:pPr>
            <w:r>
              <w:rPr>
                <w:rFonts w:ascii="Verdana"/>
                <w:w w:val="84"/>
                <w:sz w:val="20"/>
              </w:rPr>
              <w:t>-</w:t>
            </w:r>
          </w:p>
        </w:tc>
        <w:tc>
          <w:tcPr>
            <w:tcW w:w="1418" w:type="dxa"/>
          </w:tcPr>
          <w:p>
            <w:pPr>
              <w:pStyle w:val="TableParagraph"/>
              <w:spacing w:line="239" w:lineRule="exact"/>
              <w:ind w:right="80"/>
              <w:jc w:val="right"/>
              <w:rPr>
                <w:rFonts w:ascii="Verdana"/>
                <w:sz w:val="20"/>
              </w:rPr>
            </w:pPr>
            <w:r>
              <w:rPr>
                <w:rFonts w:ascii="Verdana"/>
                <w:sz w:val="20"/>
              </w:rPr>
              <w:t>(7)</w:t>
            </w:r>
          </w:p>
        </w:tc>
      </w:tr>
      <w:tr>
        <w:trPr>
          <w:trHeight w:val="274" w:hRule="exact"/>
        </w:trPr>
        <w:tc>
          <w:tcPr>
            <w:tcW w:w="6475" w:type="dxa"/>
          </w:tcPr>
          <w:p>
            <w:pPr>
              <w:pStyle w:val="TableParagraph"/>
              <w:spacing w:line="239" w:lineRule="exact"/>
              <w:ind w:left="43"/>
              <w:rPr>
                <w:rFonts w:ascii="Verdana"/>
                <w:sz w:val="20"/>
              </w:rPr>
            </w:pPr>
            <w:r>
              <w:rPr>
                <w:rFonts w:ascii="Verdana"/>
                <w:sz w:val="20"/>
              </w:rPr>
              <w:t>Profitsharing impact of Wartime Act grant</w:t>
            </w:r>
          </w:p>
        </w:tc>
        <w:tc>
          <w:tcPr>
            <w:tcW w:w="1827" w:type="dxa"/>
          </w:tcPr>
          <w:p>
            <w:pPr>
              <w:pStyle w:val="TableParagraph"/>
              <w:tabs>
                <w:tab w:pos="796" w:val="left" w:leader="none"/>
              </w:tabs>
              <w:spacing w:line="239" w:lineRule="exact"/>
              <w:ind w:right="135"/>
              <w:jc w:val="right"/>
              <w:rPr>
                <w:rFonts w:ascii="Verdana"/>
                <w:sz w:val="20"/>
              </w:rPr>
            </w:pPr>
            <w:r>
              <w:rPr>
                <w:rFonts w:ascii="Verdana"/>
                <w:w w:val="95"/>
                <w:sz w:val="20"/>
                <w:u w:val="single"/>
              </w:rPr>
              <w:t> </w:t>
            </w:r>
            <w:r>
              <w:rPr>
                <w:rFonts w:ascii="Verdana"/>
                <w:sz w:val="20"/>
                <w:u w:val="single"/>
              </w:rPr>
              <w:tab/>
              <w:t>(40)</w:t>
            </w:r>
          </w:p>
        </w:tc>
        <w:tc>
          <w:tcPr>
            <w:tcW w:w="1418" w:type="dxa"/>
          </w:tcPr>
          <w:p>
            <w:pPr>
              <w:pStyle w:val="TableParagraph"/>
              <w:tabs>
                <w:tab w:pos="1078" w:val="left" w:leader="none"/>
              </w:tabs>
              <w:spacing w:line="239" w:lineRule="exact"/>
              <w:ind w:right="31"/>
              <w:jc w:val="right"/>
              <w:rPr>
                <w:rFonts w:ascii="Verdana"/>
                <w:sz w:val="20"/>
              </w:rPr>
            </w:pPr>
            <w:r>
              <w:rPr>
                <w:rFonts w:ascii="Verdana"/>
                <w:w w:val="95"/>
                <w:sz w:val="20"/>
                <w:u w:val="single"/>
              </w:rPr>
              <w:t> </w:t>
            </w:r>
            <w:r>
              <w:rPr>
                <w:rFonts w:ascii="Verdana"/>
                <w:sz w:val="20"/>
                <w:u w:val="single"/>
              </w:rPr>
              <w:tab/>
            </w:r>
            <w:r>
              <w:rPr>
                <w:rFonts w:ascii="Verdana"/>
                <w:w w:val="80"/>
                <w:sz w:val="20"/>
                <w:u w:val="single"/>
              </w:rPr>
              <w:t>-</w:t>
            </w:r>
            <w:r>
              <w:rPr>
                <w:rFonts w:ascii="Verdana"/>
                <w:sz w:val="20"/>
                <w:u w:val="single"/>
              </w:rPr>
              <w:t> </w:t>
            </w:r>
          </w:p>
        </w:tc>
      </w:tr>
      <w:tr>
        <w:trPr>
          <w:trHeight w:val="380" w:hRule="exact"/>
        </w:trPr>
        <w:tc>
          <w:tcPr>
            <w:tcW w:w="6475" w:type="dxa"/>
          </w:tcPr>
          <w:p>
            <w:pPr>
              <w:pStyle w:val="TableParagraph"/>
              <w:spacing w:line="234" w:lineRule="exact"/>
              <w:ind w:left="43"/>
              <w:rPr>
                <w:rFonts w:ascii="Verdana"/>
                <w:sz w:val="20"/>
              </w:rPr>
            </w:pPr>
            <w:r>
              <w:rPr>
                <w:rFonts w:ascii="Verdana"/>
                <w:sz w:val="20"/>
              </w:rPr>
              <w:t>Operating expenses, excluding impact of government grants</w:t>
            </w:r>
          </w:p>
        </w:tc>
        <w:tc>
          <w:tcPr>
            <w:tcW w:w="1827" w:type="dxa"/>
          </w:tcPr>
          <w:p>
            <w:pPr>
              <w:pStyle w:val="TableParagraph"/>
              <w:tabs>
                <w:tab w:pos="556" w:val="left" w:leader="none"/>
              </w:tabs>
              <w:spacing w:line="234" w:lineRule="exact"/>
              <w:ind w:right="86"/>
              <w:jc w:val="right"/>
              <w:rPr>
                <w:rFonts w:ascii="Verdana"/>
                <w:sz w:val="20"/>
              </w:rPr>
            </w:pPr>
            <w:r>
              <w:rPr>
                <w:rFonts w:ascii="Verdana"/>
                <w:w w:val="95"/>
                <w:sz w:val="20"/>
                <w:u w:val="thick"/>
              </w:rPr>
              <w:t> </w:t>
            </w:r>
            <w:r>
              <w:rPr>
                <w:rFonts w:ascii="Verdana"/>
                <w:spacing w:val="-4"/>
                <w:sz w:val="20"/>
                <w:u w:val="thick"/>
              </w:rPr>
              <w:t> </w:t>
            </w:r>
            <w:r>
              <w:rPr>
                <w:rFonts w:ascii="Verdana"/>
                <w:w w:val="105"/>
                <w:sz w:val="20"/>
                <w:u w:val="thick"/>
              </w:rPr>
              <w:t>$</w:t>
              <w:tab/>
            </w:r>
            <w:r>
              <w:rPr>
                <w:rFonts w:ascii="Verdana"/>
                <w:sz w:val="20"/>
                <w:u w:val="thick"/>
              </w:rPr>
              <w:t>5,414</w:t>
            </w:r>
            <w:r>
              <w:rPr>
                <w:rFonts w:ascii="Verdana"/>
                <w:spacing w:val="-1"/>
                <w:sz w:val="20"/>
                <w:u w:val="thick"/>
              </w:rPr>
              <w:t> </w:t>
            </w:r>
          </w:p>
        </w:tc>
        <w:tc>
          <w:tcPr>
            <w:tcW w:w="1418" w:type="dxa"/>
          </w:tcPr>
          <w:p>
            <w:pPr>
              <w:pStyle w:val="TableParagraph"/>
              <w:tabs>
                <w:tab w:pos="556" w:val="left" w:leader="none"/>
              </w:tabs>
              <w:spacing w:line="234" w:lineRule="exact"/>
              <w:ind w:right="30"/>
              <w:jc w:val="right"/>
              <w:rPr>
                <w:rFonts w:ascii="Verdana"/>
                <w:sz w:val="20"/>
              </w:rPr>
            </w:pPr>
            <w:r>
              <w:rPr>
                <w:rFonts w:ascii="Verdana"/>
                <w:w w:val="95"/>
                <w:sz w:val="20"/>
                <w:u w:val="thick"/>
              </w:rPr>
              <w:t> </w:t>
            </w:r>
            <w:r>
              <w:rPr>
                <w:rFonts w:ascii="Verdana"/>
                <w:spacing w:val="-4"/>
                <w:sz w:val="20"/>
                <w:u w:val="thick"/>
              </w:rPr>
              <w:t> </w:t>
            </w:r>
            <w:r>
              <w:rPr>
                <w:rFonts w:ascii="Verdana"/>
                <w:w w:val="105"/>
                <w:sz w:val="20"/>
                <w:u w:val="thick"/>
              </w:rPr>
              <w:t>$</w:t>
              <w:tab/>
            </w:r>
            <w:r>
              <w:rPr>
                <w:rFonts w:ascii="Verdana"/>
                <w:sz w:val="20"/>
                <w:u w:val="thick"/>
              </w:rPr>
              <w:t>5,098</w:t>
            </w:r>
            <w:r>
              <w:rPr>
                <w:rFonts w:ascii="Verdana"/>
                <w:spacing w:val="-2"/>
                <w:sz w:val="20"/>
                <w:u w:val="thick"/>
              </w:rPr>
              <w:t> </w:t>
            </w:r>
          </w:p>
        </w:tc>
      </w:tr>
      <w:tr>
        <w:trPr>
          <w:trHeight w:val="384" w:hRule="exact"/>
        </w:trPr>
        <w:tc>
          <w:tcPr>
            <w:tcW w:w="6475" w:type="dxa"/>
          </w:tcPr>
          <w:p>
            <w:pPr>
              <w:pStyle w:val="TableParagraph"/>
              <w:spacing w:before="101"/>
              <w:ind w:left="43"/>
              <w:rPr>
                <w:rFonts w:ascii="Verdana"/>
                <w:sz w:val="20"/>
              </w:rPr>
            </w:pPr>
            <w:r>
              <w:rPr>
                <w:rFonts w:ascii="Verdana"/>
                <w:sz w:val="20"/>
              </w:rPr>
              <w:t>Operating income, as reported</w:t>
            </w:r>
          </w:p>
        </w:tc>
        <w:tc>
          <w:tcPr>
            <w:tcW w:w="1827" w:type="dxa"/>
          </w:tcPr>
          <w:p>
            <w:pPr>
              <w:pStyle w:val="TableParagraph"/>
              <w:tabs>
                <w:tab w:pos="618" w:val="left" w:leader="none"/>
              </w:tabs>
              <w:spacing w:before="101"/>
              <w:ind w:right="226"/>
              <w:jc w:val="right"/>
              <w:rPr>
                <w:rFonts w:ascii="Verdana"/>
                <w:sz w:val="20"/>
              </w:rPr>
            </w:pPr>
            <w:r>
              <w:rPr>
                <w:rFonts w:ascii="Verdana"/>
                <w:w w:val="105"/>
                <w:sz w:val="20"/>
              </w:rPr>
              <w:t>$</w:t>
              <w:tab/>
              <w:t>483</w:t>
            </w:r>
          </w:p>
        </w:tc>
        <w:tc>
          <w:tcPr>
            <w:tcW w:w="1418" w:type="dxa"/>
          </w:tcPr>
          <w:p>
            <w:pPr>
              <w:pStyle w:val="TableParagraph"/>
              <w:tabs>
                <w:tab w:pos="841" w:val="left" w:leader="none"/>
              </w:tabs>
              <w:spacing w:before="101"/>
              <w:ind w:left="223"/>
              <w:rPr>
                <w:rFonts w:ascii="Verdana"/>
                <w:sz w:val="20"/>
              </w:rPr>
            </w:pPr>
            <w:r>
              <w:rPr>
                <w:rFonts w:ascii="Verdana"/>
                <w:w w:val="105"/>
                <w:sz w:val="20"/>
              </w:rPr>
              <w:t>$</w:t>
              <w:tab/>
              <w:t>417</w:t>
            </w:r>
          </w:p>
        </w:tc>
      </w:tr>
      <w:tr>
        <w:trPr>
          <w:trHeight w:val="279" w:hRule="exact"/>
        </w:trPr>
        <w:tc>
          <w:tcPr>
            <w:tcW w:w="6475" w:type="dxa"/>
          </w:tcPr>
          <w:p>
            <w:pPr>
              <w:pStyle w:val="TableParagraph"/>
              <w:spacing w:line="239" w:lineRule="exact"/>
              <w:ind w:left="43"/>
              <w:rPr>
                <w:rFonts w:ascii="Verdana"/>
                <w:sz w:val="20"/>
              </w:rPr>
            </w:pPr>
            <w:r>
              <w:rPr>
                <w:rFonts w:ascii="Verdana"/>
                <w:sz w:val="20"/>
              </w:rPr>
              <w:t>Profitsharing impact of Stabilization Act grant</w:t>
            </w:r>
          </w:p>
        </w:tc>
        <w:tc>
          <w:tcPr>
            <w:tcW w:w="1827" w:type="dxa"/>
          </w:tcPr>
          <w:p>
            <w:pPr>
              <w:pStyle w:val="TableParagraph"/>
              <w:spacing w:line="239" w:lineRule="exact"/>
              <w:ind w:right="227"/>
              <w:jc w:val="right"/>
              <w:rPr>
                <w:rFonts w:ascii="Verdana"/>
                <w:sz w:val="20"/>
              </w:rPr>
            </w:pPr>
            <w:r>
              <w:rPr>
                <w:rFonts w:ascii="Verdana"/>
                <w:w w:val="84"/>
                <w:sz w:val="20"/>
              </w:rPr>
              <w:t>-</w:t>
            </w:r>
          </w:p>
        </w:tc>
        <w:tc>
          <w:tcPr>
            <w:tcW w:w="1418" w:type="dxa"/>
          </w:tcPr>
          <w:p>
            <w:pPr>
              <w:pStyle w:val="TableParagraph"/>
              <w:spacing w:line="239" w:lineRule="exact"/>
              <w:ind w:right="171"/>
              <w:jc w:val="right"/>
              <w:rPr>
                <w:rFonts w:ascii="Verdana"/>
                <w:sz w:val="20"/>
              </w:rPr>
            </w:pPr>
            <w:r>
              <w:rPr>
                <w:rFonts w:ascii="Verdana"/>
                <w:w w:val="105"/>
                <w:sz w:val="20"/>
              </w:rPr>
              <w:t>7</w:t>
            </w:r>
          </w:p>
        </w:tc>
      </w:tr>
      <w:tr>
        <w:trPr>
          <w:trHeight w:val="274" w:hRule="exact"/>
        </w:trPr>
        <w:tc>
          <w:tcPr>
            <w:tcW w:w="6475" w:type="dxa"/>
          </w:tcPr>
          <w:p>
            <w:pPr>
              <w:pStyle w:val="TableParagraph"/>
              <w:spacing w:line="239" w:lineRule="exact"/>
              <w:ind w:left="43"/>
              <w:rPr>
                <w:rFonts w:ascii="Verdana"/>
                <w:sz w:val="20"/>
              </w:rPr>
            </w:pPr>
            <w:r>
              <w:rPr>
                <w:rFonts w:ascii="Verdana"/>
                <w:sz w:val="20"/>
              </w:rPr>
              <w:t>Profitsharing impact of Wartime Act grant</w:t>
            </w:r>
          </w:p>
        </w:tc>
        <w:tc>
          <w:tcPr>
            <w:tcW w:w="1827" w:type="dxa"/>
          </w:tcPr>
          <w:p>
            <w:pPr>
              <w:pStyle w:val="TableParagraph"/>
              <w:tabs>
                <w:tab w:pos="885" w:val="left" w:leader="none"/>
              </w:tabs>
              <w:spacing w:line="239" w:lineRule="exact"/>
              <w:ind w:right="86"/>
              <w:jc w:val="right"/>
              <w:rPr>
                <w:rFonts w:ascii="Verdana"/>
                <w:sz w:val="20"/>
              </w:rPr>
            </w:pPr>
            <w:r>
              <w:rPr>
                <w:rFonts w:ascii="Verdana"/>
                <w:w w:val="95"/>
                <w:sz w:val="20"/>
                <w:u w:val="single"/>
              </w:rPr>
              <w:t> </w:t>
            </w:r>
            <w:r>
              <w:rPr>
                <w:rFonts w:ascii="Verdana"/>
                <w:sz w:val="20"/>
                <w:u w:val="single"/>
              </w:rPr>
              <w:tab/>
            </w:r>
            <w:r>
              <w:rPr>
                <w:rFonts w:ascii="Verdana"/>
                <w:spacing w:val="-1"/>
                <w:w w:val="105"/>
                <w:sz w:val="20"/>
                <w:u w:val="single"/>
              </w:rPr>
              <w:t>40</w:t>
            </w:r>
            <w:r>
              <w:rPr>
                <w:rFonts w:ascii="Verdana"/>
                <w:spacing w:val="-1"/>
                <w:sz w:val="20"/>
                <w:u w:val="single"/>
              </w:rPr>
              <w:t> </w:t>
            </w:r>
          </w:p>
        </w:tc>
        <w:tc>
          <w:tcPr>
            <w:tcW w:w="1418" w:type="dxa"/>
          </w:tcPr>
          <w:p>
            <w:pPr>
              <w:pStyle w:val="TableParagraph"/>
              <w:tabs>
                <w:tab w:pos="1078" w:val="left" w:leader="none"/>
              </w:tabs>
              <w:spacing w:line="239" w:lineRule="exact"/>
              <w:ind w:right="31"/>
              <w:jc w:val="right"/>
              <w:rPr>
                <w:rFonts w:ascii="Verdana"/>
                <w:sz w:val="20"/>
              </w:rPr>
            </w:pPr>
            <w:r>
              <w:rPr>
                <w:rFonts w:ascii="Verdana"/>
                <w:w w:val="95"/>
                <w:sz w:val="20"/>
                <w:u w:val="single"/>
              </w:rPr>
              <w:t> </w:t>
            </w:r>
            <w:r>
              <w:rPr>
                <w:rFonts w:ascii="Verdana"/>
                <w:sz w:val="20"/>
                <w:u w:val="single"/>
              </w:rPr>
              <w:tab/>
            </w:r>
            <w:r>
              <w:rPr>
                <w:rFonts w:ascii="Verdana"/>
                <w:w w:val="80"/>
                <w:sz w:val="20"/>
                <w:u w:val="single"/>
              </w:rPr>
              <w:t>-</w:t>
            </w:r>
            <w:r>
              <w:rPr>
                <w:rFonts w:ascii="Verdana"/>
                <w:sz w:val="20"/>
                <w:u w:val="single"/>
              </w:rPr>
              <w:t> </w:t>
            </w:r>
          </w:p>
        </w:tc>
      </w:tr>
      <w:tr>
        <w:trPr>
          <w:trHeight w:val="380" w:hRule="exact"/>
        </w:trPr>
        <w:tc>
          <w:tcPr>
            <w:tcW w:w="6475" w:type="dxa"/>
          </w:tcPr>
          <w:p>
            <w:pPr>
              <w:pStyle w:val="TableParagraph"/>
              <w:spacing w:line="234" w:lineRule="exact"/>
              <w:ind w:left="43"/>
              <w:rPr>
                <w:rFonts w:ascii="Verdana"/>
                <w:sz w:val="20"/>
              </w:rPr>
            </w:pPr>
            <w:r>
              <w:rPr>
                <w:rFonts w:ascii="Verdana"/>
                <w:sz w:val="20"/>
              </w:rPr>
              <w:t>Operating income, excluding impact of government grants</w:t>
            </w:r>
          </w:p>
        </w:tc>
        <w:tc>
          <w:tcPr>
            <w:tcW w:w="1827" w:type="dxa"/>
          </w:tcPr>
          <w:p>
            <w:pPr>
              <w:pStyle w:val="TableParagraph"/>
              <w:tabs>
                <w:tab w:pos="752" w:val="left" w:leader="none"/>
              </w:tabs>
              <w:spacing w:line="234" w:lineRule="exact"/>
              <w:ind w:right="86"/>
              <w:jc w:val="right"/>
              <w:rPr>
                <w:rFonts w:ascii="Verdana"/>
                <w:sz w:val="20"/>
              </w:rPr>
            </w:pPr>
            <w:r>
              <w:rPr>
                <w:rFonts w:ascii="Verdana"/>
                <w:w w:val="95"/>
                <w:sz w:val="20"/>
                <w:u w:val="thick"/>
              </w:rPr>
              <w:t> </w:t>
            </w:r>
            <w:r>
              <w:rPr>
                <w:rFonts w:ascii="Verdana"/>
                <w:spacing w:val="-4"/>
                <w:sz w:val="20"/>
                <w:u w:val="thick"/>
              </w:rPr>
              <w:t> </w:t>
            </w:r>
            <w:r>
              <w:rPr>
                <w:rFonts w:ascii="Verdana"/>
                <w:w w:val="105"/>
                <w:sz w:val="20"/>
                <w:u w:val="thick"/>
              </w:rPr>
              <w:t>$</w:t>
              <w:tab/>
              <w:t>523</w:t>
            </w:r>
            <w:r>
              <w:rPr>
                <w:rFonts w:ascii="Verdana"/>
                <w:spacing w:val="-1"/>
                <w:sz w:val="20"/>
                <w:u w:val="thick"/>
              </w:rPr>
              <w:t> </w:t>
            </w:r>
          </w:p>
        </w:tc>
        <w:tc>
          <w:tcPr>
            <w:tcW w:w="1418" w:type="dxa"/>
          </w:tcPr>
          <w:p>
            <w:pPr>
              <w:pStyle w:val="TableParagraph"/>
              <w:tabs>
                <w:tab w:pos="752" w:val="left" w:leader="none"/>
              </w:tabs>
              <w:spacing w:line="234" w:lineRule="exact"/>
              <w:ind w:right="30"/>
              <w:jc w:val="right"/>
              <w:rPr>
                <w:rFonts w:ascii="Verdana"/>
                <w:sz w:val="20"/>
              </w:rPr>
            </w:pPr>
            <w:r>
              <w:rPr>
                <w:rFonts w:ascii="Verdana"/>
                <w:w w:val="95"/>
                <w:sz w:val="20"/>
                <w:u w:val="thick"/>
              </w:rPr>
              <w:t> </w:t>
            </w:r>
            <w:r>
              <w:rPr>
                <w:rFonts w:ascii="Verdana"/>
                <w:spacing w:val="-4"/>
                <w:sz w:val="20"/>
                <w:u w:val="thick"/>
              </w:rPr>
              <w:t> </w:t>
            </w:r>
            <w:r>
              <w:rPr>
                <w:rFonts w:ascii="Verdana"/>
                <w:w w:val="105"/>
                <w:sz w:val="20"/>
                <w:u w:val="thick"/>
              </w:rPr>
              <w:t>$</w:t>
              <w:tab/>
              <w:t>424</w:t>
            </w:r>
            <w:r>
              <w:rPr>
                <w:rFonts w:ascii="Verdana"/>
                <w:spacing w:val="-2"/>
                <w:sz w:val="20"/>
                <w:u w:val="thick"/>
              </w:rPr>
              <w:t> </w:t>
            </w:r>
          </w:p>
        </w:tc>
      </w:tr>
      <w:tr>
        <w:trPr>
          <w:trHeight w:val="384" w:hRule="exact"/>
        </w:trPr>
        <w:tc>
          <w:tcPr>
            <w:tcW w:w="6475" w:type="dxa"/>
          </w:tcPr>
          <w:p>
            <w:pPr>
              <w:pStyle w:val="TableParagraph"/>
              <w:spacing w:before="101"/>
              <w:ind w:left="43"/>
              <w:rPr>
                <w:rFonts w:ascii="Verdana"/>
                <w:sz w:val="20"/>
              </w:rPr>
            </w:pPr>
            <w:r>
              <w:rPr>
                <w:rFonts w:ascii="Verdana"/>
                <w:sz w:val="20"/>
              </w:rPr>
              <w:t>Net income, as reported</w:t>
            </w:r>
          </w:p>
        </w:tc>
        <w:tc>
          <w:tcPr>
            <w:tcW w:w="1827" w:type="dxa"/>
          </w:tcPr>
          <w:p>
            <w:pPr>
              <w:pStyle w:val="TableParagraph"/>
              <w:tabs>
                <w:tab w:pos="618" w:val="left" w:leader="none"/>
              </w:tabs>
              <w:spacing w:before="101"/>
              <w:ind w:right="226"/>
              <w:jc w:val="right"/>
              <w:rPr>
                <w:rFonts w:ascii="Verdana"/>
                <w:sz w:val="20"/>
              </w:rPr>
            </w:pPr>
            <w:r>
              <w:rPr>
                <w:rFonts w:ascii="Verdana"/>
                <w:w w:val="105"/>
                <w:sz w:val="20"/>
              </w:rPr>
              <w:t>$</w:t>
              <w:tab/>
              <w:t>442</w:t>
            </w:r>
          </w:p>
        </w:tc>
        <w:tc>
          <w:tcPr>
            <w:tcW w:w="1418" w:type="dxa"/>
          </w:tcPr>
          <w:p>
            <w:pPr>
              <w:pStyle w:val="TableParagraph"/>
              <w:tabs>
                <w:tab w:pos="841" w:val="left" w:leader="none"/>
              </w:tabs>
              <w:spacing w:before="101"/>
              <w:ind w:left="223"/>
              <w:rPr>
                <w:rFonts w:ascii="Verdana"/>
                <w:sz w:val="20"/>
              </w:rPr>
            </w:pPr>
            <w:r>
              <w:rPr>
                <w:rFonts w:ascii="Verdana"/>
                <w:w w:val="105"/>
                <w:sz w:val="20"/>
              </w:rPr>
              <w:t>$</w:t>
              <w:tab/>
              <w:t>241</w:t>
            </w:r>
          </w:p>
        </w:tc>
      </w:tr>
      <w:tr>
        <w:trPr>
          <w:trHeight w:val="279" w:hRule="exact"/>
        </w:trPr>
        <w:tc>
          <w:tcPr>
            <w:tcW w:w="6475" w:type="dxa"/>
          </w:tcPr>
          <w:p>
            <w:pPr>
              <w:pStyle w:val="TableParagraph"/>
              <w:spacing w:line="239" w:lineRule="exact"/>
              <w:ind w:left="43"/>
              <w:rPr>
                <w:rFonts w:ascii="Verdana"/>
                <w:sz w:val="20"/>
              </w:rPr>
            </w:pPr>
            <w:r>
              <w:rPr>
                <w:rFonts w:ascii="Verdana"/>
                <w:sz w:val="20"/>
              </w:rPr>
              <w:t>Stabilization Act grant, net of income taxes and profitsharing</w:t>
            </w:r>
          </w:p>
        </w:tc>
        <w:tc>
          <w:tcPr>
            <w:tcW w:w="1827" w:type="dxa"/>
          </w:tcPr>
          <w:p>
            <w:pPr>
              <w:pStyle w:val="TableParagraph"/>
              <w:spacing w:line="239" w:lineRule="exact"/>
              <w:ind w:right="228"/>
              <w:jc w:val="right"/>
              <w:rPr>
                <w:rFonts w:ascii="Verdana"/>
                <w:sz w:val="20"/>
              </w:rPr>
            </w:pPr>
            <w:r>
              <w:rPr>
                <w:rFonts w:ascii="Verdana"/>
                <w:w w:val="84"/>
                <w:sz w:val="20"/>
              </w:rPr>
              <w:t>-</w:t>
            </w:r>
          </w:p>
        </w:tc>
        <w:tc>
          <w:tcPr>
            <w:tcW w:w="1418" w:type="dxa"/>
          </w:tcPr>
          <w:p>
            <w:pPr>
              <w:pStyle w:val="TableParagraph"/>
              <w:spacing w:line="239" w:lineRule="exact"/>
              <w:ind w:right="81"/>
              <w:jc w:val="right"/>
              <w:rPr>
                <w:rFonts w:ascii="Verdana"/>
                <w:sz w:val="20"/>
              </w:rPr>
            </w:pPr>
            <w:r>
              <w:rPr>
                <w:rFonts w:ascii="Verdana"/>
                <w:sz w:val="20"/>
              </w:rPr>
              <w:t>(25)</w:t>
            </w:r>
          </w:p>
        </w:tc>
      </w:tr>
      <w:tr>
        <w:trPr>
          <w:trHeight w:val="274" w:hRule="exact"/>
        </w:trPr>
        <w:tc>
          <w:tcPr>
            <w:tcW w:w="6475" w:type="dxa"/>
          </w:tcPr>
          <w:p>
            <w:pPr>
              <w:pStyle w:val="TableParagraph"/>
              <w:spacing w:line="239" w:lineRule="exact"/>
              <w:ind w:left="43"/>
              <w:rPr>
                <w:rFonts w:ascii="Verdana"/>
                <w:sz w:val="20"/>
              </w:rPr>
            </w:pPr>
            <w:r>
              <w:rPr>
                <w:rFonts w:ascii="Verdana"/>
                <w:sz w:val="20"/>
              </w:rPr>
              <w:t>Wartime Act grant, net of income taxes and profitsharing</w:t>
            </w:r>
          </w:p>
        </w:tc>
        <w:tc>
          <w:tcPr>
            <w:tcW w:w="1827" w:type="dxa"/>
          </w:tcPr>
          <w:p>
            <w:pPr>
              <w:pStyle w:val="TableParagraph"/>
              <w:tabs>
                <w:tab w:pos="662" w:val="left" w:leader="none"/>
              </w:tabs>
              <w:spacing w:line="239" w:lineRule="exact"/>
              <w:ind w:right="135"/>
              <w:jc w:val="right"/>
              <w:rPr>
                <w:rFonts w:ascii="Verdana"/>
                <w:sz w:val="20"/>
              </w:rPr>
            </w:pPr>
            <w:r>
              <w:rPr>
                <w:rFonts w:ascii="Verdana"/>
                <w:w w:val="95"/>
                <w:sz w:val="20"/>
                <w:u w:val="single"/>
              </w:rPr>
              <w:t> </w:t>
            </w:r>
            <w:r>
              <w:rPr>
                <w:rFonts w:ascii="Verdana"/>
                <w:sz w:val="20"/>
                <w:u w:val="single"/>
              </w:rPr>
              <w:tab/>
              <w:t>(144)</w:t>
            </w:r>
          </w:p>
        </w:tc>
        <w:tc>
          <w:tcPr>
            <w:tcW w:w="1418" w:type="dxa"/>
          </w:tcPr>
          <w:p>
            <w:pPr>
              <w:pStyle w:val="TableParagraph"/>
              <w:tabs>
                <w:tab w:pos="1078" w:val="left" w:leader="none"/>
              </w:tabs>
              <w:spacing w:line="239" w:lineRule="exact"/>
              <w:ind w:right="31"/>
              <w:jc w:val="right"/>
              <w:rPr>
                <w:rFonts w:ascii="Verdana"/>
                <w:sz w:val="20"/>
              </w:rPr>
            </w:pPr>
            <w:r>
              <w:rPr>
                <w:rFonts w:ascii="Verdana"/>
                <w:w w:val="95"/>
                <w:sz w:val="20"/>
                <w:u w:val="single"/>
              </w:rPr>
              <w:t> </w:t>
            </w:r>
            <w:r>
              <w:rPr>
                <w:rFonts w:ascii="Verdana"/>
                <w:sz w:val="20"/>
                <w:u w:val="single"/>
              </w:rPr>
              <w:tab/>
            </w:r>
            <w:r>
              <w:rPr>
                <w:rFonts w:ascii="Verdana"/>
                <w:w w:val="80"/>
                <w:sz w:val="20"/>
                <w:u w:val="single"/>
              </w:rPr>
              <w:t>-</w:t>
            </w:r>
            <w:r>
              <w:rPr>
                <w:rFonts w:ascii="Verdana"/>
                <w:spacing w:val="-1"/>
                <w:sz w:val="20"/>
                <w:u w:val="single"/>
              </w:rPr>
              <w:t> </w:t>
            </w:r>
          </w:p>
        </w:tc>
      </w:tr>
      <w:tr>
        <w:trPr>
          <w:trHeight w:val="380" w:hRule="exact"/>
        </w:trPr>
        <w:tc>
          <w:tcPr>
            <w:tcW w:w="6475" w:type="dxa"/>
          </w:tcPr>
          <w:p>
            <w:pPr>
              <w:pStyle w:val="TableParagraph"/>
              <w:spacing w:line="234" w:lineRule="exact"/>
              <w:ind w:left="43"/>
              <w:rPr>
                <w:rFonts w:ascii="Verdana"/>
                <w:sz w:val="20"/>
              </w:rPr>
            </w:pPr>
            <w:r>
              <w:rPr>
                <w:rFonts w:ascii="Verdana"/>
                <w:sz w:val="20"/>
              </w:rPr>
              <w:t>Net income, excluding government grants</w:t>
            </w:r>
          </w:p>
        </w:tc>
        <w:tc>
          <w:tcPr>
            <w:tcW w:w="1827" w:type="dxa"/>
          </w:tcPr>
          <w:p>
            <w:pPr>
              <w:pStyle w:val="TableParagraph"/>
              <w:tabs>
                <w:tab w:pos="751" w:val="left" w:leader="none"/>
              </w:tabs>
              <w:spacing w:line="234" w:lineRule="exact"/>
              <w:ind w:right="86"/>
              <w:jc w:val="right"/>
              <w:rPr>
                <w:rFonts w:ascii="Verdana"/>
                <w:sz w:val="20"/>
              </w:rPr>
            </w:pPr>
            <w:r>
              <w:rPr>
                <w:rFonts w:ascii="Verdana"/>
                <w:w w:val="95"/>
                <w:sz w:val="20"/>
                <w:u w:val="thick"/>
              </w:rPr>
              <w:t> </w:t>
            </w:r>
            <w:r>
              <w:rPr>
                <w:rFonts w:ascii="Verdana"/>
                <w:spacing w:val="-4"/>
                <w:sz w:val="20"/>
                <w:u w:val="thick"/>
              </w:rPr>
              <w:t> </w:t>
            </w:r>
            <w:r>
              <w:rPr>
                <w:rFonts w:ascii="Verdana"/>
                <w:w w:val="105"/>
                <w:sz w:val="20"/>
                <w:u w:val="thick"/>
              </w:rPr>
              <w:t>$</w:t>
              <w:tab/>
            </w:r>
            <w:r>
              <w:rPr>
                <w:rFonts w:ascii="Verdana"/>
                <w:spacing w:val="-1"/>
                <w:w w:val="105"/>
                <w:sz w:val="20"/>
                <w:u w:val="thick"/>
              </w:rPr>
              <w:t>298</w:t>
            </w:r>
            <w:r>
              <w:rPr>
                <w:rFonts w:ascii="Verdana"/>
                <w:spacing w:val="-1"/>
                <w:sz w:val="20"/>
                <w:u w:val="thick"/>
              </w:rPr>
              <w:t> </w:t>
            </w:r>
          </w:p>
        </w:tc>
        <w:tc>
          <w:tcPr>
            <w:tcW w:w="1418" w:type="dxa"/>
          </w:tcPr>
          <w:p>
            <w:pPr>
              <w:pStyle w:val="TableParagraph"/>
              <w:tabs>
                <w:tab w:pos="752" w:val="left" w:leader="none"/>
              </w:tabs>
              <w:spacing w:line="234" w:lineRule="exact"/>
              <w:ind w:right="30"/>
              <w:jc w:val="right"/>
              <w:rPr>
                <w:rFonts w:ascii="Verdana"/>
                <w:sz w:val="20"/>
              </w:rPr>
            </w:pPr>
            <w:r>
              <w:rPr>
                <w:rFonts w:ascii="Verdana"/>
                <w:w w:val="95"/>
                <w:sz w:val="20"/>
                <w:u w:val="thick"/>
              </w:rPr>
              <w:t> </w:t>
            </w:r>
            <w:r>
              <w:rPr>
                <w:rFonts w:ascii="Verdana"/>
                <w:spacing w:val="-4"/>
                <w:sz w:val="20"/>
                <w:u w:val="thick"/>
              </w:rPr>
              <w:t> </w:t>
            </w:r>
            <w:r>
              <w:rPr>
                <w:rFonts w:ascii="Verdana"/>
                <w:w w:val="105"/>
                <w:sz w:val="20"/>
                <w:u w:val="thick"/>
              </w:rPr>
              <w:t>$</w:t>
              <w:tab/>
              <w:t>216</w:t>
            </w:r>
            <w:r>
              <w:rPr>
                <w:rFonts w:ascii="Verdana"/>
                <w:spacing w:val="-2"/>
                <w:sz w:val="20"/>
                <w:u w:val="thick"/>
              </w:rPr>
              <w:t> </w:t>
            </w:r>
          </w:p>
        </w:tc>
      </w:tr>
      <w:tr>
        <w:trPr>
          <w:trHeight w:val="384" w:hRule="exact"/>
        </w:trPr>
        <w:tc>
          <w:tcPr>
            <w:tcW w:w="6475" w:type="dxa"/>
          </w:tcPr>
          <w:p>
            <w:pPr>
              <w:pStyle w:val="TableParagraph"/>
              <w:spacing w:before="101"/>
              <w:ind w:left="43"/>
              <w:rPr>
                <w:rFonts w:ascii="Verdana"/>
                <w:sz w:val="20"/>
              </w:rPr>
            </w:pPr>
            <w:r>
              <w:rPr>
                <w:rFonts w:ascii="Verdana"/>
                <w:sz w:val="20"/>
              </w:rPr>
              <w:t>Net income per share, diluted, as reported</w:t>
            </w:r>
          </w:p>
        </w:tc>
        <w:tc>
          <w:tcPr>
            <w:tcW w:w="1827" w:type="dxa"/>
          </w:tcPr>
          <w:p>
            <w:pPr>
              <w:pStyle w:val="TableParagraph"/>
              <w:tabs>
                <w:tab w:pos="537" w:val="left" w:leader="none"/>
              </w:tabs>
              <w:spacing w:before="101"/>
              <w:ind w:right="201"/>
              <w:jc w:val="right"/>
              <w:rPr>
                <w:rFonts w:ascii="Verdana"/>
                <w:sz w:val="20"/>
              </w:rPr>
            </w:pPr>
            <w:r>
              <w:rPr>
                <w:rFonts w:ascii="Verdana"/>
                <w:w w:val="105"/>
                <w:sz w:val="20"/>
              </w:rPr>
              <w:t>$</w:t>
              <w:tab/>
            </w:r>
            <w:r>
              <w:rPr>
                <w:rFonts w:ascii="Verdana"/>
                <w:spacing w:val="-2"/>
                <w:sz w:val="20"/>
              </w:rPr>
              <w:t>.54</w:t>
            </w:r>
          </w:p>
        </w:tc>
        <w:tc>
          <w:tcPr>
            <w:tcW w:w="1418" w:type="dxa"/>
          </w:tcPr>
          <w:p>
            <w:pPr>
              <w:pStyle w:val="TableParagraph"/>
              <w:tabs>
                <w:tab w:pos="938" w:val="left" w:leader="none"/>
              </w:tabs>
              <w:spacing w:before="101"/>
              <w:ind w:left="401"/>
              <w:rPr>
                <w:rFonts w:ascii="Verdana"/>
                <w:sz w:val="20"/>
              </w:rPr>
            </w:pPr>
            <w:r>
              <w:rPr>
                <w:rFonts w:ascii="Verdana"/>
                <w:w w:val="105"/>
                <w:sz w:val="20"/>
              </w:rPr>
              <w:t>$</w:t>
              <w:tab/>
              <w:t>.30</w:t>
            </w:r>
          </w:p>
        </w:tc>
      </w:tr>
      <w:tr>
        <w:trPr>
          <w:trHeight w:val="279" w:hRule="exact"/>
        </w:trPr>
        <w:tc>
          <w:tcPr>
            <w:tcW w:w="6475" w:type="dxa"/>
          </w:tcPr>
          <w:p>
            <w:pPr>
              <w:pStyle w:val="TableParagraph"/>
              <w:spacing w:line="239" w:lineRule="exact"/>
              <w:ind w:left="43"/>
              <w:rPr>
                <w:rFonts w:ascii="Verdana"/>
                <w:sz w:val="20"/>
              </w:rPr>
            </w:pPr>
            <w:r>
              <w:rPr>
                <w:rFonts w:ascii="Verdana"/>
                <w:sz w:val="20"/>
              </w:rPr>
              <w:t>Stabilization Act grant, net of income taxes and profitsharing</w:t>
            </w:r>
          </w:p>
        </w:tc>
        <w:tc>
          <w:tcPr>
            <w:tcW w:w="1827" w:type="dxa"/>
          </w:tcPr>
          <w:p>
            <w:pPr>
              <w:pStyle w:val="TableParagraph"/>
              <w:spacing w:line="239" w:lineRule="exact"/>
              <w:ind w:right="228"/>
              <w:jc w:val="right"/>
              <w:rPr>
                <w:rFonts w:ascii="Verdana"/>
                <w:sz w:val="20"/>
              </w:rPr>
            </w:pPr>
            <w:r>
              <w:rPr>
                <w:rFonts w:ascii="Verdana"/>
                <w:w w:val="84"/>
                <w:sz w:val="20"/>
              </w:rPr>
              <w:t>-</w:t>
            </w:r>
          </w:p>
        </w:tc>
        <w:tc>
          <w:tcPr>
            <w:tcW w:w="1418" w:type="dxa"/>
          </w:tcPr>
          <w:p>
            <w:pPr>
              <w:pStyle w:val="TableParagraph"/>
              <w:spacing w:line="239" w:lineRule="exact"/>
              <w:ind w:right="82"/>
              <w:jc w:val="right"/>
              <w:rPr>
                <w:rFonts w:ascii="Verdana"/>
                <w:sz w:val="20"/>
              </w:rPr>
            </w:pPr>
            <w:r>
              <w:rPr>
                <w:rFonts w:ascii="Verdana"/>
                <w:sz w:val="20"/>
              </w:rPr>
              <w:t>(.03)</w:t>
            </w:r>
          </w:p>
        </w:tc>
      </w:tr>
      <w:tr>
        <w:trPr>
          <w:trHeight w:val="274" w:hRule="exact"/>
        </w:trPr>
        <w:tc>
          <w:tcPr>
            <w:tcW w:w="6475" w:type="dxa"/>
          </w:tcPr>
          <w:p>
            <w:pPr>
              <w:pStyle w:val="TableParagraph"/>
              <w:spacing w:line="239" w:lineRule="exact"/>
              <w:ind w:left="43"/>
              <w:rPr>
                <w:rFonts w:ascii="Verdana"/>
                <w:sz w:val="20"/>
              </w:rPr>
            </w:pPr>
            <w:r>
              <w:rPr>
                <w:rFonts w:ascii="Verdana"/>
                <w:sz w:val="20"/>
              </w:rPr>
              <w:t>Wartime Act grant, net of income taxes and profitsharing</w:t>
            </w:r>
          </w:p>
        </w:tc>
        <w:tc>
          <w:tcPr>
            <w:tcW w:w="1827" w:type="dxa"/>
          </w:tcPr>
          <w:p>
            <w:pPr>
              <w:pStyle w:val="TableParagraph"/>
              <w:tabs>
                <w:tab w:pos="735" w:val="left" w:leader="none"/>
              </w:tabs>
              <w:spacing w:line="239" w:lineRule="exact"/>
              <w:ind w:right="135"/>
              <w:jc w:val="right"/>
              <w:rPr>
                <w:rFonts w:ascii="Verdana"/>
                <w:sz w:val="20"/>
              </w:rPr>
            </w:pPr>
            <w:r>
              <w:rPr>
                <w:rFonts w:ascii="Verdana"/>
                <w:w w:val="95"/>
                <w:sz w:val="20"/>
                <w:u w:val="single"/>
              </w:rPr>
              <w:t> </w:t>
            </w:r>
            <w:r>
              <w:rPr>
                <w:rFonts w:ascii="Verdana"/>
                <w:sz w:val="20"/>
                <w:u w:val="single"/>
              </w:rPr>
              <w:tab/>
              <w:t>(.18)</w:t>
            </w:r>
          </w:p>
        </w:tc>
        <w:tc>
          <w:tcPr>
            <w:tcW w:w="1418" w:type="dxa"/>
          </w:tcPr>
          <w:p>
            <w:pPr>
              <w:pStyle w:val="TableParagraph"/>
              <w:tabs>
                <w:tab w:pos="1078" w:val="left" w:leader="none"/>
              </w:tabs>
              <w:spacing w:line="239" w:lineRule="exact"/>
              <w:ind w:right="31"/>
              <w:jc w:val="right"/>
              <w:rPr>
                <w:rFonts w:ascii="Verdana"/>
                <w:sz w:val="20"/>
              </w:rPr>
            </w:pPr>
            <w:r>
              <w:rPr>
                <w:rFonts w:ascii="Verdana"/>
                <w:w w:val="95"/>
                <w:sz w:val="20"/>
                <w:u w:val="single"/>
              </w:rPr>
              <w:t> </w:t>
            </w:r>
            <w:r>
              <w:rPr>
                <w:rFonts w:ascii="Verdana"/>
                <w:sz w:val="20"/>
                <w:u w:val="single"/>
              </w:rPr>
              <w:tab/>
            </w:r>
            <w:r>
              <w:rPr>
                <w:rFonts w:ascii="Verdana"/>
                <w:w w:val="80"/>
                <w:sz w:val="20"/>
                <w:u w:val="single"/>
              </w:rPr>
              <w:t>-</w:t>
            </w:r>
            <w:r>
              <w:rPr>
                <w:rFonts w:ascii="Verdana"/>
                <w:sz w:val="20"/>
                <w:u w:val="single"/>
              </w:rPr>
              <w:t> </w:t>
            </w:r>
          </w:p>
        </w:tc>
      </w:tr>
      <w:tr>
        <w:trPr>
          <w:trHeight w:val="279" w:hRule="exact"/>
        </w:trPr>
        <w:tc>
          <w:tcPr>
            <w:tcW w:w="6475" w:type="dxa"/>
          </w:tcPr>
          <w:p>
            <w:pPr>
              <w:pStyle w:val="TableParagraph"/>
              <w:spacing w:line="234" w:lineRule="exact"/>
              <w:ind w:left="43"/>
              <w:rPr>
                <w:rFonts w:ascii="Verdana"/>
                <w:sz w:val="20"/>
              </w:rPr>
            </w:pPr>
            <w:r>
              <w:rPr>
                <w:rFonts w:ascii="Verdana"/>
                <w:sz w:val="20"/>
              </w:rPr>
              <w:t>Net income per share, diluted, excluding government grants</w:t>
            </w:r>
          </w:p>
        </w:tc>
        <w:tc>
          <w:tcPr>
            <w:tcW w:w="1827" w:type="dxa"/>
          </w:tcPr>
          <w:p>
            <w:pPr>
              <w:pStyle w:val="TableParagraph"/>
              <w:tabs>
                <w:tab w:pos="306" w:val="left" w:leader="none"/>
                <w:tab w:pos="846" w:val="left" w:leader="none"/>
              </w:tabs>
              <w:spacing w:line="234" w:lineRule="exact"/>
              <w:ind w:right="86"/>
              <w:jc w:val="right"/>
              <w:rPr>
                <w:rFonts w:ascii="Verdana"/>
                <w:sz w:val="20"/>
              </w:rPr>
            </w:pPr>
            <w:r>
              <w:rPr>
                <w:rFonts w:ascii="Verdana"/>
                <w:w w:val="95"/>
                <w:sz w:val="20"/>
                <w:u w:val="thick"/>
              </w:rPr>
              <w:t> </w:t>
            </w:r>
            <w:r>
              <w:rPr>
                <w:rFonts w:ascii="Verdana"/>
                <w:sz w:val="20"/>
                <w:u w:val="thick"/>
              </w:rPr>
              <w:tab/>
            </w:r>
            <w:r>
              <w:rPr>
                <w:rFonts w:ascii="Verdana"/>
                <w:w w:val="105"/>
                <w:sz w:val="20"/>
                <w:u w:val="thick"/>
              </w:rPr>
              <w:t>$</w:t>
              <w:tab/>
            </w:r>
            <w:r>
              <w:rPr>
                <w:rFonts w:ascii="Verdana"/>
                <w:sz w:val="20"/>
                <w:u w:val="thick"/>
              </w:rPr>
              <w:t>.36</w:t>
            </w:r>
            <w:r>
              <w:rPr>
                <w:rFonts w:ascii="Verdana"/>
                <w:spacing w:val="-21"/>
                <w:sz w:val="20"/>
                <w:u w:val="thick"/>
              </w:rPr>
              <w:t> </w:t>
            </w:r>
          </w:p>
        </w:tc>
        <w:tc>
          <w:tcPr>
            <w:tcW w:w="1418" w:type="dxa"/>
          </w:tcPr>
          <w:p>
            <w:pPr>
              <w:pStyle w:val="TableParagraph"/>
              <w:tabs>
                <w:tab w:pos="307" w:val="left" w:leader="none"/>
                <w:tab w:pos="847" w:val="left" w:leader="none"/>
              </w:tabs>
              <w:spacing w:line="234" w:lineRule="exact"/>
              <w:ind w:right="31"/>
              <w:jc w:val="right"/>
              <w:rPr>
                <w:rFonts w:ascii="Verdana"/>
                <w:sz w:val="20"/>
              </w:rPr>
            </w:pPr>
            <w:r>
              <w:rPr>
                <w:rFonts w:ascii="Verdana"/>
                <w:w w:val="95"/>
                <w:sz w:val="20"/>
                <w:u w:val="thick"/>
              </w:rPr>
              <w:t> </w:t>
            </w:r>
            <w:r>
              <w:rPr>
                <w:rFonts w:ascii="Verdana"/>
                <w:sz w:val="20"/>
                <w:u w:val="thick"/>
              </w:rPr>
              <w:tab/>
            </w:r>
            <w:r>
              <w:rPr>
                <w:rFonts w:ascii="Verdana"/>
                <w:w w:val="105"/>
                <w:sz w:val="20"/>
                <w:u w:val="thick"/>
              </w:rPr>
              <w:t>$</w:t>
              <w:tab/>
            </w:r>
            <w:r>
              <w:rPr>
                <w:rFonts w:ascii="Verdana"/>
                <w:sz w:val="20"/>
                <w:u w:val="thick"/>
              </w:rPr>
              <w:t>.27</w:t>
            </w:r>
            <w:r>
              <w:rPr>
                <w:rFonts w:ascii="Verdana"/>
                <w:spacing w:val="-22"/>
                <w:sz w:val="20"/>
                <w:u w:val="thick"/>
              </w:rPr>
              <w:t> </w:t>
            </w:r>
          </w:p>
        </w:tc>
      </w:tr>
    </w:tbl>
    <w:p>
      <w:pPr>
        <w:pStyle w:val="BodyText"/>
        <w:rPr>
          <w:sz w:val="30"/>
        </w:rPr>
      </w:pPr>
    </w:p>
    <w:p>
      <w:pPr>
        <w:pStyle w:val="BodyText"/>
        <w:spacing w:before="4"/>
        <w:rPr>
          <w:sz w:val="29"/>
        </w:rPr>
      </w:pPr>
    </w:p>
    <w:p>
      <w:pPr>
        <w:pStyle w:val="BodyText"/>
        <w:spacing w:line="220" w:lineRule="exact"/>
        <w:ind w:left="115" w:right="188"/>
        <w:jc w:val="both"/>
      </w:pPr>
      <w:r>
        <w:rPr>
          <w:w w:val="105"/>
        </w:rPr>
        <w:t>Excluding</w:t>
      </w:r>
      <w:r>
        <w:rPr>
          <w:spacing w:val="-5"/>
          <w:w w:val="105"/>
        </w:rPr>
        <w:t> </w:t>
      </w:r>
      <w:r>
        <w:rPr>
          <w:w w:val="105"/>
        </w:rPr>
        <w:t>the</w:t>
      </w:r>
      <w:r>
        <w:rPr>
          <w:spacing w:val="-5"/>
          <w:w w:val="105"/>
        </w:rPr>
        <w:t> </w:t>
      </w:r>
      <w:r>
        <w:rPr>
          <w:w w:val="105"/>
        </w:rPr>
        <w:t>governments</w:t>
      </w:r>
      <w:r>
        <w:rPr>
          <w:spacing w:val="-4"/>
          <w:w w:val="105"/>
        </w:rPr>
        <w:t> </w:t>
      </w:r>
      <w:r>
        <w:rPr>
          <w:w w:val="105"/>
        </w:rPr>
        <w:t>grants</w:t>
      </w:r>
      <w:r>
        <w:rPr>
          <w:spacing w:val="-5"/>
          <w:w w:val="105"/>
        </w:rPr>
        <w:t> </w:t>
      </w:r>
      <w:r>
        <w:rPr>
          <w:w w:val="105"/>
        </w:rPr>
        <w:t>received</w:t>
      </w:r>
      <w:r>
        <w:rPr>
          <w:spacing w:val="-4"/>
          <w:w w:val="105"/>
        </w:rPr>
        <w:t> </w:t>
      </w:r>
      <w:r>
        <w:rPr>
          <w:w w:val="105"/>
        </w:rPr>
        <w:t>in</w:t>
      </w:r>
      <w:r>
        <w:rPr>
          <w:spacing w:val="-5"/>
          <w:w w:val="105"/>
        </w:rPr>
        <w:t> </w:t>
      </w:r>
      <w:r>
        <w:rPr>
          <w:w w:val="105"/>
        </w:rPr>
        <w:t>both</w:t>
      </w:r>
      <w:r>
        <w:rPr>
          <w:spacing w:val="-4"/>
          <w:w w:val="105"/>
        </w:rPr>
        <w:t> </w:t>
      </w:r>
      <w:r>
        <w:rPr>
          <w:w w:val="105"/>
        </w:rPr>
        <w:t>years,</w:t>
      </w:r>
      <w:r>
        <w:rPr>
          <w:spacing w:val="-5"/>
          <w:w w:val="105"/>
        </w:rPr>
        <w:t> </w:t>
      </w:r>
      <w:r>
        <w:rPr>
          <w:w w:val="105"/>
        </w:rPr>
        <w:t>consolidated</w:t>
      </w:r>
      <w:r>
        <w:rPr>
          <w:spacing w:val="-5"/>
          <w:w w:val="105"/>
        </w:rPr>
        <w:t> </w:t>
      </w:r>
      <w:r>
        <w:rPr>
          <w:w w:val="105"/>
        </w:rPr>
        <w:t>net</w:t>
      </w:r>
      <w:r>
        <w:rPr>
          <w:spacing w:val="-4"/>
          <w:w w:val="105"/>
        </w:rPr>
        <w:t> </w:t>
      </w:r>
      <w:r>
        <w:rPr>
          <w:w w:val="105"/>
        </w:rPr>
        <w:t>income</w:t>
      </w:r>
      <w:r>
        <w:rPr>
          <w:spacing w:val="-5"/>
          <w:w w:val="105"/>
        </w:rPr>
        <w:t> </w:t>
      </w:r>
      <w:r>
        <w:rPr>
          <w:w w:val="105"/>
        </w:rPr>
        <w:t>for</w:t>
      </w:r>
      <w:r>
        <w:rPr>
          <w:spacing w:val="-5"/>
          <w:w w:val="105"/>
        </w:rPr>
        <w:t> </w:t>
      </w:r>
      <w:r>
        <w:rPr>
          <w:w w:val="105"/>
        </w:rPr>
        <w:t>2003</w:t>
      </w:r>
      <w:r>
        <w:rPr>
          <w:spacing w:val="-5"/>
          <w:w w:val="105"/>
        </w:rPr>
        <w:t> </w:t>
      </w:r>
      <w:r>
        <w:rPr>
          <w:w w:val="105"/>
        </w:rPr>
        <w:t>was</w:t>
      </w:r>
      <w:r>
        <w:rPr>
          <w:spacing w:val="-4"/>
          <w:w w:val="105"/>
        </w:rPr>
        <w:t> </w:t>
      </w:r>
      <w:r>
        <w:rPr>
          <w:w w:val="105"/>
        </w:rPr>
        <w:t>$298</w:t>
      </w:r>
      <w:r>
        <w:rPr>
          <w:spacing w:val="-5"/>
          <w:w w:val="105"/>
        </w:rPr>
        <w:t> </w:t>
      </w:r>
      <w:r>
        <w:rPr>
          <w:w w:val="105"/>
        </w:rPr>
        <w:t>million </w:t>
      </w:r>
      <w:r>
        <w:rPr>
          <w:spacing w:val="2"/>
          <w:w w:val="105"/>
        </w:rPr>
        <w:t>($.36 </w:t>
      </w:r>
      <w:r>
        <w:rPr>
          <w:w w:val="105"/>
        </w:rPr>
        <w:t>per </w:t>
      </w:r>
      <w:r>
        <w:rPr>
          <w:spacing w:val="2"/>
          <w:w w:val="105"/>
        </w:rPr>
        <w:t>share, diluted), </w:t>
      </w:r>
      <w:r>
        <w:rPr>
          <w:w w:val="105"/>
        </w:rPr>
        <w:t>as </w:t>
      </w:r>
      <w:r>
        <w:rPr>
          <w:spacing w:val="2"/>
          <w:w w:val="105"/>
        </w:rPr>
        <w:t>compared </w:t>
      </w:r>
      <w:r>
        <w:rPr>
          <w:w w:val="105"/>
        </w:rPr>
        <w:t>to </w:t>
      </w:r>
      <w:r>
        <w:rPr>
          <w:spacing w:val="2"/>
          <w:w w:val="105"/>
        </w:rPr>
        <w:t>2002 </w:t>
      </w:r>
      <w:r>
        <w:rPr>
          <w:w w:val="105"/>
        </w:rPr>
        <w:t>net </w:t>
      </w:r>
      <w:r>
        <w:rPr>
          <w:spacing w:val="2"/>
          <w:w w:val="105"/>
        </w:rPr>
        <w:t>income </w:t>
      </w:r>
      <w:r>
        <w:rPr>
          <w:w w:val="105"/>
        </w:rPr>
        <w:t>of </w:t>
      </w:r>
      <w:r>
        <w:rPr>
          <w:spacing w:val="2"/>
          <w:w w:val="105"/>
        </w:rPr>
        <w:t>$216 million ($.27 </w:t>
      </w:r>
      <w:r>
        <w:rPr>
          <w:w w:val="105"/>
        </w:rPr>
        <w:t>per </w:t>
      </w:r>
      <w:r>
        <w:rPr>
          <w:spacing w:val="2"/>
          <w:w w:val="105"/>
        </w:rPr>
        <w:t>share, diluted), </w:t>
      </w:r>
      <w:r>
        <w:rPr>
          <w:spacing w:val="3"/>
          <w:w w:val="105"/>
        </w:rPr>
        <w:t>an </w:t>
      </w:r>
      <w:r>
        <w:rPr>
          <w:w w:val="105"/>
        </w:rPr>
        <w:t>increase of $82 million, or 38.0 percent. The increase was primarily due to overall higher demand for </w:t>
      </w:r>
      <w:r>
        <w:rPr>
          <w:spacing w:val="2"/>
          <w:w w:val="105"/>
        </w:rPr>
        <w:t>air </w:t>
      </w:r>
      <w:r>
        <w:rPr>
          <w:w w:val="105"/>
        </w:rPr>
        <w:t>travel in 2003, vacation travel in particular. Operating income for 2003 was $523 million, an increase of $99 million,</w:t>
      </w:r>
      <w:r>
        <w:rPr>
          <w:spacing w:val="-14"/>
          <w:w w:val="105"/>
        </w:rPr>
        <w:t> </w:t>
      </w:r>
      <w:r>
        <w:rPr>
          <w:w w:val="105"/>
        </w:rPr>
        <w:t>or</w:t>
      </w:r>
      <w:r>
        <w:rPr>
          <w:spacing w:val="-14"/>
          <w:w w:val="105"/>
        </w:rPr>
        <w:t> </w:t>
      </w:r>
      <w:r>
        <w:rPr>
          <w:w w:val="105"/>
        </w:rPr>
        <w:t>23.3</w:t>
      </w:r>
      <w:r>
        <w:rPr>
          <w:spacing w:val="-14"/>
          <w:w w:val="105"/>
        </w:rPr>
        <w:t> </w:t>
      </w:r>
      <w:r>
        <w:rPr>
          <w:w w:val="105"/>
        </w:rPr>
        <w:t>percent</w:t>
      </w:r>
      <w:r>
        <w:rPr>
          <w:spacing w:val="-14"/>
          <w:w w:val="105"/>
        </w:rPr>
        <w:t> </w:t>
      </w:r>
      <w:r>
        <w:rPr>
          <w:w w:val="105"/>
        </w:rPr>
        <w:t>compared</w:t>
      </w:r>
      <w:r>
        <w:rPr>
          <w:spacing w:val="-14"/>
          <w:w w:val="105"/>
        </w:rPr>
        <w:t> </w:t>
      </w:r>
      <w:r>
        <w:rPr>
          <w:w w:val="105"/>
        </w:rPr>
        <w:t>to</w:t>
      </w:r>
      <w:r>
        <w:rPr>
          <w:spacing w:val="-14"/>
          <w:w w:val="105"/>
        </w:rPr>
        <w:t> </w:t>
      </w:r>
      <w:r>
        <w:rPr>
          <w:w w:val="105"/>
        </w:rPr>
        <w:t>2002.</w:t>
      </w:r>
    </w:p>
    <w:p>
      <w:pPr>
        <w:pStyle w:val="BodyText"/>
        <w:spacing w:line="220" w:lineRule="exact" w:before="216"/>
        <w:ind w:left="115" w:right="190"/>
        <w:jc w:val="both"/>
      </w:pPr>
      <w:r>
        <w:rPr>
          <w:color w:val="0000FF"/>
          <w:spacing w:val="3"/>
          <w:w w:val="102"/>
        </w:rPr>
        <w:t>OPERATIN</w:t>
      </w:r>
      <w:r>
        <w:rPr>
          <w:color w:val="0000FF"/>
          <w:w w:val="102"/>
        </w:rPr>
        <w:t>G</w:t>
      </w:r>
      <w:r>
        <w:rPr>
          <w:color w:val="0000FF"/>
        </w:rPr>
        <w:t> </w:t>
      </w:r>
      <w:r>
        <w:rPr>
          <w:color w:val="0000FF"/>
          <w:spacing w:val="-14"/>
        </w:rPr>
        <w:t> </w:t>
      </w:r>
      <w:r>
        <w:rPr>
          <w:color w:val="0000FF"/>
          <w:spacing w:val="3"/>
          <w:w w:val="102"/>
        </w:rPr>
        <w:t>REVENUE</w:t>
      </w:r>
      <w:r>
        <w:rPr>
          <w:color w:val="0000FF"/>
          <w:spacing w:val="-87"/>
          <w:w w:val="102"/>
        </w:rPr>
        <w:t>S</w:t>
      </w:r>
      <w:r>
        <w:rPr>
          <w:i/>
          <w:color w:val="0000FF"/>
          <w:w w:val="102"/>
        </w:rPr>
        <w:t>.</w:t>
      </w:r>
      <w:r>
        <w:rPr>
          <w:i/>
          <w:color w:val="0000FF"/>
        </w:rPr>
        <w:t>       </w:t>
      </w:r>
      <w:r>
        <w:rPr>
          <w:i/>
          <w:color w:val="0000FF"/>
          <w:spacing w:val="1"/>
        </w:rPr>
        <w:t> </w:t>
      </w:r>
      <w:r>
        <w:rPr>
          <w:spacing w:val="-5"/>
          <w:w w:val="102"/>
        </w:rPr>
        <w:t>C</w:t>
      </w:r>
      <w:r>
        <w:rPr>
          <w:spacing w:val="2"/>
          <w:w w:val="102"/>
        </w:rPr>
        <w:t>o</w:t>
      </w:r>
      <w:r>
        <w:rPr>
          <w:spacing w:val="-3"/>
          <w:w w:val="102"/>
        </w:rPr>
        <w:t>n</w:t>
      </w:r>
      <w:r>
        <w:rPr>
          <w:spacing w:val="2"/>
          <w:w w:val="102"/>
        </w:rPr>
        <w:t>s</w:t>
      </w:r>
      <w:r>
        <w:rPr>
          <w:spacing w:val="-3"/>
          <w:w w:val="102"/>
        </w:rPr>
        <w:t>ol</w:t>
      </w:r>
      <w:r>
        <w:rPr>
          <w:spacing w:val="2"/>
          <w:w w:val="102"/>
        </w:rPr>
        <w:t>i</w:t>
      </w:r>
      <w:r>
        <w:rPr>
          <w:spacing w:val="-3"/>
          <w:w w:val="102"/>
        </w:rPr>
        <w:t>d</w:t>
      </w:r>
      <w:r>
        <w:rPr>
          <w:spacing w:val="-5"/>
          <w:w w:val="102"/>
        </w:rPr>
        <w:t>a</w:t>
      </w:r>
      <w:r>
        <w:rPr>
          <w:spacing w:val="2"/>
          <w:w w:val="102"/>
        </w:rPr>
        <w:t>t</w:t>
      </w:r>
      <w:r>
        <w:rPr>
          <w:spacing w:val="-5"/>
          <w:w w:val="102"/>
        </w:rPr>
        <w:t>e</w:t>
      </w:r>
      <w:r>
        <w:rPr>
          <w:w w:val="102"/>
        </w:rPr>
        <w:t>d</w:t>
      </w:r>
      <w:r>
        <w:rPr/>
        <w:t>  </w:t>
      </w:r>
      <w:r>
        <w:rPr>
          <w:spacing w:val="-21"/>
        </w:rPr>
        <w:t> </w:t>
      </w:r>
      <w:r>
        <w:rPr>
          <w:spacing w:val="-3"/>
          <w:w w:val="102"/>
        </w:rPr>
        <w:t>o</w:t>
      </w:r>
      <w:r>
        <w:rPr>
          <w:spacing w:val="2"/>
          <w:w w:val="102"/>
        </w:rPr>
        <w:t>p</w:t>
      </w:r>
      <w:r>
        <w:rPr>
          <w:spacing w:val="-5"/>
          <w:w w:val="102"/>
        </w:rPr>
        <w:t>er</w:t>
      </w:r>
      <w:r>
        <w:rPr>
          <w:w w:val="102"/>
        </w:rPr>
        <w:t>a</w:t>
      </w:r>
      <w:r>
        <w:rPr>
          <w:spacing w:val="-3"/>
          <w:w w:val="102"/>
        </w:rPr>
        <w:t>t</w:t>
      </w:r>
      <w:r>
        <w:rPr>
          <w:spacing w:val="2"/>
          <w:w w:val="102"/>
        </w:rPr>
        <w:t>i</w:t>
      </w:r>
      <w:r>
        <w:rPr>
          <w:spacing w:val="-3"/>
          <w:w w:val="102"/>
        </w:rPr>
        <w:t>n</w:t>
      </w:r>
      <w:r>
        <w:rPr>
          <w:w w:val="102"/>
        </w:rPr>
        <w:t>g</w:t>
      </w:r>
      <w:r>
        <w:rPr/>
        <w:t>  </w:t>
      </w:r>
      <w:r>
        <w:rPr>
          <w:spacing w:val="-26"/>
        </w:rPr>
        <w:t> </w:t>
      </w:r>
      <w:r>
        <w:rPr>
          <w:spacing w:val="-5"/>
          <w:w w:val="102"/>
        </w:rPr>
        <w:t>re</w:t>
      </w:r>
      <w:r>
        <w:rPr>
          <w:spacing w:val="2"/>
          <w:w w:val="102"/>
        </w:rPr>
        <w:t>v</w:t>
      </w:r>
      <w:r>
        <w:rPr>
          <w:spacing w:val="-5"/>
          <w:w w:val="102"/>
        </w:rPr>
        <w:t>e</w:t>
      </w:r>
      <w:r>
        <w:rPr>
          <w:spacing w:val="2"/>
          <w:w w:val="102"/>
        </w:rPr>
        <w:t>n</w:t>
      </w:r>
      <w:r>
        <w:rPr>
          <w:spacing w:val="-3"/>
          <w:w w:val="102"/>
        </w:rPr>
        <w:t>u</w:t>
      </w:r>
      <w:r>
        <w:rPr>
          <w:spacing w:val="-5"/>
          <w:w w:val="102"/>
        </w:rPr>
        <w:t>e</w:t>
      </w:r>
      <w:r>
        <w:rPr>
          <w:w w:val="102"/>
        </w:rPr>
        <w:t>s</w:t>
      </w:r>
      <w:r>
        <w:rPr/>
        <w:t>  </w:t>
      </w:r>
      <w:r>
        <w:rPr>
          <w:spacing w:val="-21"/>
        </w:rPr>
        <w:t> </w:t>
      </w:r>
      <w:r>
        <w:rPr>
          <w:spacing w:val="-3"/>
          <w:w w:val="102"/>
        </w:rPr>
        <w:t>i</w:t>
      </w:r>
      <w:r>
        <w:rPr>
          <w:spacing w:val="2"/>
          <w:w w:val="102"/>
        </w:rPr>
        <w:t>n</w:t>
      </w:r>
      <w:r>
        <w:rPr>
          <w:spacing w:val="-5"/>
          <w:w w:val="102"/>
        </w:rPr>
        <w:t>c</w:t>
      </w:r>
      <w:r>
        <w:rPr>
          <w:w w:val="102"/>
        </w:rPr>
        <w:t>r</w:t>
      </w:r>
      <w:r>
        <w:rPr>
          <w:spacing w:val="-5"/>
          <w:w w:val="102"/>
        </w:rPr>
        <w:t>ea</w:t>
      </w:r>
      <w:r>
        <w:rPr>
          <w:spacing w:val="2"/>
          <w:w w:val="102"/>
        </w:rPr>
        <w:t>s</w:t>
      </w:r>
      <w:r>
        <w:rPr>
          <w:spacing w:val="-5"/>
          <w:w w:val="102"/>
        </w:rPr>
        <w:t>e</w:t>
      </w:r>
      <w:r>
        <w:rPr>
          <w:w w:val="102"/>
        </w:rPr>
        <w:t>d</w:t>
      </w:r>
      <w:r>
        <w:rPr/>
        <w:t>  </w:t>
      </w:r>
      <w:r>
        <w:rPr>
          <w:spacing w:val="-26"/>
        </w:rPr>
        <w:t> </w:t>
      </w:r>
      <w:r>
        <w:rPr>
          <w:spacing w:val="-3"/>
          <w:w w:val="102"/>
        </w:rPr>
        <w:t>$</w:t>
      </w:r>
      <w:r>
        <w:rPr>
          <w:spacing w:val="2"/>
          <w:w w:val="102"/>
        </w:rPr>
        <w:t>4</w:t>
      </w:r>
      <w:r>
        <w:rPr>
          <w:spacing w:val="-3"/>
          <w:w w:val="102"/>
        </w:rPr>
        <w:t>1</w:t>
      </w:r>
      <w:r>
        <w:rPr>
          <w:w w:val="102"/>
        </w:rPr>
        <w:t>5</w:t>
      </w:r>
      <w:r>
        <w:rPr/>
        <w:t>  </w:t>
      </w:r>
      <w:r>
        <w:rPr>
          <w:spacing w:val="-21"/>
        </w:rPr>
        <w:t> </w:t>
      </w:r>
      <w:r>
        <w:rPr>
          <w:spacing w:val="-5"/>
          <w:w w:val="102"/>
        </w:rPr>
        <w:t>m</w:t>
      </w:r>
      <w:r>
        <w:rPr>
          <w:spacing w:val="-3"/>
          <w:w w:val="102"/>
        </w:rPr>
        <w:t>i</w:t>
      </w:r>
      <w:r>
        <w:rPr>
          <w:spacing w:val="2"/>
          <w:w w:val="102"/>
        </w:rPr>
        <w:t>l</w:t>
      </w:r>
      <w:r>
        <w:rPr>
          <w:spacing w:val="-3"/>
          <w:w w:val="102"/>
        </w:rPr>
        <w:t>l</w:t>
      </w:r>
      <w:r>
        <w:rPr>
          <w:spacing w:val="2"/>
          <w:w w:val="102"/>
        </w:rPr>
        <w:t>i</w:t>
      </w:r>
      <w:r>
        <w:rPr>
          <w:spacing w:val="-3"/>
          <w:w w:val="102"/>
        </w:rPr>
        <w:t>on</w:t>
      </w:r>
      <w:r>
        <w:rPr>
          <w:w w:val="102"/>
        </w:rPr>
        <w:t>,</w:t>
      </w:r>
      <w:r>
        <w:rPr/>
        <w:t>  </w:t>
      </w:r>
      <w:r>
        <w:rPr>
          <w:spacing w:val="-25"/>
        </w:rPr>
        <w:t> </w:t>
      </w:r>
      <w:r>
        <w:rPr>
          <w:spacing w:val="-3"/>
          <w:w w:val="102"/>
        </w:rPr>
        <w:t>o</w:t>
      </w:r>
      <w:r>
        <w:rPr>
          <w:w w:val="102"/>
        </w:rPr>
        <w:t>r</w:t>
      </w:r>
      <w:r>
        <w:rPr/>
        <w:t> </w:t>
      </w:r>
      <w:r>
        <w:rPr>
          <w:spacing w:val="24"/>
        </w:rPr>
        <w:t> </w:t>
      </w:r>
      <w:r>
        <w:rPr>
          <w:spacing w:val="2"/>
          <w:w w:val="102"/>
        </w:rPr>
        <w:t>7</w:t>
      </w:r>
      <w:r>
        <w:rPr>
          <w:spacing w:val="-6"/>
          <w:w w:val="102"/>
        </w:rPr>
        <w:t>.</w:t>
      </w:r>
      <w:r>
        <w:rPr>
          <w:w w:val="102"/>
        </w:rPr>
        <w:t>5</w:t>
      </w:r>
      <w:r>
        <w:rPr/>
        <w:t>  </w:t>
      </w:r>
      <w:r>
        <w:rPr>
          <w:spacing w:val="-21"/>
        </w:rPr>
        <w:t> </w:t>
      </w:r>
      <w:r>
        <w:rPr>
          <w:spacing w:val="-3"/>
          <w:w w:val="102"/>
        </w:rPr>
        <w:t>p</w:t>
      </w:r>
      <w:r>
        <w:rPr>
          <w:spacing w:val="-5"/>
          <w:w w:val="102"/>
        </w:rPr>
        <w:t>e</w:t>
      </w:r>
      <w:r>
        <w:rPr>
          <w:w w:val="102"/>
        </w:rPr>
        <w:t>r</w:t>
      </w:r>
      <w:r>
        <w:rPr>
          <w:spacing w:val="-5"/>
          <w:w w:val="102"/>
        </w:rPr>
        <w:t>c</w:t>
      </w:r>
      <w:r>
        <w:rPr>
          <w:w w:val="102"/>
        </w:rPr>
        <w:t>e</w:t>
      </w:r>
      <w:r>
        <w:rPr>
          <w:spacing w:val="-3"/>
          <w:w w:val="102"/>
        </w:rPr>
        <w:t>nt, </w:t>
      </w:r>
      <w:r>
        <w:rPr>
          <w:w w:val="105"/>
        </w:rPr>
        <w:t>primarily due to a $400 million, or </w:t>
      </w:r>
      <w:r>
        <w:rPr>
          <w:spacing w:val="-3"/>
          <w:w w:val="105"/>
        </w:rPr>
        <w:t>7.5 </w:t>
      </w:r>
      <w:r>
        <w:rPr>
          <w:w w:val="105"/>
        </w:rPr>
        <w:t>percent, increase in passenger revenues. </w:t>
      </w:r>
      <w:r>
        <w:rPr>
          <w:spacing w:val="-2"/>
          <w:w w:val="105"/>
        </w:rPr>
        <w:t>The </w:t>
      </w:r>
      <w:r>
        <w:rPr>
          <w:w w:val="105"/>
        </w:rPr>
        <w:t>increase in passenger revenues </w:t>
      </w:r>
      <w:r>
        <w:rPr>
          <w:spacing w:val="-3"/>
          <w:w w:val="105"/>
        </w:rPr>
        <w:t>was </w:t>
      </w:r>
      <w:r>
        <w:rPr>
          <w:w w:val="105"/>
        </w:rPr>
        <w:t>primarily due to a 5.6 </w:t>
      </w:r>
      <w:r>
        <w:rPr>
          <w:spacing w:val="-3"/>
          <w:w w:val="105"/>
        </w:rPr>
        <w:t>percent increase </w:t>
      </w:r>
      <w:r>
        <w:rPr>
          <w:w w:val="105"/>
        </w:rPr>
        <w:t>in revenue passenger </w:t>
      </w:r>
      <w:r>
        <w:rPr>
          <w:spacing w:val="-3"/>
          <w:w w:val="105"/>
        </w:rPr>
        <w:t>miles (RPMs) </w:t>
      </w:r>
      <w:r>
        <w:rPr>
          <w:spacing w:val="-2"/>
          <w:w w:val="105"/>
        </w:rPr>
        <w:t>flown.  </w:t>
      </w:r>
      <w:r>
        <w:rPr>
          <w:w w:val="105"/>
        </w:rPr>
        <w:t>Although</w:t>
      </w:r>
      <w:r>
        <w:rPr>
          <w:spacing w:val="21"/>
          <w:w w:val="105"/>
        </w:rPr>
        <w:t> </w:t>
      </w:r>
      <w:r>
        <w:rPr>
          <w:w w:val="105"/>
        </w:rPr>
        <w:t>the</w:t>
      </w:r>
    </w:p>
    <w:p>
      <w:pPr>
        <w:spacing w:after="0" w:line="220" w:lineRule="exact"/>
        <w:jc w:val="both"/>
        <w:sectPr>
          <w:pgSz w:w="12240" w:h="15840"/>
          <w:pgMar w:top="1300" w:bottom="280" w:left="1180" w:right="1100"/>
        </w:sectPr>
      </w:pPr>
    </w:p>
    <w:p>
      <w:pPr>
        <w:pStyle w:val="BodyText"/>
        <w:spacing w:line="220" w:lineRule="exact" w:before="117"/>
        <w:ind w:left="115" w:right="115"/>
        <w:jc w:val="both"/>
      </w:pPr>
      <w:r>
        <w:rPr>
          <w:w w:val="105"/>
        </w:rPr>
        <w:t>Company saw a disruption in revenue and bookings due to the threat of war and from the subsequent conflict between the United States and Iraq during the first half of 2003, demand improved following the war.</w:t>
      </w:r>
    </w:p>
    <w:p>
      <w:pPr>
        <w:pStyle w:val="BodyText"/>
        <w:spacing w:line="218" w:lineRule="auto" w:before="219"/>
        <w:ind w:left="115" w:right="106"/>
        <w:jc w:val="both"/>
      </w:pPr>
      <w:r>
        <w:rPr>
          <w:spacing w:val="-2"/>
          <w:w w:val="105"/>
        </w:rPr>
        <w:t>The </w:t>
      </w:r>
      <w:r>
        <w:rPr>
          <w:spacing w:val="-3"/>
          <w:w w:val="105"/>
        </w:rPr>
        <w:t>increase </w:t>
      </w:r>
      <w:r>
        <w:rPr>
          <w:w w:val="105"/>
        </w:rPr>
        <w:t>in revenue passenger </w:t>
      </w:r>
      <w:r>
        <w:rPr>
          <w:spacing w:val="-3"/>
          <w:w w:val="105"/>
        </w:rPr>
        <w:t>miles </w:t>
      </w:r>
      <w:r>
        <w:rPr>
          <w:w w:val="105"/>
        </w:rPr>
        <w:t>primarily </w:t>
      </w:r>
      <w:r>
        <w:rPr>
          <w:spacing w:val="-3"/>
          <w:w w:val="105"/>
        </w:rPr>
        <w:t>was </w:t>
      </w:r>
      <w:r>
        <w:rPr>
          <w:w w:val="105"/>
        </w:rPr>
        <w:t>due to a </w:t>
      </w:r>
      <w:r>
        <w:rPr>
          <w:spacing w:val="-3"/>
          <w:w w:val="105"/>
        </w:rPr>
        <w:t>4.2 percent </w:t>
      </w:r>
      <w:r>
        <w:rPr>
          <w:w w:val="105"/>
        </w:rPr>
        <w:t>increase in </w:t>
      </w:r>
      <w:r>
        <w:rPr>
          <w:spacing w:val="-3"/>
          <w:w w:val="105"/>
        </w:rPr>
        <w:t>added </w:t>
      </w:r>
      <w:r>
        <w:rPr>
          <w:w w:val="105"/>
        </w:rPr>
        <w:t>capacity, </w:t>
      </w:r>
      <w:r>
        <w:rPr>
          <w:spacing w:val="-5"/>
          <w:w w:val="105"/>
        </w:rPr>
        <w:t>as </w:t>
      </w:r>
      <w:r>
        <w:rPr>
          <w:w w:val="105"/>
        </w:rPr>
        <w:t>measured</w:t>
      </w:r>
      <w:r>
        <w:rPr>
          <w:spacing w:val="-19"/>
          <w:w w:val="105"/>
        </w:rPr>
        <w:t> </w:t>
      </w:r>
      <w:r>
        <w:rPr>
          <w:w w:val="105"/>
        </w:rPr>
        <w:t>by</w:t>
      </w:r>
      <w:r>
        <w:rPr>
          <w:spacing w:val="-15"/>
          <w:w w:val="105"/>
        </w:rPr>
        <w:t> </w:t>
      </w:r>
      <w:r>
        <w:rPr>
          <w:w w:val="105"/>
        </w:rPr>
        <w:t>available</w:t>
      </w:r>
      <w:r>
        <w:rPr>
          <w:spacing w:val="-20"/>
          <w:w w:val="105"/>
        </w:rPr>
        <w:t> </w:t>
      </w:r>
      <w:r>
        <w:rPr>
          <w:w w:val="105"/>
        </w:rPr>
        <w:t>seat</w:t>
      </w:r>
      <w:r>
        <w:rPr>
          <w:spacing w:val="-15"/>
          <w:w w:val="105"/>
        </w:rPr>
        <w:t> </w:t>
      </w:r>
      <w:r>
        <w:rPr>
          <w:w w:val="105"/>
        </w:rPr>
        <w:t>miles</w:t>
      </w:r>
      <w:r>
        <w:rPr>
          <w:spacing w:val="-19"/>
          <w:w w:val="105"/>
        </w:rPr>
        <w:t> </w:t>
      </w:r>
      <w:r>
        <w:rPr>
          <w:w w:val="105"/>
        </w:rPr>
        <w:t>or</w:t>
      </w:r>
      <w:r>
        <w:rPr>
          <w:spacing w:val="-16"/>
          <w:w w:val="105"/>
        </w:rPr>
        <w:t> </w:t>
      </w:r>
      <w:r>
        <w:rPr>
          <w:spacing w:val="-4"/>
          <w:w w:val="105"/>
        </w:rPr>
        <w:t>ASMs.</w:t>
      </w:r>
      <w:r>
        <w:rPr>
          <w:spacing w:val="22"/>
          <w:w w:val="105"/>
        </w:rPr>
        <w:t> </w:t>
      </w:r>
      <w:r>
        <w:rPr>
          <w:spacing w:val="-3"/>
          <w:w w:val="105"/>
        </w:rPr>
        <w:t>This</w:t>
      </w:r>
      <w:r>
        <w:rPr>
          <w:spacing w:val="-15"/>
          <w:w w:val="105"/>
        </w:rPr>
        <w:t> </w:t>
      </w:r>
      <w:r>
        <w:rPr>
          <w:spacing w:val="-3"/>
          <w:w w:val="105"/>
        </w:rPr>
        <w:t>was</w:t>
      </w:r>
      <w:r>
        <w:rPr>
          <w:spacing w:val="-15"/>
          <w:w w:val="105"/>
        </w:rPr>
        <w:t> </w:t>
      </w:r>
      <w:r>
        <w:rPr>
          <w:spacing w:val="-3"/>
          <w:w w:val="105"/>
        </w:rPr>
        <w:t>achieved</w:t>
      </w:r>
      <w:r>
        <w:rPr>
          <w:spacing w:val="-15"/>
          <w:w w:val="105"/>
        </w:rPr>
        <w:t> </w:t>
      </w:r>
      <w:r>
        <w:rPr>
          <w:w w:val="105"/>
        </w:rPr>
        <w:t>through</w:t>
      </w:r>
      <w:r>
        <w:rPr>
          <w:spacing w:val="-15"/>
          <w:w w:val="105"/>
        </w:rPr>
        <w:t> </w:t>
      </w:r>
      <w:r>
        <w:rPr>
          <w:w w:val="105"/>
        </w:rPr>
        <w:t>the</w:t>
      </w:r>
      <w:r>
        <w:rPr>
          <w:spacing w:val="-20"/>
          <w:w w:val="105"/>
        </w:rPr>
        <w:t> </w:t>
      </w:r>
      <w:r>
        <w:rPr>
          <w:w w:val="105"/>
        </w:rPr>
        <w:t>Company’s</w:t>
      </w:r>
      <w:r>
        <w:rPr>
          <w:spacing w:val="-15"/>
          <w:w w:val="105"/>
        </w:rPr>
        <w:t> </w:t>
      </w:r>
      <w:r>
        <w:rPr>
          <w:w w:val="105"/>
        </w:rPr>
        <w:t>net</w:t>
      </w:r>
      <w:r>
        <w:rPr>
          <w:spacing w:val="-15"/>
          <w:w w:val="105"/>
        </w:rPr>
        <w:t> </w:t>
      </w:r>
      <w:r>
        <w:rPr>
          <w:w w:val="105"/>
        </w:rPr>
        <w:t>addition</w:t>
      </w:r>
      <w:r>
        <w:rPr>
          <w:spacing w:val="-15"/>
          <w:w w:val="105"/>
        </w:rPr>
        <w:t> </w:t>
      </w:r>
      <w:r>
        <w:rPr>
          <w:w w:val="105"/>
        </w:rPr>
        <w:t>of</w:t>
      </w:r>
      <w:r>
        <w:rPr>
          <w:spacing w:val="-16"/>
          <w:w w:val="105"/>
        </w:rPr>
        <w:t> </w:t>
      </w:r>
      <w:r>
        <w:rPr>
          <w:w w:val="105"/>
        </w:rPr>
        <w:t>13</w:t>
      </w:r>
      <w:r>
        <w:rPr>
          <w:spacing w:val="-19"/>
          <w:w w:val="105"/>
        </w:rPr>
        <w:t> </w:t>
      </w:r>
      <w:r>
        <w:rPr>
          <w:spacing w:val="-3"/>
          <w:w w:val="105"/>
        </w:rPr>
        <w:t>aircraft </w:t>
      </w:r>
      <w:r>
        <w:rPr>
          <w:w w:val="105"/>
        </w:rPr>
        <w:t>during</w:t>
      </w:r>
      <w:r>
        <w:rPr>
          <w:spacing w:val="-8"/>
          <w:w w:val="105"/>
        </w:rPr>
        <w:t> </w:t>
      </w:r>
      <w:r>
        <w:rPr>
          <w:w w:val="105"/>
        </w:rPr>
        <w:t>2003</w:t>
      </w:r>
      <w:r>
        <w:rPr>
          <w:spacing w:val="-4"/>
          <w:w w:val="105"/>
        </w:rPr>
        <w:t> </w:t>
      </w:r>
      <w:r>
        <w:rPr>
          <w:w w:val="105"/>
        </w:rPr>
        <w:t>(net</w:t>
      </w:r>
      <w:r>
        <w:rPr>
          <w:spacing w:val="-12"/>
          <w:w w:val="105"/>
        </w:rPr>
        <w:t> </w:t>
      </w:r>
      <w:r>
        <w:rPr>
          <w:w w:val="105"/>
        </w:rPr>
        <w:t>of</w:t>
      </w:r>
      <w:r>
        <w:rPr>
          <w:spacing w:val="-6"/>
          <w:w w:val="105"/>
        </w:rPr>
        <w:t> </w:t>
      </w:r>
      <w:r>
        <w:rPr>
          <w:w w:val="105"/>
        </w:rPr>
        <w:t>four</w:t>
      </w:r>
      <w:r>
        <w:rPr>
          <w:spacing w:val="-14"/>
          <w:w w:val="105"/>
        </w:rPr>
        <w:t> </w:t>
      </w:r>
      <w:r>
        <w:rPr>
          <w:spacing w:val="-3"/>
          <w:w w:val="105"/>
        </w:rPr>
        <w:t>aircraft</w:t>
      </w:r>
      <w:r>
        <w:rPr>
          <w:spacing w:val="-4"/>
          <w:w w:val="105"/>
        </w:rPr>
        <w:t> </w:t>
      </w:r>
      <w:r>
        <w:rPr>
          <w:spacing w:val="-3"/>
          <w:w w:val="105"/>
        </w:rPr>
        <w:t>retirements).</w:t>
      </w:r>
      <w:r>
        <w:rPr>
          <w:spacing w:val="39"/>
          <w:w w:val="105"/>
        </w:rPr>
        <w:t> </w:t>
      </w:r>
      <w:r>
        <w:rPr>
          <w:w w:val="105"/>
        </w:rPr>
        <w:t>The</w:t>
      </w:r>
      <w:r>
        <w:rPr>
          <w:spacing w:val="-10"/>
          <w:w w:val="105"/>
        </w:rPr>
        <w:t> </w:t>
      </w:r>
      <w:r>
        <w:rPr>
          <w:spacing w:val="-2"/>
          <w:w w:val="105"/>
        </w:rPr>
        <w:t>Company's</w:t>
      </w:r>
      <w:r>
        <w:rPr>
          <w:spacing w:val="-4"/>
          <w:w w:val="105"/>
        </w:rPr>
        <w:t> </w:t>
      </w:r>
      <w:r>
        <w:rPr>
          <w:spacing w:val="-3"/>
          <w:w w:val="105"/>
        </w:rPr>
        <w:t>improved</w:t>
      </w:r>
      <w:r>
        <w:rPr>
          <w:spacing w:val="-8"/>
          <w:w w:val="105"/>
        </w:rPr>
        <w:t> </w:t>
      </w:r>
      <w:r>
        <w:rPr>
          <w:w w:val="105"/>
        </w:rPr>
        <w:t>load</w:t>
      </w:r>
      <w:r>
        <w:rPr>
          <w:spacing w:val="-4"/>
          <w:w w:val="105"/>
        </w:rPr>
        <w:t> </w:t>
      </w:r>
      <w:r>
        <w:rPr>
          <w:w w:val="105"/>
        </w:rPr>
        <w:t>factor</w:t>
      </w:r>
      <w:r>
        <w:rPr>
          <w:spacing w:val="-10"/>
          <w:w w:val="105"/>
        </w:rPr>
        <w:t> </w:t>
      </w:r>
      <w:r>
        <w:rPr>
          <w:spacing w:val="-3"/>
          <w:w w:val="105"/>
        </w:rPr>
        <w:t>for</w:t>
      </w:r>
      <w:r>
        <w:rPr>
          <w:spacing w:val="-6"/>
          <w:w w:val="105"/>
        </w:rPr>
        <w:t> </w:t>
      </w:r>
      <w:r>
        <w:rPr>
          <w:w w:val="105"/>
        </w:rPr>
        <w:t>2003</w:t>
      </w:r>
      <w:r>
        <w:rPr>
          <w:spacing w:val="-8"/>
          <w:w w:val="105"/>
        </w:rPr>
        <w:t> </w:t>
      </w:r>
      <w:r>
        <w:rPr>
          <w:spacing w:val="-4"/>
          <w:w w:val="105"/>
        </w:rPr>
        <w:t>(RPMs </w:t>
      </w:r>
      <w:r>
        <w:rPr>
          <w:w w:val="105"/>
        </w:rPr>
        <w:t>divided</w:t>
      </w:r>
      <w:r>
        <w:rPr>
          <w:spacing w:val="-8"/>
          <w:w w:val="105"/>
        </w:rPr>
        <w:t> </w:t>
      </w:r>
      <w:r>
        <w:rPr>
          <w:w w:val="105"/>
        </w:rPr>
        <w:t>by </w:t>
      </w:r>
      <w:r>
        <w:rPr>
          <w:spacing w:val="-3"/>
          <w:w w:val="105"/>
        </w:rPr>
        <w:t>ASMs)</w:t>
      </w:r>
      <w:r>
        <w:rPr>
          <w:spacing w:val="-15"/>
          <w:w w:val="105"/>
        </w:rPr>
        <w:t> </w:t>
      </w:r>
      <w:r>
        <w:rPr>
          <w:spacing w:val="-3"/>
          <w:w w:val="105"/>
        </w:rPr>
        <w:t>was</w:t>
      </w:r>
      <w:r>
        <w:rPr>
          <w:spacing w:val="-5"/>
          <w:w w:val="105"/>
        </w:rPr>
        <w:t> </w:t>
      </w:r>
      <w:r>
        <w:rPr>
          <w:w w:val="105"/>
        </w:rPr>
        <w:t>66.8</w:t>
      </w:r>
      <w:r>
        <w:rPr>
          <w:spacing w:val="-9"/>
          <w:w w:val="105"/>
        </w:rPr>
        <w:t> </w:t>
      </w:r>
      <w:r>
        <w:rPr>
          <w:spacing w:val="-3"/>
          <w:w w:val="105"/>
        </w:rPr>
        <w:t>percent,</w:t>
      </w:r>
      <w:r>
        <w:rPr>
          <w:spacing w:val="-9"/>
          <w:w w:val="105"/>
        </w:rPr>
        <w:t> </w:t>
      </w:r>
      <w:r>
        <w:rPr>
          <w:w w:val="105"/>
        </w:rPr>
        <w:t>compared</w:t>
      </w:r>
      <w:r>
        <w:rPr>
          <w:spacing w:val="-13"/>
          <w:w w:val="105"/>
        </w:rPr>
        <w:t> </w:t>
      </w:r>
      <w:r>
        <w:rPr>
          <w:w w:val="105"/>
        </w:rPr>
        <w:t>to</w:t>
      </w:r>
      <w:r>
        <w:rPr>
          <w:spacing w:val="-5"/>
          <w:w w:val="105"/>
        </w:rPr>
        <w:t> </w:t>
      </w:r>
      <w:r>
        <w:rPr>
          <w:w w:val="105"/>
        </w:rPr>
        <w:t>65.9</w:t>
      </w:r>
      <w:r>
        <w:rPr>
          <w:spacing w:val="-13"/>
          <w:w w:val="105"/>
        </w:rPr>
        <w:t> </w:t>
      </w:r>
      <w:r>
        <w:rPr>
          <w:w w:val="105"/>
        </w:rPr>
        <w:t>percent</w:t>
      </w:r>
      <w:r>
        <w:rPr>
          <w:spacing w:val="-9"/>
          <w:w w:val="105"/>
        </w:rPr>
        <w:t> </w:t>
      </w:r>
      <w:r>
        <w:rPr>
          <w:w w:val="105"/>
        </w:rPr>
        <w:t>for</w:t>
      </w:r>
      <w:r>
        <w:rPr>
          <w:spacing w:val="-11"/>
          <w:w w:val="105"/>
        </w:rPr>
        <w:t> </w:t>
      </w:r>
      <w:r>
        <w:rPr>
          <w:w w:val="105"/>
        </w:rPr>
        <w:t>2002.</w:t>
      </w:r>
      <w:r>
        <w:rPr>
          <w:spacing w:val="40"/>
          <w:w w:val="105"/>
        </w:rPr>
        <w:t> </w:t>
      </w:r>
      <w:r>
        <w:rPr>
          <w:spacing w:val="-4"/>
          <w:w w:val="105"/>
        </w:rPr>
        <w:t>The</w:t>
      </w:r>
      <w:r>
        <w:rPr>
          <w:spacing w:val="-7"/>
          <w:w w:val="105"/>
        </w:rPr>
        <w:t> </w:t>
      </w:r>
      <w:r>
        <w:rPr>
          <w:w w:val="105"/>
        </w:rPr>
        <w:t>improved</w:t>
      </w:r>
      <w:r>
        <w:rPr>
          <w:spacing w:val="-13"/>
          <w:w w:val="105"/>
        </w:rPr>
        <w:t> </w:t>
      </w:r>
      <w:r>
        <w:rPr>
          <w:w w:val="105"/>
        </w:rPr>
        <w:t>2003</w:t>
      </w:r>
      <w:r>
        <w:rPr>
          <w:spacing w:val="-9"/>
          <w:w w:val="105"/>
        </w:rPr>
        <w:t> </w:t>
      </w:r>
      <w:r>
        <w:rPr>
          <w:w w:val="105"/>
        </w:rPr>
        <w:t>load</w:t>
      </w:r>
      <w:r>
        <w:rPr>
          <w:spacing w:val="-9"/>
          <w:w w:val="105"/>
        </w:rPr>
        <w:t> </w:t>
      </w:r>
      <w:r>
        <w:rPr>
          <w:w w:val="105"/>
        </w:rPr>
        <w:t>factor</w:t>
      </w:r>
      <w:r>
        <w:rPr>
          <w:spacing w:val="-8"/>
          <w:w w:val="105"/>
        </w:rPr>
        <w:t> </w:t>
      </w:r>
      <w:r>
        <w:rPr>
          <w:w w:val="105"/>
        </w:rPr>
        <w:t>is</w:t>
      </w:r>
      <w:r>
        <w:rPr>
          <w:spacing w:val="-9"/>
          <w:w w:val="105"/>
        </w:rPr>
        <w:t> </w:t>
      </w:r>
      <w:r>
        <w:rPr>
          <w:w w:val="105"/>
        </w:rPr>
        <w:t>still</w:t>
      </w:r>
      <w:r>
        <w:rPr>
          <w:spacing w:val="-5"/>
          <w:w w:val="105"/>
        </w:rPr>
        <w:t> </w:t>
      </w:r>
      <w:r>
        <w:rPr>
          <w:spacing w:val="-3"/>
          <w:w w:val="105"/>
        </w:rPr>
        <w:t>well</w:t>
      </w:r>
      <w:r>
        <w:rPr>
          <w:spacing w:val="-9"/>
          <w:w w:val="105"/>
        </w:rPr>
        <w:t> </w:t>
      </w:r>
      <w:r>
        <w:rPr>
          <w:w w:val="105"/>
        </w:rPr>
        <w:t>below </w:t>
      </w:r>
      <w:r>
        <w:rPr>
          <w:spacing w:val="-3"/>
          <w:w w:val="105"/>
        </w:rPr>
        <w:t>pre-September </w:t>
      </w:r>
      <w:r>
        <w:rPr>
          <w:w w:val="105"/>
        </w:rPr>
        <w:t>11, 2001, annual levels. Passenger yields for 2003 (passenger revenue divided by RPMs)</w:t>
      </w:r>
      <w:r>
        <w:rPr>
          <w:spacing w:val="-15"/>
          <w:w w:val="105"/>
        </w:rPr>
        <w:t> </w:t>
      </w:r>
      <w:r>
        <w:rPr>
          <w:spacing w:val="-4"/>
          <w:w w:val="105"/>
        </w:rPr>
        <w:t>were</w:t>
      </w:r>
    </w:p>
    <w:p>
      <w:pPr>
        <w:pStyle w:val="BodyText"/>
        <w:spacing w:line="220" w:lineRule="exact" w:before="3"/>
        <w:ind w:left="115" w:right="108"/>
        <w:jc w:val="both"/>
      </w:pPr>
      <w:r>
        <w:rPr>
          <w:w w:val="105"/>
        </w:rPr>
        <w:t>$.1197</w:t>
      </w:r>
      <w:r>
        <w:rPr>
          <w:spacing w:val="-15"/>
          <w:w w:val="105"/>
        </w:rPr>
        <w:t> </w:t>
      </w:r>
      <w:r>
        <w:rPr>
          <w:spacing w:val="-3"/>
          <w:w w:val="105"/>
        </w:rPr>
        <w:t>compared</w:t>
      </w:r>
      <w:r>
        <w:rPr>
          <w:spacing w:val="-15"/>
          <w:w w:val="105"/>
        </w:rPr>
        <w:t> </w:t>
      </w:r>
      <w:r>
        <w:rPr>
          <w:w w:val="105"/>
        </w:rPr>
        <w:t>to</w:t>
      </w:r>
      <w:r>
        <w:rPr>
          <w:spacing w:val="-11"/>
          <w:w w:val="105"/>
        </w:rPr>
        <w:t> </w:t>
      </w:r>
      <w:r>
        <w:rPr>
          <w:w w:val="105"/>
        </w:rPr>
        <w:t>$.1177</w:t>
      </w:r>
      <w:r>
        <w:rPr>
          <w:spacing w:val="-15"/>
          <w:w w:val="105"/>
        </w:rPr>
        <w:t> </w:t>
      </w:r>
      <w:r>
        <w:rPr>
          <w:w w:val="105"/>
        </w:rPr>
        <w:t>in</w:t>
      </w:r>
      <w:r>
        <w:rPr>
          <w:spacing w:val="-15"/>
          <w:w w:val="105"/>
        </w:rPr>
        <w:t> </w:t>
      </w:r>
      <w:r>
        <w:rPr>
          <w:w w:val="105"/>
        </w:rPr>
        <w:t>2002,</w:t>
      </w:r>
      <w:r>
        <w:rPr>
          <w:spacing w:val="-14"/>
          <w:w w:val="105"/>
        </w:rPr>
        <w:t> </w:t>
      </w:r>
      <w:r>
        <w:rPr>
          <w:w w:val="105"/>
        </w:rPr>
        <w:t>an</w:t>
      </w:r>
      <w:r>
        <w:rPr>
          <w:spacing w:val="-19"/>
          <w:w w:val="105"/>
        </w:rPr>
        <w:t> </w:t>
      </w:r>
      <w:r>
        <w:rPr>
          <w:w w:val="105"/>
        </w:rPr>
        <w:t>increase</w:t>
      </w:r>
      <w:r>
        <w:rPr>
          <w:spacing w:val="-13"/>
          <w:w w:val="105"/>
        </w:rPr>
        <w:t> </w:t>
      </w:r>
      <w:r>
        <w:rPr>
          <w:w w:val="105"/>
        </w:rPr>
        <w:t>of</w:t>
      </w:r>
      <w:r>
        <w:rPr>
          <w:spacing w:val="-16"/>
          <w:w w:val="105"/>
        </w:rPr>
        <w:t> </w:t>
      </w:r>
      <w:r>
        <w:rPr>
          <w:w w:val="105"/>
        </w:rPr>
        <w:t>1.7</w:t>
      </w:r>
      <w:r>
        <w:rPr>
          <w:spacing w:val="-19"/>
          <w:w w:val="105"/>
        </w:rPr>
        <w:t> </w:t>
      </w:r>
      <w:r>
        <w:rPr>
          <w:w w:val="105"/>
        </w:rPr>
        <w:t>percent,</w:t>
      </w:r>
      <w:r>
        <w:rPr>
          <w:spacing w:val="-14"/>
          <w:w w:val="105"/>
        </w:rPr>
        <w:t> </w:t>
      </w:r>
      <w:r>
        <w:rPr>
          <w:w w:val="105"/>
        </w:rPr>
        <w:t>due</w:t>
      </w:r>
      <w:r>
        <w:rPr>
          <w:spacing w:val="-16"/>
          <w:w w:val="105"/>
        </w:rPr>
        <w:t> </w:t>
      </w:r>
      <w:r>
        <w:rPr>
          <w:w w:val="105"/>
        </w:rPr>
        <w:t>to</w:t>
      </w:r>
      <w:r>
        <w:rPr>
          <w:spacing w:val="-19"/>
          <w:w w:val="105"/>
        </w:rPr>
        <w:t> </w:t>
      </w:r>
      <w:r>
        <w:rPr>
          <w:w w:val="105"/>
        </w:rPr>
        <w:t>less</w:t>
      </w:r>
      <w:r>
        <w:rPr>
          <w:spacing w:val="-11"/>
          <w:w w:val="105"/>
        </w:rPr>
        <w:t> </w:t>
      </w:r>
      <w:r>
        <w:rPr>
          <w:w w:val="105"/>
        </w:rPr>
        <w:t>heavy</w:t>
      </w:r>
      <w:r>
        <w:rPr>
          <w:spacing w:val="-19"/>
          <w:w w:val="105"/>
        </w:rPr>
        <w:t> </w:t>
      </w:r>
      <w:r>
        <w:rPr>
          <w:w w:val="105"/>
        </w:rPr>
        <w:t>fare</w:t>
      </w:r>
      <w:r>
        <w:rPr>
          <w:spacing w:val="-16"/>
          <w:w w:val="105"/>
        </w:rPr>
        <w:t> </w:t>
      </w:r>
      <w:r>
        <w:rPr>
          <w:w w:val="105"/>
        </w:rPr>
        <w:t>discounting</w:t>
      </w:r>
      <w:r>
        <w:rPr>
          <w:spacing w:val="-15"/>
          <w:w w:val="105"/>
        </w:rPr>
        <w:t> </w:t>
      </w:r>
      <w:r>
        <w:rPr>
          <w:w w:val="105"/>
        </w:rPr>
        <w:t>in</w:t>
      </w:r>
      <w:r>
        <w:rPr>
          <w:spacing w:val="-15"/>
          <w:w w:val="105"/>
        </w:rPr>
        <w:t> </w:t>
      </w:r>
      <w:r>
        <w:rPr>
          <w:w w:val="105"/>
        </w:rPr>
        <w:t>2003</w:t>
      </w:r>
      <w:r>
        <w:rPr>
          <w:spacing w:val="-11"/>
          <w:w w:val="105"/>
        </w:rPr>
        <w:t> </w:t>
      </w:r>
      <w:r>
        <w:rPr>
          <w:w w:val="105"/>
        </w:rPr>
        <w:t>by</w:t>
      </w:r>
      <w:r>
        <w:rPr>
          <w:spacing w:val="-15"/>
          <w:w w:val="105"/>
        </w:rPr>
        <w:t> </w:t>
      </w:r>
      <w:r>
        <w:rPr>
          <w:w w:val="105"/>
        </w:rPr>
        <w:t>the Company</w:t>
      </w:r>
      <w:r>
        <w:rPr>
          <w:spacing w:val="-25"/>
          <w:w w:val="105"/>
        </w:rPr>
        <w:t> </w:t>
      </w:r>
      <w:r>
        <w:rPr>
          <w:w w:val="105"/>
        </w:rPr>
        <w:t>and</w:t>
      </w:r>
      <w:r>
        <w:rPr>
          <w:spacing w:val="-25"/>
          <w:w w:val="105"/>
        </w:rPr>
        <w:t> </w:t>
      </w:r>
      <w:r>
        <w:rPr>
          <w:w w:val="105"/>
        </w:rPr>
        <w:t>the</w:t>
      </w:r>
      <w:r>
        <w:rPr>
          <w:spacing w:val="-27"/>
          <w:w w:val="105"/>
        </w:rPr>
        <w:t> </w:t>
      </w:r>
      <w:r>
        <w:rPr>
          <w:w w:val="105"/>
        </w:rPr>
        <w:t>airline</w:t>
      </w:r>
      <w:r>
        <w:rPr>
          <w:spacing w:val="-27"/>
          <w:w w:val="105"/>
        </w:rPr>
        <w:t> </w:t>
      </w:r>
      <w:r>
        <w:rPr>
          <w:w w:val="105"/>
        </w:rPr>
        <w:t>industry</w:t>
      </w:r>
      <w:r>
        <w:rPr>
          <w:spacing w:val="-28"/>
          <w:w w:val="105"/>
        </w:rPr>
        <w:t> </w:t>
      </w:r>
      <w:r>
        <w:rPr>
          <w:w w:val="105"/>
        </w:rPr>
        <w:t>in</w:t>
      </w:r>
      <w:r>
        <w:rPr>
          <w:spacing w:val="-25"/>
          <w:w w:val="105"/>
        </w:rPr>
        <w:t> </w:t>
      </w:r>
      <w:r>
        <w:rPr>
          <w:spacing w:val="-3"/>
          <w:w w:val="105"/>
        </w:rPr>
        <w:t>general.</w:t>
      </w:r>
    </w:p>
    <w:p>
      <w:pPr>
        <w:pStyle w:val="BodyText"/>
        <w:spacing w:line="220" w:lineRule="exact" w:before="216"/>
        <w:ind w:left="115" w:right="109"/>
        <w:jc w:val="both"/>
      </w:pPr>
      <w:r>
        <w:rPr>
          <w:w w:val="105"/>
        </w:rPr>
        <w:t>As the economy recovers and demand for business travel increases, the Company’s operating revenue yields per ASM (unit revenues) gradually continue to improve. Although the first half of January 2004 showed modest unit revenue growth, bookings suggest that January’s load factor could fall below January 2003’s load factor of 58.0 percent.</w:t>
      </w:r>
    </w:p>
    <w:p>
      <w:pPr>
        <w:pStyle w:val="BodyText"/>
        <w:spacing w:line="261" w:lineRule="auto" w:before="239"/>
        <w:ind w:left="115" w:right="110"/>
        <w:jc w:val="both"/>
      </w:pPr>
      <w:r>
        <w:rPr>
          <w:w w:val="105"/>
        </w:rPr>
        <w:t>Consolidated</w:t>
      </w:r>
      <w:r>
        <w:rPr>
          <w:spacing w:val="-4"/>
          <w:w w:val="105"/>
        </w:rPr>
        <w:t> </w:t>
      </w:r>
      <w:r>
        <w:rPr>
          <w:w w:val="105"/>
        </w:rPr>
        <w:t>freight</w:t>
      </w:r>
      <w:r>
        <w:rPr>
          <w:spacing w:val="-4"/>
          <w:w w:val="105"/>
        </w:rPr>
        <w:t> </w:t>
      </w:r>
      <w:r>
        <w:rPr>
          <w:w w:val="105"/>
        </w:rPr>
        <w:t>revenues</w:t>
      </w:r>
      <w:r>
        <w:rPr>
          <w:spacing w:val="-8"/>
          <w:w w:val="105"/>
        </w:rPr>
        <w:t> </w:t>
      </w:r>
      <w:r>
        <w:rPr>
          <w:spacing w:val="-3"/>
          <w:w w:val="105"/>
        </w:rPr>
        <w:t>increased</w:t>
      </w:r>
      <w:r>
        <w:rPr>
          <w:spacing w:val="-4"/>
          <w:w w:val="105"/>
        </w:rPr>
        <w:t> </w:t>
      </w:r>
      <w:r>
        <w:rPr>
          <w:w w:val="105"/>
        </w:rPr>
        <w:t>$9</w:t>
      </w:r>
      <w:r>
        <w:rPr>
          <w:spacing w:val="-4"/>
          <w:w w:val="105"/>
        </w:rPr>
        <w:t> </w:t>
      </w:r>
      <w:r>
        <w:rPr>
          <w:w w:val="105"/>
        </w:rPr>
        <w:t>million,</w:t>
      </w:r>
      <w:r>
        <w:rPr>
          <w:spacing w:val="-7"/>
          <w:w w:val="105"/>
        </w:rPr>
        <w:t> </w:t>
      </w:r>
      <w:r>
        <w:rPr>
          <w:w w:val="105"/>
        </w:rPr>
        <w:t>or</w:t>
      </w:r>
      <w:r>
        <w:rPr>
          <w:spacing w:val="-6"/>
          <w:w w:val="105"/>
        </w:rPr>
        <w:t> </w:t>
      </w:r>
      <w:r>
        <w:rPr>
          <w:w w:val="105"/>
        </w:rPr>
        <w:t>10.6</w:t>
      </w:r>
      <w:r>
        <w:rPr>
          <w:spacing w:val="-4"/>
          <w:w w:val="105"/>
        </w:rPr>
        <w:t> </w:t>
      </w:r>
      <w:r>
        <w:rPr>
          <w:spacing w:val="-3"/>
          <w:w w:val="105"/>
        </w:rPr>
        <w:t>percent,</w:t>
      </w:r>
      <w:r>
        <w:rPr>
          <w:spacing w:val="-7"/>
          <w:w w:val="105"/>
        </w:rPr>
        <w:t> </w:t>
      </w:r>
      <w:r>
        <w:rPr>
          <w:w w:val="105"/>
        </w:rPr>
        <w:t>primarily</w:t>
      </w:r>
      <w:r>
        <w:rPr>
          <w:spacing w:val="-4"/>
          <w:w w:val="105"/>
        </w:rPr>
        <w:t> </w:t>
      </w:r>
      <w:r>
        <w:rPr>
          <w:w w:val="105"/>
        </w:rPr>
        <w:t>due</w:t>
      </w:r>
      <w:r>
        <w:rPr>
          <w:spacing w:val="-3"/>
          <w:w w:val="105"/>
        </w:rPr>
        <w:t> </w:t>
      </w:r>
      <w:r>
        <w:rPr>
          <w:w w:val="105"/>
        </w:rPr>
        <w:t>to</w:t>
      </w:r>
      <w:r>
        <w:rPr>
          <w:spacing w:val="-8"/>
          <w:w w:val="105"/>
        </w:rPr>
        <w:t> </w:t>
      </w:r>
      <w:r>
        <w:rPr>
          <w:w w:val="105"/>
        </w:rPr>
        <w:t>an</w:t>
      </w:r>
      <w:r>
        <w:rPr>
          <w:spacing w:val="-8"/>
          <w:w w:val="105"/>
        </w:rPr>
        <w:t> </w:t>
      </w:r>
      <w:r>
        <w:rPr>
          <w:w w:val="105"/>
        </w:rPr>
        <w:t>increase</w:t>
      </w:r>
      <w:r>
        <w:rPr>
          <w:spacing w:val="-6"/>
          <w:w w:val="105"/>
        </w:rPr>
        <w:t> </w:t>
      </w:r>
      <w:r>
        <w:rPr>
          <w:w w:val="105"/>
        </w:rPr>
        <w:t>in</w:t>
      </w:r>
      <w:r>
        <w:rPr>
          <w:spacing w:val="-4"/>
          <w:w w:val="105"/>
        </w:rPr>
        <w:t> </w:t>
      </w:r>
      <w:r>
        <w:rPr>
          <w:w w:val="105"/>
        </w:rPr>
        <w:t>freight</w:t>
      </w:r>
      <w:r>
        <w:rPr>
          <w:spacing w:val="-4"/>
          <w:w w:val="105"/>
        </w:rPr>
        <w:t> </w:t>
      </w:r>
      <w:r>
        <w:rPr>
          <w:w w:val="105"/>
        </w:rPr>
        <w:t>and cargo units shipped. Other </w:t>
      </w:r>
      <w:r>
        <w:rPr>
          <w:spacing w:val="-3"/>
          <w:w w:val="105"/>
        </w:rPr>
        <w:t>revenues increased </w:t>
      </w:r>
      <w:r>
        <w:rPr>
          <w:w w:val="105"/>
        </w:rPr>
        <w:t>$6 million, or 6.3 </w:t>
      </w:r>
      <w:r>
        <w:rPr>
          <w:spacing w:val="-3"/>
          <w:w w:val="105"/>
        </w:rPr>
        <w:t>percent, </w:t>
      </w:r>
      <w:r>
        <w:rPr>
          <w:w w:val="105"/>
        </w:rPr>
        <w:t>primarily due to </w:t>
      </w:r>
      <w:r>
        <w:rPr>
          <w:spacing w:val="-3"/>
          <w:w w:val="105"/>
        </w:rPr>
        <w:t>an increase in </w:t>
      </w:r>
      <w:r>
        <w:rPr>
          <w:w w:val="105"/>
        </w:rPr>
        <w:t>commissions</w:t>
      </w:r>
      <w:r>
        <w:rPr>
          <w:spacing w:val="-16"/>
          <w:w w:val="105"/>
        </w:rPr>
        <w:t> </w:t>
      </w:r>
      <w:r>
        <w:rPr>
          <w:spacing w:val="-3"/>
          <w:w w:val="105"/>
        </w:rPr>
        <w:t>earned</w:t>
      </w:r>
      <w:r>
        <w:rPr>
          <w:spacing w:val="-19"/>
          <w:w w:val="105"/>
        </w:rPr>
        <w:t> </w:t>
      </w:r>
      <w:r>
        <w:rPr>
          <w:w w:val="105"/>
        </w:rPr>
        <w:t>from</w:t>
      </w:r>
      <w:r>
        <w:rPr>
          <w:spacing w:val="-21"/>
          <w:w w:val="105"/>
        </w:rPr>
        <w:t> </w:t>
      </w:r>
      <w:r>
        <w:rPr>
          <w:w w:val="105"/>
        </w:rPr>
        <w:t>programs</w:t>
      </w:r>
      <w:r>
        <w:rPr>
          <w:spacing w:val="-19"/>
          <w:w w:val="105"/>
        </w:rPr>
        <w:t> </w:t>
      </w:r>
      <w:r>
        <w:rPr>
          <w:w w:val="105"/>
        </w:rPr>
        <w:t>the</w:t>
      </w:r>
      <w:r>
        <w:rPr>
          <w:spacing w:val="-21"/>
          <w:w w:val="105"/>
        </w:rPr>
        <w:t> </w:t>
      </w:r>
      <w:r>
        <w:rPr>
          <w:w w:val="105"/>
        </w:rPr>
        <w:t>Company</w:t>
      </w:r>
      <w:r>
        <w:rPr>
          <w:spacing w:val="-19"/>
          <w:w w:val="105"/>
        </w:rPr>
        <w:t> </w:t>
      </w:r>
      <w:r>
        <w:rPr>
          <w:w w:val="105"/>
        </w:rPr>
        <w:t>sponsors</w:t>
      </w:r>
      <w:r>
        <w:rPr>
          <w:spacing w:val="-19"/>
          <w:w w:val="105"/>
        </w:rPr>
        <w:t> </w:t>
      </w:r>
      <w:r>
        <w:rPr>
          <w:spacing w:val="-3"/>
          <w:w w:val="105"/>
        </w:rPr>
        <w:t>with</w:t>
      </w:r>
      <w:r>
        <w:rPr>
          <w:spacing w:val="-19"/>
          <w:w w:val="105"/>
        </w:rPr>
        <w:t> </w:t>
      </w:r>
      <w:r>
        <w:rPr>
          <w:spacing w:val="-3"/>
          <w:w w:val="105"/>
        </w:rPr>
        <w:t>certain</w:t>
      </w:r>
      <w:r>
        <w:rPr>
          <w:spacing w:val="-19"/>
          <w:w w:val="105"/>
        </w:rPr>
        <w:t> </w:t>
      </w:r>
      <w:r>
        <w:rPr>
          <w:w w:val="105"/>
        </w:rPr>
        <w:t>business</w:t>
      </w:r>
      <w:r>
        <w:rPr>
          <w:spacing w:val="-16"/>
          <w:w w:val="105"/>
        </w:rPr>
        <w:t> </w:t>
      </w:r>
      <w:r>
        <w:rPr>
          <w:w w:val="105"/>
        </w:rPr>
        <w:t>partners,</w:t>
      </w:r>
      <w:r>
        <w:rPr>
          <w:spacing w:val="-25"/>
          <w:w w:val="105"/>
        </w:rPr>
        <w:t> </w:t>
      </w:r>
      <w:r>
        <w:rPr>
          <w:w w:val="105"/>
        </w:rPr>
        <w:t>such</w:t>
      </w:r>
      <w:r>
        <w:rPr>
          <w:spacing w:val="-19"/>
          <w:w w:val="105"/>
        </w:rPr>
        <w:t> </w:t>
      </w:r>
      <w:r>
        <w:rPr>
          <w:w w:val="105"/>
        </w:rPr>
        <w:t>as</w:t>
      </w:r>
      <w:r>
        <w:rPr>
          <w:spacing w:val="-19"/>
          <w:w w:val="105"/>
        </w:rPr>
        <w:t> </w:t>
      </w:r>
      <w:r>
        <w:rPr>
          <w:w w:val="105"/>
        </w:rPr>
        <w:t>the</w:t>
      </w:r>
      <w:r>
        <w:rPr>
          <w:spacing w:val="-21"/>
          <w:w w:val="105"/>
        </w:rPr>
        <w:t> </w:t>
      </w:r>
      <w:r>
        <w:rPr>
          <w:spacing w:val="-3"/>
          <w:w w:val="105"/>
        </w:rPr>
        <w:t>Company- </w:t>
      </w:r>
      <w:r>
        <w:rPr>
          <w:w w:val="105"/>
        </w:rPr>
        <w:t>sponsored</w:t>
      </w:r>
      <w:r>
        <w:rPr>
          <w:spacing w:val="-25"/>
          <w:w w:val="105"/>
        </w:rPr>
        <w:t> </w:t>
      </w:r>
      <w:r>
        <w:rPr>
          <w:w w:val="105"/>
        </w:rPr>
        <w:t>Bank</w:t>
      </w:r>
      <w:r>
        <w:rPr>
          <w:spacing w:val="-25"/>
          <w:w w:val="105"/>
        </w:rPr>
        <w:t> </w:t>
      </w:r>
      <w:r>
        <w:rPr>
          <w:spacing w:val="-3"/>
          <w:w w:val="105"/>
        </w:rPr>
        <w:t>One®</w:t>
      </w:r>
      <w:r>
        <w:rPr>
          <w:spacing w:val="-27"/>
          <w:w w:val="105"/>
        </w:rPr>
        <w:t> </w:t>
      </w:r>
      <w:r>
        <w:rPr>
          <w:spacing w:val="-3"/>
          <w:w w:val="105"/>
        </w:rPr>
        <w:t>(formerly</w:t>
      </w:r>
      <w:r>
        <w:rPr>
          <w:spacing w:val="-28"/>
          <w:w w:val="105"/>
        </w:rPr>
        <w:t> </w:t>
      </w:r>
      <w:r>
        <w:rPr>
          <w:w w:val="105"/>
        </w:rPr>
        <w:t>First</w:t>
      </w:r>
      <w:r>
        <w:rPr>
          <w:spacing w:val="-25"/>
          <w:w w:val="105"/>
        </w:rPr>
        <w:t> </w:t>
      </w:r>
      <w:r>
        <w:rPr>
          <w:spacing w:val="-4"/>
          <w:w w:val="105"/>
        </w:rPr>
        <w:t>USA)</w:t>
      </w:r>
      <w:r>
        <w:rPr>
          <w:spacing w:val="-29"/>
          <w:w w:val="105"/>
        </w:rPr>
        <w:t> </w:t>
      </w:r>
      <w:r>
        <w:rPr>
          <w:w w:val="105"/>
        </w:rPr>
        <w:t>Visa</w:t>
      </w:r>
      <w:r>
        <w:rPr>
          <w:spacing w:val="-29"/>
          <w:w w:val="105"/>
        </w:rPr>
        <w:t> </w:t>
      </w:r>
      <w:r>
        <w:rPr>
          <w:w w:val="105"/>
        </w:rPr>
        <w:t>card.</w:t>
      </w:r>
    </w:p>
    <w:p>
      <w:pPr>
        <w:pStyle w:val="BodyText"/>
        <w:spacing w:line="259" w:lineRule="auto" w:before="255"/>
        <w:ind w:left="116" w:right="109" w:hanging="1"/>
        <w:jc w:val="both"/>
      </w:pPr>
      <w:r>
        <w:rPr>
          <w:color w:val="0000FF"/>
          <w:w w:val="105"/>
        </w:rPr>
        <w:t>OPERATING </w:t>
      </w:r>
      <w:r>
        <w:rPr>
          <w:color w:val="0000FF"/>
          <w:spacing w:val="-5"/>
          <w:w w:val="105"/>
        </w:rPr>
        <w:t>EXPENSES</w:t>
      </w:r>
      <w:r>
        <w:rPr>
          <w:i/>
          <w:color w:val="0000FF"/>
          <w:spacing w:val="-5"/>
          <w:w w:val="105"/>
        </w:rPr>
        <w:t>. </w:t>
      </w:r>
      <w:r>
        <w:rPr>
          <w:spacing w:val="2"/>
          <w:w w:val="105"/>
        </w:rPr>
        <w:t>Consolidated operating expenses </w:t>
      </w:r>
      <w:r>
        <w:rPr>
          <w:w w:val="105"/>
        </w:rPr>
        <w:t>for </w:t>
      </w:r>
      <w:r>
        <w:rPr>
          <w:spacing w:val="2"/>
          <w:w w:val="105"/>
        </w:rPr>
        <w:t>2003 increased $349 million, </w:t>
      </w:r>
      <w:r>
        <w:rPr>
          <w:w w:val="105"/>
        </w:rPr>
        <w:t>or </w:t>
      </w:r>
      <w:r>
        <w:rPr>
          <w:spacing w:val="3"/>
          <w:w w:val="105"/>
        </w:rPr>
        <w:t>6.8 </w:t>
      </w:r>
      <w:r>
        <w:rPr>
          <w:w w:val="105"/>
        </w:rPr>
        <w:t>percent, compared to the 4.2 percent increase in capacity. To a large extent, changes in operating expenses  for </w:t>
      </w:r>
      <w:r>
        <w:rPr>
          <w:spacing w:val="2"/>
          <w:w w:val="105"/>
        </w:rPr>
        <w:t>airlines </w:t>
      </w:r>
      <w:r>
        <w:rPr>
          <w:w w:val="105"/>
        </w:rPr>
        <w:t>are </w:t>
      </w:r>
      <w:r>
        <w:rPr>
          <w:spacing w:val="2"/>
          <w:w w:val="105"/>
        </w:rPr>
        <w:t>driven </w:t>
      </w:r>
      <w:r>
        <w:rPr>
          <w:w w:val="105"/>
        </w:rPr>
        <w:t>by </w:t>
      </w:r>
      <w:r>
        <w:rPr>
          <w:spacing w:val="2"/>
          <w:w w:val="105"/>
        </w:rPr>
        <w:t>changes </w:t>
      </w:r>
      <w:r>
        <w:rPr>
          <w:w w:val="105"/>
        </w:rPr>
        <w:t>in </w:t>
      </w:r>
      <w:r>
        <w:rPr>
          <w:spacing w:val="2"/>
          <w:w w:val="105"/>
        </w:rPr>
        <w:t>capacity, </w:t>
      </w:r>
      <w:r>
        <w:rPr>
          <w:w w:val="105"/>
        </w:rPr>
        <w:t>or ASMs. The </w:t>
      </w:r>
      <w:r>
        <w:rPr>
          <w:spacing w:val="2"/>
          <w:w w:val="105"/>
        </w:rPr>
        <w:t>following presents </w:t>
      </w:r>
      <w:r>
        <w:rPr>
          <w:w w:val="105"/>
        </w:rPr>
        <w:t>Southwest’s </w:t>
      </w:r>
      <w:r>
        <w:rPr>
          <w:spacing w:val="3"/>
          <w:w w:val="105"/>
        </w:rPr>
        <w:t>operating </w:t>
      </w:r>
      <w:r>
        <w:rPr>
          <w:w w:val="105"/>
        </w:rPr>
        <w:t>expenses</w:t>
      </w:r>
      <w:r>
        <w:rPr>
          <w:spacing w:val="-12"/>
          <w:w w:val="105"/>
        </w:rPr>
        <w:t> </w:t>
      </w:r>
      <w:r>
        <w:rPr>
          <w:w w:val="105"/>
        </w:rPr>
        <w:t>per</w:t>
      </w:r>
      <w:r>
        <w:rPr>
          <w:spacing w:val="-12"/>
          <w:w w:val="105"/>
        </w:rPr>
        <w:t> </w:t>
      </w:r>
      <w:r>
        <w:rPr>
          <w:w w:val="105"/>
        </w:rPr>
        <w:t>ASM</w:t>
      </w:r>
      <w:r>
        <w:rPr>
          <w:spacing w:val="-12"/>
          <w:w w:val="105"/>
        </w:rPr>
        <w:t> </w:t>
      </w:r>
      <w:r>
        <w:rPr>
          <w:w w:val="105"/>
        </w:rPr>
        <w:t>for</w:t>
      </w:r>
      <w:r>
        <w:rPr>
          <w:spacing w:val="-12"/>
          <w:w w:val="105"/>
        </w:rPr>
        <w:t> </w:t>
      </w:r>
      <w:r>
        <w:rPr>
          <w:w w:val="105"/>
        </w:rPr>
        <w:t>2003</w:t>
      </w:r>
      <w:r>
        <w:rPr>
          <w:spacing w:val="-12"/>
          <w:w w:val="105"/>
        </w:rPr>
        <w:t> </w:t>
      </w:r>
      <w:r>
        <w:rPr>
          <w:w w:val="105"/>
        </w:rPr>
        <w:t>and</w:t>
      </w:r>
      <w:r>
        <w:rPr>
          <w:spacing w:val="-12"/>
          <w:w w:val="105"/>
        </w:rPr>
        <w:t> </w:t>
      </w:r>
      <w:r>
        <w:rPr>
          <w:w w:val="105"/>
        </w:rPr>
        <w:t>2002</w:t>
      </w:r>
      <w:r>
        <w:rPr>
          <w:spacing w:val="-12"/>
          <w:w w:val="105"/>
        </w:rPr>
        <w:t> </w:t>
      </w:r>
      <w:r>
        <w:rPr>
          <w:w w:val="105"/>
        </w:rPr>
        <w:t>followed</w:t>
      </w:r>
      <w:r>
        <w:rPr>
          <w:spacing w:val="-12"/>
          <w:w w:val="105"/>
        </w:rPr>
        <w:t> </w:t>
      </w:r>
      <w:r>
        <w:rPr>
          <w:w w:val="105"/>
        </w:rPr>
        <w:t>by</w:t>
      </w:r>
      <w:r>
        <w:rPr>
          <w:spacing w:val="-12"/>
          <w:w w:val="105"/>
        </w:rPr>
        <w:t> </w:t>
      </w:r>
      <w:r>
        <w:rPr>
          <w:w w:val="105"/>
        </w:rPr>
        <w:t>explanations</w:t>
      </w:r>
      <w:r>
        <w:rPr>
          <w:spacing w:val="-12"/>
          <w:w w:val="105"/>
        </w:rPr>
        <w:t> </w:t>
      </w:r>
      <w:r>
        <w:rPr>
          <w:w w:val="105"/>
        </w:rPr>
        <w:t>of</w:t>
      </w:r>
      <w:r>
        <w:rPr>
          <w:spacing w:val="-12"/>
          <w:w w:val="105"/>
        </w:rPr>
        <w:t> </w:t>
      </w:r>
      <w:r>
        <w:rPr>
          <w:w w:val="105"/>
        </w:rPr>
        <w:t>these</w:t>
      </w:r>
      <w:r>
        <w:rPr>
          <w:spacing w:val="-12"/>
          <w:w w:val="105"/>
        </w:rPr>
        <w:t> </w:t>
      </w:r>
      <w:r>
        <w:rPr>
          <w:w w:val="105"/>
        </w:rPr>
        <w:t>changes</w:t>
      </w:r>
      <w:r>
        <w:rPr>
          <w:spacing w:val="-12"/>
          <w:w w:val="105"/>
        </w:rPr>
        <w:t> </w:t>
      </w:r>
      <w:r>
        <w:rPr>
          <w:w w:val="105"/>
        </w:rPr>
        <w:t>on</w:t>
      </w:r>
      <w:r>
        <w:rPr>
          <w:spacing w:val="-12"/>
          <w:w w:val="105"/>
        </w:rPr>
        <w:t> </w:t>
      </w:r>
      <w:r>
        <w:rPr>
          <w:w w:val="105"/>
        </w:rPr>
        <w:t>a</w:t>
      </w:r>
      <w:r>
        <w:rPr>
          <w:spacing w:val="-12"/>
          <w:w w:val="105"/>
        </w:rPr>
        <w:t> </w:t>
      </w:r>
      <w:r>
        <w:rPr>
          <w:w w:val="105"/>
        </w:rPr>
        <w:t>per-ASM</w:t>
      </w:r>
      <w:r>
        <w:rPr>
          <w:spacing w:val="-12"/>
          <w:w w:val="105"/>
        </w:rPr>
        <w:t> </w:t>
      </w:r>
      <w:r>
        <w:rPr>
          <w:w w:val="105"/>
        </w:rPr>
        <w:t>basis:</w:t>
      </w:r>
    </w:p>
    <w:p>
      <w:pPr>
        <w:pStyle w:val="BodyText"/>
        <w:spacing w:before="4"/>
        <w:rPr>
          <w:sz w:val="19"/>
        </w:rPr>
      </w:pPr>
    </w:p>
    <w:tbl>
      <w:tblPr>
        <w:tblW w:w="0" w:type="auto"/>
        <w:jc w:val="left"/>
        <w:tblInd w:w="12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671"/>
        <w:gridCol w:w="944"/>
        <w:gridCol w:w="1146"/>
        <w:gridCol w:w="1506"/>
        <w:gridCol w:w="1359"/>
      </w:tblGrid>
      <w:tr>
        <w:trPr>
          <w:trHeight w:val="605" w:hRule="exact"/>
        </w:trPr>
        <w:tc>
          <w:tcPr>
            <w:tcW w:w="4615" w:type="dxa"/>
            <w:gridSpan w:val="2"/>
            <w:tcBorders>
              <w:top w:val="single" w:sz="8" w:space="0" w:color="000000"/>
              <w:bottom w:val="single" w:sz="8" w:space="0" w:color="000000"/>
            </w:tcBorders>
          </w:tcPr>
          <w:p>
            <w:pPr>
              <w:pStyle w:val="TableParagraph"/>
              <w:spacing w:before="1"/>
              <w:rPr>
                <w:rFonts w:ascii="Times New Roman"/>
                <w:sz w:val="27"/>
              </w:rPr>
            </w:pPr>
          </w:p>
          <w:p>
            <w:pPr>
              <w:pStyle w:val="TableParagraph"/>
              <w:ind w:right="348"/>
              <w:jc w:val="right"/>
              <w:rPr>
                <w:b/>
                <w:sz w:val="22"/>
              </w:rPr>
            </w:pPr>
            <w:r>
              <w:rPr>
                <w:b/>
                <w:color w:val="0000D3"/>
                <w:w w:val="120"/>
                <w:sz w:val="22"/>
              </w:rPr>
              <w:t>2003</w:t>
            </w:r>
          </w:p>
        </w:tc>
        <w:tc>
          <w:tcPr>
            <w:tcW w:w="1146" w:type="dxa"/>
            <w:tcBorders>
              <w:top w:val="single" w:sz="8" w:space="0" w:color="000000"/>
              <w:bottom w:val="single" w:sz="8" w:space="0" w:color="000000"/>
            </w:tcBorders>
          </w:tcPr>
          <w:p>
            <w:pPr>
              <w:pStyle w:val="TableParagraph"/>
              <w:spacing w:before="1"/>
              <w:rPr>
                <w:rFonts w:ascii="Times New Roman"/>
                <w:sz w:val="27"/>
              </w:rPr>
            </w:pPr>
          </w:p>
          <w:p>
            <w:pPr>
              <w:pStyle w:val="TableParagraph"/>
              <w:ind w:left="273"/>
              <w:rPr>
                <w:sz w:val="22"/>
              </w:rPr>
            </w:pPr>
            <w:r>
              <w:rPr>
                <w:w w:val="120"/>
                <w:sz w:val="22"/>
              </w:rPr>
              <w:t>2002</w:t>
            </w:r>
          </w:p>
        </w:tc>
        <w:tc>
          <w:tcPr>
            <w:tcW w:w="1506" w:type="dxa"/>
            <w:tcBorders>
              <w:top w:val="single" w:sz="8" w:space="0" w:color="000000"/>
              <w:bottom w:val="single" w:sz="8" w:space="0" w:color="000000"/>
            </w:tcBorders>
          </w:tcPr>
          <w:p>
            <w:pPr>
              <w:pStyle w:val="TableParagraph"/>
              <w:spacing w:line="288" w:lineRule="auto" w:before="9"/>
              <w:ind w:left="183" w:firstLine="138"/>
              <w:rPr>
                <w:sz w:val="22"/>
              </w:rPr>
            </w:pPr>
            <w:r>
              <w:rPr>
                <w:w w:val="110"/>
                <w:sz w:val="22"/>
              </w:rPr>
              <w:t>Increase (decrease)</w:t>
            </w:r>
          </w:p>
        </w:tc>
        <w:tc>
          <w:tcPr>
            <w:tcW w:w="1359" w:type="dxa"/>
            <w:tcBorders>
              <w:top w:val="single" w:sz="8" w:space="0" w:color="000000"/>
              <w:bottom w:val="single" w:sz="8" w:space="0" w:color="000000"/>
            </w:tcBorders>
          </w:tcPr>
          <w:p>
            <w:pPr>
              <w:pStyle w:val="TableParagraph"/>
              <w:spacing w:line="288" w:lineRule="auto" w:before="9"/>
              <w:ind w:left="198" w:right="368" w:hanging="24"/>
              <w:rPr>
                <w:sz w:val="22"/>
              </w:rPr>
            </w:pPr>
            <w:r>
              <w:rPr>
                <w:w w:val="105"/>
                <w:sz w:val="22"/>
              </w:rPr>
              <w:t>Percent change</w:t>
            </w:r>
          </w:p>
        </w:tc>
      </w:tr>
      <w:tr>
        <w:trPr>
          <w:trHeight w:val="479" w:hRule="exact"/>
        </w:trPr>
        <w:tc>
          <w:tcPr>
            <w:tcW w:w="5761" w:type="dxa"/>
            <w:gridSpan w:val="3"/>
          </w:tcPr>
          <w:p>
            <w:pPr>
              <w:pStyle w:val="TableParagraph"/>
              <w:tabs>
                <w:tab w:pos="3809" w:val="left" w:leader="none"/>
                <w:tab w:pos="4543" w:val="left" w:leader="none"/>
                <w:tab w:pos="5061" w:val="left" w:leader="none"/>
              </w:tabs>
              <w:spacing w:before="177"/>
              <w:ind w:left="47"/>
              <w:rPr>
                <w:sz w:val="22"/>
              </w:rPr>
            </w:pPr>
            <w:r>
              <w:rPr>
                <w:w w:val="110"/>
                <w:sz w:val="22"/>
              </w:rPr>
              <w:t>Salaries, wages,</w:t>
            </w:r>
            <w:r>
              <w:rPr>
                <w:spacing w:val="-43"/>
                <w:w w:val="110"/>
                <w:sz w:val="22"/>
              </w:rPr>
              <w:t> </w:t>
            </w:r>
            <w:r>
              <w:rPr>
                <w:w w:val="110"/>
                <w:sz w:val="22"/>
              </w:rPr>
              <w:t>and</w:t>
            </w:r>
            <w:r>
              <w:rPr>
                <w:spacing w:val="-22"/>
                <w:w w:val="110"/>
                <w:sz w:val="22"/>
              </w:rPr>
              <w:t> </w:t>
            </w:r>
            <w:r>
              <w:rPr>
                <w:w w:val="110"/>
                <w:sz w:val="22"/>
              </w:rPr>
              <w:t>benefits</w:t>
              <w:tab/>
            </w:r>
            <w:r>
              <w:rPr>
                <w:b/>
                <w:color w:val="0000D3"/>
                <w:spacing w:val="6"/>
                <w:w w:val="110"/>
                <w:sz w:val="22"/>
              </w:rPr>
              <w:t>3.10</w:t>
              <w:tab/>
            </w:r>
            <w:r>
              <w:rPr>
                <w:color w:val="0000D3"/>
                <w:w w:val="110"/>
                <w:sz w:val="22"/>
              </w:rPr>
              <w:t>¢</w:t>
              <w:tab/>
            </w:r>
            <w:r>
              <w:rPr>
                <w:w w:val="110"/>
                <w:sz w:val="22"/>
              </w:rPr>
              <w:t>2.89</w:t>
            </w:r>
          </w:p>
        </w:tc>
        <w:tc>
          <w:tcPr>
            <w:tcW w:w="1506" w:type="dxa"/>
          </w:tcPr>
          <w:p>
            <w:pPr>
              <w:pStyle w:val="TableParagraph"/>
              <w:tabs>
                <w:tab w:pos="778" w:val="left" w:leader="none"/>
              </w:tabs>
              <w:spacing w:before="177"/>
              <w:ind w:left="10"/>
              <w:rPr>
                <w:sz w:val="22"/>
              </w:rPr>
            </w:pPr>
            <w:r>
              <w:rPr>
                <w:w w:val="120"/>
                <w:sz w:val="22"/>
              </w:rPr>
              <w:t>¢</w:t>
              <w:tab/>
              <w:t>.21 </w:t>
            </w:r>
            <w:r>
              <w:rPr>
                <w:spacing w:val="47"/>
                <w:w w:val="120"/>
                <w:sz w:val="22"/>
              </w:rPr>
              <w:t> </w:t>
            </w:r>
            <w:r>
              <w:rPr>
                <w:w w:val="120"/>
                <w:sz w:val="22"/>
              </w:rPr>
              <w:t>¢</w:t>
            </w:r>
          </w:p>
        </w:tc>
        <w:tc>
          <w:tcPr>
            <w:tcW w:w="1359" w:type="dxa"/>
          </w:tcPr>
          <w:p>
            <w:pPr>
              <w:pStyle w:val="TableParagraph"/>
              <w:spacing w:before="177"/>
              <w:ind w:left="601"/>
              <w:rPr>
                <w:sz w:val="22"/>
              </w:rPr>
            </w:pPr>
            <w:r>
              <w:rPr>
                <w:w w:val="115"/>
                <w:sz w:val="22"/>
              </w:rPr>
              <w:t>7.3  %</w:t>
            </w:r>
          </w:p>
        </w:tc>
      </w:tr>
      <w:tr>
        <w:trPr>
          <w:trHeight w:val="296" w:hRule="exact"/>
        </w:trPr>
        <w:tc>
          <w:tcPr>
            <w:tcW w:w="3671" w:type="dxa"/>
          </w:tcPr>
          <w:p>
            <w:pPr>
              <w:pStyle w:val="TableParagraph"/>
              <w:spacing w:before="13"/>
              <w:ind w:left="48"/>
              <w:rPr>
                <w:sz w:val="22"/>
              </w:rPr>
            </w:pPr>
            <w:r>
              <w:rPr>
                <w:w w:val="105"/>
                <w:sz w:val="22"/>
              </w:rPr>
              <w:t>Fuel and oil</w:t>
            </w:r>
          </w:p>
        </w:tc>
        <w:tc>
          <w:tcPr>
            <w:tcW w:w="944" w:type="dxa"/>
          </w:tcPr>
          <w:p>
            <w:pPr>
              <w:pStyle w:val="TableParagraph"/>
              <w:spacing w:before="13"/>
              <w:ind w:right="271"/>
              <w:jc w:val="right"/>
              <w:rPr>
                <w:b/>
                <w:sz w:val="22"/>
              </w:rPr>
            </w:pPr>
            <w:r>
              <w:rPr>
                <w:b/>
                <w:color w:val="0000D3"/>
                <w:w w:val="115"/>
                <w:sz w:val="22"/>
              </w:rPr>
              <w:t>1.16</w:t>
            </w:r>
          </w:p>
        </w:tc>
        <w:tc>
          <w:tcPr>
            <w:tcW w:w="1146" w:type="dxa"/>
          </w:tcPr>
          <w:p>
            <w:pPr>
              <w:pStyle w:val="TableParagraph"/>
              <w:spacing w:before="13"/>
              <w:ind w:right="181"/>
              <w:jc w:val="right"/>
              <w:rPr>
                <w:sz w:val="22"/>
              </w:rPr>
            </w:pPr>
            <w:r>
              <w:rPr>
                <w:w w:val="120"/>
                <w:sz w:val="22"/>
              </w:rPr>
              <w:t>1.11</w:t>
            </w:r>
          </w:p>
        </w:tc>
        <w:tc>
          <w:tcPr>
            <w:tcW w:w="1506" w:type="dxa"/>
          </w:tcPr>
          <w:p>
            <w:pPr>
              <w:pStyle w:val="TableParagraph"/>
              <w:spacing w:before="13"/>
              <w:ind w:left="778"/>
              <w:rPr>
                <w:sz w:val="22"/>
              </w:rPr>
            </w:pPr>
            <w:r>
              <w:rPr>
                <w:w w:val="120"/>
                <w:sz w:val="22"/>
              </w:rPr>
              <w:t>.05</w:t>
            </w:r>
          </w:p>
        </w:tc>
        <w:tc>
          <w:tcPr>
            <w:tcW w:w="1359" w:type="dxa"/>
          </w:tcPr>
          <w:p>
            <w:pPr>
              <w:pStyle w:val="TableParagraph"/>
              <w:spacing w:before="13"/>
              <w:ind w:left="601"/>
              <w:rPr>
                <w:sz w:val="22"/>
              </w:rPr>
            </w:pPr>
            <w:r>
              <w:rPr>
                <w:w w:val="120"/>
                <w:sz w:val="22"/>
              </w:rPr>
              <w:t>4.5</w:t>
            </w:r>
          </w:p>
        </w:tc>
      </w:tr>
      <w:tr>
        <w:trPr>
          <w:trHeight w:val="302" w:hRule="exact"/>
        </w:trPr>
        <w:tc>
          <w:tcPr>
            <w:tcW w:w="3671" w:type="dxa"/>
          </w:tcPr>
          <w:p>
            <w:pPr>
              <w:pStyle w:val="TableParagraph"/>
              <w:spacing w:before="7"/>
              <w:ind w:left="48"/>
              <w:rPr>
                <w:sz w:val="22"/>
              </w:rPr>
            </w:pPr>
            <w:r>
              <w:rPr>
                <w:w w:val="105"/>
                <w:sz w:val="22"/>
              </w:rPr>
              <w:t>Maintenance materials and repair</w:t>
            </w:r>
          </w:p>
        </w:tc>
        <w:tc>
          <w:tcPr>
            <w:tcW w:w="944" w:type="dxa"/>
          </w:tcPr>
          <w:p>
            <w:pPr>
              <w:pStyle w:val="TableParagraph"/>
              <w:spacing w:before="7"/>
              <w:ind w:right="271"/>
              <w:jc w:val="right"/>
              <w:rPr>
                <w:b/>
                <w:sz w:val="22"/>
              </w:rPr>
            </w:pPr>
            <w:r>
              <w:rPr>
                <w:b/>
                <w:color w:val="0000D3"/>
                <w:w w:val="115"/>
                <w:sz w:val="22"/>
              </w:rPr>
              <w:t>.60</w:t>
            </w:r>
          </w:p>
        </w:tc>
        <w:tc>
          <w:tcPr>
            <w:tcW w:w="1146" w:type="dxa"/>
          </w:tcPr>
          <w:p>
            <w:pPr>
              <w:pStyle w:val="TableParagraph"/>
              <w:spacing w:before="7"/>
              <w:ind w:right="182"/>
              <w:jc w:val="right"/>
              <w:rPr>
                <w:sz w:val="22"/>
              </w:rPr>
            </w:pPr>
            <w:r>
              <w:rPr>
                <w:w w:val="115"/>
                <w:sz w:val="22"/>
              </w:rPr>
              <w:t>.57</w:t>
            </w:r>
          </w:p>
        </w:tc>
        <w:tc>
          <w:tcPr>
            <w:tcW w:w="1506" w:type="dxa"/>
          </w:tcPr>
          <w:p>
            <w:pPr>
              <w:pStyle w:val="TableParagraph"/>
              <w:spacing w:before="7"/>
              <w:ind w:left="778"/>
              <w:rPr>
                <w:sz w:val="22"/>
              </w:rPr>
            </w:pPr>
            <w:r>
              <w:rPr>
                <w:w w:val="115"/>
                <w:sz w:val="22"/>
              </w:rPr>
              <w:t>.03</w:t>
            </w:r>
          </w:p>
        </w:tc>
        <w:tc>
          <w:tcPr>
            <w:tcW w:w="1359" w:type="dxa"/>
          </w:tcPr>
          <w:p>
            <w:pPr>
              <w:pStyle w:val="TableParagraph"/>
              <w:spacing w:before="7"/>
              <w:ind w:left="601"/>
              <w:rPr>
                <w:sz w:val="22"/>
              </w:rPr>
            </w:pPr>
            <w:r>
              <w:rPr>
                <w:w w:val="120"/>
                <w:sz w:val="22"/>
              </w:rPr>
              <w:t>5.3</w:t>
            </w:r>
          </w:p>
        </w:tc>
      </w:tr>
      <w:tr>
        <w:trPr>
          <w:trHeight w:val="302" w:hRule="exact"/>
        </w:trPr>
        <w:tc>
          <w:tcPr>
            <w:tcW w:w="3671" w:type="dxa"/>
          </w:tcPr>
          <w:p>
            <w:pPr>
              <w:pStyle w:val="TableParagraph"/>
              <w:spacing w:before="7"/>
              <w:ind w:left="47"/>
              <w:rPr>
                <w:sz w:val="22"/>
              </w:rPr>
            </w:pPr>
            <w:r>
              <w:rPr>
                <w:w w:val="105"/>
                <w:sz w:val="22"/>
              </w:rPr>
              <w:t>Agency commissions</w:t>
            </w:r>
          </w:p>
        </w:tc>
        <w:tc>
          <w:tcPr>
            <w:tcW w:w="944" w:type="dxa"/>
          </w:tcPr>
          <w:p>
            <w:pPr>
              <w:pStyle w:val="TableParagraph"/>
              <w:spacing w:before="7"/>
              <w:ind w:right="271"/>
              <w:jc w:val="right"/>
              <w:rPr>
                <w:b/>
                <w:sz w:val="22"/>
              </w:rPr>
            </w:pPr>
            <w:r>
              <w:rPr>
                <w:b/>
                <w:color w:val="0000D3"/>
                <w:w w:val="115"/>
                <w:sz w:val="22"/>
              </w:rPr>
              <w:t>.07</w:t>
            </w:r>
          </w:p>
        </w:tc>
        <w:tc>
          <w:tcPr>
            <w:tcW w:w="1146" w:type="dxa"/>
          </w:tcPr>
          <w:p>
            <w:pPr>
              <w:pStyle w:val="TableParagraph"/>
              <w:spacing w:before="7"/>
              <w:ind w:right="182"/>
              <w:jc w:val="right"/>
              <w:rPr>
                <w:sz w:val="22"/>
              </w:rPr>
            </w:pPr>
            <w:r>
              <w:rPr>
                <w:w w:val="115"/>
                <w:sz w:val="22"/>
              </w:rPr>
              <w:t>.08</w:t>
            </w:r>
          </w:p>
        </w:tc>
        <w:tc>
          <w:tcPr>
            <w:tcW w:w="1506" w:type="dxa"/>
          </w:tcPr>
          <w:p>
            <w:pPr>
              <w:pStyle w:val="TableParagraph"/>
              <w:spacing w:before="7"/>
              <w:ind w:left="677"/>
              <w:rPr>
                <w:sz w:val="22"/>
              </w:rPr>
            </w:pPr>
            <w:r>
              <w:rPr>
                <w:w w:val="125"/>
                <w:sz w:val="22"/>
              </w:rPr>
              <w:t>(.01)</w:t>
            </w:r>
          </w:p>
        </w:tc>
        <w:tc>
          <w:tcPr>
            <w:tcW w:w="1359" w:type="dxa"/>
          </w:tcPr>
          <w:p>
            <w:pPr>
              <w:pStyle w:val="TableParagraph"/>
              <w:spacing w:before="7"/>
              <w:ind w:left="351"/>
              <w:rPr>
                <w:sz w:val="22"/>
              </w:rPr>
            </w:pPr>
            <w:r>
              <w:rPr>
                <w:w w:val="125"/>
                <w:sz w:val="22"/>
              </w:rPr>
              <w:t>(12.5)</w:t>
            </w:r>
          </w:p>
        </w:tc>
      </w:tr>
      <w:tr>
        <w:trPr>
          <w:trHeight w:val="302" w:hRule="exact"/>
        </w:trPr>
        <w:tc>
          <w:tcPr>
            <w:tcW w:w="3671" w:type="dxa"/>
          </w:tcPr>
          <w:p>
            <w:pPr>
              <w:pStyle w:val="TableParagraph"/>
              <w:spacing w:before="7"/>
              <w:ind w:left="47"/>
              <w:rPr>
                <w:sz w:val="22"/>
              </w:rPr>
            </w:pPr>
            <w:r>
              <w:rPr>
                <w:w w:val="115"/>
                <w:sz w:val="22"/>
              </w:rPr>
              <w:t>Aircraft rentals</w:t>
            </w:r>
          </w:p>
        </w:tc>
        <w:tc>
          <w:tcPr>
            <w:tcW w:w="944" w:type="dxa"/>
          </w:tcPr>
          <w:p>
            <w:pPr>
              <w:pStyle w:val="TableParagraph"/>
              <w:spacing w:before="7"/>
              <w:ind w:right="271"/>
              <w:jc w:val="right"/>
              <w:rPr>
                <w:b/>
                <w:sz w:val="22"/>
              </w:rPr>
            </w:pPr>
            <w:r>
              <w:rPr>
                <w:b/>
                <w:color w:val="0000D3"/>
                <w:w w:val="115"/>
                <w:sz w:val="22"/>
              </w:rPr>
              <w:t>.25</w:t>
            </w:r>
          </w:p>
        </w:tc>
        <w:tc>
          <w:tcPr>
            <w:tcW w:w="1146" w:type="dxa"/>
          </w:tcPr>
          <w:p>
            <w:pPr>
              <w:pStyle w:val="TableParagraph"/>
              <w:spacing w:before="7"/>
              <w:ind w:right="181"/>
              <w:jc w:val="right"/>
              <w:rPr>
                <w:sz w:val="22"/>
              </w:rPr>
            </w:pPr>
            <w:r>
              <w:rPr>
                <w:w w:val="115"/>
                <w:sz w:val="22"/>
              </w:rPr>
              <w:t>.27</w:t>
            </w:r>
          </w:p>
        </w:tc>
        <w:tc>
          <w:tcPr>
            <w:tcW w:w="1506" w:type="dxa"/>
          </w:tcPr>
          <w:p>
            <w:pPr>
              <w:pStyle w:val="TableParagraph"/>
              <w:spacing w:before="7"/>
              <w:ind w:left="677"/>
              <w:rPr>
                <w:sz w:val="22"/>
              </w:rPr>
            </w:pPr>
            <w:r>
              <w:rPr>
                <w:w w:val="125"/>
                <w:sz w:val="22"/>
              </w:rPr>
              <w:t>(.02)</w:t>
            </w:r>
          </w:p>
        </w:tc>
        <w:tc>
          <w:tcPr>
            <w:tcW w:w="1359" w:type="dxa"/>
          </w:tcPr>
          <w:p>
            <w:pPr>
              <w:pStyle w:val="TableParagraph"/>
              <w:spacing w:before="7"/>
              <w:ind w:left="500"/>
              <w:rPr>
                <w:sz w:val="22"/>
              </w:rPr>
            </w:pPr>
            <w:r>
              <w:rPr>
                <w:w w:val="125"/>
                <w:sz w:val="22"/>
              </w:rPr>
              <w:t>(7.4)</w:t>
            </w:r>
          </w:p>
        </w:tc>
      </w:tr>
      <w:tr>
        <w:trPr>
          <w:trHeight w:val="302" w:hRule="exact"/>
        </w:trPr>
        <w:tc>
          <w:tcPr>
            <w:tcW w:w="3671" w:type="dxa"/>
          </w:tcPr>
          <w:p>
            <w:pPr>
              <w:pStyle w:val="TableParagraph"/>
              <w:spacing w:before="7"/>
              <w:ind w:left="47"/>
              <w:rPr>
                <w:sz w:val="22"/>
              </w:rPr>
            </w:pPr>
            <w:r>
              <w:rPr>
                <w:w w:val="110"/>
                <w:sz w:val="22"/>
              </w:rPr>
              <w:t>Landing fees and other rentals</w:t>
            </w:r>
          </w:p>
        </w:tc>
        <w:tc>
          <w:tcPr>
            <w:tcW w:w="944" w:type="dxa"/>
          </w:tcPr>
          <w:p>
            <w:pPr>
              <w:pStyle w:val="TableParagraph"/>
              <w:spacing w:before="7"/>
              <w:ind w:right="271"/>
              <w:jc w:val="right"/>
              <w:rPr>
                <w:b/>
                <w:sz w:val="22"/>
              </w:rPr>
            </w:pPr>
            <w:r>
              <w:rPr>
                <w:b/>
                <w:color w:val="0000D3"/>
                <w:w w:val="115"/>
                <w:sz w:val="22"/>
              </w:rPr>
              <w:t>.52</w:t>
            </w:r>
          </w:p>
        </w:tc>
        <w:tc>
          <w:tcPr>
            <w:tcW w:w="1146" w:type="dxa"/>
          </w:tcPr>
          <w:p>
            <w:pPr>
              <w:pStyle w:val="TableParagraph"/>
              <w:spacing w:before="7"/>
              <w:ind w:right="182"/>
              <w:jc w:val="right"/>
              <w:rPr>
                <w:sz w:val="22"/>
              </w:rPr>
            </w:pPr>
            <w:r>
              <w:rPr>
                <w:w w:val="115"/>
                <w:sz w:val="22"/>
              </w:rPr>
              <w:t>.50</w:t>
            </w:r>
          </w:p>
        </w:tc>
        <w:tc>
          <w:tcPr>
            <w:tcW w:w="1506" w:type="dxa"/>
          </w:tcPr>
          <w:p>
            <w:pPr>
              <w:pStyle w:val="TableParagraph"/>
              <w:spacing w:before="7"/>
              <w:ind w:left="778"/>
              <w:rPr>
                <w:sz w:val="22"/>
              </w:rPr>
            </w:pPr>
            <w:r>
              <w:rPr>
                <w:w w:val="115"/>
                <w:sz w:val="22"/>
              </w:rPr>
              <w:t>.02</w:t>
            </w:r>
          </w:p>
        </w:tc>
        <w:tc>
          <w:tcPr>
            <w:tcW w:w="1359" w:type="dxa"/>
          </w:tcPr>
          <w:p>
            <w:pPr>
              <w:pStyle w:val="TableParagraph"/>
              <w:spacing w:before="7"/>
              <w:ind w:left="601"/>
              <w:rPr>
                <w:sz w:val="22"/>
              </w:rPr>
            </w:pPr>
            <w:r>
              <w:rPr>
                <w:w w:val="120"/>
                <w:sz w:val="22"/>
              </w:rPr>
              <w:t>4.0</w:t>
            </w:r>
          </w:p>
        </w:tc>
      </w:tr>
      <w:tr>
        <w:trPr>
          <w:trHeight w:val="309" w:hRule="exact"/>
        </w:trPr>
        <w:tc>
          <w:tcPr>
            <w:tcW w:w="3671" w:type="dxa"/>
          </w:tcPr>
          <w:p>
            <w:pPr>
              <w:pStyle w:val="TableParagraph"/>
              <w:spacing w:before="7"/>
              <w:ind w:left="47"/>
              <w:rPr>
                <w:sz w:val="22"/>
              </w:rPr>
            </w:pPr>
            <w:r>
              <w:rPr>
                <w:w w:val="110"/>
                <w:sz w:val="22"/>
              </w:rPr>
              <w:t>Depreciation</w:t>
            </w:r>
          </w:p>
        </w:tc>
        <w:tc>
          <w:tcPr>
            <w:tcW w:w="944" w:type="dxa"/>
          </w:tcPr>
          <w:p>
            <w:pPr>
              <w:pStyle w:val="TableParagraph"/>
              <w:spacing w:before="7"/>
              <w:ind w:right="271"/>
              <w:jc w:val="right"/>
              <w:rPr>
                <w:b/>
                <w:sz w:val="22"/>
              </w:rPr>
            </w:pPr>
            <w:r>
              <w:rPr>
                <w:b/>
                <w:color w:val="0000D3"/>
                <w:w w:val="115"/>
                <w:sz w:val="22"/>
              </w:rPr>
              <w:t>.53</w:t>
            </w:r>
          </w:p>
        </w:tc>
        <w:tc>
          <w:tcPr>
            <w:tcW w:w="1146" w:type="dxa"/>
          </w:tcPr>
          <w:p>
            <w:pPr>
              <w:pStyle w:val="TableParagraph"/>
              <w:spacing w:before="7"/>
              <w:ind w:right="182"/>
              <w:jc w:val="right"/>
              <w:rPr>
                <w:sz w:val="22"/>
              </w:rPr>
            </w:pPr>
            <w:r>
              <w:rPr>
                <w:w w:val="115"/>
                <w:sz w:val="22"/>
              </w:rPr>
              <w:t>.52</w:t>
            </w:r>
          </w:p>
        </w:tc>
        <w:tc>
          <w:tcPr>
            <w:tcW w:w="1506" w:type="dxa"/>
          </w:tcPr>
          <w:p>
            <w:pPr>
              <w:pStyle w:val="TableParagraph"/>
              <w:spacing w:before="7"/>
              <w:ind w:left="778"/>
              <w:rPr>
                <w:sz w:val="22"/>
              </w:rPr>
            </w:pPr>
            <w:r>
              <w:rPr>
                <w:w w:val="115"/>
                <w:sz w:val="22"/>
              </w:rPr>
              <w:t>.01</w:t>
            </w:r>
          </w:p>
        </w:tc>
        <w:tc>
          <w:tcPr>
            <w:tcW w:w="1359" w:type="dxa"/>
          </w:tcPr>
          <w:p>
            <w:pPr>
              <w:pStyle w:val="TableParagraph"/>
              <w:spacing w:before="7"/>
              <w:ind w:left="601"/>
              <w:rPr>
                <w:sz w:val="22"/>
              </w:rPr>
            </w:pPr>
            <w:r>
              <w:rPr>
                <w:w w:val="120"/>
                <w:sz w:val="22"/>
              </w:rPr>
              <w:t>1.9</w:t>
            </w:r>
          </w:p>
        </w:tc>
      </w:tr>
      <w:tr>
        <w:trPr>
          <w:trHeight w:val="302" w:hRule="exact"/>
        </w:trPr>
        <w:tc>
          <w:tcPr>
            <w:tcW w:w="8626" w:type="dxa"/>
            <w:gridSpan w:val="5"/>
          </w:tcPr>
          <w:p>
            <w:pPr>
              <w:pStyle w:val="TableParagraph"/>
              <w:tabs>
                <w:tab w:pos="3506" w:val="left" w:leader="none"/>
                <w:tab w:pos="3809" w:val="left" w:leader="none"/>
                <w:tab w:pos="5061" w:val="left" w:leader="none"/>
                <w:tab w:pos="6438" w:val="left" w:leader="none"/>
                <w:tab w:pos="7767" w:val="left" w:leader="none"/>
                <w:tab w:pos="8625" w:val="left" w:leader="none"/>
              </w:tabs>
              <w:spacing w:before="1"/>
              <w:ind w:left="47" w:right="-1"/>
              <w:rPr>
                <w:sz w:val="22"/>
              </w:rPr>
            </w:pPr>
            <w:r>
              <w:rPr>
                <w:w w:val="120"/>
                <w:sz w:val="22"/>
              </w:rPr>
              <w:t>Other</w:t>
              <w:tab/>
            </w:r>
            <w:r>
              <w:rPr>
                <w:b/>
                <w:color w:val="0000D3"/>
                <w:w w:val="120"/>
                <w:sz w:val="22"/>
                <w:u w:val="single" w:color="000000"/>
              </w:rPr>
              <w:t> </w:t>
              <w:tab/>
            </w:r>
            <w:r>
              <w:rPr>
                <w:b/>
                <w:color w:val="0000D3"/>
                <w:spacing w:val="6"/>
                <w:w w:val="120"/>
                <w:sz w:val="22"/>
                <w:u w:val="single" w:color="000000"/>
              </w:rPr>
              <w:t>1.37</w:t>
              <w:tab/>
            </w:r>
            <w:r>
              <w:rPr>
                <w:w w:val="120"/>
                <w:sz w:val="22"/>
                <w:u w:val="single"/>
              </w:rPr>
              <w:t>1.47</w:t>
              <w:tab/>
              <w:t>(.10)</w:t>
              <w:tab/>
              <w:t>(6.8)</w:t>
            </w:r>
            <w:r>
              <w:rPr>
                <w:sz w:val="22"/>
                <w:u w:val="single"/>
              </w:rPr>
              <w:tab/>
            </w:r>
          </w:p>
        </w:tc>
      </w:tr>
    </w:tbl>
    <w:p>
      <w:pPr>
        <w:pStyle w:val="Heading1"/>
        <w:tabs>
          <w:tab w:pos="3632" w:val="left" w:leader="none"/>
          <w:tab w:pos="3934" w:val="left" w:leader="none"/>
          <w:tab w:pos="4668" w:val="left" w:leader="none"/>
          <w:tab w:pos="5186" w:val="left" w:leader="none"/>
          <w:tab w:pos="6664" w:val="left" w:leader="none"/>
          <w:tab w:pos="7993" w:val="left" w:leader="none"/>
        </w:tabs>
        <w:spacing w:before="20"/>
        <w:ind w:left="318"/>
        <w:rPr>
          <w:rFonts w:ascii="Arial" w:hAnsi="Arial"/>
          <w:u w:val="none"/>
        </w:rPr>
      </w:pPr>
      <w:r>
        <w:rPr>
          <w:rFonts w:ascii="Arial" w:hAnsi="Arial"/>
          <w:w w:val="115"/>
          <w:u w:val="none"/>
        </w:rPr>
        <w:t>Total</w:t>
        <w:tab/>
      </w:r>
      <w:r>
        <w:rPr>
          <w:rFonts w:ascii="Arial" w:hAnsi="Arial"/>
          <w:b/>
          <w:color w:val="0000D3"/>
          <w:w w:val="115"/>
          <w:u w:val="thick" w:color="000000"/>
        </w:rPr>
        <w:t> </w:t>
        <w:tab/>
      </w:r>
      <w:r>
        <w:rPr>
          <w:rFonts w:ascii="Arial" w:hAnsi="Arial"/>
          <w:b/>
          <w:color w:val="0000D3"/>
          <w:spacing w:val="6"/>
          <w:w w:val="115"/>
          <w:u w:val="thick" w:color="000000"/>
        </w:rPr>
        <w:t>7.60</w:t>
        <w:tab/>
      </w:r>
      <w:r>
        <w:rPr>
          <w:rFonts w:ascii="Arial" w:hAnsi="Arial"/>
          <w:color w:val="0000D3"/>
          <w:w w:val="115"/>
          <w:u w:val="thick" w:color="000000"/>
        </w:rPr>
        <w:t>¢</w:t>
        <w:tab/>
      </w:r>
      <w:r>
        <w:rPr>
          <w:rFonts w:ascii="Arial" w:hAnsi="Arial"/>
          <w:w w:val="115"/>
          <w:u w:val="thick"/>
        </w:rPr>
        <w:t>7.41  </w:t>
      </w:r>
      <w:r>
        <w:rPr>
          <w:rFonts w:ascii="Arial" w:hAnsi="Arial"/>
          <w:spacing w:val="1"/>
          <w:w w:val="115"/>
          <w:u w:val="thick"/>
        </w:rPr>
        <w:t> </w:t>
      </w:r>
      <w:r>
        <w:rPr>
          <w:rFonts w:ascii="Arial" w:hAnsi="Arial"/>
          <w:w w:val="115"/>
          <w:u w:val="thick"/>
        </w:rPr>
        <w:t>¢</w:t>
        <w:tab/>
        <w:t>.19 </w:t>
      </w:r>
      <w:r>
        <w:rPr>
          <w:rFonts w:ascii="Arial" w:hAnsi="Arial"/>
          <w:spacing w:val="67"/>
          <w:w w:val="115"/>
          <w:u w:val="thick"/>
        </w:rPr>
        <w:t> </w:t>
      </w:r>
      <w:r>
        <w:rPr>
          <w:rFonts w:ascii="Arial" w:hAnsi="Arial"/>
          <w:w w:val="115"/>
          <w:u w:val="thick"/>
        </w:rPr>
        <w:t>¢</w:t>
        <w:tab/>
        <w:t>2.6 </w:t>
      </w:r>
      <w:r>
        <w:rPr>
          <w:rFonts w:ascii="Arial" w:hAnsi="Arial"/>
          <w:spacing w:val="22"/>
          <w:w w:val="115"/>
          <w:u w:val="thick"/>
        </w:rPr>
        <w:t> </w:t>
      </w:r>
      <w:r>
        <w:rPr>
          <w:rFonts w:ascii="Arial" w:hAnsi="Arial"/>
          <w:w w:val="115"/>
          <w:u w:val="thick"/>
        </w:rPr>
        <w:t>%</w:t>
      </w:r>
    </w:p>
    <w:p>
      <w:pPr>
        <w:pStyle w:val="BodyText"/>
        <w:spacing w:line="218" w:lineRule="auto" w:before="259"/>
        <w:ind w:left="115" w:right="108"/>
        <w:jc w:val="both"/>
      </w:pPr>
      <w:r>
        <w:rPr>
          <w:spacing w:val="-3"/>
          <w:w w:val="105"/>
        </w:rPr>
        <w:t>Operating expenses </w:t>
      </w:r>
      <w:r>
        <w:rPr>
          <w:w w:val="105"/>
        </w:rPr>
        <w:t>per </w:t>
      </w:r>
      <w:r>
        <w:rPr>
          <w:spacing w:val="-5"/>
          <w:w w:val="105"/>
        </w:rPr>
        <w:t>ASM </w:t>
      </w:r>
      <w:r>
        <w:rPr>
          <w:spacing w:val="-3"/>
          <w:w w:val="105"/>
        </w:rPr>
        <w:t>increased </w:t>
      </w:r>
      <w:r>
        <w:rPr>
          <w:w w:val="105"/>
        </w:rPr>
        <w:t>2.6 percent to $.0760, primarily due to </w:t>
      </w:r>
      <w:r>
        <w:rPr>
          <w:spacing w:val="-3"/>
          <w:w w:val="105"/>
        </w:rPr>
        <w:t>increases </w:t>
      </w:r>
      <w:r>
        <w:rPr>
          <w:w w:val="105"/>
        </w:rPr>
        <w:t>in salaries, profitsharing,</w:t>
      </w:r>
      <w:r>
        <w:rPr>
          <w:spacing w:val="-17"/>
          <w:w w:val="105"/>
        </w:rPr>
        <w:t> </w:t>
      </w:r>
      <w:r>
        <w:rPr>
          <w:spacing w:val="-3"/>
          <w:w w:val="105"/>
        </w:rPr>
        <w:t>and</w:t>
      </w:r>
      <w:r>
        <w:rPr>
          <w:spacing w:val="-14"/>
          <w:w w:val="105"/>
        </w:rPr>
        <w:t> </w:t>
      </w:r>
      <w:r>
        <w:rPr>
          <w:w w:val="105"/>
        </w:rPr>
        <w:t>jet</w:t>
      </w:r>
      <w:r>
        <w:rPr>
          <w:spacing w:val="-10"/>
          <w:w w:val="105"/>
        </w:rPr>
        <w:t> </w:t>
      </w:r>
      <w:r>
        <w:rPr>
          <w:w w:val="105"/>
        </w:rPr>
        <w:t>fuel</w:t>
      </w:r>
      <w:r>
        <w:rPr>
          <w:spacing w:val="-14"/>
          <w:w w:val="105"/>
        </w:rPr>
        <w:t> </w:t>
      </w:r>
      <w:r>
        <w:rPr>
          <w:w w:val="105"/>
        </w:rPr>
        <w:t>prices,</w:t>
      </w:r>
      <w:r>
        <w:rPr>
          <w:spacing w:val="-17"/>
          <w:w w:val="105"/>
        </w:rPr>
        <w:t> </w:t>
      </w:r>
      <w:r>
        <w:rPr>
          <w:spacing w:val="-3"/>
          <w:w w:val="105"/>
        </w:rPr>
        <w:t>after</w:t>
      </w:r>
      <w:r>
        <w:rPr>
          <w:spacing w:val="-12"/>
          <w:w w:val="105"/>
        </w:rPr>
        <w:t> </w:t>
      </w:r>
      <w:r>
        <w:rPr>
          <w:w w:val="105"/>
        </w:rPr>
        <w:t>hedging</w:t>
      </w:r>
      <w:r>
        <w:rPr>
          <w:spacing w:val="-14"/>
          <w:w w:val="105"/>
        </w:rPr>
        <w:t> </w:t>
      </w:r>
      <w:r>
        <w:rPr>
          <w:w w:val="105"/>
        </w:rPr>
        <w:t>gains.</w:t>
      </w:r>
      <w:r>
        <w:rPr>
          <w:spacing w:val="27"/>
          <w:w w:val="105"/>
        </w:rPr>
        <w:t> </w:t>
      </w:r>
      <w:r>
        <w:rPr>
          <w:w w:val="105"/>
        </w:rPr>
        <w:t>For</w:t>
      </w:r>
      <w:r>
        <w:rPr>
          <w:spacing w:val="-19"/>
          <w:w w:val="105"/>
        </w:rPr>
        <w:t> </w:t>
      </w:r>
      <w:r>
        <w:rPr>
          <w:w w:val="105"/>
        </w:rPr>
        <w:t>first</w:t>
      </w:r>
      <w:r>
        <w:rPr>
          <w:spacing w:val="-14"/>
          <w:w w:val="105"/>
        </w:rPr>
        <w:t> </w:t>
      </w:r>
      <w:r>
        <w:rPr>
          <w:w w:val="105"/>
        </w:rPr>
        <w:t>quarter</w:t>
      </w:r>
      <w:r>
        <w:rPr>
          <w:spacing w:val="-15"/>
          <w:w w:val="105"/>
        </w:rPr>
        <w:t> </w:t>
      </w:r>
      <w:r>
        <w:rPr>
          <w:w w:val="105"/>
        </w:rPr>
        <w:t>2004,</w:t>
      </w:r>
      <w:r>
        <w:rPr>
          <w:spacing w:val="-13"/>
          <w:w w:val="105"/>
        </w:rPr>
        <w:t> </w:t>
      </w:r>
      <w:r>
        <w:rPr>
          <w:w w:val="105"/>
        </w:rPr>
        <w:t>excluding</w:t>
      </w:r>
      <w:r>
        <w:rPr>
          <w:spacing w:val="-14"/>
          <w:w w:val="105"/>
        </w:rPr>
        <w:t> </w:t>
      </w:r>
      <w:r>
        <w:rPr>
          <w:w w:val="105"/>
        </w:rPr>
        <w:t>costs</w:t>
      </w:r>
      <w:r>
        <w:rPr>
          <w:spacing w:val="-14"/>
          <w:w w:val="105"/>
        </w:rPr>
        <w:t> </w:t>
      </w:r>
      <w:r>
        <w:rPr>
          <w:w w:val="105"/>
        </w:rPr>
        <w:t>associated</w:t>
      </w:r>
      <w:r>
        <w:rPr>
          <w:spacing w:val="-10"/>
          <w:w w:val="105"/>
        </w:rPr>
        <w:t> </w:t>
      </w:r>
      <w:r>
        <w:rPr>
          <w:spacing w:val="-3"/>
          <w:w w:val="105"/>
        </w:rPr>
        <w:t>with</w:t>
      </w:r>
      <w:r>
        <w:rPr>
          <w:spacing w:val="-14"/>
          <w:w w:val="105"/>
        </w:rPr>
        <w:t> </w:t>
      </w:r>
      <w:r>
        <w:rPr>
          <w:w w:val="105"/>
        </w:rPr>
        <w:t>the Company’s</w:t>
      </w:r>
      <w:r>
        <w:rPr>
          <w:spacing w:val="-14"/>
          <w:w w:val="105"/>
        </w:rPr>
        <w:t> </w:t>
      </w:r>
      <w:r>
        <w:rPr>
          <w:w w:val="105"/>
        </w:rPr>
        <w:t>reservations</w:t>
      </w:r>
      <w:r>
        <w:rPr>
          <w:spacing w:val="-17"/>
          <w:w w:val="105"/>
        </w:rPr>
        <w:t> </w:t>
      </w:r>
      <w:r>
        <w:rPr>
          <w:w w:val="105"/>
        </w:rPr>
        <w:t>center</w:t>
      </w:r>
      <w:r>
        <w:rPr>
          <w:spacing w:val="-18"/>
          <w:w w:val="105"/>
        </w:rPr>
        <w:t> </w:t>
      </w:r>
      <w:r>
        <w:rPr>
          <w:w w:val="105"/>
        </w:rPr>
        <w:t>consolidation,</w:t>
      </w:r>
      <w:r>
        <w:rPr>
          <w:spacing w:val="-19"/>
          <w:w w:val="105"/>
        </w:rPr>
        <w:t> </w:t>
      </w:r>
      <w:r>
        <w:rPr>
          <w:w w:val="105"/>
        </w:rPr>
        <w:t>the</w:t>
      </w:r>
      <w:r>
        <w:rPr>
          <w:spacing w:val="-18"/>
          <w:w w:val="105"/>
        </w:rPr>
        <w:t> </w:t>
      </w:r>
      <w:r>
        <w:rPr>
          <w:w w:val="105"/>
        </w:rPr>
        <w:t>Company</w:t>
      </w:r>
      <w:r>
        <w:rPr>
          <w:spacing w:val="-17"/>
          <w:w w:val="105"/>
        </w:rPr>
        <w:t> </w:t>
      </w:r>
      <w:r>
        <w:rPr>
          <w:w w:val="105"/>
        </w:rPr>
        <w:t>currently</w:t>
      </w:r>
      <w:r>
        <w:rPr>
          <w:spacing w:val="-17"/>
          <w:w w:val="105"/>
        </w:rPr>
        <w:t> </w:t>
      </w:r>
      <w:r>
        <w:rPr>
          <w:w w:val="105"/>
        </w:rPr>
        <w:t>expects</w:t>
      </w:r>
      <w:r>
        <w:rPr>
          <w:spacing w:val="-14"/>
          <w:w w:val="105"/>
        </w:rPr>
        <w:t> </w:t>
      </w:r>
      <w:r>
        <w:rPr>
          <w:w w:val="105"/>
        </w:rPr>
        <w:t>an</w:t>
      </w:r>
      <w:r>
        <w:rPr>
          <w:spacing w:val="-20"/>
          <w:w w:val="105"/>
        </w:rPr>
        <w:t> </w:t>
      </w:r>
      <w:r>
        <w:rPr>
          <w:w w:val="105"/>
        </w:rPr>
        <w:t>increase</w:t>
      </w:r>
      <w:r>
        <w:rPr>
          <w:spacing w:val="-15"/>
          <w:w w:val="105"/>
        </w:rPr>
        <w:t> </w:t>
      </w:r>
      <w:r>
        <w:rPr>
          <w:w w:val="105"/>
        </w:rPr>
        <w:t>in</w:t>
      </w:r>
      <w:r>
        <w:rPr>
          <w:spacing w:val="-17"/>
          <w:w w:val="105"/>
        </w:rPr>
        <w:t> </w:t>
      </w:r>
      <w:r>
        <w:rPr>
          <w:w w:val="105"/>
        </w:rPr>
        <w:t>operating</w:t>
      </w:r>
      <w:r>
        <w:rPr>
          <w:spacing w:val="-14"/>
          <w:w w:val="105"/>
        </w:rPr>
        <w:t> </w:t>
      </w:r>
      <w:r>
        <w:rPr>
          <w:spacing w:val="-3"/>
          <w:w w:val="105"/>
        </w:rPr>
        <w:t>expenses </w:t>
      </w:r>
      <w:r>
        <w:rPr>
          <w:w w:val="105"/>
        </w:rPr>
        <w:t>per</w:t>
      </w:r>
      <w:r>
        <w:rPr>
          <w:spacing w:val="-18"/>
          <w:w w:val="105"/>
        </w:rPr>
        <w:t> </w:t>
      </w:r>
      <w:r>
        <w:rPr>
          <w:spacing w:val="-5"/>
          <w:w w:val="105"/>
        </w:rPr>
        <w:t>ASM</w:t>
      </w:r>
      <w:r>
        <w:rPr>
          <w:spacing w:val="-14"/>
          <w:w w:val="105"/>
        </w:rPr>
        <w:t> </w:t>
      </w:r>
      <w:r>
        <w:rPr>
          <w:w w:val="105"/>
        </w:rPr>
        <w:t>compared</w:t>
      </w:r>
      <w:r>
        <w:rPr>
          <w:spacing w:val="-20"/>
          <w:w w:val="105"/>
        </w:rPr>
        <w:t> </w:t>
      </w:r>
      <w:r>
        <w:rPr>
          <w:w w:val="105"/>
        </w:rPr>
        <w:t>to</w:t>
      </w:r>
      <w:r>
        <w:rPr>
          <w:spacing w:val="-13"/>
          <w:w w:val="105"/>
        </w:rPr>
        <w:t> </w:t>
      </w:r>
      <w:r>
        <w:rPr>
          <w:spacing w:val="-3"/>
          <w:w w:val="105"/>
        </w:rPr>
        <w:t>first</w:t>
      </w:r>
      <w:r>
        <w:rPr>
          <w:spacing w:val="-13"/>
          <w:w w:val="105"/>
        </w:rPr>
        <w:t> </w:t>
      </w:r>
      <w:r>
        <w:rPr>
          <w:w w:val="105"/>
        </w:rPr>
        <w:t>quarter</w:t>
      </w:r>
      <w:r>
        <w:rPr>
          <w:spacing w:val="-18"/>
          <w:w w:val="105"/>
        </w:rPr>
        <w:t> </w:t>
      </w:r>
      <w:r>
        <w:rPr>
          <w:w w:val="105"/>
        </w:rPr>
        <w:t>2003</w:t>
      </w:r>
      <w:r>
        <w:rPr>
          <w:spacing w:val="-13"/>
          <w:w w:val="105"/>
        </w:rPr>
        <w:t> </w:t>
      </w:r>
      <w:r>
        <w:rPr>
          <w:w w:val="105"/>
        </w:rPr>
        <w:t>primarily</w:t>
      </w:r>
      <w:r>
        <w:rPr>
          <w:spacing w:val="-16"/>
          <w:w w:val="105"/>
        </w:rPr>
        <w:t> </w:t>
      </w:r>
      <w:r>
        <w:rPr>
          <w:w w:val="105"/>
        </w:rPr>
        <w:t>due</w:t>
      </w:r>
      <w:r>
        <w:rPr>
          <w:spacing w:val="-18"/>
          <w:w w:val="105"/>
        </w:rPr>
        <w:t> </w:t>
      </w:r>
      <w:r>
        <w:rPr>
          <w:w w:val="105"/>
        </w:rPr>
        <w:t>to</w:t>
      </w:r>
      <w:r>
        <w:rPr>
          <w:spacing w:val="-13"/>
          <w:w w:val="105"/>
        </w:rPr>
        <w:t> </w:t>
      </w:r>
      <w:r>
        <w:rPr>
          <w:w w:val="105"/>
        </w:rPr>
        <w:t>higher</w:t>
      </w:r>
      <w:r>
        <w:rPr>
          <w:spacing w:val="-14"/>
          <w:w w:val="105"/>
        </w:rPr>
        <w:t> </w:t>
      </w:r>
      <w:r>
        <w:rPr>
          <w:w w:val="105"/>
        </w:rPr>
        <w:t>salaries,</w:t>
      </w:r>
      <w:r>
        <w:rPr>
          <w:spacing w:val="-22"/>
          <w:w w:val="105"/>
        </w:rPr>
        <w:t> </w:t>
      </w:r>
      <w:r>
        <w:rPr>
          <w:w w:val="105"/>
        </w:rPr>
        <w:t>jet</w:t>
      </w:r>
      <w:r>
        <w:rPr>
          <w:spacing w:val="-13"/>
          <w:w w:val="105"/>
        </w:rPr>
        <w:t> </w:t>
      </w:r>
      <w:r>
        <w:rPr>
          <w:w w:val="105"/>
        </w:rPr>
        <w:t>fuel</w:t>
      </w:r>
      <w:r>
        <w:rPr>
          <w:spacing w:val="-13"/>
          <w:w w:val="105"/>
        </w:rPr>
        <w:t> </w:t>
      </w:r>
      <w:r>
        <w:rPr>
          <w:w w:val="105"/>
        </w:rPr>
        <w:t>prices,</w:t>
      </w:r>
      <w:r>
        <w:rPr>
          <w:spacing w:val="-19"/>
          <w:w w:val="105"/>
        </w:rPr>
        <w:t> </w:t>
      </w:r>
      <w:r>
        <w:rPr>
          <w:w w:val="105"/>
        </w:rPr>
        <w:t>and</w:t>
      </w:r>
      <w:r>
        <w:rPr>
          <w:spacing w:val="-16"/>
          <w:w w:val="105"/>
        </w:rPr>
        <w:t> </w:t>
      </w:r>
      <w:r>
        <w:rPr>
          <w:w w:val="105"/>
        </w:rPr>
        <w:t>airport</w:t>
      </w:r>
      <w:r>
        <w:rPr>
          <w:spacing w:val="-16"/>
          <w:w w:val="105"/>
        </w:rPr>
        <w:t> </w:t>
      </w:r>
      <w:r>
        <w:rPr>
          <w:w w:val="105"/>
        </w:rPr>
        <w:t>costs.</w:t>
      </w:r>
      <w:r>
        <w:rPr>
          <w:spacing w:val="23"/>
          <w:w w:val="105"/>
        </w:rPr>
        <w:t> </w:t>
      </w:r>
      <w:r>
        <w:rPr>
          <w:w w:val="105"/>
        </w:rPr>
        <w:t>Based on the Company’s aggressive </w:t>
      </w:r>
      <w:r>
        <w:rPr>
          <w:spacing w:val="-3"/>
          <w:w w:val="105"/>
        </w:rPr>
        <w:t>efforts </w:t>
      </w:r>
      <w:r>
        <w:rPr>
          <w:w w:val="105"/>
        </w:rPr>
        <w:t>to mitigate these cost pressures, unit costs should begin to decline in the second</w:t>
      </w:r>
      <w:r>
        <w:rPr>
          <w:spacing w:val="-20"/>
          <w:w w:val="105"/>
        </w:rPr>
        <w:t> </w:t>
      </w:r>
      <w:r>
        <w:rPr>
          <w:w w:val="105"/>
        </w:rPr>
        <w:t>half</w:t>
      </w:r>
      <w:r>
        <w:rPr>
          <w:spacing w:val="-22"/>
          <w:w w:val="105"/>
        </w:rPr>
        <w:t> </w:t>
      </w:r>
      <w:r>
        <w:rPr>
          <w:w w:val="105"/>
        </w:rPr>
        <w:t>of</w:t>
      </w:r>
      <w:r>
        <w:rPr>
          <w:spacing w:val="-22"/>
          <w:w w:val="105"/>
        </w:rPr>
        <w:t> </w:t>
      </w:r>
      <w:r>
        <w:rPr>
          <w:w w:val="105"/>
        </w:rPr>
        <w:t>2004.</w:t>
      </w:r>
      <w:r>
        <w:rPr>
          <w:spacing w:val="12"/>
          <w:w w:val="105"/>
        </w:rPr>
        <w:t> </w:t>
      </w:r>
      <w:r>
        <w:rPr>
          <w:w w:val="105"/>
        </w:rPr>
        <w:t>For</w:t>
      </w:r>
      <w:r>
        <w:rPr>
          <w:spacing w:val="-22"/>
          <w:w w:val="105"/>
        </w:rPr>
        <w:t> </w:t>
      </w:r>
      <w:r>
        <w:rPr>
          <w:w w:val="105"/>
        </w:rPr>
        <w:t>the</w:t>
      </w:r>
      <w:r>
        <w:rPr>
          <w:spacing w:val="-25"/>
          <w:w w:val="105"/>
        </w:rPr>
        <w:t> </w:t>
      </w:r>
      <w:r>
        <w:rPr>
          <w:w w:val="105"/>
        </w:rPr>
        <w:t>year</w:t>
      </w:r>
      <w:r>
        <w:rPr>
          <w:spacing w:val="-22"/>
          <w:w w:val="105"/>
        </w:rPr>
        <w:t> </w:t>
      </w:r>
      <w:r>
        <w:rPr>
          <w:w w:val="105"/>
        </w:rPr>
        <w:t>2004,</w:t>
      </w:r>
      <w:r>
        <w:rPr>
          <w:spacing w:val="-26"/>
          <w:w w:val="105"/>
        </w:rPr>
        <w:t> </w:t>
      </w:r>
      <w:r>
        <w:rPr>
          <w:w w:val="105"/>
        </w:rPr>
        <w:t>the</w:t>
      </w:r>
      <w:r>
        <w:rPr>
          <w:spacing w:val="-22"/>
          <w:w w:val="105"/>
        </w:rPr>
        <w:t> </w:t>
      </w:r>
      <w:r>
        <w:rPr>
          <w:w w:val="105"/>
        </w:rPr>
        <w:t>Company’s</w:t>
      </w:r>
      <w:r>
        <w:rPr>
          <w:spacing w:val="-20"/>
          <w:w w:val="105"/>
        </w:rPr>
        <w:t> </w:t>
      </w:r>
      <w:r>
        <w:rPr>
          <w:w w:val="105"/>
        </w:rPr>
        <w:t>goal</w:t>
      </w:r>
      <w:r>
        <w:rPr>
          <w:spacing w:val="-20"/>
          <w:w w:val="105"/>
        </w:rPr>
        <w:t> </w:t>
      </w:r>
      <w:r>
        <w:rPr>
          <w:w w:val="105"/>
        </w:rPr>
        <w:t>is</w:t>
      </w:r>
      <w:r>
        <w:rPr>
          <w:spacing w:val="-20"/>
          <w:w w:val="105"/>
        </w:rPr>
        <w:t> </w:t>
      </w:r>
      <w:r>
        <w:rPr>
          <w:w w:val="105"/>
        </w:rPr>
        <w:t>to,</w:t>
      </w:r>
      <w:r>
        <w:rPr>
          <w:spacing w:val="-22"/>
          <w:w w:val="105"/>
        </w:rPr>
        <w:t> </w:t>
      </w:r>
      <w:r>
        <w:rPr>
          <w:w w:val="105"/>
        </w:rPr>
        <w:t>at</w:t>
      </w:r>
      <w:r>
        <w:rPr>
          <w:spacing w:val="-23"/>
          <w:w w:val="105"/>
        </w:rPr>
        <w:t> </w:t>
      </w:r>
      <w:r>
        <w:rPr>
          <w:w w:val="105"/>
        </w:rPr>
        <w:t>least,</w:t>
      </w:r>
      <w:r>
        <w:rPr>
          <w:spacing w:val="-22"/>
          <w:w w:val="105"/>
        </w:rPr>
        <w:t> </w:t>
      </w:r>
      <w:r>
        <w:rPr>
          <w:w w:val="105"/>
        </w:rPr>
        <w:t>keep</w:t>
      </w:r>
      <w:r>
        <w:rPr>
          <w:spacing w:val="-20"/>
          <w:w w:val="105"/>
        </w:rPr>
        <w:t> </w:t>
      </w:r>
      <w:r>
        <w:rPr>
          <w:w w:val="105"/>
        </w:rPr>
        <w:t>unit</w:t>
      </w:r>
      <w:r>
        <w:rPr>
          <w:spacing w:val="-20"/>
          <w:w w:val="105"/>
        </w:rPr>
        <w:t> </w:t>
      </w:r>
      <w:r>
        <w:rPr>
          <w:w w:val="105"/>
        </w:rPr>
        <w:t>costs</w:t>
      </w:r>
      <w:r>
        <w:rPr>
          <w:spacing w:val="-20"/>
          <w:w w:val="105"/>
        </w:rPr>
        <w:t> </w:t>
      </w:r>
      <w:r>
        <w:rPr>
          <w:w w:val="105"/>
        </w:rPr>
        <w:t>flat</w:t>
      </w:r>
      <w:r>
        <w:rPr>
          <w:spacing w:val="-20"/>
          <w:w w:val="105"/>
        </w:rPr>
        <w:t> </w:t>
      </w:r>
      <w:r>
        <w:rPr>
          <w:spacing w:val="-3"/>
          <w:w w:val="105"/>
        </w:rPr>
        <w:t>with</w:t>
      </w:r>
      <w:r>
        <w:rPr>
          <w:spacing w:val="-20"/>
          <w:w w:val="105"/>
        </w:rPr>
        <w:t> </w:t>
      </w:r>
      <w:r>
        <w:rPr>
          <w:w w:val="105"/>
        </w:rPr>
        <w:t>2003.</w:t>
      </w:r>
    </w:p>
    <w:p>
      <w:pPr>
        <w:pStyle w:val="BodyText"/>
        <w:spacing w:line="218" w:lineRule="auto" w:before="221"/>
        <w:ind w:left="115" w:right="109"/>
        <w:jc w:val="both"/>
      </w:pPr>
      <w:r>
        <w:rPr>
          <w:spacing w:val="-3"/>
          <w:w w:val="105"/>
        </w:rPr>
        <w:t>Salaries,</w:t>
      </w:r>
      <w:r>
        <w:rPr>
          <w:spacing w:val="-8"/>
          <w:w w:val="105"/>
        </w:rPr>
        <w:t> </w:t>
      </w:r>
      <w:r>
        <w:rPr>
          <w:spacing w:val="-3"/>
          <w:w w:val="105"/>
        </w:rPr>
        <w:t>wages,</w:t>
      </w:r>
      <w:r>
        <w:rPr>
          <w:spacing w:val="-15"/>
          <w:w w:val="105"/>
        </w:rPr>
        <w:t> </w:t>
      </w:r>
      <w:r>
        <w:rPr>
          <w:w w:val="105"/>
        </w:rPr>
        <w:t>and</w:t>
      </w:r>
      <w:r>
        <w:rPr>
          <w:spacing w:val="-9"/>
          <w:w w:val="105"/>
        </w:rPr>
        <w:t> </w:t>
      </w:r>
      <w:r>
        <w:rPr>
          <w:w w:val="105"/>
        </w:rPr>
        <w:t>benefits</w:t>
      </w:r>
      <w:r>
        <w:rPr>
          <w:spacing w:val="-9"/>
          <w:w w:val="105"/>
        </w:rPr>
        <w:t> </w:t>
      </w:r>
      <w:r>
        <w:rPr>
          <w:w w:val="105"/>
        </w:rPr>
        <w:t>expense</w:t>
      </w:r>
      <w:r>
        <w:rPr>
          <w:spacing w:val="-14"/>
          <w:w w:val="105"/>
        </w:rPr>
        <w:t> </w:t>
      </w:r>
      <w:r>
        <w:rPr>
          <w:w w:val="105"/>
        </w:rPr>
        <w:t>per</w:t>
      </w:r>
      <w:r>
        <w:rPr>
          <w:spacing w:val="-10"/>
          <w:w w:val="105"/>
        </w:rPr>
        <w:t> </w:t>
      </w:r>
      <w:r>
        <w:rPr>
          <w:spacing w:val="-3"/>
          <w:w w:val="105"/>
        </w:rPr>
        <w:t>ASM</w:t>
      </w:r>
      <w:r>
        <w:rPr>
          <w:spacing w:val="-11"/>
          <w:w w:val="105"/>
        </w:rPr>
        <w:t> </w:t>
      </w:r>
      <w:r>
        <w:rPr>
          <w:spacing w:val="-3"/>
          <w:w w:val="105"/>
        </w:rPr>
        <w:t>increased</w:t>
      </w:r>
      <w:r>
        <w:rPr>
          <w:spacing w:val="-9"/>
          <w:w w:val="105"/>
        </w:rPr>
        <w:t> </w:t>
      </w:r>
      <w:r>
        <w:rPr>
          <w:w w:val="105"/>
        </w:rPr>
        <w:t>7.3</w:t>
      </w:r>
      <w:r>
        <w:rPr>
          <w:spacing w:val="-5"/>
          <w:w w:val="105"/>
        </w:rPr>
        <w:t> </w:t>
      </w:r>
      <w:r>
        <w:rPr>
          <w:spacing w:val="-3"/>
          <w:w w:val="105"/>
        </w:rPr>
        <w:t>percent.</w:t>
      </w:r>
      <w:r>
        <w:rPr>
          <w:spacing w:val="33"/>
          <w:w w:val="105"/>
        </w:rPr>
        <w:t> </w:t>
      </w:r>
      <w:r>
        <w:rPr>
          <w:w w:val="105"/>
        </w:rPr>
        <w:t>Approximately</w:t>
      </w:r>
      <w:r>
        <w:rPr>
          <w:spacing w:val="-5"/>
          <w:w w:val="105"/>
        </w:rPr>
        <w:t> </w:t>
      </w:r>
      <w:r>
        <w:rPr>
          <w:w w:val="105"/>
        </w:rPr>
        <w:t>60</w:t>
      </w:r>
      <w:r>
        <w:rPr>
          <w:spacing w:val="-9"/>
          <w:w w:val="105"/>
        </w:rPr>
        <w:t> </w:t>
      </w:r>
      <w:r>
        <w:rPr>
          <w:spacing w:val="-3"/>
          <w:w w:val="105"/>
        </w:rPr>
        <w:t>percent</w:t>
      </w:r>
      <w:r>
        <w:rPr>
          <w:spacing w:val="-9"/>
          <w:w w:val="105"/>
        </w:rPr>
        <w:t> </w:t>
      </w:r>
      <w:r>
        <w:rPr>
          <w:w w:val="105"/>
        </w:rPr>
        <w:t>of</w:t>
      </w:r>
      <w:r>
        <w:rPr>
          <w:spacing w:val="-7"/>
          <w:w w:val="105"/>
        </w:rPr>
        <w:t> </w:t>
      </w:r>
      <w:r>
        <w:rPr>
          <w:w w:val="105"/>
        </w:rPr>
        <w:t>the</w:t>
      </w:r>
      <w:r>
        <w:rPr>
          <w:spacing w:val="-14"/>
          <w:w w:val="105"/>
        </w:rPr>
        <w:t> </w:t>
      </w:r>
      <w:r>
        <w:rPr>
          <w:spacing w:val="-3"/>
          <w:w w:val="105"/>
        </w:rPr>
        <w:t>increase was </w:t>
      </w:r>
      <w:r>
        <w:rPr>
          <w:w w:val="105"/>
        </w:rPr>
        <w:t>due to an increase in </w:t>
      </w:r>
      <w:r>
        <w:rPr>
          <w:spacing w:val="-3"/>
          <w:w w:val="105"/>
        </w:rPr>
        <w:t>salaries </w:t>
      </w:r>
      <w:r>
        <w:rPr>
          <w:w w:val="105"/>
        </w:rPr>
        <w:t>and </w:t>
      </w:r>
      <w:r>
        <w:rPr>
          <w:spacing w:val="-4"/>
          <w:w w:val="105"/>
        </w:rPr>
        <w:t>wages </w:t>
      </w:r>
      <w:r>
        <w:rPr>
          <w:w w:val="105"/>
        </w:rPr>
        <w:t>per </w:t>
      </w:r>
      <w:r>
        <w:rPr>
          <w:spacing w:val="-3"/>
          <w:w w:val="105"/>
        </w:rPr>
        <w:t>ASM, </w:t>
      </w:r>
      <w:r>
        <w:rPr>
          <w:w w:val="105"/>
        </w:rPr>
        <w:t>primarily from </w:t>
      </w:r>
      <w:r>
        <w:rPr>
          <w:spacing w:val="-3"/>
          <w:w w:val="105"/>
        </w:rPr>
        <w:t>increases </w:t>
      </w:r>
      <w:r>
        <w:rPr>
          <w:w w:val="105"/>
        </w:rPr>
        <w:t>in </w:t>
      </w:r>
      <w:r>
        <w:rPr>
          <w:spacing w:val="-3"/>
          <w:w w:val="105"/>
        </w:rPr>
        <w:t>average wage </w:t>
      </w:r>
      <w:r>
        <w:rPr>
          <w:w w:val="105"/>
        </w:rPr>
        <w:t>rates. </w:t>
      </w:r>
      <w:r>
        <w:rPr>
          <w:spacing w:val="-4"/>
          <w:w w:val="105"/>
        </w:rPr>
        <w:t>The </w:t>
      </w:r>
      <w:r>
        <w:rPr>
          <w:w w:val="105"/>
        </w:rPr>
        <w:t>majority</w:t>
      </w:r>
      <w:r>
        <w:rPr>
          <w:spacing w:val="-13"/>
          <w:w w:val="105"/>
        </w:rPr>
        <w:t> </w:t>
      </w:r>
      <w:r>
        <w:rPr>
          <w:w w:val="105"/>
        </w:rPr>
        <w:t>of</w:t>
      </w:r>
      <w:r>
        <w:rPr>
          <w:spacing w:val="-15"/>
          <w:w w:val="105"/>
        </w:rPr>
        <w:t> </w:t>
      </w:r>
      <w:r>
        <w:rPr>
          <w:w w:val="105"/>
        </w:rPr>
        <w:t>the</w:t>
      </w:r>
      <w:r>
        <w:rPr>
          <w:spacing w:val="-15"/>
          <w:w w:val="105"/>
        </w:rPr>
        <w:t> </w:t>
      </w:r>
      <w:r>
        <w:rPr>
          <w:spacing w:val="-3"/>
          <w:w w:val="105"/>
        </w:rPr>
        <w:t>remainder</w:t>
      </w:r>
      <w:r>
        <w:rPr>
          <w:spacing w:val="-11"/>
          <w:w w:val="105"/>
        </w:rPr>
        <w:t> </w:t>
      </w:r>
      <w:r>
        <w:rPr>
          <w:w w:val="105"/>
        </w:rPr>
        <w:t>of</w:t>
      </w:r>
      <w:r>
        <w:rPr>
          <w:spacing w:val="-15"/>
          <w:w w:val="105"/>
        </w:rPr>
        <w:t> </w:t>
      </w:r>
      <w:r>
        <w:rPr>
          <w:w w:val="105"/>
        </w:rPr>
        <w:t>the</w:t>
      </w:r>
      <w:r>
        <w:rPr>
          <w:spacing w:val="-19"/>
          <w:w w:val="105"/>
        </w:rPr>
        <w:t> </w:t>
      </w:r>
      <w:r>
        <w:rPr>
          <w:w w:val="105"/>
        </w:rPr>
        <w:t>increase</w:t>
      </w:r>
      <w:r>
        <w:rPr>
          <w:spacing w:val="-11"/>
          <w:w w:val="105"/>
        </w:rPr>
        <w:t> </w:t>
      </w:r>
      <w:r>
        <w:rPr>
          <w:spacing w:val="-3"/>
          <w:w w:val="105"/>
        </w:rPr>
        <w:t>was</w:t>
      </w:r>
      <w:r>
        <w:rPr>
          <w:spacing w:val="-17"/>
          <w:w w:val="105"/>
        </w:rPr>
        <w:t> </w:t>
      </w:r>
      <w:r>
        <w:rPr>
          <w:w w:val="105"/>
        </w:rPr>
        <w:t>due</w:t>
      </w:r>
      <w:r>
        <w:rPr>
          <w:spacing w:val="-15"/>
          <w:w w:val="105"/>
        </w:rPr>
        <w:t> </w:t>
      </w:r>
      <w:r>
        <w:rPr>
          <w:w w:val="105"/>
        </w:rPr>
        <w:t>to</w:t>
      </w:r>
      <w:r>
        <w:rPr>
          <w:spacing w:val="-13"/>
          <w:w w:val="105"/>
        </w:rPr>
        <w:t> </w:t>
      </w:r>
      <w:r>
        <w:rPr>
          <w:spacing w:val="-3"/>
          <w:w w:val="105"/>
        </w:rPr>
        <w:t>an</w:t>
      </w:r>
      <w:r>
        <w:rPr>
          <w:spacing w:val="-10"/>
          <w:w w:val="105"/>
        </w:rPr>
        <w:t> </w:t>
      </w:r>
      <w:r>
        <w:rPr>
          <w:w w:val="105"/>
        </w:rPr>
        <w:t>increase</w:t>
      </w:r>
      <w:r>
        <w:rPr>
          <w:spacing w:val="-19"/>
          <w:w w:val="105"/>
        </w:rPr>
        <w:t> </w:t>
      </w:r>
      <w:r>
        <w:rPr>
          <w:w w:val="105"/>
        </w:rPr>
        <w:t>in</w:t>
      </w:r>
      <w:r>
        <w:rPr>
          <w:spacing w:val="-13"/>
          <w:w w:val="105"/>
        </w:rPr>
        <w:t> </w:t>
      </w:r>
      <w:r>
        <w:rPr>
          <w:spacing w:val="-3"/>
          <w:w w:val="105"/>
        </w:rPr>
        <w:t>Employee</w:t>
      </w:r>
      <w:r>
        <w:rPr>
          <w:spacing w:val="-11"/>
          <w:w w:val="105"/>
        </w:rPr>
        <w:t> </w:t>
      </w:r>
      <w:r>
        <w:rPr>
          <w:spacing w:val="-3"/>
          <w:w w:val="105"/>
        </w:rPr>
        <w:t>retirement</w:t>
      </w:r>
      <w:r>
        <w:rPr>
          <w:spacing w:val="-13"/>
          <w:w w:val="105"/>
        </w:rPr>
        <w:t> </w:t>
      </w:r>
      <w:r>
        <w:rPr>
          <w:w w:val="105"/>
        </w:rPr>
        <w:t>plans</w:t>
      </w:r>
      <w:r>
        <w:rPr>
          <w:spacing w:val="-17"/>
          <w:w w:val="105"/>
        </w:rPr>
        <w:t> </w:t>
      </w:r>
      <w:r>
        <w:rPr>
          <w:w w:val="105"/>
        </w:rPr>
        <w:t>expense</w:t>
      </w:r>
      <w:r>
        <w:rPr>
          <w:spacing w:val="-15"/>
          <w:w w:val="105"/>
        </w:rPr>
        <w:t> </w:t>
      </w:r>
      <w:r>
        <w:rPr>
          <w:w w:val="105"/>
        </w:rPr>
        <w:t>per</w:t>
      </w:r>
      <w:r>
        <w:rPr>
          <w:spacing w:val="-15"/>
          <w:w w:val="105"/>
        </w:rPr>
        <w:t> </w:t>
      </w:r>
      <w:r>
        <w:rPr>
          <w:spacing w:val="-5"/>
          <w:w w:val="105"/>
        </w:rPr>
        <w:t>ASM, </w:t>
      </w:r>
      <w:r>
        <w:rPr>
          <w:w w:val="105"/>
        </w:rPr>
        <w:t>primarily from the increase in 2003 </w:t>
      </w:r>
      <w:r>
        <w:rPr>
          <w:spacing w:val="-3"/>
          <w:w w:val="105"/>
        </w:rPr>
        <w:t>earnings </w:t>
      </w:r>
      <w:r>
        <w:rPr>
          <w:w w:val="105"/>
        </w:rPr>
        <w:t>and resulting profitsharing. </w:t>
      </w:r>
      <w:r>
        <w:rPr>
          <w:spacing w:val="-2"/>
          <w:w w:val="105"/>
        </w:rPr>
        <w:t>The </w:t>
      </w:r>
      <w:r>
        <w:rPr>
          <w:w w:val="105"/>
        </w:rPr>
        <w:t>Company also expects to </w:t>
      </w:r>
      <w:r>
        <w:rPr>
          <w:spacing w:val="-3"/>
          <w:w w:val="105"/>
        </w:rPr>
        <w:t>experience </w:t>
      </w:r>
      <w:r>
        <w:rPr>
          <w:w w:val="105"/>
        </w:rPr>
        <w:t>an increase in salaries, </w:t>
      </w:r>
      <w:r>
        <w:rPr>
          <w:spacing w:val="-4"/>
          <w:w w:val="105"/>
        </w:rPr>
        <w:t>wages, </w:t>
      </w:r>
      <w:r>
        <w:rPr>
          <w:w w:val="105"/>
        </w:rPr>
        <w:t>and </w:t>
      </w:r>
      <w:r>
        <w:rPr>
          <w:spacing w:val="-3"/>
          <w:w w:val="105"/>
        </w:rPr>
        <w:t>benefits </w:t>
      </w:r>
      <w:r>
        <w:rPr>
          <w:w w:val="105"/>
        </w:rPr>
        <w:t>per </w:t>
      </w:r>
      <w:r>
        <w:rPr>
          <w:spacing w:val="-5"/>
          <w:w w:val="105"/>
        </w:rPr>
        <w:t>ASM </w:t>
      </w:r>
      <w:r>
        <w:rPr>
          <w:w w:val="105"/>
        </w:rPr>
        <w:t>in 2004 due, in part, to restructuring </w:t>
      </w:r>
      <w:r>
        <w:rPr>
          <w:spacing w:val="-3"/>
          <w:w w:val="105"/>
        </w:rPr>
        <w:t>charges related </w:t>
      </w:r>
      <w:r>
        <w:rPr>
          <w:w w:val="105"/>
        </w:rPr>
        <w:t>to the consolidation of the Company’s reservations centers. See Note 9 to the Consolidated Financial Statements.</w:t>
      </w:r>
    </w:p>
    <w:p>
      <w:pPr>
        <w:spacing w:after="0" w:line="218" w:lineRule="auto"/>
        <w:jc w:val="both"/>
        <w:sectPr>
          <w:pgSz w:w="12240" w:h="15840"/>
          <w:pgMar w:top="1080" w:bottom="280" w:left="1180" w:right="1180"/>
        </w:sectPr>
      </w:pPr>
    </w:p>
    <w:p>
      <w:pPr>
        <w:pStyle w:val="BodyText"/>
        <w:spacing w:line="259" w:lineRule="auto" w:before="100"/>
        <w:ind w:left="115" w:right="107"/>
        <w:jc w:val="both"/>
      </w:pPr>
      <w:r>
        <w:rPr>
          <w:spacing w:val="-2"/>
          <w:w w:val="105"/>
        </w:rPr>
        <w:t>The Company's </w:t>
      </w:r>
      <w:r>
        <w:rPr>
          <w:w w:val="105"/>
        </w:rPr>
        <w:t>Flight </w:t>
      </w:r>
      <w:r>
        <w:rPr>
          <w:spacing w:val="-3"/>
          <w:w w:val="105"/>
        </w:rPr>
        <w:t>Attendants </w:t>
      </w:r>
      <w:r>
        <w:rPr>
          <w:w w:val="105"/>
        </w:rPr>
        <w:t>are subject to </w:t>
      </w:r>
      <w:r>
        <w:rPr>
          <w:spacing w:val="-3"/>
          <w:w w:val="105"/>
        </w:rPr>
        <w:t>an agreement with </w:t>
      </w:r>
      <w:r>
        <w:rPr>
          <w:w w:val="105"/>
        </w:rPr>
        <w:t>the </w:t>
      </w:r>
      <w:r>
        <w:rPr>
          <w:spacing w:val="-4"/>
          <w:w w:val="105"/>
        </w:rPr>
        <w:t>TWU </w:t>
      </w:r>
      <w:r>
        <w:rPr>
          <w:w w:val="105"/>
        </w:rPr>
        <w:t>that </w:t>
      </w:r>
      <w:r>
        <w:rPr>
          <w:spacing w:val="-3"/>
          <w:w w:val="105"/>
        </w:rPr>
        <w:t>became </w:t>
      </w:r>
      <w:r>
        <w:rPr>
          <w:w w:val="105"/>
        </w:rPr>
        <w:t>amendable in June 2002.</w:t>
      </w:r>
      <w:r>
        <w:rPr>
          <w:spacing w:val="30"/>
          <w:w w:val="105"/>
        </w:rPr>
        <w:t> </w:t>
      </w:r>
      <w:r>
        <w:rPr>
          <w:spacing w:val="-3"/>
          <w:w w:val="105"/>
        </w:rPr>
        <w:t>In</w:t>
      </w:r>
      <w:r>
        <w:rPr>
          <w:spacing w:val="-15"/>
          <w:w w:val="105"/>
        </w:rPr>
        <w:t> </w:t>
      </w:r>
      <w:r>
        <w:rPr>
          <w:spacing w:val="-3"/>
          <w:w w:val="105"/>
        </w:rPr>
        <w:t>September</w:t>
      </w:r>
      <w:r>
        <w:rPr>
          <w:spacing w:val="-12"/>
          <w:w w:val="105"/>
        </w:rPr>
        <w:t> </w:t>
      </w:r>
      <w:r>
        <w:rPr>
          <w:w w:val="105"/>
        </w:rPr>
        <w:t>2003,</w:t>
      </w:r>
      <w:r>
        <w:rPr>
          <w:spacing w:val="-14"/>
          <w:w w:val="105"/>
        </w:rPr>
        <w:t> </w:t>
      </w:r>
      <w:r>
        <w:rPr>
          <w:w w:val="105"/>
        </w:rPr>
        <w:t>the</w:t>
      </w:r>
      <w:r>
        <w:rPr>
          <w:spacing w:val="-16"/>
          <w:w w:val="105"/>
        </w:rPr>
        <w:t> </w:t>
      </w:r>
      <w:r>
        <w:rPr>
          <w:w w:val="105"/>
        </w:rPr>
        <w:t>Company</w:t>
      </w:r>
      <w:r>
        <w:rPr>
          <w:spacing w:val="-15"/>
          <w:w w:val="105"/>
        </w:rPr>
        <w:t> </w:t>
      </w:r>
      <w:r>
        <w:rPr>
          <w:w w:val="105"/>
        </w:rPr>
        <w:t>and</w:t>
      </w:r>
      <w:r>
        <w:rPr>
          <w:spacing w:val="-11"/>
          <w:w w:val="105"/>
        </w:rPr>
        <w:t> </w:t>
      </w:r>
      <w:r>
        <w:rPr>
          <w:w w:val="105"/>
        </w:rPr>
        <w:t>the</w:t>
      </w:r>
      <w:r>
        <w:rPr>
          <w:spacing w:val="-20"/>
          <w:w w:val="105"/>
        </w:rPr>
        <w:t> </w:t>
      </w:r>
      <w:r>
        <w:rPr>
          <w:spacing w:val="-4"/>
          <w:w w:val="105"/>
        </w:rPr>
        <w:t>TWU</w:t>
      </w:r>
      <w:r>
        <w:rPr>
          <w:spacing w:val="-15"/>
          <w:w w:val="105"/>
        </w:rPr>
        <w:t> </w:t>
      </w:r>
      <w:r>
        <w:rPr>
          <w:w w:val="105"/>
        </w:rPr>
        <w:t>requested</w:t>
      </w:r>
      <w:r>
        <w:rPr>
          <w:spacing w:val="-11"/>
          <w:w w:val="105"/>
        </w:rPr>
        <w:t> </w:t>
      </w:r>
      <w:r>
        <w:rPr>
          <w:w w:val="105"/>
        </w:rPr>
        <w:t>the</w:t>
      </w:r>
      <w:r>
        <w:rPr>
          <w:spacing w:val="-12"/>
          <w:w w:val="105"/>
        </w:rPr>
        <w:t> </w:t>
      </w:r>
      <w:r>
        <w:rPr>
          <w:w w:val="105"/>
        </w:rPr>
        <w:t>assistance</w:t>
      </w:r>
      <w:r>
        <w:rPr>
          <w:spacing w:val="-12"/>
          <w:w w:val="105"/>
        </w:rPr>
        <w:t> </w:t>
      </w:r>
      <w:r>
        <w:rPr>
          <w:w w:val="105"/>
        </w:rPr>
        <w:t>of</w:t>
      </w:r>
      <w:r>
        <w:rPr>
          <w:spacing w:val="-16"/>
          <w:w w:val="105"/>
        </w:rPr>
        <w:t> </w:t>
      </w:r>
      <w:r>
        <w:rPr>
          <w:w w:val="105"/>
        </w:rPr>
        <w:t>the</w:t>
      </w:r>
      <w:r>
        <w:rPr>
          <w:spacing w:val="-16"/>
          <w:w w:val="105"/>
        </w:rPr>
        <w:t> </w:t>
      </w:r>
      <w:r>
        <w:rPr>
          <w:spacing w:val="-3"/>
          <w:w w:val="105"/>
        </w:rPr>
        <w:t>National</w:t>
      </w:r>
      <w:r>
        <w:rPr>
          <w:spacing w:val="-11"/>
          <w:w w:val="105"/>
        </w:rPr>
        <w:t> </w:t>
      </w:r>
      <w:r>
        <w:rPr>
          <w:w w:val="105"/>
        </w:rPr>
        <w:t>Mediation</w:t>
      </w:r>
      <w:r>
        <w:rPr>
          <w:spacing w:val="-11"/>
          <w:w w:val="105"/>
        </w:rPr>
        <w:t> </w:t>
      </w:r>
      <w:r>
        <w:rPr>
          <w:spacing w:val="-3"/>
          <w:w w:val="105"/>
        </w:rPr>
        <w:t>Board </w:t>
      </w:r>
      <w:r>
        <w:rPr>
          <w:w w:val="105"/>
        </w:rPr>
        <w:t>in</w:t>
      </w:r>
      <w:r>
        <w:rPr>
          <w:spacing w:val="-20"/>
          <w:w w:val="105"/>
        </w:rPr>
        <w:t> </w:t>
      </w:r>
      <w:r>
        <w:rPr>
          <w:w w:val="105"/>
        </w:rPr>
        <w:t>the</w:t>
      </w:r>
      <w:r>
        <w:rPr>
          <w:spacing w:val="-22"/>
          <w:w w:val="105"/>
        </w:rPr>
        <w:t> </w:t>
      </w:r>
      <w:r>
        <w:rPr>
          <w:w w:val="105"/>
        </w:rPr>
        <w:t>negotiations</w:t>
      </w:r>
      <w:r>
        <w:rPr>
          <w:spacing w:val="-20"/>
          <w:w w:val="105"/>
        </w:rPr>
        <w:t> </w:t>
      </w:r>
      <w:r>
        <w:rPr>
          <w:spacing w:val="-3"/>
          <w:w w:val="105"/>
        </w:rPr>
        <w:t>for</w:t>
      </w:r>
      <w:r>
        <w:rPr>
          <w:spacing w:val="-22"/>
          <w:w w:val="105"/>
        </w:rPr>
        <w:t> </w:t>
      </w:r>
      <w:r>
        <w:rPr>
          <w:w w:val="105"/>
        </w:rPr>
        <w:t>a</w:t>
      </w:r>
      <w:r>
        <w:rPr>
          <w:spacing w:val="-22"/>
          <w:w w:val="105"/>
        </w:rPr>
        <w:t> </w:t>
      </w:r>
      <w:r>
        <w:rPr>
          <w:w w:val="105"/>
        </w:rPr>
        <w:t>new</w:t>
      </w:r>
      <w:r>
        <w:rPr>
          <w:spacing w:val="-27"/>
          <w:w w:val="105"/>
        </w:rPr>
        <w:t> </w:t>
      </w:r>
      <w:r>
        <w:rPr>
          <w:w w:val="105"/>
        </w:rPr>
        <w:t>contract;</w:t>
      </w:r>
      <w:r>
        <w:rPr>
          <w:spacing w:val="-20"/>
          <w:w w:val="105"/>
        </w:rPr>
        <w:t> </w:t>
      </w:r>
      <w:r>
        <w:rPr>
          <w:spacing w:val="-3"/>
          <w:w w:val="105"/>
        </w:rPr>
        <w:t>however,</w:t>
      </w:r>
      <w:r>
        <w:rPr>
          <w:spacing w:val="-26"/>
          <w:w w:val="105"/>
        </w:rPr>
        <w:t> </w:t>
      </w:r>
      <w:r>
        <w:rPr>
          <w:w w:val="105"/>
        </w:rPr>
        <w:t>as</w:t>
      </w:r>
      <w:r>
        <w:rPr>
          <w:spacing w:val="-20"/>
          <w:w w:val="105"/>
        </w:rPr>
        <w:t> </w:t>
      </w:r>
      <w:r>
        <w:rPr>
          <w:w w:val="105"/>
        </w:rPr>
        <w:t>of</w:t>
      </w:r>
      <w:r>
        <w:rPr>
          <w:spacing w:val="-22"/>
          <w:w w:val="105"/>
        </w:rPr>
        <w:t> </w:t>
      </w:r>
      <w:r>
        <w:rPr>
          <w:w w:val="105"/>
        </w:rPr>
        <w:t>the</w:t>
      </w:r>
      <w:r>
        <w:rPr>
          <w:spacing w:val="-22"/>
          <w:w w:val="105"/>
        </w:rPr>
        <w:t> </w:t>
      </w:r>
      <w:r>
        <w:rPr>
          <w:w w:val="105"/>
        </w:rPr>
        <w:t>end</w:t>
      </w:r>
      <w:r>
        <w:rPr>
          <w:spacing w:val="-20"/>
          <w:w w:val="105"/>
        </w:rPr>
        <w:t> </w:t>
      </w:r>
      <w:r>
        <w:rPr>
          <w:w w:val="105"/>
        </w:rPr>
        <w:t>of</w:t>
      </w:r>
      <w:r>
        <w:rPr>
          <w:spacing w:val="-22"/>
          <w:w w:val="105"/>
        </w:rPr>
        <w:t> </w:t>
      </w:r>
      <w:r>
        <w:rPr>
          <w:w w:val="105"/>
        </w:rPr>
        <w:t>2003,</w:t>
      </w:r>
      <w:r>
        <w:rPr>
          <w:spacing w:val="-22"/>
          <w:w w:val="105"/>
        </w:rPr>
        <w:t> </w:t>
      </w:r>
      <w:r>
        <w:rPr>
          <w:w w:val="105"/>
        </w:rPr>
        <w:t>a</w:t>
      </w:r>
      <w:r>
        <w:rPr>
          <w:spacing w:val="-22"/>
          <w:w w:val="105"/>
        </w:rPr>
        <w:t> </w:t>
      </w:r>
      <w:r>
        <w:rPr>
          <w:w w:val="105"/>
        </w:rPr>
        <w:t>mutual</w:t>
      </w:r>
      <w:r>
        <w:rPr>
          <w:spacing w:val="-23"/>
          <w:w w:val="105"/>
        </w:rPr>
        <w:t> </w:t>
      </w:r>
      <w:r>
        <w:rPr>
          <w:spacing w:val="-3"/>
          <w:w w:val="105"/>
        </w:rPr>
        <w:t>agreement</w:t>
      </w:r>
      <w:r>
        <w:rPr>
          <w:spacing w:val="-20"/>
          <w:w w:val="105"/>
        </w:rPr>
        <w:t> </w:t>
      </w:r>
      <w:r>
        <w:rPr>
          <w:w w:val="105"/>
        </w:rPr>
        <w:t>had</w:t>
      </w:r>
      <w:r>
        <w:rPr>
          <w:spacing w:val="-20"/>
          <w:w w:val="105"/>
        </w:rPr>
        <w:t> </w:t>
      </w:r>
      <w:r>
        <w:rPr>
          <w:w w:val="105"/>
        </w:rPr>
        <w:t>not</w:t>
      </w:r>
      <w:r>
        <w:rPr>
          <w:spacing w:val="-20"/>
          <w:w w:val="105"/>
        </w:rPr>
        <w:t> </w:t>
      </w:r>
      <w:r>
        <w:rPr>
          <w:w w:val="105"/>
        </w:rPr>
        <w:t>been</w:t>
      </w:r>
      <w:r>
        <w:rPr>
          <w:spacing w:val="-20"/>
          <w:w w:val="105"/>
        </w:rPr>
        <w:t> </w:t>
      </w:r>
      <w:r>
        <w:rPr>
          <w:w w:val="105"/>
        </w:rPr>
        <w:t>reached.</w:t>
      </w:r>
    </w:p>
    <w:p>
      <w:pPr>
        <w:pStyle w:val="BodyText"/>
        <w:spacing w:line="218" w:lineRule="auto" w:before="194"/>
        <w:ind w:left="115" w:right="106"/>
        <w:jc w:val="both"/>
      </w:pPr>
      <w:r>
        <w:rPr>
          <w:w w:val="105"/>
        </w:rPr>
        <w:t>Fuel and oil expense per ASM increased 4.5 percent, primarily due to a 6.3 percent increase in the average  jet fuel cost per gallon. The average cost per gallon of jet fuel in 2003 was 72.3 cents compared to 68.0 cents in 2002, excluding fuel related taxes but including the effects of hedging activities.  The Company's 2003  and 2002 average jet fuel costs are net of approximately $171 million and $45 million in gains from hedging activities, respectively. See </w:t>
      </w:r>
      <w:r>
        <w:rPr>
          <w:spacing w:val="-3"/>
          <w:w w:val="105"/>
        </w:rPr>
        <w:t>Note </w:t>
      </w:r>
      <w:r>
        <w:rPr>
          <w:w w:val="105"/>
        </w:rPr>
        <w:t>2 and Note 10 to the Consolidated Financial </w:t>
      </w:r>
      <w:r>
        <w:rPr>
          <w:spacing w:val="-3"/>
          <w:w w:val="105"/>
        </w:rPr>
        <w:t>Statements. </w:t>
      </w:r>
      <w:r>
        <w:rPr>
          <w:spacing w:val="-4"/>
          <w:w w:val="105"/>
        </w:rPr>
        <w:t>As </w:t>
      </w:r>
      <w:r>
        <w:rPr>
          <w:spacing w:val="-3"/>
          <w:w w:val="105"/>
        </w:rPr>
        <w:t>detailed </w:t>
      </w:r>
      <w:r>
        <w:rPr>
          <w:w w:val="105"/>
        </w:rPr>
        <w:t>in </w:t>
      </w:r>
      <w:r>
        <w:rPr>
          <w:spacing w:val="-3"/>
          <w:w w:val="105"/>
        </w:rPr>
        <w:t>Note </w:t>
      </w:r>
      <w:r>
        <w:rPr>
          <w:w w:val="105"/>
        </w:rPr>
        <w:t>10 to the Consolidated Financial Statements, the Company has hedges in </w:t>
      </w:r>
      <w:r>
        <w:rPr>
          <w:spacing w:val="-3"/>
          <w:w w:val="105"/>
        </w:rPr>
        <w:t>place </w:t>
      </w:r>
      <w:r>
        <w:rPr>
          <w:w w:val="105"/>
        </w:rPr>
        <w:t>for over 80 percent of its anticipated</w:t>
      </w:r>
      <w:r>
        <w:rPr>
          <w:spacing w:val="-10"/>
          <w:w w:val="105"/>
        </w:rPr>
        <w:t> </w:t>
      </w:r>
      <w:r>
        <w:rPr>
          <w:w w:val="105"/>
        </w:rPr>
        <w:t>fuel</w:t>
      </w:r>
      <w:r>
        <w:rPr>
          <w:spacing w:val="-14"/>
          <w:w w:val="105"/>
        </w:rPr>
        <w:t> </w:t>
      </w:r>
      <w:r>
        <w:rPr>
          <w:w w:val="105"/>
        </w:rPr>
        <w:t>consumption</w:t>
      </w:r>
      <w:r>
        <w:rPr>
          <w:spacing w:val="-10"/>
          <w:w w:val="105"/>
        </w:rPr>
        <w:t> </w:t>
      </w:r>
      <w:r>
        <w:rPr>
          <w:w w:val="105"/>
        </w:rPr>
        <w:t>in</w:t>
      </w:r>
      <w:r>
        <w:rPr>
          <w:spacing w:val="-14"/>
          <w:w w:val="105"/>
        </w:rPr>
        <w:t> </w:t>
      </w:r>
      <w:r>
        <w:rPr>
          <w:w w:val="105"/>
        </w:rPr>
        <w:t>2004</w:t>
      </w:r>
      <w:r>
        <w:rPr>
          <w:spacing w:val="-10"/>
          <w:w w:val="105"/>
        </w:rPr>
        <w:t> </w:t>
      </w:r>
      <w:r>
        <w:rPr>
          <w:spacing w:val="-3"/>
          <w:w w:val="105"/>
        </w:rPr>
        <w:t>with</w:t>
      </w:r>
      <w:r>
        <w:rPr>
          <w:spacing w:val="-10"/>
          <w:w w:val="105"/>
        </w:rPr>
        <w:t> </w:t>
      </w:r>
      <w:r>
        <w:rPr>
          <w:w w:val="105"/>
        </w:rPr>
        <w:t>a</w:t>
      </w:r>
      <w:r>
        <w:rPr>
          <w:spacing w:val="-12"/>
          <w:w w:val="105"/>
        </w:rPr>
        <w:t> </w:t>
      </w:r>
      <w:r>
        <w:rPr>
          <w:w w:val="105"/>
        </w:rPr>
        <w:t>combination</w:t>
      </w:r>
      <w:r>
        <w:rPr>
          <w:spacing w:val="-10"/>
          <w:w w:val="105"/>
        </w:rPr>
        <w:t> </w:t>
      </w:r>
      <w:r>
        <w:rPr>
          <w:w w:val="105"/>
        </w:rPr>
        <w:t>of</w:t>
      </w:r>
      <w:r>
        <w:rPr>
          <w:spacing w:val="-13"/>
          <w:w w:val="105"/>
        </w:rPr>
        <w:t> </w:t>
      </w:r>
      <w:r>
        <w:rPr>
          <w:w w:val="105"/>
        </w:rPr>
        <w:t>derivative</w:t>
      </w:r>
      <w:r>
        <w:rPr>
          <w:spacing w:val="-15"/>
          <w:w w:val="105"/>
        </w:rPr>
        <w:t> </w:t>
      </w:r>
      <w:r>
        <w:rPr>
          <w:w w:val="105"/>
        </w:rPr>
        <w:t>instruments</w:t>
      </w:r>
      <w:r>
        <w:rPr>
          <w:spacing w:val="-10"/>
          <w:w w:val="105"/>
        </w:rPr>
        <w:t> </w:t>
      </w:r>
      <w:r>
        <w:rPr>
          <w:w w:val="105"/>
        </w:rPr>
        <w:t>that</w:t>
      </w:r>
      <w:r>
        <w:rPr>
          <w:spacing w:val="-10"/>
          <w:w w:val="105"/>
        </w:rPr>
        <w:t> </w:t>
      </w:r>
      <w:r>
        <w:rPr>
          <w:spacing w:val="-3"/>
          <w:w w:val="105"/>
        </w:rPr>
        <w:t>effectively</w:t>
      </w:r>
      <w:r>
        <w:rPr>
          <w:spacing w:val="-10"/>
          <w:w w:val="105"/>
        </w:rPr>
        <w:t> </w:t>
      </w:r>
      <w:r>
        <w:rPr>
          <w:w w:val="105"/>
        </w:rPr>
        <w:t>cap</w:t>
      </w:r>
      <w:r>
        <w:rPr>
          <w:spacing w:val="-10"/>
          <w:w w:val="105"/>
        </w:rPr>
        <w:t> </w:t>
      </w:r>
      <w:r>
        <w:rPr>
          <w:w w:val="105"/>
        </w:rPr>
        <w:t>prices</w:t>
      </w:r>
      <w:r>
        <w:rPr>
          <w:spacing w:val="-14"/>
          <w:w w:val="105"/>
        </w:rPr>
        <w:t> </w:t>
      </w:r>
      <w:r>
        <w:rPr>
          <w:w w:val="105"/>
        </w:rPr>
        <w:t>at about $24 per barrel, including approximately 82 percent of its anticipated </w:t>
      </w:r>
      <w:r>
        <w:rPr>
          <w:spacing w:val="-3"/>
          <w:w w:val="105"/>
        </w:rPr>
        <w:t>requirements </w:t>
      </w:r>
      <w:r>
        <w:rPr>
          <w:w w:val="105"/>
        </w:rPr>
        <w:t>for </w:t>
      </w:r>
      <w:r>
        <w:rPr>
          <w:spacing w:val="-3"/>
          <w:w w:val="105"/>
        </w:rPr>
        <w:t>first </w:t>
      </w:r>
      <w:r>
        <w:rPr>
          <w:w w:val="105"/>
        </w:rPr>
        <w:t>quarter</w:t>
      </w:r>
      <w:r>
        <w:rPr>
          <w:spacing w:val="-35"/>
          <w:w w:val="105"/>
        </w:rPr>
        <w:t> </w:t>
      </w:r>
      <w:r>
        <w:rPr>
          <w:w w:val="105"/>
        </w:rPr>
        <w:t>2004. </w:t>
      </w:r>
      <w:r>
        <w:rPr>
          <w:spacing w:val="2"/>
          <w:w w:val="105"/>
        </w:rPr>
        <w:t>Considering </w:t>
      </w:r>
      <w:r>
        <w:rPr>
          <w:spacing w:val="3"/>
          <w:w w:val="105"/>
        </w:rPr>
        <w:t>current market prices </w:t>
      </w:r>
      <w:r>
        <w:rPr>
          <w:spacing w:val="2"/>
          <w:w w:val="105"/>
        </w:rPr>
        <w:t>and the </w:t>
      </w:r>
      <w:r>
        <w:rPr>
          <w:spacing w:val="3"/>
          <w:w w:val="105"/>
        </w:rPr>
        <w:t>continued effectiveness </w:t>
      </w:r>
      <w:r>
        <w:rPr>
          <w:w w:val="105"/>
        </w:rPr>
        <w:t>of </w:t>
      </w:r>
      <w:r>
        <w:rPr>
          <w:spacing w:val="2"/>
          <w:w w:val="105"/>
        </w:rPr>
        <w:t>the </w:t>
      </w:r>
      <w:r>
        <w:rPr>
          <w:spacing w:val="3"/>
          <w:w w:val="105"/>
        </w:rPr>
        <w:t>Company's fuel hedges, </w:t>
      </w:r>
      <w:r>
        <w:rPr>
          <w:spacing w:val="4"/>
          <w:w w:val="105"/>
        </w:rPr>
        <w:t>the </w:t>
      </w:r>
      <w:r>
        <w:rPr>
          <w:w w:val="105"/>
        </w:rPr>
        <w:t>Company is forecasting first quarter 2004 average fuel cost per gallon to be in the 75 to 80 cent range. The majority of the Company's near term hedge positions are in the form of option contracts, which protect the Company in the event of rising jet fuel prices and allow the Company to benefit in the event of declining prices.</w:t>
      </w:r>
    </w:p>
    <w:p>
      <w:pPr>
        <w:pStyle w:val="BodyText"/>
        <w:spacing w:line="218" w:lineRule="auto" w:before="221"/>
        <w:ind w:left="115" w:right="106"/>
        <w:jc w:val="both"/>
      </w:pPr>
      <w:r>
        <w:rPr>
          <w:w w:val="105"/>
        </w:rPr>
        <w:t>Maintenance </w:t>
      </w:r>
      <w:r>
        <w:rPr>
          <w:spacing w:val="-3"/>
          <w:w w:val="105"/>
        </w:rPr>
        <w:t>materials </w:t>
      </w:r>
      <w:r>
        <w:rPr>
          <w:w w:val="105"/>
        </w:rPr>
        <w:t>and </w:t>
      </w:r>
      <w:r>
        <w:rPr>
          <w:spacing w:val="-3"/>
          <w:w w:val="105"/>
        </w:rPr>
        <w:t>repairs </w:t>
      </w:r>
      <w:r>
        <w:rPr>
          <w:w w:val="105"/>
        </w:rPr>
        <w:t>per </w:t>
      </w:r>
      <w:r>
        <w:rPr>
          <w:spacing w:val="-3"/>
          <w:w w:val="105"/>
        </w:rPr>
        <w:t>ASM increased 5.3 percent </w:t>
      </w:r>
      <w:r>
        <w:rPr>
          <w:w w:val="105"/>
        </w:rPr>
        <w:t>primarily due to an </w:t>
      </w:r>
      <w:r>
        <w:rPr>
          <w:spacing w:val="-3"/>
          <w:w w:val="105"/>
        </w:rPr>
        <w:t>increase </w:t>
      </w:r>
      <w:r>
        <w:rPr>
          <w:w w:val="105"/>
        </w:rPr>
        <w:t>in engine </w:t>
      </w:r>
      <w:r>
        <w:rPr>
          <w:spacing w:val="-3"/>
          <w:w w:val="105"/>
        </w:rPr>
        <w:t>maintenance. </w:t>
      </w:r>
      <w:r>
        <w:rPr>
          <w:w w:val="105"/>
        </w:rPr>
        <w:t>The Company outsources all of its engine </w:t>
      </w:r>
      <w:r>
        <w:rPr>
          <w:spacing w:val="-3"/>
          <w:w w:val="105"/>
        </w:rPr>
        <w:t>maintenance </w:t>
      </w:r>
      <w:r>
        <w:rPr>
          <w:w w:val="105"/>
        </w:rPr>
        <w:t>work. </w:t>
      </w:r>
      <w:r>
        <w:rPr>
          <w:spacing w:val="-3"/>
          <w:w w:val="105"/>
        </w:rPr>
        <w:t>Approximately </w:t>
      </w:r>
      <w:r>
        <w:rPr>
          <w:w w:val="105"/>
        </w:rPr>
        <w:t>half of the </w:t>
      </w:r>
      <w:r>
        <w:rPr>
          <w:spacing w:val="-3"/>
          <w:w w:val="105"/>
        </w:rPr>
        <w:t>increase </w:t>
      </w:r>
      <w:r>
        <w:rPr>
          <w:w w:val="105"/>
        </w:rPr>
        <w:t>in</w:t>
      </w:r>
      <w:r>
        <w:rPr>
          <w:spacing w:val="-1"/>
          <w:w w:val="105"/>
        </w:rPr>
        <w:t> </w:t>
      </w:r>
      <w:r>
        <w:rPr>
          <w:w w:val="105"/>
        </w:rPr>
        <w:t>engine</w:t>
      </w:r>
      <w:r>
        <w:rPr>
          <w:spacing w:val="-6"/>
          <w:w w:val="105"/>
        </w:rPr>
        <w:t> </w:t>
      </w:r>
      <w:r>
        <w:rPr>
          <w:w w:val="105"/>
        </w:rPr>
        <w:t>maintenance</w:t>
      </w:r>
      <w:r>
        <w:rPr>
          <w:spacing w:val="-9"/>
          <w:w w:val="105"/>
        </w:rPr>
        <w:t> </w:t>
      </w:r>
      <w:r>
        <w:rPr>
          <w:w w:val="105"/>
        </w:rPr>
        <w:t>expense</w:t>
      </w:r>
      <w:r>
        <w:rPr>
          <w:spacing w:val="-6"/>
          <w:w w:val="105"/>
        </w:rPr>
        <w:t> </w:t>
      </w:r>
      <w:r>
        <w:rPr>
          <w:spacing w:val="-3"/>
          <w:w w:val="105"/>
        </w:rPr>
        <w:t>was</w:t>
      </w:r>
      <w:r>
        <w:rPr>
          <w:spacing w:val="-4"/>
          <w:w w:val="105"/>
        </w:rPr>
        <w:t> </w:t>
      </w:r>
      <w:r>
        <w:rPr>
          <w:w w:val="105"/>
        </w:rPr>
        <w:t>for</w:t>
      </w:r>
      <w:r>
        <w:rPr>
          <w:spacing w:val="-10"/>
          <w:w w:val="105"/>
        </w:rPr>
        <w:t> </w:t>
      </w:r>
      <w:r>
        <w:rPr>
          <w:w w:val="105"/>
        </w:rPr>
        <w:t>737-300</w:t>
      </w:r>
      <w:r>
        <w:rPr>
          <w:spacing w:val="-4"/>
          <w:w w:val="105"/>
        </w:rPr>
        <w:t> </w:t>
      </w:r>
      <w:r>
        <w:rPr>
          <w:w w:val="105"/>
        </w:rPr>
        <w:t>and</w:t>
      </w:r>
      <w:r>
        <w:rPr>
          <w:spacing w:val="-4"/>
          <w:w w:val="105"/>
        </w:rPr>
        <w:t> </w:t>
      </w:r>
      <w:r>
        <w:rPr>
          <w:w w:val="105"/>
        </w:rPr>
        <w:t>-500</w:t>
      </w:r>
      <w:r>
        <w:rPr>
          <w:spacing w:val="-1"/>
          <w:w w:val="105"/>
        </w:rPr>
        <w:t> </w:t>
      </w:r>
      <w:r>
        <w:rPr>
          <w:spacing w:val="-3"/>
          <w:w w:val="105"/>
        </w:rPr>
        <w:t>aircraft</w:t>
      </w:r>
      <w:r>
        <w:rPr>
          <w:spacing w:val="-4"/>
          <w:w w:val="105"/>
        </w:rPr>
        <w:t> </w:t>
      </w:r>
      <w:r>
        <w:rPr>
          <w:w w:val="105"/>
        </w:rPr>
        <w:t>subject</w:t>
      </w:r>
      <w:r>
        <w:rPr>
          <w:spacing w:val="-4"/>
          <w:w w:val="105"/>
        </w:rPr>
        <w:t> </w:t>
      </w:r>
      <w:r>
        <w:rPr>
          <w:w w:val="105"/>
        </w:rPr>
        <w:t>to</w:t>
      </w:r>
      <w:r>
        <w:rPr>
          <w:spacing w:val="-1"/>
          <w:w w:val="105"/>
        </w:rPr>
        <w:t> </w:t>
      </w:r>
      <w:r>
        <w:rPr>
          <w:w w:val="105"/>
        </w:rPr>
        <w:t>a</w:t>
      </w:r>
      <w:r>
        <w:rPr>
          <w:spacing w:val="-6"/>
          <w:w w:val="105"/>
        </w:rPr>
        <w:t> </w:t>
      </w:r>
      <w:r>
        <w:rPr>
          <w:w w:val="105"/>
        </w:rPr>
        <w:t>long-term</w:t>
      </w:r>
      <w:r>
        <w:rPr>
          <w:spacing w:val="-2"/>
          <w:w w:val="105"/>
        </w:rPr>
        <w:t> </w:t>
      </w:r>
      <w:r>
        <w:rPr>
          <w:spacing w:val="-3"/>
          <w:w w:val="105"/>
        </w:rPr>
        <w:t>maintenance</w:t>
      </w:r>
      <w:r>
        <w:rPr>
          <w:spacing w:val="-6"/>
          <w:w w:val="105"/>
        </w:rPr>
        <w:t> </w:t>
      </w:r>
      <w:r>
        <w:rPr>
          <w:w w:val="105"/>
        </w:rPr>
        <w:t>contract, which is based on a </w:t>
      </w:r>
      <w:r>
        <w:rPr>
          <w:spacing w:val="-3"/>
          <w:w w:val="105"/>
        </w:rPr>
        <w:t>contract </w:t>
      </w:r>
      <w:r>
        <w:rPr>
          <w:w w:val="105"/>
        </w:rPr>
        <w:t>rate </w:t>
      </w:r>
      <w:r>
        <w:rPr>
          <w:spacing w:val="-3"/>
          <w:w w:val="105"/>
        </w:rPr>
        <w:t>charged </w:t>
      </w:r>
      <w:r>
        <w:rPr>
          <w:w w:val="105"/>
        </w:rPr>
        <w:t>per hour flown. The </w:t>
      </w:r>
      <w:r>
        <w:rPr>
          <w:spacing w:val="-3"/>
          <w:w w:val="105"/>
        </w:rPr>
        <w:t>majority </w:t>
      </w:r>
      <w:r>
        <w:rPr>
          <w:w w:val="105"/>
        </w:rPr>
        <w:t>of the </w:t>
      </w:r>
      <w:r>
        <w:rPr>
          <w:spacing w:val="-3"/>
          <w:w w:val="105"/>
        </w:rPr>
        <w:t>increase </w:t>
      </w:r>
      <w:r>
        <w:rPr>
          <w:w w:val="105"/>
        </w:rPr>
        <w:t>in engine expense for these</w:t>
      </w:r>
      <w:r>
        <w:rPr>
          <w:spacing w:val="-9"/>
          <w:w w:val="105"/>
        </w:rPr>
        <w:t> </w:t>
      </w:r>
      <w:r>
        <w:rPr>
          <w:spacing w:val="-3"/>
          <w:w w:val="105"/>
        </w:rPr>
        <w:t>aircraft</w:t>
      </w:r>
      <w:r>
        <w:rPr>
          <w:spacing w:val="-4"/>
          <w:w w:val="105"/>
        </w:rPr>
        <w:t> </w:t>
      </w:r>
      <w:r>
        <w:rPr>
          <w:w w:val="105"/>
        </w:rPr>
        <w:t>in 2003</w:t>
      </w:r>
      <w:r>
        <w:rPr>
          <w:spacing w:val="-4"/>
          <w:w w:val="105"/>
        </w:rPr>
        <w:t> </w:t>
      </w:r>
      <w:r>
        <w:rPr>
          <w:spacing w:val="-5"/>
          <w:w w:val="105"/>
        </w:rPr>
        <w:t>was</w:t>
      </w:r>
      <w:r>
        <w:rPr>
          <w:spacing w:val="-4"/>
          <w:w w:val="105"/>
        </w:rPr>
        <w:t> </w:t>
      </w:r>
      <w:r>
        <w:rPr>
          <w:w w:val="105"/>
        </w:rPr>
        <w:t>due</w:t>
      </w:r>
      <w:r>
        <w:rPr>
          <w:spacing w:val="-5"/>
          <w:w w:val="105"/>
        </w:rPr>
        <w:t> </w:t>
      </w:r>
      <w:r>
        <w:rPr>
          <w:w w:val="105"/>
        </w:rPr>
        <w:t>to</w:t>
      </w:r>
      <w:r>
        <w:rPr>
          <w:spacing w:val="-4"/>
          <w:w w:val="105"/>
        </w:rPr>
        <w:t> </w:t>
      </w:r>
      <w:r>
        <w:rPr>
          <w:spacing w:val="-3"/>
          <w:w w:val="105"/>
        </w:rPr>
        <w:t>an</w:t>
      </w:r>
      <w:r>
        <w:rPr>
          <w:spacing w:val="-4"/>
          <w:w w:val="105"/>
        </w:rPr>
        <w:t> </w:t>
      </w:r>
      <w:r>
        <w:rPr>
          <w:w w:val="105"/>
        </w:rPr>
        <w:t>increase</w:t>
      </w:r>
      <w:r>
        <w:rPr>
          <w:spacing w:val="-9"/>
          <w:w w:val="105"/>
        </w:rPr>
        <w:t> </w:t>
      </w:r>
      <w:r>
        <w:rPr>
          <w:w w:val="105"/>
        </w:rPr>
        <w:t>in</w:t>
      </w:r>
      <w:r>
        <w:rPr>
          <w:spacing w:val="-8"/>
          <w:w w:val="105"/>
        </w:rPr>
        <w:t> </w:t>
      </w:r>
      <w:r>
        <w:rPr>
          <w:w w:val="105"/>
        </w:rPr>
        <w:t>the</w:t>
      </w:r>
      <w:r>
        <w:rPr>
          <w:spacing w:val="-5"/>
          <w:w w:val="105"/>
        </w:rPr>
        <w:t> </w:t>
      </w:r>
      <w:r>
        <w:rPr>
          <w:w w:val="105"/>
        </w:rPr>
        <w:t>contract</w:t>
      </w:r>
      <w:r>
        <w:rPr>
          <w:spacing w:val="-8"/>
          <w:w w:val="105"/>
        </w:rPr>
        <w:t> </w:t>
      </w:r>
      <w:r>
        <w:rPr>
          <w:w w:val="105"/>
        </w:rPr>
        <w:t>rate</w:t>
      </w:r>
      <w:r>
        <w:rPr>
          <w:spacing w:val="-5"/>
          <w:w w:val="105"/>
        </w:rPr>
        <w:t> </w:t>
      </w:r>
      <w:r>
        <w:rPr>
          <w:w w:val="105"/>
        </w:rPr>
        <w:t>per</w:t>
      </w:r>
      <w:r>
        <w:rPr>
          <w:spacing w:val="-2"/>
          <w:w w:val="105"/>
        </w:rPr>
        <w:t> </w:t>
      </w:r>
      <w:r>
        <w:rPr>
          <w:w w:val="105"/>
        </w:rPr>
        <w:t>hour</w:t>
      </w:r>
      <w:r>
        <w:rPr>
          <w:spacing w:val="-6"/>
          <w:w w:val="105"/>
        </w:rPr>
        <w:t> </w:t>
      </w:r>
      <w:r>
        <w:rPr>
          <w:spacing w:val="-3"/>
          <w:w w:val="105"/>
        </w:rPr>
        <w:t>flown,</w:t>
      </w:r>
      <w:r>
        <w:rPr>
          <w:spacing w:val="-7"/>
          <w:w w:val="105"/>
        </w:rPr>
        <w:t> </w:t>
      </w:r>
      <w:r>
        <w:rPr>
          <w:w w:val="105"/>
        </w:rPr>
        <w:t>predicated</w:t>
      </w:r>
      <w:r>
        <w:rPr>
          <w:spacing w:val="-8"/>
          <w:w w:val="105"/>
        </w:rPr>
        <w:t> </w:t>
      </w:r>
      <w:r>
        <w:rPr>
          <w:w w:val="105"/>
        </w:rPr>
        <w:t>on</w:t>
      </w:r>
      <w:r>
        <w:rPr>
          <w:spacing w:val="-8"/>
          <w:w w:val="105"/>
        </w:rPr>
        <w:t> </w:t>
      </w:r>
      <w:r>
        <w:rPr>
          <w:spacing w:val="-3"/>
          <w:w w:val="105"/>
        </w:rPr>
        <w:t>increased</w:t>
      </w:r>
      <w:r>
        <w:rPr>
          <w:spacing w:val="-4"/>
          <w:w w:val="105"/>
        </w:rPr>
        <w:t> </w:t>
      </w:r>
      <w:r>
        <w:rPr>
          <w:w w:val="105"/>
        </w:rPr>
        <w:t>engine maintenance events. </w:t>
      </w:r>
      <w:r>
        <w:rPr>
          <w:spacing w:val="-2"/>
          <w:w w:val="105"/>
        </w:rPr>
        <w:t>The </w:t>
      </w:r>
      <w:r>
        <w:rPr>
          <w:w w:val="105"/>
        </w:rPr>
        <w:t>other half of the increase in engine maintenance expense </w:t>
      </w:r>
      <w:r>
        <w:rPr>
          <w:spacing w:val="-3"/>
          <w:w w:val="105"/>
        </w:rPr>
        <w:t>was </w:t>
      </w:r>
      <w:r>
        <w:rPr>
          <w:w w:val="105"/>
        </w:rPr>
        <w:t>for 737-700 </w:t>
      </w:r>
      <w:r>
        <w:rPr>
          <w:spacing w:val="-3"/>
          <w:w w:val="105"/>
        </w:rPr>
        <w:t>aircraft, </w:t>
      </w:r>
      <w:r>
        <w:rPr>
          <w:w w:val="105"/>
        </w:rPr>
        <w:t>which</w:t>
      </w:r>
      <w:r>
        <w:rPr>
          <w:spacing w:val="-16"/>
          <w:w w:val="105"/>
        </w:rPr>
        <w:t> </w:t>
      </w:r>
      <w:r>
        <w:rPr>
          <w:w w:val="105"/>
        </w:rPr>
        <w:t>is</w:t>
      </w:r>
      <w:r>
        <w:rPr>
          <w:spacing w:val="-12"/>
          <w:w w:val="105"/>
        </w:rPr>
        <w:t> </w:t>
      </w:r>
      <w:r>
        <w:rPr>
          <w:w w:val="105"/>
        </w:rPr>
        <w:t>based</w:t>
      </w:r>
      <w:r>
        <w:rPr>
          <w:spacing w:val="-12"/>
          <w:w w:val="105"/>
        </w:rPr>
        <w:t> </w:t>
      </w:r>
      <w:r>
        <w:rPr>
          <w:w w:val="105"/>
        </w:rPr>
        <w:t>on</w:t>
      </w:r>
      <w:r>
        <w:rPr>
          <w:spacing w:val="-12"/>
          <w:w w:val="105"/>
        </w:rPr>
        <w:t> </w:t>
      </w:r>
      <w:r>
        <w:rPr>
          <w:w w:val="105"/>
        </w:rPr>
        <w:t>a</w:t>
      </w:r>
      <w:r>
        <w:rPr>
          <w:spacing w:val="-13"/>
          <w:w w:val="105"/>
        </w:rPr>
        <w:t> </w:t>
      </w:r>
      <w:r>
        <w:rPr>
          <w:w w:val="105"/>
        </w:rPr>
        <w:t>time</w:t>
      </w:r>
      <w:r>
        <w:rPr>
          <w:spacing w:val="-13"/>
          <w:w w:val="105"/>
        </w:rPr>
        <w:t> </w:t>
      </w:r>
      <w:r>
        <w:rPr>
          <w:w w:val="105"/>
        </w:rPr>
        <w:t>and</w:t>
      </w:r>
      <w:r>
        <w:rPr>
          <w:spacing w:val="-12"/>
          <w:w w:val="105"/>
        </w:rPr>
        <w:t> </w:t>
      </w:r>
      <w:r>
        <w:rPr>
          <w:spacing w:val="-3"/>
          <w:w w:val="105"/>
        </w:rPr>
        <w:t>materials</w:t>
      </w:r>
      <w:r>
        <w:rPr>
          <w:spacing w:val="-12"/>
          <w:w w:val="105"/>
        </w:rPr>
        <w:t> </w:t>
      </w:r>
      <w:r>
        <w:rPr>
          <w:w w:val="105"/>
        </w:rPr>
        <w:t>basis.</w:t>
      </w:r>
      <w:r>
        <w:rPr>
          <w:spacing w:val="32"/>
          <w:w w:val="105"/>
        </w:rPr>
        <w:t> </w:t>
      </w:r>
      <w:r>
        <w:rPr>
          <w:spacing w:val="-3"/>
          <w:w w:val="105"/>
        </w:rPr>
        <w:t>Expense</w:t>
      </w:r>
      <w:r>
        <w:rPr>
          <w:spacing w:val="-13"/>
          <w:w w:val="105"/>
        </w:rPr>
        <w:t> </w:t>
      </w:r>
      <w:r>
        <w:rPr>
          <w:spacing w:val="-3"/>
          <w:w w:val="105"/>
        </w:rPr>
        <w:t>for</w:t>
      </w:r>
      <w:r>
        <w:rPr>
          <w:spacing w:val="-9"/>
          <w:w w:val="105"/>
        </w:rPr>
        <w:t> </w:t>
      </w:r>
      <w:r>
        <w:rPr>
          <w:w w:val="105"/>
        </w:rPr>
        <w:t>these</w:t>
      </w:r>
      <w:r>
        <w:rPr>
          <w:spacing w:val="-17"/>
          <w:w w:val="105"/>
        </w:rPr>
        <w:t> </w:t>
      </w:r>
      <w:r>
        <w:rPr>
          <w:spacing w:val="-3"/>
          <w:w w:val="105"/>
        </w:rPr>
        <w:t>aircraft</w:t>
      </w:r>
      <w:r>
        <w:rPr>
          <w:spacing w:val="-12"/>
          <w:w w:val="105"/>
        </w:rPr>
        <w:t> </w:t>
      </w:r>
      <w:r>
        <w:rPr>
          <w:w w:val="105"/>
        </w:rPr>
        <w:t>engines</w:t>
      </w:r>
      <w:r>
        <w:rPr>
          <w:spacing w:val="-8"/>
          <w:w w:val="105"/>
        </w:rPr>
        <w:t> </w:t>
      </w:r>
      <w:r>
        <w:rPr>
          <w:spacing w:val="-3"/>
          <w:w w:val="105"/>
        </w:rPr>
        <w:t>increased</w:t>
      </w:r>
      <w:r>
        <w:rPr>
          <w:spacing w:val="-12"/>
          <w:w w:val="105"/>
        </w:rPr>
        <w:t> </w:t>
      </w:r>
      <w:r>
        <w:rPr>
          <w:w w:val="105"/>
        </w:rPr>
        <w:t>because</w:t>
      </w:r>
      <w:r>
        <w:rPr>
          <w:spacing w:val="-13"/>
          <w:w w:val="105"/>
        </w:rPr>
        <w:t> </w:t>
      </w:r>
      <w:r>
        <w:rPr>
          <w:w w:val="105"/>
        </w:rPr>
        <w:t>of</w:t>
      </w:r>
      <w:r>
        <w:rPr>
          <w:spacing w:val="-9"/>
          <w:w w:val="105"/>
        </w:rPr>
        <w:t> </w:t>
      </w:r>
      <w:r>
        <w:rPr>
          <w:spacing w:val="-3"/>
          <w:w w:val="105"/>
        </w:rPr>
        <w:t>an</w:t>
      </w:r>
      <w:r>
        <w:rPr>
          <w:spacing w:val="-12"/>
          <w:w w:val="105"/>
        </w:rPr>
        <w:t> </w:t>
      </w:r>
      <w:r>
        <w:rPr>
          <w:spacing w:val="-3"/>
          <w:w w:val="105"/>
        </w:rPr>
        <w:t>increase </w:t>
      </w:r>
      <w:r>
        <w:rPr>
          <w:w w:val="105"/>
        </w:rPr>
        <w:t>in </w:t>
      </w:r>
      <w:r>
        <w:rPr>
          <w:spacing w:val="-3"/>
          <w:w w:val="105"/>
        </w:rPr>
        <w:t>repairs </w:t>
      </w:r>
      <w:r>
        <w:rPr>
          <w:w w:val="105"/>
        </w:rPr>
        <w:t>for these </w:t>
      </w:r>
      <w:r>
        <w:rPr>
          <w:spacing w:val="-3"/>
          <w:w w:val="105"/>
        </w:rPr>
        <w:t>aircraft </w:t>
      </w:r>
      <w:r>
        <w:rPr>
          <w:w w:val="105"/>
        </w:rPr>
        <w:t>engines. Currently, the Company expects an increase in maintenance materials and repairs</w:t>
      </w:r>
      <w:r>
        <w:rPr>
          <w:spacing w:val="-12"/>
          <w:w w:val="105"/>
        </w:rPr>
        <w:t> </w:t>
      </w:r>
      <w:r>
        <w:rPr>
          <w:w w:val="105"/>
        </w:rPr>
        <w:t>expense</w:t>
      </w:r>
      <w:r>
        <w:rPr>
          <w:spacing w:val="-12"/>
          <w:w w:val="105"/>
        </w:rPr>
        <w:t> </w:t>
      </w:r>
      <w:r>
        <w:rPr>
          <w:w w:val="105"/>
        </w:rPr>
        <w:t>per</w:t>
      </w:r>
      <w:r>
        <w:rPr>
          <w:spacing w:val="-12"/>
          <w:w w:val="105"/>
        </w:rPr>
        <w:t> </w:t>
      </w:r>
      <w:r>
        <w:rPr>
          <w:w w:val="105"/>
        </w:rPr>
        <w:t>ASM</w:t>
      </w:r>
      <w:r>
        <w:rPr>
          <w:spacing w:val="-12"/>
          <w:w w:val="105"/>
        </w:rPr>
        <w:t> </w:t>
      </w:r>
      <w:r>
        <w:rPr>
          <w:w w:val="105"/>
        </w:rPr>
        <w:t>in</w:t>
      </w:r>
      <w:r>
        <w:rPr>
          <w:spacing w:val="-12"/>
          <w:w w:val="105"/>
        </w:rPr>
        <w:t> </w:t>
      </w:r>
      <w:r>
        <w:rPr>
          <w:w w:val="105"/>
        </w:rPr>
        <w:t>first</w:t>
      </w:r>
      <w:r>
        <w:rPr>
          <w:spacing w:val="-12"/>
          <w:w w:val="105"/>
        </w:rPr>
        <w:t> </w:t>
      </w:r>
      <w:r>
        <w:rPr>
          <w:w w:val="105"/>
        </w:rPr>
        <w:t>quarter</w:t>
      </w:r>
      <w:r>
        <w:rPr>
          <w:spacing w:val="-12"/>
          <w:w w:val="105"/>
        </w:rPr>
        <w:t> </w:t>
      </w:r>
      <w:r>
        <w:rPr>
          <w:w w:val="105"/>
        </w:rPr>
        <w:t>2004,</w:t>
      </w:r>
      <w:r>
        <w:rPr>
          <w:spacing w:val="-12"/>
          <w:w w:val="105"/>
        </w:rPr>
        <w:t> </w:t>
      </w:r>
      <w:r>
        <w:rPr>
          <w:w w:val="105"/>
        </w:rPr>
        <w:t>versus</w:t>
      </w:r>
      <w:r>
        <w:rPr>
          <w:spacing w:val="-12"/>
          <w:w w:val="105"/>
        </w:rPr>
        <w:t> </w:t>
      </w:r>
      <w:r>
        <w:rPr>
          <w:w w:val="105"/>
        </w:rPr>
        <w:t>2003,</w:t>
      </w:r>
      <w:r>
        <w:rPr>
          <w:spacing w:val="-12"/>
          <w:w w:val="105"/>
        </w:rPr>
        <w:t> </w:t>
      </w:r>
      <w:r>
        <w:rPr>
          <w:w w:val="105"/>
        </w:rPr>
        <w:t>due</w:t>
      </w:r>
      <w:r>
        <w:rPr>
          <w:spacing w:val="-12"/>
          <w:w w:val="105"/>
        </w:rPr>
        <w:t> </w:t>
      </w:r>
      <w:r>
        <w:rPr>
          <w:w w:val="105"/>
        </w:rPr>
        <w:t>to</w:t>
      </w:r>
      <w:r>
        <w:rPr>
          <w:spacing w:val="-12"/>
          <w:w w:val="105"/>
        </w:rPr>
        <w:t> </w:t>
      </w:r>
      <w:r>
        <w:rPr>
          <w:w w:val="105"/>
        </w:rPr>
        <w:t>the</w:t>
      </w:r>
      <w:r>
        <w:rPr>
          <w:spacing w:val="-12"/>
          <w:w w:val="105"/>
        </w:rPr>
        <w:t> </w:t>
      </w:r>
      <w:r>
        <w:rPr>
          <w:w w:val="105"/>
        </w:rPr>
        <w:t>number</w:t>
      </w:r>
      <w:r>
        <w:rPr>
          <w:spacing w:val="-12"/>
          <w:w w:val="105"/>
        </w:rPr>
        <w:t> </w:t>
      </w:r>
      <w:r>
        <w:rPr>
          <w:w w:val="105"/>
        </w:rPr>
        <w:t>of</w:t>
      </w:r>
      <w:r>
        <w:rPr>
          <w:spacing w:val="-12"/>
          <w:w w:val="105"/>
        </w:rPr>
        <w:t> </w:t>
      </w:r>
      <w:r>
        <w:rPr>
          <w:w w:val="105"/>
        </w:rPr>
        <w:t>engine</w:t>
      </w:r>
      <w:r>
        <w:rPr>
          <w:spacing w:val="-12"/>
          <w:w w:val="105"/>
        </w:rPr>
        <w:t> </w:t>
      </w:r>
      <w:r>
        <w:rPr>
          <w:w w:val="105"/>
        </w:rPr>
        <w:t>repairs</w:t>
      </w:r>
      <w:r>
        <w:rPr>
          <w:spacing w:val="-12"/>
          <w:w w:val="105"/>
        </w:rPr>
        <w:t> </w:t>
      </w:r>
      <w:r>
        <w:rPr>
          <w:w w:val="105"/>
        </w:rPr>
        <w:t>scheduled.</w:t>
      </w:r>
    </w:p>
    <w:p>
      <w:pPr>
        <w:pStyle w:val="BodyText"/>
        <w:spacing w:line="220" w:lineRule="exact" w:before="224"/>
        <w:ind w:left="115" w:right="107"/>
        <w:jc w:val="both"/>
      </w:pPr>
      <w:r>
        <w:rPr>
          <w:spacing w:val="-3"/>
          <w:w w:val="105"/>
        </w:rPr>
        <w:t>Agency</w:t>
      </w:r>
      <w:r>
        <w:rPr>
          <w:spacing w:val="-5"/>
          <w:w w:val="105"/>
        </w:rPr>
        <w:t> </w:t>
      </w:r>
      <w:r>
        <w:rPr>
          <w:w w:val="105"/>
        </w:rPr>
        <w:t>commissions</w:t>
      </w:r>
      <w:r>
        <w:rPr>
          <w:spacing w:val="-9"/>
          <w:w w:val="105"/>
        </w:rPr>
        <w:t> </w:t>
      </w:r>
      <w:r>
        <w:rPr>
          <w:w w:val="105"/>
        </w:rPr>
        <w:t>per</w:t>
      </w:r>
      <w:r>
        <w:rPr>
          <w:spacing w:val="-7"/>
          <w:w w:val="105"/>
        </w:rPr>
        <w:t> </w:t>
      </w:r>
      <w:r>
        <w:rPr>
          <w:spacing w:val="-5"/>
          <w:w w:val="105"/>
        </w:rPr>
        <w:t>ASM</w:t>
      </w:r>
      <w:r>
        <w:rPr>
          <w:spacing w:val="-7"/>
          <w:w w:val="105"/>
        </w:rPr>
        <w:t> </w:t>
      </w:r>
      <w:r>
        <w:rPr>
          <w:spacing w:val="-3"/>
          <w:w w:val="105"/>
        </w:rPr>
        <w:t>decreased</w:t>
      </w:r>
      <w:r>
        <w:rPr>
          <w:spacing w:val="-5"/>
          <w:w w:val="105"/>
        </w:rPr>
        <w:t> </w:t>
      </w:r>
      <w:r>
        <w:rPr>
          <w:w w:val="105"/>
        </w:rPr>
        <w:t>12.5</w:t>
      </w:r>
      <w:r>
        <w:rPr>
          <w:spacing w:val="-5"/>
          <w:w w:val="105"/>
        </w:rPr>
        <w:t> </w:t>
      </w:r>
      <w:r>
        <w:rPr>
          <w:spacing w:val="-3"/>
          <w:w w:val="105"/>
        </w:rPr>
        <w:t>percent,</w:t>
      </w:r>
      <w:r>
        <w:rPr>
          <w:spacing w:val="-11"/>
          <w:w w:val="105"/>
        </w:rPr>
        <w:t> </w:t>
      </w:r>
      <w:r>
        <w:rPr>
          <w:w w:val="105"/>
        </w:rPr>
        <w:t>primarily</w:t>
      </w:r>
      <w:r>
        <w:rPr>
          <w:spacing w:val="-5"/>
          <w:w w:val="105"/>
        </w:rPr>
        <w:t> </w:t>
      </w:r>
      <w:r>
        <w:rPr>
          <w:w w:val="105"/>
        </w:rPr>
        <w:t>due</w:t>
      </w:r>
      <w:r>
        <w:rPr>
          <w:spacing w:val="-10"/>
          <w:w w:val="105"/>
        </w:rPr>
        <w:t> </w:t>
      </w:r>
      <w:r>
        <w:rPr>
          <w:w w:val="105"/>
        </w:rPr>
        <w:t>to</w:t>
      </w:r>
      <w:r>
        <w:rPr>
          <w:spacing w:val="-5"/>
          <w:w w:val="105"/>
        </w:rPr>
        <w:t> </w:t>
      </w:r>
      <w:r>
        <w:rPr>
          <w:w w:val="105"/>
        </w:rPr>
        <w:t>a</w:t>
      </w:r>
      <w:r>
        <w:rPr>
          <w:spacing w:val="-10"/>
          <w:w w:val="105"/>
        </w:rPr>
        <w:t> </w:t>
      </w:r>
      <w:r>
        <w:rPr>
          <w:w w:val="105"/>
        </w:rPr>
        <w:t>decline</w:t>
      </w:r>
      <w:r>
        <w:rPr>
          <w:spacing w:val="-14"/>
          <w:w w:val="105"/>
        </w:rPr>
        <w:t> </w:t>
      </w:r>
      <w:r>
        <w:rPr>
          <w:w w:val="105"/>
        </w:rPr>
        <w:t>in</w:t>
      </w:r>
      <w:r>
        <w:rPr>
          <w:spacing w:val="-9"/>
          <w:w w:val="105"/>
        </w:rPr>
        <w:t> </w:t>
      </w:r>
      <w:r>
        <w:rPr>
          <w:w w:val="105"/>
        </w:rPr>
        <w:t>commissionable</w:t>
      </w:r>
      <w:r>
        <w:rPr>
          <w:spacing w:val="-7"/>
          <w:w w:val="105"/>
        </w:rPr>
        <w:t> </w:t>
      </w:r>
      <w:r>
        <w:rPr>
          <w:w w:val="105"/>
        </w:rPr>
        <w:t>revenues. </w:t>
      </w:r>
      <w:r>
        <w:rPr>
          <w:spacing w:val="-2"/>
          <w:w w:val="105"/>
        </w:rPr>
        <w:t>The</w:t>
      </w:r>
      <w:r>
        <w:rPr>
          <w:spacing w:val="-19"/>
          <w:w w:val="105"/>
        </w:rPr>
        <w:t> </w:t>
      </w:r>
      <w:r>
        <w:rPr>
          <w:spacing w:val="-3"/>
          <w:w w:val="105"/>
        </w:rPr>
        <w:t>percentage</w:t>
      </w:r>
      <w:r>
        <w:rPr>
          <w:spacing w:val="-15"/>
          <w:w w:val="105"/>
        </w:rPr>
        <w:t> </w:t>
      </w:r>
      <w:r>
        <w:rPr>
          <w:w w:val="105"/>
        </w:rPr>
        <w:t>of</w:t>
      </w:r>
      <w:r>
        <w:rPr>
          <w:spacing w:val="-19"/>
          <w:w w:val="105"/>
        </w:rPr>
        <w:t> </w:t>
      </w:r>
      <w:r>
        <w:rPr>
          <w:w w:val="105"/>
        </w:rPr>
        <w:t>commissionable</w:t>
      </w:r>
      <w:r>
        <w:rPr>
          <w:spacing w:val="-22"/>
          <w:w w:val="105"/>
        </w:rPr>
        <w:t> </w:t>
      </w:r>
      <w:r>
        <w:rPr>
          <w:w w:val="105"/>
        </w:rPr>
        <w:t>revenues</w:t>
      </w:r>
      <w:r>
        <w:rPr>
          <w:spacing w:val="-17"/>
          <w:w w:val="105"/>
        </w:rPr>
        <w:t> </w:t>
      </w:r>
      <w:r>
        <w:rPr>
          <w:spacing w:val="-3"/>
          <w:w w:val="105"/>
        </w:rPr>
        <w:t>decreased</w:t>
      </w:r>
      <w:r>
        <w:rPr>
          <w:spacing w:val="-14"/>
          <w:w w:val="105"/>
        </w:rPr>
        <w:t> </w:t>
      </w:r>
      <w:r>
        <w:rPr>
          <w:w w:val="105"/>
        </w:rPr>
        <w:t>from</w:t>
      </w:r>
      <w:r>
        <w:rPr>
          <w:spacing w:val="-22"/>
          <w:w w:val="105"/>
        </w:rPr>
        <w:t> </w:t>
      </w:r>
      <w:r>
        <w:rPr>
          <w:w w:val="105"/>
        </w:rPr>
        <w:t>approximately</w:t>
      </w:r>
      <w:r>
        <w:rPr>
          <w:spacing w:val="-17"/>
          <w:w w:val="105"/>
        </w:rPr>
        <w:t> </w:t>
      </w:r>
      <w:r>
        <w:rPr>
          <w:w w:val="105"/>
        </w:rPr>
        <w:t>20</w:t>
      </w:r>
      <w:r>
        <w:rPr>
          <w:spacing w:val="-14"/>
          <w:w w:val="105"/>
        </w:rPr>
        <w:t> </w:t>
      </w:r>
      <w:r>
        <w:rPr>
          <w:spacing w:val="-3"/>
          <w:w w:val="105"/>
        </w:rPr>
        <w:t>percent</w:t>
      </w:r>
      <w:r>
        <w:rPr>
          <w:spacing w:val="-17"/>
          <w:w w:val="105"/>
        </w:rPr>
        <w:t> </w:t>
      </w:r>
      <w:r>
        <w:rPr>
          <w:w w:val="105"/>
        </w:rPr>
        <w:t>in</w:t>
      </w:r>
      <w:r>
        <w:rPr>
          <w:spacing w:val="-17"/>
          <w:w w:val="105"/>
        </w:rPr>
        <w:t> </w:t>
      </w:r>
      <w:r>
        <w:rPr>
          <w:w w:val="105"/>
        </w:rPr>
        <w:t>2002</w:t>
      </w:r>
      <w:r>
        <w:rPr>
          <w:spacing w:val="-14"/>
          <w:w w:val="105"/>
        </w:rPr>
        <w:t> </w:t>
      </w:r>
      <w:r>
        <w:rPr>
          <w:w w:val="105"/>
        </w:rPr>
        <w:t>to</w:t>
      </w:r>
      <w:r>
        <w:rPr>
          <w:spacing w:val="-17"/>
          <w:w w:val="105"/>
        </w:rPr>
        <w:t> </w:t>
      </w:r>
      <w:r>
        <w:rPr>
          <w:w w:val="105"/>
        </w:rPr>
        <w:t>approximately</w:t>
      </w:r>
    </w:p>
    <w:p>
      <w:pPr>
        <w:pStyle w:val="BodyText"/>
        <w:spacing w:line="218" w:lineRule="auto"/>
        <w:ind w:left="115" w:right="110"/>
        <w:jc w:val="both"/>
      </w:pPr>
      <w:r>
        <w:rPr>
          <w:w w:val="105"/>
        </w:rPr>
        <w:t>16 percent in 2003. Approximately 54 percent of passenger revenues in 2003 were derived through the Company’s web site at </w:t>
      </w:r>
      <w:hyperlink r:id="rId47">
        <w:r>
          <w:rPr>
            <w:w w:val="105"/>
          </w:rPr>
          <w:t>www.southwest.com</w:t>
        </w:r>
      </w:hyperlink>
      <w:r>
        <w:rPr>
          <w:w w:val="105"/>
        </w:rPr>
        <w:t> versus 49 percent in 2002. In October 2003, the Company announced it would no longer pay commissions on travel agency sales effective December 15, 2003. This change in policy is expected to save the Company approximately $40 million in 2004.</w:t>
      </w:r>
    </w:p>
    <w:p>
      <w:pPr>
        <w:pStyle w:val="BodyText"/>
        <w:spacing w:line="259" w:lineRule="auto" w:before="249"/>
        <w:ind w:left="115" w:right="108"/>
        <w:jc w:val="both"/>
      </w:pPr>
      <w:r>
        <w:rPr>
          <w:w w:val="105"/>
        </w:rPr>
        <w:t>Aircraft</w:t>
      </w:r>
      <w:r>
        <w:rPr>
          <w:spacing w:val="-7"/>
          <w:w w:val="105"/>
        </w:rPr>
        <w:t> </w:t>
      </w:r>
      <w:r>
        <w:rPr>
          <w:w w:val="105"/>
        </w:rPr>
        <w:t>rentals</w:t>
      </w:r>
      <w:r>
        <w:rPr>
          <w:spacing w:val="-7"/>
          <w:w w:val="105"/>
        </w:rPr>
        <w:t> </w:t>
      </w:r>
      <w:r>
        <w:rPr>
          <w:w w:val="105"/>
        </w:rPr>
        <w:t>per</w:t>
      </w:r>
      <w:r>
        <w:rPr>
          <w:spacing w:val="-6"/>
          <w:w w:val="105"/>
        </w:rPr>
        <w:t> </w:t>
      </w:r>
      <w:r>
        <w:rPr>
          <w:w w:val="105"/>
        </w:rPr>
        <w:t>ASM</w:t>
      </w:r>
      <w:r>
        <w:rPr>
          <w:spacing w:val="-7"/>
          <w:w w:val="105"/>
        </w:rPr>
        <w:t> </w:t>
      </w:r>
      <w:r>
        <w:rPr>
          <w:w w:val="105"/>
        </w:rPr>
        <w:t>and</w:t>
      </w:r>
      <w:r>
        <w:rPr>
          <w:spacing w:val="-6"/>
          <w:w w:val="105"/>
        </w:rPr>
        <w:t> </w:t>
      </w:r>
      <w:r>
        <w:rPr>
          <w:w w:val="105"/>
        </w:rPr>
        <w:t>depreciation</w:t>
      </w:r>
      <w:r>
        <w:rPr>
          <w:spacing w:val="-9"/>
          <w:w w:val="105"/>
        </w:rPr>
        <w:t> </w:t>
      </w:r>
      <w:r>
        <w:rPr>
          <w:w w:val="105"/>
        </w:rPr>
        <w:t>expense</w:t>
      </w:r>
      <w:r>
        <w:rPr>
          <w:spacing w:val="-11"/>
          <w:w w:val="105"/>
        </w:rPr>
        <w:t> </w:t>
      </w:r>
      <w:r>
        <w:rPr>
          <w:spacing w:val="-3"/>
          <w:w w:val="105"/>
        </w:rPr>
        <w:t>per</w:t>
      </w:r>
      <w:r>
        <w:rPr>
          <w:spacing w:val="-6"/>
          <w:w w:val="105"/>
        </w:rPr>
        <w:t> </w:t>
      </w:r>
      <w:r>
        <w:rPr>
          <w:spacing w:val="-3"/>
          <w:w w:val="105"/>
        </w:rPr>
        <w:t>ASM</w:t>
      </w:r>
      <w:r>
        <w:rPr>
          <w:spacing w:val="-11"/>
          <w:w w:val="105"/>
        </w:rPr>
        <w:t> </w:t>
      </w:r>
      <w:r>
        <w:rPr>
          <w:spacing w:val="-4"/>
          <w:w w:val="105"/>
        </w:rPr>
        <w:t>were</w:t>
      </w:r>
      <w:r>
        <w:rPr>
          <w:spacing w:val="-14"/>
          <w:w w:val="105"/>
        </w:rPr>
        <w:t> </w:t>
      </w:r>
      <w:r>
        <w:rPr>
          <w:w w:val="105"/>
        </w:rPr>
        <w:t>both</w:t>
      </w:r>
      <w:r>
        <w:rPr>
          <w:spacing w:val="-13"/>
          <w:w w:val="105"/>
        </w:rPr>
        <w:t> </w:t>
      </w:r>
      <w:r>
        <w:rPr>
          <w:w w:val="105"/>
        </w:rPr>
        <w:t>impacted</w:t>
      </w:r>
      <w:r>
        <w:rPr>
          <w:spacing w:val="-5"/>
          <w:w w:val="105"/>
        </w:rPr>
        <w:t> </w:t>
      </w:r>
      <w:r>
        <w:rPr>
          <w:w w:val="105"/>
        </w:rPr>
        <w:t>by</w:t>
      </w:r>
      <w:r>
        <w:rPr>
          <w:spacing w:val="-9"/>
          <w:w w:val="105"/>
        </w:rPr>
        <w:t> </w:t>
      </w:r>
      <w:r>
        <w:rPr>
          <w:w w:val="105"/>
        </w:rPr>
        <w:t>a</w:t>
      </w:r>
      <w:r>
        <w:rPr>
          <w:spacing w:val="-6"/>
          <w:w w:val="105"/>
        </w:rPr>
        <w:t> </w:t>
      </w:r>
      <w:r>
        <w:rPr>
          <w:w w:val="105"/>
        </w:rPr>
        <w:t>higher</w:t>
      </w:r>
      <w:r>
        <w:rPr>
          <w:spacing w:val="-7"/>
          <w:w w:val="105"/>
        </w:rPr>
        <w:t> </w:t>
      </w:r>
      <w:r>
        <w:rPr>
          <w:w w:val="105"/>
        </w:rPr>
        <w:t>percentage</w:t>
      </w:r>
      <w:r>
        <w:rPr>
          <w:spacing w:val="-7"/>
          <w:w w:val="105"/>
        </w:rPr>
        <w:t> </w:t>
      </w:r>
      <w:r>
        <w:rPr>
          <w:w w:val="105"/>
        </w:rPr>
        <w:t>of</w:t>
      </w:r>
      <w:r>
        <w:rPr>
          <w:spacing w:val="-7"/>
          <w:w w:val="105"/>
        </w:rPr>
        <w:t> </w:t>
      </w:r>
      <w:r>
        <w:rPr>
          <w:w w:val="105"/>
        </w:rPr>
        <w:t>the aircraft fleet being </w:t>
      </w:r>
      <w:r>
        <w:rPr>
          <w:spacing w:val="2"/>
          <w:w w:val="105"/>
        </w:rPr>
        <w:t>owned. </w:t>
      </w:r>
      <w:r>
        <w:rPr>
          <w:w w:val="105"/>
        </w:rPr>
        <w:t>Aircraft rentals per ASM decreased 7.4 percent while depreciation expense </w:t>
      </w:r>
      <w:r>
        <w:rPr>
          <w:spacing w:val="-3"/>
          <w:w w:val="105"/>
        </w:rPr>
        <w:t>per ASM increased </w:t>
      </w:r>
      <w:r>
        <w:rPr>
          <w:w w:val="105"/>
        </w:rPr>
        <w:t>1.9 </w:t>
      </w:r>
      <w:r>
        <w:rPr>
          <w:spacing w:val="-3"/>
          <w:w w:val="105"/>
        </w:rPr>
        <w:t>percent. </w:t>
      </w:r>
      <w:r>
        <w:rPr>
          <w:spacing w:val="-2"/>
          <w:w w:val="105"/>
        </w:rPr>
        <w:t>The </w:t>
      </w:r>
      <w:r>
        <w:rPr>
          <w:w w:val="105"/>
        </w:rPr>
        <w:t>Company </w:t>
      </w:r>
      <w:r>
        <w:rPr>
          <w:spacing w:val="-3"/>
          <w:w w:val="105"/>
        </w:rPr>
        <w:t>owns </w:t>
      </w:r>
      <w:r>
        <w:rPr>
          <w:w w:val="105"/>
        </w:rPr>
        <w:t>all 17 of the </w:t>
      </w:r>
      <w:r>
        <w:rPr>
          <w:spacing w:val="-3"/>
          <w:w w:val="105"/>
        </w:rPr>
        <w:t>aircraft </w:t>
      </w:r>
      <w:r>
        <w:rPr>
          <w:w w:val="105"/>
        </w:rPr>
        <w:t>it put into service during 2003. </w:t>
      </w:r>
      <w:r>
        <w:rPr>
          <w:spacing w:val="-3"/>
          <w:w w:val="105"/>
        </w:rPr>
        <w:t>This, </w:t>
      </w:r>
      <w:r>
        <w:rPr>
          <w:w w:val="105"/>
        </w:rPr>
        <w:t>along </w:t>
      </w:r>
      <w:r>
        <w:rPr>
          <w:spacing w:val="-3"/>
          <w:w w:val="105"/>
        </w:rPr>
        <w:t>with </w:t>
      </w:r>
      <w:r>
        <w:rPr>
          <w:w w:val="105"/>
        </w:rPr>
        <w:t>the </w:t>
      </w:r>
      <w:r>
        <w:rPr>
          <w:spacing w:val="-3"/>
          <w:w w:val="105"/>
        </w:rPr>
        <w:t>retirement </w:t>
      </w:r>
      <w:r>
        <w:rPr>
          <w:w w:val="105"/>
        </w:rPr>
        <w:t>of </w:t>
      </w:r>
      <w:r>
        <w:rPr>
          <w:spacing w:val="-3"/>
          <w:w w:val="105"/>
        </w:rPr>
        <w:t>three </w:t>
      </w:r>
      <w:r>
        <w:rPr>
          <w:w w:val="105"/>
        </w:rPr>
        <w:t>owned and one leased </w:t>
      </w:r>
      <w:r>
        <w:rPr>
          <w:spacing w:val="-3"/>
          <w:w w:val="105"/>
        </w:rPr>
        <w:t>aircraft, </w:t>
      </w:r>
      <w:r>
        <w:rPr>
          <w:w w:val="105"/>
        </w:rPr>
        <w:t>has </w:t>
      </w:r>
      <w:r>
        <w:rPr>
          <w:spacing w:val="-3"/>
          <w:w w:val="105"/>
        </w:rPr>
        <w:t>increased </w:t>
      </w:r>
      <w:r>
        <w:rPr>
          <w:w w:val="105"/>
        </w:rPr>
        <w:t>the Company’s percentage of </w:t>
      </w:r>
      <w:r>
        <w:rPr>
          <w:spacing w:val="-3"/>
          <w:w w:val="105"/>
        </w:rPr>
        <w:t>aircraft </w:t>
      </w:r>
      <w:r>
        <w:rPr>
          <w:w w:val="105"/>
        </w:rPr>
        <w:t>owned or on capital </w:t>
      </w:r>
      <w:r>
        <w:rPr>
          <w:spacing w:val="-3"/>
          <w:w w:val="105"/>
        </w:rPr>
        <w:t>lease </w:t>
      </w:r>
      <w:r>
        <w:rPr>
          <w:w w:val="105"/>
        </w:rPr>
        <w:t>to 77 percent at </w:t>
      </w:r>
      <w:r>
        <w:rPr>
          <w:spacing w:val="-4"/>
          <w:w w:val="105"/>
        </w:rPr>
        <w:t>December </w:t>
      </w:r>
      <w:r>
        <w:rPr>
          <w:w w:val="105"/>
        </w:rPr>
        <w:t>31, 2003, from 76 </w:t>
      </w:r>
      <w:r>
        <w:rPr>
          <w:spacing w:val="-3"/>
          <w:w w:val="105"/>
        </w:rPr>
        <w:t>percent at </w:t>
      </w:r>
      <w:r>
        <w:rPr>
          <w:spacing w:val="-4"/>
          <w:w w:val="105"/>
        </w:rPr>
        <w:t>December </w:t>
      </w:r>
      <w:r>
        <w:rPr>
          <w:w w:val="105"/>
        </w:rPr>
        <w:t>31, 2002. </w:t>
      </w:r>
      <w:r>
        <w:rPr>
          <w:spacing w:val="2"/>
          <w:w w:val="105"/>
        </w:rPr>
        <w:t>Based </w:t>
      </w:r>
      <w:r>
        <w:rPr>
          <w:w w:val="105"/>
        </w:rPr>
        <w:t>on the </w:t>
      </w:r>
      <w:r>
        <w:rPr>
          <w:spacing w:val="2"/>
          <w:w w:val="105"/>
        </w:rPr>
        <w:t>Company's scheduled 2004 capacity increases </w:t>
      </w:r>
      <w:r>
        <w:rPr>
          <w:w w:val="105"/>
        </w:rPr>
        <w:t>and </w:t>
      </w:r>
      <w:r>
        <w:rPr>
          <w:spacing w:val="2"/>
          <w:w w:val="105"/>
        </w:rPr>
        <w:t>aircraft financing plans, </w:t>
      </w:r>
      <w:r>
        <w:rPr>
          <w:w w:val="105"/>
        </w:rPr>
        <w:t>the </w:t>
      </w:r>
      <w:r>
        <w:rPr>
          <w:spacing w:val="3"/>
          <w:w w:val="105"/>
        </w:rPr>
        <w:t>Company </w:t>
      </w:r>
      <w:r>
        <w:rPr>
          <w:w w:val="105"/>
        </w:rPr>
        <w:t>expects</w:t>
      </w:r>
      <w:r>
        <w:rPr>
          <w:spacing w:val="-12"/>
          <w:w w:val="105"/>
        </w:rPr>
        <w:t> </w:t>
      </w:r>
      <w:r>
        <w:rPr>
          <w:w w:val="105"/>
        </w:rPr>
        <w:t>a</w:t>
      </w:r>
      <w:r>
        <w:rPr>
          <w:spacing w:val="-12"/>
          <w:w w:val="105"/>
        </w:rPr>
        <w:t> </w:t>
      </w:r>
      <w:r>
        <w:rPr>
          <w:w w:val="105"/>
        </w:rPr>
        <w:t>decline</w:t>
      </w:r>
      <w:r>
        <w:rPr>
          <w:spacing w:val="-12"/>
          <w:w w:val="105"/>
        </w:rPr>
        <w:t> </w:t>
      </w:r>
      <w:r>
        <w:rPr>
          <w:w w:val="105"/>
        </w:rPr>
        <w:t>in</w:t>
      </w:r>
      <w:r>
        <w:rPr>
          <w:spacing w:val="-12"/>
          <w:w w:val="105"/>
        </w:rPr>
        <w:t> </w:t>
      </w:r>
      <w:r>
        <w:rPr>
          <w:w w:val="105"/>
        </w:rPr>
        <w:t>aircraft</w:t>
      </w:r>
      <w:r>
        <w:rPr>
          <w:spacing w:val="-12"/>
          <w:w w:val="105"/>
        </w:rPr>
        <w:t> </w:t>
      </w:r>
      <w:r>
        <w:rPr>
          <w:w w:val="105"/>
        </w:rPr>
        <w:t>rental</w:t>
      </w:r>
      <w:r>
        <w:rPr>
          <w:spacing w:val="-12"/>
          <w:w w:val="105"/>
        </w:rPr>
        <w:t> </w:t>
      </w:r>
      <w:r>
        <w:rPr>
          <w:w w:val="105"/>
        </w:rPr>
        <w:t>expense</w:t>
      </w:r>
      <w:r>
        <w:rPr>
          <w:spacing w:val="-12"/>
          <w:w w:val="105"/>
        </w:rPr>
        <w:t> </w:t>
      </w:r>
      <w:r>
        <w:rPr>
          <w:w w:val="105"/>
        </w:rPr>
        <w:t>per</w:t>
      </w:r>
      <w:r>
        <w:rPr>
          <w:spacing w:val="-12"/>
          <w:w w:val="105"/>
        </w:rPr>
        <w:t> </w:t>
      </w:r>
      <w:r>
        <w:rPr>
          <w:w w:val="105"/>
        </w:rPr>
        <w:t>ASM</w:t>
      </w:r>
      <w:r>
        <w:rPr>
          <w:spacing w:val="-12"/>
          <w:w w:val="105"/>
        </w:rPr>
        <w:t> </w:t>
      </w:r>
      <w:r>
        <w:rPr>
          <w:w w:val="105"/>
        </w:rPr>
        <w:t>in</w:t>
      </w:r>
      <w:r>
        <w:rPr>
          <w:spacing w:val="-12"/>
          <w:w w:val="105"/>
        </w:rPr>
        <w:t> </w:t>
      </w:r>
      <w:r>
        <w:rPr>
          <w:w w:val="105"/>
        </w:rPr>
        <w:t>2004.</w:t>
      </w:r>
    </w:p>
    <w:p>
      <w:pPr>
        <w:pStyle w:val="BodyText"/>
        <w:spacing w:line="259" w:lineRule="auto" w:before="220"/>
        <w:ind w:left="115" w:right="110"/>
        <w:jc w:val="both"/>
      </w:pPr>
      <w:r>
        <w:rPr>
          <w:spacing w:val="-3"/>
          <w:w w:val="105"/>
        </w:rPr>
        <w:t>Landing fees </w:t>
      </w:r>
      <w:r>
        <w:rPr>
          <w:w w:val="105"/>
        </w:rPr>
        <w:t>and other rentals </w:t>
      </w:r>
      <w:r>
        <w:rPr>
          <w:spacing w:val="-3"/>
          <w:w w:val="105"/>
        </w:rPr>
        <w:t>per ASM increased </w:t>
      </w:r>
      <w:r>
        <w:rPr>
          <w:w w:val="105"/>
        </w:rPr>
        <w:t>4.0 </w:t>
      </w:r>
      <w:r>
        <w:rPr>
          <w:spacing w:val="-3"/>
          <w:w w:val="105"/>
        </w:rPr>
        <w:t>percent </w:t>
      </w:r>
      <w:r>
        <w:rPr>
          <w:w w:val="105"/>
        </w:rPr>
        <w:t>primarily </w:t>
      </w:r>
      <w:r>
        <w:rPr>
          <w:spacing w:val="-3"/>
          <w:w w:val="105"/>
        </w:rPr>
        <w:t>as </w:t>
      </w:r>
      <w:r>
        <w:rPr>
          <w:w w:val="105"/>
        </w:rPr>
        <w:t>a </w:t>
      </w:r>
      <w:r>
        <w:rPr>
          <w:spacing w:val="-3"/>
          <w:w w:val="105"/>
        </w:rPr>
        <w:t>result </w:t>
      </w:r>
      <w:r>
        <w:rPr>
          <w:w w:val="105"/>
        </w:rPr>
        <w:t>of higher </w:t>
      </w:r>
      <w:r>
        <w:rPr>
          <w:spacing w:val="-3"/>
          <w:w w:val="105"/>
        </w:rPr>
        <w:t>space </w:t>
      </w:r>
      <w:r>
        <w:rPr>
          <w:w w:val="105"/>
        </w:rPr>
        <w:t>rental </w:t>
      </w:r>
      <w:r>
        <w:rPr>
          <w:spacing w:val="-3"/>
          <w:w w:val="105"/>
        </w:rPr>
        <w:t>rates </w:t>
      </w:r>
      <w:r>
        <w:rPr>
          <w:w w:val="105"/>
        </w:rPr>
        <w:t>throughout the Company’s system. </w:t>
      </w:r>
      <w:r>
        <w:rPr>
          <w:spacing w:val="-2"/>
          <w:w w:val="105"/>
        </w:rPr>
        <w:t>During </w:t>
      </w:r>
      <w:r>
        <w:rPr>
          <w:w w:val="105"/>
        </w:rPr>
        <w:t>2003, many other </w:t>
      </w:r>
      <w:r>
        <w:rPr>
          <w:spacing w:val="-3"/>
          <w:w w:val="105"/>
        </w:rPr>
        <w:t>major </w:t>
      </w:r>
      <w:r>
        <w:rPr>
          <w:w w:val="105"/>
        </w:rPr>
        <w:t>airlines reduced their flight capacity </w:t>
      </w:r>
      <w:r>
        <w:rPr>
          <w:spacing w:val="-3"/>
          <w:w w:val="105"/>
        </w:rPr>
        <w:t>at </w:t>
      </w:r>
      <w:r>
        <w:rPr>
          <w:w w:val="105"/>
        </w:rPr>
        <w:t>airports</w:t>
      </w:r>
      <w:r>
        <w:rPr>
          <w:spacing w:val="-22"/>
          <w:w w:val="105"/>
        </w:rPr>
        <w:t> </w:t>
      </w:r>
      <w:r>
        <w:rPr>
          <w:w w:val="105"/>
        </w:rPr>
        <w:t>served</w:t>
      </w:r>
      <w:r>
        <w:rPr>
          <w:spacing w:val="-19"/>
          <w:w w:val="105"/>
        </w:rPr>
        <w:t> </w:t>
      </w:r>
      <w:r>
        <w:rPr>
          <w:w w:val="105"/>
        </w:rPr>
        <w:t>by</w:t>
      </w:r>
      <w:r>
        <w:rPr>
          <w:spacing w:val="-19"/>
          <w:w w:val="105"/>
        </w:rPr>
        <w:t> </w:t>
      </w:r>
      <w:r>
        <w:rPr>
          <w:w w:val="105"/>
        </w:rPr>
        <w:t>the</w:t>
      </w:r>
      <w:r>
        <w:rPr>
          <w:spacing w:val="-20"/>
          <w:w w:val="105"/>
        </w:rPr>
        <w:t> </w:t>
      </w:r>
      <w:r>
        <w:rPr>
          <w:spacing w:val="-3"/>
          <w:w w:val="105"/>
        </w:rPr>
        <w:t>Company.</w:t>
      </w:r>
      <w:r>
        <w:rPr>
          <w:spacing w:val="15"/>
          <w:w w:val="105"/>
        </w:rPr>
        <w:t> </w:t>
      </w:r>
      <w:r>
        <w:rPr>
          <w:w w:val="105"/>
        </w:rPr>
        <w:t>Since</w:t>
      </w:r>
      <w:r>
        <w:rPr>
          <w:spacing w:val="-20"/>
          <w:w w:val="105"/>
        </w:rPr>
        <w:t> </w:t>
      </w:r>
      <w:r>
        <w:rPr>
          <w:w w:val="105"/>
        </w:rPr>
        <w:t>Southwest</w:t>
      </w:r>
      <w:r>
        <w:rPr>
          <w:spacing w:val="-22"/>
          <w:w w:val="105"/>
        </w:rPr>
        <w:t> </w:t>
      </w:r>
      <w:r>
        <w:rPr>
          <w:w w:val="105"/>
        </w:rPr>
        <w:t>did</w:t>
      </w:r>
      <w:r>
        <w:rPr>
          <w:spacing w:val="-19"/>
          <w:w w:val="105"/>
        </w:rPr>
        <w:t> </w:t>
      </w:r>
      <w:r>
        <w:rPr>
          <w:w w:val="105"/>
        </w:rPr>
        <w:t>not</w:t>
      </w:r>
      <w:r>
        <w:rPr>
          <w:spacing w:val="-22"/>
          <w:w w:val="105"/>
        </w:rPr>
        <w:t> </w:t>
      </w:r>
      <w:r>
        <w:rPr>
          <w:w w:val="105"/>
        </w:rPr>
        <w:t>reduce</w:t>
      </w:r>
      <w:r>
        <w:rPr>
          <w:spacing w:val="-20"/>
          <w:w w:val="105"/>
        </w:rPr>
        <w:t> </w:t>
      </w:r>
      <w:r>
        <w:rPr>
          <w:w w:val="105"/>
        </w:rPr>
        <w:t>its</w:t>
      </w:r>
      <w:r>
        <w:rPr>
          <w:spacing w:val="-19"/>
          <w:w w:val="105"/>
        </w:rPr>
        <w:t> </w:t>
      </w:r>
      <w:r>
        <w:rPr>
          <w:w w:val="105"/>
        </w:rPr>
        <w:t>flights,</w:t>
      </w:r>
      <w:r>
        <w:rPr>
          <w:spacing w:val="-21"/>
          <w:w w:val="105"/>
        </w:rPr>
        <w:t> </w:t>
      </w:r>
      <w:r>
        <w:rPr>
          <w:w w:val="105"/>
        </w:rPr>
        <w:t>the</w:t>
      </w:r>
      <w:r>
        <w:rPr>
          <w:spacing w:val="-23"/>
          <w:w w:val="105"/>
        </w:rPr>
        <w:t> </w:t>
      </w:r>
      <w:r>
        <w:rPr>
          <w:w w:val="105"/>
        </w:rPr>
        <w:t>Company</w:t>
      </w:r>
      <w:r>
        <w:rPr>
          <w:spacing w:val="-22"/>
          <w:w w:val="105"/>
        </w:rPr>
        <w:t> </w:t>
      </w:r>
      <w:r>
        <w:rPr>
          <w:w w:val="105"/>
        </w:rPr>
        <w:t>incurred</w:t>
      </w:r>
      <w:r>
        <w:rPr>
          <w:spacing w:val="-19"/>
          <w:w w:val="105"/>
        </w:rPr>
        <w:t> </w:t>
      </w:r>
      <w:r>
        <w:rPr>
          <w:w w:val="105"/>
        </w:rPr>
        <w:t>higher</w:t>
      </w:r>
      <w:r>
        <w:rPr>
          <w:spacing w:val="-23"/>
          <w:w w:val="105"/>
        </w:rPr>
        <w:t> </w:t>
      </w:r>
      <w:r>
        <w:rPr>
          <w:w w:val="105"/>
        </w:rPr>
        <w:t>airport costs</w:t>
      </w:r>
      <w:r>
        <w:rPr>
          <w:spacing w:val="-26"/>
          <w:w w:val="105"/>
        </w:rPr>
        <w:t> </w:t>
      </w:r>
      <w:r>
        <w:rPr>
          <w:w w:val="105"/>
        </w:rPr>
        <w:t>based</w:t>
      </w:r>
      <w:r>
        <w:rPr>
          <w:spacing w:val="-23"/>
          <w:w w:val="105"/>
        </w:rPr>
        <w:t> </w:t>
      </w:r>
      <w:r>
        <w:rPr>
          <w:w w:val="105"/>
        </w:rPr>
        <w:t>on</w:t>
      </w:r>
      <w:r>
        <w:rPr>
          <w:spacing w:val="-23"/>
          <w:w w:val="105"/>
        </w:rPr>
        <w:t> </w:t>
      </w:r>
      <w:r>
        <w:rPr>
          <w:w w:val="105"/>
        </w:rPr>
        <w:t>a</w:t>
      </w:r>
      <w:r>
        <w:rPr>
          <w:spacing w:val="-28"/>
          <w:w w:val="105"/>
        </w:rPr>
        <w:t> </w:t>
      </w:r>
      <w:r>
        <w:rPr>
          <w:w w:val="105"/>
        </w:rPr>
        <w:t>greater</w:t>
      </w:r>
      <w:r>
        <w:rPr>
          <w:spacing w:val="-28"/>
          <w:w w:val="105"/>
        </w:rPr>
        <w:t> </w:t>
      </w:r>
      <w:r>
        <w:rPr>
          <w:w w:val="105"/>
        </w:rPr>
        <w:t>relative</w:t>
      </w:r>
      <w:r>
        <w:rPr>
          <w:spacing w:val="-24"/>
          <w:w w:val="105"/>
        </w:rPr>
        <w:t> </w:t>
      </w:r>
      <w:r>
        <w:rPr>
          <w:spacing w:val="-3"/>
          <w:w w:val="105"/>
        </w:rPr>
        <w:t>share</w:t>
      </w:r>
      <w:r>
        <w:rPr>
          <w:spacing w:val="-24"/>
          <w:w w:val="105"/>
        </w:rPr>
        <w:t> </w:t>
      </w:r>
      <w:r>
        <w:rPr>
          <w:w w:val="105"/>
        </w:rPr>
        <w:t>of</w:t>
      </w:r>
      <w:r>
        <w:rPr>
          <w:spacing w:val="-24"/>
          <w:w w:val="105"/>
        </w:rPr>
        <w:t> </w:t>
      </w:r>
      <w:r>
        <w:rPr>
          <w:w w:val="105"/>
        </w:rPr>
        <w:t>total</w:t>
      </w:r>
      <w:r>
        <w:rPr>
          <w:spacing w:val="-26"/>
          <w:w w:val="105"/>
        </w:rPr>
        <w:t> </w:t>
      </w:r>
      <w:r>
        <w:rPr>
          <w:w w:val="105"/>
        </w:rPr>
        <w:t>flights</w:t>
      </w:r>
      <w:r>
        <w:rPr>
          <w:spacing w:val="-26"/>
          <w:w w:val="105"/>
        </w:rPr>
        <w:t> </w:t>
      </w:r>
      <w:r>
        <w:rPr>
          <w:w w:val="105"/>
        </w:rPr>
        <w:t>and</w:t>
      </w:r>
      <w:r>
        <w:rPr>
          <w:spacing w:val="-23"/>
          <w:w w:val="105"/>
        </w:rPr>
        <w:t> </w:t>
      </w:r>
      <w:r>
        <w:rPr>
          <w:w w:val="105"/>
        </w:rPr>
        <w:t>passengers.</w:t>
      </w:r>
    </w:p>
    <w:p>
      <w:pPr>
        <w:pStyle w:val="BodyText"/>
        <w:spacing w:line="218" w:lineRule="auto" w:before="199"/>
        <w:ind w:left="115" w:right="106"/>
        <w:jc w:val="both"/>
      </w:pPr>
      <w:r>
        <w:rPr>
          <w:w w:val="105"/>
        </w:rPr>
        <w:t>Other</w:t>
      </w:r>
      <w:r>
        <w:rPr>
          <w:spacing w:val="-17"/>
          <w:w w:val="105"/>
        </w:rPr>
        <w:t> </w:t>
      </w:r>
      <w:r>
        <w:rPr>
          <w:w w:val="105"/>
        </w:rPr>
        <w:t>operating</w:t>
      </w:r>
      <w:r>
        <w:rPr>
          <w:spacing w:val="-12"/>
          <w:w w:val="105"/>
        </w:rPr>
        <w:t> </w:t>
      </w:r>
      <w:r>
        <w:rPr>
          <w:w w:val="105"/>
        </w:rPr>
        <w:t>expenses</w:t>
      </w:r>
      <w:r>
        <w:rPr>
          <w:spacing w:val="-16"/>
          <w:w w:val="105"/>
        </w:rPr>
        <w:t> </w:t>
      </w:r>
      <w:r>
        <w:rPr>
          <w:w w:val="105"/>
        </w:rPr>
        <w:t>per</w:t>
      </w:r>
      <w:r>
        <w:rPr>
          <w:spacing w:val="-14"/>
          <w:w w:val="105"/>
        </w:rPr>
        <w:t> </w:t>
      </w:r>
      <w:r>
        <w:rPr>
          <w:spacing w:val="-3"/>
          <w:w w:val="105"/>
        </w:rPr>
        <w:t>ASM</w:t>
      </w:r>
      <w:r>
        <w:rPr>
          <w:spacing w:val="-17"/>
          <w:w w:val="105"/>
        </w:rPr>
        <w:t> </w:t>
      </w:r>
      <w:r>
        <w:rPr>
          <w:spacing w:val="-3"/>
          <w:w w:val="105"/>
        </w:rPr>
        <w:t>decreased</w:t>
      </w:r>
      <w:r>
        <w:rPr>
          <w:spacing w:val="-8"/>
          <w:w w:val="105"/>
        </w:rPr>
        <w:t> </w:t>
      </w:r>
      <w:r>
        <w:rPr>
          <w:w w:val="105"/>
        </w:rPr>
        <w:t>6.8</w:t>
      </w:r>
      <w:r>
        <w:rPr>
          <w:spacing w:val="-16"/>
          <w:w w:val="105"/>
        </w:rPr>
        <w:t> </w:t>
      </w:r>
      <w:r>
        <w:rPr>
          <w:w w:val="105"/>
        </w:rPr>
        <w:t>percent.</w:t>
      </w:r>
      <w:r>
        <w:rPr>
          <w:spacing w:val="28"/>
          <w:w w:val="105"/>
        </w:rPr>
        <w:t> </w:t>
      </w:r>
      <w:r>
        <w:rPr>
          <w:w w:val="105"/>
        </w:rPr>
        <w:t>Approximately</w:t>
      </w:r>
      <w:r>
        <w:rPr>
          <w:spacing w:val="-16"/>
          <w:w w:val="105"/>
        </w:rPr>
        <w:t> </w:t>
      </w:r>
      <w:r>
        <w:rPr>
          <w:w w:val="105"/>
        </w:rPr>
        <w:t>70</w:t>
      </w:r>
      <w:r>
        <w:rPr>
          <w:spacing w:val="-16"/>
          <w:w w:val="105"/>
        </w:rPr>
        <w:t> </w:t>
      </w:r>
      <w:r>
        <w:rPr>
          <w:w w:val="105"/>
        </w:rPr>
        <w:t>percent</w:t>
      </w:r>
      <w:r>
        <w:rPr>
          <w:spacing w:val="-16"/>
          <w:w w:val="105"/>
        </w:rPr>
        <w:t> </w:t>
      </w:r>
      <w:r>
        <w:rPr>
          <w:w w:val="105"/>
        </w:rPr>
        <w:t>of</w:t>
      </w:r>
      <w:r>
        <w:rPr>
          <w:spacing w:val="-14"/>
          <w:w w:val="105"/>
        </w:rPr>
        <w:t> </w:t>
      </w:r>
      <w:r>
        <w:rPr>
          <w:w w:val="105"/>
        </w:rPr>
        <w:t>the</w:t>
      </w:r>
      <w:r>
        <w:rPr>
          <w:spacing w:val="-10"/>
          <w:w w:val="105"/>
        </w:rPr>
        <w:t> </w:t>
      </w:r>
      <w:r>
        <w:rPr>
          <w:spacing w:val="-3"/>
          <w:w w:val="105"/>
        </w:rPr>
        <w:t>decrease</w:t>
      </w:r>
      <w:r>
        <w:rPr>
          <w:spacing w:val="-14"/>
          <w:w w:val="105"/>
        </w:rPr>
        <w:t> </w:t>
      </w:r>
      <w:r>
        <w:rPr>
          <w:spacing w:val="-3"/>
          <w:w w:val="105"/>
        </w:rPr>
        <w:t>was</w:t>
      </w:r>
      <w:r>
        <w:rPr>
          <w:spacing w:val="-12"/>
          <w:w w:val="105"/>
        </w:rPr>
        <w:t> </w:t>
      </w:r>
      <w:r>
        <w:rPr>
          <w:w w:val="105"/>
        </w:rPr>
        <w:t>due</w:t>
      </w:r>
      <w:r>
        <w:rPr>
          <w:spacing w:val="-14"/>
          <w:w w:val="105"/>
        </w:rPr>
        <w:t> </w:t>
      </w:r>
      <w:r>
        <w:rPr>
          <w:spacing w:val="-3"/>
          <w:w w:val="105"/>
        </w:rPr>
        <w:t>to </w:t>
      </w:r>
      <w:r>
        <w:rPr>
          <w:w w:val="105"/>
        </w:rPr>
        <w:t>lower aviation insurance costs. Following the September 2001 terrorist attacks, commercial aviation insurers significantly increased the premiums and reduced the amount of war-risk coverage available to commercial carriers. The federal government stepped in to provide supplemental third-party war-risk insurance coverage to commercial carriers for renewable 60-days periods, at substantially lower premiums than then-prevailing commercial rates and for levels of coverage not available in the commercial market. In November 2002, Congress passed the Homeland Security Act of 2002, which mandated the federal government provide third party, passenger, and hull war-risk insurance coverage to commercial carriers through August 31, 2003, and </w:t>
      </w:r>
      <w:r>
        <w:rPr>
          <w:spacing w:val="3"/>
          <w:w w:val="105"/>
        </w:rPr>
        <w:t>which permitted such coverage </w:t>
      </w:r>
      <w:r>
        <w:rPr>
          <w:w w:val="105"/>
        </w:rPr>
        <w:t>to be </w:t>
      </w:r>
      <w:r>
        <w:rPr>
          <w:spacing w:val="3"/>
          <w:w w:val="105"/>
        </w:rPr>
        <w:t>extended </w:t>
      </w:r>
      <w:r>
        <w:rPr>
          <w:w w:val="105"/>
        </w:rPr>
        <w:t>by </w:t>
      </w:r>
      <w:r>
        <w:rPr>
          <w:spacing w:val="2"/>
          <w:w w:val="105"/>
        </w:rPr>
        <w:t>the </w:t>
      </w:r>
      <w:r>
        <w:rPr>
          <w:spacing w:val="3"/>
          <w:w w:val="105"/>
        </w:rPr>
        <w:t>government through December </w:t>
      </w:r>
      <w:r>
        <w:rPr>
          <w:spacing w:val="2"/>
          <w:w w:val="105"/>
        </w:rPr>
        <w:t>31, </w:t>
      </w:r>
      <w:r>
        <w:rPr>
          <w:spacing w:val="3"/>
          <w:w w:val="105"/>
        </w:rPr>
        <w:t>2003. </w:t>
      </w:r>
      <w:r>
        <w:rPr>
          <w:spacing w:val="4"/>
          <w:w w:val="105"/>
        </w:rPr>
        <w:t>The </w:t>
      </w:r>
      <w:r>
        <w:rPr>
          <w:w w:val="105"/>
        </w:rPr>
        <w:t>Emergency</w:t>
      </w:r>
      <w:r>
        <w:rPr>
          <w:spacing w:val="-7"/>
          <w:w w:val="105"/>
        </w:rPr>
        <w:t> </w:t>
      </w:r>
      <w:r>
        <w:rPr>
          <w:w w:val="105"/>
        </w:rPr>
        <w:t>Wartime</w:t>
      </w:r>
      <w:r>
        <w:rPr>
          <w:spacing w:val="-7"/>
          <w:w w:val="105"/>
        </w:rPr>
        <w:t> </w:t>
      </w:r>
      <w:r>
        <w:rPr>
          <w:w w:val="105"/>
        </w:rPr>
        <w:t>Supplemental</w:t>
      </w:r>
      <w:r>
        <w:rPr>
          <w:spacing w:val="-5"/>
          <w:w w:val="105"/>
        </w:rPr>
        <w:t> </w:t>
      </w:r>
      <w:r>
        <w:rPr>
          <w:w w:val="105"/>
        </w:rPr>
        <w:t>Appropriations</w:t>
      </w:r>
      <w:r>
        <w:rPr>
          <w:spacing w:val="-5"/>
          <w:w w:val="105"/>
        </w:rPr>
        <w:t> </w:t>
      </w:r>
      <w:r>
        <w:rPr>
          <w:w w:val="105"/>
        </w:rPr>
        <w:t>Act</w:t>
      </w:r>
      <w:r>
        <w:rPr>
          <w:spacing w:val="-6"/>
          <w:w w:val="105"/>
        </w:rPr>
        <w:t> </w:t>
      </w:r>
      <w:r>
        <w:rPr>
          <w:w w:val="105"/>
        </w:rPr>
        <w:t>(see</w:t>
      </w:r>
      <w:r>
        <w:rPr>
          <w:spacing w:val="-6"/>
          <w:w w:val="105"/>
        </w:rPr>
        <w:t> </w:t>
      </w:r>
      <w:r>
        <w:rPr>
          <w:w w:val="105"/>
        </w:rPr>
        <w:t>Note</w:t>
      </w:r>
      <w:r>
        <w:rPr>
          <w:spacing w:val="-6"/>
          <w:w w:val="105"/>
        </w:rPr>
        <w:t> </w:t>
      </w:r>
      <w:r>
        <w:rPr>
          <w:w w:val="105"/>
        </w:rPr>
        <w:t>3</w:t>
      </w:r>
      <w:r>
        <w:rPr>
          <w:spacing w:val="-6"/>
          <w:w w:val="105"/>
        </w:rPr>
        <w:t> </w:t>
      </w:r>
      <w:r>
        <w:rPr>
          <w:w w:val="105"/>
        </w:rPr>
        <w:t>to</w:t>
      </w:r>
      <w:r>
        <w:rPr>
          <w:spacing w:val="-6"/>
          <w:w w:val="105"/>
        </w:rPr>
        <w:t> </w:t>
      </w:r>
      <w:r>
        <w:rPr>
          <w:w w:val="105"/>
        </w:rPr>
        <w:t>the</w:t>
      </w:r>
      <w:r>
        <w:rPr>
          <w:spacing w:val="-6"/>
          <w:w w:val="105"/>
        </w:rPr>
        <w:t> </w:t>
      </w:r>
      <w:r>
        <w:rPr>
          <w:w w:val="105"/>
        </w:rPr>
        <w:t>Consolidated</w:t>
      </w:r>
      <w:r>
        <w:rPr>
          <w:spacing w:val="-6"/>
          <w:w w:val="105"/>
        </w:rPr>
        <w:t> </w:t>
      </w:r>
      <w:r>
        <w:rPr>
          <w:w w:val="105"/>
        </w:rPr>
        <w:t>Financial</w:t>
      </w:r>
      <w:r>
        <w:rPr>
          <w:spacing w:val="-6"/>
          <w:w w:val="105"/>
        </w:rPr>
        <w:t> </w:t>
      </w:r>
      <w:r>
        <w:rPr>
          <w:w w:val="105"/>
        </w:rPr>
        <w:t>Statements) </w:t>
      </w:r>
      <w:r>
        <w:rPr>
          <w:spacing w:val="2"/>
          <w:w w:val="105"/>
        </w:rPr>
        <w:t>extended </w:t>
      </w:r>
      <w:r>
        <w:rPr>
          <w:w w:val="105"/>
        </w:rPr>
        <w:t>the </w:t>
      </w:r>
      <w:r>
        <w:rPr>
          <w:spacing w:val="2"/>
          <w:w w:val="105"/>
        </w:rPr>
        <w:t>government’s mandate </w:t>
      </w:r>
      <w:r>
        <w:rPr>
          <w:w w:val="105"/>
        </w:rPr>
        <w:t>to </w:t>
      </w:r>
      <w:r>
        <w:rPr>
          <w:spacing w:val="2"/>
          <w:w w:val="105"/>
        </w:rPr>
        <w:t>provide war-risk insurance until August </w:t>
      </w:r>
      <w:r>
        <w:rPr>
          <w:w w:val="105"/>
        </w:rPr>
        <w:t>31, </w:t>
      </w:r>
      <w:r>
        <w:rPr>
          <w:spacing w:val="2"/>
          <w:w w:val="105"/>
        </w:rPr>
        <w:t>2004, </w:t>
      </w:r>
      <w:r>
        <w:rPr>
          <w:w w:val="105"/>
        </w:rPr>
        <w:t>and </w:t>
      </w:r>
      <w:r>
        <w:rPr>
          <w:spacing w:val="3"/>
          <w:w w:val="105"/>
        </w:rPr>
        <w:t>permits </w:t>
      </w:r>
      <w:r>
        <w:rPr>
          <w:w w:val="105"/>
        </w:rPr>
        <w:t>extensions until December 31, 2004. As a result of more coverage from government insurance programs</w:t>
      </w:r>
      <w:r>
        <w:rPr>
          <w:spacing w:val="-4"/>
          <w:w w:val="105"/>
        </w:rPr>
        <w:t> </w:t>
      </w:r>
      <w:r>
        <w:rPr>
          <w:w w:val="105"/>
        </w:rPr>
        <w:t>and</w:t>
      </w:r>
    </w:p>
    <w:p>
      <w:pPr>
        <w:spacing w:after="0" w:line="218" w:lineRule="auto"/>
        <w:jc w:val="both"/>
        <w:sectPr>
          <w:pgSz w:w="12240" w:h="15840"/>
          <w:pgMar w:top="1120" w:bottom="280" w:left="1180" w:right="1180"/>
        </w:sectPr>
      </w:pPr>
    </w:p>
    <w:p>
      <w:pPr>
        <w:pStyle w:val="BodyText"/>
        <w:spacing w:line="218" w:lineRule="auto" w:before="114"/>
        <w:ind w:left="115" w:right="108"/>
        <w:jc w:val="both"/>
      </w:pPr>
      <w:bookmarkStart w:name="Results of Operations - 2002 vs. 2001" w:id="29"/>
      <w:bookmarkEnd w:id="29"/>
      <w:r>
        <w:rPr/>
      </w:r>
      <w:r>
        <w:rPr>
          <w:w w:val="105"/>
        </w:rPr>
        <w:t>a more stable aviation insurance market, the Company was able to negotiate lower 2003 aviation insurance premiums than 2002. However, aviation insurance </w:t>
      </w:r>
      <w:r>
        <w:rPr>
          <w:spacing w:val="-3"/>
          <w:w w:val="105"/>
        </w:rPr>
        <w:t>remains </w:t>
      </w:r>
      <w:r>
        <w:rPr>
          <w:w w:val="105"/>
        </w:rPr>
        <w:t>substantially higher than before </w:t>
      </w:r>
      <w:r>
        <w:rPr>
          <w:spacing w:val="-3"/>
          <w:w w:val="105"/>
        </w:rPr>
        <w:t>September </w:t>
      </w:r>
      <w:r>
        <w:rPr>
          <w:w w:val="105"/>
        </w:rPr>
        <w:t>11, 2001. </w:t>
      </w:r>
      <w:r>
        <w:rPr>
          <w:spacing w:val="-4"/>
          <w:w w:val="105"/>
        </w:rPr>
        <w:t>The </w:t>
      </w:r>
      <w:r>
        <w:rPr>
          <w:w w:val="105"/>
        </w:rPr>
        <w:t>majority of the remaining decrease in other operating expenses per </w:t>
      </w:r>
      <w:r>
        <w:rPr>
          <w:spacing w:val="-3"/>
          <w:w w:val="105"/>
        </w:rPr>
        <w:t>ASM was </w:t>
      </w:r>
      <w:r>
        <w:rPr>
          <w:w w:val="105"/>
        </w:rPr>
        <w:t>due to reductions in security costs from the transition of airport security to the federal government, and decreases in advertising and</w:t>
      </w:r>
      <w:r>
        <w:rPr>
          <w:spacing w:val="-10"/>
          <w:w w:val="105"/>
        </w:rPr>
        <w:t> </w:t>
      </w:r>
      <w:r>
        <w:rPr>
          <w:w w:val="105"/>
        </w:rPr>
        <w:t>personnel-related</w:t>
      </w:r>
      <w:r>
        <w:rPr>
          <w:spacing w:val="-11"/>
          <w:w w:val="105"/>
        </w:rPr>
        <w:t> </w:t>
      </w:r>
      <w:r>
        <w:rPr>
          <w:w w:val="105"/>
        </w:rPr>
        <w:t>expenses.</w:t>
      </w:r>
      <w:r>
        <w:rPr>
          <w:spacing w:val="44"/>
          <w:w w:val="105"/>
        </w:rPr>
        <w:t> </w:t>
      </w:r>
      <w:r>
        <w:rPr>
          <w:spacing w:val="-4"/>
          <w:w w:val="105"/>
        </w:rPr>
        <w:t>As</w:t>
      </w:r>
      <w:r>
        <w:rPr>
          <w:spacing w:val="-8"/>
          <w:w w:val="105"/>
        </w:rPr>
        <w:t> </w:t>
      </w:r>
      <w:r>
        <w:rPr>
          <w:w w:val="105"/>
        </w:rPr>
        <w:t>a</w:t>
      </w:r>
      <w:r>
        <w:rPr>
          <w:spacing w:val="-7"/>
          <w:w w:val="105"/>
        </w:rPr>
        <w:t> </w:t>
      </w:r>
      <w:r>
        <w:rPr>
          <w:w w:val="105"/>
        </w:rPr>
        <w:t>result</w:t>
      </w:r>
      <w:r>
        <w:rPr>
          <w:spacing w:val="-12"/>
          <w:w w:val="105"/>
        </w:rPr>
        <w:t> </w:t>
      </w:r>
      <w:r>
        <w:rPr>
          <w:w w:val="105"/>
        </w:rPr>
        <w:t>of</w:t>
      </w:r>
      <w:r>
        <w:rPr>
          <w:spacing w:val="-10"/>
          <w:w w:val="105"/>
        </w:rPr>
        <w:t> </w:t>
      </w:r>
      <w:r>
        <w:rPr>
          <w:w w:val="105"/>
        </w:rPr>
        <w:t>recently</w:t>
      </w:r>
      <w:r>
        <w:rPr>
          <w:spacing w:val="-8"/>
          <w:w w:val="105"/>
        </w:rPr>
        <w:t> </w:t>
      </w:r>
      <w:r>
        <w:rPr>
          <w:w w:val="105"/>
        </w:rPr>
        <w:t>concluded</w:t>
      </w:r>
      <w:r>
        <w:rPr>
          <w:spacing w:val="-5"/>
          <w:w w:val="105"/>
        </w:rPr>
        <w:t> </w:t>
      </w:r>
      <w:r>
        <w:rPr>
          <w:w w:val="105"/>
        </w:rPr>
        <w:t>negotiations</w:t>
      </w:r>
      <w:r>
        <w:rPr>
          <w:spacing w:val="-12"/>
          <w:w w:val="105"/>
        </w:rPr>
        <w:t> </w:t>
      </w:r>
      <w:r>
        <w:rPr>
          <w:w w:val="105"/>
        </w:rPr>
        <w:t>for</w:t>
      </w:r>
      <w:r>
        <w:rPr>
          <w:spacing w:val="-6"/>
          <w:w w:val="105"/>
        </w:rPr>
        <w:t> </w:t>
      </w:r>
      <w:r>
        <w:rPr>
          <w:w w:val="105"/>
        </w:rPr>
        <w:t>2004</w:t>
      </w:r>
      <w:r>
        <w:rPr>
          <w:spacing w:val="-8"/>
          <w:w w:val="105"/>
        </w:rPr>
        <w:t> </w:t>
      </w:r>
      <w:r>
        <w:rPr>
          <w:spacing w:val="-3"/>
          <w:w w:val="105"/>
        </w:rPr>
        <w:t>commercial</w:t>
      </w:r>
      <w:r>
        <w:rPr>
          <w:spacing w:val="-5"/>
          <w:w w:val="105"/>
        </w:rPr>
        <w:t> </w:t>
      </w:r>
      <w:r>
        <w:rPr>
          <w:w w:val="105"/>
        </w:rPr>
        <w:t>insurance coverage and the additional </w:t>
      </w:r>
      <w:r>
        <w:rPr>
          <w:spacing w:val="-3"/>
          <w:w w:val="105"/>
        </w:rPr>
        <w:t>coverage </w:t>
      </w:r>
      <w:r>
        <w:rPr>
          <w:w w:val="105"/>
        </w:rPr>
        <w:t>provided by the government, the Company currently expects other operating</w:t>
      </w:r>
      <w:r>
        <w:rPr>
          <w:spacing w:val="-23"/>
          <w:w w:val="105"/>
        </w:rPr>
        <w:t> </w:t>
      </w:r>
      <w:r>
        <w:rPr>
          <w:spacing w:val="-3"/>
          <w:w w:val="105"/>
        </w:rPr>
        <w:t>expenses</w:t>
      </w:r>
      <w:r>
        <w:rPr>
          <w:spacing w:val="-23"/>
          <w:w w:val="105"/>
        </w:rPr>
        <w:t> </w:t>
      </w:r>
      <w:r>
        <w:rPr>
          <w:w w:val="105"/>
        </w:rPr>
        <w:t>per</w:t>
      </w:r>
      <w:r>
        <w:rPr>
          <w:spacing w:val="-24"/>
          <w:w w:val="105"/>
        </w:rPr>
        <w:t> </w:t>
      </w:r>
      <w:r>
        <w:rPr>
          <w:spacing w:val="-5"/>
          <w:w w:val="105"/>
        </w:rPr>
        <w:t>ASM</w:t>
      </w:r>
      <w:r>
        <w:rPr>
          <w:spacing w:val="-24"/>
          <w:w w:val="105"/>
        </w:rPr>
        <w:t> </w:t>
      </w:r>
      <w:r>
        <w:rPr>
          <w:w w:val="105"/>
        </w:rPr>
        <w:t>to</w:t>
      </w:r>
      <w:r>
        <w:rPr>
          <w:spacing w:val="-25"/>
          <w:w w:val="105"/>
        </w:rPr>
        <w:t> </w:t>
      </w:r>
      <w:r>
        <w:rPr>
          <w:w w:val="105"/>
        </w:rPr>
        <w:t>decrease</w:t>
      </w:r>
      <w:r>
        <w:rPr>
          <w:spacing w:val="-24"/>
          <w:w w:val="105"/>
        </w:rPr>
        <w:t> </w:t>
      </w:r>
      <w:r>
        <w:rPr>
          <w:w w:val="105"/>
        </w:rPr>
        <w:t>again,</w:t>
      </w:r>
      <w:r>
        <w:rPr>
          <w:spacing w:val="-28"/>
          <w:w w:val="105"/>
        </w:rPr>
        <w:t> </w:t>
      </w:r>
      <w:r>
        <w:rPr>
          <w:w w:val="105"/>
        </w:rPr>
        <w:t>in</w:t>
      </w:r>
      <w:r>
        <w:rPr>
          <w:spacing w:val="-25"/>
          <w:w w:val="105"/>
        </w:rPr>
        <w:t> </w:t>
      </w:r>
      <w:r>
        <w:rPr>
          <w:w w:val="105"/>
        </w:rPr>
        <w:t>2004.</w:t>
      </w:r>
    </w:p>
    <w:p>
      <w:pPr>
        <w:pStyle w:val="BodyText"/>
        <w:tabs>
          <w:tab w:pos="1555" w:val="left" w:leader="none"/>
        </w:tabs>
        <w:spacing w:line="218" w:lineRule="auto" w:before="221"/>
        <w:ind w:left="116" w:right="108"/>
        <w:jc w:val="both"/>
      </w:pPr>
      <w:r>
        <w:rPr>
          <w:color w:val="0000FF"/>
          <w:w w:val="105"/>
        </w:rPr>
        <w:t>OTHER.</w:t>
        <w:tab/>
      </w:r>
      <w:r>
        <w:rPr>
          <w:w w:val="105"/>
        </w:rPr>
        <w:t>“Other expenses (income)” included interest expense, capitalized interest,   </w:t>
      </w:r>
      <w:r>
        <w:rPr>
          <w:spacing w:val="20"/>
          <w:w w:val="105"/>
        </w:rPr>
        <w:t> </w:t>
      </w:r>
      <w:r>
        <w:rPr>
          <w:w w:val="105"/>
        </w:rPr>
        <w:t>interest</w:t>
      </w:r>
      <w:r>
        <w:rPr>
          <w:spacing w:val="23"/>
          <w:w w:val="105"/>
        </w:rPr>
        <w:t> </w:t>
      </w:r>
      <w:r>
        <w:rPr>
          <w:w w:val="105"/>
        </w:rPr>
        <w:t>income,</w:t>
      </w:r>
      <w:r>
        <w:rPr>
          <w:spacing w:val="2"/>
          <w:w w:val="102"/>
        </w:rPr>
        <w:t> </w:t>
      </w:r>
      <w:r>
        <w:rPr>
          <w:w w:val="105"/>
        </w:rPr>
        <w:t>and other gains and losses. Interest expense decreased $15 million, or 14.2 percent, compared to the prior year, primarily due to lower effective interest rates. </w:t>
      </w:r>
      <w:r>
        <w:rPr>
          <w:spacing w:val="-2"/>
          <w:w w:val="105"/>
        </w:rPr>
        <w:t>The </w:t>
      </w:r>
      <w:r>
        <w:rPr>
          <w:w w:val="105"/>
        </w:rPr>
        <w:t>Company </w:t>
      </w:r>
      <w:r>
        <w:rPr>
          <w:spacing w:val="-3"/>
          <w:w w:val="105"/>
        </w:rPr>
        <w:t>executed </w:t>
      </w:r>
      <w:r>
        <w:rPr>
          <w:w w:val="105"/>
        </w:rPr>
        <w:t>two interest-rate </w:t>
      </w:r>
      <w:r>
        <w:rPr>
          <w:spacing w:val="-3"/>
          <w:w w:val="105"/>
        </w:rPr>
        <w:t>swaps </w:t>
      </w:r>
      <w:r>
        <w:rPr>
          <w:w w:val="105"/>
        </w:rPr>
        <w:t>in second quarter 2003 to convert a portion of its fixed-rate debt to a lower floating </w:t>
      </w:r>
      <w:r>
        <w:rPr>
          <w:spacing w:val="-3"/>
          <w:w w:val="105"/>
        </w:rPr>
        <w:t>rate. </w:t>
      </w:r>
      <w:r>
        <w:rPr>
          <w:w w:val="105"/>
        </w:rPr>
        <w:t>The Company entered into</w:t>
      </w:r>
      <w:r>
        <w:rPr>
          <w:spacing w:val="55"/>
          <w:w w:val="105"/>
        </w:rPr>
        <w:t> </w:t>
      </w:r>
      <w:r>
        <w:rPr>
          <w:w w:val="105"/>
        </w:rPr>
        <w:t>interest rate swap agreements relating to its $385 million 6.5% senior unsecured notes due March 1, 2012 and $375 million 5.496% Class A-2 pass-through certificates due November 1, 2006. See Note 10 to </w:t>
      </w:r>
      <w:r>
        <w:rPr>
          <w:spacing w:val="2"/>
          <w:w w:val="105"/>
        </w:rPr>
        <w:t>the </w:t>
      </w:r>
      <w:r>
        <w:rPr>
          <w:w w:val="105"/>
        </w:rPr>
        <w:t>Consolidated Financial Statements for more information on the Company’s hedging activities. Excluding the effect of any new debt offerings the Company may execute during 2004, the Company expects a decrease in interest expense compared to 2003, due to the full year effect of the 2003 interest rate swaps, the October</w:t>
      </w:r>
      <w:r>
        <w:rPr>
          <w:spacing w:val="55"/>
          <w:w w:val="105"/>
        </w:rPr>
        <w:t> </w:t>
      </w:r>
      <w:r>
        <w:rPr>
          <w:w w:val="105"/>
        </w:rPr>
        <w:t>2003 redemption of its $100 million senior unsecured 8 _% Notes, and the scheduled redemption of </w:t>
      </w:r>
      <w:r>
        <w:rPr>
          <w:spacing w:val="2"/>
          <w:w w:val="105"/>
        </w:rPr>
        <w:t>the </w:t>
      </w:r>
      <w:r>
        <w:rPr>
          <w:w w:val="105"/>
        </w:rPr>
        <w:t>Company’s $175 million Aircraft Secured Notes on its due date in fourth quarter 2004. Capitalized </w:t>
      </w:r>
      <w:r>
        <w:rPr>
          <w:spacing w:val="-3"/>
          <w:w w:val="105"/>
        </w:rPr>
        <w:t>interest increased </w:t>
      </w:r>
      <w:r>
        <w:rPr>
          <w:w w:val="105"/>
        </w:rPr>
        <w:t>$16 million, or 94.1 </w:t>
      </w:r>
      <w:r>
        <w:rPr>
          <w:spacing w:val="-3"/>
          <w:w w:val="105"/>
        </w:rPr>
        <w:t>percent, </w:t>
      </w:r>
      <w:r>
        <w:rPr>
          <w:w w:val="105"/>
        </w:rPr>
        <w:t>primarily </w:t>
      </w:r>
      <w:r>
        <w:rPr>
          <w:spacing w:val="-3"/>
          <w:w w:val="105"/>
        </w:rPr>
        <w:t>as </w:t>
      </w:r>
      <w:r>
        <w:rPr>
          <w:w w:val="105"/>
        </w:rPr>
        <w:t>a result of higher 2003 progress payment balances </w:t>
      </w:r>
      <w:r>
        <w:rPr>
          <w:spacing w:val="-3"/>
          <w:w w:val="105"/>
        </w:rPr>
        <w:t>for </w:t>
      </w:r>
      <w:r>
        <w:rPr>
          <w:w w:val="105"/>
        </w:rPr>
        <w:t>scheduled future </w:t>
      </w:r>
      <w:r>
        <w:rPr>
          <w:spacing w:val="-3"/>
          <w:w w:val="105"/>
        </w:rPr>
        <w:t>aircraft </w:t>
      </w:r>
      <w:r>
        <w:rPr>
          <w:w w:val="105"/>
        </w:rPr>
        <w:t>deliveries, compared to 2002. Based on the Company’s </w:t>
      </w:r>
      <w:r>
        <w:rPr>
          <w:spacing w:val="-3"/>
          <w:w w:val="105"/>
        </w:rPr>
        <w:t>current </w:t>
      </w:r>
      <w:r>
        <w:rPr>
          <w:w w:val="105"/>
        </w:rPr>
        <w:t>schedule of </w:t>
      </w:r>
      <w:r>
        <w:rPr>
          <w:spacing w:val="-3"/>
          <w:w w:val="105"/>
        </w:rPr>
        <w:t>progress </w:t>
      </w:r>
      <w:r>
        <w:rPr>
          <w:w w:val="105"/>
        </w:rPr>
        <w:t>payments and </w:t>
      </w:r>
      <w:r>
        <w:rPr>
          <w:spacing w:val="-3"/>
          <w:w w:val="105"/>
        </w:rPr>
        <w:t>aircraft </w:t>
      </w:r>
      <w:r>
        <w:rPr>
          <w:w w:val="105"/>
        </w:rPr>
        <w:t>deliveries, the Company expects progress payment balances, and </w:t>
      </w:r>
      <w:r>
        <w:rPr>
          <w:spacing w:val="-3"/>
          <w:w w:val="105"/>
        </w:rPr>
        <w:t>corresponding </w:t>
      </w:r>
      <w:r>
        <w:rPr>
          <w:w w:val="105"/>
        </w:rPr>
        <w:t>capitalized interest, to increase in 2004 </w:t>
      </w:r>
      <w:r>
        <w:rPr>
          <w:spacing w:val="-3"/>
          <w:w w:val="105"/>
        </w:rPr>
        <w:t>compared </w:t>
      </w:r>
      <w:r>
        <w:rPr>
          <w:w w:val="105"/>
        </w:rPr>
        <w:t>to 2003. Interest income </w:t>
      </w:r>
      <w:r>
        <w:rPr>
          <w:spacing w:val="-3"/>
          <w:w w:val="105"/>
        </w:rPr>
        <w:t>decreased </w:t>
      </w:r>
      <w:r>
        <w:rPr>
          <w:w w:val="105"/>
        </w:rPr>
        <w:t>$13 million, or 35.1 percent, primarily due to a </w:t>
      </w:r>
      <w:r>
        <w:rPr>
          <w:spacing w:val="-3"/>
          <w:w w:val="105"/>
        </w:rPr>
        <w:t>decrease </w:t>
      </w:r>
      <w:r>
        <w:rPr>
          <w:w w:val="105"/>
        </w:rPr>
        <w:t>in rates </w:t>
      </w:r>
      <w:r>
        <w:rPr>
          <w:spacing w:val="-3"/>
          <w:w w:val="105"/>
        </w:rPr>
        <w:t>earned </w:t>
      </w:r>
      <w:r>
        <w:rPr>
          <w:w w:val="105"/>
        </w:rPr>
        <w:t>on short-term investments. Other gains in 2003 and 2002 primarily</w:t>
      </w:r>
      <w:r>
        <w:rPr>
          <w:spacing w:val="-4"/>
          <w:w w:val="105"/>
        </w:rPr>
        <w:t> </w:t>
      </w:r>
      <w:r>
        <w:rPr>
          <w:spacing w:val="-3"/>
          <w:w w:val="105"/>
        </w:rPr>
        <w:t>resulted</w:t>
      </w:r>
      <w:r>
        <w:rPr>
          <w:spacing w:val="-4"/>
          <w:w w:val="105"/>
        </w:rPr>
        <w:t> </w:t>
      </w:r>
      <w:r>
        <w:rPr>
          <w:w w:val="105"/>
        </w:rPr>
        <w:t>from</w:t>
      </w:r>
      <w:r>
        <w:rPr>
          <w:spacing w:val="-5"/>
          <w:w w:val="105"/>
        </w:rPr>
        <w:t> </w:t>
      </w:r>
      <w:r>
        <w:rPr>
          <w:w w:val="105"/>
        </w:rPr>
        <w:t>government</w:t>
      </w:r>
      <w:r>
        <w:rPr>
          <w:spacing w:val="-4"/>
          <w:w w:val="105"/>
        </w:rPr>
        <w:t> </w:t>
      </w:r>
      <w:r>
        <w:rPr>
          <w:w w:val="105"/>
        </w:rPr>
        <w:t>grants</w:t>
      </w:r>
      <w:r>
        <w:rPr>
          <w:spacing w:val="-7"/>
          <w:w w:val="105"/>
        </w:rPr>
        <w:t> </w:t>
      </w:r>
      <w:r>
        <w:rPr>
          <w:w w:val="105"/>
        </w:rPr>
        <w:t>of</w:t>
      </w:r>
      <w:r>
        <w:rPr>
          <w:spacing w:val="-5"/>
          <w:w w:val="105"/>
        </w:rPr>
        <w:t> </w:t>
      </w:r>
      <w:r>
        <w:rPr>
          <w:w w:val="105"/>
        </w:rPr>
        <w:t>$271</w:t>
      </w:r>
      <w:r>
        <w:rPr>
          <w:spacing w:val="-4"/>
          <w:w w:val="105"/>
        </w:rPr>
        <w:t> </w:t>
      </w:r>
      <w:r>
        <w:rPr>
          <w:w w:val="105"/>
        </w:rPr>
        <w:t>million</w:t>
      </w:r>
      <w:r>
        <w:rPr>
          <w:spacing w:val="-4"/>
          <w:w w:val="105"/>
        </w:rPr>
        <w:t> </w:t>
      </w:r>
      <w:r>
        <w:rPr>
          <w:w w:val="105"/>
        </w:rPr>
        <w:t>and</w:t>
      </w:r>
      <w:r>
        <w:rPr>
          <w:spacing w:val="-7"/>
          <w:w w:val="105"/>
        </w:rPr>
        <w:t> </w:t>
      </w:r>
      <w:r>
        <w:rPr>
          <w:w w:val="105"/>
        </w:rPr>
        <w:t>$48</w:t>
      </w:r>
      <w:r>
        <w:rPr>
          <w:spacing w:val="-4"/>
          <w:w w:val="105"/>
        </w:rPr>
        <w:t> </w:t>
      </w:r>
      <w:r>
        <w:rPr>
          <w:w w:val="105"/>
        </w:rPr>
        <w:t>million,</w:t>
      </w:r>
      <w:r>
        <w:rPr>
          <w:spacing w:val="-6"/>
          <w:w w:val="105"/>
        </w:rPr>
        <w:t> </w:t>
      </w:r>
      <w:r>
        <w:rPr>
          <w:w w:val="105"/>
        </w:rPr>
        <w:t>respectively,</w:t>
      </w:r>
      <w:r>
        <w:rPr>
          <w:spacing w:val="-10"/>
          <w:w w:val="105"/>
        </w:rPr>
        <w:t> </w:t>
      </w:r>
      <w:r>
        <w:rPr>
          <w:w w:val="105"/>
        </w:rPr>
        <w:t>received</w:t>
      </w:r>
      <w:r>
        <w:rPr>
          <w:spacing w:val="-4"/>
          <w:w w:val="105"/>
        </w:rPr>
        <w:t> </w:t>
      </w:r>
      <w:r>
        <w:rPr>
          <w:w w:val="105"/>
        </w:rPr>
        <w:t>pursuant</w:t>
      </w:r>
      <w:r>
        <w:rPr>
          <w:spacing w:val="-4"/>
          <w:w w:val="105"/>
        </w:rPr>
        <w:t> </w:t>
      </w:r>
      <w:r>
        <w:rPr>
          <w:w w:val="105"/>
        </w:rPr>
        <w:t>to the </w:t>
      </w:r>
      <w:r>
        <w:rPr>
          <w:spacing w:val="-3"/>
          <w:w w:val="105"/>
        </w:rPr>
        <w:t>Wartime and </w:t>
      </w:r>
      <w:r>
        <w:rPr>
          <w:w w:val="105"/>
        </w:rPr>
        <w:t>the Stabilization </w:t>
      </w:r>
      <w:r>
        <w:rPr>
          <w:spacing w:val="-3"/>
          <w:w w:val="105"/>
        </w:rPr>
        <w:t>Acts. </w:t>
      </w:r>
      <w:r>
        <w:rPr>
          <w:w w:val="105"/>
        </w:rPr>
        <w:t>See </w:t>
      </w:r>
      <w:r>
        <w:rPr>
          <w:spacing w:val="-3"/>
          <w:w w:val="105"/>
        </w:rPr>
        <w:t>Note </w:t>
      </w:r>
      <w:r>
        <w:rPr>
          <w:w w:val="105"/>
        </w:rPr>
        <w:t>3 to the </w:t>
      </w:r>
      <w:r>
        <w:rPr>
          <w:spacing w:val="-3"/>
          <w:w w:val="105"/>
        </w:rPr>
        <w:t>Company's </w:t>
      </w:r>
      <w:r>
        <w:rPr>
          <w:w w:val="105"/>
        </w:rPr>
        <w:t>Consolidated Financial </w:t>
      </w:r>
      <w:r>
        <w:rPr>
          <w:spacing w:val="-3"/>
          <w:w w:val="105"/>
        </w:rPr>
        <w:t>Statements for </w:t>
      </w:r>
      <w:r>
        <w:rPr>
          <w:w w:val="105"/>
        </w:rPr>
        <w:t>further</w:t>
      </w:r>
      <w:r>
        <w:rPr>
          <w:spacing w:val="-29"/>
          <w:w w:val="105"/>
        </w:rPr>
        <w:t> </w:t>
      </w:r>
      <w:r>
        <w:rPr>
          <w:w w:val="105"/>
        </w:rPr>
        <w:t>discussion</w:t>
      </w:r>
      <w:r>
        <w:rPr>
          <w:spacing w:val="-28"/>
          <w:w w:val="105"/>
        </w:rPr>
        <w:t> </w:t>
      </w:r>
      <w:r>
        <w:rPr>
          <w:w w:val="105"/>
        </w:rPr>
        <w:t>of</w:t>
      </w:r>
      <w:r>
        <w:rPr>
          <w:spacing w:val="-32"/>
          <w:w w:val="105"/>
        </w:rPr>
        <w:t> </w:t>
      </w:r>
      <w:r>
        <w:rPr>
          <w:w w:val="105"/>
        </w:rPr>
        <w:t>these</w:t>
      </w:r>
      <w:r>
        <w:rPr>
          <w:spacing w:val="-29"/>
          <w:w w:val="105"/>
        </w:rPr>
        <w:t> </w:t>
      </w:r>
      <w:r>
        <w:rPr>
          <w:spacing w:val="-3"/>
          <w:w w:val="105"/>
        </w:rPr>
        <w:t>Acts.</w:t>
      </w:r>
    </w:p>
    <w:p>
      <w:pPr>
        <w:pStyle w:val="BodyText"/>
        <w:tabs>
          <w:tab w:pos="2275" w:val="left" w:leader="none"/>
        </w:tabs>
        <w:spacing w:line="231" w:lineRule="exact" w:before="199"/>
        <w:ind w:left="116"/>
        <w:jc w:val="both"/>
      </w:pPr>
      <w:r>
        <w:rPr>
          <w:color w:val="0000FF"/>
          <w:spacing w:val="-4"/>
          <w:w w:val="105"/>
        </w:rPr>
        <w:t>INCOME</w:t>
      </w:r>
      <w:r>
        <w:rPr>
          <w:color w:val="0000FF"/>
          <w:spacing w:val="-18"/>
          <w:w w:val="105"/>
        </w:rPr>
        <w:t> </w:t>
      </w:r>
      <w:r>
        <w:rPr>
          <w:color w:val="0000FF"/>
          <w:spacing w:val="-5"/>
          <w:w w:val="105"/>
        </w:rPr>
        <w:t>TAXES</w:t>
      </w:r>
      <w:r>
        <w:rPr>
          <w:i/>
          <w:color w:val="0000FF"/>
          <w:spacing w:val="-5"/>
          <w:w w:val="105"/>
        </w:rPr>
        <w:t>.</w:t>
        <w:tab/>
      </w:r>
      <w:r>
        <w:rPr>
          <w:spacing w:val="-2"/>
          <w:w w:val="105"/>
        </w:rPr>
        <w:t>The </w:t>
      </w:r>
      <w:r>
        <w:rPr>
          <w:w w:val="105"/>
        </w:rPr>
        <w:t>provision for income taxes, </w:t>
      </w:r>
      <w:r>
        <w:rPr>
          <w:spacing w:val="-3"/>
          <w:w w:val="105"/>
        </w:rPr>
        <w:t>as </w:t>
      </w:r>
      <w:r>
        <w:rPr>
          <w:w w:val="105"/>
        </w:rPr>
        <w:t>a percentage of income before taxes, </w:t>
      </w:r>
      <w:r>
        <w:rPr>
          <w:spacing w:val="-3"/>
          <w:w w:val="105"/>
        </w:rPr>
        <w:t>decreased</w:t>
      </w:r>
      <w:r>
        <w:rPr>
          <w:spacing w:val="18"/>
          <w:w w:val="105"/>
        </w:rPr>
        <w:t> </w:t>
      </w:r>
      <w:r>
        <w:rPr>
          <w:w w:val="105"/>
        </w:rPr>
        <w:t>to</w:t>
      </w:r>
    </w:p>
    <w:p>
      <w:pPr>
        <w:pStyle w:val="BodyText"/>
        <w:spacing w:line="220" w:lineRule="exact" w:before="9"/>
        <w:ind w:left="116" w:right="115"/>
        <w:jc w:val="both"/>
      </w:pPr>
      <w:r>
        <w:rPr>
          <w:w w:val="105"/>
        </w:rPr>
        <w:t>37.60</w:t>
      </w:r>
      <w:r>
        <w:rPr>
          <w:spacing w:val="-12"/>
          <w:w w:val="105"/>
        </w:rPr>
        <w:t> </w:t>
      </w:r>
      <w:r>
        <w:rPr>
          <w:w w:val="105"/>
        </w:rPr>
        <w:t>percent</w:t>
      </w:r>
      <w:r>
        <w:rPr>
          <w:spacing w:val="-9"/>
          <w:w w:val="105"/>
        </w:rPr>
        <w:t> </w:t>
      </w:r>
      <w:r>
        <w:rPr>
          <w:w w:val="105"/>
        </w:rPr>
        <w:t>in</w:t>
      </w:r>
      <w:r>
        <w:rPr>
          <w:spacing w:val="-9"/>
          <w:w w:val="105"/>
        </w:rPr>
        <w:t> </w:t>
      </w:r>
      <w:r>
        <w:rPr>
          <w:w w:val="105"/>
        </w:rPr>
        <w:t>2003</w:t>
      </w:r>
      <w:r>
        <w:rPr>
          <w:spacing w:val="-9"/>
          <w:w w:val="105"/>
        </w:rPr>
        <w:t> </w:t>
      </w:r>
      <w:r>
        <w:rPr>
          <w:w w:val="105"/>
        </w:rPr>
        <w:t>from</w:t>
      </w:r>
      <w:r>
        <w:rPr>
          <w:spacing w:val="-7"/>
          <w:w w:val="105"/>
        </w:rPr>
        <w:t> </w:t>
      </w:r>
      <w:r>
        <w:rPr>
          <w:w w:val="105"/>
        </w:rPr>
        <w:t>38.64</w:t>
      </w:r>
      <w:r>
        <w:rPr>
          <w:spacing w:val="-9"/>
          <w:w w:val="105"/>
        </w:rPr>
        <w:t> </w:t>
      </w:r>
      <w:r>
        <w:rPr>
          <w:w w:val="105"/>
        </w:rPr>
        <w:t>percent</w:t>
      </w:r>
      <w:r>
        <w:rPr>
          <w:spacing w:val="-9"/>
          <w:w w:val="105"/>
        </w:rPr>
        <w:t> </w:t>
      </w:r>
      <w:r>
        <w:rPr>
          <w:w w:val="105"/>
        </w:rPr>
        <w:t>in</w:t>
      </w:r>
      <w:r>
        <w:rPr>
          <w:spacing w:val="-5"/>
          <w:w w:val="105"/>
        </w:rPr>
        <w:t> </w:t>
      </w:r>
      <w:r>
        <w:rPr>
          <w:w w:val="105"/>
        </w:rPr>
        <w:t>2002</w:t>
      </w:r>
      <w:r>
        <w:rPr>
          <w:spacing w:val="-9"/>
          <w:w w:val="105"/>
        </w:rPr>
        <w:t> </w:t>
      </w:r>
      <w:r>
        <w:rPr>
          <w:w w:val="105"/>
        </w:rPr>
        <w:t>due</w:t>
      </w:r>
      <w:r>
        <w:rPr>
          <w:spacing w:val="-6"/>
          <w:w w:val="105"/>
        </w:rPr>
        <w:t> </w:t>
      </w:r>
      <w:r>
        <w:rPr>
          <w:w w:val="105"/>
        </w:rPr>
        <w:t>to</w:t>
      </w:r>
      <w:r>
        <w:rPr>
          <w:spacing w:val="-5"/>
          <w:w w:val="105"/>
        </w:rPr>
        <w:t> </w:t>
      </w:r>
      <w:r>
        <w:rPr>
          <w:w w:val="105"/>
        </w:rPr>
        <w:t>higher</w:t>
      </w:r>
      <w:r>
        <w:rPr>
          <w:spacing w:val="-7"/>
          <w:w w:val="105"/>
        </w:rPr>
        <w:t> </w:t>
      </w:r>
      <w:r>
        <w:rPr>
          <w:w w:val="105"/>
        </w:rPr>
        <w:t>Company</w:t>
      </w:r>
      <w:r>
        <w:rPr>
          <w:spacing w:val="-5"/>
          <w:w w:val="105"/>
        </w:rPr>
        <w:t> </w:t>
      </w:r>
      <w:r>
        <w:rPr>
          <w:spacing w:val="-3"/>
          <w:w w:val="105"/>
        </w:rPr>
        <w:t>earnings</w:t>
      </w:r>
      <w:r>
        <w:rPr>
          <w:spacing w:val="-5"/>
          <w:w w:val="105"/>
        </w:rPr>
        <w:t> </w:t>
      </w:r>
      <w:r>
        <w:rPr>
          <w:w w:val="105"/>
        </w:rPr>
        <w:t>in</w:t>
      </w:r>
      <w:r>
        <w:rPr>
          <w:spacing w:val="-5"/>
          <w:w w:val="105"/>
        </w:rPr>
        <w:t> </w:t>
      </w:r>
      <w:r>
        <w:rPr>
          <w:w w:val="105"/>
        </w:rPr>
        <w:t>2003</w:t>
      </w:r>
      <w:r>
        <w:rPr>
          <w:spacing w:val="-5"/>
          <w:w w:val="105"/>
        </w:rPr>
        <w:t> </w:t>
      </w:r>
      <w:r>
        <w:rPr>
          <w:w w:val="105"/>
        </w:rPr>
        <w:t>and</w:t>
      </w:r>
      <w:r>
        <w:rPr>
          <w:spacing w:val="-5"/>
          <w:w w:val="105"/>
        </w:rPr>
        <w:t> </w:t>
      </w:r>
      <w:r>
        <w:rPr>
          <w:spacing w:val="-3"/>
          <w:w w:val="105"/>
        </w:rPr>
        <w:t>lower</w:t>
      </w:r>
      <w:r>
        <w:rPr>
          <w:spacing w:val="-7"/>
          <w:w w:val="105"/>
        </w:rPr>
        <w:t> </w:t>
      </w:r>
      <w:r>
        <w:rPr>
          <w:spacing w:val="-3"/>
          <w:w w:val="105"/>
        </w:rPr>
        <w:t>effective </w:t>
      </w:r>
      <w:r>
        <w:rPr>
          <w:w w:val="105"/>
        </w:rPr>
        <w:t>state</w:t>
      </w:r>
      <w:r>
        <w:rPr>
          <w:spacing w:val="-33"/>
          <w:w w:val="105"/>
        </w:rPr>
        <w:t> </w:t>
      </w:r>
      <w:r>
        <w:rPr>
          <w:w w:val="105"/>
        </w:rPr>
        <w:t>income</w:t>
      </w:r>
      <w:r>
        <w:rPr>
          <w:spacing w:val="-30"/>
          <w:w w:val="105"/>
        </w:rPr>
        <w:t> </w:t>
      </w:r>
      <w:r>
        <w:rPr>
          <w:w w:val="105"/>
        </w:rPr>
        <w:t>tax</w:t>
      </w:r>
      <w:r>
        <w:rPr>
          <w:spacing w:val="-31"/>
          <w:w w:val="105"/>
        </w:rPr>
        <w:t> </w:t>
      </w:r>
      <w:r>
        <w:rPr>
          <w:w w:val="105"/>
        </w:rPr>
        <w:t>rates.</w:t>
      </w:r>
    </w:p>
    <w:p>
      <w:pPr>
        <w:pStyle w:val="BodyText"/>
        <w:spacing w:line="218" w:lineRule="auto" w:before="218"/>
        <w:ind w:left="116" w:right="109"/>
        <w:jc w:val="both"/>
      </w:pPr>
      <w:r>
        <w:rPr>
          <w:b/>
          <w:w w:val="105"/>
        </w:rPr>
        <w:t>2002 Compared with 2001. </w:t>
      </w:r>
      <w:r>
        <w:rPr>
          <w:w w:val="105"/>
        </w:rPr>
        <w:t>The Company's consolidated net income for 2002 was $241 million ($.30 per share, diluted), as compared to 2001 net income of $511 million ($.63 per share, diluted), a decrease of $270 million or 52.8 percent. Approximately 43 percent of this decrease was due to the decrease in government grants that the Company recognized under the Stabilization Act. In 2002 and 2001, the Company recognized</w:t>
      </w:r>
    </w:p>
    <w:p>
      <w:pPr>
        <w:pStyle w:val="BodyText"/>
        <w:spacing w:line="220" w:lineRule="exact" w:before="3"/>
        <w:ind w:left="116" w:right="114"/>
        <w:jc w:val="both"/>
      </w:pPr>
      <w:r>
        <w:rPr>
          <w:w w:val="105"/>
        </w:rPr>
        <w:t>$48 million (pretax) and $235 million (pretax) in government grants under the Stabilization Act. See Note 3 to the Consolidated Financial Statements. The remainder of the decrease primarily was due to the full-year impact of the September 11, 2001 terrorist attacks on the Company and the airline industry.</w:t>
      </w:r>
    </w:p>
    <w:p>
      <w:pPr>
        <w:pStyle w:val="BodyText"/>
        <w:spacing w:line="259" w:lineRule="auto" w:before="240"/>
        <w:ind w:left="116" w:right="105"/>
        <w:jc w:val="both"/>
      </w:pPr>
      <w:r>
        <w:rPr>
          <w:w w:val="105"/>
        </w:rPr>
        <w:t>Following the September 11, 2001 terrorist attacks, all U.S. commercial flight operations were suspended for </w:t>
      </w:r>
      <w:r>
        <w:rPr>
          <w:spacing w:val="2"/>
          <w:w w:val="105"/>
        </w:rPr>
        <w:t>approximately three days. </w:t>
      </w:r>
      <w:r>
        <w:rPr>
          <w:w w:val="105"/>
        </w:rPr>
        <w:t>However, the </w:t>
      </w:r>
      <w:r>
        <w:rPr>
          <w:spacing w:val="2"/>
          <w:w w:val="105"/>
        </w:rPr>
        <w:t>Company continued </w:t>
      </w:r>
      <w:r>
        <w:rPr>
          <w:w w:val="105"/>
        </w:rPr>
        <w:t>to </w:t>
      </w:r>
      <w:r>
        <w:rPr>
          <w:spacing w:val="2"/>
          <w:w w:val="105"/>
        </w:rPr>
        <w:t>incur nearly </w:t>
      </w:r>
      <w:r>
        <w:rPr>
          <w:w w:val="105"/>
        </w:rPr>
        <w:t>all of its </w:t>
      </w:r>
      <w:r>
        <w:rPr>
          <w:spacing w:val="2"/>
          <w:w w:val="105"/>
        </w:rPr>
        <w:t>normal </w:t>
      </w:r>
      <w:r>
        <w:rPr>
          <w:spacing w:val="3"/>
          <w:w w:val="105"/>
        </w:rPr>
        <w:t>operating </w:t>
      </w:r>
      <w:r>
        <w:rPr>
          <w:w w:val="105"/>
        </w:rPr>
        <w:t>expenses (with the exception of certain direct trip-related expenditures such as fuel, landing fees, etc.). The Company canceled approximately 9,000 flights before resuming flight operations on September 14. After operations were fully resumed, load factors and passenger yields were severely depressed, and ticket refund activity increased. In addition, operating expenses in areas such as aviation insurance and security-related expenses were much higher than before. From January 2001 through the end of August 2001, the Company had earned approximately $707 million in operating income. However, for September 2001, it incurred</w:t>
      </w:r>
      <w:r>
        <w:rPr>
          <w:spacing w:val="55"/>
          <w:w w:val="105"/>
        </w:rPr>
        <w:t> </w:t>
      </w:r>
      <w:r>
        <w:rPr>
          <w:w w:val="105"/>
        </w:rPr>
        <w:t>operating losses of $113 million, and for fourth quarter 2001, operating income was $37 million. For the full year 2002, operating income was $417 million, a decrease of $214 million, or 33.9 percent compared to 2001 due to the full year impact the terrorist attacks had on airline industry revenue performance.</w:t>
      </w:r>
    </w:p>
    <w:p>
      <w:pPr>
        <w:pStyle w:val="BodyText"/>
        <w:spacing w:line="220" w:lineRule="exact" w:before="197"/>
        <w:ind w:left="115" w:right="111"/>
        <w:jc w:val="both"/>
      </w:pPr>
      <w:r>
        <w:rPr>
          <w:color w:val="0000FF"/>
          <w:w w:val="105"/>
        </w:rPr>
        <w:t>OPERATING REVENUES</w:t>
      </w:r>
      <w:r>
        <w:rPr>
          <w:i/>
          <w:color w:val="0000FF"/>
          <w:w w:val="105"/>
        </w:rPr>
        <w:t>.</w:t>
      </w:r>
      <w:r>
        <w:rPr>
          <w:i/>
          <w:color w:val="0000FF"/>
          <w:spacing w:val="5"/>
          <w:w w:val="105"/>
        </w:rPr>
        <w:t> </w:t>
      </w:r>
      <w:r>
        <w:rPr>
          <w:w w:val="105"/>
        </w:rPr>
        <w:t>Consolidated 2002 operating </w:t>
      </w:r>
      <w:r>
        <w:rPr>
          <w:spacing w:val="-3"/>
          <w:w w:val="105"/>
        </w:rPr>
        <w:t>revenues decreased </w:t>
      </w:r>
      <w:r>
        <w:rPr>
          <w:w w:val="105"/>
        </w:rPr>
        <w:t>$33 million from 2001, or .6 percent,</w:t>
      </w:r>
      <w:r>
        <w:rPr>
          <w:spacing w:val="-23"/>
          <w:w w:val="105"/>
        </w:rPr>
        <w:t> </w:t>
      </w:r>
      <w:r>
        <w:rPr>
          <w:w w:val="105"/>
        </w:rPr>
        <w:t>primarily</w:t>
      </w:r>
      <w:r>
        <w:rPr>
          <w:spacing w:val="-14"/>
          <w:w w:val="105"/>
        </w:rPr>
        <w:t> </w:t>
      </w:r>
      <w:r>
        <w:rPr>
          <w:w w:val="105"/>
        </w:rPr>
        <w:t>due</w:t>
      </w:r>
      <w:r>
        <w:rPr>
          <w:spacing w:val="-15"/>
          <w:w w:val="105"/>
        </w:rPr>
        <w:t> </w:t>
      </w:r>
      <w:r>
        <w:rPr>
          <w:w w:val="105"/>
        </w:rPr>
        <w:t>to</w:t>
      </w:r>
      <w:r>
        <w:rPr>
          <w:spacing w:val="-17"/>
          <w:w w:val="105"/>
        </w:rPr>
        <w:t> </w:t>
      </w:r>
      <w:r>
        <w:rPr>
          <w:w w:val="105"/>
        </w:rPr>
        <w:t>a</w:t>
      </w:r>
      <w:r>
        <w:rPr>
          <w:spacing w:val="-15"/>
          <w:w w:val="105"/>
        </w:rPr>
        <w:t> </w:t>
      </w:r>
      <w:r>
        <w:rPr>
          <w:w w:val="105"/>
        </w:rPr>
        <w:t>$38</w:t>
      </w:r>
      <w:r>
        <w:rPr>
          <w:spacing w:val="-14"/>
          <w:w w:val="105"/>
        </w:rPr>
        <w:t> </w:t>
      </w:r>
      <w:r>
        <w:rPr>
          <w:w w:val="105"/>
        </w:rPr>
        <w:t>million,</w:t>
      </w:r>
      <w:r>
        <w:rPr>
          <w:spacing w:val="-23"/>
          <w:w w:val="105"/>
        </w:rPr>
        <w:t> </w:t>
      </w:r>
      <w:r>
        <w:rPr>
          <w:w w:val="105"/>
        </w:rPr>
        <w:t>or</w:t>
      </w:r>
      <w:r>
        <w:rPr>
          <w:spacing w:val="-15"/>
          <w:w w:val="105"/>
        </w:rPr>
        <w:t> </w:t>
      </w:r>
      <w:r>
        <w:rPr>
          <w:spacing w:val="-3"/>
          <w:w w:val="105"/>
        </w:rPr>
        <w:t>.7</w:t>
      </w:r>
      <w:r>
        <w:rPr>
          <w:spacing w:val="-17"/>
          <w:w w:val="105"/>
        </w:rPr>
        <w:t> </w:t>
      </w:r>
      <w:r>
        <w:rPr>
          <w:spacing w:val="-3"/>
          <w:w w:val="105"/>
        </w:rPr>
        <w:t>percent,</w:t>
      </w:r>
      <w:r>
        <w:rPr>
          <w:spacing w:val="-17"/>
          <w:w w:val="105"/>
        </w:rPr>
        <w:t> </w:t>
      </w:r>
      <w:r>
        <w:rPr>
          <w:w w:val="105"/>
        </w:rPr>
        <w:t>decrease</w:t>
      </w:r>
      <w:r>
        <w:rPr>
          <w:spacing w:val="-19"/>
          <w:w w:val="105"/>
        </w:rPr>
        <w:t> </w:t>
      </w:r>
      <w:r>
        <w:rPr>
          <w:w w:val="105"/>
        </w:rPr>
        <w:t>in</w:t>
      </w:r>
      <w:r>
        <w:rPr>
          <w:spacing w:val="-17"/>
          <w:w w:val="105"/>
        </w:rPr>
        <w:t> </w:t>
      </w:r>
      <w:r>
        <w:rPr>
          <w:w w:val="105"/>
        </w:rPr>
        <w:t>passenger</w:t>
      </w:r>
      <w:r>
        <w:rPr>
          <w:spacing w:val="-19"/>
          <w:w w:val="105"/>
        </w:rPr>
        <w:t> </w:t>
      </w:r>
      <w:r>
        <w:rPr>
          <w:w w:val="105"/>
        </w:rPr>
        <w:t>revenues.</w:t>
      </w:r>
      <w:r>
        <w:rPr>
          <w:spacing w:val="21"/>
          <w:w w:val="105"/>
        </w:rPr>
        <w:t> </w:t>
      </w:r>
      <w:r>
        <w:rPr>
          <w:w w:val="105"/>
        </w:rPr>
        <w:t>The</w:t>
      </w:r>
      <w:r>
        <w:rPr>
          <w:spacing w:val="-15"/>
          <w:w w:val="105"/>
        </w:rPr>
        <w:t> </w:t>
      </w:r>
      <w:r>
        <w:rPr>
          <w:w w:val="105"/>
        </w:rPr>
        <w:t>decrease</w:t>
      </w:r>
      <w:r>
        <w:rPr>
          <w:spacing w:val="-22"/>
          <w:w w:val="105"/>
        </w:rPr>
        <w:t> </w:t>
      </w:r>
      <w:r>
        <w:rPr>
          <w:w w:val="105"/>
        </w:rPr>
        <w:t>in</w:t>
      </w:r>
      <w:r>
        <w:rPr>
          <w:spacing w:val="-17"/>
          <w:w w:val="105"/>
        </w:rPr>
        <w:t> </w:t>
      </w:r>
      <w:r>
        <w:rPr>
          <w:w w:val="105"/>
        </w:rPr>
        <w:t>passenger revenues </w:t>
      </w:r>
      <w:r>
        <w:rPr>
          <w:spacing w:val="-3"/>
          <w:w w:val="105"/>
        </w:rPr>
        <w:t>was </w:t>
      </w:r>
      <w:r>
        <w:rPr>
          <w:w w:val="105"/>
        </w:rPr>
        <w:t>primarily due to lower load factors attributable to the post-September 11, 2001 reduction </w:t>
      </w:r>
      <w:r>
        <w:rPr>
          <w:spacing w:val="-3"/>
          <w:w w:val="105"/>
        </w:rPr>
        <w:t>in </w:t>
      </w:r>
      <w:r>
        <w:rPr>
          <w:w w:val="105"/>
        </w:rPr>
        <w:t>demand</w:t>
      </w:r>
      <w:r>
        <w:rPr>
          <w:spacing w:val="-15"/>
          <w:w w:val="105"/>
        </w:rPr>
        <w:t> </w:t>
      </w:r>
      <w:r>
        <w:rPr>
          <w:spacing w:val="-3"/>
          <w:w w:val="105"/>
        </w:rPr>
        <w:t>for</w:t>
      </w:r>
      <w:r>
        <w:rPr>
          <w:spacing w:val="-13"/>
          <w:w w:val="105"/>
        </w:rPr>
        <w:t> </w:t>
      </w:r>
      <w:r>
        <w:rPr>
          <w:w w:val="105"/>
        </w:rPr>
        <w:t>air</w:t>
      </w:r>
      <w:r>
        <w:rPr>
          <w:spacing w:val="-17"/>
          <w:w w:val="105"/>
        </w:rPr>
        <w:t> </w:t>
      </w:r>
      <w:r>
        <w:rPr>
          <w:w w:val="105"/>
        </w:rPr>
        <w:t>travel.</w:t>
      </w:r>
      <w:r>
        <w:rPr>
          <w:spacing w:val="25"/>
          <w:w w:val="105"/>
        </w:rPr>
        <w:t> </w:t>
      </w:r>
      <w:r>
        <w:rPr>
          <w:spacing w:val="-2"/>
          <w:w w:val="105"/>
        </w:rPr>
        <w:t>The</w:t>
      </w:r>
      <w:r>
        <w:rPr>
          <w:spacing w:val="-13"/>
          <w:w w:val="105"/>
        </w:rPr>
        <w:t> </w:t>
      </w:r>
      <w:r>
        <w:rPr>
          <w:spacing w:val="-2"/>
          <w:w w:val="105"/>
        </w:rPr>
        <w:t>Company's</w:t>
      </w:r>
      <w:r>
        <w:rPr>
          <w:spacing w:val="-19"/>
          <w:w w:val="105"/>
        </w:rPr>
        <w:t> </w:t>
      </w:r>
      <w:r>
        <w:rPr>
          <w:w w:val="105"/>
        </w:rPr>
        <w:t>load</w:t>
      </w:r>
      <w:r>
        <w:rPr>
          <w:spacing w:val="-15"/>
          <w:w w:val="105"/>
        </w:rPr>
        <w:t> </w:t>
      </w:r>
      <w:r>
        <w:rPr>
          <w:w w:val="105"/>
        </w:rPr>
        <w:t>factor</w:t>
      </w:r>
      <w:r>
        <w:rPr>
          <w:spacing w:val="-13"/>
          <w:w w:val="105"/>
        </w:rPr>
        <w:t> </w:t>
      </w:r>
      <w:r>
        <w:rPr>
          <w:w w:val="105"/>
        </w:rPr>
        <w:t>for</w:t>
      </w:r>
      <w:r>
        <w:rPr>
          <w:spacing w:val="-20"/>
          <w:w w:val="105"/>
        </w:rPr>
        <w:t> </w:t>
      </w:r>
      <w:r>
        <w:rPr>
          <w:w w:val="105"/>
        </w:rPr>
        <w:t>2002</w:t>
      </w:r>
      <w:r>
        <w:rPr>
          <w:spacing w:val="-11"/>
          <w:w w:val="105"/>
        </w:rPr>
        <w:t> </w:t>
      </w:r>
      <w:r>
        <w:rPr>
          <w:spacing w:val="-3"/>
          <w:w w:val="105"/>
        </w:rPr>
        <w:t>was</w:t>
      </w:r>
      <w:r>
        <w:rPr>
          <w:spacing w:val="-15"/>
          <w:w w:val="105"/>
        </w:rPr>
        <w:t> </w:t>
      </w:r>
      <w:r>
        <w:rPr>
          <w:w w:val="105"/>
        </w:rPr>
        <w:t>65.9</w:t>
      </w:r>
      <w:r>
        <w:rPr>
          <w:spacing w:val="-15"/>
          <w:w w:val="105"/>
        </w:rPr>
        <w:t> </w:t>
      </w:r>
      <w:r>
        <w:rPr>
          <w:spacing w:val="-3"/>
          <w:w w:val="105"/>
        </w:rPr>
        <w:t>percent,</w:t>
      </w:r>
      <w:r>
        <w:rPr>
          <w:spacing w:val="-14"/>
          <w:w w:val="105"/>
        </w:rPr>
        <w:t> </w:t>
      </w:r>
      <w:r>
        <w:rPr>
          <w:w w:val="105"/>
        </w:rPr>
        <w:t>compared</w:t>
      </w:r>
      <w:r>
        <w:rPr>
          <w:spacing w:val="-19"/>
          <w:w w:val="105"/>
        </w:rPr>
        <w:t> </w:t>
      </w:r>
      <w:r>
        <w:rPr>
          <w:w w:val="105"/>
        </w:rPr>
        <w:t>to</w:t>
      </w:r>
      <w:r>
        <w:rPr>
          <w:spacing w:val="-15"/>
          <w:w w:val="105"/>
        </w:rPr>
        <w:t> </w:t>
      </w:r>
      <w:r>
        <w:rPr>
          <w:w w:val="105"/>
        </w:rPr>
        <w:t>68.1</w:t>
      </w:r>
      <w:r>
        <w:rPr>
          <w:spacing w:val="-19"/>
          <w:w w:val="105"/>
        </w:rPr>
        <w:t> </w:t>
      </w:r>
      <w:r>
        <w:rPr>
          <w:w w:val="105"/>
        </w:rPr>
        <w:t>percent</w:t>
      </w:r>
      <w:r>
        <w:rPr>
          <w:spacing w:val="-15"/>
          <w:w w:val="105"/>
        </w:rPr>
        <w:t> </w:t>
      </w:r>
      <w:r>
        <w:rPr>
          <w:w w:val="105"/>
        </w:rPr>
        <w:t>for</w:t>
      </w:r>
      <w:r>
        <w:rPr>
          <w:spacing w:val="-17"/>
          <w:w w:val="105"/>
        </w:rPr>
        <w:t> </w:t>
      </w:r>
      <w:r>
        <w:rPr>
          <w:w w:val="105"/>
        </w:rPr>
        <w:t>2001, resulting</w:t>
      </w:r>
      <w:r>
        <w:rPr>
          <w:spacing w:val="-9"/>
          <w:w w:val="105"/>
        </w:rPr>
        <w:t> </w:t>
      </w:r>
      <w:r>
        <w:rPr>
          <w:w w:val="105"/>
        </w:rPr>
        <w:t>from</w:t>
      </w:r>
      <w:r>
        <w:rPr>
          <w:spacing w:val="-11"/>
          <w:w w:val="105"/>
        </w:rPr>
        <w:t> </w:t>
      </w:r>
      <w:r>
        <w:rPr>
          <w:w w:val="105"/>
        </w:rPr>
        <w:t>a</w:t>
      </w:r>
      <w:r>
        <w:rPr>
          <w:spacing w:val="-19"/>
          <w:w w:val="105"/>
        </w:rPr>
        <w:t> </w:t>
      </w:r>
      <w:r>
        <w:rPr>
          <w:w w:val="105"/>
        </w:rPr>
        <w:t>capacity</w:t>
      </w:r>
      <w:r>
        <w:rPr>
          <w:spacing w:val="-9"/>
          <w:w w:val="105"/>
        </w:rPr>
        <w:t> </w:t>
      </w:r>
      <w:r>
        <w:rPr>
          <w:spacing w:val="-4"/>
          <w:w w:val="105"/>
        </w:rPr>
        <w:t>(ASM)</w:t>
      </w:r>
      <w:r>
        <w:rPr>
          <w:spacing w:val="-11"/>
          <w:w w:val="105"/>
        </w:rPr>
        <w:t> </w:t>
      </w:r>
      <w:r>
        <w:rPr>
          <w:w w:val="105"/>
        </w:rPr>
        <w:t>increase</w:t>
      </w:r>
      <w:r>
        <w:rPr>
          <w:spacing w:val="-19"/>
          <w:w w:val="105"/>
        </w:rPr>
        <w:t> </w:t>
      </w:r>
      <w:r>
        <w:rPr>
          <w:w w:val="105"/>
        </w:rPr>
        <w:t>of</w:t>
      </w:r>
      <w:r>
        <w:rPr>
          <w:spacing w:val="-11"/>
          <w:w w:val="105"/>
        </w:rPr>
        <w:t> </w:t>
      </w:r>
      <w:r>
        <w:rPr>
          <w:spacing w:val="-3"/>
          <w:w w:val="105"/>
        </w:rPr>
        <w:t>5.5</w:t>
      </w:r>
      <w:r>
        <w:rPr>
          <w:spacing w:val="-9"/>
          <w:w w:val="105"/>
        </w:rPr>
        <w:t> </w:t>
      </w:r>
      <w:r>
        <w:rPr>
          <w:spacing w:val="-3"/>
          <w:w w:val="105"/>
        </w:rPr>
        <w:t>percent</w:t>
      </w:r>
      <w:r>
        <w:rPr>
          <w:spacing w:val="-13"/>
          <w:w w:val="105"/>
        </w:rPr>
        <w:t> </w:t>
      </w:r>
      <w:r>
        <w:rPr>
          <w:w w:val="105"/>
        </w:rPr>
        <w:t>versus</w:t>
      </w:r>
      <w:r>
        <w:rPr>
          <w:spacing w:val="-9"/>
          <w:w w:val="105"/>
        </w:rPr>
        <w:t> </w:t>
      </w:r>
      <w:r>
        <w:rPr>
          <w:w w:val="105"/>
        </w:rPr>
        <w:t>a</w:t>
      </w:r>
      <w:r>
        <w:rPr>
          <w:spacing w:val="-15"/>
          <w:w w:val="105"/>
        </w:rPr>
        <w:t> </w:t>
      </w:r>
      <w:r>
        <w:rPr>
          <w:w w:val="105"/>
        </w:rPr>
        <w:t>traffic</w:t>
      </w:r>
      <w:r>
        <w:rPr>
          <w:spacing w:val="-19"/>
          <w:w w:val="105"/>
        </w:rPr>
        <w:t> </w:t>
      </w:r>
      <w:r>
        <w:rPr>
          <w:spacing w:val="-3"/>
          <w:w w:val="105"/>
        </w:rPr>
        <w:t>(RPM)</w:t>
      </w:r>
      <w:r>
        <w:rPr>
          <w:spacing w:val="-11"/>
          <w:w w:val="105"/>
        </w:rPr>
        <w:t> </w:t>
      </w:r>
      <w:r>
        <w:rPr>
          <w:spacing w:val="-3"/>
          <w:w w:val="105"/>
        </w:rPr>
        <w:t>increase</w:t>
      </w:r>
      <w:r>
        <w:rPr>
          <w:spacing w:val="-11"/>
          <w:w w:val="105"/>
        </w:rPr>
        <w:t> </w:t>
      </w:r>
      <w:r>
        <w:rPr>
          <w:w w:val="105"/>
        </w:rPr>
        <w:t>of</w:t>
      </w:r>
      <w:r>
        <w:rPr>
          <w:spacing w:val="-15"/>
          <w:w w:val="105"/>
        </w:rPr>
        <w:t> </w:t>
      </w:r>
      <w:r>
        <w:rPr>
          <w:w w:val="105"/>
        </w:rPr>
        <w:t>only</w:t>
      </w:r>
      <w:r>
        <w:rPr>
          <w:spacing w:val="-9"/>
          <w:w w:val="105"/>
        </w:rPr>
        <w:t> </w:t>
      </w:r>
      <w:r>
        <w:rPr>
          <w:w w:val="105"/>
        </w:rPr>
        <w:t>2.0</w:t>
      </w:r>
      <w:r>
        <w:rPr>
          <w:spacing w:val="-9"/>
          <w:w w:val="105"/>
        </w:rPr>
        <w:t> </w:t>
      </w:r>
      <w:r>
        <w:rPr>
          <w:spacing w:val="-3"/>
          <w:w w:val="105"/>
        </w:rPr>
        <w:t>percent.</w:t>
      </w:r>
      <w:r>
        <w:rPr>
          <w:spacing w:val="30"/>
          <w:w w:val="105"/>
        </w:rPr>
        <w:t> </w:t>
      </w:r>
      <w:r>
        <w:rPr>
          <w:spacing w:val="-3"/>
          <w:w w:val="105"/>
        </w:rPr>
        <w:t>The </w:t>
      </w:r>
      <w:r>
        <w:rPr>
          <w:w w:val="105"/>
        </w:rPr>
        <w:t>increase</w:t>
      </w:r>
      <w:r>
        <w:rPr>
          <w:spacing w:val="-24"/>
          <w:w w:val="105"/>
        </w:rPr>
        <w:t> </w:t>
      </w:r>
      <w:r>
        <w:rPr>
          <w:w w:val="105"/>
        </w:rPr>
        <w:t>in</w:t>
      </w:r>
      <w:r>
        <w:rPr>
          <w:spacing w:val="-19"/>
          <w:w w:val="105"/>
        </w:rPr>
        <w:t> </w:t>
      </w:r>
      <w:r>
        <w:rPr>
          <w:spacing w:val="-4"/>
          <w:w w:val="105"/>
        </w:rPr>
        <w:t>ASMs</w:t>
      </w:r>
      <w:r>
        <w:rPr>
          <w:spacing w:val="-22"/>
          <w:w w:val="105"/>
        </w:rPr>
        <w:t> </w:t>
      </w:r>
      <w:r>
        <w:rPr>
          <w:spacing w:val="-3"/>
          <w:w w:val="105"/>
        </w:rPr>
        <w:t>was</w:t>
      </w:r>
      <w:r>
        <w:rPr>
          <w:spacing w:val="-19"/>
          <w:w w:val="105"/>
        </w:rPr>
        <w:t> </w:t>
      </w:r>
      <w:r>
        <w:rPr>
          <w:w w:val="105"/>
        </w:rPr>
        <w:t>due</w:t>
      </w:r>
      <w:r>
        <w:rPr>
          <w:spacing w:val="-24"/>
          <w:w w:val="105"/>
        </w:rPr>
        <w:t> </w:t>
      </w:r>
      <w:r>
        <w:rPr>
          <w:w w:val="105"/>
        </w:rPr>
        <w:t>to</w:t>
      </w:r>
      <w:r>
        <w:rPr>
          <w:spacing w:val="-19"/>
          <w:w w:val="105"/>
        </w:rPr>
        <w:t> </w:t>
      </w:r>
      <w:r>
        <w:rPr>
          <w:w w:val="105"/>
        </w:rPr>
        <w:t>the</w:t>
      </w:r>
      <w:r>
        <w:rPr>
          <w:spacing w:val="-20"/>
          <w:w w:val="105"/>
        </w:rPr>
        <w:t> </w:t>
      </w:r>
      <w:r>
        <w:rPr>
          <w:w w:val="105"/>
        </w:rPr>
        <w:t>net</w:t>
      </w:r>
      <w:r>
        <w:rPr>
          <w:spacing w:val="-19"/>
          <w:w w:val="105"/>
        </w:rPr>
        <w:t> </w:t>
      </w:r>
      <w:r>
        <w:rPr>
          <w:w w:val="105"/>
        </w:rPr>
        <w:t>addition</w:t>
      </w:r>
      <w:r>
        <w:rPr>
          <w:spacing w:val="-19"/>
          <w:w w:val="105"/>
        </w:rPr>
        <w:t> </w:t>
      </w:r>
      <w:r>
        <w:rPr>
          <w:w w:val="105"/>
        </w:rPr>
        <w:t>of</w:t>
      </w:r>
      <w:r>
        <w:rPr>
          <w:spacing w:val="-20"/>
          <w:w w:val="105"/>
        </w:rPr>
        <w:t> </w:t>
      </w:r>
      <w:r>
        <w:rPr>
          <w:w w:val="105"/>
        </w:rPr>
        <w:t>20</w:t>
      </w:r>
      <w:r>
        <w:rPr>
          <w:spacing w:val="-19"/>
          <w:w w:val="105"/>
        </w:rPr>
        <w:t> </w:t>
      </w:r>
      <w:r>
        <w:rPr>
          <w:spacing w:val="-3"/>
          <w:w w:val="105"/>
        </w:rPr>
        <w:t>aircraft</w:t>
      </w:r>
      <w:r>
        <w:rPr>
          <w:spacing w:val="-19"/>
          <w:w w:val="105"/>
        </w:rPr>
        <w:t> </w:t>
      </w:r>
      <w:r>
        <w:rPr>
          <w:w w:val="105"/>
        </w:rPr>
        <w:t>during</w:t>
      </w:r>
      <w:r>
        <w:rPr>
          <w:spacing w:val="-19"/>
          <w:w w:val="105"/>
        </w:rPr>
        <w:t> </w:t>
      </w:r>
      <w:r>
        <w:rPr>
          <w:w w:val="105"/>
        </w:rPr>
        <w:t>2002</w:t>
      </w:r>
      <w:r>
        <w:rPr>
          <w:spacing w:val="-19"/>
          <w:w w:val="105"/>
        </w:rPr>
        <w:t> </w:t>
      </w:r>
      <w:r>
        <w:rPr>
          <w:w w:val="105"/>
        </w:rPr>
        <w:t>(net</w:t>
      </w:r>
      <w:r>
        <w:rPr>
          <w:spacing w:val="-19"/>
          <w:w w:val="105"/>
        </w:rPr>
        <w:t> </w:t>
      </w:r>
      <w:r>
        <w:rPr>
          <w:w w:val="105"/>
        </w:rPr>
        <w:t>of</w:t>
      </w:r>
      <w:r>
        <w:rPr>
          <w:spacing w:val="-20"/>
          <w:w w:val="105"/>
        </w:rPr>
        <w:t> </w:t>
      </w:r>
      <w:r>
        <w:rPr>
          <w:w w:val="105"/>
        </w:rPr>
        <w:t>three</w:t>
      </w:r>
      <w:r>
        <w:rPr>
          <w:spacing w:val="-24"/>
          <w:w w:val="105"/>
        </w:rPr>
        <w:t> </w:t>
      </w:r>
      <w:r>
        <w:rPr>
          <w:spacing w:val="-3"/>
          <w:w w:val="105"/>
        </w:rPr>
        <w:t>aircraft</w:t>
      </w:r>
      <w:r>
        <w:rPr>
          <w:spacing w:val="-19"/>
          <w:w w:val="105"/>
        </w:rPr>
        <w:t> </w:t>
      </w:r>
      <w:r>
        <w:rPr>
          <w:spacing w:val="-3"/>
          <w:w w:val="105"/>
        </w:rPr>
        <w:t>retirements).</w:t>
      </w:r>
    </w:p>
    <w:p>
      <w:pPr>
        <w:spacing w:after="0" w:line="220" w:lineRule="exact"/>
        <w:jc w:val="both"/>
        <w:sectPr>
          <w:pgSz w:w="12240" w:h="15840"/>
          <w:pgMar w:top="1080" w:bottom="280" w:left="1180" w:right="1180"/>
        </w:sectPr>
      </w:pPr>
    </w:p>
    <w:p>
      <w:pPr>
        <w:pStyle w:val="BodyText"/>
        <w:spacing w:line="256" w:lineRule="auto" w:before="100"/>
        <w:ind w:left="115" w:right="113"/>
        <w:jc w:val="both"/>
      </w:pPr>
      <w:r>
        <w:rPr>
          <w:w w:val="105"/>
        </w:rPr>
        <w:t>due</w:t>
      </w:r>
      <w:r>
        <w:rPr>
          <w:spacing w:val="-9"/>
          <w:w w:val="105"/>
        </w:rPr>
        <w:t> </w:t>
      </w:r>
      <w:r>
        <w:rPr>
          <w:w w:val="105"/>
        </w:rPr>
        <w:t>to</w:t>
      </w:r>
      <w:r>
        <w:rPr>
          <w:spacing w:val="-7"/>
          <w:w w:val="105"/>
        </w:rPr>
        <w:t> </w:t>
      </w:r>
      <w:r>
        <w:rPr>
          <w:spacing w:val="-3"/>
          <w:w w:val="105"/>
        </w:rPr>
        <w:t>an</w:t>
      </w:r>
      <w:r>
        <w:rPr>
          <w:spacing w:val="-7"/>
          <w:w w:val="105"/>
        </w:rPr>
        <w:t> </w:t>
      </w:r>
      <w:r>
        <w:rPr>
          <w:spacing w:val="-3"/>
          <w:w w:val="105"/>
        </w:rPr>
        <w:t>increase</w:t>
      </w:r>
      <w:r>
        <w:rPr>
          <w:spacing w:val="-9"/>
          <w:w w:val="105"/>
        </w:rPr>
        <w:t> </w:t>
      </w:r>
      <w:r>
        <w:rPr>
          <w:w w:val="105"/>
        </w:rPr>
        <w:t>in</w:t>
      </w:r>
      <w:r>
        <w:rPr>
          <w:spacing w:val="-7"/>
          <w:w w:val="105"/>
        </w:rPr>
        <w:t> </w:t>
      </w:r>
      <w:r>
        <w:rPr>
          <w:w w:val="105"/>
        </w:rPr>
        <w:t>commissions</w:t>
      </w:r>
      <w:r>
        <w:rPr>
          <w:spacing w:val="-7"/>
          <w:w w:val="105"/>
        </w:rPr>
        <w:t> </w:t>
      </w:r>
      <w:r>
        <w:rPr>
          <w:spacing w:val="-3"/>
          <w:w w:val="105"/>
        </w:rPr>
        <w:t>earned</w:t>
      </w:r>
      <w:r>
        <w:rPr>
          <w:spacing w:val="-11"/>
          <w:w w:val="105"/>
        </w:rPr>
        <w:t> </w:t>
      </w:r>
      <w:r>
        <w:rPr>
          <w:w w:val="105"/>
        </w:rPr>
        <w:t>from</w:t>
      </w:r>
      <w:r>
        <w:rPr>
          <w:spacing w:val="-13"/>
          <w:w w:val="105"/>
        </w:rPr>
        <w:t> </w:t>
      </w:r>
      <w:r>
        <w:rPr>
          <w:w w:val="105"/>
        </w:rPr>
        <w:t>programs</w:t>
      </w:r>
      <w:r>
        <w:rPr>
          <w:spacing w:val="-4"/>
          <w:w w:val="105"/>
        </w:rPr>
        <w:t> </w:t>
      </w:r>
      <w:r>
        <w:rPr>
          <w:w w:val="105"/>
        </w:rPr>
        <w:t>the</w:t>
      </w:r>
      <w:r>
        <w:rPr>
          <w:spacing w:val="-9"/>
          <w:w w:val="105"/>
        </w:rPr>
        <w:t> </w:t>
      </w:r>
      <w:r>
        <w:rPr>
          <w:spacing w:val="-3"/>
          <w:w w:val="105"/>
        </w:rPr>
        <w:t>Company</w:t>
      </w:r>
      <w:r>
        <w:rPr>
          <w:spacing w:val="-7"/>
          <w:w w:val="105"/>
        </w:rPr>
        <w:t> </w:t>
      </w:r>
      <w:r>
        <w:rPr>
          <w:w w:val="105"/>
        </w:rPr>
        <w:t>sponsors</w:t>
      </w:r>
      <w:r>
        <w:rPr>
          <w:spacing w:val="-7"/>
          <w:w w:val="105"/>
        </w:rPr>
        <w:t> </w:t>
      </w:r>
      <w:r>
        <w:rPr>
          <w:spacing w:val="-3"/>
          <w:w w:val="105"/>
        </w:rPr>
        <w:t>with</w:t>
      </w:r>
      <w:r>
        <w:rPr>
          <w:spacing w:val="-7"/>
          <w:w w:val="105"/>
        </w:rPr>
        <w:t> </w:t>
      </w:r>
      <w:r>
        <w:rPr>
          <w:w w:val="105"/>
        </w:rPr>
        <w:t>certain</w:t>
      </w:r>
      <w:r>
        <w:rPr>
          <w:spacing w:val="-11"/>
          <w:w w:val="105"/>
        </w:rPr>
        <w:t> </w:t>
      </w:r>
      <w:r>
        <w:rPr>
          <w:w w:val="105"/>
        </w:rPr>
        <w:t>business</w:t>
      </w:r>
      <w:r>
        <w:rPr>
          <w:spacing w:val="-7"/>
          <w:w w:val="105"/>
        </w:rPr>
        <w:t> </w:t>
      </w:r>
      <w:r>
        <w:rPr>
          <w:w w:val="105"/>
        </w:rPr>
        <w:t>partners, such</w:t>
      </w:r>
      <w:r>
        <w:rPr>
          <w:spacing w:val="-24"/>
          <w:w w:val="105"/>
        </w:rPr>
        <w:t> </w:t>
      </w:r>
      <w:r>
        <w:rPr>
          <w:spacing w:val="-3"/>
          <w:w w:val="105"/>
        </w:rPr>
        <w:t>as</w:t>
      </w:r>
      <w:r>
        <w:rPr>
          <w:spacing w:val="-24"/>
          <w:w w:val="105"/>
        </w:rPr>
        <w:t> </w:t>
      </w:r>
      <w:r>
        <w:rPr>
          <w:w w:val="105"/>
        </w:rPr>
        <w:t>the</w:t>
      </w:r>
      <w:r>
        <w:rPr>
          <w:spacing w:val="-25"/>
          <w:w w:val="105"/>
        </w:rPr>
        <w:t> </w:t>
      </w:r>
      <w:r>
        <w:rPr>
          <w:w w:val="105"/>
        </w:rPr>
        <w:t>Company-sponsored</w:t>
      </w:r>
      <w:r>
        <w:rPr>
          <w:spacing w:val="-26"/>
          <w:w w:val="105"/>
        </w:rPr>
        <w:t> </w:t>
      </w:r>
      <w:r>
        <w:rPr>
          <w:spacing w:val="-3"/>
          <w:w w:val="105"/>
        </w:rPr>
        <w:t>Bank</w:t>
      </w:r>
      <w:r>
        <w:rPr>
          <w:spacing w:val="-24"/>
          <w:w w:val="105"/>
        </w:rPr>
        <w:t> </w:t>
      </w:r>
      <w:r>
        <w:rPr>
          <w:spacing w:val="-3"/>
          <w:w w:val="105"/>
        </w:rPr>
        <w:t>One®</w:t>
      </w:r>
      <w:r>
        <w:rPr>
          <w:spacing w:val="-26"/>
          <w:w w:val="105"/>
        </w:rPr>
        <w:t> </w:t>
      </w:r>
      <w:r>
        <w:rPr>
          <w:spacing w:val="-3"/>
          <w:w w:val="105"/>
        </w:rPr>
        <w:t>Visa</w:t>
      </w:r>
      <w:r>
        <w:rPr>
          <w:spacing w:val="-25"/>
          <w:w w:val="105"/>
        </w:rPr>
        <w:t> </w:t>
      </w:r>
      <w:r>
        <w:rPr>
          <w:spacing w:val="-3"/>
          <w:w w:val="105"/>
        </w:rPr>
        <w:t>card.</w:t>
      </w:r>
    </w:p>
    <w:p>
      <w:pPr>
        <w:pStyle w:val="BodyText"/>
        <w:spacing w:line="259" w:lineRule="auto" w:before="227"/>
        <w:ind w:left="116" w:right="111"/>
        <w:jc w:val="both"/>
      </w:pPr>
      <w:r>
        <w:rPr>
          <w:color w:val="0000FF"/>
          <w:w w:val="105"/>
        </w:rPr>
        <w:t>OPERATING EXPENSES.</w:t>
      </w:r>
      <w:r>
        <w:rPr>
          <w:color w:val="0000FF"/>
          <w:spacing w:val="55"/>
          <w:w w:val="105"/>
        </w:rPr>
        <w:t> </w:t>
      </w:r>
      <w:r>
        <w:rPr>
          <w:spacing w:val="2"/>
          <w:w w:val="105"/>
        </w:rPr>
        <w:t>Consolidated operating expenses </w:t>
      </w:r>
      <w:r>
        <w:rPr>
          <w:w w:val="105"/>
        </w:rPr>
        <w:t>for </w:t>
      </w:r>
      <w:r>
        <w:rPr>
          <w:spacing w:val="2"/>
          <w:w w:val="105"/>
        </w:rPr>
        <w:t>2002 increased $181 million, </w:t>
      </w:r>
      <w:r>
        <w:rPr>
          <w:w w:val="105"/>
        </w:rPr>
        <w:t>or </w:t>
      </w:r>
      <w:r>
        <w:rPr>
          <w:spacing w:val="3"/>
          <w:w w:val="105"/>
        </w:rPr>
        <w:t>3.7 </w:t>
      </w:r>
      <w:r>
        <w:rPr>
          <w:w w:val="105"/>
        </w:rPr>
        <w:t>percent, compared to the 5.5 percent increase in capacity. To a large extent, changes in operating expenses for </w:t>
      </w:r>
      <w:r>
        <w:rPr>
          <w:spacing w:val="2"/>
          <w:w w:val="105"/>
        </w:rPr>
        <w:t>airlines </w:t>
      </w:r>
      <w:r>
        <w:rPr>
          <w:w w:val="105"/>
        </w:rPr>
        <w:t>are </w:t>
      </w:r>
      <w:r>
        <w:rPr>
          <w:spacing w:val="2"/>
          <w:w w:val="105"/>
        </w:rPr>
        <w:t>driven </w:t>
      </w:r>
      <w:r>
        <w:rPr>
          <w:w w:val="105"/>
        </w:rPr>
        <w:t>by </w:t>
      </w:r>
      <w:r>
        <w:rPr>
          <w:spacing w:val="2"/>
          <w:w w:val="105"/>
        </w:rPr>
        <w:t>changes </w:t>
      </w:r>
      <w:r>
        <w:rPr>
          <w:w w:val="105"/>
        </w:rPr>
        <w:t>in </w:t>
      </w:r>
      <w:r>
        <w:rPr>
          <w:spacing w:val="2"/>
          <w:w w:val="105"/>
        </w:rPr>
        <w:t>capacity, </w:t>
      </w:r>
      <w:r>
        <w:rPr>
          <w:w w:val="105"/>
        </w:rPr>
        <w:t>or ASMs. The </w:t>
      </w:r>
      <w:r>
        <w:rPr>
          <w:spacing w:val="2"/>
          <w:w w:val="105"/>
        </w:rPr>
        <w:t>following presents </w:t>
      </w:r>
      <w:r>
        <w:rPr>
          <w:w w:val="105"/>
        </w:rPr>
        <w:t>Southwest’s </w:t>
      </w:r>
      <w:r>
        <w:rPr>
          <w:spacing w:val="3"/>
          <w:w w:val="105"/>
        </w:rPr>
        <w:t>operating </w:t>
      </w:r>
      <w:r>
        <w:rPr>
          <w:w w:val="105"/>
        </w:rPr>
        <w:t>expenses</w:t>
      </w:r>
      <w:r>
        <w:rPr>
          <w:spacing w:val="-12"/>
          <w:w w:val="105"/>
        </w:rPr>
        <w:t> </w:t>
      </w:r>
      <w:r>
        <w:rPr>
          <w:w w:val="105"/>
        </w:rPr>
        <w:t>per</w:t>
      </w:r>
      <w:r>
        <w:rPr>
          <w:spacing w:val="-12"/>
          <w:w w:val="105"/>
        </w:rPr>
        <w:t> </w:t>
      </w:r>
      <w:r>
        <w:rPr>
          <w:w w:val="105"/>
        </w:rPr>
        <w:t>ASM</w:t>
      </w:r>
      <w:r>
        <w:rPr>
          <w:spacing w:val="-12"/>
          <w:w w:val="105"/>
        </w:rPr>
        <w:t> </w:t>
      </w:r>
      <w:r>
        <w:rPr>
          <w:w w:val="105"/>
        </w:rPr>
        <w:t>for</w:t>
      </w:r>
      <w:r>
        <w:rPr>
          <w:spacing w:val="-12"/>
          <w:w w:val="105"/>
        </w:rPr>
        <w:t> </w:t>
      </w:r>
      <w:r>
        <w:rPr>
          <w:w w:val="105"/>
        </w:rPr>
        <w:t>2002</w:t>
      </w:r>
      <w:r>
        <w:rPr>
          <w:spacing w:val="-12"/>
          <w:w w:val="105"/>
        </w:rPr>
        <w:t> </w:t>
      </w:r>
      <w:r>
        <w:rPr>
          <w:w w:val="105"/>
        </w:rPr>
        <w:t>and</w:t>
      </w:r>
      <w:r>
        <w:rPr>
          <w:spacing w:val="-12"/>
          <w:w w:val="105"/>
        </w:rPr>
        <w:t> </w:t>
      </w:r>
      <w:r>
        <w:rPr>
          <w:w w:val="105"/>
        </w:rPr>
        <w:t>2001</w:t>
      </w:r>
      <w:r>
        <w:rPr>
          <w:spacing w:val="-12"/>
          <w:w w:val="105"/>
        </w:rPr>
        <w:t> </w:t>
      </w:r>
      <w:r>
        <w:rPr>
          <w:w w:val="105"/>
        </w:rPr>
        <w:t>followed</w:t>
      </w:r>
      <w:r>
        <w:rPr>
          <w:spacing w:val="-12"/>
          <w:w w:val="105"/>
        </w:rPr>
        <w:t> </w:t>
      </w:r>
      <w:r>
        <w:rPr>
          <w:w w:val="105"/>
        </w:rPr>
        <w:t>by</w:t>
      </w:r>
      <w:r>
        <w:rPr>
          <w:spacing w:val="-12"/>
          <w:w w:val="105"/>
        </w:rPr>
        <w:t> </w:t>
      </w:r>
      <w:r>
        <w:rPr>
          <w:w w:val="105"/>
        </w:rPr>
        <w:t>explanations</w:t>
      </w:r>
      <w:r>
        <w:rPr>
          <w:spacing w:val="-12"/>
          <w:w w:val="105"/>
        </w:rPr>
        <w:t> </w:t>
      </w:r>
      <w:r>
        <w:rPr>
          <w:w w:val="105"/>
        </w:rPr>
        <w:t>of</w:t>
      </w:r>
      <w:r>
        <w:rPr>
          <w:spacing w:val="-12"/>
          <w:w w:val="105"/>
        </w:rPr>
        <w:t> </w:t>
      </w:r>
      <w:r>
        <w:rPr>
          <w:w w:val="105"/>
        </w:rPr>
        <w:t>these</w:t>
      </w:r>
      <w:r>
        <w:rPr>
          <w:spacing w:val="-12"/>
          <w:w w:val="105"/>
        </w:rPr>
        <w:t> </w:t>
      </w:r>
      <w:r>
        <w:rPr>
          <w:w w:val="105"/>
        </w:rPr>
        <w:t>changes</w:t>
      </w:r>
      <w:r>
        <w:rPr>
          <w:spacing w:val="-12"/>
          <w:w w:val="105"/>
        </w:rPr>
        <w:t> </w:t>
      </w:r>
      <w:r>
        <w:rPr>
          <w:w w:val="105"/>
        </w:rPr>
        <w:t>on</w:t>
      </w:r>
      <w:r>
        <w:rPr>
          <w:spacing w:val="-12"/>
          <w:w w:val="105"/>
        </w:rPr>
        <w:t> </w:t>
      </w:r>
      <w:r>
        <w:rPr>
          <w:w w:val="105"/>
        </w:rPr>
        <w:t>a</w:t>
      </w:r>
      <w:r>
        <w:rPr>
          <w:spacing w:val="-12"/>
          <w:w w:val="105"/>
        </w:rPr>
        <w:t> </w:t>
      </w:r>
      <w:r>
        <w:rPr>
          <w:w w:val="105"/>
        </w:rPr>
        <w:t>per</w:t>
      </w:r>
      <w:r>
        <w:rPr>
          <w:spacing w:val="-12"/>
          <w:w w:val="105"/>
        </w:rPr>
        <w:t> </w:t>
      </w:r>
      <w:r>
        <w:rPr>
          <w:w w:val="105"/>
        </w:rPr>
        <w:t>ASM</w:t>
      </w:r>
      <w:r>
        <w:rPr>
          <w:spacing w:val="-12"/>
          <w:w w:val="105"/>
        </w:rPr>
        <w:t> </w:t>
      </w:r>
      <w:r>
        <w:rPr>
          <w:w w:val="105"/>
        </w:rPr>
        <w:t>basis:</w:t>
      </w:r>
    </w:p>
    <w:p>
      <w:pPr>
        <w:pStyle w:val="BodyText"/>
        <w:spacing w:before="8" w:after="1"/>
        <w:rPr>
          <w:sz w:val="17"/>
        </w:rPr>
      </w:pPr>
    </w:p>
    <w:tbl>
      <w:tblPr>
        <w:tblW w:w="0" w:type="auto"/>
        <w:jc w:val="left"/>
        <w:tblInd w:w="12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998"/>
        <w:gridCol w:w="1331"/>
        <w:gridCol w:w="886"/>
        <w:gridCol w:w="257"/>
        <w:gridCol w:w="1414"/>
        <w:gridCol w:w="1299"/>
      </w:tblGrid>
      <w:tr>
        <w:trPr>
          <w:trHeight w:val="605" w:hRule="exact"/>
        </w:trPr>
        <w:tc>
          <w:tcPr>
            <w:tcW w:w="5330" w:type="dxa"/>
            <w:gridSpan w:val="2"/>
            <w:tcBorders>
              <w:top w:val="single" w:sz="8" w:space="0" w:color="000000"/>
              <w:bottom w:val="single" w:sz="8" w:space="0" w:color="000000"/>
            </w:tcBorders>
          </w:tcPr>
          <w:p>
            <w:pPr>
              <w:pStyle w:val="TableParagraph"/>
              <w:spacing w:before="3"/>
              <w:rPr>
                <w:rFonts w:ascii="Times New Roman"/>
                <w:sz w:val="25"/>
              </w:rPr>
            </w:pPr>
          </w:p>
          <w:p>
            <w:pPr>
              <w:pStyle w:val="TableParagraph"/>
              <w:ind w:right="517"/>
              <w:jc w:val="right"/>
              <w:rPr>
                <w:rFonts w:ascii="Arial Black"/>
                <w:b/>
                <w:sz w:val="22"/>
              </w:rPr>
            </w:pPr>
            <w:r>
              <w:rPr>
                <w:rFonts w:ascii="Arial Black"/>
                <w:b/>
                <w:sz w:val="22"/>
              </w:rPr>
              <w:t>2002</w:t>
            </w:r>
          </w:p>
        </w:tc>
        <w:tc>
          <w:tcPr>
            <w:tcW w:w="886" w:type="dxa"/>
            <w:tcBorders>
              <w:top w:val="single" w:sz="8" w:space="0" w:color="000000"/>
              <w:bottom w:val="single" w:sz="8" w:space="0" w:color="000000"/>
            </w:tcBorders>
          </w:tcPr>
          <w:p>
            <w:pPr>
              <w:pStyle w:val="TableParagraph"/>
              <w:spacing w:before="2"/>
              <w:rPr>
                <w:rFonts w:ascii="Times New Roman"/>
                <w:sz w:val="27"/>
              </w:rPr>
            </w:pPr>
          </w:p>
          <w:p>
            <w:pPr>
              <w:pStyle w:val="TableParagraph"/>
              <w:ind w:left="99"/>
              <w:rPr>
                <w:rFonts w:ascii="Tahoma"/>
                <w:sz w:val="22"/>
              </w:rPr>
            </w:pPr>
            <w:r>
              <w:rPr>
                <w:rFonts w:ascii="Tahoma"/>
                <w:w w:val="120"/>
                <w:sz w:val="22"/>
              </w:rPr>
              <w:t>2001</w:t>
            </w:r>
          </w:p>
        </w:tc>
        <w:tc>
          <w:tcPr>
            <w:tcW w:w="1671" w:type="dxa"/>
            <w:gridSpan w:val="2"/>
            <w:tcBorders>
              <w:top w:val="single" w:sz="8" w:space="0" w:color="000000"/>
              <w:bottom w:val="single" w:sz="8" w:space="0" w:color="000000"/>
            </w:tcBorders>
          </w:tcPr>
          <w:p>
            <w:pPr>
              <w:pStyle w:val="TableParagraph"/>
              <w:spacing w:line="273" w:lineRule="auto" w:before="10"/>
              <w:ind w:left="269" w:right="246" w:firstLine="138"/>
              <w:rPr>
                <w:rFonts w:ascii="Tahoma"/>
                <w:sz w:val="22"/>
              </w:rPr>
            </w:pPr>
            <w:r>
              <w:rPr>
                <w:rFonts w:ascii="Tahoma"/>
                <w:w w:val="110"/>
                <w:sz w:val="22"/>
              </w:rPr>
              <w:t>Increase (decrease)</w:t>
            </w:r>
          </w:p>
        </w:tc>
        <w:tc>
          <w:tcPr>
            <w:tcW w:w="1299" w:type="dxa"/>
            <w:tcBorders>
              <w:top w:val="single" w:sz="8" w:space="0" w:color="000000"/>
              <w:bottom w:val="single" w:sz="8" w:space="0" w:color="000000"/>
            </w:tcBorders>
          </w:tcPr>
          <w:p>
            <w:pPr>
              <w:pStyle w:val="TableParagraph"/>
              <w:spacing w:line="273" w:lineRule="auto" w:before="10"/>
              <w:ind w:left="120" w:right="380" w:hanging="24"/>
              <w:rPr>
                <w:rFonts w:ascii="Tahoma"/>
                <w:sz w:val="22"/>
              </w:rPr>
            </w:pPr>
            <w:r>
              <w:rPr>
                <w:rFonts w:ascii="Tahoma"/>
                <w:w w:val="110"/>
                <w:sz w:val="22"/>
              </w:rPr>
              <w:t>Percent change</w:t>
            </w:r>
          </w:p>
        </w:tc>
      </w:tr>
      <w:tr>
        <w:trPr>
          <w:trHeight w:val="473" w:hRule="exact"/>
        </w:trPr>
        <w:tc>
          <w:tcPr>
            <w:tcW w:w="3998" w:type="dxa"/>
          </w:tcPr>
          <w:p>
            <w:pPr>
              <w:pStyle w:val="TableParagraph"/>
              <w:spacing w:before="178"/>
              <w:ind w:left="48"/>
              <w:rPr>
                <w:rFonts w:ascii="Tahoma"/>
                <w:sz w:val="22"/>
              </w:rPr>
            </w:pPr>
            <w:r>
              <w:rPr>
                <w:rFonts w:ascii="Tahoma"/>
                <w:w w:val="110"/>
                <w:sz w:val="22"/>
              </w:rPr>
              <w:t>Salaries, wages, and benefits</w:t>
            </w:r>
          </w:p>
        </w:tc>
        <w:tc>
          <w:tcPr>
            <w:tcW w:w="1331" w:type="dxa"/>
          </w:tcPr>
          <w:p>
            <w:pPr>
              <w:pStyle w:val="TableParagraph"/>
              <w:spacing w:before="156"/>
              <w:ind w:left="355"/>
              <w:rPr>
                <w:rFonts w:ascii="Tahoma" w:hAnsi="Tahoma"/>
                <w:sz w:val="22"/>
              </w:rPr>
            </w:pPr>
            <w:r>
              <w:rPr>
                <w:rFonts w:ascii="Tahoma" w:hAnsi="Tahoma"/>
                <w:w w:val="110"/>
                <w:sz w:val="22"/>
              </w:rPr>
              <w:t>2</w:t>
            </w:r>
            <w:r>
              <w:rPr>
                <w:rFonts w:ascii="Arial Black" w:hAnsi="Arial Black"/>
                <w:b/>
                <w:w w:val="110"/>
                <w:sz w:val="22"/>
              </w:rPr>
              <w:t>.89  </w:t>
            </w:r>
            <w:r>
              <w:rPr>
                <w:rFonts w:ascii="Tahoma" w:hAnsi="Tahoma"/>
                <w:w w:val="110"/>
                <w:sz w:val="22"/>
              </w:rPr>
              <w:t>¢</w:t>
            </w:r>
          </w:p>
        </w:tc>
        <w:tc>
          <w:tcPr>
            <w:tcW w:w="886" w:type="dxa"/>
          </w:tcPr>
          <w:p>
            <w:pPr>
              <w:pStyle w:val="TableParagraph"/>
              <w:spacing w:before="178"/>
              <w:ind w:right="97"/>
              <w:jc w:val="right"/>
              <w:rPr>
                <w:rFonts w:ascii="Tahoma"/>
                <w:sz w:val="22"/>
              </w:rPr>
            </w:pPr>
            <w:r>
              <w:rPr>
                <w:rFonts w:ascii="Tahoma"/>
                <w:w w:val="115"/>
                <w:sz w:val="22"/>
              </w:rPr>
              <w:t>2.84</w:t>
            </w:r>
          </w:p>
        </w:tc>
        <w:tc>
          <w:tcPr>
            <w:tcW w:w="257" w:type="dxa"/>
          </w:tcPr>
          <w:p>
            <w:pPr>
              <w:pStyle w:val="TableParagraph"/>
              <w:spacing w:before="178"/>
              <w:ind w:left="97"/>
              <w:rPr>
                <w:rFonts w:ascii="Tahoma" w:hAnsi="Tahoma"/>
                <w:sz w:val="22"/>
              </w:rPr>
            </w:pPr>
            <w:r>
              <w:rPr>
                <w:rFonts w:ascii="Tahoma" w:hAnsi="Tahoma"/>
                <w:w w:val="122"/>
                <w:sz w:val="22"/>
              </w:rPr>
              <w:t>¢</w:t>
            </w:r>
          </w:p>
        </w:tc>
        <w:tc>
          <w:tcPr>
            <w:tcW w:w="1414" w:type="dxa"/>
          </w:tcPr>
          <w:p>
            <w:pPr>
              <w:pStyle w:val="TableParagraph"/>
              <w:spacing w:before="178"/>
              <w:ind w:left="608"/>
              <w:rPr>
                <w:rFonts w:ascii="Tahoma" w:hAnsi="Tahoma"/>
                <w:sz w:val="22"/>
              </w:rPr>
            </w:pPr>
            <w:r>
              <w:rPr>
                <w:rFonts w:ascii="Tahoma" w:hAnsi="Tahoma"/>
                <w:w w:val="120"/>
                <w:sz w:val="22"/>
              </w:rPr>
              <w:t>.05  ¢</w:t>
            </w:r>
          </w:p>
        </w:tc>
        <w:tc>
          <w:tcPr>
            <w:tcW w:w="1299" w:type="dxa"/>
          </w:tcPr>
          <w:p>
            <w:pPr>
              <w:pStyle w:val="TableParagraph"/>
              <w:spacing w:before="178"/>
              <w:ind w:left="524"/>
              <w:rPr>
                <w:rFonts w:ascii="Tahoma"/>
                <w:sz w:val="22"/>
              </w:rPr>
            </w:pPr>
            <w:r>
              <w:rPr>
                <w:rFonts w:ascii="Tahoma"/>
                <w:w w:val="105"/>
                <w:sz w:val="22"/>
              </w:rPr>
              <w:t>1.8  %</w:t>
            </w:r>
          </w:p>
        </w:tc>
      </w:tr>
      <w:tr>
        <w:trPr>
          <w:trHeight w:val="302" w:hRule="exact"/>
        </w:trPr>
        <w:tc>
          <w:tcPr>
            <w:tcW w:w="3998" w:type="dxa"/>
          </w:tcPr>
          <w:p>
            <w:pPr>
              <w:pStyle w:val="TableParagraph"/>
              <w:spacing w:before="8"/>
              <w:ind w:left="48"/>
              <w:rPr>
                <w:rFonts w:ascii="Tahoma"/>
                <w:sz w:val="22"/>
              </w:rPr>
            </w:pPr>
            <w:r>
              <w:rPr>
                <w:rFonts w:ascii="Tahoma"/>
                <w:w w:val="105"/>
                <w:sz w:val="22"/>
              </w:rPr>
              <w:t>Fuel and oil</w:t>
            </w:r>
          </w:p>
        </w:tc>
        <w:tc>
          <w:tcPr>
            <w:tcW w:w="1331" w:type="dxa"/>
          </w:tcPr>
          <w:p>
            <w:pPr>
              <w:pStyle w:val="TableParagraph"/>
              <w:spacing w:line="297" w:lineRule="exact"/>
              <w:ind w:left="355"/>
              <w:rPr>
                <w:rFonts w:ascii="Arial Black"/>
                <w:b/>
                <w:sz w:val="22"/>
              </w:rPr>
            </w:pPr>
            <w:r>
              <w:rPr>
                <w:rFonts w:ascii="Tahoma"/>
                <w:w w:val="105"/>
                <w:sz w:val="22"/>
              </w:rPr>
              <w:t>1</w:t>
            </w:r>
            <w:r>
              <w:rPr>
                <w:rFonts w:ascii="Arial Black"/>
                <w:b/>
                <w:w w:val="105"/>
                <w:sz w:val="22"/>
              </w:rPr>
              <w:t>.11</w:t>
            </w:r>
          </w:p>
        </w:tc>
        <w:tc>
          <w:tcPr>
            <w:tcW w:w="886" w:type="dxa"/>
          </w:tcPr>
          <w:p>
            <w:pPr>
              <w:pStyle w:val="TableParagraph"/>
              <w:spacing w:before="8"/>
              <w:ind w:right="95"/>
              <w:jc w:val="right"/>
              <w:rPr>
                <w:rFonts w:ascii="Tahoma"/>
                <w:sz w:val="22"/>
              </w:rPr>
            </w:pPr>
            <w:r>
              <w:rPr>
                <w:rFonts w:ascii="Tahoma"/>
                <w:w w:val="120"/>
                <w:sz w:val="22"/>
              </w:rPr>
              <w:t>1.18</w:t>
            </w:r>
          </w:p>
        </w:tc>
        <w:tc>
          <w:tcPr>
            <w:tcW w:w="257" w:type="dxa"/>
          </w:tcPr>
          <w:p>
            <w:pPr/>
          </w:p>
        </w:tc>
        <w:tc>
          <w:tcPr>
            <w:tcW w:w="1414" w:type="dxa"/>
          </w:tcPr>
          <w:p>
            <w:pPr>
              <w:pStyle w:val="TableParagraph"/>
              <w:spacing w:before="8"/>
              <w:ind w:left="507"/>
              <w:rPr>
                <w:rFonts w:ascii="Tahoma"/>
                <w:sz w:val="22"/>
              </w:rPr>
            </w:pPr>
            <w:r>
              <w:rPr>
                <w:rFonts w:ascii="Tahoma"/>
                <w:w w:val="115"/>
                <w:sz w:val="22"/>
              </w:rPr>
              <w:t>(.07)</w:t>
            </w:r>
          </w:p>
        </w:tc>
        <w:tc>
          <w:tcPr>
            <w:tcW w:w="1299" w:type="dxa"/>
          </w:tcPr>
          <w:p>
            <w:pPr>
              <w:pStyle w:val="TableParagraph"/>
              <w:spacing w:before="8"/>
              <w:ind w:left="423"/>
              <w:rPr>
                <w:rFonts w:ascii="Tahoma"/>
                <w:sz w:val="22"/>
              </w:rPr>
            </w:pPr>
            <w:r>
              <w:rPr>
                <w:rFonts w:ascii="Tahoma"/>
                <w:w w:val="115"/>
                <w:sz w:val="22"/>
              </w:rPr>
              <w:t>(5.9)</w:t>
            </w:r>
          </w:p>
        </w:tc>
      </w:tr>
      <w:tr>
        <w:trPr>
          <w:trHeight w:val="302" w:hRule="exact"/>
        </w:trPr>
        <w:tc>
          <w:tcPr>
            <w:tcW w:w="3998" w:type="dxa"/>
          </w:tcPr>
          <w:p>
            <w:pPr>
              <w:pStyle w:val="TableParagraph"/>
              <w:spacing w:before="8"/>
              <w:ind w:left="48"/>
              <w:rPr>
                <w:rFonts w:ascii="Tahoma"/>
                <w:sz w:val="22"/>
              </w:rPr>
            </w:pPr>
            <w:r>
              <w:rPr>
                <w:rFonts w:ascii="Tahoma"/>
                <w:w w:val="110"/>
                <w:sz w:val="22"/>
              </w:rPr>
              <w:t>Maintenance materials and repairs</w:t>
            </w:r>
          </w:p>
        </w:tc>
        <w:tc>
          <w:tcPr>
            <w:tcW w:w="1331" w:type="dxa"/>
          </w:tcPr>
          <w:p>
            <w:pPr>
              <w:pStyle w:val="TableParagraph"/>
              <w:spacing w:line="297" w:lineRule="exact"/>
              <w:ind w:left="508"/>
              <w:rPr>
                <w:rFonts w:ascii="Arial Black"/>
                <w:b/>
                <w:sz w:val="22"/>
              </w:rPr>
            </w:pPr>
            <w:r>
              <w:rPr>
                <w:rFonts w:ascii="Tahoma"/>
                <w:sz w:val="22"/>
              </w:rPr>
              <w:t>.</w:t>
            </w:r>
            <w:r>
              <w:rPr>
                <w:rFonts w:ascii="Arial Black"/>
                <w:b/>
                <w:sz w:val="22"/>
              </w:rPr>
              <w:t>57</w:t>
            </w:r>
          </w:p>
        </w:tc>
        <w:tc>
          <w:tcPr>
            <w:tcW w:w="886" w:type="dxa"/>
          </w:tcPr>
          <w:p>
            <w:pPr>
              <w:pStyle w:val="TableParagraph"/>
              <w:spacing w:before="8"/>
              <w:ind w:right="95"/>
              <w:jc w:val="right"/>
              <w:rPr>
                <w:rFonts w:ascii="Tahoma"/>
                <w:sz w:val="22"/>
              </w:rPr>
            </w:pPr>
            <w:r>
              <w:rPr>
                <w:rFonts w:ascii="Tahoma"/>
                <w:w w:val="115"/>
                <w:sz w:val="22"/>
              </w:rPr>
              <w:t>.61</w:t>
            </w:r>
          </w:p>
        </w:tc>
        <w:tc>
          <w:tcPr>
            <w:tcW w:w="257" w:type="dxa"/>
          </w:tcPr>
          <w:p>
            <w:pPr/>
          </w:p>
        </w:tc>
        <w:tc>
          <w:tcPr>
            <w:tcW w:w="1414" w:type="dxa"/>
          </w:tcPr>
          <w:p>
            <w:pPr>
              <w:pStyle w:val="TableParagraph"/>
              <w:spacing w:before="8"/>
              <w:ind w:left="507"/>
              <w:rPr>
                <w:rFonts w:ascii="Tahoma"/>
                <w:sz w:val="22"/>
              </w:rPr>
            </w:pPr>
            <w:r>
              <w:rPr>
                <w:rFonts w:ascii="Tahoma"/>
                <w:w w:val="115"/>
                <w:sz w:val="22"/>
              </w:rPr>
              <w:t>(.04)</w:t>
            </w:r>
          </w:p>
        </w:tc>
        <w:tc>
          <w:tcPr>
            <w:tcW w:w="1299" w:type="dxa"/>
          </w:tcPr>
          <w:p>
            <w:pPr>
              <w:pStyle w:val="TableParagraph"/>
              <w:spacing w:before="8"/>
              <w:ind w:left="423"/>
              <w:rPr>
                <w:rFonts w:ascii="Tahoma"/>
                <w:sz w:val="22"/>
              </w:rPr>
            </w:pPr>
            <w:r>
              <w:rPr>
                <w:rFonts w:ascii="Tahoma"/>
                <w:w w:val="115"/>
                <w:sz w:val="22"/>
              </w:rPr>
              <w:t>(6.6)</w:t>
            </w:r>
          </w:p>
        </w:tc>
      </w:tr>
      <w:tr>
        <w:trPr>
          <w:trHeight w:val="302" w:hRule="exact"/>
        </w:trPr>
        <w:tc>
          <w:tcPr>
            <w:tcW w:w="3998" w:type="dxa"/>
          </w:tcPr>
          <w:p>
            <w:pPr>
              <w:pStyle w:val="TableParagraph"/>
              <w:spacing w:before="8"/>
              <w:ind w:left="48"/>
              <w:rPr>
                <w:rFonts w:ascii="Tahoma"/>
                <w:sz w:val="22"/>
              </w:rPr>
            </w:pPr>
            <w:r>
              <w:rPr>
                <w:rFonts w:ascii="Tahoma"/>
                <w:w w:val="110"/>
                <w:sz w:val="22"/>
              </w:rPr>
              <w:t>Agency commissions</w:t>
            </w:r>
          </w:p>
        </w:tc>
        <w:tc>
          <w:tcPr>
            <w:tcW w:w="1331" w:type="dxa"/>
          </w:tcPr>
          <w:p>
            <w:pPr>
              <w:pStyle w:val="TableParagraph"/>
              <w:spacing w:line="297" w:lineRule="exact"/>
              <w:ind w:left="508"/>
              <w:rPr>
                <w:rFonts w:ascii="Arial Black"/>
                <w:b/>
                <w:sz w:val="22"/>
              </w:rPr>
            </w:pPr>
            <w:r>
              <w:rPr>
                <w:rFonts w:ascii="Tahoma"/>
                <w:sz w:val="22"/>
              </w:rPr>
              <w:t>.</w:t>
            </w:r>
            <w:r>
              <w:rPr>
                <w:rFonts w:ascii="Arial Black"/>
                <w:b/>
                <w:sz w:val="22"/>
              </w:rPr>
              <w:t>08</w:t>
            </w:r>
          </w:p>
        </w:tc>
        <w:tc>
          <w:tcPr>
            <w:tcW w:w="886" w:type="dxa"/>
          </w:tcPr>
          <w:p>
            <w:pPr>
              <w:pStyle w:val="TableParagraph"/>
              <w:spacing w:before="8"/>
              <w:ind w:right="95"/>
              <w:jc w:val="right"/>
              <w:rPr>
                <w:rFonts w:ascii="Tahoma"/>
                <w:sz w:val="22"/>
              </w:rPr>
            </w:pPr>
            <w:r>
              <w:rPr>
                <w:rFonts w:ascii="Tahoma"/>
                <w:w w:val="115"/>
                <w:sz w:val="22"/>
              </w:rPr>
              <w:t>.16</w:t>
            </w:r>
          </w:p>
        </w:tc>
        <w:tc>
          <w:tcPr>
            <w:tcW w:w="257" w:type="dxa"/>
          </w:tcPr>
          <w:p>
            <w:pPr/>
          </w:p>
        </w:tc>
        <w:tc>
          <w:tcPr>
            <w:tcW w:w="1414" w:type="dxa"/>
          </w:tcPr>
          <w:p>
            <w:pPr>
              <w:pStyle w:val="TableParagraph"/>
              <w:spacing w:before="8"/>
              <w:ind w:left="507"/>
              <w:rPr>
                <w:rFonts w:ascii="Tahoma"/>
                <w:sz w:val="22"/>
              </w:rPr>
            </w:pPr>
            <w:r>
              <w:rPr>
                <w:rFonts w:ascii="Tahoma"/>
                <w:w w:val="115"/>
                <w:sz w:val="22"/>
              </w:rPr>
              <w:t>(.08)</w:t>
            </w:r>
          </w:p>
        </w:tc>
        <w:tc>
          <w:tcPr>
            <w:tcW w:w="1299" w:type="dxa"/>
          </w:tcPr>
          <w:p>
            <w:pPr>
              <w:pStyle w:val="TableParagraph"/>
              <w:spacing w:before="8"/>
              <w:ind w:left="274"/>
              <w:rPr>
                <w:rFonts w:ascii="Tahoma"/>
                <w:sz w:val="22"/>
              </w:rPr>
            </w:pPr>
            <w:r>
              <w:rPr>
                <w:rFonts w:ascii="Tahoma"/>
                <w:w w:val="120"/>
                <w:sz w:val="22"/>
              </w:rPr>
              <w:t>(50.0)</w:t>
            </w:r>
          </w:p>
        </w:tc>
      </w:tr>
      <w:tr>
        <w:trPr>
          <w:trHeight w:val="302" w:hRule="exact"/>
        </w:trPr>
        <w:tc>
          <w:tcPr>
            <w:tcW w:w="3998" w:type="dxa"/>
          </w:tcPr>
          <w:p>
            <w:pPr>
              <w:pStyle w:val="TableParagraph"/>
              <w:spacing w:before="8"/>
              <w:ind w:left="48"/>
              <w:rPr>
                <w:rFonts w:ascii="Tahoma"/>
                <w:sz w:val="22"/>
              </w:rPr>
            </w:pPr>
            <w:r>
              <w:rPr>
                <w:rFonts w:ascii="Tahoma"/>
                <w:w w:val="115"/>
                <w:sz w:val="22"/>
              </w:rPr>
              <w:t>Aircraft rentals</w:t>
            </w:r>
          </w:p>
        </w:tc>
        <w:tc>
          <w:tcPr>
            <w:tcW w:w="1331" w:type="dxa"/>
          </w:tcPr>
          <w:p>
            <w:pPr>
              <w:pStyle w:val="TableParagraph"/>
              <w:spacing w:line="297" w:lineRule="exact"/>
              <w:ind w:left="508"/>
              <w:rPr>
                <w:rFonts w:ascii="Arial Black"/>
                <w:b/>
                <w:sz w:val="22"/>
              </w:rPr>
            </w:pPr>
            <w:r>
              <w:rPr>
                <w:rFonts w:ascii="Tahoma"/>
                <w:sz w:val="22"/>
              </w:rPr>
              <w:t>.</w:t>
            </w:r>
            <w:r>
              <w:rPr>
                <w:rFonts w:ascii="Arial Black"/>
                <w:b/>
                <w:sz w:val="22"/>
              </w:rPr>
              <w:t>27</w:t>
            </w:r>
          </w:p>
        </w:tc>
        <w:tc>
          <w:tcPr>
            <w:tcW w:w="886" w:type="dxa"/>
          </w:tcPr>
          <w:p>
            <w:pPr>
              <w:pStyle w:val="TableParagraph"/>
              <w:spacing w:before="8"/>
              <w:ind w:right="95"/>
              <w:jc w:val="right"/>
              <w:rPr>
                <w:rFonts w:ascii="Tahoma"/>
                <w:sz w:val="22"/>
              </w:rPr>
            </w:pPr>
            <w:r>
              <w:rPr>
                <w:rFonts w:ascii="Tahoma"/>
                <w:w w:val="115"/>
                <w:sz w:val="22"/>
              </w:rPr>
              <w:t>.29</w:t>
            </w:r>
          </w:p>
        </w:tc>
        <w:tc>
          <w:tcPr>
            <w:tcW w:w="257" w:type="dxa"/>
          </w:tcPr>
          <w:p>
            <w:pPr/>
          </w:p>
        </w:tc>
        <w:tc>
          <w:tcPr>
            <w:tcW w:w="1414" w:type="dxa"/>
          </w:tcPr>
          <w:p>
            <w:pPr>
              <w:pStyle w:val="TableParagraph"/>
              <w:spacing w:before="8"/>
              <w:ind w:left="507"/>
              <w:rPr>
                <w:rFonts w:ascii="Tahoma"/>
                <w:sz w:val="22"/>
              </w:rPr>
            </w:pPr>
            <w:r>
              <w:rPr>
                <w:rFonts w:ascii="Tahoma"/>
                <w:w w:val="115"/>
                <w:sz w:val="22"/>
              </w:rPr>
              <w:t>(.02)</w:t>
            </w:r>
          </w:p>
        </w:tc>
        <w:tc>
          <w:tcPr>
            <w:tcW w:w="1299" w:type="dxa"/>
          </w:tcPr>
          <w:p>
            <w:pPr>
              <w:pStyle w:val="TableParagraph"/>
              <w:spacing w:before="8"/>
              <w:ind w:left="423"/>
              <w:rPr>
                <w:rFonts w:ascii="Tahoma"/>
                <w:sz w:val="22"/>
              </w:rPr>
            </w:pPr>
            <w:r>
              <w:rPr>
                <w:rFonts w:ascii="Tahoma"/>
                <w:w w:val="115"/>
                <w:sz w:val="22"/>
              </w:rPr>
              <w:t>(6.9)</w:t>
            </w:r>
          </w:p>
        </w:tc>
      </w:tr>
      <w:tr>
        <w:trPr>
          <w:trHeight w:val="302" w:hRule="exact"/>
        </w:trPr>
        <w:tc>
          <w:tcPr>
            <w:tcW w:w="3998" w:type="dxa"/>
          </w:tcPr>
          <w:p>
            <w:pPr>
              <w:pStyle w:val="TableParagraph"/>
              <w:spacing w:before="8"/>
              <w:ind w:left="48"/>
              <w:rPr>
                <w:rFonts w:ascii="Tahoma"/>
                <w:sz w:val="22"/>
              </w:rPr>
            </w:pPr>
            <w:r>
              <w:rPr>
                <w:rFonts w:ascii="Tahoma"/>
                <w:w w:val="110"/>
                <w:sz w:val="22"/>
              </w:rPr>
              <w:t>Landing fees and other rentals</w:t>
            </w:r>
          </w:p>
        </w:tc>
        <w:tc>
          <w:tcPr>
            <w:tcW w:w="1331" w:type="dxa"/>
          </w:tcPr>
          <w:p>
            <w:pPr>
              <w:pStyle w:val="TableParagraph"/>
              <w:spacing w:line="297" w:lineRule="exact"/>
              <w:ind w:left="508"/>
              <w:rPr>
                <w:rFonts w:ascii="Arial Black"/>
                <w:b/>
                <w:sz w:val="22"/>
              </w:rPr>
            </w:pPr>
            <w:r>
              <w:rPr>
                <w:rFonts w:ascii="Tahoma"/>
                <w:sz w:val="22"/>
              </w:rPr>
              <w:t>.</w:t>
            </w:r>
            <w:r>
              <w:rPr>
                <w:rFonts w:ascii="Arial Black"/>
                <w:b/>
                <w:sz w:val="22"/>
              </w:rPr>
              <w:t>50</w:t>
            </w:r>
          </w:p>
        </w:tc>
        <w:tc>
          <w:tcPr>
            <w:tcW w:w="886" w:type="dxa"/>
          </w:tcPr>
          <w:p>
            <w:pPr>
              <w:pStyle w:val="TableParagraph"/>
              <w:spacing w:before="8"/>
              <w:ind w:right="96"/>
              <w:jc w:val="right"/>
              <w:rPr>
                <w:rFonts w:ascii="Tahoma"/>
                <w:sz w:val="22"/>
              </w:rPr>
            </w:pPr>
            <w:r>
              <w:rPr>
                <w:rFonts w:ascii="Tahoma"/>
                <w:w w:val="115"/>
                <w:sz w:val="22"/>
              </w:rPr>
              <w:t>.48</w:t>
            </w:r>
          </w:p>
        </w:tc>
        <w:tc>
          <w:tcPr>
            <w:tcW w:w="257" w:type="dxa"/>
          </w:tcPr>
          <w:p>
            <w:pPr/>
          </w:p>
        </w:tc>
        <w:tc>
          <w:tcPr>
            <w:tcW w:w="1414" w:type="dxa"/>
          </w:tcPr>
          <w:p>
            <w:pPr>
              <w:pStyle w:val="TableParagraph"/>
              <w:spacing w:before="8"/>
              <w:ind w:left="607"/>
              <w:rPr>
                <w:rFonts w:ascii="Tahoma"/>
                <w:sz w:val="22"/>
              </w:rPr>
            </w:pPr>
            <w:r>
              <w:rPr>
                <w:rFonts w:ascii="Tahoma"/>
                <w:w w:val="115"/>
                <w:sz w:val="22"/>
              </w:rPr>
              <w:t>.02</w:t>
            </w:r>
          </w:p>
        </w:tc>
        <w:tc>
          <w:tcPr>
            <w:tcW w:w="1299" w:type="dxa"/>
          </w:tcPr>
          <w:p>
            <w:pPr>
              <w:pStyle w:val="TableParagraph"/>
              <w:spacing w:before="8"/>
              <w:ind w:left="523"/>
              <w:rPr>
                <w:rFonts w:ascii="Tahoma"/>
                <w:sz w:val="22"/>
              </w:rPr>
            </w:pPr>
            <w:r>
              <w:rPr>
                <w:rFonts w:ascii="Tahoma"/>
                <w:w w:val="120"/>
                <w:sz w:val="22"/>
              </w:rPr>
              <w:t>4.2</w:t>
            </w:r>
          </w:p>
        </w:tc>
      </w:tr>
      <w:tr>
        <w:trPr>
          <w:trHeight w:val="309" w:hRule="exact"/>
        </w:trPr>
        <w:tc>
          <w:tcPr>
            <w:tcW w:w="3998" w:type="dxa"/>
          </w:tcPr>
          <w:p>
            <w:pPr>
              <w:pStyle w:val="TableParagraph"/>
              <w:spacing w:before="8"/>
              <w:ind w:left="48"/>
              <w:rPr>
                <w:rFonts w:ascii="Tahoma"/>
                <w:sz w:val="22"/>
              </w:rPr>
            </w:pPr>
            <w:r>
              <w:rPr>
                <w:rFonts w:ascii="Tahoma"/>
                <w:w w:val="110"/>
                <w:sz w:val="22"/>
              </w:rPr>
              <w:t>Depreciation</w:t>
            </w:r>
          </w:p>
        </w:tc>
        <w:tc>
          <w:tcPr>
            <w:tcW w:w="1331" w:type="dxa"/>
          </w:tcPr>
          <w:p>
            <w:pPr>
              <w:pStyle w:val="TableParagraph"/>
              <w:spacing w:line="297" w:lineRule="exact"/>
              <w:ind w:left="508"/>
              <w:rPr>
                <w:rFonts w:ascii="Arial Black"/>
                <w:b/>
                <w:sz w:val="22"/>
              </w:rPr>
            </w:pPr>
            <w:r>
              <w:rPr>
                <w:rFonts w:ascii="Tahoma"/>
                <w:sz w:val="22"/>
              </w:rPr>
              <w:t>.</w:t>
            </w:r>
            <w:r>
              <w:rPr>
                <w:rFonts w:ascii="Arial Black"/>
                <w:b/>
                <w:sz w:val="22"/>
              </w:rPr>
              <w:t>52</w:t>
            </w:r>
          </w:p>
        </w:tc>
        <w:tc>
          <w:tcPr>
            <w:tcW w:w="886" w:type="dxa"/>
          </w:tcPr>
          <w:p>
            <w:pPr>
              <w:pStyle w:val="TableParagraph"/>
              <w:spacing w:before="8"/>
              <w:ind w:right="96"/>
              <w:jc w:val="right"/>
              <w:rPr>
                <w:rFonts w:ascii="Tahoma"/>
                <w:sz w:val="22"/>
              </w:rPr>
            </w:pPr>
            <w:r>
              <w:rPr>
                <w:rFonts w:ascii="Tahoma"/>
                <w:w w:val="115"/>
                <w:sz w:val="22"/>
              </w:rPr>
              <w:t>.49</w:t>
            </w:r>
          </w:p>
        </w:tc>
        <w:tc>
          <w:tcPr>
            <w:tcW w:w="257" w:type="dxa"/>
          </w:tcPr>
          <w:p>
            <w:pPr/>
          </w:p>
        </w:tc>
        <w:tc>
          <w:tcPr>
            <w:tcW w:w="1414" w:type="dxa"/>
          </w:tcPr>
          <w:p>
            <w:pPr>
              <w:pStyle w:val="TableParagraph"/>
              <w:spacing w:before="8"/>
              <w:ind w:left="607"/>
              <w:rPr>
                <w:rFonts w:ascii="Tahoma"/>
                <w:sz w:val="22"/>
              </w:rPr>
            </w:pPr>
            <w:r>
              <w:rPr>
                <w:rFonts w:ascii="Tahoma"/>
                <w:w w:val="115"/>
                <w:sz w:val="22"/>
              </w:rPr>
              <w:t>.03</w:t>
            </w:r>
          </w:p>
        </w:tc>
        <w:tc>
          <w:tcPr>
            <w:tcW w:w="1299" w:type="dxa"/>
          </w:tcPr>
          <w:p>
            <w:pPr>
              <w:pStyle w:val="TableParagraph"/>
              <w:spacing w:before="8"/>
              <w:ind w:left="523"/>
              <w:rPr>
                <w:rFonts w:ascii="Tahoma"/>
                <w:sz w:val="22"/>
              </w:rPr>
            </w:pPr>
            <w:r>
              <w:rPr>
                <w:rFonts w:ascii="Tahoma"/>
                <w:w w:val="120"/>
                <w:sz w:val="22"/>
              </w:rPr>
              <w:t>6.1</w:t>
            </w:r>
          </w:p>
        </w:tc>
      </w:tr>
    </w:tbl>
    <w:p>
      <w:pPr>
        <w:tabs>
          <w:tab w:pos="4176" w:val="left" w:leader="none"/>
          <w:tab w:pos="7105" w:val="left" w:leader="none"/>
          <w:tab w:pos="8435" w:val="left" w:leader="none"/>
        </w:tabs>
        <w:spacing w:before="0"/>
        <w:ind w:left="173" w:right="0" w:firstLine="0"/>
        <w:jc w:val="both"/>
        <w:rPr>
          <w:rFonts w:ascii="Tahoma"/>
          <w:sz w:val="22"/>
        </w:rPr>
      </w:pPr>
      <w:r>
        <w:rPr>
          <w:rFonts w:ascii="Tahoma"/>
          <w:w w:val="115"/>
          <w:sz w:val="22"/>
        </w:rPr>
        <w:t>Other</w:t>
        <w:tab/>
      </w:r>
      <w:r>
        <w:rPr>
          <w:rFonts w:ascii="Tahoma"/>
          <w:spacing w:val="6"/>
          <w:w w:val="115"/>
          <w:sz w:val="22"/>
          <w:u w:val="single"/>
        </w:rPr>
        <w:t>1</w:t>
      </w:r>
      <w:r>
        <w:rPr>
          <w:rFonts w:ascii="Arial Black"/>
          <w:b/>
          <w:spacing w:val="6"/>
          <w:w w:val="115"/>
          <w:sz w:val="22"/>
          <w:u w:val="single"/>
        </w:rPr>
        <w:t>.47      </w:t>
      </w:r>
      <w:r>
        <w:rPr>
          <w:rFonts w:ascii="Arial Black"/>
          <w:b/>
          <w:spacing w:val="78"/>
          <w:w w:val="115"/>
          <w:sz w:val="22"/>
          <w:u w:val="single"/>
        </w:rPr>
        <w:t> </w:t>
      </w:r>
      <w:r>
        <w:rPr>
          <w:rFonts w:ascii="Tahoma"/>
          <w:w w:val="115"/>
          <w:sz w:val="22"/>
          <w:u w:val="single"/>
        </w:rPr>
        <w:t>1.49</w:t>
        <w:tab/>
        <w:t>(.02)</w:t>
        <w:tab/>
        <w:t>(1.3)</w:t>
      </w:r>
      <w:r>
        <w:rPr>
          <w:rFonts w:ascii="Tahoma"/>
          <w:sz w:val="22"/>
          <w:u w:val="single"/>
        </w:rPr>
        <w:t>   </w:t>
      </w:r>
      <w:r>
        <w:rPr>
          <w:rFonts w:ascii="Tahoma"/>
          <w:spacing w:val="16"/>
          <w:sz w:val="22"/>
          <w:u w:val="single"/>
        </w:rPr>
        <w:t> </w:t>
      </w:r>
    </w:p>
    <w:p>
      <w:pPr>
        <w:pStyle w:val="Heading1"/>
        <w:tabs>
          <w:tab w:pos="3858" w:val="left" w:leader="none"/>
          <w:tab w:pos="4160" w:val="left" w:leader="none"/>
          <w:tab w:pos="5408" w:val="left" w:leader="none"/>
          <w:tab w:pos="6787" w:val="left" w:leader="none"/>
          <w:tab w:pos="8117" w:val="left" w:leader="none"/>
        </w:tabs>
        <w:ind w:right="281"/>
        <w:jc w:val="center"/>
        <w:rPr>
          <w:u w:val="none"/>
        </w:rPr>
      </w:pPr>
      <w:r>
        <w:rPr>
          <w:w w:val="110"/>
          <w:u w:val="none"/>
        </w:rPr>
        <w:t>Total</w:t>
        <w:tab/>
      </w:r>
      <w:r>
        <w:rPr>
          <w:w w:val="110"/>
          <w:u w:val="thick"/>
        </w:rPr>
        <w:t> </w:t>
        <w:tab/>
      </w:r>
      <w:r>
        <w:rPr>
          <w:spacing w:val="6"/>
          <w:w w:val="110"/>
          <w:u w:val="thick"/>
        </w:rPr>
        <w:t>7</w:t>
      </w:r>
      <w:r>
        <w:rPr>
          <w:rFonts w:ascii="Arial Black" w:hAnsi="Arial Black"/>
          <w:b/>
          <w:spacing w:val="6"/>
          <w:w w:val="110"/>
          <w:u w:val="thick"/>
        </w:rPr>
        <w:t>.41 </w:t>
      </w:r>
      <w:r>
        <w:rPr>
          <w:rFonts w:ascii="Arial Black" w:hAnsi="Arial Black"/>
          <w:b/>
          <w:spacing w:val="21"/>
          <w:w w:val="110"/>
          <w:u w:val="thick"/>
        </w:rPr>
        <w:t> </w:t>
      </w:r>
      <w:r>
        <w:rPr>
          <w:w w:val="110"/>
          <w:u w:val="thick"/>
        </w:rPr>
        <w:t>¢</w:t>
        <w:tab/>
        <w:t>7.54  </w:t>
      </w:r>
      <w:r>
        <w:rPr>
          <w:spacing w:val="1"/>
          <w:w w:val="110"/>
          <w:u w:val="thick"/>
        </w:rPr>
        <w:t> </w:t>
      </w:r>
      <w:r>
        <w:rPr>
          <w:w w:val="110"/>
          <w:u w:val="thick"/>
        </w:rPr>
        <w:t>¢</w:t>
        <w:tab/>
        <w:t>(.13)</w:t>
      </w:r>
      <w:r>
        <w:rPr>
          <w:spacing w:val="42"/>
          <w:w w:val="110"/>
          <w:u w:val="thick"/>
        </w:rPr>
        <w:t> </w:t>
      </w:r>
      <w:r>
        <w:rPr>
          <w:w w:val="110"/>
          <w:u w:val="thick"/>
        </w:rPr>
        <w:t>¢</w:t>
        <w:tab/>
        <w:t>(1.7)</w:t>
      </w:r>
      <w:r>
        <w:rPr>
          <w:spacing w:val="7"/>
          <w:w w:val="110"/>
          <w:u w:val="thick"/>
        </w:rPr>
        <w:t> </w:t>
      </w:r>
      <w:r>
        <w:rPr>
          <w:w w:val="110"/>
          <w:u w:val="thick"/>
        </w:rPr>
        <w:t>%</w:t>
      </w:r>
    </w:p>
    <w:p>
      <w:pPr>
        <w:pStyle w:val="BodyText"/>
        <w:spacing w:line="220" w:lineRule="exact" w:before="240"/>
        <w:ind w:left="115" w:right="110"/>
        <w:jc w:val="both"/>
      </w:pPr>
      <w:r>
        <w:rPr>
          <w:spacing w:val="-3"/>
          <w:w w:val="105"/>
        </w:rPr>
        <w:t>Salaries,</w:t>
      </w:r>
      <w:r>
        <w:rPr>
          <w:spacing w:val="-14"/>
          <w:w w:val="105"/>
        </w:rPr>
        <w:t> </w:t>
      </w:r>
      <w:r>
        <w:rPr>
          <w:spacing w:val="-3"/>
          <w:w w:val="105"/>
        </w:rPr>
        <w:t>wages,</w:t>
      </w:r>
      <w:r>
        <w:rPr>
          <w:spacing w:val="-20"/>
          <w:w w:val="105"/>
        </w:rPr>
        <w:t> </w:t>
      </w:r>
      <w:r>
        <w:rPr>
          <w:w w:val="105"/>
        </w:rPr>
        <w:t>and</w:t>
      </w:r>
      <w:r>
        <w:rPr>
          <w:spacing w:val="-11"/>
          <w:w w:val="105"/>
        </w:rPr>
        <w:t> </w:t>
      </w:r>
      <w:r>
        <w:rPr>
          <w:w w:val="105"/>
        </w:rPr>
        <w:t>benefits</w:t>
      </w:r>
      <w:r>
        <w:rPr>
          <w:spacing w:val="-18"/>
          <w:w w:val="105"/>
        </w:rPr>
        <w:t> </w:t>
      </w:r>
      <w:r>
        <w:rPr>
          <w:w w:val="105"/>
        </w:rPr>
        <w:t>expense</w:t>
      </w:r>
      <w:r>
        <w:rPr>
          <w:spacing w:val="-16"/>
          <w:w w:val="105"/>
        </w:rPr>
        <w:t> </w:t>
      </w:r>
      <w:r>
        <w:rPr>
          <w:w w:val="105"/>
        </w:rPr>
        <w:t>per</w:t>
      </w:r>
      <w:r>
        <w:rPr>
          <w:spacing w:val="-16"/>
          <w:w w:val="105"/>
        </w:rPr>
        <w:t> </w:t>
      </w:r>
      <w:r>
        <w:rPr>
          <w:spacing w:val="-3"/>
          <w:w w:val="105"/>
        </w:rPr>
        <w:t>ASM</w:t>
      </w:r>
      <w:r>
        <w:rPr>
          <w:spacing w:val="-16"/>
          <w:w w:val="105"/>
        </w:rPr>
        <w:t> </w:t>
      </w:r>
      <w:r>
        <w:rPr>
          <w:spacing w:val="-3"/>
          <w:w w:val="105"/>
        </w:rPr>
        <w:t>increased</w:t>
      </w:r>
      <w:r>
        <w:rPr>
          <w:spacing w:val="-14"/>
          <w:w w:val="105"/>
        </w:rPr>
        <w:t> </w:t>
      </w:r>
      <w:r>
        <w:rPr>
          <w:w w:val="105"/>
        </w:rPr>
        <w:t>1.8</w:t>
      </w:r>
      <w:r>
        <w:rPr>
          <w:spacing w:val="-11"/>
          <w:w w:val="105"/>
        </w:rPr>
        <w:t> </w:t>
      </w:r>
      <w:r>
        <w:rPr>
          <w:spacing w:val="-3"/>
          <w:w w:val="105"/>
        </w:rPr>
        <w:t>percent</w:t>
      </w:r>
      <w:r>
        <w:rPr>
          <w:spacing w:val="-14"/>
          <w:w w:val="105"/>
        </w:rPr>
        <w:t> </w:t>
      </w:r>
      <w:r>
        <w:rPr>
          <w:w w:val="105"/>
        </w:rPr>
        <w:t>due</w:t>
      </w:r>
      <w:r>
        <w:rPr>
          <w:spacing w:val="-12"/>
          <w:w w:val="105"/>
        </w:rPr>
        <w:t> </w:t>
      </w:r>
      <w:r>
        <w:rPr>
          <w:w w:val="105"/>
        </w:rPr>
        <w:t>to</w:t>
      </w:r>
      <w:r>
        <w:rPr>
          <w:spacing w:val="-14"/>
          <w:w w:val="105"/>
        </w:rPr>
        <w:t> </w:t>
      </w:r>
      <w:r>
        <w:rPr>
          <w:w w:val="105"/>
        </w:rPr>
        <w:t>a</w:t>
      </w:r>
      <w:r>
        <w:rPr>
          <w:spacing w:val="-12"/>
          <w:w w:val="105"/>
        </w:rPr>
        <w:t> </w:t>
      </w:r>
      <w:r>
        <w:rPr>
          <w:w w:val="105"/>
        </w:rPr>
        <w:t>5.7</w:t>
      </w:r>
      <w:r>
        <w:rPr>
          <w:spacing w:val="-18"/>
          <w:w w:val="105"/>
        </w:rPr>
        <w:t> </w:t>
      </w:r>
      <w:r>
        <w:rPr>
          <w:w w:val="105"/>
        </w:rPr>
        <w:t>percent</w:t>
      </w:r>
      <w:r>
        <w:rPr>
          <w:spacing w:val="-14"/>
          <w:w w:val="105"/>
        </w:rPr>
        <w:t> </w:t>
      </w:r>
      <w:r>
        <w:rPr>
          <w:w w:val="105"/>
        </w:rPr>
        <w:t>increase</w:t>
      </w:r>
      <w:r>
        <w:rPr>
          <w:spacing w:val="-16"/>
          <w:w w:val="105"/>
        </w:rPr>
        <w:t> </w:t>
      </w:r>
      <w:r>
        <w:rPr>
          <w:w w:val="105"/>
        </w:rPr>
        <w:t>in</w:t>
      </w:r>
      <w:r>
        <w:rPr>
          <w:spacing w:val="-11"/>
          <w:w w:val="105"/>
        </w:rPr>
        <w:t> </w:t>
      </w:r>
      <w:r>
        <w:rPr>
          <w:w w:val="105"/>
        </w:rPr>
        <w:t>salaries</w:t>
      </w:r>
      <w:r>
        <w:rPr>
          <w:spacing w:val="-18"/>
          <w:w w:val="105"/>
        </w:rPr>
        <w:t> </w:t>
      </w:r>
      <w:r>
        <w:rPr>
          <w:w w:val="105"/>
        </w:rPr>
        <w:t>and </w:t>
      </w:r>
      <w:r>
        <w:rPr>
          <w:spacing w:val="-3"/>
          <w:w w:val="105"/>
        </w:rPr>
        <w:t>wages </w:t>
      </w:r>
      <w:r>
        <w:rPr>
          <w:w w:val="105"/>
        </w:rPr>
        <w:t>per </w:t>
      </w:r>
      <w:r>
        <w:rPr>
          <w:spacing w:val="-3"/>
          <w:w w:val="105"/>
        </w:rPr>
        <w:t>ASM </w:t>
      </w:r>
      <w:r>
        <w:rPr>
          <w:w w:val="105"/>
        </w:rPr>
        <w:t>and a </w:t>
      </w:r>
      <w:r>
        <w:rPr>
          <w:spacing w:val="-3"/>
          <w:w w:val="105"/>
        </w:rPr>
        <w:t>7.6 percent </w:t>
      </w:r>
      <w:r>
        <w:rPr>
          <w:w w:val="105"/>
        </w:rPr>
        <w:t>increase in </w:t>
      </w:r>
      <w:r>
        <w:rPr>
          <w:spacing w:val="-3"/>
          <w:w w:val="105"/>
        </w:rPr>
        <w:t>benefits </w:t>
      </w:r>
      <w:r>
        <w:rPr>
          <w:w w:val="105"/>
        </w:rPr>
        <w:t>expense per </w:t>
      </w:r>
      <w:r>
        <w:rPr>
          <w:spacing w:val="-3"/>
          <w:w w:val="105"/>
        </w:rPr>
        <w:t>ASM, </w:t>
      </w:r>
      <w:r>
        <w:rPr>
          <w:w w:val="105"/>
        </w:rPr>
        <w:t>mostly offset by a 30.3 percent</w:t>
      </w:r>
      <w:r>
        <w:rPr>
          <w:spacing w:val="55"/>
          <w:w w:val="105"/>
        </w:rPr>
        <w:t> </w:t>
      </w:r>
      <w:r>
        <w:rPr>
          <w:w w:val="105"/>
        </w:rPr>
        <w:t>decrease in </w:t>
      </w:r>
      <w:r>
        <w:rPr>
          <w:spacing w:val="-3"/>
          <w:w w:val="105"/>
        </w:rPr>
        <w:t>Employee retirement </w:t>
      </w:r>
      <w:r>
        <w:rPr>
          <w:w w:val="105"/>
        </w:rPr>
        <w:t>plans expense per </w:t>
      </w:r>
      <w:r>
        <w:rPr>
          <w:spacing w:val="-4"/>
          <w:w w:val="105"/>
        </w:rPr>
        <w:t>ASM. </w:t>
      </w:r>
      <w:r>
        <w:rPr>
          <w:spacing w:val="-2"/>
          <w:w w:val="105"/>
        </w:rPr>
        <w:t>The </w:t>
      </w:r>
      <w:r>
        <w:rPr>
          <w:spacing w:val="-3"/>
          <w:w w:val="105"/>
        </w:rPr>
        <w:t>majority </w:t>
      </w:r>
      <w:r>
        <w:rPr>
          <w:w w:val="105"/>
        </w:rPr>
        <w:t>of the </w:t>
      </w:r>
      <w:r>
        <w:rPr>
          <w:spacing w:val="-3"/>
          <w:w w:val="105"/>
        </w:rPr>
        <w:t>increase </w:t>
      </w:r>
      <w:r>
        <w:rPr>
          <w:w w:val="105"/>
        </w:rPr>
        <w:t>in salaries and </w:t>
      </w:r>
      <w:r>
        <w:rPr>
          <w:spacing w:val="-4"/>
          <w:w w:val="105"/>
        </w:rPr>
        <w:t>wages </w:t>
      </w:r>
      <w:r>
        <w:rPr>
          <w:spacing w:val="-3"/>
          <w:w w:val="105"/>
        </w:rPr>
        <w:t>was </w:t>
      </w:r>
      <w:r>
        <w:rPr>
          <w:w w:val="105"/>
        </w:rPr>
        <w:t>due to headcount additions outpacing the Company’s </w:t>
      </w:r>
      <w:r>
        <w:rPr>
          <w:spacing w:val="-3"/>
          <w:w w:val="105"/>
        </w:rPr>
        <w:t>capacity </w:t>
      </w:r>
      <w:r>
        <w:rPr>
          <w:w w:val="105"/>
        </w:rPr>
        <w:t>growth in </w:t>
      </w:r>
      <w:r>
        <w:rPr>
          <w:spacing w:val="-3"/>
          <w:w w:val="105"/>
        </w:rPr>
        <w:t>several </w:t>
      </w:r>
      <w:r>
        <w:rPr>
          <w:w w:val="105"/>
        </w:rPr>
        <w:t>operational </w:t>
      </w:r>
      <w:r>
        <w:rPr>
          <w:spacing w:val="-3"/>
          <w:w w:val="105"/>
        </w:rPr>
        <w:t>areas, </w:t>
      </w:r>
      <w:r>
        <w:rPr>
          <w:w w:val="105"/>
        </w:rPr>
        <w:t>due in part</w:t>
      </w:r>
      <w:r>
        <w:rPr>
          <w:spacing w:val="-6"/>
          <w:w w:val="105"/>
        </w:rPr>
        <w:t> </w:t>
      </w:r>
      <w:r>
        <w:rPr>
          <w:w w:val="105"/>
        </w:rPr>
        <w:t>to</w:t>
      </w:r>
      <w:r>
        <w:rPr>
          <w:spacing w:val="-6"/>
          <w:w w:val="105"/>
        </w:rPr>
        <w:t> </w:t>
      </w:r>
      <w:r>
        <w:rPr>
          <w:w w:val="105"/>
        </w:rPr>
        <w:t>additional</w:t>
      </w:r>
      <w:r>
        <w:rPr>
          <w:spacing w:val="-6"/>
          <w:w w:val="105"/>
        </w:rPr>
        <w:t> </w:t>
      </w:r>
      <w:r>
        <w:rPr>
          <w:w w:val="105"/>
        </w:rPr>
        <w:t>security</w:t>
      </w:r>
      <w:r>
        <w:rPr>
          <w:spacing w:val="-6"/>
          <w:w w:val="105"/>
        </w:rPr>
        <w:t> </w:t>
      </w:r>
      <w:r>
        <w:rPr>
          <w:spacing w:val="-3"/>
          <w:w w:val="105"/>
        </w:rPr>
        <w:t>requirements</w:t>
      </w:r>
      <w:r>
        <w:rPr>
          <w:spacing w:val="-10"/>
          <w:w w:val="105"/>
        </w:rPr>
        <w:t> </w:t>
      </w:r>
      <w:r>
        <w:rPr>
          <w:w w:val="105"/>
        </w:rPr>
        <w:t>at</w:t>
      </w:r>
      <w:r>
        <w:rPr>
          <w:spacing w:val="-2"/>
          <w:w w:val="105"/>
        </w:rPr>
        <w:t> </w:t>
      </w:r>
      <w:r>
        <w:rPr>
          <w:w w:val="105"/>
        </w:rPr>
        <w:t>airports.</w:t>
      </w:r>
      <w:r>
        <w:rPr>
          <w:spacing w:val="38"/>
          <w:w w:val="105"/>
        </w:rPr>
        <w:t> </w:t>
      </w:r>
      <w:r>
        <w:rPr>
          <w:spacing w:val="-4"/>
          <w:w w:val="105"/>
        </w:rPr>
        <w:t>The</w:t>
      </w:r>
      <w:r>
        <w:rPr>
          <w:spacing w:val="-8"/>
          <w:w w:val="105"/>
        </w:rPr>
        <w:t> </w:t>
      </w:r>
      <w:r>
        <w:rPr>
          <w:w w:val="105"/>
        </w:rPr>
        <w:t>remaining</w:t>
      </w:r>
      <w:r>
        <w:rPr>
          <w:spacing w:val="-6"/>
          <w:w w:val="105"/>
        </w:rPr>
        <w:t> </w:t>
      </w:r>
      <w:r>
        <w:rPr>
          <w:w w:val="105"/>
        </w:rPr>
        <w:t>portion</w:t>
      </w:r>
      <w:r>
        <w:rPr>
          <w:spacing w:val="-6"/>
          <w:w w:val="105"/>
        </w:rPr>
        <w:t> </w:t>
      </w:r>
      <w:r>
        <w:rPr>
          <w:w w:val="105"/>
        </w:rPr>
        <w:t>of</w:t>
      </w:r>
      <w:r>
        <w:rPr>
          <w:spacing w:val="-9"/>
          <w:w w:val="105"/>
        </w:rPr>
        <w:t> </w:t>
      </w:r>
      <w:r>
        <w:rPr>
          <w:w w:val="105"/>
        </w:rPr>
        <w:t>the</w:t>
      </w:r>
      <w:r>
        <w:rPr>
          <w:spacing w:val="-8"/>
          <w:w w:val="105"/>
        </w:rPr>
        <w:t> </w:t>
      </w:r>
      <w:r>
        <w:rPr>
          <w:spacing w:val="-3"/>
          <w:w w:val="105"/>
        </w:rPr>
        <w:t>increase</w:t>
      </w:r>
      <w:r>
        <w:rPr>
          <w:spacing w:val="-5"/>
          <w:w w:val="105"/>
        </w:rPr>
        <w:t> </w:t>
      </w:r>
      <w:r>
        <w:rPr>
          <w:w w:val="105"/>
        </w:rPr>
        <w:t>in</w:t>
      </w:r>
      <w:r>
        <w:rPr>
          <w:spacing w:val="-6"/>
          <w:w w:val="105"/>
        </w:rPr>
        <w:t> </w:t>
      </w:r>
      <w:r>
        <w:rPr>
          <w:w w:val="105"/>
        </w:rPr>
        <w:t>salaries</w:t>
      </w:r>
      <w:r>
        <w:rPr>
          <w:spacing w:val="-10"/>
          <w:w w:val="105"/>
        </w:rPr>
        <w:t> </w:t>
      </w:r>
      <w:r>
        <w:rPr>
          <w:w w:val="105"/>
        </w:rPr>
        <w:t>and</w:t>
      </w:r>
      <w:r>
        <w:rPr>
          <w:spacing w:val="-6"/>
          <w:w w:val="105"/>
        </w:rPr>
        <w:t> </w:t>
      </w:r>
      <w:r>
        <w:rPr>
          <w:spacing w:val="-4"/>
          <w:w w:val="105"/>
        </w:rPr>
        <w:t>wages </w:t>
      </w:r>
      <w:r>
        <w:rPr>
          <w:w w:val="105"/>
        </w:rPr>
        <w:t>per</w:t>
      </w:r>
      <w:r>
        <w:rPr>
          <w:spacing w:val="-21"/>
          <w:w w:val="105"/>
        </w:rPr>
        <w:t> </w:t>
      </w:r>
      <w:r>
        <w:rPr>
          <w:spacing w:val="-5"/>
          <w:w w:val="105"/>
        </w:rPr>
        <w:t>ASM</w:t>
      </w:r>
      <w:r>
        <w:rPr>
          <w:spacing w:val="-21"/>
          <w:w w:val="105"/>
        </w:rPr>
        <w:t> </w:t>
      </w:r>
      <w:r>
        <w:rPr>
          <w:w w:val="105"/>
        </w:rPr>
        <w:t>primarily</w:t>
      </w:r>
      <w:r>
        <w:rPr>
          <w:spacing w:val="-19"/>
          <w:w w:val="105"/>
        </w:rPr>
        <w:t> </w:t>
      </w:r>
      <w:r>
        <w:rPr>
          <w:spacing w:val="-3"/>
          <w:w w:val="105"/>
        </w:rPr>
        <w:t>was</w:t>
      </w:r>
      <w:r>
        <w:rPr>
          <w:spacing w:val="-22"/>
          <w:w w:val="105"/>
        </w:rPr>
        <w:t> </w:t>
      </w:r>
      <w:r>
        <w:rPr>
          <w:w w:val="105"/>
        </w:rPr>
        <w:t>due</w:t>
      </w:r>
      <w:r>
        <w:rPr>
          <w:spacing w:val="-21"/>
          <w:w w:val="105"/>
        </w:rPr>
        <w:t> </w:t>
      </w:r>
      <w:r>
        <w:rPr>
          <w:w w:val="105"/>
        </w:rPr>
        <w:t>to</w:t>
      </w:r>
      <w:r>
        <w:rPr>
          <w:spacing w:val="-19"/>
          <w:w w:val="105"/>
        </w:rPr>
        <w:t> </w:t>
      </w:r>
      <w:r>
        <w:rPr>
          <w:w w:val="105"/>
        </w:rPr>
        <w:t>higher</w:t>
      </w:r>
      <w:r>
        <w:rPr>
          <w:spacing w:val="-21"/>
          <w:w w:val="105"/>
        </w:rPr>
        <w:t> </w:t>
      </w:r>
      <w:r>
        <w:rPr>
          <w:spacing w:val="-3"/>
          <w:w w:val="105"/>
        </w:rPr>
        <w:t>average</w:t>
      </w:r>
      <w:r>
        <w:rPr>
          <w:spacing w:val="-21"/>
          <w:w w:val="105"/>
        </w:rPr>
        <w:t> </w:t>
      </w:r>
      <w:r>
        <w:rPr>
          <w:spacing w:val="-3"/>
          <w:w w:val="105"/>
        </w:rPr>
        <w:t>wage</w:t>
      </w:r>
      <w:r>
        <w:rPr>
          <w:spacing w:val="-24"/>
          <w:w w:val="105"/>
        </w:rPr>
        <w:t> </w:t>
      </w:r>
      <w:r>
        <w:rPr>
          <w:spacing w:val="-3"/>
          <w:w w:val="105"/>
        </w:rPr>
        <w:t>rates.</w:t>
      </w:r>
    </w:p>
    <w:p>
      <w:pPr>
        <w:pStyle w:val="BodyText"/>
        <w:spacing w:line="220" w:lineRule="exact" w:before="235"/>
        <w:ind w:left="115" w:right="115"/>
        <w:jc w:val="both"/>
      </w:pPr>
      <w:r>
        <w:rPr>
          <w:spacing w:val="-2"/>
          <w:w w:val="105"/>
        </w:rPr>
        <w:t>The </w:t>
      </w:r>
      <w:r>
        <w:rPr>
          <w:spacing w:val="-3"/>
          <w:w w:val="105"/>
        </w:rPr>
        <w:t>increase </w:t>
      </w:r>
      <w:r>
        <w:rPr>
          <w:w w:val="105"/>
        </w:rPr>
        <w:t>in benefits expense per </w:t>
      </w:r>
      <w:r>
        <w:rPr>
          <w:spacing w:val="-3"/>
          <w:w w:val="105"/>
        </w:rPr>
        <w:t>ASM </w:t>
      </w:r>
      <w:r>
        <w:rPr>
          <w:w w:val="105"/>
        </w:rPr>
        <w:t>primarily </w:t>
      </w:r>
      <w:r>
        <w:rPr>
          <w:spacing w:val="-3"/>
          <w:w w:val="105"/>
        </w:rPr>
        <w:t>was </w:t>
      </w:r>
      <w:r>
        <w:rPr>
          <w:w w:val="105"/>
        </w:rPr>
        <w:t>due to higher health </w:t>
      </w:r>
      <w:r>
        <w:rPr>
          <w:spacing w:val="-3"/>
          <w:w w:val="105"/>
        </w:rPr>
        <w:t>care </w:t>
      </w:r>
      <w:r>
        <w:rPr>
          <w:w w:val="105"/>
        </w:rPr>
        <w:t>costs. Employee </w:t>
      </w:r>
      <w:r>
        <w:rPr>
          <w:spacing w:val="-3"/>
          <w:w w:val="105"/>
        </w:rPr>
        <w:t>retirement </w:t>
      </w:r>
      <w:r>
        <w:rPr>
          <w:w w:val="105"/>
        </w:rPr>
        <w:t>plans expense per </w:t>
      </w:r>
      <w:r>
        <w:rPr>
          <w:spacing w:val="-3"/>
          <w:w w:val="105"/>
        </w:rPr>
        <w:t>ASM decreased </w:t>
      </w:r>
      <w:r>
        <w:rPr>
          <w:w w:val="105"/>
        </w:rPr>
        <w:t>due to </w:t>
      </w:r>
      <w:r>
        <w:rPr>
          <w:spacing w:val="-3"/>
          <w:w w:val="105"/>
        </w:rPr>
        <w:t>lower </w:t>
      </w:r>
      <w:r>
        <w:rPr>
          <w:w w:val="105"/>
        </w:rPr>
        <w:t>Company earnings available for profitsharing. </w:t>
      </w:r>
      <w:r>
        <w:rPr>
          <w:spacing w:val="-3"/>
          <w:w w:val="105"/>
        </w:rPr>
        <w:t>In </w:t>
      </w:r>
      <w:r>
        <w:rPr>
          <w:w w:val="105"/>
        </w:rPr>
        <w:t>2002 </w:t>
      </w:r>
      <w:r>
        <w:rPr>
          <w:spacing w:val="-3"/>
          <w:w w:val="105"/>
        </w:rPr>
        <w:t>and </w:t>
      </w:r>
      <w:r>
        <w:rPr>
          <w:w w:val="105"/>
        </w:rPr>
        <w:t>2001, earnings available for profitsharing included $48 million and $235 million, respectively, from grants </w:t>
      </w:r>
      <w:r>
        <w:rPr>
          <w:spacing w:val="-3"/>
          <w:w w:val="105"/>
        </w:rPr>
        <w:t>recognized </w:t>
      </w:r>
      <w:r>
        <w:rPr>
          <w:w w:val="105"/>
        </w:rPr>
        <w:t>under the Stabilization </w:t>
      </w:r>
      <w:r>
        <w:rPr>
          <w:spacing w:val="-3"/>
          <w:w w:val="105"/>
        </w:rPr>
        <w:t>Act. </w:t>
      </w:r>
      <w:r>
        <w:rPr>
          <w:w w:val="105"/>
        </w:rPr>
        <w:t>See </w:t>
      </w:r>
      <w:r>
        <w:rPr>
          <w:spacing w:val="-3"/>
          <w:w w:val="105"/>
        </w:rPr>
        <w:t>Note </w:t>
      </w:r>
      <w:r>
        <w:rPr>
          <w:w w:val="105"/>
        </w:rPr>
        <w:t>3 to the Consolidated Financial Statements.</w:t>
      </w:r>
    </w:p>
    <w:p>
      <w:pPr>
        <w:pStyle w:val="BodyText"/>
        <w:spacing w:line="218" w:lineRule="auto" w:before="237"/>
        <w:ind w:left="115" w:right="109"/>
        <w:jc w:val="both"/>
      </w:pPr>
      <w:r>
        <w:rPr>
          <w:w w:val="105"/>
        </w:rPr>
        <w:t>Fuel and oil expense per ASM decreased 5.9 percent, primarily due to a 4.0 percent decrease in the average jet fuel cost per gallon. The average cost per gallon of jet fuel in 2002 was 68.0 cents compared to 70.9 cents in 2001, excluding fuel related taxes but including the effects of hedging activities.  The Company's 2002  and 2001 average jet fuel costs are net of approximately $45 million and $80 million in gains from hedging activities,</w:t>
      </w:r>
      <w:r>
        <w:rPr>
          <w:spacing w:val="-22"/>
          <w:w w:val="105"/>
        </w:rPr>
        <w:t> </w:t>
      </w:r>
      <w:r>
        <w:rPr>
          <w:w w:val="105"/>
        </w:rPr>
        <w:t>respectively.</w:t>
      </w:r>
      <w:r>
        <w:rPr>
          <w:spacing w:val="7"/>
          <w:w w:val="105"/>
        </w:rPr>
        <w:t> </w:t>
      </w:r>
      <w:r>
        <w:rPr>
          <w:w w:val="105"/>
        </w:rPr>
        <w:t>See</w:t>
      </w:r>
      <w:r>
        <w:rPr>
          <w:spacing w:val="-29"/>
          <w:w w:val="105"/>
        </w:rPr>
        <w:t> </w:t>
      </w:r>
      <w:r>
        <w:rPr>
          <w:w w:val="105"/>
        </w:rPr>
        <w:t>Notes</w:t>
      </w:r>
      <w:r>
        <w:rPr>
          <w:spacing w:val="-25"/>
          <w:w w:val="105"/>
        </w:rPr>
        <w:t> </w:t>
      </w:r>
      <w:r>
        <w:rPr>
          <w:w w:val="105"/>
        </w:rPr>
        <w:t>2</w:t>
      </w:r>
      <w:r>
        <w:rPr>
          <w:spacing w:val="-27"/>
          <w:w w:val="105"/>
        </w:rPr>
        <w:t> </w:t>
      </w:r>
      <w:r>
        <w:rPr>
          <w:w w:val="105"/>
        </w:rPr>
        <w:t>and</w:t>
      </w:r>
      <w:r>
        <w:rPr>
          <w:spacing w:val="-25"/>
          <w:w w:val="105"/>
        </w:rPr>
        <w:t> </w:t>
      </w:r>
      <w:r>
        <w:rPr>
          <w:w w:val="105"/>
        </w:rPr>
        <w:t>10</w:t>
      </w:r>
      <w:r>
        <w:rPr>
          <w:spacing w:val="-25"/>
          <w:w w:val="105"/>
        </w:rPr>
        <w:t> </w:t>
      </w:r>
      <w:r>
        <w:rPr>
          <w:w w:val="105"/>
        </w:rPr>
        <w:t>to</w:t>
      </w:r>
      <w:r>
        <w:rPr>
          <w:spacing w:val="-25"/>
          <w:w w:val="105"/>
        </w:rPr>
        <w:t> </w:t>
      </w:r>
      <w:r>
        <w:rPr>
          <w:w w:val="105"/>
        </w:rPr>
        <w:t>the</w:t>
      </w:r>
      <w:r>
        <w:rPr>
          <w:spacing w:val="-26"/>
          <w:w w:val="105"/>
        </w:rPr>
        <w:t> </w:t>
      </w:r>
      <w:r>
        <w:rPr>
          <w:w w:val="105"/>
        </w:rPr>
        <w:t>Consolidated</w:t>
      </w:r>
      <w:r>
        <w:rPr>
          <w:spacing w:val="-27"/>
          <w:w w:val="105"/>
        </w:rPr>
        <w:t> </w:t>
      </w:r>
      <w:r>
        <w:rPr>
          <w:w w:val="105"/>
        </w:rPr>
        <w:t>Financial</w:t>
      </w:r>
      <w:r>
        <w:rPr>
          <w:spacing w:val="-25"/>
          <w:w w:val="105"/>
        </w:rPr>
        <w:t> </w:t>
      </w:r>
      <w:r>
        <w:rPr>
          <w:w w:val="105"/>
        </w:rPr>
        <w:t>Statements.</w:t>
      </w:r>
    </w:p>
    <w:p>
      <w:pPr>
        <w:pStyle w:val="BodyText"/>
        <w:spacing w:line="218" w:lineRule="auto" w:before="240"/>
        <w:ind w:left="115" w:right="109"/>
        <w:jc w:val="both"/>
      </w:pPr>
      <w:r>
        <w:rPr>
          <w:w w:val="105"/>
        </w:rPr>
        <w:t>Maintenance </w:t>
      </w:r>
      <w:r>
        <w:rPr>
          <w:spacing w:val="-3"/>
          <w:w w:val="105"/>
        </w:rPr>
        <w:t>materials </w:t>
      </w:r>
      <w:r>
        <w:rPr>
          <w:w w:val="105"/>
        </w:rPr>
        <w:t>and </w:t>
      </w:r>
      <w:r>
        <w:rPr>
          <w:spacing w:val="-3"/>
          <w:w w:val="105"/>
        </w:rPr>
        <w:t>repairs </w:t>
      </w:r>
      <w:r>
        <w:rPr>
          <w:w w:val="105"/>
        </w:rPr>
        <w:t>per </w:t>
      </w:r>
      <w:r>
        <w:rPr>
          <w:spacing w:val="-3"/>
          <w:w w:val="105"/>
        </w:rPr>
        <w:t>ASM decreased 6.6 </w:t>
      </w:r>
      <w:r>
        <w:rPr>
          <w:w w:val="105"/>
        </w:rPr>
        <w:t>percent. </w:t>
      </w:r>
      <w:r>
        <w:rPr>
          <w:spacing w:val="-3"/>
          <w:w w:val="105"/>
        </w:rPr>
        <w:t>This decrease </w:t>
      </w:r>
      <w:r>
        <w:rPr>
          <w:w w:val="105"/>
        </w:rPr>
        <w:t>primarily </w:t>
      </w:r>
      <w:r>
        <w:rPr>
          <w:spacing w:val="-3"/>
          <w:w w:val="105"/>
        </w:rPr>
        <w:t>was </w:t>
      </w:r>
      <w:r>
        <w:rPr>
          <w:w w:val="105"/>
        </w:rPr>
        <w:t>due to a decrease in </w:t>
      </w:r>
      <w:r>
        <w:rPr>
          <w:spacing w:val="-3"/>
          <w:w w:val="105"/>
        </w:rPr>
        <w:t>airframe </w:t>
      </w:r>
      <w:r>
        <w:rPr>
          <w:w w:val="105"/>
        </w:rPr>
        <w:t>expense resulting from </w:t>
      </w:r>
      <w:r>
        <w:rPr>
          <w:spacing w:val="-4"/>
          <w:w w:val="105"/>
        </w:rPr>
        <w:t>fewer </w:t>
      </w:r>
      <w:r>
        <w:rPr>
          <w:w w:val="105"/>
        </w:rPr>
        <w:t>outsourced </w:t>
      </w:r>
      <w:r>
        <w:rPr>
          <w:spacing w:val="-3"/>
          <w:w w:val="105"/>
        </w:rPr>
        <w:t>heavy </w:t>
      </w:r>
      <w:r>
        <w:rPr>
          <w:w w:val="105"/>
        </w:rPr>
        <w:t>maintenance events versus 2001. </w:t>
      </w:r>
      <w:r>
        <w:rPr>
          <w:spacing w:val="-4"/>
          <w:w w:val="105"/>
        </w:rPr>
        <w:t>More </w:t>
      </w:r>
      <w:r>
        <w:rPr>
          <w:w w:val="105"/>
        </w:rPr>
        <w:t>heavy</w:t>
      </w:r>
      <w:r>
        <w:rPr>
          <w:spacing w:val="-8"/>
          <w:w w:val="105"/>
        </w:rPr>
        <w:t> </w:t>
      </w:r>
      <w:r>
        <w:rPr>
          <w:w w:val="105"/>
        </w:rPr>
        <w:t>maintenance</w:t>
      </w:r>
      <w:r>
        <w:rPr>
          <w:spacing w:val="-3"/>
          <w:w w:val="105"/>
        </w:rPr>
        <w:t> </w:t>
      </w:r>
      <w:r>
        <w:rPr>
          <w:w w:val="105"/>
        </w:rPr>
        <w:t>events</w:t>
      </w:r>
      <w:r>
        <w:rPr>
          <w:spacing w:val="-8"/>
          <w:w w:val="105"/>
        </w:rPr>
        <w:t> </w:t>
      </w:r>
      <w:r>
        <w:rPr>
          <w:w w:val="105"/>
        </w:rPr>
        <w:t>were</w:t>
      </w:r>
      <w:r>
        <w:rPr>
          <w:spacing w:val="-10"/>
          <w:w w:val="105"/>
        </w:rPr>
        <w:t> </w:t>
      </w:r>
      <w:r>
        <w:rPr>
          <w:spacing w:val="-3"/>
          <w:w w:val="105"/>
        </w:rPr>
        <w:t>performed</w:t>
      </w:r>
      <w:r>
        <w:rPr>
          <w:spacing w:val="-5"/>
          <w:w w:val="105"/>
        </w:rPr>
        <w:t> </w:t>
      </w:r>
      <w:r>
        <w:rPr>
          <w:w w:val="105"/>
        </w:rPr>
        <w:t>internally</w:t>
      </w:r>
      <w:r>
        <w:rPr>
          <w:spacing w:val="-5"/>
          <w:w w:val="105"/>
        </w:rPr>
        <w:t> </w:t>
      </w:r>
      <w:r>
        <w:rPr>
          <w:w w:val="105"/>
        </w:rPr>
        <w:t>in</w:t>
      </w:r>
      <w:r>
        <w:rPr>
          <w:spacing w:val="-8"/>
          <w:w w:val="105"/>
        </w:rPr>
        <w:t> </w:t>
      </w:r>
      <w:r>
        <w:rPr>
          <w:w w:val="105"/>
        </w:rPr>
        <w:t>2002,</w:t>
      </w:r>
      <w:r>
        <w:rPr>
          <w:spacing w:val="-8"/>
          <w:w w:val="105"/>
        </w:rPr>
        <w:t> </w:t>
      </w:r>
      <w:r>
        <w:rPr>
          <w:w w:val="105"/>
        </w:rPr>
        <w:t>resulting</w:t>
      </w:r>
      <w:r>
        <w:rPr>
          <w:spacing w:val="-8"/>
          <w:w w:val="105"/>
        </w:rPr>
        <w:t> </w:t>
      </w:r>
      <w:r>
        <w:rPr>
          <w:w w:val="105"/>
        </w:rPr>
        <w:t>in</w:t>
      </w:r>
      <w:r>
        <w:rPr>
          <w:spacing w:val="-8"/>
          <w:w w:val="105"/>
        </w:rPr>
        <w:t> </w:t>
      </w:r>
      <w:r>
        <w:rPr>
          <w:w w:val="105"/>
        </w:rPr>
        <w:t>the</w:t>
      </w:r>
      <w:r>
        <w:rPr>
          <w:spacing w:val="-3"/>
          <w:w w:val="105"/>
        </w:rPr>
        <w:t> </w:t>
      </w:r>
      <w:r>
        <w:rPr>
          <w:w w:val="105"/>
        </w:rPr>
        <w:t>labor</w:t>
      </w:r>
      <w:r>
        <w:rPr>
          <w:spacing w:val="-7"/>
          <w:w w:val="105"/>
        </w:rPr>
        <w:t> </w:t>
      </w:r>
      <w:r>
        <w:rPr>
          <w:w w:val="105"/>
        </w:rPr>
        <w:t>costs</w:t>
      </w:r>
      <w:r>
        <w:rPr>
          <w:spacing w:val="-8"/>
          <w:w w:val="105"/>
        </w:rPr>
        <w:t> </w:t>
      </w:r>
      <w:r>
        <w:rPr>
          <w:w w:val="105"/>
        </w:rPr>
        <w:t>associated</w:t>
      </w:r>
      <w:r>
        <w:rPr>
          <w:spacing w:val="-5"/>
          <w:w w:val="105"/>
        </w:rPr>
        <w:t> </w:t>
      </w:r>
      <w:r>
        <w:rPr>
          <w:spacing w:val="-3"/>
          <w:w w:val="105"/>
        </w:rPr>
        <w:t>with</w:t>
      </w:r>
      <w:r>
        <w:rPr>
          <w:spacing w:val="-8"/>
          <w:w w:val="105"/>
        </w:rPr>
        <w:t> </w:t>
      </w:r>
      <w:r>
        <w:rPr>
          <w:w w:val="105"/>
        </w:rPr>
        <w:t>those events</w:t>
      </w:r>
      <w:r>
        <w:rPr>
          <w:spacing w:val="-20"/>
          <w:w w:val="105"/>
        </w:rPr>
        <w:t> </w:t>
      </w:r>
      <w:r>
        <w:rPr>
          <w:w w:val="105"/>
        </w:rPr>
        <w:t>being</w:t>
      </w:r>
      <w:r>
        <w:rPr>
          <w:spacing w:val="-20"/>
          <w:w w:val="105"/>
        </w:rPr>
        <w:t> </w:t>
      </w:r>
      <w:r>
        <w:rPr>
          <w:spacing w:val="-3"/>
          <w:w w:val="105"/>
        </w:rPr>
        <w:t>reflected</w:t>
      </w:r>
      <w:r>
        <w:rPr>
          <w:spacing w:val="-20"/>
          <w:w w:val="105"/>
        </w:rPr>
        <w:t> </w:t>
      </w:r>
      <w:r>
        <w:rPr>
          <w:w w:val="105"/>
        </w:rPr>
        <w:t>in</w:t>
      </w:r>
      <w:r>
        <w:rPr>
          <w:spacing w:val="-20"/>
          <w:w w:val="105"/>
        </w:rPr>
        <w:t> </w:t>
      </w:r>
      <w:r>
        <w:rPr>
          <w:spacing w:val="-3"/>
          <w:w w:val="105"/>
        </w:rPr>
        <w:t>salaries</w:t>
      </w:r>
      <w:r>
        <w:rPr>
          <w:spacing w:val="-20"/>
          <w:w w:val="105"/>
        </w:rPr>
        <w:t> </w:t>
      </w:r>
      <w:r>
        <w:rPr>
          <w:w w:val="105"/>
        </w:rPr>
        <w:t>and</w:t>
      </w:r>
      <w:r>
        <w:rPr>
          <w:spacing w:val="-20"/>
          <w:w w:val="105"/>
        </w:rPr>
        <w:t> </w:t>
      </w:r>
      <w:r>
        <w:rPr>
          <w:spacing w:val="-2"/>
          <w:w w:val="105"/>
        </w:rPr>
        <w:t>wages.</w:t>
      </w:r>
    </w:p>
    <w:p>
      <w:pPr>
        <w:pStyle w:val="BodyText"/>
        <w:spacing w:line="259" w:lineRule="auto" w:before="266"/>
        <w:ind w:left="115" w:right="110"/>
        <w:jc w:val="both"/>
      </w:pPr>
      <w:r>
        <w:rPr>
          <w:spacing w:val="-3"/>
          <w:w w:val="105"/>
        </w:rPr>
        <w:t>Agency</w:t>
      </w:r>
      <w:r>
        <w:rPr>
          <w:spacing w:val="-12"/>
          <w:w w:val="105"/>
        </w:rPr>
        <w:t> </w:t>
      </w:r>
      <w:r>
        <w:rPr>
          <w:w w:val="105"/>
        </w:rPr>
        <w:t>commissions</w:t>
      </w:r>
      <w:r>
        <w:rPr>
          <w:spacing w:val="-12"/>
          <w:w w:val="105"/>
        </w:rPr>
        <w:t> </w:t>
      </w:r>
      <w:r>
        <w:rPr>
          <w:w w:val="105"/>
        </w:rPr>
        <w:t>per</w:t>
      </w:r>
      <w:r>
        <w:rPr>
          <w:spacing w:val="-9"/>
          <w:w w:val="105"/>
        </w:rPr>
        <w:t> </w:t>
      </w:r>
      <w:r>
        <w:rPr>
          <w:spacing w:val="-5"/>
          <w:w w:val="105"/>
        </w:rPr>
        <w:t>ASM</w:t>
      </w:r>
      <w:r>
        <w:rPr>
          <w:spacing w:val="-13"/>
          <w:w w:val="105"/>
        </w:rPr>
        <w:t> </w:t>
      </w:r>
      <w:r>
        <w:rPr>
          <w:spacing w:val="-3"/>
          <w:w w:val="105"/>
        </w:rPr>
        <w:t>decreased</w:t>
      </w:r>
      <w:r>
        <w:rPr>
          <w:spacing w:val="-12"/>
          <w:w w:val="105"/>
        </w:rPr>
        <w:t> </w:t>
      </w:r>
      <w:r>
        <w:rPr>
          <w:w w:val="105"/>
        </w:rPr>
        <w:t>50.0</w:t>
      </w:r>
      <w:r>
        <w:rPr>
          <w:spacing w:val="-12"/>
          <w:w w:val="105"/>
        </w:rPr>
        <w:t> </w:t>
      </w:r>
      <w:r>
        <w:rPr>
          <w:spacing w:val="-3"/>
          <w:w w:val="105"/>
        </w:rPr>
        <w:t>percent,</w:t>
      </w:r>
      <w:r>
        <w:rPr>
          <w:spacing w:val="-11"/>
          <w:w w:val="105"/>
        </w:rPr>
        <w:t> </w:t>
      </w:r>
      <w:r>
        <w:rPr>
          <w:w w:val="105"/>
        </w:rPr>
        <w:t>primarily</w:t>
      </w:r>
      <w:r>
        <w:rPr>
          <w:spacing w:val="-12"/>
          <w:w w:val="105"/>
        </w:rPr>
        <w:t> </w:t>
      </w:r>
      <w:r>
        <w:rPr>
          <w:w w:val="105"/>
        </w:rPr>
        <w:t>due</w:t>
      </w:r>
      <w:r>
        <w:rPr>
          <w:spacing w:val="-17"/>
          <w:w w:val="105"/>
        </w:rPr>
        <w:t> </w:t>
      </w:r>
      <w:r>
        <w:rPr>
          <w:w w:val="105"/>
        </w:rPr>
        <w:t>to</w:t>
      </w:r>
      <w:r>
        <w:rPr>
          <w:spacing w:val="-8"/>
          <w:w w:val="105"/>
        </w:rPr>
        <w:t> </w:t>
      </w:r>
      <w:r>
        <w:rPr>
          <w:w w:val="105"/>
        </w:rPr>
        <w:t>a</w:t>
      </w:r>
      <w:r>
        <w:rPr>
          <w:spacing w:val="-17"/>
          <w:w w:val="105"/>
        </w:rPr>
        <w:t> </w:t>
      </w:r>
      <w:r>
        <w:rPr>
          <w:w w:val="105"/>
        </w:rPr>
        <w:t>change</w:t>
      </w:r>
      <w:r>
        <w:rPr>
          <w:spacing w:val="-13"/>
          <w:w w:val="105"/>
        </w:rPr>
        <w:t> </w:t>
      </w:r>
      <w:r>
        <w:rPr>
          <w:w w:val="105"/>
        </w:rPr>
        <w:t>in</w:t>
      </w:r>
      <w:r>
        <w:rPr>
          <w:spacing w:val="-12"/>
          <w:w w:val="105"/>
        </w:rPr>
        <w:t> </w:t>
      </w:r>
      <w:r>
        <w:rPr>
          <w:w w:val="105"/>
        </w:rPr>
        <w:t>the</w:t>
      </w:r>
      <w:r>
        <w:rPr>
          <w:spacing w:val="-9"/>
          <w:w w:val="105"/>
        </w:rPr>
        <w:t> </w:t>
      </w:r>
      <w:r>
        <w:rPr>
          <w:spacing w:val="-2"/>
          <w:w w:val="105"/>
        </w:rPr>
        <w:t>Company's</w:t>
      </w:r>
      <w:r>
        <w:rPr>
          <w:spacing w:val="-15"/>
          <w:w w:val="105"/>
        </w:rPr>
        <w:t> </w:t>
      </w:r>
      <w:r>
        <w:rPr>
          <w:w w:val="105"/>
        </w:rPr>
        <w:t>commission rate</w:t>
      </w:r>
      <w:r>
        <w:rPr>
          <w:spacing w:val="-8"/>
          <w:w w:val="105"/>
        </w:rPr>
        <w:t> </w:t>
      </w:r>
      <w:r>
        <w:rPr>
          <w:w w:val="105"/>
        </w:rPr>
        <w:t>policy.</w:t>
      </w:r>
      <w:r>
        <w:rPr>
          <w:spacing w:val="38"/>
          <w:w w:val="105"/>
        </w:rPr>
        <w:t> </w:t>
      </w:r>
      <w:r>
        <w:rPr>
          <w:spacing w:val="-3"/>
          <w:w w:val="105"/>
        </w:rPr>
        <w:t>Effective</w:t>
      </w:r>
      <w:r>
        <w:rPr>
          <w:spacing w:val="-5"/>
          <w:w w:val="105"/>
        </w:rPr>
        <w:t> </w:t>
      </w:r>
      <w:r>
        <w:rPr>
          <w:spacing w:val="-3"/>
          <w:w w:val="105"/>
        </w:rPr>
        <w:t>October</w:t>
      </w:r>
      <w:r>
        <w:rPr>
          <w:spacing w:val="-9"/>
          <w:w w:val="105"/>
        </w:rPr>
        <w:t> </w:t>
      </w:r>
      <w:r>
        <w:rPr>
          <w:w w:val="105"/>
        </w:rPr>
        <w:t>15,</w:t>
      </w:r>
      <w:r>
        <w:rPr>
          <w:spacing w:val="-10"/>
          <w:w w:val="105"/>
        </w:rPr>
        <w:t> </w:t>
      </w:r>
      <w:r>
        <w:rPr>
          <w:w w:val="105"/>
        </w:rPr>
        <w:t>2001,</w:t>
      </w:r>
      <w:r>
        <w:rPr>
          <w:spacing w:val="-10"/>
          <w:w w:val="105"/>
        </w:rPr>
        <w:t> </w:t>
      </w:r>
      <w:r>
        <w:rPr>
          <w:w w:val="105"/>
        </w:rPr>
        <w:t>the</w:t>
      </w:r>
      <w:r>
        <w:rPr>
          <w:spacing w:val="-8"/>
          <w:w w:val="105"/>
        </w:rPr>
        <w:t> </w:t>
      </w:r>
      <w:r>
        <w:rPr>
          <w:w w:val="105"/>
        </w:rPr>
        <w:t>Company</w:t>
      </w:r>
      <w:r>
        <w:rPr>
          <w:spacing w:val="-10"/>
          <w:w w:val="105"/>
        </w:rPr>
        <w:t> </w:t>
      </w:r>
      <w:r>
        <w:rPr>
          <w:w w:val="105"/>
        </w:rPr>
        <w:t>reduced</w:t>
      </w:r>
      <w:r>
        <w:rPr>
          <w:spacing w:val="-10"/>
          <w:w w:val="105"/>
        </w:rPr>
        <w:t> </w:t>
      </w:r>
      <w:r>
        <w:rPr>
          <w:w w:val="105"/>
        </w:rPr>
        <w:t>the</w:t>
      </w:r>
      <w:r>
        <w:rPr>
          <w:spacing w:val="-8"/>
          <w:w w:val="105"/>
        </w:rPr>
        <w:t> </w:t>
      </w:r>
      <w:r>
        <w:rPr>
          <w:w w:val="105"/>
        </w:rPr>
        <w:t>commission</w:t>
      </w:r>
      <w:r>
        <w:rPr>
          <w:spacing w:val="-3"/>
          <w:w w:val="105"/>
        </w:rPr>
        <w:t> </w:t>
      </w:r>
      <w:r>
        <w:rPr>
          <w:w w:val="105"/>
        </w:rPr>
        <w:t>paid</w:t>
      </w:r>
      <w:r>
        <w:rPr>
          <w:spacing w:val="-7"/>
          <w:w w:val="105"/>
        </w:rPr>
        <w:t> </w:t>
      </w:r>
      <w:r>
        <w:rPr>
          <w:w w:val="105"/>
        </w:rPr>
        <w:t>to</w:t>
      </w:r>
      <w:r>
        <w:rPr>
          <w:spacing w:val="-7"/>
          <w:w w:val="105"/>
        </w:rPr>
        <w:t> </w:t>
      </w:r>
      <w:r>
        <w:rPr>
          <w:w w:val="105"/>
        </w:rPr>
        <w:t>travel</w:t>
      </w:r>
      <w:r>
        <w:rPr>
          <w:spacing w:val="-7"/>
          <w:w w:val="105"/>
        </w:rPr>
        <w:t> </w:t>
      </w:r>
      <w:r>
        <w:rPr>
          <w:spacing w:val="-3"/>
          <w:w w:val="105"/>
        </w:rPr>
        <w:t>agents </w:t>
      </w:r>
      <w:r>
        <w:rPr>
          <w:w w:val="105"/>
        </w:rPr>
        <w:t>from</w:t>
      </w:r>
      <w:r>
        <w:rPr>
          <w:spacing w:val="-9"/>
          <w:w w:val="105"/>
        </w:rPr>
        <w:t> </w:t>
      </w:r>
      <w:r>
        <w:rPr>
          <w:w w:val="105"/>
        </w:rPr>
        <w:t>eight </w:t>
      </w:r>
      <w:r>
        <w:rPr>
          <w:spacing w:val="-3"/>
          <w:w w:val="105"/>
        </w:rPr>
        <w:t>percent</w:t>
      </w:r>
      <w:r>
        <w:rPr>
          <w:spacing w:val="-9"/>
          <w:w w:val="105"/>
        </w:rPr>
        <w:t> </w:t>
      </w:r>
      <w:r>
        <w:rPr>
          <w:w w:val="105"/>
        </w:rPr>
        <w:t>for</w:t>
      </w:r>
      <w:r>
        <w:rPr>
          <w:spacing w:val="-11"/>
          <w:w w:val="105"/>
        </w:rPr>
        <w:t> </w:t>
      </w:r>
      <w:r>
        <w:rPr>
          <w:spacing w:val="-3"/>
          <w:w w:val="105"/>
        </w:rPr>
        <w:t>Ticketless</w:t>
      </w:r>
      <w:r>
        <w:rPr>
          <w:spacing w:val="-9"/>
          <w:w w:val="105"/>
        </w:rPr>
        <w:t> </w:t>
      </w:r>
      <w:r>
        <w:rPr>
          <w:w w:val="105"/>
        </w:rPr>
        <w:t>bookings</w:t>
      </w:r>
      <w:r>
        <w:rPr>
          <w:spacing w:val="-9"/>
          <w:w w:val="105"/>
        </w:rPr>
        <w:t> </w:t>
      </w:r>
      <w:r>
        <w:rPr>
          <w:w w:val="105"/>
        </w:rPr>
        <w:t>and</w:t>
      </w:r>
      <w:r>
        <w:rPr>
          <w:spacing w:val="-9"/>
          <w:w w:val="105"/>
        </w:rPr>
        <w:t> </w:t>
      </w:r>
      <w:r>
        <w:rPr>
          <w:w w:val="105"/>
        </w:rPr>
        <w:t>five</w:t>
      </w:r>
      <w:r>
        <w:rPr>
          <w:spacing w:val="-15"/>
          <w:w w:val="105"/>
        </w:rPr>
        <w:t> </w:t>
      </w:r>
      <w:r>
        <w:rPr>
          <w:w w:val="105"/>
        </w:rPr>
        <w:t>percent</w:t>
      </w:r>
      <w:r>
        <w:rPr>
          <w:spacing w:val="-9"/>
          <w:w w:val="105"/>
        </w:rPr>
        <w:t> </w:t>
      </w:r>
      <w:r>
        <w:rPr>
          <w:w w:val="105"/>
        </w:rPr>
        <w:t>for</w:t>
      </w:r>
      <w:r>
        <w:rPr>
          <w:spacing w:val="-11"/>
          <w:w w:val="105"/>
        </w:rPr>
        <w:t> </w:t>
      </w:r>
      <w:r>
        <w:rPr>
          <w:spacing w:val="-3"/>
          <w:w w:val="105"/>
        </w:rPr>
        <w:t>paper</w:t>
      </w:r>
      <w:r>
        <w:rPr>
          <w:spacing w:val="-11"/>
          <w:w w:val="105"/>
        </w:rPr>
        <w:t> </w:t>
      </w:r>
      <w:r>
        <w:rPr>
          <w:w w:val="105"/>
        </w:rPr>
        <w:t>ticket</w:t>
      </w:r>
      <w:r>
        <w:rPr>
          <w:spacing w:val="-9"/>
          <w:w w:val="105"/>
        </w:rPr>
        <w:t> </w:t>
      </w:r>
      <w:r>
        <w:rPr>
          <w:w w:val="105"/>
        </w:rPr>
        <w:t>bookings,</w:t>
      </w:r>
      <w:r>
        <w:rPr>
          <w:spacing w:val="-12"/>
          <w:w w:val="105"/>
        </w:rPr>
        <w:t> </w:t>
      </w:r>
      <w:r>
        <w:rPr>
          <w:w w:val="105"/>
        </w:rPr>
        <w:t>to</w:t>
      </w:r>
      <w:r>
        <w:rPr>
          <w:spacing w:val="-9"/>
          <w:w w:val="105"/>
        </w:rPr>
        <w:t> </w:t>
      </w:r>
      <w:r>
        <w:rPr>
          <w:w w:val="105"/>
        </w:rPr>
        <w:t>five</w:t>
      </w:r>
      <w:r>
        <w:rPr>
          <w:spacing w:val="-11"/>
          <w:w w:val="105"/>
        </w:rPr>
        <w:t> </w:t>
      </w:r>
      <w:r>
        <w:rPr>
          <w:spacing w:val="-3"/>
          <w:w w:val="105"/>
        </w:rPr>
        <w:t>percent,</w:t>
      </w:r>
      <w:r>
        <w:rPr>
          <w:spacing w:val="-8"/>
          <w:w w:val="105"/>
        </w:rPr>
        <w:t> </w:t>
      </w:r>
      <w:r>
        <w:rPr>
          <w:spacing w:val="-3"/>
          <w:w w:val="105"/>
        </w:rPr>
        <w:t>regardless</w:t>
      </w:r>
      <w:r>
        <w:rPr>
          <w:spacing w:val="-9"/>
          <w:w w:val="105"/>
        </w:rPr>
        <w:t> </w:t>
      </w:r>
      <w:r>
        <w:rPr>
          <w:w w:val="105"/>
        </w:rPr>
        <w:t>of</w:t>
      </w:r>
      <w:r>
        <w:rPr>
          <w:spacing w:val="-11"/>
          <w:w w:val="105"/>
        </w:rPr>
        <w:t> </w:t>
      </w:r>
      <w:r>
        <w:rPr>
          <w:w w:val="105"/>
        </w:rPr>
        <w:t>the</w:t>
      </w:r>
      <w:r>
        <w:rPr>
          <w:spacing w:val="-11"/>
          <w:w w:val="105"/>
        </w:rPr>
        <w:t> </w:t>
      </w:r>
      <w:r>
        <w:rPr>
          <w:w w:val="105"/>
        </w:rPr>
        <w:t>type of ticket sold. In addition, the mix of tickets sold through travel agents </w:t>
      </w:r>
      <w:r>
        <w:rPr>
          <w:spacing w:val="-3"/>
          <w:w w:val="105"/>
        </w:rPr>
        <w:t>declined </w:t>
      </w:r>
      <w:r>
        <w:rPr>
          <w:w w:val="105"/>
        </w:rPr>
        <w:t>from 25 </w:t>
      </w:r>
      <w:r>
        <w:rPr>
          <w:spacing w:val="-3"/>
          <w:w w:val="105"/>
        </w:rPr>
        <w:t>percent </w:t>
      </w:r>
      <w:r>
        <w:rPr>
          <w:w w:val="105"/>
        </w:rPr>
        <w:t>of total revenues</w:t>
      </w:r>
      <w:r>
        <w:rPr>
          <w:spacing w:val="-30"/>
          <w:w w:val="105"/>
        </w:rPr>
        <w:t> </w:t>
      </w:r>
      <w:r>
        <w:rPr>
          <w:w w:val="105"/>
        </w:rPr>
        <w:t>in</w:t>
      </w:r>
      <w:r>
        <w:rPr>
          <w:spacing w:val="-28"/>
          <w:w w:val="105"/>
        </w:rPr>
        <w:t> </w:t>
      </w:r>
      <w:r>
        <w:rPr>
          <w:w w:val="105"/>
        </w:rPr>
        <w:t>2001</w:t>
      </w:r>
      <w:r>
        <w:rPr>
          <w:spacing w:val="-30"/>
          <w:w w:val="105"/>
        </w:rPr>
        <w:t> </w:t>
      </w:r>
      <w:r>
        <w:rPr>
          <w:w w:val="105"/>
        </w:rPr>
        <w:t>to</w:t>
      </w:r>
      <w:r>
        <w:rPr>
          <w:spacing w:val="-28"/>
          <w:w w:val="105"/>
        </w:rPr>
        <w:t> </w:t>
      </w:r>
      <w:r>
        <w:rPr>
          <w:w w:val="105"/>
        </w:rPr>
        <w:t>20</w:t>
      </w:r>
      <w:r>
        <w:rPr>
          <w:spacing w:val="-28"/>
          <w:w w:val="105"/>
        </w:rPr>
        <w:t> </w:t>
      </w:r>
      <w:r>
        <w:rPr>
          <w:spacing w:val="-3"/>
          <w:w w:val="105"/>
        </w:rPr>
        <w:t>percent</w:t>
      </w:r>
      <w:r>
        <w:rPr>
          <w:spacing w:val="-28"/>
          <w:w w:val="105"/>
        </w:rPr>
        <w:t> </w:t>
      </w:r>
      <w:r>
        <w:rPr>
          <w:w w:val="105"/>
        </w:rPr>
        <w:t>in</w:t>
      </w:r>
      <w:r>
        <w:rPr>
          <w:spacing w:val="-28"/>
          <w:w w:val="105"/>
        </w:rPr>
        <w:t> </w:t>
      </w:r>
      <w:r>
        <w:rPr>
          <w:w w:val="105"/>
        </w:rPr>
        <w:t>2002,</w:t>
      </w:r>
      <w:r>
        <w:rPr>
          <w:spacing w:val="-30"/>
          <w:w w:val="105"/>
        </w:rPr>
        <w:t> </w:t>
      </w:r>
      <w:r>
        <w:rPr>
          <w:w w:val="105"/>
        </w:rPr>
        <w:t>thereby</w:t>
      </w:r>
      <w:r>
        <w:rPr>
          <w:spacing w:val="-28"/>
          <w:w w:val="105"/>
        </w:rPr>
        <w:t> </w:t>
      </w:r>
      <w:r>
        <w:rPr>
          <w:w w:val="105"/>
        </w:rPr>
        <w:t>reducing</w:t>
      </w:r>
      <w:r>
        <w:rPr>
          <w:spacing w:val="-30"/>
          <w:w w:val="105"/>
        </w:rPr>
        <w:t> </w:t>
      </w:r>
      <w:r>
        <w:rPr>
          <w:w w:val="105"/>
        </w:rPr>
        <w:t>commissionable</w:t>
      </w:r>
      <w:r>
        <w:rPr>
          <w:spacing w:val="-29"/>
          <w:w w:val="105"/>
        </w:rPr>
        <w:t> </w:t>
      </w:r>
      <w:r>
        <w:rPr>
          <w:w w:val="105"/>
        </w:rPr>
        <w:t>revenues</w:t>
      </w:r>
      <w:r>
        <w:rPr>
          <w:spacing w:val="-30"/>
          <w:w w:val="105"/>
        </w:rPr>
        <w:t> </w:t>
      </w:r>
      <w:r>
        <w:rPr>
          <w:w w:val="105"/>
        </w:rPr>
        <w:t>and</w:t>
      </w:r>
      <w:r>
        <w:rPr>
          <w:spacing w:val="-28"/>
          <w:w w:val="105"/>
        </w:rPr>
        <w:t> </w:t>
      </w:r>
      <w:r>
        <w:rPr>
          <w:w w:val="105"/>
        </w:rPr>
        <w:t>commission</w:t>
      </w:r>
      <w:r>
        <w:rPr>
          <w:spacing w:val="-28"/>
          <w:w w:val="105"/>
        </w:rPr>
        <w:t> </w:t>
      </w:r>
      <w:r>
        <w:rPr>
          <w:w w:val="105"/>
        </w:rPr>
        <w:t>expense.</w:t>
      </w:r>
    </w:p>
    <w:p>
      <w:pPr>
        <w:pStyle w:val="BodyText"/>
        <w:spacing w:line="218" w:lineRule="auto" w:before="213"/>
        <w:ind w:left="115" w:right="110"/>
        <w:jc w:val="both"/>
      </w:pPr>
      <w:r>
        <w:rPr>
          <w:w w:val="105"/>
        </w:rPr>
        <w:t>Aircraft</w:t>
      </w:r>
      <w:r>
        <w:rPr>
          <w:spacing w:val="-7"/>
          <w:w w:val="105"/>
        </w:rPr>
        <w:t> </w:t>
      </w:r>
      <w:r>
        <w:rPr>
          <w:w w:val="105"/>
        </w:rPr>
        <w:t>rentals</w:t>
      </w:r>
      <w:r>
        <w:rPr>
          <w:spacing w:val="-7"/>
          <w:w w:val="105"/>
        </w:rPr>
        <w:t> </w:t>
      </w:r>
      <w:r>
        <w:rPr>
          <w:w w:val="105"/>
        </w:rPr>
        <w:t>per</w:t>
      </w:r>
      <w:r>
        <w:rPr>
          <w:spacing w:val="-6"/>
          <w:w w:val="105"/>
        </w:rPr>
        <w:t> </w:t>
      </w:r>
      <w:r>
        <w:rPr>
          <w:w w:val="105"/>
        </w:rPr>
        <w:t>ASM</w:t>
      </w:r>
      <w:r>
        <w:rPr>
          <w:spacing w:val="-7"/>
          <w:w w:val="105"/>
        </w:rPr>
        <w:t> </w:t>
      </w:r>
      <w:r>
        <w:rPr>
          <w:w w:val="105"/>
        </w:rPr>
        <w:t>and</w:t>
      </w:r>
      <w:r>
        <w:rPr>
          <w:spacing w:val="-6"/>
          <w:w w:val="105"/>
        </w:rPr>
        <w:t> </w:t>
      </w:r>
      <w:r>
        <w:rPr>
          <w:w w:val="105"/>
        </w:rPr>
        <w:t>depreciation</w:t>
      </w:r>
      <w:r>
        <w:rPr>
          <w:spacing w:val="-9"/>
          <w:w w:val="105"/>
        </w:rPr>
        <w:t> </w:t>
      </w:r>
      <w:r>
        <w:rPr>
          <w:w w:val="105"/>
        </w:rPr>
        <w:t>expense</w:t>
      </w:r>
      <w:r>
        <w:rPr>
          <w:spacing w:val="-11"/>
          <w:w w:val="105"/>
        </w:rPr>
        <w:t> </w:t>
      </w:r>
      <w:r>
        <w:rPr>
          <w:spacing w:val="-3"/>
          <w:w w:val="105"/>
        </w:rPr>
        <w:t>per</w:t>
      </w:r>
      <w:r>
        <w:rPr>
          <w:spacing w:val="-6"/>
          <w:w w:val="105"/>
        </w:rPr>
        <w:t> </w:t>
      </w:r>
      <w:r>
        <w:rPr>
          <w:spacing w:val="-3"/>
          <w:w w:val="105"/>
        </w:rPr>
        <w:t>ASM</w:t>
      </w:r>
      <w:r>
        <w:rPr>
          <w:spacing w:val="-11"/>
          <w:w w:val="105"/>
        </w:rPr>
        <w:t> </w:t>
      </w:r>
      <w:r>
        <w:rPr>
          <w:spacing w:val="-4"/>
          <w:w w:val="105"/>
        </w:rPr>
        <w:t>were</w:t>
      </w:r>
      <w:r>
        <w:rPr>
          <w:spacing w:val="-14"/>
          <w:w w:val="105"/>
        </w:rPr>
        <w:t> </w:t>
      </w:r>
      <w:r>
        <w:rPr>
          <w:w w:val="105"/>
        </w:rPr>
        <w:t>both</w:t>
      </w:r>
      <w:r>
        <w:rPr>
          <w:spacing w:val="-13"/>
          <w:w w:val="105"/>
        </w:rPr>
        <w:t> </w:t>
      </w:r>
      <w:r>
        <w:rPr>
          <w:w w:val="105"/>
        </w:rPr>
        <w:t>impacted</w:t>
      </w:r>
      <w:r>
        <w:rPr>
          <w:spacing w:val="-5"/>
          <w:w w:val="105"/>
        </w:rPr>
        <w:t> </w:t>
      </w:r>
      <w:r>
        <w:rPr>
          <w:w w:val="105"/>
        </w:rPr>
        <w:t>by</w:t>
      </w:r>
      <w:r>
        <w:rPr>
          <w:spacing w:val="-9"/>
          <w:w w:val="105"/>
        </w:rPr>
        <w:t> </w:t>
      </w:r>
      <w:r>
        <w:rPr>
          <w:w w:val="105"/>
        </w:rPr>
        <w:t>a</w:t>
      </w:r>
      <w:r>
        <w:rPr>
          <w:spacing w:val="-6"/>
          <w:w w:val="105"/>
        </w:rPr>
        <w:t> </w:t>
      </w:r>
      <w:r>
        <w:rPr>
          <w:w w:val="105"/>
        </w:rPr>
        <w:t>higher</w:t>
      </w:r>
      <w:r>
        <w:rPr>
          <w:spacing w:val="-7"/>
          <w:w w:val="105"/>
        </w:rPr>
        <w:t> </w:t>
      </w:r>
      <w:r>
        <w:rPr>
          <w:w w:val="105"/>
        </w:rPr>
        <w:t>percentage</w:t>
      </w:r>
      <w:r>
        <w:rPr>
          <w:spacing w:val="-7"/>
          <w:w w:val="105"/>
        </w:rPr>
        <w:t> </w:t>
      </w:r>
      <w:r>
        <w:rPr>
          <w:w w:val="105"/>
        </w:rPr>
        <w:t>of</w:t>
      </w:r>
      <w:r>
        <w:rPr>
          <w:spacing w:val="-7"/>
          <w:w w:val="105"/>
        </w:rPr>
        <w:t> </w:t>
      </w:r>
      <w:r>
        <w:rPr>
          <w:w w:val="105"/>
        </w:rPr>
        <w:t>the aircraft fleet being </w:t>
      </w:r>
      <w:r>
        <w:rPr>
          <w:spacing w:val="2"/>
          <w:w w:val="105"/>
        </w:rPr>
        <w:t>owned. </w:t>
      </w:r>
      <w:r>
        <w:rPr>
          <w:w w:val="105"/>
        </w:rPr>
        <w:t>Aircraft rentals per ASM decreased 6.9 percent while depreciation expense </w:t>
      </w:r>
      <w:r>
        <w:rPr>
          <w:spacing w:val="-3"/>
          <w:w w:val="105"/>
        </w:rPr>
        <w:t>per ASM increased </w:t>
      </w:r>
      <w:r>
        <w:rPr>
          <w:w w:val="105"/>
        </w:rPr>
        <w:t>6.1 </w:t>
      </w:r>
      <w:r>
        <w:rPr>
          <w:spacing w:val="-3"/>
          <w:w w:val="105"/>
        </w:rPr>
        <w:t>percent. </w:t>
      </w:r>
      <w:r>
        <w:rPr>
          <w:spacing w:val="-2"/>
          <w:w w:val="105"/>
        </w:rPr>
        <w:t>The </w:t>
      </w:r>
      <w:r>
        <w:rPr>
          <w:w w:val="105"/>
        </w:rPr>
        <w:t>Company </w:t>
      </w:r>
      <w:r>
        <w:rPr>
          <w:spacing w:val="-3"/>
          <w:w w:val="105"/>
        </w:rPr>
        <w:t>owns </w:t>
      </w:r>
      <w:r>
        <w:rPr>
          <w:w w:val="105"/>
        </w:rPr>
        <w:t>all 23 of the </w:t>
      </w:r>
      <w:r>
        <w:rPr>
          <w:spacing w:val="-3"/>
          <w:w w:val="105"/>
        </w:rPr>
        <w:t>aircraft </w:t>
      </w:r>
      <w:r>
        <w:rPr>
          <w:w w:val="105"/>
        </w:rPr>
        <w:t>it put into service during 2002. </w:t>
      </w:r>
      <w:r>
        <w:rPr>
          <w:spacing w:val="-3"/>
          <w:w w:val="105"/>
        </w:rPr>
        <w:t>This, </w:t>
      </w:r>
      <w:r>
        <w:rPr>
          <w:w w:val="105"/>
        </w:rPr>
        <w:t>along</w:t>
      </w:r>
      <w:r>
        <w:rPr>
          <w:spacing w:val="-7"/>
          <w:w w:val="105"/>
        </w:rPr>
        <w:t> </w:t>
      </w:r>
      <w:r>
        <w:rPr>
          <w:spacing w:val="-3"/>
          <w:w w:val="105"/>
        </w:rPr>
        <w:t>with </w:t>
      </w:r>
      <w:r>
        <w:rPr>
          <w:w w:val="105"/>
        </w:rPr>
        <w:t>the</w:t>
      </w:r>
      <w:r>
        <w:rPr>
          <w:spacing w:val="-9"/>
          <w:w w:val="105"/>
        </w:rPr>
        <w:t> </w:t>
      </w:r>
      <w:r>
        <w:rPr>
          <w:spacing w:val="-3"/>
          <w:w w:val="105"/>
        </w:rPr>
        <w:t>retirement </w:t>
      </w:r>
      <w:r>
        <w:rPr>
          <w:w w:val="105"/>
        </w:rPr>
        <w:t>of</w:t>
      </w:r>
      <w:r>
        <w:rPr>
          <w:spacing w:val="-6"/>
          <w:w w:val="105"/>
        </w:rPr>
        <w:t> </w:t>
      </w:r>
      <w:r>
        <w:rPr>
          <w:w w:val="105"/>
        </w:rPr>
        <w:t>one</w:t>
      </w:r>
      <w:r>
        <w:rPr>
          <w:spacing w:val="-9"/>
          <w:w w:val="105"/>
        </w:rPr>
        <w:t> </w:t>
      </w:r>
      <w:r>
        <w:rPr>
          <w:w w:val="105"/>
        </w:rPr>
        <w:t>owned</w:t>
      </w:r>
      <w:r>
        <w:rPr>
          <w:spacing w:val="-3"/>
          <w:w w:val="105"/>
        </w:rPr>
        <w:t> and </w:t>
      </w:r>
      <w:r>
        <w:rPr>
          <w:spacing w:val="-2"/>
          <w:w w:val="105"/>
        </w:rPr>
        <w:t>two</w:t>
      </w:r>
      <w:r>
        <w:rPr>
          <w:spacing w:val="-3"/>
          <w:w w:val="105"/>
        </w:rPr>
        <w:t> </w:t>
      </w:r>
      <w:r>
        <w:rPr>
          <w:w w:val="105"/>
        </w:rPr>
        <w:t>leased</w:t>
      </w:r>
      <w:r>
        <w:rPr>
          <w:spacing w:val="-7"/>
          <w:w w:val="105"/>
        </w:rPr>
        <w:t> </w:t>
      </w:r>
      <w:r>
        <w:rPr>
          <w:spacing w:val="-3"/>
          <w:w w:val="105"/>
        </w:rPr>
        <w:t>aircraft </w:t>
      </w:r>
      <w:r>
        <w:rPr>
          <w:w w:val="105"/>
        </w:rPr>
        <w:t>in</w:t>
      </w:r>
      <w:r>
        <w:rPr>
          <w:spacing w:val="-3"/>
          <w:w w:val="105"/>
        </w:rPr>
        <w:t> </w:t>
      </w:r>
      <w:r>
        <w:rPr>
          <w:w w:val="105"/>
        </w:rPr>
        <w:t>2002,</w:t>
      </w:r>
      <w:r>
        <w:rPr>
          <w:spacing w:val="-11"/>
          <w:w w:val="105"/>
        </w:rPr>
        <w:t> </w:t>
      </w:r>
      <w:r>
        <w:rPr>
          <w:spacing w:val="-3"/>
          <w:w w:val="105"/>
        </w:rPr>
        <w:t>increased </w:t>
      </w:r>
      <w:r>
        <w:rPr>
          <w:w w:val="105"/>
        </w:rPr>
        <w:t>the</w:t>
      </w:r>
      <w:r>
        <w:rPr>
          <w:spacing w:val="-9"/>
          <w:w w:val="105"/>
        </w:rPr>
        <w:t> </w:t>
      </w:r>
      <w:r>
        <w:rPr>
          <w:w w:val="105"/>
        </w:rPr>
        <w:t>Company’s</w:t>
      </w:r>
      <w:r>
        <w:rPr>
          <w:spacing w:val="-3"/>
          <w:w w:val="105"/>
        </w:rPr>
        <w:t> percentage</w:t>
      </w:r>
      <w:r>
        <w:rPr>
          <w:spacing w:val="-5"/>
          <w:w w:val="105"/>
        </w:rPr>
        <w:t> </w:t>
      </w:r>
      <w:r>
        <w:rPr>
          <w:w w:val="105"/>
        </w:rPr>
        <w:t>of </w:t>
      </w:r>
      <w:r>
        <w:rPr>
          <w:spacing w:val="-3"/>
          <w:w w:val="105"/>
        </w:rPr>
        <w:t>aircraft</w:t>
      </w:r>
      <w:r>
        <w:rPr>
          <w:spacing w:val="-21"/>
          <w:w w:val="105"/>
        </w:rPr>
        <w:t> </w:t>
      </w:r>
      <w:r>
        <w:rPr>
          <w:w w:val="105"/>
        </w:rPr>
        <w:t>owned</w:t>
      </w:r>
      <w:r>
        <w:rPr>
          <w:spacing w:val="-18"/>
          <w:w w:val="105"/>
        </w:rPr>
        <w:t> </w:t>
      </w:r>
      <w:r>
        <w:rPr>
          <w:w w:val="105"/>
        </w:rPr>
        <w:t>or</w:t>
      </w:r>
      <w:r>
        <w:rPr>
          <w:spacing w:val="-19"/>
          <w:w w:val="105"/>
        </w:rPr>
        <w:t> </w:t>
      </w:r>
      <w:r>
        <w:rPr>
          <w:w w:val="105"/>
        </w:rPr>
        <w:t>on</w:t>
      </w:r>
      <w:r>
        <w:rPr>
          <w:spacing w:val="-18"/>
          <w:w w:val="105"/>
        </w:rPr>
        <w:t> </w:t>
      </w:r>
      <w:r>
        <w:rPr>
          <w:w w:val="105"/>
        </w:rPr>
        <w:t>capital</w:t>
      </w:r>
      <w:r>
        <w:rPr>
          <w:spacing w:val="-18"/>
          <w:w w:val="105"/>
        </w:rPr>
        <w:t> </w:t>
      </w:r>
      <w:r>
        <w:rPr>
          <w:spacing w:val="-3"/>
          <w:w w:val="105"/>
        </w:rPr>
        <w:t>lease</w:t>
      </w:r>
      <w:r>
        <w:rPr>
          <w:spacing w:val="-19"/>
          <w:w w:val="105"/>
        </w:rPr>
        <w:t> </w:t>
      </w:r>
      <w:r>
        <w:rPr>
          <w:w w:val="105"/>
        </w:rPr>
        <w:t>to</w:t>
      </w:r>
      <w:r>
        <w:rPr>
          <w:spacing w:val="-21"/>
          <w:w w:val="105"/>
        </w:rPr>
        <w:t> </w:t>
      </w:r>
      <w:r>
        <w:rPr>
          <w:w w:val="105"/>
        </w:rPr>
        <w:t>76</w:t>
      </w:r>
      <w:r>
        <w:rPr>
          <w:spacing w:val="-21"/>
          <w:w w:val="105"/>
        </w:rPr>
        <w:t> </w:t>
      </w:r>
      <w:r>
        <w:rPr>
          <w:w w:val="105"/>
        </w:rPr>
        <w:t>percent</w:t>
      </w:r>
      <w:r>
        <w:rPr>
          <w:spacing w:val="-21"/>
          <w:w w:val="105"/>
        </w:rPr>
        <w:t> </w:t>
      </w:r>
      <w:r>
        <w:rPr>
          <w:w w:val="105"/>
        </w:rPr>
        <w:t>at</w:t>
      </w:r>
      <w:r>
        <w:rPr>
          <w:spacing w:val="-18"/>
          <w:w w:val="105"/>
        </w:rPr>
        <w:t> </w:t>
      </w:r>
      <w:r>
        <w:rPr>
          <w:spacing w:val="-4"/>
          <w:w w:val="105"/>
        </w:rPr>
        <w:t>December</w:t>
      </w:r>
      <w:r>
        <w:rPr>
          <w:spacing w:val="-19"/>
          <w:w w:val="105"/>
        </w:rPr>
        <w:t> </w:t>
      </w:r>
      <w:r>
        <w:rPr>
          <w:w w:val="105"/>
        </w:rPr>
        <w:t>31,</w:t>
      </w:r>
      <w:r>
        <w:rPr>
          <w:spacing w:val="-24"/>
          <w:w w:val="105"/>
        </w:rPr>
        <w:t> </w:t>
      </w:r>
      <w:r>
        <w:rPr>
          <w:w w:val="105"/>
        </w:rPr>
        <w:t>2002,</w:t>
      </w:r>
      <w:r>
        <w:rPr>
          <w:spacing w:val="-20"/>
          <w:w w:val="105"/>
        </w:rPr>
        <w:t> </w:t>
      </w:r>
      <w:r>
        <w:rPr>
          <w:w w:val="105"/>
        </w:rPr>
        <w:t>from</w:t>
      </w:r>
      <w:r>
        <w:rPr>
          <w:spacing w:val="-19"/>
          <w:w w:val="105"/>
        </w:rPr>
        <w:t> </w:t>
      </w:r>
      <w:r>
        <w:rPr>
          <w:w w:val="105"/>
        </w:rPr>
        <w:t>74</w:t>
      </w:r>
      <w:r>
        <w:rPr>
          <w:spacing w:val="-18"/>
          <w:w w:val="105"/>
        </w:rPr>
        <w:t> </w:t>
      </w:r>
      <w:r>
        <w:rPr>
          <w:spacing w:val="-3"/>
          <w:w w:val="105"/>
        </w:rPr>
        <w:t>percent</w:t>
      </w:r>
      <w:r>
        <w:rPr>
          <w:spacing w:val="-18"/>
          <w:w w:val="105"/>
        </w:rPr>
        <w:t> </w:t>
      </w:r>
      <w:r>
        <w:rPr>
          <w:spacing w:val="-3"/>
          <w:w w:val="105"/>
        </w:rPr>
        <w:t>at</w:t>
      </w:r>
      <w:r>
        <w:rPr>
          <w:spacing w:val="-18"/>
          <w:w w:val="105"/>
        </w:rPr>
        <w:t> </w:t>
      </w:r>
      <w:r>
        <w:rPr>
          <w:spacing w:val="-4"/>
          <w:w w:val="105"/>
        </w:rPr>
        <w:t>December</w:t>
      </w:r>
      <w:r>
        <w:rPr>
          <w:spacing w:val="-19"/>
          <w:w w:val="105"/>
        </w:rPr>
        <w:t> </w:t>
      </w:r>
      <w:r>
        <w:rPr>
          <w:w w:val="105"/>
        </w:rPr>
        <w:t>31,</w:t>
      </w:r>
      <w:r>
        <w:rPr>
          <w:spacing w:val="-20"/>
          <w:w w:val="105"/>
        </w:rPr>
        <w:t> </w:t>
      </w:r>
      <w:r>
        <w:rPr>
          <w:w w:val="105"/>
        </w:rPr>
        <w:t>2001.</w:t>
      </w:r>
    </w:p>
    <w:p>
      <w:pPr>
        <w:spacing w:after="0" w:line="218" w:lineRule="auto"/>
        <w:jc w:val="both"/>
        <w:sectPr>
          <w:pgSz w:w="12240" w:h="15840"/>
          <w:pgMar w:top="1120" w:bottom="280" w:left="1180" w:right="1180"/>
        </w:sectPr>
      </w:pPr>
    </w:p>
    <w:p>
      <w:pPr>
        <w:pStyle w:val="BodyText"/>
        <w:spacing w:line="220" w:lineRule="exact" w:before="117"/>
        <w:ind w:left="115" w:right="110"/>
        <w:jc w:val="both"/>
      </w:pPr>
      <w:bookmarkStart w:name="Liquidity and Capital Resources" w:id="30"/>
      <w:bookmarkEnd w:id="30"/>
      <w:r>
        <w:rPr/>
      </w:r>
      <w:r>
        <w:rPr>
          <w:spacing w:val="-3"/>
          <w:w w:val="105"/>
        </w:rPr>
        <w:t>ASM increased </w:t>
      </w:r>
      <w:r>
        <w:rPr>
          <w:w w:val="105"/>
        </w:rPr>
        <w:t>6.1 </w:t>
      </w:r>
      <w:r>
        <w:rPr>
          <w:spacing w:val="-3"/>
          <w:w w:val="105"/>
        </w:rPr>
        <w:t>percent. </w:t>
      </w:r>
      <w:r>
        <w:rPr>
          <w:spacing w:val="-2"/>
          <w:w w:val="105"/>
        </w:rPr>
        <w:t>The </w:t>
      </w:r>
      <w:r>
        <w:rPr>
          <w:w w:val="105"/>
        </w:rPr>
        <w:t>Company </w:t>
      </w:r>
      <w:r>
        <w:rPr>
          <w:spacing w:val="-3"/>
          <w:w w:val="105"/>
        </w:rPr>
        <w:t>owns </w:t>
      </w:r>
      <w:r>
        <w:rPr>
          <w:w w:val="105"/>
        </w:rPr>
        <w:t>all 23 of the </w:t>
      </w:r>
      <w:r>
        <w:rPr>
          <w:spacing w:val="-3"/>
          <w:w w:val="105"/>
        </w:rPr>
        <w:t>aircraft </w:t>
      </w:r>
      <w:r>
        <w:rPr>
          <w:w w:val="105"/>
        </w:rPr>
        <w:t>it put into service during 2002. </w:t>
      </w:r>
      <w:r>
        <w:rPr>
          <w:spacing w:val="-3"/>
          <w:w w:val="105"/>
        </w:rPr>
        <w:t>This, </w:t>
      </w:r>
      <w:r>
        <w:rPr>
          <w:w w:val="105"/>
        </w:rPr>
        <w:t>along</w:t>
      </w:r>
      <w:r>
        <w:rPr>
          <w:spacing w:val="-7"/>
          <w:w w:val="105"/>
        </w:rPr>
        <w:t> </w:t>
      </w:r>
      <w:r>
        <w:rPr>
          <w:spacing w:val="-3"/>
          <w:w w:val="105"/>
        </w:rPr>
        <w:t>with </w:t>
      </w:r>
      <w:r>
        <w:rPr>
          <w:w w:val="105"/>
        </w:rPr>
        <w:t>the</w:t>
      </w:r>
      <w:r>
        <w:rPr>
          <w:spacing w:val="-9"/>
          <w:w w:val="105"/>
        </w:rPr>
        <w:t> </w:t>
      </w:r>
      <w:r>
        <w:rPr>
          <w:spacing w:val="-3"/>
          <w:w w:val="105"/>
        </w:rPr>
        <w:t>retirement </w:t>
      </w:r>
      <w:r>
        <w:rPr>
          <w:w w:val="105"/>
        </w:rPr>
        <w:t>of</w:t>
      </w:r>
      <w:r>
        <w:rPr>
          <w:spacing w:val="-6"/>
          <w:w w:val="105"/>
        </w:rPr>
        <w:t> </w:t>
      </w:r>
      <w:r>
        <w:rPr>
          <w:w w:val="105"/>
        </w:rPr>
        <w:t>one</w:t>
      </w:r>
      <w:r>
        <w:rPr>
          <w:spacing w:val="-9"/>
          <w:w w:val="105"/>
        </w:rPr>
        <w:t> </w:t>
      </w:r>
      <w:r>
        <w:rPr>
          <w:w w:val="105"/>
        </w:rPr>
        <w:t>owned</w:t>
      </w:r>
      <w:r>
        <w:rPr>
          <w:spacing w:val="-3"/>
          <w:w w:val="105"/>
        </w:rPr>
        <w:t> and </w:t>
      </w:r>
      <w:r>
        <w:rPr>
          <w:spacing w:val="-2"/>
          <w:w w:val="105"/>
        </w:rPr>
        <w:t>two</w:t>
      </w:r>
      <w:r>
        <w:rPr>
          <w:spacing w:val="-3"/>
          <w:w w:val="105"/>
        </w:rPr>
        <w:t> </w:t>
      </w:r>
      <w:r>
        <w:rPr>
          <w:w w:val="105"/>
        </w:rPr>
        <w:t>leased</w:t>
      </w:r>
      <w:r>
        <w:rPr>
          <w:spacing w:val="-7"/>
          <w:w w:val="105"/>
        </w:rPr>
        <w:t> </w:t>
      </w:r>
      <w:r>
        <w:rPr>
          <w:spacing w:val="-3"/>
          <w:w w:val="105"/>
        </w:rPr>
        <w:t>aircraft </w:t>
      </w:r>
      <w:r>
        <w:rPr>
          <w:w w:val="105"/>
        </w:rPr>
        <w:t>in</w:t>
      </w:r>
      <w:r>
        <w:rPr>
          <w:spacing w:val="-3"/>
          <w:w w:val="105"/>
        </w:rPr>
        <w:t> </w:t>
      </w:r>
      <w:r>
        <w:rPr>
          <w:w w:val="105"/>
        </w:rPr>
        <w:t>2002,</w:t>
      </w:r>
      <w:r>
        <w:rPr>
          <w:spacing w:val="-11"/>
          <w:w w:val="105"/>
        </w:rPr>
        <w:t> </w:t>
      </w:r>
      <w:r>
        <w:rPr>
          <w:spacing w:val="-3"/>
          <w:w w:val="105"/>
        </w:rPr>
        <w:t>increased </w:t>
      </w:r>
      <w:r>
        <w:rPr>
          <w:w w:val="105"/>
        </w:rPr>
        <w:t>the</w:t>
      </w:r>
      <w:r>
        <w:rPr>
          <w:spacing w:val="-9"/>
          <w:w w:val="105"/>
        </w:rPr>
        <w:t> </w:t>
      </w:r>
      <w:r>
        <w:rPr>
          <w:w w:val="105"/>
        </w:rPr>
        <w:t>Company’s</w:t>
      </w:r>
      <w:r>
        <w:rPr>
          <w:spacing w:val="-3"/>
          <w:w w:val="105"/>
        </w:rPr>
        <w:t> percentage</w:t>
      </w:r>
      <w:r>
        <w:rPr>
          <w:spacing w:val="-5"/>
          <w:w w:val="105"/>
        </w:rPr>
        <w:t> </w:t>
      </w:r>
      <w:r>
        <w:rPr>
          <w:w w:val="105"/>
        </w:rPr>
        <w:t>of </w:t>
      </w:r>
      <w:r>
        <w:rPr>
          <w:spacing w:val="-3"/>
          <w:w w:val="105"/>
        </w:rPr>
        <w:t>aircraft</w:t>
      </w:r>
      <w:r>
        <w:rPr>
          <w:spacing w:val="-21"/>
          <w:w w:val="105"/>
        </w:rPr>
        <w:t> </w:t>
      </w:r>
      <w:r>
        <w:rPr>
          <w:w w:val="105"/>
        </w:rPr>
        <w:t>owned</w:t>
      </w:r>
      <w:r>
        <w:rPr>
          <w:spacing w:val="-18"/>
          <w:w w:val="105"/>
        </w:rPr>
        <w:t> </w:t>
      </w:r>
      <w:r>
        <w:rPr>
          <w:w w:val="105"/>
        </w:rPr>
        <w:t>or</w:t>
      </w:r>
      <w:r>
        <w:rPr>
          <w:spacing w:val="-19"/>
          <w:w w:val="105"/>
        </w:rPr>
        <w:t> </w:t>
      </w:r>
      <w:r>
        <w:rPr>
          <w:w w:val="105"/>
        </w:rPr>
        <w:t>on</w:t>
      </w:r>
      <w:r>
        <w:rPr>
          <w:spacing w:val="-18"/>
          <w:w w:val="105"/>
        </w:rPr>
        <w:t> </w:t>
      </w:r>
      <w:r>
        <w:rPr>
          <w:w w:val="105"/>
        </w:rPr>
        <w:t>capital</w:t>
      </w:r>
      <w:r>
        <w:rPr>
          <w:spacing w:val="-18"/>
          <w:w w:val="105"/>
        </w:rPr>
        <w:t> </w:t>
      </w:r>
      <w:r>
        <w:rPr>
          <w:spacing w:val="-3"/>
          <w:w w:val="105"/>
        </w:rPr>
        <w:t>lease</w:t>
      </w:r>
      <w:r>
        <w:rPr>
          <w:spacing w:val="-19"/>
          <w:w w:val="105"/>
        </w:rPr>
        <w:t> </w:t>
      </w:r>
      <w:r>
        <w:rPr>
          <w:w w:val="105"/>
        </w:rPr>
        <w:t>to</w:t>
      </w:r>
      <w:r>
        <w:rPr>
          <w:spacing w:val="-21"/>
          <w:w w:val="105"/>
        </w:rPr>
        <w:t> </w:t>
      </w:r>
      <w:r>
        <w:rPr>
          <w:w w:val="105"/>
        </w:rPr>
        <w:t>76</w:t>
      </w:r>
      <w:r>
        <w:rPr>
          <w:spacing w:val="-21"/>
          <w:w w:val="105"/>
        </w:rPr>
        <w:t> </w:t>
      </w:r>
      <w:r>
        <w:rPr>
          <w:w w:val="105"/>
        </w:rPr>
        <w:t>percent</w:t>
      </w:r>
      <w:r>
        <w:rPr>
          <w:spacing w:val="-21"/>
          <w:w w:val="105"/>
        </w:rPr>
        <w:t> </w:t>
      </w:r>
      <w:r>
        <w:rPr>
          <w:w w:val="105"/>
        </w:rPr>
        <w:t>at</w:t>
      </w:r>
      <w:r>
        <w:rPr>
          <w:spacing w:val="-18"/>
          <w:w w:val="105"/>
        </w:rPr>
        <w:t> </w:t>
      </w:r>
      <w:r>
        <w:rPr>
          <w:spacing w:val="-4"/>
          <w:w w:val="105"/>
        </w:rPr>
        <w:t>December</w:t>
      </w:r>
      <w:r>
        <w:rPr>
          <w:spacing w:val="-19"/>
          <w:w w:val="105"/>
        </w:rPr>
        <w:t> </w:t>
      </w:r>
      <w:r>
        <w:rPr>
          <w:w w:val="105"/>
        </w:rPr>
        <w:t>31,</w:t>
      </w:r>
      <w:r>
        <w:rPr>
          <w:spacing w:val="-24"/>
          <w:w w:val="105"/>
        </w:rPr>
        <w:t> </w:t>
      </w:r>
      <w:r>
        <w:rPr>
          <w:w w:val="105"/>
        </w:rPr>
        <w:t>2002,</w:t>
      </w:r>
      <w:r>
        <w:rPr>
          <w:spacing w:val="-20"/>
          <w:w w:val="105"/>
        </w:rPr>
        <w:t> </w:t>
      </w:r>
      <w:r>
        <w:rPr>
          <w:w w:val="105"/>
        </w:rPr>
        <w:t>from</w:t>
      </w:r>
      <w:r>
        <w:rPr>
          <w:spacing w:val="-19"/>
          <w:w w:val="105"/>
        </w:rPr>
        <w:t> </w:t>
      </w:r>
      <w:r>
        <w:rPr>
          <w:w w:val="105"/>
        </w:rPr>
        <w:t>74</w:t>
      </w:r>
      <w:r>
        <w:rPr>
          <w:spacing w:val="-18"/>
          <w:w w:val="105"/>
        </w:rPr>
        <w:t> </w:t>
      </w:r>
      <w:r>
        <w:rPr>
          <w:spacing w:val="-3"/>
          <w:w w:val="105"/>
        </w:rPr>
        <w:t>percent</w:t>
      </w:r>
      <w:r>
        <w:rPr>
          <w:spacing w:val="-18"/>
          <w:w w:val="105"/>
        </w:rPr>
        <w:t> </w:t>
      </w:r>
      <w:r>
        <w:rPr>
          <w:spacing w:val="-3"/>
          <w:w w:val="105"/>
        </w:rPr>
        <w:t>at</w:t>
      </w:r>
      <w:r>
        <w:rPr>
          <w:spacing w:val="-18"/>
          <w:w w:val="105"/>
        </w:rPr>
        <w:t> </w:t>
      </w:r>
      <w:r>
        <w:rPr>
          <w:spacing w:val="-4"/>
          <w:w w:val="105"/>
        </w:rPr>
        <w:t>December</w:t>
      </w:r>
      <w:r>
        <w:rPr>
          <w:spacing w:val="-19"/>
          <w:w w:val="105"/>
        </w:rPr>
        <w:t> </w:t>
      </w:r>
      <w:r>
        <w:rPr>
          <w:w w:val="105"/>
        </w:rPr>
        <w:t>31,</w:t>
      </w:r>
      <w:r>
        <w:rPr>
          <w:spacing w:val="-20"/>
          <w:w w:val="105"/>
        </w:rPr>
        <w:t> </w:t>
      </w:r>
      <w:r>
        <w:rPr>
          <w:w w:val="105"/>
        </w:rPr>
        <w:t>2001.</w:t>
      </w:r>
    </w:p>
    <w:p>
      <w:pPr>
        <w:pStyle w:val="BodyText"/>
        <w:spacing w:line="220" w:lineRule="exact" w:before="217"/>
        <w:ind w:left="115" w:right="110"/>
        <w:jc w:val="both"/>
      </w:pPr>
      <w:r>
        <w:rPr>
          <w:spacing w:val="-3"/>
          <w:w w:val="105"/>
        </w:rPr>
        <w:t>Landing fees </w:t>
      </w:r>
      <w:r>
        <w:rPr>
          <w:w w:val="105"/>
        </w:rPr>
        <w:t>and other rentals </w:t>
      </w:r>
      <w:r>
        <w:rPr>
          <w:spacing w:val="-3"/>
          <w:w w:val="105"/>
        </w:rPr>
        <w:t>per ASM increased </w:t>
      </w:r>
      <w:r>
        <w:rPr>
          <w:w w:val="105"/>
        </w:rPr>
        <w:t>4.2 </w:t>
      </w:r>
      <w:r>
        <w:rPr>
          <w:spacing w:val="-3"/>
          <w:w w:val="105"/>
        </w:rPr>
        <w:t>percent </w:t>
      </w:r>
      <w:r>
        <w:rPr>
          <w:w w:val="105"/>
        </w:rPr>
        <w:t>primarily </w:t>
      </w:r>
      <w:r>
        <w:rPr>
          <w:spacing w:val="-3"/>
          <w:w w:val="105"/>
        </w:rPr>
        <w:t>as </w:t>
      </w:r>
      <w:r>
        <w:rPr>
          <w:w w:val="105"/>
        </w:rPr>
        <w:t>a </w:t>
      </w:r>
      <w:r>
        <w:rPr>
          <w:spacing w:val="-3"/>
          <w:w w:val="105"/>
        </w:rPr>
        <w:t>result </w:t>
      </w:r>
      <w:r>
        <w:rPr>
          <w:w w:val="105"/>
        </w:rPr>
        <w:t>of airport rate </w:t>
      </w:r>
      <w:r>
        <w:rPr>
          <w:spacing w:val="-3"/>
          <w:w w:val="105"/>
        </w:rPr>
        <w:t>increases </w:t>
      </w:r>
      <w:r>
        <w:rPr>
          <w:w w:val="105"/>
        </w:rPr>
        <w:t>throughout</w:t>
      </w:r>
      <w:r>
        <w:rPr>
          <w:spacing w:val="-10"/>
          <w:w w:val="105"/>
        </w:rPr>
        <w:t> </w:t>
      </w:r>
      <w:r>
        <w:rPr>
          <w:w w:val="105"/>
        </w:rPr>
        <w:t>the</w:t>
      </w:r>
      <w:r>
        <w:rPr>
          <w:spacing w:val="-9"/>
          <w:w w:val="105"/>
        </w:rPr>
        <w:t> </w:t>
      </w:r>
      <w:r>
        <w:rPr>
          <w:w w:val="105"/>
        </w:rPr>
        <w:t>Company’s</w:t>
      </w:r>
      <w:r>
        <w:rPr>
          <w:spacing w:val="-14"/>
          <w:w w:val="105"/>
        </w:rPr>
        <w:t> </w:t>
      </w:r>
      <w:r>
        <w:rPr>
          <w:w w:val="105"/>
        </w:rPr>
        <w:t>system.</w:t>
      </w:r>
      <w:r>
        <w:rPr>
          <w:spacing w:val="31"/>
          <w:w w:val="105"/>
        </w:rPr>
        <w:t> </w:t>
      </w:r>
      <w:r>
        <w:rPr>
          <w:spacing w:val="-3"/>
          <w:w w:val="105"/>
        </w:rPr>
        <w:t>Moreover,</w:t>
      </w:r>
      <w:r>
        <w:rPr>
          <w:spacing w:val="-13"/>
          <w:w w:val="105"/>
        </w:rPr>
        <w:t> </w:t>
      </w:r>
      <w:r>
        <w:rPr>
          <w:w w:val="105"/>
        </w:rPr>
        <w:t>following</w:t>
      </w:r>
      <w:r>
        <w:rPr>
          <w:spacing w:val="-14"/>
          <w:w w:val="105"/>
        </w:rPr>
        <w:t> </w:t>
      </w:r>
      <w:r>
        <w:rPr>
          <w:w w:val="105"/>
        </w:rPr>
        <w:t>the</w:t>
      </w:r>
      <w:r>
        <w:rPr>
          <w:spacing w:val="-12"/>
          <w:w w:val="105"/>
        </w:rPr>
        <w:t> </w:t>
      </w:r>
      <w:r>
        <w:rPr>
          <w:w w:val="105"/>
        </w:rPr>
        <w:t>terrorist</w:t>
      </w:r>
      <w:r>
        <w:rPr>
          <w:spacing w:val="-10"/>
          <w:w w:val="105"/>
        </w:rPr>
        <w:t> </w:t>
      </w:r>
      <w:r>
        <w:rPr>
          <w:spacing w:val="-3"/>
          <w:w w:val="105"/>
        </w:rPr>
        <w:t>attacks,</w:t>
      </w:r>
      <w:r>
        <w:rPr>
          <w:spacing w:val="-9"/>
          <w:w w:val="105"/>
        </w:rPr>
        <w:t> </w:t>
      </w:r>
      <w:r>
        <w:rPr>
          <w:w w:val="105"/>
        </w:rPr>
        <w:t>most</w:t>
      </w:r>
      <w:r>
        <w:rPr>
          <w:spacing w:val="-10"/>
          <w:w w:val="105"/>
        </w:rPr>
        <w:t> </w:t>
      </w:r>
      <w:r>
        <w:rPr>
          <w:w w:val="105"/>
        </w:rPr>
        <w:t>other</w:t>
      </w:r>
      <w:r>
        <w:rPr>
          <w:spacing w:val="-12"/>
          <w:w w:val="105"/>
        </w:rPr>
        <w:t> </w:t>
      </w:r>
      <w:r>
        <w:rPr>
          <w:w w:val="105"/>
        </w:rPr>
        <w:t>major</w:t>
      </w:r>
      <w:r>
        <w:rPr>
          <w:spacing w:val="-15"/>
          <w:w w:val="105"/>
        </w:rPr>
        <w:t> </w:t>
      </w:r>
      <w:r>
        <w:rPr>
          <w:w w:val="105"/>
        </w:rPr>
        <w:t>airlines</w:t>
      </w:r>
      <w:r>
        <w:rPr>
          <w:spacing w:val="-10"/>
          <w:w w:val="105"/>
        </w:rPr>
        <w:t> </w:t>
      </w:r>
      <w:r>
        <w:rPr>
          <w:spacing w:val="-3"/>
          <w:w w:val="105"/>
        </w:rPr>
        <w:t>reduced </w:t>
      </w:r>
      <w:r>
        <w:rPr>
          <w:w w:val="105"/>
        </w:rPr>
        <w:t>their flight schedules due to the drop in air travel. </w:t>
      </w:r>
      <w:r>
        <w:rPr>
          <w:spacing w:val="-3"/>
          <w:w w:val="105"/>
        </w:rPr>
        <w:t>Since </w:t>
      </w:r>
      <w:r>
        <w:rPr>
          <w:w w:val="105"/>
        </w:rPr>
        <w:t>Southwest did not reduce its flights, the Company incurred</w:t>
      </w:r>
      <w:r>
        <w:rPr>
          <w:spacing w:val="-27"/>
          <w:w w:val="105"/>
        </w:rPr>
        <w:t> </w:t>
      </w:r>
      <w:r>
        <w:rPr>
          <w:w w:val="105"/>
        </w:rPr>
        <w:t>higher</w:t>
      </w:r>
      <w:r>
        <w:rPr>
          <w:spacing w:val="-26"/>
          <w:w w:val="105"/>
        </w:rPr>
        <w:t> </w:t>
      </w:r>
      <w:r>
        <w:rPr>
          <w:w w:val="105"/>
        </w:rPr>
        <w:t>airport</w:t>
      </w:r>
      <w:r>
        <w:rPr>
          <w:spacing w:val="-25"/>
          <w:w w:val="105"/>
        </w:rPr>
        <w:t> </w:t>
      </w:r>
      <w:r>
        <w:rPr>
          <w:w w:val="105"/>
        </w:rPr>
        <w:t>costs</w:t>
      </w:r>
      <w:r>
        <w:rPr>
          <w:spacing w:val="-27"/>
          <w:w w:val="105"/>
        </w:rPr>
        <w:t> </w:t>
      </w:r>
      <w:r>
        <w:rPr>
          <w:w w:val="105"/>
        </w:rPr>
        <w:t>based</w:t>
      </w:r>
      <w:r>
        <w:rPr>
          <w:spacing w:val="-25"/>
          <w:w w:val="105"/>
        </w:rPr>
        <w:t> </w:t>
      </w:r>
      <w:r>
        <w:rPr>
          <w:w w:val="105"/>
        </w:rPr>
        <w:t>on</w:t>
      </w:r>
      <w:r>
        <w:rPr>
          <w:spacing w:val="-25"/>
          <w:w w:val="105"/>
        </w:rPr>
        <w:t> </w:t>
      </w:r>
      <w:r>
        <w:rPr>
          <w:w w:val="105"/>
        </w:rPr>
        <w:t>a</w:t>
      </w:r>
      <w:r>
        <w:rPr>
          <w:spacing w:val="-29"/>
          <w:w w:val="105"/>
        </w:rPr>
        <w:t> </w:t>
      </w:r>
      <w:r>
        <w:rPr>
          <w:w w:val="105"/>
        </w:rPr>
        <w:t>greater</w:t>
      </w:r>
      <w:r>
        <w:rPr>
          <w:spacing w:val="-29"/>
          <w:w w:val="105"/>
        </w:rPr>
        <w:t> </w:t>
      </w:r>
      <w:r>
        <w:rPr>
          <w:w w:val="105"/>
        </w:rPr>
        <w:t>relative</w:t>
      </w:r>
      <w:r>
        <w:rPr>
          <w:spacing w:val="-26"/>
          <w:w w:val="105"/>
        </w:rPr>
        <w:t> </w:t>
      </w:r>
      <w:r>
        <w:rPr>
          <w:spacing w:val="-3"/>
          <w:w w:val="105"/>
        </w:rPr>
        <w:t>share</w:t>
      </w:r>
      <w:r>
        <w:rPr>
          <w:spacing w:val="-26"/>
          <w:w w:val="105"/>
        </w:rPr>
        <w:t> </w:t>
      </w:r>
      <w:r>
        <w:rPr>
          <w:w w:val="105"/>
        </w:rPr>
        <w:t>of</w:t>
      </w:r>
      <w:r>
        <w:rPr>
          <w:spacing w:val="-26"/>
          <w:w w:val="105"/>
        </w:rPr>
        <w:t> </w:t>
      </w:r>
      <w:r>
        <w:rPr>
          <w:w w:val="105"/>
        </w:rPr>
        <w:t>total</w:t>
      </w:r>
      <w:r>
        <w:rPr>
          <w:spacing w:val="-27"/>
          <w:w w:val="105"/>
        </w:rPr>
        <w:t> </w:t>
      </w:r>
      <w:r>
        <w:rPr>
          <w:w w:val="105"/>
        </w:rPr>
        <w:t>flights</w:t>
      </w:r>
      <w:r>
        <w:rPr>
          <w:spacing w:val="-27"/>
          <w:w w:val="105"/>
        </w:rPr>
        <w:t> </w:t>
      </w:r>
      <w:r>
        <w:rPr>
          <w:w w:val="105"/>
        </w:rPr>
        <w:t>and</w:t>
      </w:r>
      <w:r>
        <w:rPr>
          <w:spacing w:val="-25"/>
          <w:w w:val="105"/>
        </w:rPr>
        <w:t> </w:t>
      </w:r>
      <w:r>
        <w:rPr>
          <w:w w:val="105"/>
        </w:rPr>
        <w:t>passengers.</w:t>
      </w:r>
    </w:p>
    <w:p>
      <w:pPr>
        <w:pStyle w:val="BodyText"/>
        <w:spacing w:line="218" w:lineRule="auto" w:before="219"/>
        <w:ind w:left="115" w:right="107"/>
        <w:jc w:val="both"/>
      </w:pPr>
      <w:r>
        <w:rPr>
          <w:w w:val="105"/>
        </w:rPr>
        <w:t>Other</w:t>
      </w:r>
      <w:r>
        <w:rPr>
          <w:spacing w:val="-12"/>
          <w:w w:val="105"/>
        </w:rPr>
        <w:t> </w:t>
      </w:r>
      <w:r>
        <w:rPr>
          <w:w w:val="105"/>
        </w:rPr>
        <w:t>operating</w:t>
      </w:r>
      <w:r>
        <w:rPr>
          <w:spacing w:val="-7"/>
          <w:w w:val="105"/>
        </w:rPr>
        <w:t> </w:t>
      </w:r>
      <w:r>
        <w:rPr>
          <w:w w:val="105"/>
        </w:rPr>
        <w:t>expenses</w:t>
      </w:r>
      <w:r>
        <w:rPr>
          <w:spacing w:val="-7"/>
          <w:w w:val="105"/>
        </w:rPr>
        <w:t> </w:t>
      </w:r>
      <w:r>
        <w:rPr>
          <w:w w:val="105"/>
        </w:rPr>
        <w:t>per</w:t>
      </w:r>
      <w:r>
        <w:rPr>
          <w:spacing w:val="-9"/>
          <w:w w:val="105"/>
        </w:rPr>
        <w:t> </w:t>
      </w:r>
      <w:r>
        <w:rPr>
          <w:spacing w:val="-3"/>
          <w:w w:val="105"/>
        </w:rPr>
        <w:t>ASM</w:t>
      </w:r>
      <w:r>
        <w:rPr>
          <w:spacing w:val="-12"/>
          <w:w w:val="105"/>
        </w:rPr>
        <w:t> </w:t>
      </w:r>
      <w:r>
        <w:rPr>
          <w:spacing w:val="-3"/>
          <w:w w:val="105"/>
        </w:rPr>
        <w:t>decreased</w:t>
      </w:r>
      <w:r>
        <w:rPr>
          <w:spacing w:val="-7"/>
          <w:w w:val="105"/>
        </w:rPr>
        <w:t> </w:t>
      </w:r>
      <w:r>
        <w:rPr>
          <w:w w:val="105"/>
        </w:rPr>
        <w:t>1.3</w:t>
      </w:r>
      <w:r>
        <w:rPr>
          <w:spacing w:val="-3"/>
          <w:w w:val="105"/>
        </w:rPr>
        <w:t> percent</w:t>
      </w:r>
      <w:r>
        <w:rPr>
          <w:spacing w:val="-7"/>
          <w:w w:val="105"/>
        </w:rPr>
        <w:t> </w:t>
      </w:r>
      <w:r>
        <w:rPr>
          <w:w w:val="105"/>
        </w:rPr>
        <w:t>despite</w:t>
      </w:r>
      <w:r>
        <w:rPr>
          <w:spacing w:val="-8"/>
          <w:w w:val="105"/>
        </w:rPr>
        <w:t> </w:t>
      </w:r>
      <w:r>
        <w:rPr>
          <w:w w:val="105"/>
        </w:rPr>
        <w:t>a</w:t>
      </w:r>
      <w:r>
        <w:rPr>
          <w:spacing w:val="-12"/>
          <w:w w:val="105"/>
        </w:rPr>
        <w:t> </w:t>
      </w:r>
      <w:r>
        <w:rPr>
          <w:spacing w:val="-3"/>
          <w:w w:val="105"/>
        </w:rPr>
        <w:t>per-ASM</w:t>
      </w:r>
      <w:r>
        <w:rPr>
          <w:spacing w:val="-9"/>
          <w:w w:val="105"/>
        </w:rPr>
        <w:t> </w:t>
      </w:r>
      <w:r>
        <w:rPr>
          <w:w w:val="105"/>
        </w:rPr>
        <w:t>increase</w:t>
      </w:r>
      <w:r>
        <w:rPr>
          <w:spacing w:val="-8"/>
          <w:w w:val="105"/>
        </w:rPr>
        <w:t> </w:t>
      </w:r>
      <w:r>
        <w:rPr>
          <w:w w:val="105"/>
        </w:rPr>
        <w:t>of</w:t>
      </w:r>
      <w:r>
        <w:rPr>
          <w:spacing w:val="-9"/>
          <w:w w:val="105"/>
        </w:rPr>
        <w:t> </w:t>
      </w:r>
      <w:r>
        <w:rPr>
          <w:w w:val="105"/>
        </w:rPr>
        <w:t>more</w:t>
      </w:r>
      <w:r>
        <w:rPr>
          <w:spacing w:val="-8"/>
          <w:w w:val="105"/>
        </w:rPr>
        <w:t> </w:t>
      </w:r>
      <w:r>
        <w:rPr>
          <w:w w:val="105"/>
        </w:rPr>
        <w:t>than</w:t>
      </w:r>
      <w:r>
        <w:rPr>
          <w:spacing w:val="-3"/>
          <w:w w:val="105"/>
        </w:rPr>
        <w:t> </w:t>
      </w:r>
      <w:r>
        <w:rPr>
          <w:w w:val="105"/>
        </w:rPr>
        <w:t>175</w:t>
      </w:r>
      <w:r>
        <w:rPr>
          <w:spacing w:val="-7"/>
          <w:w w:val="105"/>
        </w:rPr>
        <w:t> </w:t>
      </w:r>
      <w:r>
        <w:rPr>
          <w:spacing w:val="-3"/>
          <w:w w:val="105"/>
        </w:rPr>
        <w:t>percent </w:t>
      </w:r>
      <w:r>
        <w:rPr>
          <w:w w:val="105"/>
        </w:rPr>
        <w:t>in aviation insurance costs. The insurance cost </w:t>
      </w:r>
      <w:r>
        <w:rPr>
          <w:spacing w:val="-3"/>
          <w:w w:val="105"/>
        </w:rPr>
        <w:t>increases </w:t>
      </w:r>
      <w:r>
        <w:rPr>
          <w:spacing w:val="-4"/>
          <w:w w:val="105"/>
        </w:rPr>
        <w:t>were </w:t>
      </w:r>
      <w:r>
        <w:rPr>
          <w:w w:val="105"/>
        </w:rPr>
        <w:t>more than offset through various cost control measures</w:t>
      </w:r>
      <w:r>
        <w:rPr>
          <w:spacing w:val="-16"/>
          <w:w w:val="105"/>
        </w:rPr>
        <w:t> </w:t>
      </w:r>
      <w:r>
        <w:rPr>
          <w:w w:val="105"/>
        </w:rPr>
        <w:t>implemented</w:t>
      </w:r>
      <w:r>
        <w:rPr>
          <w:spacing w:val="-13"/>
          <w:w w:val="105"/>
        </w:rPr>
        <w:t> </w:t>
      </w:r>
      <w:r>
        <w:rPr>
          <w:w w:val="105"/>
        </w:rPr>
        <w:t>immediately</w:t>
      </w:r>
      <w:r>
        <w:rPr>
          <w:spacing w:val="-13"/>
          <w:w w:val="105"/>
        </w:rPr>
        <w:t> </w:t>
      </w:r>
      <w:r>
        <w:rPr>
          <w:w w:val="105"/>
        </w:rPr>
        <w:t>following</w:t>
      </w:r>
      <w:r>
        <w:rPr>
          <w:spacing w:val="-13"/>
          <w:w w:val="105"/>
        </w:rPr>
        <w:t> </w:t>
      </w:r>
      <w:r>
        <w:rPr>
          <w:w w:val="105"/>
        </w:rPr>
        <w:t>the</w:t>
      </w:r>
      <w:r>
        <w:rPr>
          <w:spacing w:val="-15"/>
          <w:w w:val="105"/>
        </w:rPr>
        <w:t> </w:t>
      </w:r>
      <w:r>
        <w:rPr>
          <w:w w:val="105"/>
        </w:rPr>
        <w:t>prior</w:t>
      </w:r>
      <w:r>
        <w:rPr>
          <w:spacing w:val="-15"/>
          <w:w w:val="105"/>
        </w:rPr>
        <w:t> </w:t>
      </w:r>
      <w:r>
        <w:rPr>
          <w:w w:val="105"/>
        </w:rPr>
        <w:t>year</w:t>
      </w:r>
      <w:r>
        <w:rPr>
          <w:spacing w:val="-15"/>
          <w:w w:val="105"/>
        </w:rPr>
        <w:t> </w:t>
      </w:r>
      <w:r>
        <w:rPr>
          <w:w w:val="105"/>
        </w:rPr>
        <w:t>terrorist</w:t>
      </w:r>
      <w:r>
        <w:rPr>
          <w:spacing w:val="-13"/>
          <w:w w:val="105"/>
        </w:rPr>
        <w:t> </w:t>
      </w:r>
      <w:r>
        <w:rPr>
          <w:spacing w:val="-3"/>
          <w:w w:val="105"/>
        </w:rPr>
        <w:t>attacks,</w:t>
      </w:r>
      <w:r>
        <w:rPr>
          <w:spacing w:val="-15"/>
          <w:w w:val="105"/>
        </w:rPr>
        <w:t> </w:t>
      </w:r>
      <w:r>
        <w:rPr>
          <w:w w:val="105"/>
        </w:rPr>
        <w:t>including</w:t>
      </w:r>
      <w:r>
        <w:rPr>
          <w:spacing w:val="-13"/>
          <w:w w:val="105"/>
        </w:rPr>
        <w:t> </w:t>
      </w:r>
      <w:r>
        <w:rPr>
          <w:w w:val="105"/>
        </w:rPr>
        <w:t>reductions</w:t>
      </w:r>
      <w:r>
        <w:rPr>
          <w:spacing w:val="-13"/>
          <w:w w:val="105"/>
        </w:rPr>
        <w:t> </w:t>
      </w:r>
      <w:r>
        <w:rPr>
          <w:w w:val="105"/>
        </w:rPr>
        <w:t>in</w:t>
      </w:r>
      <w:r>
        <w:rPr>
          <w:spacing w:val="-13"/>
          <w:w w:val="105"/>
        </w:rPr>
        <w:t> </w:t>
      </w:r>
      <w:r>
        <w:rPr>
          <w:w w:val="105"/>
        </w:rPr>
        <w:t>personnel </w:t>
      </w:r>
      <w:r>
        <w:rPr>
          <w:spacing w:val="-3"/>
          <w:w w:val="105"/>
        </w:rPr>
        <w:t>related </w:t>
      </w:r>
      <w:r>
        <w:rPr>
          <w:w w:val="105"/>
        </w:rPr>
        <w:t>expenses and office expenses. Excluding insurance expense, other operating </w:t>
      </w:r>
      <w:r>
        <w:rPr>
          <w:spacing w:val="-3"/>
          <w:w w:val="105"/>
        </w:rPr>
        <w:t>expenses </w:t>
      </w:r>
      <w:r>
        <w:rPr>
          <w:w w:val="105"/>
        </w:rPr>
        <w:t>per </w:t>
      </w:r>
      <w:r>
        <w:rPr>
          <w:spacing w:val="-3"/>
          <w:w w:val="105"/>
        </w:rPr>
        <w:t>ASM decreased </w:t>
      </w:r>
      <w:r>
        <w:rPr>
          <w:w w:val="105"/>
        </w:rPr>
        <w:t>8.5 percent. Following the terrorist attacks, commercial aviation insurers significantly increased  the premiums and reduced the amount of war-risk coverage available to commercial carriers. The federal</w:t>
      </w:r>
      <w:r>
        <w:rPr>
          <w:spacing w:val="55"/>
          <w:w w:val="105"/>
        </w:rPr>
        <w:t> </w:t>
      </w:r>
      <w:r>
        <w:rPr>
          <w:w w:val="105"/>
        </w:rPr>
        <w:t>government then stepped in to provide supplemental third-party war-risk insurance coverage to commercial airlines, for renewable 60-days periods, at substantially lower premiums than prevailing commercial rates during</w:t>
      </w:r>
      <w:r>
        <w:rPr>
          <w:spacing w:val="-12"/>
          <w:w w:val="105"/>
        </w:rPr>
        <w:t> </w:t>
      </w:r>
      <w:r>
        <w:rPr>
          <w:w w:val="105"/>
        </w:rPr>
        <w:t>2002</w:t>
      </w:r>
      <w:r>
        <w:rPr>
          <w:spacing w:val="-12"/>
          <w:w w:val="105"/>
        </w:rPr>
        <w:t> </w:t>
      </w:r>
      <w:r>
        <w:rPr>
          <w:w w:val="105"/>
        </w:rPr>
        <w:t>and</w:t>
      </w:r>
      <w:r>
        <w:rPr>
          <w:spacing w:val="-12"/>
          <w:w w:val="105"/>
        </w:rPr>
        <w:t> </w:t>
      </w:r>
      <w:r>
        <w:rPr>
          <w:w w:val="105"/>
        </w:rPr>
        <w:t>for</w:t>
      </w:r>
      <w:r>
        <w:rPr>
          <w:spacing w:val="-12"/>
          <w:w w:val="105"/>
        </w:rPr>
        <w:t> </w:t>
      </w:r>
      <w:r>
        <w:rPr>
          <w:w w:val="105"/>
        </w:rPr>
        <w:t>levels</w:t>
      </w:r>
      <w:r>
        <w:rPr>
          <w:spacing w:val="-12"/>
          <w:w w:val="105"/>
        </w:rPr>
        <w:t> </w:t>
      </w:r>
      <w:r>
        <w:rPr>
          <w:w w:val="105"/>
        </w:rPr>
        <w:t>of</w:t>
      </w:r>
      <w:r>
        <w:rPr>
          <w:spacing w:val="-12"/>
          <w:w w:val="105"/>
        </w:rPr>
        <w:t> </w:t>
      </w:r>
      <w:r>
        <w:rPr>
          <w:w w:val="105"/>
        </w:rPr>
        <w:t>coverage</w:t>
      </w:r>
      <w:r>
        <w:rPr>
          <w:spacing w:val="-12"/>
          <w:w w:val="105"/>
        </w:rPr>
        <w:t> </w:t>
      </w:r>
      <w:r>
        <w:rPr>
          <w:w w:val="105"/>
        </w:rPr>
        <w:t>not</w:t>
      </w:r>
      <w:r>
        <w:rPr>
          <w:spacing w:val="-12"/>
          <w:w w:val="105"/>
        </w:rPr>
        <w:t> </w:t>
      </w:r>
      <w:r>
        <w:rPr>
          <w:w w:val="105"/>
        </w:rPr>
        <w:t>available</w:t>
      </w:r>
      <w:r>
        <w:rPr>
          <w:spacing w:val="-12"/>
          <w:w w:val="105"/>
        </w:rPr>
        <w:t> </w:t>
      </w:r>
      <w:r>
        <w:rPr>
          <w:w w:val="105"/>
        </w:rPr>
        <w:t>at</w:t>
      </w:r>
      <w:r>
        <w:rPr>
          <w:spacing w:val="-12"/>
          <w:w w:val="105"/>
        </w:rPr>
        <w:t> </w:t>
      </w:r>
      <w:r>
        <w:rPr>
          <w:w w:val="105"/>
        </w:rPr>
        <w:t>that</w:t>
      </w:r>
      <w:r>
        <w:rPr>
          <w:spacing w:val="-12"/>
          <w:w w:val="105"/>
        </w:rPr>
        <w:t> </w:t>
      </w:r>
      <w:r>
        <w:rPr>
          <w:w w:val="105"/>
        </w:rPr>
        <w:t>time</w:t>
      </w:r>
      <w:r>
        <w:rPr>
          <w:spacing w:val="-12"/>
          <w:w w:val="105"/>
        </w:rPr>
        <w:t> </w:t>
      </w:r>
      <w:r>
        <w:rPr>
          <w:w w:val="105"/>
        </w:rPr>
        <w:t>in</w:t>
      </w:r>
      <w:r>
        <w:rPr>
          <w:spacing w:val="-12"/>
          <w:w w:val="105"/>
        </w:rPr>
        <w:t> </w:t>
      </w:r>
      <w:r>
        <w:rPr>
          <w:w w:val="105"/>
        </w:rPr>
        <w:t>the</w:t>
      </w:r>
      <w:r>
        <w:rPr>
          <w:spacing w:val="-12"/>
          <w:w w:val="105"/>
        </w:rPr>
        <w:t> </w:t>
      </w:r>
      <w:r>
        <w:rPr>
          <w:w w:val="105"/>
        </w:rPr>
        <w:t>commercial</w:t>
      </w:r>
      <w:r>
        <w:rPr>
          <w:spacing w:val="-12"/>
          <w:w w:val="105"/>
        </w:rPr>
        <w:t> </w:t>
      </w:r>
      <w:r>
        <w:rPr>
          <w:w w:val="105"/>
        </w:rPr>
        <w:t>market.</w:t>
      </w:r>
    </w:p>
    <w:p>
      <w:pPr>
        <w:pStyle w:val="BodyText"/>
        <w:tabs>
          <w:tab w:pos="1555" w:val="left" w:leader="none"/>
        </w:tabs>
        <w:spacing w:line="218" w:lineRule="auto" w:before="221"/>
        <w:ind w:left="116" w:right="107"/>
        <w:jc w:val="both"/>
      </w:pPr>
      <w:r>
        <w:rPr>
          <w:color w:val="0000FF"/>
          <w:w w:val="105"/>
        </w:rPr>
        <w:t>OTHER.</w:t>
        <w:tab/>
      </w:r>
      <w:r>
        <w:rPr>
          <w:w w:val="105"/>
        </w:rPr>
        <w:t>“Other expenses (income)” included interest expense, capitalized interest,   </w:t>
      </w:r>
      <w:r>
        <w:rPr>
          <w:spacing w:val="20"/>
          <w:w w:val="105"/>
        </w:rPr>
        <w:t> </w:t>
      </w:r>
      <w:r>
        <w:rPr>
          <w:w w:val="105"/>
        </w:rPr>
        <w:t>interest</w:t>
      </w:r>
      <w:r>
        <w:rPr>
          <w:spacing w:val="23"/>
          <w:w w:val="105"/>
        </w:rPr>
        <w:t> </w:t>
      </w:r>
      <w:r>
        <w:rPr>
          <w:w w:val="105"/>
        </w:rPr>
        <w:t>income,</w:t>
      </w:r>
      <w:r>
        <w:rPr>
          <w:spacing w:val="2"/>
          <w:w w:val="102"/>
        </w:rPr>
        <w:t> </w:t>
      </w:r>
      <w:r>
        <w:rPr>
          <w:w w:val="105"/>
        </w:rPr>
        <w:t>and other gains and losses. Interest expense increased $36 million, or 51.4 percent, compared to the prior year, due to higher debt levels. In fourth quarter 2001, the Company issued $614 million in long-term debt  in the </w:t>
      </w:r>
      <w:r>
        <w:rPr>
          <w:spacing w:val="2"/>
          <w:w w:val="105"/>
        </w:rPr>
        <w:t>form </w:t>
      </w:r>
      <w:r>
        <w:rPr>
          <w:w w:val="105"/>
        </w:rPr>
        <w:t>of </w:t>
      </w:r>
      <w:r>
        <w:rPr>
          <w:spacing w:val="2"/>
          <w:w w:val="105"/>
        </w:rPr>
        <w:t>Pass Through Certificates. </w:t>
      </w:r>
      <w:r>
        <w:rPr>
          <w:w w:val="105"/>
        </w:rPr>
        <w:t>In </w:t>
      </w:r>
      <w:r>
        <w:rPr>
          <w:spacing w:val="2"/>
          <w:w w:val="105"/>
        </w:rPr>
        <w:t>first quarter 2002, </w:t>
      </w:r>
      <w:r>
        <w:rPr>
          <w:w w:val="105"/>
        </w:rPr>
        <w:t>the </w:t>
      </w:r>
      <w:r>
        <w:rPr>
          <w:spacing w:val="2"/>
          <w:w w:val="105"/>
        </w:rPr>
        <w:t>Company issued $385 million </w:t>
      </w:r>
      <w:r>
        <w:rPr>
          <w:spacing w:val="3"/>
          <w:w w:val="105"/>
        </w:rPr>
        <w:t>in </w:t>
      </w:r>
      <w:r>
        <w:rPr>
          <w:w w:val="105"/>
        </w:rPr>
        <w:t>unsecured notes. See Note 7 to the Consolidated Financial Statements for more information on these </w:t>
      </w:r>
      <w:r>
        <w:rPr>
          <w:spacing w:val="2"/>
          <w:w w:val="105"/>
        </w:rPr>
        <w:t>two borrowings. </w:t>
      </w:r>
      <w:r>
        <w:rPr>
          <w:w w:val="105"/>
        </w:rPr>
        <w:t>The </w:t>
      </w:r>
      <w:r>
        <w:rPr>
          <w:spacing w:val="2"/>
          <w:w w:val="105"/>
        </w:rPr>
        <w:t>increase </w:t>
      </w:r>
      <w:r>
        <w:rPr>
          <w:w w:val="105"/>
        </w:rPr>
        <w:t>in </w:t>
      </w:r>
      <w:r>
        <w:rPr>
          <w:spacing w:val="2"/>
          <w:w w:val="105"/>
        </w:rPr>
        <w:t>expense caused </w:t>
      </w:r>
      <w:r>
        <w:rPr>
          <w:w w:val="105"/>
        </w:rPr>
        <w:t>by </w:t>
      </w:r>
      <w:r>
        <w:rPr>
          <w:spacing w:val="2"/>
          <w:w w:val="105"/>
        </w:rPr>
        <w:t>these borrowings </w:t>
      </w:r>
      <w:r>
        <w:rPr>
          <w:w w:val="105"/>
        </w:rPr>
        <w:t>was </w:t>
      </w:r>
      <w:r>
        <w:rPr>
          <w:spacing w:val="2"/>
          <w:w w:val="105"/>
        </w:rPr>
        <w:t>partially offset </w:t>
      </w:r>
      <w:r>
        <w:rPr>
          <w:w w:val="105"/>
        </w:rPr>
        <w:t>by a </w:t>
      </w:r>
      <w:r>
        <w:rPr>
          <w:spacing w:val="2"/>
          <w:w w:val="105"/>
        </w:rPr>
        <w:t>decrease </w:t>
      </w:r>
      <w:r>
        <w:rPr>
          <w:spacing w:val="3"/>
          <w:w w:val="105"/>
        </w:rPr>
        <w:t>in </w:t>
      </w:r>
      <w:r>
        <w:rPr>
          <w:w w:val="105"/>
        </w:rPr>
        <w:t>interest rates on the Company's floating rate debt and the July 2001 redemption of $100 million of unsecured notes. Capitalized </w:t>
      </w:r>
      <w:r>
        <w:rPr>
          <w:spacing w:val="-3"/>
          <w:w w:val="105"/>
        </w:rPr>
        <w:t>interest decreased </w:t>
      </w:r>
      <w:r>
        <w:rPr>
          <w:w w:val="105"/>
        </w:rPr>
        <w:t>$4 million, or 19.0 percent, primarily as a result of </w:t>
      </w:r>
      <w:r>
        <w:rPr>
          <w:spacing w:val="-3"/>
          <w:w w:val="105"/>
        </w:rPr>
        <w:t>lower </w:t>
      </w:r>
      <w:r>
        <w:rPr>
          <w:w w:val="105"/>
        </w:rPr>
        <w:t>2002 progress payment balances for scheduled future </w:t>
      </w:r>
      <w:r>
        <w:rPr>
          <w:spacing w:val="-3"/>
          <w:w w:val="105"/>
        </w:rPr>
        <w:t>aircraft deliveries, </w:t>
      </w:r>
      <w:r>
        <w:rPr>
          <w:w w:val="105"/>
        </w:rPr>
        <w:t>compared to 2001. Interest income </w:t>
      </w:r>
      <w:r>
        <w:rPr>
          <w:spacing w:val="-3"/>
          <w:w w:val="105"/>
        </w:rPr>
        <w:t>decreased $6 </w:t>
      </w:r>
      <w:r>
        <w:rPr>
          <w:w w:val="105"/>
        </w:rPr>
        <w:t>million, or 14.0 percent, </w:t>
      </w:r>
      <w:r>
        <w:rPr>
          <w:spacing w:val="-3"/>
          <w:w w:val="105"/>
        </w:rPr>
        <w:t>as </w:t>
      </w:r>
      <w:r>
        <w:rPr>
          <w:w w:val="105"/>
        </w:rPr>
        <w:t>higher invested cash </w:t>
      </w:r>
      <w:r>
        <w:rPr>
          <w:spacing w:val="-3"/>
          <w:w w:val="105"/>
        </w:rPr>
        <w:t>balances </w:t>
      </w:r>
      <w:r>
        <w:rPr>
          <w:w w:val="105"/>
        </w:rPr>
        <w:t>for the year </w:t>
      </w:r>
      <w:r>
        <w:rPr>
          <w:spacing w:val="-4"/>
          <w:w w:val="105"/>
        </w:rPr>
        <w:t>were </w:t>
      </w:r>
      <w:r>
        <w:rPr>
          <w:w w:val="105"/>
        </w:rPr>
        <w:t>more than offset by lower rates. Other</w:t>
      </w:r>
      <w:r>
        <w:rPr>
          <w:spacing w:val="-22"/>
          <w:w w:val="105"/>
        </w:rPr>
        <w:t> </w:t>
      </w:r>
      <w:r>
        <w:rPr>
          <w:w w:val="105"/>
        </w:rPr>
        <w:t>gains</w:t>
      </w:r>
      <w:r>
        <w:rPr>
          <w:spacing w:val="-17"/>
          <w:w w:val="105"/>
        </w:rPr>
        <w:t> </w:t>
      </w:r>
      <w:r>
        <w:rPr>
          <w:w w:val="105"/>
        </w:rPr>
        <w:t>in</w:t>
      </w:r>
      <w:r>
        <w:rPr>
          <w:spacing w:val="-17"/>
          <w:w w:val="105"/>
        </w:rPr>
        <w:t> </w:t>
      </w:r>
      <w:r>
        <w:rPr>
          <w:w w:val="105"/>
        </w:rPr>
        <w:t>2002</w:t>
      </w:r>
      <w:r>
        <w:rPr>
          <w:spacing w:val="-17"/>
          <w:w w:val="105"/>
        </w:rPr>
        <w:t> </w:t>
      </w:r>
      <w:r>
        <w:rPr>
          <w:spacing w:val="-3"/>
          <w:w w:val="105"/>
        </w:rPr>
        <w:t>and</w:t>
      </w:r>
      <w:r>
        <w:rPr>
          <w:spacing w:val="-14"/>
          <w:w w:val="105"/>
        </w:rPr>
        <w:t> </w:t>
      </w:r>
      <w:r>
        <w:rPr>
          <w:w w:val="105"/>
        </w:rPr>
        <w:t>2001</w:t>
      </w:r>
      <w:r>
        <w:rPr>
          <w:spacing w:val="-17"/>
          <w:w w:val="105"/>
        </w:rPr>
        <w:t> </w:t>
      </w:r>
      <w:r>
        <w:rPr>
          <w:w w:val="105"/>
        </w:rPr>
        <w:t>primarily</w:t>
      </w:r>
      <w:r>
        <w:rPr>
          <w:spacing w:val="-17"/>
          <w:w w:val="105"/>
        </w:rPr>
        <w:t> </w:t>
      </w:r>
      <w:r>
        <w:rPr>
          <w:spacing w:val="-3"/>
          <w:w w:val="105"/>
        </w:rPr>
        <w:t>resulted</w:t>
      </w:r>
      <w:r>
        <w:rPr>
          <w:spacing w:val="-17"/>
          <w:w w:val="105"/>
        </w:rPr>
        <w:t> </w:t>
      </w:r>
      <w:r>
        <w:rPr>
          <w:w w:val="105"/>
        </w:rPr>
        <w:t>from</w:t>
      </w:r>
      <w:r>
        <w:rPr>
          <w:spacing w:val="-19"/>
          <w:w w:val="105"/>
        </w:rPr>
        <w:t> </w:t>
      </w:r>
      <w:r>
        <w:rPr>
          <w:w w:val="105"/>
        </w:rPr>
        <w:t>$48</w:t>
      </w:r>
      <w:r>
        <w:rPr>
          <w:spacing w:val="-17"/>
          <w:w w:val="105"/>
        </w:rPr>
        <w:t> </w:t>
      </w:r>
      <w:r>
        <w:rPr>
          <w:w w:val="105"/>
        </w:rPr>
        <w:t>million</w:t>
      </w:r>
      <w:r>
        <w:rPr>
          <w:spacing w:val="-21"/>
          <w:w w:val="105"/>
        </w:rPr>
        <w:t> </w:t>
      </w:r>
      <w:r>
        <w:rPr>
          <w:w w:val="105"/>
        </w:rPr>
        <w:t>and</w:t>
      </w:r>
      <w:r>
        <w:rPr>
          <w:spacing w:val="-17"/>
          <w:w w:val="105"/>
        </w:rPr>
        <w:t> </w:t>
      </w:r>
      <w:r>
        <w:rPr>
          <w:w w:val="105"/>
        </w:rPr>
        <w:t>$235</w:t>
      </w:r>
      <w:r>
        <w:rPr>
          <w:spacing w:val="-17"/>
          <w:w w:val="105"/>
        </w:rPr>
        <w:t> </w:t>
      </w:r>
      <w:r>
        <w:rPr>
          <w:w w:val="105"/>
        </w:rPr>
        <w:t>million,</w:t>
      </w:r>
      <w:r>
        <w:rPr>
          <w:spacing w:val="-20"/>
          <w:w w:val="105"/>
        </w:rPr>
        <w:t> </w:t>
      </w:r>
      <w:r>
        <w:rPr>
          <w:w w:val="105"/>
        </w:rPr>
        <w:t>respectively,</w:t>
      </w:r>
      <w:r>
        <w:rPr>
          <w:spacing w:val="-20"/>
          <w:w w:val="105"/>
        </w:rPr>
        <w:t> </w:t>
      </w:r>
      <w:r>
        <w:rPr>
          <w:w w:val="105"/>
        </w:rPr>
        <w:t>received</w:t>
      </w:r>
      <w:r>
        <w:rPr>
          <w:spacing w:val="-17"/>
          <w:w w:val="105"/>
        </w:rPr>
        <w:t> </w:t>
      </w:r>
      <w:r>
        <w:rPr>
          <w:spacing w:val="-3"/>
          <w:w w:val="105"/>
        </w:rPr>
        <w:t>as</w:t>
      </w:r>
      <w:r>
        <w:rPr>
          <w:spacing w:val="-17"/>
          <w:w w:val="105"/>
        </w:rPr>
        <w:t> </w:t>
      </w:r>
      <w:r>
        <w:rPr>
          <w:w w:val="105"/>
        </w:rPr>
        <w:t>the </w:t>
      </w:r>
      <w:r>
        <w:rPr>
          <w:spacing w:val="-2"/>
          <w:w w:val="105"/>
        </w:rPr>
        <w:t>Company's</w:t>
      </w:r>
      <w:r>
        <w:rPr>
          <w:spacing w:val="-3"/>
          <w:w w:val="105"/>
        </w:rPr>
        <w:t> share</w:t>
      </w:r>
      <w:r>
        <w:rPr>
          <w:spacing w:val="-8"/>
          <w:w w:val="105"/>
        </w:rPr>
        <w:t> </w:t>
      </w:r>
      <w:r>
        <w:rPr>
          <w:w w:val="105"/>
        </w:rPr>
        <w:t>of</w:t>
      </w:r>
      <w:r>
        <w:rPr>
          <w:spacing w:val="-8"/>
          <w:w w:val="105"/>
        </w:rPr>
        <w:t> </w:t>
      </w:r>
      <w:r>
        <w:rPr>
          <w:w w:val="105"/>
        </w:rPr>
        <w:t>government</w:t>
      </w:r>
      <w:r>
        <w:rPr>
          <w:spacing w:val="-7"/>
          <w:w w:val="105"/>
        </w:rPr>
        <w:t> </w:t>
      </w:r>
      <w:r>
        <w:rPr>
          <w:w w:val="105"/>
        </w:rPr>
        <w:t>grants</w:t>
      </w:r>
      <w:r>
        <w:rPr>
          <w:spacing w:val="-7"/>
          <w:w w:val="105"/>
        </w:rPr>
        <w:t> </w:t>
      </w:r>
      <w:r>
        <w:rPr>
          <w:w w:val="105"/>
        </w:rPr>
        <w:t>under</w:t>
      </w:r>
      <w:r>
        <w:rPr>
          <w:spacing w:val="-8"/>
          <w:w w:val="105"/>
        </w:rPr>
        <w:t> </w:t>
      </w:r>
      <w:r>
        <w:rPr>
          <w:w w:val="105"/>
        </w:rPr>
        <w:t>the</w:t>
      </w:r>
      <w:r>
        <w:rPr>
          <w:spacing w:val="-8"/>
          <w:w w:val="105"/>
        </w:rPr>
        <w:t> </w:t>
      </w:r>
      <w:r>
        <w:rPr>
          <w:w w:val="105"/>
        </w:rPr>
        <w:t>Stabilization</w:t>
      </w:r>
      <w:r>
        <w:rPr>
          <w:spacing w:val="-3"/>
          <w:w w:val="105"/>
        </w:rPr>
        <w:t> Act.</w:t>
      </w:r>
      <w:r>
        <w:rPr>
          <w:spacing w:val="37"/>
          <w:w w:val="105"/>
        </w:rPr>
        <w:t> </w:t>
      </w:r>
      <w:r>
        <w:rPr>
          <w:w w:val="105"/>
        </w:rPr>
        <w:t>See</w:t>
      </w:r>
      <w:r>
        <w:rPr>
          <w:spacing w:val="-5"/>
          <w:w w:val="105"/>
        </w:rPr>
        <w:t> </w:t>
      </w:r>
      <w:r>
        <w:rPr>
          <w:spacing w:val="-3"/>
          <w:w w:val="105"/>
        </w:rPr>
        <w:t>Note</w:t>
      </w:r>
      <w:r>
        <w:rPr>
          <w:spacing w:val="-8"/>
          <w:w w:val="105"/>
        </w:rPr>
        <w:t> </w:t>
      </w:r>
      <w:r>
        <w:rPr>
          <w:w w:val="105"/>
        </w:rPr>
        <w:t>3</w:t>
      </w:r>
      <w:r>
        <w:rPr>
          <w:spacing w:val="-11"/>
          <w:w w:val="105"/>
        </w:rPr>
        <w:t> </w:t>
      </w:r>
      <w:r>
        <w:rPr>
          <w:w w:val="105"/>
        </w:rPr>
        <w:t>to</w:t>
      </w:r>
      <w:r>
        <w:rPr>
          <w:spacing w:val="-11"/>
          <w:w w:val="105"/>
        </w:rPr>
        <w:t> </w:t>
      </w:r>
      <w:r>
        <w:rPr>
          <w:w w:val="105"/>
        </w:rPr>
        <w:t>the</w:t>
      </w:r>
      <w:r>
        <w:rPr>
          <w:spacing w:val="-5"/>
          <w:w w:val="105"/>
        </w:rPr>
        <w:t> </w:t>
      </w:r>
      <w:r>
        <w:rPr>
          <w:spacing w:val="-2"/>
          <w:w w:val="105"/>
        </w:rPr>
        <w:t>Company's</w:t>
      </w:r>
      <w:r>
        <w:rPr>
          <w:spacing w:val="-7"/>
          <w:w w:val="105"/>
        </w:rPr>
        <w:t> </w:t>
      </w:r>
      <w:r>
        <w:rPr>
          <w:w w:val="105"/>
        </w:rPr>
        <w:t>Consolidated Financial</w:t>
      </w:r>
      <w:r>
        <w:rPr>
          <w:spacing w:val="-30"/>
          <w:w w:val="105"/>
        </w:rPr>
        <w:t> </w:t>
      </w:r>
      <w:r>
        <w:rPr>
          <w:spacing w:val="-3"/>
          <w:w w:val="105"/>
        </w:rPr>
        <w:t>Statements</w:t>
      </w:r>
      <w:r>
        <w:rPr>
          <w:spacing w:val="-30"/>
          <w:w w:val="105"/>
        </w:rPr>
        <w:t> </w:t>
      </w:r>
      <w:r>
        <w:rPr>
          <w:w w:val="105"/>
        </w:rPr>
        <w:t>for</w:t>
      </w:r>
      <w:r>
        <w:rPr>
          <w:spacing w:val="-33"/>
          <w:w w:val="105"/>
        </w:rPr>
        <w:t> </w:t>
      </w:r>
      <w:r>
        <w:rPr>
          <w:w w:val="105"/>
        </w:rPr>
        <w:t>further</w:t>
      </w:r>
      <w:r>
        <w:rPr>
          <w:spacing w:val="-33"/>
          <w:w w:val="105"/>
        </w:rPr>
        <w:t> </w:t>
      </w:r>
      <w:r>
        <w:rPr>
          <w:w w:val="105"/>
        </w:rPr>
        <w:t>discussion</w:t>
      </w:r>
      <w:r>
        <w:rPr>
          <w:spacing w:val="-30"/>
          <w:w w:val="105"/>
        </w:rPr>
        <w:t> </w:t>
      </w:r>
      <w:r>
        <w:rPr>
          <w:w w:val="105"/>
        </w:rPr>
        <w:t>of</w:t>
      </w:r>
      <w:r>
        <w:rPr>
          <w:spacing w:val="-31"/>
          <w:w w:val="105"/>
        </w:rPr>
        <w:t> </w:t>
      </w:r>
      <w:r>
        <w:rPr>
          <w:w w:val="105"/>
        </w:rPr>
        <w:t>the</w:t>
      </w:r>
      <w:r>
        <w:rPr>
          <w:spacing w:val="-31"/>
          <w:w w:val="105"/>
        </w:rPr>
        <w:t> </w:t>
      </w:r>
      <w:r>
        <w:rPr>
          <w:w w:val="105"/>
        </w:rPr>
        <w:t>Stabilization</w:t>
      </w:r>
      <w:r>
        <w:rPr>
          <w:spacing w:val="-32"/>
          <w:w w:val="105"/>
        </w:rPr>
        <w:t> </w:t>
      </w:r>
      <w:r>
        <w:rPr>
          <w:w w:val="105"/>
        </w:rPr>
        <w:t>Act.</w:t>
      </w:r>
    </w:p>
    <w:p>
      <w:pPr>
        <w:pStyle w:val="BodyText"/>
        <w:tabs>
          <w:tab w:pos="2275" w:val="left" w:leader="none"/>
        </w:tabs>
        <w:spacing w:line="229" w:lineRule="exact" w:before="203"/>
        <w:ind w:left="116"/>
        <w:jc w:val="both"/>
      </w:pPr>
      <w:r>
        <w:rPr>
          <w:color w:val="0000FF"/>
          <w:spacing w:val="-4"/>
          <w:w w:val="105"/>
        </w:rPr>
        <w:t>INCOME</w:t>
      </w:r>
      <w:r>
        <w:rPr>
          <w:color w:val="0000FF"/>
          <w:spacing w:val="-18"/>
          <w:w w:val="105"/>
        </w:rPr>
        <w:t> </w:t>
      </w:r>
      <w:r>
        <w:rPr>
          <w:color w:val="0000FF"/>
          <w:spacing w:val="-5"/>
          <w:w w:val="105"/>
        </w:rPr>
        <w:t>TAXES.</w:t>
        <w:tab/>
      </w:r>
      <w:r>
        <w:rPr>
          <w:spacing w:val="-2"/>
          <w:w w:val="105"/>
        </w:rPr>
        <w:t>The </w:t>
      </w:r>
      <w:r>
        <w:rPr>
          <w:w w:val="105"/>
        </w:rPr>
        <w:t>provision for income taxes, </w:t>
      </w:r>
      <w:r>
        <w:rPr>
          <w:spacing w:val="-3"/>
          <w:w w:val="105"/>
        </w:rPr>
        <w:t>as </w:t>
      </w:r>
      <w:r>
        <w:rPr>
          <w:w w:val="105"/>
        </w:rPr>
        <w:t>a </w:t>
      </w:r>
      <w:r>
        <w:rPr>
          <w:spacing w:val="-3"/>
          <w:w w:val="105"/>
        </w:rPr>
        <w:t>percentage </w:t>
      </w:r>
      <w:r>
        <w:rPr>
          <w:w w:val="105"/>
        </w:rPr>
        <w:t>of income before taxes, </w:t>
      </w:r>
      <w:r>
        <w:rPr>
          <w:spacing w:val="-3"/>
          <w:w w:val="105"/>
        </w:rPr>
        <w:t>increased </w:t>
      </w:r>
      <w:r>
        <w:rPr>
          <w:spacing w:val="31"/>
          <w:w w:val="105"/>
        </w:rPr>
        <w:t> </w:t>
      </w:r>
      <w:r>
        <w:rPr>
          <w:w w:val="105"/>
        </w:rPr>
        <w:t>to</w:t>
      </w:r>
    </w:p>
    <w:p>
      <w:pPr>
        <w:pStyle w:val="BodyText"/>
        <w:spacing w:line="229" w:lineRule="exact"/>
        <w:ind w:left="116"/>
        <w:jc w:val="both"/>
      </w:pPr>
      <w:r>
        <w:rPr>
          <w:w w:val="105"/>
        </w:rPr>
        <w:t>38.64 percent in 2002 from 38.24 percent in 2001, primarily due to the Company’s lower earnings in 2002.</w:t>
      </w:r>
    </w:p>
    <w:p>
      <w:pPr>
        <w:pStyle w:val="Heading2"/>
        <w:spacing w:before="200"/>
        <w:ind w:left="116"/>
        <w:jc w:val="both"/>
      </w:pPr>
      <w:r>
        <w:rPr>
          <w:w w:val="105"/>
        </w:rPr>
        <w:t>LIQUIDITY AND CAPITAL RESOURCES</w:t>
      </w:r>
    </w:p>
    <w:p>
      <w:pPr>
        <w:pStyle w:val="BodyText"/>
        <w:spacing w:line="259" w:lineRule="auto" w:before="242"/>
        <w:ind w:left="116" w:right="104"/>
        <w:jc w:val="both"/>
      </w:pPr>
      <w:r>
        <w:rPr>
          <w:spacing w:val="-3"/>
          <w:w w:val="105"/>
        </w:rPr>
        <w:t>Net </w:t>
      </w:r>
      <w:r>
        <w:rPr>
          <w:w w:val="105"/>
        </w:rPr>
        <w:t>cash provided by operating activities </w:t>
      </w:r>
      <w:r>
        <w:rPr>
          <w:spacing w:val="-3"/>
          <w:w w:val="105"/>
        </w:rPr>
        <w:t>was </w:t>
      </w:r>
      <w:r>
        <w:rPr>
          <w:w w:val="105"/>
        </w:rPr>
        <w:t>$1.3 billion in 2003 compared to $520 million in 2002. For the Company, operating cash </w:t>
      </w:r>
      <w:r>
        <w:rPr>
          <w:spacing w:val="-3"/>
          <w:w w:val="105"/>
        </w:rPr>
        <w:t>inflows </w:t>
      </w:r>
      <w:r>
        <w:rPr>
          <w:w w:val="105"/>
        </w:rPr>
        <w:t>are primarily derived from providing air transportation for Customers. </w:t>
      </w:r>
      <w:r>
        <w:rPr>
          <w:spacing w:val="-2"/>
          <w:w w:val="105"/>
        </w:rPr>
        <w:t>The </w:t>
      </w:r>
      <w:r>
        <w:rPr>
          <w:w w:val="105"/>
        </w:rPr>
        <w:t>vast majority of tickets are purchased prior to the </w:t>
      </w:r>
      <w:r>
        <w:rPr>
          <w:spacing w:val="-3"/>
          <w:w w:val="105"/>
        </w:rPr>
        <w:t>day </w:t>
      </w:r>
      <w:r>
        <w:rPr>
          <w:w w:val="105"/>
        </w:rPr>
        <w:t>in which travel is provided and, in some cases, </w:t>
      </w:r>
      <w:r>
        <w:rPr>
          <w:spacing w:val="-3"/>
          <w:w w:val="105"/>
        </w:rPr>
        <w:t>several </w:t>
      </w:r>
      <w:r>
        <w:rPr>
          <w:w w:val="105"/>
        </w:rPr>
        <w:t>months</w:t>
      </w:r>
      <w:r>
        <w:rPr>
          <w:spacing w:val="-17"/>
          <w:w w:val="105"/>
        </w:rPr>
        <w:t> </w:t>
      </w:r>
      <w:r>
        <w:rPr>
          <w:w w:val="105"/>
        </w:rPr>
        <w:t>before</w:t>
      </w:r>
      <w:r>
        <w:rPr>
          <w:spacing w:val="-18"/>
          <w:w w:val="105"/>
        </w:rPr>
        <w:t> </w:t>
      </w:r>
      <w:r>
        <w:rPr>
          <w:w w:val="105"/>
        </w:rPr>
        <w:t>the</w:t>
      </w:r>
      <w:r>
        <w:rPr>
          <w:spacing w:val="-18"/>
          <w:w w:val="105"/>
        </w:rPr>
        <w:t> </w:t>
      </w:r>
      <w:r>
        <w:rPr>
          <w:w w:val="105"/>
        </w:rPr>
        <w:t>anticipated</w:t>
      </w:r>
      <w:r>
        <w:rPr>
          <w:spacing w:val="-17"/>
          <w:w w:val="105"/>
        </w:rPr>
        <w:t> </w:t>
      </w:r>
      <w:r>
        <w:rPr>
          <w:w w:val="105"/>
        </w:rPr>
        <w:t>travel</w:t>
      </w:r>
      <w:r>
        <w:rPr>
          <w:spacing w:val="-17"/>
          <w:w w:val="105"/>
        </w:rPr>
        <w:t> </w:t>
      </w:r>
      <w:r>
        <w:rPr>
          <w:spacing w:val="-3"/>
          <w:w w:val="105"/>
        </w:rPr>
        <w:t>date.</w:t>
      </w:r>
      <w:r>
        <w:rPr>
          <w:spacing w:val="-19"/>
          <w:w w:val="105"/>
        </w:rPr>
        <w:t> </w:t>
      </w:r>
      <w:r>
        <w:rPr>
          <w:spacing w:val="-3"/>
          <w:w w:val="105"/>
        </w:rPr>
        <w:t>Operating</w:t>
      </w:r>
      <w:r>
        <w:rPr>
          <w:spacing w:val="-13"/>
          <w:w w:val="105"/>
        </w:rPr>
        <w:t> </w:t>
      </w:r>
      <w:r>
        <w:rPr>
          <w:w w:val="105"/>
        </w:rPr>
        <w:t>cash</w:t>
      </w:r>
      <w:r>
        <w:rPr>
          <w:spacing w:val="-17"/>
          <w:w w:val="105"/>
        </w:rPr>
        <w:t> </w:t>
      </w:r>
      <w:r>
        <w:rPr>
          <w:spacing w:val="-3"/>
          <w:w w:val="105"/>
        </w:rPr>
        <w:t>outflows</w:t>
      </w:r>
      <w:r>
        <w:rPr>
          <w:spacing w:val="-13"/>
          <w:w w:val="105"/>
        </w:rPr>
        <w:t> </w:t>
      </w:r>
      <w:r>
        <w:rPr>
          <w:w w:val="105"/>
        </w:rPr>
        <w:t>are</w:t>
      </w:r>
      <w:r>
        <w:rPr>
          <w:spacing w:val="-18"/>
          <w:w w:val="105"/>
        </w:rPr>
        <w:t> </w:t>
      </w:r>
      <w:r>
        <w:rPr>
          <w:w w:val="105"/>
        </w:rPr>
        <w:t>primarily</w:t>
      </w:r>
      <w:r>
        <w:rPr>
          <w:spacing w:val="-20"/>
          <w:w w:val="105"/>
        </w:rPr>
        <w:t> </w:t>
      </w:r>
      <w:r>
        <w:rPr>
          <w:w w:val="105"/>
        </w:rPr>
        <w:t>related</w:t>
      </w:r>
      <w:r>
        <w:rPr>
          <w:spacing w:val="-17"/>
          <w:w w:val="105"/>
        </w:rPr>
        <w:t> </w:t>
      </w:r>
      <w:r>
        <w:rPr>
          <w:w w:val="105"/>
        </w:rPr>
        <w:t>to</w:t>
      </w:r>
      <w:r>
        <w:rPr>
          <w:spacing w:val="-17"/>
          <w:w w:val="105"/>
        </w:rPr>
        <w:t> </w:t>
      </w:r>
      <w:r>
        <w:rPr>
          <w:w w:val="105"/>
        </w:rPr>
        <w:t>the</w:t>
      </w:r>
      <w:r>
        <w:rPr>
          <w:spacing w:val="-14"/>
          <w:w w:val="105"/>
        </w:rPr>
        <w:t> </w:t>
      </w:r>
      <w:r>
        <w:rPr>
          <w:spacing w:val="-3"/>
          <w:w w:val="105"/>
        </w:rPr>
        <w:t>recurring</w:t>
      </w:r>
      <w:r>
        <w:rPr>
          <w:spacing w:val="-17"/>
          <w:w w:val="105"/>
        </w:rPr>
        <w:t> </w:t>
      </w:r>
      <w:r>
        <w:rPr>
          <w:spacing w:val="-3"/>
          <w:w w:val="105"/>
        </w:rPr>
        <w:t>expenses </w:t>
      </w:r>
      <w:r>
        <w:rPr>
          <w:w w:val="105"/>
        </w:rPr>
        <w:t>of</w:t>
      </w:r>
      <w:r>
        <w:rPr>
          <w:spacing w:val="-9"/>
          <w:w w:val="105"/>
        </w:rPr>
        <w:t> </w:t>
      </w:r>
      <w:r>
        <w:rPr>
          <w:w w:val="105"/>
        </w:rPr>
        <w:t>operating</w:t>
      </w:r>
      <w:r>
        <w:rPr>
          <w:spacing w:val="-7"/>
          <w:w w:val="105"/>
        </w:rPr>
        <w:t> </w:t>
      </w:r>
      <w:r>
        <w:rPr>
          <w:w w:val="105"/>
        </w:rPr>
        <w:t>the</w:t>
      </w:r>
      <w:r>
        <w:rPr>
          <w:spacing w:val="-12"/>
          <w:w w:val="105"/>
        </w:rPr>
        <w:t> </w:t>
      </w:r>
      <w:r>
        <w:rPr>
          <w:w w:val="105"/>
        </w:rPr>
        <w:t>airline.</w:t>
      </w:r>
      <w:r>
        <w:rPr>
          <w:spacing w:val="37"/>
          <w:w w:val="105"/>
        </w:rPr>
        <w:t> </w:t>
      </w:r>
      <w:r>
        <w:rPr>
          <w:w w:val="105"/>
        </w:rPr>
        <w:t>For</w:t>
      </w:r>
      <w:r>
        <w:rPr>
          <w:spacing w:val="-9"/>
          <w:w w:val="105"/>
        </w:rPr>
        <w:t> </w:t>
      </w:r>
      <w:r>
        <w:rPr>
          <w:w w:val="105"/>
        </w:rPr>
        <w:t>2003,</w:t>
      </w:r>
      <w:r>
        <w:rPr>
          <w:spacing w:val="-14"/>
          <w:w w:val="105"/>
        </w:rPr>
        <w:t> </w:t>
      </w:r>
      <w:r>
        <w:rPr>
          <w:w w:val="105"/>
        </w:rPr>
        <w:t>the</w:t>
      </w:r>
      <w:r>
        <w:rPr>
          <w:spacing w:val="-12"/>
          <w:w w:val="105"/>
        </w:rPr>
        <w:t> </w:t>
      </w:r>
      <w:r>
        <w:rPr>
          <w:w w:val="105"/>
        </w:rPr>
        <w:t>increase</w:t>
      </w:r>
      <w:r>
        <w:rPr>
          <w:spacing w:val="-9"/>
          <w:w w:val="105"/>
        </w:rPr>
        <w:t> </w:t>
      </w:r>
      <w:r>
        <w:rPr>
          <w:w w:val="105"/>
        </w:rPr>
        <w:t>in</w:t>
      </w:r>
      <w:r>
        <w:rPr>
          <w:spacing w:val="-7"/>
          <w:w w:val="105"/>
        </w:rPr>
        <w:t> </w:t>
      </w:r>
      <w:r>
        <w:rPr>
          <w:w w:val="105"/>
        </w:rPr>
        <w:t>operating</w:t>
      </w:r>
      <w:r>
        <w:rPr>
          <w:spacing w:val="-7"/>
          <w:w w:val="105"/>
        </w:rPr>
        <w:t> </w:t>
      </w:r>
      <w:r>
        <w:rPr>
          <w:w w:val="105"/>
        </w:rPr>
        <w:t>cash</w:t>
      </w:r>
      <w:r>
        <w:rPr>
          <w:spacing w:val="-7"/>
          <w:w w:val="105"/>
        </w:rPr>
        <w:t> </w:t>
      </w:r>
      <w:r>
        <w:rPr>
          <w:spacing w:val="-3"/>
          <w:w w:val="105"/>
        </w:rPr>
        <w:t>flows</w:t>
      </w:r>
      <w:r>
        <w:rPr>
          <w:spacing w:val="-7"/>
          <w:w w:val="105"/>
        </w:rPr>
        <w:t> </w:t>
      </w:r>
      <w:r>
        <w:rPr>
          <w:w w:val="105"/>
        </w:rPr>
        <w:t>primarily</w:t>
      </w:r>
      <w:r>
        <w:rPr>
          <w:spacing w:val="-7"/>
          <w:w w:val="105"/>
        </w:rPr>
        <w:t> </w:t>
      </w:r>
      <w:r>
        <w:rPr>
          <w:spacing w:val="-5"/>
          <w:w w:val="105"/>
        </w:rPr>
        <w:t>was</w:t>
      </w:r>
      <w:r>
        <w:rPr>
          <w:spacing w:val="-11"/>
          <w:w w:val="105"/>
        </w:rPr>
        <w:t> </w:t>
      </w:r>
      <w:r>
        <w:rPr>
          <w:w w:val="105"/>
        </w:rPr>
        <w:t>due</w:t>
      </w:r>
      <w:r>
        <w:rPr>
          <w:spacing w:val="-9"/>
          <w:w w:val="105"/>
        </w:rPr>
        <w:t> </w:t>
      </w:r>
      <w:r>
        <w:rPr>
          <w:w w:val="105"/>
        </w:rPr>
        <w:t>to</w:t>
      </w:r>
      <w:r>
        <w:rPr>
          <w:spacing w:val="-7"/>
          <w:w w:val="105"/>
        </w:rPr>
        <w:t> </w:t>
      </w:r>
      <w:r>
        <w:rPr>
          <w:w w:val="105"/>
        </w:rPr>
        <w:t>higher</w:t>
      </w:r>
      <w:r>
        <w:rPr>
          <w:spacing w:val="-12"/>
          <w:w w:val="105"/>
        </w:rPr>
        <w:t> </w:t>
      </w:r>
      <w:r>
        <w:rPr>
          <w:w w:val="105"/>
        </w:rPr>
        <w:t>net</w:t>
      </w:r>
      <w:r>
        <w:rPr>
          <w:spacing w:val="-7"/>
          <w:w w:val="105"/>
        </w:rPr>
        <w:t> </w:t>
      </w:r>
      <w:r>
        <w:rPr>
          <w:w w:val="105"/>
        </w:rPr>
        <w:t>income, largely attributable to the $271 million government </w:t>
      </w:r>
      <w:r>
        <w:rPr>
          <w:spacing w:val="-3"/>
          <w:w w:val="105"/>
        </w:rPr>
        <w:t>grant </w:t>
      </w:r>
      <w:r>
        <w:rPr>
          <w:w w:val="105"/>
        </w:rPr>
        <w:t>from the </w:t>
      </w:r>
      <w:r>
        <w:rPr>
          <w:spacing w:val="-3"/>
          <w:w w:val="105"/>
        </w:rPr>
        <w:t>Wartime Act. </w:t>
      </w:r>
      <w:r>
        <w:rPr>
          <w:w w:val="105"/>
        </w:rPr>
        <w:t>Also contributing to the increase in operating cash flows </w:t>
      </w:r>
      <w:r>
        <w:rPr>
          <w:spacing w:val="-3"/>
          <w:w w:val="105"/>
        </w:rPr>
        <w:t>was an </w:t>
      </w:r>
      <w:r>
        <w:rPr>
          <w:w w:val="105"/>
        </w:rPr>
        <w:t>increase in </w:t>
      </w:r>
      <w:r>
        <w:rPr>
          <w:spacing w:val="-3"/>
          <w:w w:val="105"/>
        </w:rPr>
        <w:t>accrued </w:t>
      </w:r>
      <w:r>
        <w:rPr>
          <w:w w:val="105"/>
        </w:rPr>
        <w:t>liabilities and a decrease in </w:t>
      </w:r>
      <w:r>
        <w:rPr>
          <w:spacing w:val="-3"/>
          <w:w w:val="105"/>
        </w:rPr>
        <w:t>accounts </w:t>
      </w:r>
      <w:r>
        <w:rPr>
          <w:w w:val="105"/>
        </w:rPr>
        <w:t>and other </w:t>
      </w:r>
      <w:r>
        <w:rPr>
          <w:spacing w:val="-3"/>
          <w:w w:val="105"/>
        </w:rPr>
        <w:t>receivables. </w:t>
      </w:r>
      <w:r>
        <w:rPr>
          <w:w w:val="105"/>
        </w:rPr>
        <w:t>The </w:t>
      </w:r>
      <w:r>
        <w:rPr>
          <w:spacing w:val="-3"/>
          <w:w w:val="105"/>
        </w:rPr>
        <w:t>increase </w:t>
      </w:r>
      <w:r>
        <w:rPr>
          <w:w w:val="105"/>
        </w:rPr>
        <w:t>in accrued liabilities primarily </w:t>
      </w:r>
      <w:r>
        <w:rPr>
          <w:spacing w:val="-5"/>
          <w:w w:val="105"/>
        </w:rPr>
        <w:t>was </w:t>
      </w:r>
      <w:r>
        <w:rPr>
          <w:w w:val="105"/>
        </w:rPr>
        <w:t>due to </w:t>
      </w:r>
      <w:r>
        <w:rPr>
          <w:spacing w:val="-3"/>
          <w:w w:val="105"/>
        </w:rPr>
        <w:t>an increase </w:t>
      </w:r>
      <w:r>
        <w:rPr>
          <w:w w:val="105"/>
        </w:rPr>
        <w:t>in accrued profitsharing from higher 2003 </w:t>
      </w:r>
      <w:r>
        <w:rPr>
          <w:spacing w:val="-3"/>
          <w:w w:val="105"/>
        </w:rPr>
        <w:t>earnings </w:t>
      </w:r>
      <w:r>
        <w:rPr>
          <w:w w:val="105"/>
        </w:rPr>
        <w:t>available </w:t>
      </w:r>
      <w:r>
        <w:rPr>
          <w:spacing w:val="-3"/>
          <w:w w:val="105"/>
        </w:rPr>
        <w:t>for </w:t>
      </w:r>
      <w:r>
        <w:rPr>
          <w:w w:val="105"/>
        </w:rPr>
        <w:t>profitsharing. The </w:t>
      </w:r>
      <w:r>
        <w:rPr>
          <w:spacing w:val="-3"/>
          <w:w w:val="105"/>
        </w:rPr>
        <w:t>decrease </w:t>
      </w:r>
      <w:r>
        <w:rPr>
          <w:w w:val="105"/>
        </w:rPr>
        <w:t>in accounts </w:t>
      </w:r>
      <w:r>
        <w:rPr>
          <w:spacing w:val="-3"/>
          <w:w w:val="105"/>
        </w:rPr>
        <w:t>and </w:t>
      </w:r>
      <w:r>
        <w:rPr>
          <w:w w:val="105"/>
        </w:rPr>
        <w:t>other receivables </w:t>
      </w:r>
      <w:r>
        <w:rPr>
          <w:spacing w:val="-3"/>
          <w:w w:val="105"/>
        </w:rPr>
        <w:t>was </w:t>
      </w:r>
      <w:r>
        <w:rPr>
          <w:w w:val="105"/>
        </w:rPr>
        <w:t>primarily due to the 2003 collection of a $51 million </w:t>
      </w:r>
      <w:r>
        <w:rPr>
          <w:spacing w:val="-3"/>
          <w:w w:val="105"/>
        </w:rPr>
        <w:t>tax </w:t>
      </w:r>
      <w:r>
        <w:rPr>
          <w:w w:val="105"/>
        </w:rPr>
        <w:t>refund </w:t>
      </w:r>
      <w:r>
        <w:rPr>
          <w:spacing w:val="-3"/>
          <w:w w:val="105"/>
        </w:rPr>
        <w:t>related </w:t>
      </w:r>
      <w:r>
        <w:rPr>
          <w:w w:val="105"/>
        </w:rPr>
        <w:t>to the 2002 tax </w:t>
      </w:r>
      <w:r>
        <w:rPr>
          <w:spacing w:val="-3"/>
          <w:w w:val="105"/>
        </w:rPr>
        <w:t>year. Cash generated </w:t>
      </w:r>
      <w:r>
        <w:rPr>
          <w:w w:val="105"/>
        </w:rPr>
        <w:t>in 2003 and in</w:t>
      </w:r>
      <w:r>
        <w:rPr>
          <w:spacing w:val="-26"/>
          <w:w w:val="105"/>
        </w:rPr>
        <w:t> </w:t>
      </w:r>
      <w:r>
        <w:rPr>
          <w:w w:val="105"/>
        </w:rPr>
        <w:t>2002</w:t>
      </w:r>
      <w:r>
        <w:rPr>
          <w:spacing w:val="-26"/>
          <w:w w:val="105"/>
        </w:rPr>
        <w:t> </w:t>
      </w:r>
      <w:r>
        <w:rPr>
          <w:spacing w:val="-3"/>
          <w:w w:val="105"/>
        </w:rPr>
        <w:t>was</w:t>
      </w:r>
      <w:r>
        <w:rPr>
          <w:spacing w:val="-26"/>
          <w:w w:val="105"/>
        </w:rPr>
        <w:t> </w:t>
      </w:r>
      <w:r>
        <w:rPr>
          <w:w w:val="105"/>
        </w:rPr>
        <w:t>primarily</w:t>
      </w:r>
      <w:r>
        <w:rPr>
          <w:spacing w:val="-28"/>
          <w:w w:val="105"/>
        </w:rPr>
        <w:t> </w:t>
      </w:r>
      <w:r>
        <w:rPr>
          <w:w w:val="105"/>
        </w:rPr>
        <w:t>used</w:t>
      </w:r>
      <w:r>
        <w:rPr>
          <w:spacing w:val="-26"/>
          <w:w w:val="105"/>
        </w:rPr>
        <w:t> </w:t>
      </w:r>
      <w:r>
        <w:rPr>
          <w:w w:val="105"/>
        </w:rPr>
        <w:t>to</w:t>
      </w:r>
      <w:r>
        <w:rPr>
          <w:spacing w:val="-28"/>
          <w:w w:val="105"/>
        </w:rPr>
        <w:t> </w:t>
      </w:r>
      <w:r>
        <w:rPr>
          <w:w w:val="105"/>
        </w:rPr>
        <w:t>finance</w:t>
      </w:r>
      <w:r>
        <w:rPr>
          <w:spacing w:val="-30"/>
          <w:w w:val="105"/>
        </w:rPr>
        <w:t> </w:t>
      </w:r>
      <w:r>
        <w:rPr>
          <w:spacing w:val="-3"/>
          <w:w w:val="105"/>
        </w:rPr>
        <w:t>aircraft-related</w:t>
      </w:r>
      <w:r>
        <w:rPr>
          <w:spacing w:val="-26"/>
          <w:w w:val="105"/>
        </w:rPr>
        <w:t> </w:t>
      </w:r>
      <w:r>
        <w:rPr>
          <w:w w:val="105"/>
        </w:rPr>
        <w:t>capital</w:t>
      </w:r>
      <w:r>
        <w:rPr>
          <w:spacing w:val="-26"/>
          <w:w w:val="105"/>
        </w:rPr>
        <w:t> </w:t>
      </w:r>
      <w:r>
        <w:rPr>
          <w:w w:val="105"/>
        </w:rPr>
        <w:t>expenditures</w:t>
      </w:r>
      <w:r>
        <w:rPr>
          <w:spacing w:val="-26"/>
          <w:w w:val="105"/>
        </w:rPr>
        <w:t> </w:t>
      </w:r>
      <w:r>
        <w:rPr>
          <w:spacing w:val="-3"/>
          <w:w w:val="105"/>
        </w:rPr>
        <w:t>and</w:t>
      </w:r>
      <w:r>
        <w:rPr>
          <w:spacing w:val="-26"/>
          <w:w w:val="105"/>
        </w:rPr>
        <w:t> </w:t>
      </w:r>
      <w:r>
        <w:rPr>
          <w:w w:val="105"/>
        </w:rPr>
        <w:t>provide</w:t>
      </w:r>
      <w:r>
        <w:rPr>
          <w:spacing w:val="-27"/>
          <w:w w:val="105"/>
        </w:rPr>
        <w:t> </w:t>
      </w:r>
      <w:r>
        <w:rPr>
          <w:spacing w:val="-3"/>
          <w:w w:val="105"/>
        </w:rPr>
        <w:t>working</w:t>
      </w:r>
      <w:r>
        <w:rPr>
          <w:spacing w:val="-26"/>
          <w:w w:val="105"/>
        </w:rPr>
        <w:t> </w:t>
      </w:r>
      <w:r>
        <w:rPr>
          <w:w w:val="105"/>
        </w:rPr>
        <w:t>capital.</w:t>
      </w:r>
    </w:p>
    <w:p>
      <w:pPr>
        <w:pStyle w:val="BodyText"/>
        <w:spacing w:line="259" w:lineRule="auto" w:before="257"/>
        <w:ind w:left="116" w:right="107"/>
        <w:jc w:val="both"/>
      </w:pPr>
      <w:r>
        <w:rPr>
          <w:w w:val="105"/>
        </w:rPr>
        <w:t>Cash</w:t>
      </w:r>
      <w:r>
        <w:rPr>
          <w:spacing w:val="-12"/>
          <w:w w:val="105"/>
        </w:rPr>
        <w:t> </w:t>
      </w:r>
      <w:r>
        <w:rPr>
          <w:spacing w:val="-3"/>
          <w:w w:val="105"/>
        </w:rPr>
        <w:t>flows</w:t>
      </w:r>
      <w:r>
        <w:rPr>
          <w:spacing w:val="-12"/>
          <w:w w:val="105"/>
        </w:rPr>
        <w:t> </w:t>
      </w:r>
      <w:r>
        <w:rPr>
          <w:w w:val="105"/>
        </w:rPr>
        <w:t>used</w:t>
      </w:r>
      <w:r>
        <w:rPr>
          <w:spacing w:val="-12"/>
          <w:w w:val="105"/>
        </w:rPr>
        <w:t> </w:t>
      </w:r>
      <w:r>
        <w:rPr>
          <w:w w:val="105"/>
        </w:rPr>
        <w:t>in</w:t>
      </w:r>
      <w:r>
        <w:rPr>
          <w:spacing w:val="-16"/>
          <w:w w:val="105"/>
        </w:rPr>
        <w:t> </w:t>
      </w:r>
      <w:r>
        <w:rPr>
          <w:w w:val="105"/>
        </w:rPr>
        <w:t>investing</w:t>
      </w:r>
      <w:r>
        <w:rPr>
          <w:spacing w:val="-12"/>
          <w:w w:val="105"/>
        </w:rPr>
        <w:t> </w:t>
      </w:r>
      <w:r>
        <w:rPr>
          <w:w w:val="105"/>
        </w:rPr>
        <w:t>activities</w:t>
      </w:r>
      <w:r>
        <w:rPr>
          <w:spacing w:val="-12"/>
          <w:w w:val="105"/>
        </w:rPr>
        <w:t> </w:t>
      </w:r>
      <w:r>
        <w:rPr>
          <w:w w:val="105"/>
        </w:rPr>
        <w:t>in</w:t>
      </w:r>
      <w:r>
        <w:rPr>
          <w:spacing w:val="-12"/>
          <w:w w:val="105"/>
        </w:rPr>
        <w:t> </w:t>
      </w:r>
      <w:r>
        <w:rPr>
          <w:w w:val="105"/>
        </w:rPr>
        <w:t>2003</w:t>
      </w:r>
      <w:r>
        <w:rPr>
          <w:spacing w:val="-16"/>
          <w:w w:val="105"/>
        </w:rPr>
        <w:t> </w:t>
      </w:r>
      <w:r>
        <w:rPr>
          <w:w w:val="105"/>
        </w:rPr>
        <w:t>totaled</w:t>
      </w:r>
      <w:r>
        <w:rPr>
          <w:spacing w:val="-12"/>
          <w:w w:val="105"/>
        </w:rPr>
        <w:t> </w:t>
      </w:r>
      <w:r>
        <w:rPr>
          <w:w w:val="105"/>
        </w:rPr>
        <w:t>$1.2</w:t>
      </w:r>
      <w:r>
        <w:rPr>
          <w:spacing w:val="-12"/>
          <w:w w:val="105"/>
        </w:rPr>
        <w:t> </w:t>
      </w:r>
      <w:r>
        <w:rPr>
          <w:w w:val="105"/>
        </w:rPr>
        <w:t>billion</w:t>
      </w:r>
      <w:r>
        <w:rPr>
          <w:spacing w:val="-12"/>
          <w:w w:val="105"/>
        </w:rPr>
        <w:t> </w:t>
      </w:r>
      <w:r>
        <w:rPr>
          <w:w w:val="105"/>
        </w:rPr>
        <w:t>compared</w:t>
      </w:r>
      <w:r>
        <w:rPr>
          <w:spacing w:val="-20"/>
          <w:w w:val="105"/>
        </w:rPr>
        <w:t> </w:t>
      </w:r>
      <w:r>
        <w:rPr>
          <w:w w:val="105"/>
        </w:rPr>
        <w:t>to</w:t>
      </w:r>
      <w:r>
        <w:rPr>
          <w:spacing w:val="-16"/>
          <w:w w:val="105"/>
        </w:rPr>
        <w:t> </w:t>
      </w:r>
      <w:r>
        <w:rPr>
          <w:w w:val="105"/>
        </w:rPr>
        <w:t>$603</w:t>
      </w:r>
      <w:r>
        <w:rPr>
          <w:spacing w:val="-16"/>
          <w:w w:val="105"/>
        </w:rPr>
        <w:t> </w:t>
      </w:r>
      <w:r>
        <w:rPr>
          <w:w w:val="105"/>
        </w:rPr>
        <w:t>million</w:t>
      </w:r>
      <w:r>
        <w:rPr>
          <w:spacing w:val="-16"/>
          <w:w w:val="105"/>
        </w:rPr>
        <w:t> </w:t>
      </w:r>
      <w:r>
        <w:rPr>
          <w:w w:val="105"/>
        </w:rPr>
        <w:t>in</w:t>
      </w:r>
      <w:r>
        <w:rPr>
          <w:spacing w:val="-20"/>
          <w:w w:val="105"/>
        </w:rPr>
        <w:t> </w:t>
      </w:r>
      <w:r>
        <w:rPr>
          <w:w w:val="105"/>
        </w:rPr>
        <w:t>2002.</w:t>
      </w:r>
      <w:r>
        <w:rPr>
          <w:spacing w:val="27"/>
          <w:w w:val="105"/>
        </w:rPr>
        <w:t> </w:t>
      </w:r>
      <w:r>
        <w:rPr>
          <w:w w:val="105"/>
        </w:rPr>
        <w:t>Investing activities</w:t>
      </w:r>
      <w:r>
        <w:rPr>
          <w:spacing w:val="-5"/>
          <w:w w:val="105"/>
        </w:rPr>
        <w:t> </w:t>
      </w:r>
      <w:r>
        <w:rPr>
          <w:w w:val="105"/>
        </w:rPr>
        <w:t>in</w:t>
      </w:r>
      <w:r>
        <w:rPr>
          <w:spacing w:val="-12"/>
          <w:w w:val="105"/>
        </w:rPr>
        <w:t> </w:t>
      </w:r>
      <w:r>
        <w:rPr>
          <w:w w:val="105"/>
        </w:rPr>
        <w:t>both</w:t>
      </w:r>
      <w:r>
        <w:rPr>
          <w:spacing w:val="-8"/>
          <w:w w:val="105"/>
        </w:rPr>
        <w:t> </w:t>
      </w:r>
      <w:r>
        <w:rPr>
          <w:w w:val="105"/>
        </w:rPr>
        <w:t>years</w:t>
      </w:r>
      <w:r>
        <w:rPr>
          <w:spacing w:val="-12"/>
          <w:w w:val="105"/>
        </w:rPr>
        <w:t> </w:t>
      </w:r>
      <w:r>
        <w:rPr>
          <w:w w:val="105"/>
        </w:rPr>
        <w:t>primarily</w:t>
      </w:r>
      <w:r>
        <w:rPr>
          <w:spacing w:val="-5"/>
          <w:w w:val="105"/>
        </w:rPr>
        <w:t> </w:t>
      </w:r>
      <w:r>
        <w:rPr>
          <w:w w:val="105"/>
        </w:rPr>
        <w:t>consisted</w:t>
      </w:r>
      <w:r>
        <w:rPr>
          <w:spacing w:val="-8"/>
          <w:w w:val="105"/>
        </w:rPr>
        <w:t> </w:t>
      </w:r>
      <w:r>
        <w:rPr>
          <w:w w:val="105"/>
        </w:rPr>
        <w:t>of</w:t>
      </w:r>
      <w:r>
        <w:rPr>
          <w:spacing w:val="-10"/>
          <w:w w:val="105"/>
        </w:rPr>
        <w:t> </w:t>
      </w:r>
      <w:r>
        <w:rPr>
          <w:w w:val="105"/>
        </w:rPr>
        <w:t>payments</w:t>
      </w:r>
      <w:r>
        <w:rPr>
          <w:spacing w:val="-12"/>
          <w:w w:val="105"/>
        </w:rPr>
        <w:t> </w:t>
      </w:r>
      <w:r>
        <w:rPr>
          <w:w w:val="105"/>
        </w:rPr>
        <w:t>for</w:t>
      </w:r>
      <w:r>
        <w:rPr>
          <w:spacing w:val="-10"/>
          <w:w w:val="105"/>
        </w:rPr>
        <w:t> </w:t>
      </w:r>
      <w:r>
        <w:rPr>
          <w:w w:val="105"/>
        </w:rPr>
        <w:t>new</w:t>
      </w:r>
      <w:r>
        <w:rPr>
          <w:spacing w:val="-12"/>
          <w:w w:val="105"/>
        </w:rPr>
        <w:t> </w:t>
      </w:r>
      <w:r>
        <w:rPr>
          <w:w w:val="105"/>
        </w:rPr>
        <w:t>737-700</w:t>
      </w:r>
      <w:r>
        <w:rPr>
          <w:spacing w:val="-12"/>
          <w:w w:val="105"/>
        </w:rPr>
        <w:t> </w:t>
      </w:r>
      <w:r>
        <w:rPr>
          <w:spacing w:val="-3"/>
          <w:w w:val="105"/>
        </w:rPr>
        <w:t>aircraft</w:t>
      </w:r>
      <w:r>
        <w:rPr>
          <w:spacing w:val="-8"/>
          <w:w w:val="105"/>
        </w:rPr>
        <w:t> </w:t>
      </w:r>
      <w:r>
        <w:rPr>
          <w:w w:val="105"/>
        </w:rPr>
        <w:t>delivered</w:t>
      </w:r>
      <w:r>
        <w:rPr>
          <w:spacing w:val="-8"/>
          <w:w w:val="105"/>
        </w:rPr>
        <w:t> </w:t>
      </w:r>
      <w:r>
        <w:rPr>
          <w:w w:val="105"/>
        </w:rPr>
        <w:t>to</w:t>
      </w:r>
      <w:r>
        <w:rPr>
          <w:spacing w:val="-5"/>
          <w:w w:val="105"/>
        </w:rPr>
        <w:t> </w:t>
      </w:r>
      <w:r>
        <w:rPr>
          <w:w w:val="105"/>
        </w:rPr>
        <w:t>the</w:t>
      </w:r>
      <w:r>
        <w:rPr>
          <w:spacing w:val="-10"/>
          <w:w w:val="105"/>
        </w:rPr>
        <w:t> </w:t>
      </w:r>
      <w:r>
        <w:rPr>
          <w:spacing w:val="-3"/>
          <w:w w:val="105"/>
        </w:rPr>
        <w:t>Company</w:t>
      </w:r>
      <w:r>
        <w:rPr>
          <w:spacing w:val="-8"/>
          <w:w w:val="105"/>
        </w:rPr>
        <w:t> </w:t>
      </w:r>
      <w:r>
        <w:rPr>
          <w:w w:val="105"/>
        </w:rPr>
        <w:t>and progress</w:t>
      </w:r>
      <w:r>
        <w:rPr>
          <w:spacing w:val="-17"/>
          <w:w w:val="105"/>
        </w:rPr>
        <w:t> </w:t>
      </w:r>
      <w:r>
        <w:rPr>
          <w:w w:val="105"/>
        </w:rPr>
        <w:t>payments</w:t>
      </w:r>
      <w:r>
        <w:rPr>
          <w:spacing w:val="-13"/>
          <w:w w:val="105"/>
        </w:rPr>
        <w:t> </w:t>
      </w:r>
      <w:r>
        <w:rPr>
          <w:w w:val="105"/>
        </w:rPr>
        <w:t>for</w:t>
      </w:r>
      <w:r>
        <w:rPr>
          <w:spacing w:val="-18"/>
          <w:w w:val="105"/>
        </w:rPr>
        <w:t> </w:t>
      </w:r>
      <w:r>
        <w:rPr>
          <w:w w:val="105"/>
        </w:rPr>
        <w:t>future</w:t>
      </w:r>
      <w:r>
        <w:rPr>
          <w:spacing w:val="-14"/>
          <w:w w:val="105"/>
        </w:rPr>
        <w:t> </w:t>
      </w:r>
      <w:r>
        <w:rPr>
          <w:spacing w:val="-3"/>
          <w:w w:val="105"/>
        </w:rPr>
        <w:t>aircraft</w:t>
      </w:r>
      <w:r>
        <w:rPr>
          <w:spacing w:val="-13"/>
          <w:w w:val="105"/>
        </w:rPr>
        <w:t> </w:t>
      </w:r>
      <w:r>
        <w:rPr>
          <w:w w:val="105"/>
        </w:rPr>
        <w:t>deliveries.</w:t>
      </w:r>
      <w:r>
        <w:rPr>
          <w:spacing w:val="26"/>
          <w:w w:val="105"/>
        </w:rPr>
        <w:t> </w:t>
      </w:r>
      <w:r>
        <w:rPr>
          <w:w w:val="105"/>
        </w:rPr>
        <w:t>Although</w:t>
      </w:r>
      <w:r>
        <w:rPr>
          <w:spacing w:val="-13"/>
          <w:w w:val="105"/>
        </w:rPr>
        <w:t> </w:t>
      </w:r>
      <w:r>
        <w:rPr>
          <w:w w:val="105"/>
        </w:rPr>
        <w:t>the</w:t>
      </w:r>
      <w:r>
        <w:rPr>
          <w:spacing w:val="-14"/>
          <w:w w:val="105"/>
        </w:rPr>
        <w:t> </w:t>
      </w:r>
      <w:r>
        <w:rPr>
          <w:w w:val="105"/>
        </w:rPr>
        <w:t>Company</w:t>
      </w:r>
      <w:r>
        <w:rPr>
          <w:spacing w:val="-13"/>
          <w:w w:val="105"/>
        </w:rPr>
        <w:t> </w:t>
      </w:r>
      <w:r>
        <w:rPr>
          <w:w w:val="105"/>
        </w:rPr>
        <w:t>received</w:t>
      </w:r>
      <w:r>
        <w:rPr>
          <w:spacing w:val="-17"/>
          <w:w w:val="105"/>
        </w:rPr>
        <w:t> </w:t>
      </w:r>
      <w:r>
        <w:rPr>
          <w:spacing w:val="-3"/>
          <w:w w:val="105"/>
        </w:rPr>
        <w:t>fewer</w:t>
      </w:r>
      <w:r>
        <w:rPr>
          <w:spacing w:val="-14"/>
          <w:w w:val="105"/>
        </w:rPr>
        <w:t> </w:t>
      </w:r>
      <w:r>
        <w:rPr>
          <w:spacing w:val="-3"/>
          <w:w w:val="105"/>
        </w:rPr>
        <w:t>new</w:t>
      </w:r>
      <w:r>
        <w:rPr>
          <w:spacing w:val="-13"/>
          <w:w w:val="105"/>
        </w:rPr>
        <w:t> </w:t>
      </w:r>
      <w:r>
        <w:rPr>
          <w:spacing w:val="-3"/>
          <w:w w:val="105"/>
        </w:rPr>
        <w:t>aircraft</w:t>
      </w:r>
      <w:r>
        <w:rPr>
          <w:spacing w:val="-13"/>
          <w:w w:val="105"/>
        </w:rPr>
        <w:t> </w:t>
      </w:r>
      <w:r>
        <w:rPr>
          <w:w w:val="105"/>
        </w:rPr>
        <w:t>in</w:t>
      </w:r>
      <w:r>
        <w:rPr>
          <w:spacing w:val="-13"/>
          <w:w w:val="105"/>
        </w:rPr>
        <w:t> </w:t>
      </w:r>
      <w:r>
        <w:rPr>
          <w:w w:val="105"/>
        </w:rPr>
        <w:t>2003</w:t>
      </w:r>
      <w:r>
        <w:rPr>
          <w:spacing w:val="-13"/>
          <w:w w:val="105"/>
        </w:rPr>
        <w:t> </w:t>
      </w:r>
      <w:r>
        <w:rPr>
          <w:spacing w:val="-3"/>
          <w:w w:val="105"/>
        </w:rPr>
        <w:t>(17 </w:t>
      </w:r>
      <w:r>
        <w:rPr>
          <w:w w:val="105"/>
        </w:rPr>
        <w:t>new</w:t>
      </w:r>
      <w:r>
        <w:rPr>
          <w:spacing w:val="-12"/>
          <w:w w:val="105"/>
        </w:rPr>
        <w:t> </w:t>
      </w:r>
      <w:r>
        <w:rPr>
          <w:w w:val="105"/>
        </w:rPr>
        <w:t>737-700s)</w:t>
      </w:r>
      <w:r>
        <w:rPr>
          <w:spacing w:val="-17"/>
          <w:w w:val="105"/>
        </w:rPr>
        <w:t> </w:t>
      </w:r>
      <w:r>
        <w:rPr>
          <w:w w:val="105"/>
        </w:rPr>
        <w:t>versus</w:t>
      </w:r>
      <w:r>
        <w:rPr>
          <w:spacing w:val="-8"/>
          <w:w w:val="105"/>
        </w:rPr>
        <w:t> </w:t>
      </w:r>
      <w:r>
        <w:rPr>
          <w:w w:val="105"/>
        </w:rPr>
        <w:t>2002</w:t>
      </w:r>
      <w:r>
        <w:rPr>
          <w:spacing w:val="-8"/>
          <w:w w:val="105"/>
        </w:rPr>
        <w:t> </w:t>
      </w:r>
      <w:r>
        <w:rPr>
          <w:w w:val="105"/>
        </w:rPr>
        <w:t>(23</w:t>
      </w:r>
      <w:r>
        <w:rPr>
          <w:spacing w:val="-12"/>
          <w:w w:val="105"/>
        </w:rPr>
        <w:t> </w:t>
      </w:r>
      <w:r>
        <w:rPr>
          <w:w w:val="105"/>
        </w:rPr>
        <w:t>new</w:t>
      </w:r>
      <w:r>
        <w:rPr>
          <w:spacing w:val="-16"/>
          <w:w w:val="105"/>
        </w:rPr>
        <w:t> </w:t>
      </w:r>
      <w:r>
        <w:rPr>
          <w:w w:val="105"/>
        </w:rPr>
        <w:t>737-700s),</w:t>
      </w:r>
      <w:r>
        <w:rPr>
          <w:spacing w:val="-11"/>
          <w:w w:val="105"/>
        </w:rPr>
        <w:t> </w:t>
      </w:r>
      <w:r>
        <w:rPr>
          <w:spacing w:val="-3"/>
          <w:w w:val="105"/>
        </w:rPr>
        <w:t>there</w:t>
      </w:r>
      <w:r>
        <w:rPr>
          <w:spacing w:val="-10"/>
          <w:w w:val="105"/>
        </w:rPr>
        <w:t> </w:t>
      </w:r>
      <w:r>
        <w:rPr>
          <w:spacing w:val="-3"/>
          <w:w w:val="105"/>
        </w:rPr>
        <w:t>was</w:t>
      </w:r>
      <w:r>
        <w:rPr>
          <w:spacing w:val="-8"/>
          <w:w w:val="105"/>
        </w:rPr>
        <w:t> </w:t>
      </w:r>
      <w:r>
        <w:rPr>
          <w:w w:val="105"/>
        </w:rPr>
        <w:t>a</w:t>
      </w:r>
      <w:r>
        <w:rPr>
          <w:spacing w:val="-17"/>
          <w:w w:val="105"/>
        </w:rPr>
        <w:t> </w:t>
      </w:r>
      <w:r>
        <w:rPr>
          <w:w w:val="105"/>
        </w:rPr>
        <w:t>substantial</w:t>
      </w:r>
      <w:r>
        <w:rPr>
          <w:spacing w:val="-8"/>
          <w:w w:val="105"/>
        </w:rPr>
        <w:t> </w:t>
      </w:r>
      <w:r>
        <w:rPr>
          <w:w w:val="105"/>
        </w:rPr>
        <w:t>increase</w:t>
      </w:r>
      <w:r>
        <w:rPr>
          <w:spacing w:val="-14"/>
          <w:w w:val="105"/>
        </w:rPr>
        <w:t> </w:t>
      </w:r>
      <w:r>
        <w:rPr>
          <w:w w:val="105"/>
        </w:rPr>
        <w:t>in</w:t>
      </w:r>
      <w:r>
        <w:rPr>
          <w:spacing w:val="-12"/>
          <w:w w:val="105"/>
        </w:rPr>
        <w:t> </w:t>
      </w:r>
      <w:r>
        <w:rPr>
          <w:w w:val="105"/>
        </w:rPr>
        <w:t>progress</w:t>
      </w:r>
      <w:r>
        <w:rPr>
          <w:spacing w:val="-12"/>
          <w:w w:val="105"/>
        </w:rPr>
        <w:t> </w:t>
      </w:r>
      <w:r>
        <w:rPr>
          <w:spacing w:val="-3"/>
          <w:w w:val="105"/>
        </w:rPr>
        <w:t>payments</w:t>
      </w:r>
      <w:r>
        <w:rPr>
          <w:spacing w:val="-8"/>
          <w:w w:val="105"/>
        </w:rPr>
        <w:t> </w:t>
      </w:r>
      <w:r>
        <w:rPr>
          <w:w w:val="105"/>
        </w:rPr>
        <w:t>for</w:t>
      </w:r>
      <w:r>
        <w:rPr>
          <w:spacing w:val="-10"/>
          <w:w w:val="105"/>
        </w:rPr>
        <w:t> </w:t>
      </w:r>
      <w:r>
        <w:rPr>
          <w:w w:val="105"/>
        </w:rPr>
        <w:t>future deliveries compared to the prior year. </w:t>
      </w:r>
      <w:r>
        <w:rPr>
          <w:spacing w:val="-2"/>
          <w:w w:val="105"/>
        </w:rPr>
        <w:t>The </w:t>
      </w:r>
      <w:r>
        <w:rPr>
          <w:spacing w:val="-3"/>
          <w:w w:val="105"/>
        </w:rPr>
        <w:t>increase </w:t>
      </w:r>
      <w:r>
        <w:rPr>
          <w:w w:val="105"/>
        </w:rPr>
        <w:t>in progress payments primarily </w:t>
      </w:r>
      <w:r>
        <w:rPr>
          <w:spacing w:val="-5"/>
          <w:w w:val="105"/>
        </w:rPr>
        <w:t>was </w:t>
      </w:r>
      <w:r>
        <w:rPr>
          <w:spacing w:val="-3"/>
          <w:w w:val="105"/>
        </w:rPr>
        <w:t>related </w:t>
      </w:r>
      <w:r>
        <w:rPr>
          <w:w w:val="105"/>
        </w:rPr>
        <w:t>to </w:t>
      </w:r>
      <w:r>
        <w:rPr>
          <w:spacing w:val="-3"/>
          <w:w w:val="105"/>
        </w:rPr>
        <w:t>aircraft </w:t>
      </w:r>
      <w:r>
        <w:rPr>
          <w:w w:val="105"/>
        </w:rPr>
        <w:t>to </w:t>
      </w:r>
      <w:r>
        <w:rPr>
          <w:spacing w:val="-3"/>
          <w:w w:val="105"/>
        </w:rPr>
        <w:t>be </w:t>
      </w:r>
      <w:r>
        <w:rPr>
          <w:w w:val="105"/>
        </w:rPr>
        <w:t>delivered</w:t>
      </w:r>
      <w:r>
        <w:rPr>
          <w:spacing w:val="-10"/>
          <w:w w:val="105"/>
        </w:rPr>
        <w:t> </w:t>
      </w:r>
      <w:r>
        <w:rPr>
          <w:w w:val="105"/>
        </w:rPr>
        <w:t>in</w:t>
      </w:r>
      <w:r>
        <w:rPr>
          <w:spacing w:val="-6"/>
          <w:w w:val="105"/>
        </w:rPr>
        <w:t> </w:t>
      </w:r>
      <w:r>
        <w:rPr>
          <w:w w:val="105"/>
        </w:rPr>
        <w:t>2004</w:t>
      </w:r>
      <w:r>
        <w:rPr>
          <w:spacing w:val="-10"/>
          <w:w w:val="105"/>
        </w:rPr>
        <w:t> </w:t>
      </w:r>
      <w:r>
        <w:rPr>
          <w:w w:val="105"/>
        </w:rPr>
        <w:t>and</w:t>
      </w:r>
      <w:r>
        <w:rPr>
          <w:spacing w:val="-14"/>
          <w:w w:val="105"/>
        </w:rPr>
        <w:t> </w:t>
      </w:r>
      <w:r>
        <w:rPr>
          <w:w w:val="105"/>
        </w:rPr>
        <w:t>2005.</w:t>
      </w:r>
      <w:r>
        <w:rPr>
          <w:spacing w:val="35"/>
          <w:w w:val="105"/>
        </w:rPr>
        <w:t> </w:t>
      </w:r>
      <w:r>
        <w:rPr>
          <w:spacing w:val="-2"/>
          <w:w w:val="105"/>
        </w:rPr>
        <w:t>During</w:t>
      </w:r>
      <w:r>
        <w:rPr>
          <w:spacing w:val="-10"/>
          <w:w w:val="105"/>
        </w:rPr>
        <w:t> </w:t>
      </w:r>
      <w:r>
        <w:rPr>
          <w:w w:val="105"/>
        </w:rPr>
        <w:t>2003,</w:t>
      </w:r>
      <w:r>
        <w:rPr>
          <w:spacing w:val="-9"/>
          <w:w w:val="105"/>
        </w:rPr>
        <w:t> </w:t>
      </w:r>
      <w:r>
        <w:rPr>
          <w:w w:val="105"/>
        </w:rPr>
        <w:t>the</w:t>
      </w:r>
      <w:r>
        <w:rPr>
          <w:spacing w:val="-15"/>
          <w:w w:val="105"/>
        </w:rPr>
        <w:t> </w:t>
      </w:r>
      <w:r>
        <w:rPr>
          <w:w w:val="105"/>
        </w:rPr>
        <w:t>Company</w:t>
      </w:r>
      <w:r>
        <w:rPr>
          <w:spacing w:val="-10"/>
          <w:w w:val="105"/>
        </w:rPr>
        <w:t> </w:t>
      </w:r>
      <w:r>
        <w:rPr>
          <w:spacing w:val="-3"/>
          <w:w w:val="105"/>
        </w:rPr>
        <w:t>accelerated</w:t>
      </w:r>
      <w:r>
        <w:rPr>
          <w:spacing w:val="-10"/>
          <w:w w:val="105"/>
        </w:rPr>
        <w:t> </w:t>
      </w:r>
      <w:r>
        <w:rPr>
          <w:w w:val="105"/>
        </w:rPr>
        <w:t>the</w:t>
      </w:r>
      <w:r>
        <w:rPr>
          <w:spacing w:val="-15"/>
          <w:w w:val="105"/>
        </w:rPr>
        <w:t> </w:t>
      </w:r>
      <w:r>
        <w:rPr>
          <w:w w:val="105"/>
        </w:rPr>
        <w:t>delivery</w:t>
      </w:r>
      <w:r>
        <w:rPr>
          <w:spacing w:val="-6"/>
          <w:w w:val="105"/>
        </w:rPr>
        <w:t> </w:t>
      </w:r>
      <w:r>
        <w:rPr>
          <w:spacing w:val="-3"/>
          <w:w w:val="105"/>
        </w:rPr>
        <w:t>for</w:t>
      </w:r>
      <w:r>
        <w:rPr>
          <w:spacing w:val="-11"/>
          <w:w w:val="105"/>
        </w:rPr>
        <w:t> </w:t>
      </w:r>
      <w:r>
        <w:rPr>
          <w:spacing w:val="-3"/>
          <w:w w:val="105"/>
        </w:rPr>
        <w:t>several</w:t>
      </w:r>
      <w:r>
        <w:rPr>
          <w:spacing w:val="-10"/>
          <w:w w:val="105"/>
        </w:rPr>
        <w:t> </w:t>
      </w:r>
      <w:r>
        <w:rPr>
          <w:spacing w:val="-3"/>
          <w:w w:val="105"/>
        </w:rPr>
        <w:t>aircraft</w:t>
      </w:r>
      <w:r>
        <w:rPr>
          <w:spacing w:val="-6"/>
          <w:w w:val="105"/>
        </w:rPr>
        <w:t> </w:t>
      </w:r>
      <w:r>
        <w:rPr>
          <w:w w:val="105"/>
        </w:rPr>
        <w:t>from</w:t>
      </w:r>
      <w:r>
        <w:rPr>
          <w:spacing w:val="-15"/>
          <w:w w:val="105"/>
        </w:rPr>
        <w:t> </w:t>
      </w:r>
      <w:r>
        <w:rPr>
          <w:w w:val="105"/>
        </w:rPr>
        <w:t>future years into 2004, and </w:t>
      </w:r>
      <w:r>
        <w:rPr>
          <w:spacing w:val="-3"/>
          <w:w w:val="105"/>
        </w:rPr>
        <w:t>exercised </w:t>
      </w:r>
      <w:r>
        <w:rPr>
          <w:w w:val="105"/>
        </w:rPr>
        <w:t>options </w:t>
      </w:r>
      <w:r>
        <w:rPr>
          <w:spacing w:val="-3"/>
          <w:w w:val="105"/>
        </w:rPr>
        <w:t>for several </w:t>
      </w:r>
      <w:r>
        <w:rPr>
          <w:w w:val="105"/>
        </w:rPr>
        <w:t>2004 and 2005 deliveries. These decisions resulted in </w:t>
      </w:r>
      <w:r>
        <w:rPr>
          <w:spacing w:val="-3"/>
          <w:w w:val="105"/>
        </w:rPr>
        <w:t>an acceleration </w:t>
      </w:r>
      <w:r>
        <w:rPr>
          <w:w w:val="105"/>
        </w:rPr>
        <w:t>of progress payments to the manufacturer related to the </w:t>
      </w:r>
      <w:r>
        <w:rPr>
          <w:spacing w:val="-3"/>
          <w:w w:val="105"/>
        </w:rPr>
        <w:t>aircraft. </w:t>
      </w:r>
      <w:r>
        <w:rPr>
          <w:w w:val="105"/>
        </w:rPr>
        <w:t>See </w:t>
      </w:r>
      <w:r>
        <w:rPr>
          <w:spacing w:val="-3"/>
          <w:w w:val="105"/>
        </w:rPr>
        <w:t>Note </w:t>
      </w:r>
      <w:r>
        <w:rPr>
          <w:w w:val="105"/>
        </w:rPr>
        <w:t>4 to the Consolidated </w:t>
      </w:r>
      <w:r>
        <w:rPr>
          <w:spacing w:val="-1"/>
        </w:rPr>
        <w:t>Financial</w:t>
      </w:r>
      <w:r>
        <w:rPr>
          <w:spacing w:val="19"/>
        </w:rPr>
        <w:t> </w:t>
      </w:r>
      <w:r>
        <w:rPr/>
        <w:t>Statements.</w:t>
      </w:r>
    </w:p>
    <w:p>
      <w:pPr>
        <w:spacing w:after="0" w:line="259" w:lineRule="auto"/>
        <w:jc w:val="both"/>
        <w:sectPr>
          <w:pgSz w:w="12240" w:h="15840"/>
          <w:pgMar w:top="1080" w:bottom="280" w:left="1180" w:right="1180"/>
        </w:sectPr>
      </w:pPr>
    </w:p>
    <w:p>
      <w:pPr>
        <w:pStyle w:val="BodyText"/>
        <w:spacing w:line="259" w:lineRule="auto" w:before="99"/>
        <w:ind w:left="115" w:right="103"/>
        <w:jc w:val="both"/>
      </w:pPr>
      <w:bookmarkStart w:name="Contractual Obligations and Commitments" w:id="31"/>
      <w:bookmarkEnd w:id="31"/>
      <w:r>
        <w:rPr/>
      </w:r>
      <w:r>
        <w:rPr>
          <w:spacing w:val="-3"/>
          <w:w w:val="105"/>
        </w:rPr>
        <w:t>Net</w:t>
      </w:r>
      <w:r>
        <w:rPr>
          <w:spacing w:val="-4"/>
          <w:w w:val="105"/>
        </w:rPr>
        <w:t> </w:t>
      </w:r>
      <w:r>
        <w:rPr>
          <w:w w:val="105"/>
        </w:rPr>
        <w:t>cash</w:t>
      </w:r>
      <w:r>
        <w:rPr>
          <w:spacing w:val="-8"/>
          <w:w w:val="105"/>
        </w:rPr>
        <w:t> </w:t>
      </w:r>
      <w:r>
        <w:rPr>
          <w:w w:val="105"/>
        </w:rPr>
        <w:t>used</w:t>
      </w:r>
      <w:r>
        <w:rPr>
          <w:spacing w:val="-8"/>
          <w:w w:val="105"/>
        </w:rPr>
        <w:t> </w:t>
      </w:r>
      <w:r>
        <w:rPr>
          <w:w w:val="105"/>
        </w:rPr>
        <w:t>in</w:t>
      </w:r>
      <w:r>
        <w:rPr>
          <w:spacing w:val="-8"/>
          <w:w w:val="105"/>
        </w:rPr>
        <w:t> </w:t>
      </w:r>
      <w:r>
        <w:rPr>
          <w:w w:val="105"/>
        </w:rPr>
        <w:t>financing activities</w:t>
      </w:r>
      <w:r>
        <w:rPr>
          <w:spacing w:val="-8"/>
          <w:w w:val="105"/>
        </w:rPr>
        <w:t> </w:t>
      </w:r>
      <w:r>
        <w:rPr>
          <w:spacing w:val="-3"/>
          <w:w w:val="105"/>
        </w:rPr>
        <w:t>was</w:t>
      </w:r>
      <w:r>
        <w:rPr>
          <w:spacing w:val="-4"/>
          <w:w w:val="105"/>
        </w:rPr>
        <w:t> </w:t>
      </w:r>
      <w:r>
        <w:rPr>
          <w:w w:val="105"/>
        </w:rPr>
        <w:t>$48</w:t>
      </w:r>
      <w:r>
        <w:rPr>
          <w:spacing w:val="-8"/>
          <w:w w:val="105"/>
        </w:rPr>
        <w:t> </w:t>
      </w:r>
      <w:r>
        <w:rPr>
          <w:w w:val="105"/>
        </w:rPr>
        <w:t>million</w:t>
      </w:r>
      <w:r>
        <w:rPr>
          <w:spacing w:val="-8"/>
          <w:w w:val="105"/>
        </w:rPr>
        <w:t> </w:t>
      </w:r>
      <w:r>
        <w:rPr>
          <w:w w:val="105"/>
        </w:rPr>
        <w:t>in</w:t>
      </w:r>
      <w:r>
        <w:rPr>
          <w:spacing w:val="-8"/>
          <w:w w:val="105"/>
        </w:rPr>
        <w:t> </w:t>
      </w:r>
      <w:r>
        <w:rPr>
          <w:w w:val="105"/>
        </w:rPr>
        <w:t>2003</w:t>
      </w:r>
      <w:r>
        <w:rPr>
          <w:spacing w:val="-4"/>
          <w:w w:val="105"/>
        </w:rPr>
        <w:t> </w:t>
      </w:r>
      <w:r>
        <w:rPr>
          <w:w w:val="105"/>
        </w:rPr>
        <w:t>compared</w:t>
      </w:r>
      <w:r>
        <w:rPr>
          <w:spacing w:val="-4"/>
          <w:w w:val="105"/>
        </w:rPr>
        <w:t> </w:t>
      </w:r>
      <w:r>
        <w:rPr>
          <w:w w:val="105"/>
        </w:rPr>
        <w:t>to</w:t>
      </w:r>
      <w:r>
        <w:rPr>
          <w:spacing w:val="-4"/>
          <w:w w:val="105"/>
        </w:rPr>
        <w:t> </w:t>
      </w:r>
      <w:r>
        <w:rPr>
          <w:w w:val="105"/>
        </w:rPr>
        <w:t>$382</w:t>
      </w:r>
      <w:r>
        <w:rPr>
          <w:spacing w:val="-4"/>
          <w:w w:val="105"/>
        </w:rPr>
        <w:t> </w:t>
      </w:r>
      <w:r>
        <w:rPr>
          <w:w w:val="105"/>
        </w:rPr>
        <w:t>million</w:t>
      </w:r>
      <w:r>
        <w:rPr>
          <w:spacing w:val="-4"/>
          <w:w w:val="105"/>
        </w:rPr>
        <w:t> </w:t>
      </w:r>
      <w:r>
        <w:rPr>
          <w:w w:val="105"/>
        </w:rPr>
        <w:t>in</w:t>
      </w:r>
      <w:r>
        <w:rPr>
          <w:spacing w:val="-4"/>
          <w:w w:val="105"/>
        </w:rPr>
        <w:t> </w:t>
      </w:r>
      <w:r>
        <w:rPr>
          <w:w w:val="105"/>
        </w:rPr>
        <w:t>2002.</w:t>
      </w:r>
      <w:r>
        <w:rPr>
          <w:spacing w:val="47"/>
          <w:w w:val="105"/>
        </w:rPr>
        <w:t> </w:t>
      </w:r>
      <w:r>
        <w:rPr>
          <w:w w:val="105"/>
        </w:rPr>
        <w:t>Cash</w:t>
      </w:r>
      <w:r>
        <w:rPr>
          <w:spacing w:val="-8"/>
          <w:w w:val="105"/>
        </w:rPr>
        <w:t> </w:t>
      </w:r>
      <w:r>
        <w:rPr>
          <w:w w:val="105"/>
        </w:rPr>
        <w:t>used</w:t>
      </w:r>
      <w:r>
        <w:rPr>
          <w:spacing w:val="-4"/>
          <w:w w:val="105"/>
        </w:rPr>
        <w:t> </w:t>
      </w:r>
      <w:r>
        <w:rPr>
          <w:w w:val="105"/>
        </w:rPr>
        <w:t>in financing activities during 2003 </w:t>
      </w:r>
      <w:r>
        <w:rPr>
          <w:spacing w:val="-3"/>
          <w:w w:val="105"/>
        </w:rPr>
        <w:t>was </w:t>
      </w:r>
      <w:r>
        <w:rPr>
          <w:w w:val="105"/>
        </w:rPr>
        <w:t>primarily </w:t>
      </w:r>
      <w:r>
        <w:rPr>
          <w:spacing w:val="-3"/>
          <w:w w:val="105"/>
        </w:rPr>
        <w:t>for </w:t>
      </w:r>
      <w:r>
        <w:rPr>
          <w:w w:val="105"/>
        </w:rPr>
        <w:t>the redemption of its $100 million senior unsecured 8 _% Notes originally issued in 1991. </w:t>
      </w:r>
      <w:r>
        <w:rPr>
          <w:spacing w:val="-3"/>
          <w:w w:val="105"/>
        </w:rPr>
        <w:t>This </w:t>
      </w:r>
      <w:r>
        <w:rPr>
          <w:spacing w:val="-5"/>
          <w:w w:val="105"/>
        </w:rPr>
        <w:t>was </w:t>
      </w:r>
      <w:r>
        <w:rPr>
          <w:w w:val="105"/>
        </w:rPr>
        <w:t>mostly offset by </w:t>
      </w:r>
      <w:r>
        <w:rPr>
          <w:spacing w:val="-3"/>
          <w:w w:val="105"/>
        </w:rPr>
        <w:t>proceeds </w:t>
      </w:r>
      <w:r>
        <w:rPr>
          <w:w w:val="105"/>
        </w:rPr>
        <w:t>of $93 million from the exercise of Employee stock options. Cash used in financing activities in 2002 </w:t>
      </w:r>
      <w:r>
        <w:rPr>
          <w:spacing w:val="-3"/>
          <w:w w:val="105"/>
        </w:rPr>
        <w:t>was </w:t>
      </w:r>
      <w:r>
        <w:rPr>
          <w:w w:val="105"/>
        </w:rPr>
        <w:t>primarily for the </w:t>
      </w:r>
      <w:r>
        <w:rPr>
          <w:spacing w:val="-3"/>
          <w:w w:val="105"/>
        </w:rPr>
        <w:t>repayment </w:t>
      </w:r>
      <w:r>
        <w:rPr>
          <w:w w:val="105"/>
        </w:rPr>
        <w:t>of the Company’s</w:t>
      </w:r>
      <w:r>
        <w:rPr>
          <w:spacing w:val="-3"/>
          <w:w w:val="105"/>
        </w:rPr>
        <w:t> </w:t>
      </w:r>
      <w:r>
        <w:rPr>
          <w:w w:val="105"/>
        </w:rPr>
        <w:t>$475</w:t>
      </w:r>
      <w:r>
        <w:rPr>
          <w:spacing w:val="-3"/>
          <w:w w:val="105"/>
        </w:rPr>
        <w:t> </w:t>
      </w:r>
      <w:r>
        <w:rPr>
          <w:w w:val="105"/>
        </w:rPr>
        <w:t>million</w:t>
      </w:r>
      <w:r>
        <w:rPr>
          <w:spacing w:val="-3"/>
          <w:w w:val="105"/>
        </w:rPr>
        <w:t> </w:t>
      </w:r>
      <w:r>
        <w:rPr>
          <w:w w:val="105"/>
        </w:rPr>
        <w:t>revolving</w:t>
      </w:r>
      <w:r>
        <w:rPr>
          <w:spacing w:val="-7"/>
          <w:w w:val="105"/>
        </w:rPr>
        <w:t> </w:t>
      </w:r>
      <w:r>
        <w:rPr>
          <w:w w:val="105"/>
        </w:rPr>
        <w:t>credit</w:t>
      </w:r>
      <w:r>
        <w:rPr>
          <w:spacing w:val="-3"/>
          <w:w w:val="105"/>
        </w:rPr>
        <w:t> </w:t>
      </w:r>
      <w:r>
        <w:rPr>
          <w:w w:val="105"/>
        </w:rPr>
        <w:t>facility</w:t>
      </w:r>
      <w:r>
        <w:rPr>
          <w:spacing w:val="-3"/>
          <w:w w:val="105"/>
        </w:rPr>
        <w:t> </w:t>
      </w:r>
      <w:r>
        <w:rPr>
          <w:w w:val="105"/>
        </w:rPr>
        <w:t>that</w:t>
      </w:r>
      <w:r>
        <w:rPr>
          <w:spacing w:val="-7"/>
          <w:w w:val="105"/>
        </w:rPr>
        <w:t> </w:t>
      </w:r>
      <w:r>
        <w:rPr>
          <w:w w:val="105"/>
        </w:rPr>
        <w:t>the</w:t>
      </w:r>
      <w:r>
        <w:rPr>
          <w:spacing w:val="-5"/>
          <w:w w:val="105"/>
        </w:rPr>
        <w:t> </w:t>
      </w:r>
      <w:r>
        <w:rPr>
          <w:w w:val="105"/>
        </w:rPr>
        <w:t>Company</w:t>
      </w:r>
      <w:r>
        <w:rPr>
          <w:spacing w:val="-3"/>
          <w:w w:val="105"/>
        </w:rPr>
        <w:t> </w:t>
      </w:r>
      <w:r>
        <w:rPr>
          <w:w w:val="105"/>
        </w:rPr>
        <w:t>drew</w:t>
      </w:r>
      <w:r>
        <w:rPr>
          <w:spacing w:val="-7"/>
          <w:w w:val="105"/>
        </w:rPr>
        <w:t> </w:t>
      </w:r>
      <w:r>
        <w:rPr>
          <w:spacing w:val="-3"/>
          <w:w w:val="105"/>
        </w:rPr>
        <w:t>down </w:t>
      </w:r>
      <w:r>
        <w:rPr>
          <w:w w:val="105"/>
        </w:rPr>
        <w:t>in</w:t>
      </w:r>
      <w:r>
        <w:rPr>
          <w:spacing w:val="-3"/>
          <w:w w:val="105"/>
        </w:rPr>
        <w:t> September</w:t>
      </w:r>
      <w:r>
        <w:rPr>
          <w:spacing w:val="-9"/>
          <w:w w:val="105"/>
        </w:rPr>
        <w:t> </w:t>
      </w:r>
      <w:r>
        <w:rPr>
          <w:w w:val="105"/>
        </w:rPr>
        <w:t>2001</w:t>
      </w:r>
      <w:r>
        <w:rPr>
          <w:spacing w:val="-7"/>
          <w:w w:val="105"/>
        </w:rPr>
        <w:t> </w:t>
      </w:r>
      <w:r>
        <w:rPr>
          <w:w w:val="105"/>
        </w:rPr>
        <w:t>and</w:t>
      </w:r>
      <w:r>
        <w:rPr>
          <w:spacing w:val="-3"/>
          <w:w w:val="105"/>
        </w:rPr>
        <w:t> </w:t>
      </w:r>
      <w:r>
        <w:rPr>
          <w:w w:val="105"/>
        </w:rPr>
        <w:t>for</w:t>
      </w:r>
      <w:r>
        <w:rPr>
          <w:spacing w:val="-9"/>
          <w:w w:val="105"/>
        </w:rPr>
        <w:t> </w:t>
      </w:r>
      <w:r>
        <w:rPr>
          <w:w w:val="105"/>
        </w:rPr>
        <w:t>the </w:t>
      </w:r>
      <w:r>
        <w:rPr>
          <w:spacing w:val="-3"/>
          <w:w w:val="105"/>
        </w:rPr>
        <w:t>repayment </w:t>
      </w:r>
      <w:r>
        <w:rPr>
          <w:w w:val="105"/>
        </w:rPr>
        <w:t>of a special purpose trust </w:t>
      </w:r>
      <w:r>
        <w:rPr>
          <w:spacing w:val="-3"/>
          <w:w w:val="105"/>
        </w:rPr>
        <w:t>(Trust) created </w:t>
      </w:r>
      <w:r>
        <w:rPr>
          <w:w w:val="105"/>
        </w:rPr>
        <w:t>in 2001. </w:t>
      </w:r>
      <w:r>
        <w:rPr>
          <w:spacing w:val="-4"/>
          <w:w w:val="105"/>
        </w:rPr>
        <w:t>See </w:t>
      </w:r>
      <w:r>
        <w:rPr>
          <w:spacing w:val="-3"/>
          <w:w w:val="105"/>
        </w:rPr>
        <w:t>Note </w:t>
      </w:r>
      <w:r>
        <w:rPr>
          <w:w w:val="105"/>
        </w:rPr>
        <w:t>4 to the Consolidated Financial </w:t>
      </w:r>
      <w:r>
        <w:rPr>
          <w:spacing w:val="-3"/>
          <w:w w:val="105"/>
        </w:rPr>
        <w:t>Statements </w:t>
      </w:r>
      <w:r>
        <w:rPr>
          <w:w w:val="105"/>
        </w:rPr>
        <w:t>for more </w:t>
      </w:r>
      <w:r>
        <w:rPr>
          <w:spacing w:val="-3"/>
          <w:w w:val="105"/>
        </w:rPr>
        <w:t>information </w:t>
      </w:r>
      <w:r>
        <w:rPr>
          <w:w w:val="105"/>
        </w:rPr>
        <w:t>on the </w:t>
      </w:r>
      <w:r>
        <w:rPr>
          <w:spacing w:val="-2"/>
          <w:w w:val="105"/>
        </w:rPr>
        <w:t>Trust. </w:t>
      </w:r>
      <w:r>
        <w:rPr>
          <w:spacing w:val="-3"/>
          <w:w w:val="105"/>
        </w:rPr>
        <w:t>These </w:t>
      </w:r>
      <w:r>
        <w:rPr>
          <w:w w:val="105"/>
        </w:rPr>
        <w:t>uses </w:t>
      </w:r>
      <w:r>
        <w:rPr>
          <w:spacing w:val="-4"/>
          <w:w w:val="105"/>
        </w:rPr>
        <w:t>were </w:t>
      </w:r>
      <w:r>
        <w:rPr>
          <w:w w:val="105"/>
        </w:rPr>
        <w:t>partially offset by cash </w:t>
      </w:r>
      <w:r>
        <w:rPr>
          <w:spacing w:val="-3"/>
          <w:w w:val="105"/>
        </w:rPr>
        <w:t>generated </w:t>
      </w:r>
      <w:r>
        <w:rPr>
          <w:w w:val="105"/>
        </w:rPr>
        <w:t>from </w:t>
      </w:r>
      <w:r>
        <w:rPr>
          <w:spacing w:val="-3"/>
          <w:w w:val="105"/>
        </w:rPr>
        <w:t>the </w:t>
      </w:r>
      <w:r>
        <w:rPr>
          <w:w w:val="105"/>
        </w:rPr>
        <w:t>issuance of $385 million in unsecured notes in </w:t>
      </w:r>
      <w:r>
        <w:rPr>
          <w:spacing w:val="-3"/>
          <w:w w:val="105"/>
        </w:rPr>
        <w:t>March </w:t>
      </w:r>
      <w:r>
        <w:rPr>
          <w:w w:val="105"/>
        </w:rPr>
        <w:t>2002. </w:t>
      </w:r>
      <w:r>
        <w:rPr>
          <w:spacing w:val="-4"/>
          <w:w w:val="105"/>
        </w:rPr>
        <w:t>See </w:t>
      </w:r>
      <w:r>
        <w:rPr>
          <w:spacing w:val="-3"/>
          <w:w w:val="105"/>
        </w:rPr>
        <w:t>Note </w:t>
      </w:r>
      <w:r>
        <w:rPr>
          <w:w w:val="105"/>
        </w:rPr>
        <w:t>6 </w:t>
      </w:r>
      <w:r>
        <w:rPr>
          <w:spacing w:val="-3"/>
          <w:w w:val="105"/>
        </w:rPr>
        <w:t>and Note </w:t>
      </w:r>
      <w:r>
        <w:rPr>
          <w:w w:val="105"/>
        </w:rPr>
        <w:t>7 to the Consolidated Financial</w:t>
      </w:r>
      <w:r>
        <w:rPr>
          <w:spacing w:val="-32"/>
          <w:w w:val="105"/>
        </w:rPr>
        <w:t> </w:t>
      </w:r>
      <w:r>
        <w:rPr>
          <w:spacing w:val="-3"/>
          <w:w w:val="105"/>
        </w:rPr>
        <w:t>Statements</w:t>
      </w:r>
      <w:r>
        <w:rPr>
          <w:spacing w:val="-32"/>
          <w:w w:val="105"/>
        </w:rPr>
        <w:t> </w:t>
      </w:r>
      <w:r>
        <w:rPr>
          <w:w w:val="105"/>
        </w:rPr>
        <w:t>for</w:t>
      </w:r>
      <w:r>
        <w:rPr>
          <w:spacing w:val="-35"/>
          <w:w w:val="105"/>
        </w:rPr>
        <w:t> </w:t>
      </w:r>
      <w:r>
        <w:rPr>
          <w:w w:val="105"/>
        </w:rPr>
        <w:t>more</w:t>
      </w:r>
      <w:r>
        <w:rPr>
          <w:spacing w:val="-35"/>
          <w:w w:val="105"/>
        </w:rPr>
        <w:t> </w:t>
      </w:r>
      <w:r>
        <w:rPr>
          <w:w w:val="105"/>
        </w:rPr>
        <w:t>information</w:t>
      </w:r>
      <w:r>
        <w:rPr>
          <w:spacing w:val="-32"/>
          <w:w w:val="105"/>
        </w:rPr>
        <w:t> </w:t>
      </w:r>
      <w:r>
        <w:rPr>
          <w:w w:val="105"/>
        </w:rPr>
        <w:t>on</w:t>
      </w:r>
      <w:r>
        <w:rPr>
          <w:spacing w:val="-32"/>
          <w:w w:val="105"/>
        </w:rPr>
        <w:t> </w:t>
      </w:r>
      <w:r>
        <w:rPr>
          <w:w w:val="105"/>
        </w:rPr>
        <w:t>these</w:t>
      </w:r>
      <w:r>
        <w:rPr>
          <w:spacing w:val="-33"/>
          <w:w w:val="105"/>
        </w:rPr>
        <w:t> </w:t>
      </w:r>
      <w:r>
        <w:rPr>
          <w:w w:val="105"/>
        </w:rPr>
        <w:t>financing</w:t>
      </w:r>
      <w:r>
        <w:rPr>
          <w:spacing w:val="-32"/>
          <w:w w:val="105"/>
        </w:rPr>
        <w:t> </w:t>
      </w:r>
      <w:r>
        <w:rPr>
          <w:w w:val="105"/>
        </w:rPr>
        <w:t>activities.</w:t>
      </w:r>
    </w:p>
    <w:p>
      <w:pPr>
        <w:pStyle w:val="BodyText"/>
        <w:spacing w:line="259" w:lineRule="auto" w:before="224"/>
        <w:ind w:left="115" w:right="110"/>
        <w:jc w:val="both"/>
      </w:pPr>
      <w:r>
        <w:rPr>
          <w:spacing w:val="-2"/>
          <w:w w:val="105"/>
        </w:rPr>
        <w:t>The </w:t>
      </w:r>
      <w:r>
        <w:rPr>
          <w:w w:val="105"/>
        </w:rPr>
        <w:t>Company </w:t>
      </w:r>
      <w:r>
        <w:rPr>
          <w:spacing w:val="-3"/>
          <w:w w:val="105"/>
        </w:rPr>
        <w:t>has </w:t>
      </w:r>
      <w:r>
        <w:rPr>
          <w:w w:val="105"/>
        </w:rPr>
        <w:t>various options available to </w:t>
      </w:r>
      <w:r>
        <w:rPr>
          <w:spacing w:val="-3"/>
          <w:w w:val="105"/>
        </w:rPr>
        <w:t>meet </w:t>
      </w:r>
      <w:r>
        <w:rPr>
          <w:w w:val="105"/>
        </w:rPr>
        <w:t>its capital and operating commitments, including cash </w:t>
      </w:r>
      <w:r>
        <w:rPr>
          <w:spacing w:val="-3"/>
          <w:w w:val="105"/>
        </w:rPr>
        <w:t>on </w:t>
      </w:r>
      <w:r>
        <w:rPr>
          <w:w w:val="105"/>
        </w:rPr>
        <w:t>hand</w:t>
      </w:r>
      <w:r>
        <w:rPr>
          <w:spacing w:val="-16"/>
          <w:w w:val="105"/>
        </w:rPr>
        <w:t> </w:t>
      </w:r>
      <w:r>
        <w:rPr>
          <w:spacing w:val="-3"/>
          <w:w w:val="105"/>
        </w:rPr>
        <w:t>at</w:t>
      </w:r>
      <w:r>
        <w:rPr>
          <w:spacing w:val="-16"/>
          <w:w w:val="105"/>
        </w:rPr>
        <w:t> </w:t>
      </w:r>
      <w:r>
        <w:rPr>
          <w:spacing w:val="-3"/>
          <w:w w:val="105"/>
        </w:rPr>
        <w:t>December</w:t>
      </w:r>
      <w:r>
        <w:rPr>
          <w:spacing w:val="-21"/>
          <w:w w:val="105"/>
        </w:rPr>
        <w:t> </w:t>
      </w:r>
      <w:r>
        <w:rPr>
          <w:w w:val="105"/>
        </w:rPr>
        <w:t>31,</w:t>
      </w:r>
      <w:r>
        <w:rPr>
          <w:spacing w:val="-18"/>
          <w:w w:val="105"/>
        </w:rPr>
        <w:t> </w:t>
      </w:r>
      <w:r>
        <w:rPr>
          <w:w w:val="105"/>
        </w:rPr>
        <w:t>2003,</w:t>
      </w:r>
      <w:r>
        <w:rPr>
          <w:spacing w:val="-18"/>
          <w:w w:val="105"/>
        </w:rPr>
        <w:t> </w:t>
      </w:r>
      <w:r>
        <w:rPr>
          <w:w w:val="105"/>
        </w:rPr>
        <w:t>of</w:t>
      </w:r>
      <w:r>
        <w:rPr>
          <w:spacing w:val="-21"/>
          <w:w w:val="105"/>
        </w:rPr>
        <w:t> </w:t>
      </w:r>
      <w:r>
        <w:rPr>
          <w:w w:val="105"/>
        </w:rPr>
        <w:t>$1.9</w:t>
      </w:r>
      <w:r>
        <w:rPr>
          <w:spacing w:val="-16"/>
          <w:w w:val="105"/>
        </w:rPr>
        <w:t> </w:t>
      </w:r>
      <w:r>
        <w:rPr>
          <w:w w:val="105"/>
        </w:rPr>
        <w:t>billion,</w:t>
      </w:r>
      <w:r>
        <w:rPr>
          <w:spacing w:val="-18"/>
          <w:w w:val="105"/>
        </w:rPr>
        <w:t> </w:t>
      </w:r>
      <w:r>
        <w:rPr>
          <w:w w:val="105"/>
        </w:rPr>
        <w:t>internally</w:t>
      </w:r>
      <w:r>
        <w:rPr>
          <w:spacing w:val="-16"/>
          <w:w w:val="105"/>
        </w:rPr>
        <w:t> </w:t>
      </w:r>
      <w:r>
        <w:rPr>
          <w:spacing w:val="-3"/>
          <w:w w:val="105"/>
        </w:rPr>
        <w:t>generated</w:t>
      </w:r>
      <w:r>
        <w:rPr>
          <w:spacing w:val="-19"/>
          <w:w w:val="105"/>
        </w:rPr>
        <w:t> </w:t>
      </w:r>
      <w:r>
        <w:rPr>
          <w:w w:val="105"/>
        </w:rPr>
        <w:t>funds,</w:t>
      </w:r>
      <w:r>
        <w:rPr>
          <w:spacing w:val="-21"/>
          <w:w w:val="105"/>
        </w:rPr>
        <w:t> </w:t>
      </w:r>
      <w:r>
        <w:rPr>
          <w:w w:val="105"/>
        </w:rPr>
        <w:t>and</w:t>
      </w:r>
      <w:r>
        <w:rPr>
          <w:spacing w:val="-16"/>
          <w:w w:val="105"/>
        </w:rPr>
        <w:t> </w:t>
      </w:r>
      <w:r>
        <w:rPr>
          <w:w w:val="105"/>
        </w:rPr>
        <w:t>a</w:t>
      </w:r>
      <w:r>
        <w:rPr>
          <w:spacing w:val="-21"/>
          <w:w w:val="105"/>
        </w:rPr>
        <w:t> </w:t>
      </w:r>
      <w:r>
        <w:rPr>
          <w:w w:val="105"/>
        </w:rPr>
        <w:t>$575</w:t>
      </w:r>
      <w:r>
        <w:rPr>
          <w:spacing w:val="-16"/>
          <w:w w:val="105"/>
        </w:rPr>
        <w:t> </w:t>
      </w:r>
      <w:r>
        <w:rPr>
          <w:w w:val="105"/>
        </w:rPr>
        <w:t>million</w:t>
      </w:r>
      <w:r>
        <w:rPr>
          <w:spacing w:val="-16"/>
          <w:w w:val="105"/>
        </w:rPr>
        <w:t> </w:t>
      </w:r>
      <w:r>
        <w:rPr>
          <w:w w:val="105"/>
        </w:rPr>
        <w:t>bank</w:t>
      </w:r>
      <w:r>
        <w:rPr>
          <w:spacing w:val="-16"/>
          <w:w w:val="105"/>
        </w:rPr>
        <w:t> </w:t>
      </w:r>
      <w:r>
        <w:rPr>
          <w:w w:val="105"/>
        </w:rPr>
        <w:t>revolving</w:t>
      </w:r>
      <w:r>
        <w:rPr>
          <w:spacing w:val="-16"/>
          <w:w w:val="105"/>
        </w:rPr>
        <w:t> </w:t>
      </w:r>
      <w:r>
        <w:rPr>
          <w:w w:val="105"/>
        </w:rPr>
        <w:t>line</w:t>
      </w:r>
      <w:r>
        <w:rPr>
          <w:spacing w:val="-17"/>
          <w:w w:val="105"/>
        </w:rPr>
        <w:t> </w:t>
      </w:r>
      <w:r>
        <w:rPr>
          <w:spacing w:val="-3"/>
          <w:w w:val="105"/>
        </w:rPr>
        <w:t>of </w:t>
      </w:r>
      <w:r>
        <w:rPr>
          <w:w w:val="105"/>
        </w:rPr>
        <w:t>credit.</w:t>
      </w:r>
      <w:r>
        <w:rPr>
          <w:spacing w:val="36"/>
          <w:w w:val="105"/>
        </w:rPr>
        <w:t> </w:t>
      </w:r>
      <w:r>
        <w:rPr>
          <w:w w:val="105"/>
        </w:rPr>
        <w:t>In</w:t>
      </w:r>
      <w:r>
        <w:rPr>
          <w:spacing w:val="-6"/>
          <w:w w:val="105"/>
        </w:rPr>
        <w:t> </w:t>
      </w:r>
      <w:r>
        <w:rPr>
          <w:w w:val="105"/>
        </w:rPr>
        <w:t>addition,</w:t>
      </w:r>
      <w:r>
        <w:rPr>
          <w:spacing w:val="-16"/>
          <w:w w:val="105"/>
        </w:rPr>
        <w:t> </w:t>
      </w:r>
      <w:r>
        <w:rPr>
          <w:w w:val="105"/>
        </w:rPr>
        <w:t>the</w:t>
      </w:r>
      <w:r>
        <w:rPr>
          <w:spacing w:val="-8"/>
          <w:w w:val="105"/>
        </w:rPr>
        <w:t> </w:t>
      </w:r>
      <w:r>
        <w:rPr>
          <w:w w:val="105"/>
        </w:rPr>
        <w:t>Company</w:t>
      </w:r>
      <w:r>
        <w:rPr>
          <w:spacing w:val="-9"/>
          <w:w w:val="105"/>
        </w:rPr>
        <w:t> </w:t>
      </w:r>
      <w:r>
        <w:rPr>
          <w:spacing w:val="-3"/>
          <w:w w:val="105"/>
        </w:rPr>
        <w:t>will</w:t>
      </w:r>
      <w:r>
        <w:rPr>
          <w:spacing w:val="-6"/>
          <w:w w:val="105"/>
        </w:rPr>
        <w:t> </w:t>
      </w:r>
      <w:r>
        <w:rPr>
          <w:w w:val="105"/>
        </w:rPr>
        <w:t>also</w:t>
      </w:r>
      <w:r>
        <w:rPr>
          <w:spacing w:val="-9"/>
          <w:w w:val="105"/>
        </w:rPr>
        <w:t> </w:t>
      </w:r>
      <w:r>
        <w:rPr>
          <w:w w:val="105"/>
        </w:rPr>
        <w:t>consider</w:t>
      </w:r>
      <w:r>
        <w:rPr>
          <w:spacing w:val="-8"/>
          <w:w w:val="105"/>
        </w:rPr>
        <w:t> </w:t>
      </w:r>
      <w:r>
        <w:rPr>
          <w:w w:val="105"/>
        </w:rPr>
        <w:t>various</w:t>
      </w:r>
      <w:r>
        <w:rPr>
          <w:spacing w:val="-9"/>
          <w:w w:val="105"/>
        </w:rPr>
        <w:t> </w:t>
      </w:r>
      <w:r>
        <w:rPr>
          <w:spacing w:val="-2"/>
          <w:w w:val="105"/>
        </w:rPr>
        <w:t>borrowing</w:t>
      </w:r>
      <w:r>
        <w:rPr>
          <w:spacing w:val="-6"/>
          <w:w w:val="105"/>
        </w:rPr>
        <w:t> </w:t>
      </w:r>
      <w:r>
        <w:rPr>
          <w:w w:val="105"/>
        </w:rPr>
        <w:t>or</w:t>
      </w:r>
      <w:r>
        <w:rPr>
          <w:spacing w:val="-11"/>
          <w:w w:val="105"/>
        </w:rPr>
        <w:t> </w:t>
      </w:r>
      <w:r>
        <w:rPr>
          <w:w w:val="105"/>
        </w:rPr>
        <w:t>leasing</w:t>
      </w:r>
      <w:r>
        <w:rPr>
          <w:spacing w:val="-6"/>
          <w:w w:val="105"/>
        </w:rPr>
        <w:t> </w:t>
      </w:r>
      <w:r>
        <w:rPr>
          <w:w w:val="105"/>
        </w:rPr>
        <w:t>options</w:t>
      </w:r>
      <w:r>
        <w:rPr>
          <w:spacing w:val="-9"/>
          <w:w w:val="105"/>
        </w:rPr>
        <w:t> </w:t>
      </w:r>
      <w:r>
        <w:rPr>
          <w:w w:val="105"/>
        </w:rPr>
        <w:t>to</w:t>
      </w:r>
      <w:r>
        <w:rPr>
          <w:spacing w:val="-6"/>
          <w:w w:val="105"/>
        </w:rPr>
        <w:t> </w:t>
      </w:r>
      <w:r>
        <w:rPr>
          <w:w w:val="105"/>
        </w:rPr>
        <w:t>maximize</w:t>
      </w:r>
      <w:r>
        <w:rPr>
          <w:spacing w:val="-14"/>
          <w:w w:val="105"/>
        </w:rPr>
        <w:t> </w:t>
      </w:r>
      <w:r>
        <w:rPr>
          <w:w w:val="105"/>
        </w:rPr>
        <w:t>earnings and supplement cash </w:t>
      </w:r>
      <w:r>
        <w:rPr>
          <w:spacing w:val="-3"/>
          <w:w w:val="105"/>
        </w:rPr>
        <w:t>requirements. </w:t>
      </w:r>
      <w:r>
        <w:rPr>
          <w:w w:val="105"/>
        </w:rPr>
        <w:t>The Company </w:t>
      </w:r>
      <w:r>
        <w:rPr>
          <w:spacing w:val="-3"/>
          <w:w w:val="105"/>
        </w:rPr>
        <w:t>believes </w:t>
      </w:r>
      <w:r>
        <w:rPr>
          <w:w w:val="105"/>
        </w:rPr>
        <w:t>it has </w:t>
      </w:r>
      <w:r>
        <w:rPr>
          <w:spacing w:val="-3"/>
          <w:w w:val="105"/>
        </w:rPr>
        <w:t>access </w:t>
      </w:r>
      <w:r>
        <w:rPr>
          <w:w w:val="105"/>
        </w:rPr>
        <w:t>to a </w:t>
      </w:r>
      <w:r>
        <w:rPr>
          <w:spacing w:val="-3"/>
          <w:w w:val="105"/>
        </w:rPr>
        <w:t>wide </w:t>
      </w:r>
      <w:r>
        <w:rPr>
          <w:w w:val="105"/>
        </w:rPr>
        <w:t>variety of financing </w:t>
      </w:r>
      <w:r>
        <w:rPr>
          <w:spacing w:val="-3"/>
          <w:w w:val="105"/>
        </w:rPr>
        <w:t>arrangements </w:t>
      </w:r>
      <w:r>
        <w:rPr>
          <w:w w:val="105"/>
        </w:rPr>
        <w:t>because of its excellent credit ratings, </w:t>
      </w:r>
      <w:r>
        <w:rPr>
          <w:spacing w:val="-3"/>
          <w:w w:val="105"/>
        </w:rPr>
        <w:t>unencumbered </w:t>
      </w:r>
      <w:r>
        <w:rPr>
          <w:w w:val="105"/>
        </w:rPr>
        <w:t>assets, modest </w:t>
      </w:r>
      <w:r>
        <w:rPr>
          <w:spacing w:val="-3"/>
          <w:w w:val="105"/>
        </w:rPr>
        <w:t>leverage, and </w:t>
      </w:r>
      <w:r>
        <w:rPr>
          <w:w w:val="105"/>
        </w:rPr>
        <w:t>consistent profitability.</w:t>
      </w:r>
    </w:p>
    <w:p>
      <w:pPr>
        <w:pStyle w:val="BodyText"/>
        <w:spacing w:line="231" w:lineRule="exact" w:before="176"/>
        <w:ind w:left="115"/>
        <w:jc w:val="both"/>
      </w:pPr>
      <w:r>
        <w:rPr>
          <w:w w:val="105"/>
        </w:rPr>
        <w:t>The Company has two fully available unsecured revolving credit facilities from which it can borrow up to</w:t>
      </w:r>
    </w:p>
    <w:p>
      <w:pPr>
        <w:pStyle w:val="BodyText"/>
        <w:spacing w:line="218" w:lineRule="auto" w:before="7"/>
        <w:ind w:left="115" w:right="108"/>
        <w:jc w:val="both"/>
      </w:pPr>
      <w:r>
        <w:rPr>
          <w:w w:val="105"/>
        </w:rPr>
        <w:t>$575 million from a group of banks. One of the facilities, for half of the total amount, was renewed for an additional year during April 2003. This facility now expires in April 2004. The other facility, for half of the amount,</w:t>
      </w:r>
      <w:r>
        <w:rPr>
          <w:spacing w:val="-8"/>
          <w:w w:val="105"/>
        </w:rPr>
        <w:t> </w:t>
      </w:r>
      <w:r>
        <w:rPr>
          <w:w w:val="105"/>
        </w:rPr>
        <w:t>expires</w:t>
      </w:r>
      <w:r>
        <w:rPr>
          <w:spacing w:val="-9"/>
          <w:w w:val="105"/>
        </w:rPr>
        <w:t> </w:t>
      </w:r>
      <w:r>
        <w:rPr>
          <w:w w:val="105"/>
        </w:rPr>
        <w:t>in</w:t>
      </w:r>
      <w:r>
        <w:rPr>
          <w:spacing w:val="-8"/>
          <w:w w:val="105"/>
        </w:rPr>
        <w:t> </w:t>
      </w:r>
      <w:r>
        <w:rPr>
          <w:w w:val="105"/>
        </w:rPr>
        <w:t>April</w:t>
      </w:r>
      <w:r>
        <w:rPr>
          <w:spacing w:val="-8"/>
          <w:w w:val="105"/>
        </w:rPr>
        <w:t> </w:t>
      </w:r>
      <w:r>
        <w:rPr>
          <w:w w:val="105"/>
        </w:rPr>
        <w:t>2005.</w:t>
      </w:r>
      <w:r>
        <w:rPr>
          <w:spacing w:val="37"/>
          <w:w w:val="105"/>
        </w:rPr>
        <w:t> </w:t>
      </w:r>
      <w:r>
        <w:rPr>
          <w:w w:val="105"/>
        </w:rPr>
        <w:t>The</w:t>
      </w:r>
      <w:r>
        <w:rPr>
          <w:spacing w:val="-10"/>
          <w:w w:val="105"/>
        </w:rPr>
        <w:t> </w:t>
      </w:r>
      <w:r>
        <w:rPr>
          <w:w w:val="105"/>
        </w:rPr>
        <w:t>Company</w:t>
      </w:r>
      <w:r>
        <w:rPr>
          <w:spacing w:val="-9"/>
          <w:w w:val="105"/>
        </w:rPr>
        <w:t> </w:t>
      </w:r>
      <w:r>
        <w:rPr>
          <w:w w:val="105"/>
        </w:rPr>
        <w:t>expects</w:t>
      </w:r>
      <w:r>
        <w:rPr>
          <w:spacing w:val="-9"/>
          <w:w w:val="105"/>
        </w:rPr>
        <w:t> </w:t>
      </w:r>
      <w:r>
        <w:rPr>
          <w:w w:val="105"/>
        </w:rPr>
        <w:t>that</w:t>
      </w:r>
      <w:r>
        <w:rPr>
          <w:spacing w:val="-9"/>
          <w:w w:val="105"/>
        </w:rPr>
        <w:t> </w:t>
      </w:r>
      <w:r>
        <w:rPr>
          <w:w w:val="105"/>
        </w:rPr>
        <w:t>it</w:t>
      </w:r>
      <w:r>
        <w:rPr>
          <w:spacing w:val="-9"/>
          <w:w w:val="105"/>
        </w:rPr>
        <w:t> </w:t>
      </w:r>
      <w:r>
        <w:rPr>
          <w:spacing w:val="-3"/>
          <w:w w:val="105"/>
        </w:rPr>
        <w:t>will</w:t>
      </w:r>
      <w:r>
        <w:rPr>
          <w:spacing w:val="-9"/>
          <w:w w:val="105"/>
        </w:rPr>
        <w:t> </w:t>
      </w:r>
      <w:r>
        <w:rPr>
          <w:w w:val="105"/>
        </w:rPr>
        <w:t>be</w:t>
      </w:r>
      <w:r>
        <w:rPr>
          <w:spacing w:val="-10"/>
          <w:w w:val="105"/>
        </w:rPr>
        <w:t> </w:t>
      </w:r>
      <w:r>
        <w:rPr>
          <w:w w:val="105"/>
        </w:rPr>
        <w:t>able</w:t>
      </w:r>
      <w:r>
        <w:rPr>
          <w:spacing w:val="-10"/>
          <w:w w:val="105"/>
        </w:rPr>
        <w:t> </w:t>
      </w:r>
      <w:r>
        <w:rPr>
          <w:w w:val="105"/>
        </w:rPr>
        <w:t>to</w:t>
      </w:r>
      <w:r>
        <w:rPr>
          <w:spacing w:val="-5"/>
          <w:w w:val="105"/>
        </w:rPr>
        <w:t> </w:t>
      </w:r>
      <w:r>
        <w:rPr>
          <w:spacing w:val="-3"/>
          <w:w w:val="105"/>
        </w:rPr>
        <w:t>renew</w:t>
      </w:r>
      <w:r>
        <w:rPr>
          <w:spacing w:val="-13"/>
          <w:w w:val="105"/>
        </w:rPr>
        <w:t> </w:t>
      </w:r>
      <w:r>
        <w:rPr>
          <w:w w:val="105"/>
        </w:rPr>
        <w:t>the</w:t>
      </w:r>
      <w:r>
        <w:rPr>
          <w:spacing w:val="-14"/>
          <w:w w:val="105"/>
        </w:rPr>
        <w:t> </w:t>
      </w:r>
      <w:r>
        <w:rPr>
          <w:w w:val="105"/>
        </w:rPr>
        <w:t>expiring</w:t>
      </w:r>
      <w:r>
        <w:rPr>
          <w:spacing w:val="-9"/>
          <w:w w:val="105"/>
        </w:rPr>
        <w:t> </w:t>
      </w:r>
      <w:r>
        <w:rPr>
          <w:w w:val="105"/>
        </w:rPr>
        <w:t>364-day</w:t>
      </w:r>
      <w:r>
        <w:rPr>
          <w:spacing w:val="-9"/>
          <w:w w:val="105"/>
        </w:rPr>
        <w:t> </w:t>
      </w:r>
      <w:r>
        <w:rPr>
          <w:spacing w:val="-3"/>
          <w:w w:val="105"/>
        </w:rPr>
        <w:t>facility </w:t>
      </w:r>
      <w:r>
        <w:rPr>
          <w:w w:val="105"/>
        </w:rPr>
        <w:t>for </w:t>
      </w:r>
      <w:r>
        <w:rPr>
          <w:spacing w:val="-3"/>
          <w:w w:val="105"/>
        </w:rPr>
        <w:t>an </w:t>
      </w:r>
      <w:r>
        <w:rPr>
          <w:w w:val="105"/>
        </w:rPr>
        <w:t>additional 364-day period at reasonable terms. </w:t>
      </w:r>
      <w:r>
        <w:rPr>
          <w:spacing w:val="-3"/>
          <w:w w:val="105"/>
        </w:rPr>
        <w:t>If </w:t>
      </w:r>
      <w:r>
        <w:rPr>
          <w:w w:val="105"/>
        </w:rPr>
        <w:t>the Company is unable to </w:t>
      </w:r>
      <w:r>
        <w:rPr>
          <w:spacing w:val="-3"/>
          <w:w w:val="105"/>
        </w:rPr>
        <w:t>renew, </w:t>
      </w:r>
      <w:r>
        <w:rPr>
          <w:w w:val="105"/>
        </w:rPr>
        <w:t>the Company’s available</w:t>
      </w:r>
      <w:r>
        <w:rPr>
          <w:spacing w:val="-28"/>
          <w:w w:val="105"/>
        </w:rPr>
        <w:t> </w:t>
      </w:r>
      <w:r>
        <w:rPr>
          <w:w w:val="105"/>
        </w:rPr>
        <w:t>credit</w:t>
      </w:r>
      <w:r>
        <w:rPr>
          <w:spacing w:val="-29"/>
          <w:w w:val="105"/>
        </w:rPr>
        <w:t> </w:t>
      </w:r>
      <w:r>
        <w:rPr>
          <w:w w:val="105"/>
        </w:rPr>
        <w:t>facility</w:t>
      </w:r>
      <w:r>
        <w:rPr>
          <w:spacing w:val="-27"/>
          <w:w w:val="105"/>
        </w:rPr>
        <w:t> </w:t>
      </w:r>
      <w:r>
        <w:rPr>
          <w:spacing w:val="-3"/>
          <w:w w:val="105"/>
        </w:rPr>
        <w:t>will</w:t>
      </w:r>
      <w:r>
        <w:rPr>
          <w:spacing w:val="-27"/>
          <w:w w:val="105"/>
        </w:rPr>
        <w:t> </w:t>
      </w:r>
      <w:r>
        <w:rPr>
          <w:w w:val="105"/>
        </w:rPr>
        <w:t>be</w:t>
      </w:r>
      <w:r>
        <w:rPr>
          <w:spacing w:val="-28"/>
          <w:w w:val="105"/>
        </w:rPr>
        <w:t> </w:t>
      </w:r>
      <w:r>
        <w:rPr>
          <w:spacing w:val="-3"/>
          <w:w w:val="105"/>
        </w:rPr>
        <w:t>reduced.</w:t>
      </w:r>
    </w:p>
    <w:p>
      <w:pPr>
        <w:pStyle w:val="BodyText"/>
        <w:spacing w:line="216" w:lineRule="auto" w:before="223"/>
        <w:ind w:left="115" w:right="108"/>
        <w:jc w:val="both"/>
      </w:pPr>
      <w:r>
        <w:rPr>
          <w:w w:val="105"/>
        </w:rPr>
        <w:t>The Company currently has outstanding shelf registrations for the issuance of up to $1.0 billion in </w:t>
      </w:r>
      <w:r>
        <w:rPr>
          <w:spacing w:val="2"/>
          <w:w w:val="105"/>
        </w:rPr>
        <w:t>public  </w:t>
      </w:r>
      <w:r>
        <w:rPr>
          <w:w w:val="105"/>
        </w:rPr>
        <w:t>debt securities and pass through certificates, which it may utilize for aircraft financings in the future. The Company</w:t>
      </w:r>
      <w:r>
        <w:rPr>
          <w:spacing w:val="-13"/>
          <w:w w:val="105"/>
        </w:rPr>
        <w:t> </w:t>
      </w:r>
      <w:r>
        <w:rPr>
          <w:w w:val="105"/>
        </w:rPr>
        <w:t>currently</w:t>
      </w:r>
      <w:r>
        <w:rPr>
          <w:spacing w:val="-13"/>
          <w:w w:val="105"/>
        </w:rPr>
        <w:t> </w:t>
      </w:r>
      <w:r>
        <w:rPr>
          <w:w w:val="105"/>
        </w:rPr>
        <w:t>expects</w:t>
      </w:r>
      <w:r>
        <w:rPr>
          <w:spacing w:val="-13"/>
          <w:w w:val="105"/>
        </w:rPr>
        <w:t> </w:t>
      </w:r>
      <w:r>
        <w:rPr>
          <w:w w:val="105"/>
        </w:rPr>
        <w:t>that</w:t>
      </w:r>
      <w:r>
        <w:rPr>
          <w:spacing w:val="-13"/>
          <w:w w:val="105"/>
        </w:rPr>
        <w:t> </w:t>
      </w:r>
      <w:r>
        <w:rPr>
          <w:w w:val="105"/>
        </w:rPr>
        <w:t>a</w:t>
      </w:r>
      <w:r>
        <w:rPr>
          <w:spacing w:val="-13"/>
          <w:w w:val="105"/>
        </w:rPr>
        <w:t> </w:t>
      </w:r>
      <w:r>
        <w:rPr>
          <w:w w:val="105"/>
        </w:rPr>
        <w:t>portion</w:t>
      </w:r>
      <w:r>
        <w:rPr>
          <w:spacing w:val="-13"/>
          <w:w w:val="105"/>
        </w:rPr>
        <w:t> </w:t>
      </w:r>
      <w:r>
        <w:rPr>
          <w:w w:val="105"/>
        </w:rPr>
        <w:t>of</w:t>
      </w:r>
      <w:r>
        <w:rPr>
          <w:spacing w:val="-13"/>
          <w:w w:val="105"/>
        </w:rPr>
        <w:t> </w:t>
      </w:r>
      <w:r>
        <w:rPr>
          <w:w w:val="105"/>
        </w:rPr>
        <w:t>these</w:t>
      </w:r>
      <w:r>
        <w:rPr>
          <w:spacing w:val="-13"/>
          <w:w w:val="105"/>
        </w:rPr>
        <w:t> </w:t>
      </w:r>
      <w:r>
        <w:rPr>
          <w:w w:val="105"/>
        </w:rPr>
        <w:t>securities</w:t>
      </w:r>
      <w:r>
        <w:rPr>
          <w:spacing w:val="-13"/>
          <w:w w:val="105"/>
        </w:rPr>
        <w:t> </w:t>
      </w:r>
      <w:r>
        <w:rPr>
          <w:w w:val="105"/>
        </w:rPr>
        <w:t>will</w:t>
      </w:r>
      <w:r>
        <w:rPr>
          <w:spacing w:val="-13"/>
          <w:w w:val="105"/>
        </w:rPr>
        <w:t> </w:t>
      </w:r>
      <w:r>
        <w:rPr>
          <w:w w:val="105"/>
        </w:rPr>
        <w:t>be</w:t>
      </w:r>
      <w:r>
        <w:rPr>
          <w:spacing w:val="-13"/>
          <w:w w:val="105"/>
        </w:rPr>
        <w:t> </w:t>
      </w:r>
      <w:r>
        <w:rPr>
          <w:w w:val="105"/>
        </w:rPr>
        <w:t>issued</w:t>
      </w:r>
      <w:r>
        <w:rPr>
          <w:spacing w:val="-13"/>
          <w:w w:val="105"/>
        </w:rPr>
        <w:t> </w:t>
      </w:r>
      <w:r>
        <w:rPr>
          <w:w w:val="105"/>
        </w:rPr>
        <w:t>in</w:t>
      </w:r>
      <w:r>
        <w:rPr>
          <w:spacing w:val="-13"/>
          <w:w w:val="105"/>
        </w:rPr>
        <w:t> </w:t>
      </w:r>
      <w:r>
        <w:rPr>
          <w:w w:val="105"/>
        </w:rPr>
        <w:t>2004.</w:t>
      </w:r>
    </w:p>
    <w:p>
      <w:pPr>
        <w:pStyle w:val="Heading2"/>
        <w:spacing w:line="220" w:lineRule="exact" w:before="224"/>
        <w:ind w:right="100"/>
        <w:jc w:val="both"/>
      </w:pPr>
      <w:r>
        <w:rPr>
          <w:w w:val="105"/>
        </w:rPr>
        <w:t>OFF-BALANCE SHEET ARRANGEMENTS, CONTRACTUAL OBLIGATIONS, AND CONTINGENT LIABILITIES AND COMMITMENTS</w:t>
      </w:r>
    </w:p>
    <w:p>
      <w:pPr>
        <w:pStyle w:val="BodyText"/>
        <w:spacing w:line="220" w:lineRule="exact" w:before="216"/>
        <w:ind w:left="115" w:right="108"/>
        <w:jc w:val="both"/>
      </w:pPr>
      <w:r>
        <w:rPr>
          <w:w w:val="105"/>
        </w:rPr>
        <w:t>Southwest has contractual obligations and commitments primarily with regards to future purchases of aircraft, payment of debt, and lease arrangements. Along with the receipt of 17 new 737-700 aircraft from Boeing in 2003, the Company exercised several options for delivery in 2004 and 2005 and accelerated the delivery dates for several aircraft into 2004 from future years. The Company also entered into an agreement to lease a new Boeing 737-700 from a third party beginning in 2004. The following table details the Company’s current firm orders, options, and purchase rights for 737-700 aircraft:</w:t>
      </w:r>
    </w:p>
    <w:p>
      <w:pPr>
        <w:pStyle w:val="Heading2"/>
        <w:spacing w:line="231" w:lineRule="exact" w:before="196"/>
        <w:ind w:left="5415" w:right="2104"/>
        <w:jc w:val="center"/>
      </w:pPr>
      <w:r>
        <w:rPr>
          <w:w w:val="105"/>
        </w:rPr>
        <w:t>As of December 31, 2003</w:t>
      </w:r>
    </w:p>
    <w:p>
      <w:pPr>
        <w:tabs>
          <w:tab w:pos="3969" w:val="left" w:leader="none"/>
          <w:tab w:pos="5582" w:val="left" w:leader="none"/>
          <w:tab w:pos="6892" w:val="left" w:leader="none"/>
        </w:tabs>
        <w:spacing w:line="231" w:lineRule="exact" w:before="0"/>
        <w:ind w:left="3292" w:right="0" w:firstLine="0"/>
        <w:jc w:val="center"/>
        <w:rPr>
          <w:b/>
          <w:sz w:val="21"/>
        </w:rPr>
      </w:pPr>
      <w:r>
        <w:rPr>
          <w:b/>
          <w:w w:val="102"/>
          <w:sz w:val="21"/>
          <w:u w:val="thick"/>
        </w:rPr>
        <w:t> </w:t>
      </w:r>
      <w:r>
        <w:rPr>
          <w:b/>
          <w:sz w:val="21"/>
          <w:u w:val="thick"/>
        </w:rPr>
        <w:tab/>
      </w:r>
      <w:r>
        <w:rPr>
          <w:b/>
          <w:w w:val="105"/>
          <w:sz w:val="21"/>
          <w:u w:val="thick"/>
        </w:rPr>
        <w:t>Firm</w:t>
        <w:tab/>
        <w:t>Options*</w:t>
      </w:r>
      <w:r>
        <w:rPr>
          <w:b/>
          <w:sz w:val="21"/>
          <w:u w:val="thick"/>
        </w:rPr>
        <w:tab/>
      </w:r>
    </w:p>
    <w:p>
      <w:pPr>
        <w:pStyle w:val="BodyText"/>
        <w:tabs>
          <w:tab w:pos="6274" w:val="left" w:leader="none"/>
          <w:tab w:pos="8218" w:val="left" w:leader="none"/>
        </w:tabs>
        <w:spacing w:line="231" w:lineRule="exact" w:before="8"/>
        <w:ind w:left="1123"/>
      </w:pPr>
      <w:r>
        <w:rPr>
          <w:w w:val="105"/>
        </w:rPr>
        <w:t>2004**</w:t>
        <w:tab/>
        <w:t>47</w:t>
        <w:tab/>
        <w:t>-</w:t>
      </w:r>
    </w:p>
    <w:p>
      <w:pPr>
        <w:pStyle w:val="BodyText"/>
        <w:tabs>
          <w:tab w:pos="6274" w:val="left" w:leader="none"/>
          <w:tab w:pos="8179" w:val="left" w:leader="none"/>
        </w:tabs>
        <w:spacing w:line="221" w:lineRule="exact"/>
        <w:ind w:left="1124"/>
      </w:pPr>
      <w:r>
        <w:rPr>
          <w:w w:val="105"/>
        </w:rPr>
        <w:t>2005</w:t>
        <w:tab/>
        <w:t>28</w:t>
        <w:tab/>
        <w:t>6</w:t>
      </w:r>
    </w:p>
    <w:p>
      <w:pPr>
        <w:pStyle w:val="BodyText"/>
        <w:tabs>
          <w:tab w:pos="6274" w:val="left" w:leader="none"/>
          <w:tab w:pos="8074" w:val="left" w:leader="none"/>
        </w:tabs>
        <w:spacing w:line="221" w:lineRule="exact"/>
        <w:ind w:left="1124"/>
      </w:pPr>
      <w:r>
        <w:rPr>
          <w:w w:val="105"/>
        </w:rPr>
        <w:t>2006</w:t>
        <w:tab/>
        <w:t>22</w:t>
        <w:tab/>
        <w:t>12</w:t>
      </w:r>
    </w:p>
    <w:p>
      <w:pPr>
        <w:pStyle w:val="BodyText"/>
        <w:tabs>
          <w:tab w:pos="6274" w:val="left" w:leader="none"/>
          <w:tab w:pos="8074" w:val="left" w:leader="none"/>
        </w:tabs>
        <w:spacing w:line="221" w:lineRule="exact"/>
        <w:ind w:left="1124"/>
      </w:pPr>
      <w:r>
        <w:rPr>
          <w:w w:val="105"/>
        </w:rPr>
        <w:t>2007</w:t>
        <w:tab/>
        <w:t>25</w:t>
        <w:tab/>
        <w:t>29</w:t>
      </w:r>
    </w:p>
    <w:p>
      <w:pPr>
        <w:pStyle w:val="BodyText"/>
        <w:tabs>
          <w:tab w:pos="6379" w:val="left" w:leader="none"/>
          <w:tab w:pos="8074" w:val="left" w:leader="none"/>
        </w:tabs>
        <w:spacing w:line="218" w:lineRule="exact"/>
        <w:ind w:left="1124"/>
      </w:pPr>
      <w:r>
        <w:rPr>
          <w:w w:val="105"/>
        </w:rPr>
        <w:t>2008</w:t>
        <w:tab/>
        <w:t>6</w:t>
        <w:tab/>
        <w:t>45</w:t>
      </w:r>
    </w:p>
    <w:p>
      <w:pPr>
        <w:pStyle w:val="BodyText"/>
        <w:tabs>
          <w:tab w:pos="4786" w:val="left" w:leader="none"/>
          <w:tab w:pos="6418" w:val="left" w:leader="none"/>
          <w:tab w:pos="7963" w:val="left" w:leader="none"/>
        </w:tabs>
        <w:spacing w:line="223" w:lineRule="exact"/>
        <w:ind w:left="1124"/>
      </w:pPr>
      <w:r>
        <w:rPr>
          <w:w w:val="105"/>
        </w:rPr>
        <w:t>2009-2012</w:t>
        <w:tab/>
      </w:r>
      <w:r>
        <w:rPr>
          <w:w w:val="105"/>
          <w:u w:val="single"/>
        </w:rPr>
        <w:t> </w:t>
        <w:tab/>
        <w:t>-</w:t>
        <w:tab/>
        <w:t>177</w:t>
      </w:r>
      <w:r>
        <w:rPr>
          <w:spacing w:val="-7"/>
          <w:u w:val="single"/>
        </w:rPr>
        <w:t> </w:t>
      </w:r>
    </w:p>
    <w:p>
      <w:pPr>
        <w:pStyle w:val="BodyText"/>
        <w:tabs>
          <w:tab w:pos="4786" w:val="left" w:leader="none"/>
          <w:tab w:pos="6164" w:val="left" w:leader="none"/>
          <w:tab w:pos="7964" w:val="left" w:leader="none"/>
        </w:tabs>
        <w:spacing w:line="236" w:lineRule="exact"/>
        <w:ind w:left="1124"/>
      </w:pPr>
      <w:r>
        <w:rPr>
          <w:w w:val="105"/>
        </w:rPr>
        <w:t>Total</w:t>
        <w:tab/>
      </w:r>
      <w:r>
        <w:rPr>
          <w:w w:val="105"/>
          <w:u w:val="thick"/>
        </w:rPr>
        <w:t> </w:t>
        <w:tab/>
        <w:t>128</w:t>
        <w:tab/>
        <w:t>269</w:t>
      </w:r>
      <w:r>
        <w:rPr>
          <w:spacing w:val="-7"/>
          <w:u w:val="thick"/>
        </w:rPr>
        <w:t> </w:t>
      </w:r>
    </w:p>
    <w:p>
      <w:pPr>
        <w:pStyle w:val="BodyText"/>
        <w:tabs>
          <w:tab w:pos="1447" w:val="left" w:leader="none"/>
        </w:tabs>
        <w:spacing w:line="231" w:lineRule="exact" w:before="22"/>
        <w:ind w:left="1124"/>
      </w:pPr>
      <w:r>
        <w:rPr>
          <w:w w:val="105"/>
        </w:rPr>
        <w:t>*</w:t>
        <w:tab/>
        <w:t>Includes</w:t>
      </w:r>
      <w:r>
        <w:rPr>
          <w:spacing w:val="-23"/>
          <w:w w:val="105"/>
        </w:rPr>
        <w:t> </w:t>
      </w:r>
      <w:r>
        <w:rPr>
          <w:w w:val="105"/>
        </w:rPr>
        <w:t>purchase</w:t>
      </w:r>
      <w:r>
        <w:rPr>
          <w:spacing w:val="-23"/>
          <w:w w:val="105"/>
        </w:rPr>
        <w:t> </w:t>
      </w:r>
      <w:r>
        <w:rPr>
          <w:w w:val="105"/>
        </w:rPr>
        <w:t>rights</w:t>
      </w:r>
    </w:p>
    <w:p>
      <w:pPr>
        <w:pStyle w:val="BodyText"/>
        <w:spacing w:line="231" w:lineRule="exact"/>
        <w:ind w:left="1124"/>
      </w:pPr>
      <w:r>
        <w:rPr>
          <w:w w:val="105"/>
        </w:rPr>
        <w:t>** Includes one leased aircraft</w:t>
      </w:r>
    </w:p>
    <w:p>
      <w:pPr>
        <w:pStyle w:val="BodyText"/>
        <w:spacing w:line="220" w:lineRule="exact" w:before="220"/>
        <w:ind w:left="115" w:right="110"/>
        <w:jc w:val="both"/>
      </w:pPr>
      <w:r>
        <w:rPr>
          <w:spacing w:val="-2"/>
          <w:w w:val="105"/>
        </w:rPr>
        <w:t>The </w:t>
      </w:r>
      <w:r>
        <w:rPr>
          <w:w w:val="105"/>
        </w:rPr>
        <w:t>Company </w:t>
      </w:r>
      <w:r>
        <w:rPr>
          <w:spacing w:val="-3"/>
          <w:w w:val="105"/>
        </w:rPr>
        <w:t>has </w:t>
      </w:r>
      <w:r>
        <w:rPr>
          <w:w w:val="105"/>
        </w:rPr>
        <w:t>the option to substitute</w:t>
      </w:r>
      <w:r>
        <w:rPr>
          <w:spacing w:val="-40"/>
          <w:w w:val="105"/>
        </w:rPr>
        <w:t> </w:t>
      </w:r>
      <w:r>
        <w:rPr>
          <w:w w:val="105"/>
        </w:rPr>
        <w:t>737-600s or -800s for the -700s. </w:t>
      </w:r>
      <w:r>
        <w:rPr>
          <w:spacing w:val="-3"/>
          <w:w w:val="105"/>
        </w:rPr>
        <w:t>This </w:t>
      </w:r>
      <w:r>
        <w:rPr>
          <w:w w:val="105"/>
        </w:rPr>
        <w:t>option is applicable to </w:t>
      </w:r>
      <w:r>
        <w:rPr>
          <w:spacing w:val="-3"/>
          <w:w w:val="105"/>
        </w:rPr>
        <w:t>aircraft ordered</w:t>
      </w:r>
      <w:r>
        <w:rPr>
          <w:spacing w:val="-22"/>
          <w:w w:val="105"/>
        </w:rPr>
        <w:t> </w:t>
      </w:r>
      <w:r>
        <w:rPr>
          <w:w w:val="105"/>
        </w:rPr>
        <w:t>from</w:t>
      </w:r>
      <w:r>
        <w:rPr>
          <w:spacing w:val="-24"/>
          <w:w w:val="105"/>
        </w:rPr>
        <w:t> </w:t>
      </w:r>
      <w:r>
        <w:rPr>
          <w:w w:val="105"/>
        </w:rPr>
        <w:t>the</w:t>
      </w:r>
      <w:r>
        <w:rPr>
          <w:spacing w:val="-27"/>
          <w:w w:val="105"/>
        </w:rPr>
        <w:t> </w:t>
      </w:r>
      <w:r>
        <w:rPr>
          <w:w w:val="105"/>
        </w:rPr>
        <w:t>manufacturer</w:t>
      </w:r>
      <w:r>
        <w:rPr>
          <w:spacing w:val="-27"/>
          <w:w w:val="105"/>
        </w:rPr>
        <w:t> </w:t>
      </w:r>
      <w:r>
        <w:rPr>
          <w:w w:val="105"/>
        </w:rPr>
        <w:t>and</w:t>
      </w:r>
      <w:r>
        <w:rPr>
          <w:spacing w:val="-22"/>
          <w:w w:val="105"/>
        </w:rPr>
        <w:t> </w:t>
      </w:r>
      <w:r>
        <w:rPr>
          <w:w w:val="105"/>
        </w:rPr>
        <w:t>must</w:t>
      </w:r>
      <w:r>
        <w:rPr>
          <w:spacing w:val="-22"/>
          <w:w w:val="105"/>
        </w:rPr>
        <w:t> </w:t>
      </w:r>
      <w:r>
        <w:rPr>
          <w:w w:val="105"/>
        </w:rPr>
        <w:t>be</w:t>
      </w:r>
      <w:r>
        <w:rPr>
          <w:spacing w:val="-24"/>
          <w:w w:val="105"/>
        </w:rPr>
        <w:t> </w:t>
      </w:r>
      <w:r>
        <w:rPr>
          <w:spacing w:val="-3"/>
          <w:w w:val="105"/>
        </w:rPr>
        <w:t>exercised</w:t>
      </w:r>
      <w:r>
        <w:rPr>
          <w:spacing w:val="-22"/>
          <w:w w:val="105"/>
        </w:rPr>
        <w:t> </w:t>
      </w:r>
      <w:r>
        <w:rPr>
          <w:spacing w:val="-4"/>
          <w:w w:val="105"/>
        </w:rPr>
        <w:t>two</w:t>
      </w:r>
      <w:r>
        <w:rPr>
          <w:spacing w:val="-22"/>
          <w:w w:val="105"/>
        </w:rPr>
        <w:t> </w:t>
      </w:r>
      <w:r>
        <w:rPr>
          <w:w w:val="105"/>
        </w:rPr>
        <w:t>years</w:t>
      </w:r>
      <w:r>
        <w:rPr>
          <w:spacing w:val="-25"/>
          <w:w w:val="105"/>
        </w:rPr>
        <w:t> </w:t>
      </w:r>
      <w:r>
        <w:rPr>
          <w:w w:val="105"/>
        </w:rPr>
        <w:t>prior</w:t>
      </w:r>
      <w:r>
        <w:rPr>
          <w:spacing w:val="-24"/>
          <w:w w:val="105"/>
        </w:rPr>
        <w:t> </w:t>
      </w:r>
      <w:r>
        <w:rPr>
          <w:w w:val="105"/>
        </w:rPr>
        <w:t>to</w:t>
      </w:r>
      <w:r>
        <w:rPr>
          <w:spacing w:val="-22"/>
          <w:w w:val="105"/>
        </w:rPr>
        <w:t> </w:t>
      </w:r>
      <w:r>
        <w:rPr>
          <w:w w:val="105"/>
        </w:rPr>
        <w:t>the</w:t>
      </w:r>
      <w:r>
        <w:rPr>
          <w:spacing w:val="-24"/>
          <w:w w:val="105"/>
        </w:rPr>
        <w:t> </w:t>
      </w:r>
      <w:r>
        <w:rPr>
          <w:w w:val="105"/>
        </w:rPr>
        <w:t>contractual</w:t>
      </w:r>
      <w:r>
        <w:rPr>
          <w:spacing w:val="-22"/>
          <w:w w:val="105"/>
        </w:rPr>
        <w:t> </w:t>
      </w:r>
      <w:r>
        <w:rPr>
          <w:spacing w:val="-3"/>
          <w:w w:val="105"/>
        </w:rPr>
        <w:t>delivery</w:t>
      </w:r>
      <w:r>
        <w:rPr>
          <w:spacing w:val="-22"/>
          <w:w w:val="105"/>
        </w:rPr>
        <w:t> </w:t>
      </w:r>
      <w:r>
        <w:rPr>
          <w:w w:val="105"/>
        </w:rPr>
        <w:t>date.</w:t>
      </w:r>
    </w:p>
    <w:p>
      <w:pPr>
        <w:pStyle w:val="BodyText"/>
        <w:spacing w:before="196"/>
        <w:ind w:left="115"/>
        <w:jc w:val="both"/>
      </w:pPr>
      <w:r>
        <w:rPr>
          <w:w w:val="105"/>
        </w:rPr>
        <w:t>The following table details information on the 388 aircraft in the Company’s fleet as of December 31, 2003:</w:t>
      </w:r>
    </w:p>
    <w:p>
      <w:pPr>
        <w:spacing w:after="0"/>
        <w:jc w:val="both"/>
        <w:sectPr>
          <w:pgSz w:w="12240" w:h="15840"/>
          <w:pgMar w:top="1380" w:bottom="280" w:left="1180" w:right="1180"/>
        </w:sectPr>
      </w:pPr>
    </w:p>
    <w:p>
      <w:pPr>
        <w:tabs>
          <w:tab w:pos="5093" w:val="left" w:leader="none"/>
          <w:tab w:pos="6355" w:val="left" w:leader="none"/>
          <w:tab w:pos="7478" w:val="left" w:leader="none"/>
        </w:tabs>
        <w:spacing w:before="93" w:after="47"/>
        <w:ind w:left="3756" w:right="0" w:firstLine="0"/>
        <w:jc w:val="left"/>
        <w:rPr>
          <w:rFonts w:ascii="Arial"/>
          <w:b/>
          <w:sz w:val="20"/>
        </w:rPr>
      </w:pPr>
      <w:bookmarkStart w:name="Critical Accounting Policies and Estimat" w:id="32"/>
      <w:bookmarkEnd w:id="32"/>
      <w:r>
        <w:rPr/>
      </w:r>
      <w:r>
        <w:rPr>
          <w:rFonts w:ascii="Arial"/>
          <w:b/>
          <w:spacing w:val="3"/>
          <w:sz w:val="20"/>
        </w:rPr>
        <w:t>Average</w:t>
        <w:tab/>
      </w:r>
      <w:r>
        <w:rPr>
          <w:rFonts w:ascii="Arial"/>
          <w:b/>
          <w:sz w:val="20"/>
        </w:rPr>
        <w:t>Number</w:t>
        <w:tab/>
        <w:t>Number</w:t>
        <w:tab/>
        <w:t>Number</w:t>
      </w:r>
    </w:p>
    <w:tbl>
      <w:tblPr>
        <w:tblW w:w="0" w:type="auto"/>
        <w:jc w:val="left"/>
        <w:tblInd w:w="1406"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340"/>
        <w:gridCol w:w="778"/>
        <w:gridCol w:w="1313"/>
        <w:gridCol w:w="1429"/>
        <w:gridCol w:w="1117"/>
        <w:gridCol w:w="1090"/>
      </w:tblGrid>
      <w:tr>
        <w:trPr>
          <w:trHeight w:val="292" w:hRule="exact"/>
        </w:trPr>
        <w:tc>
          <w:tcPr>
            <w:tcW w:w="1340" w:type="dxa"/>
            <w:tcBorders>
              <w:bottom w:val="single" w:sz="7" w:space="0" w:color="000000"/>
            </w:tcBorders>
          </w:tcPr>
          <w:p>
            <w:pPr>
              <w:pStyle w:val="TableParagraph"/>
              <w:spacing w:before="16"/>
              <w:ind w:left="189" w:right="125"/>
              <w:jc w:val="center"/>
              <w:rPr>
                <w:b/>
                <w:sz w:val="20"/>
              </w:rPr>
            </w:pPr>
            <w:r>
              <w:rPr>
                <w:b/>
                <w:w w:val="115"/>
                <w:sz w:val="20"/>
              </w:rPr>
              <w:t>737 Type</w:t>
            </w:r>
          </w:p>
        </w:tc>
        <w:tc>
          <w:tcPr>
            <w:tcW w:w="778" w:type="dxa"/>
            <w:tcBorders>
              <w:bottom w:val="single" w:sz="7" w:space="0" w:color="000000"/>
            </w:tcBorders>
          </w:tcPr>
          <w:p>
            <w:pPr>
              <w:pStyle w:val="TableParagraph"/>
              <w:spacing w:before="16"/>
              <w:ind w:left="135"/>
              <w:rPr>
                <w:b/>
                <w:sz w:val="20"/>
              </w:rPr>
            </w:pPr>
            <w:r>
              <w:rPr>
                <w:b/>
                <w:w w:val="105"/>
                <w:sz w:val="20"/>
              </w:rPr>
              <w:t>Seats</w:t>
            </w:r>
          </w:p>
        </w:tc>
        <w:tc>
          <w:tcPr>
            <w:tcW w:w="1313" w:type="dxa"/>
            <w:tcBorders>
              <w:bottom w:val="single" w:sz="7" w:space="0" w:color="000000"/>
            </w:tcBorders>
          </w:tcPr>
          <w:p>
            <w:pPr>
              <w:pStyle w:val="TableParagraph"/>
              <w:spacing w:before="16"/>
              <w:ind w:right="160"/>
              <w:jc w:val="right"/>
              <w:rPr>
                <w:b/>
                <w:sz w:val="20"/>
              </w:rPr>
            </w:pPr>
            <w:r>
              <w:rPr>
                <w:b/>
                <w:w w:val="110"/>
                <w:sz w:val="20"/>
              </w:rPr>
              <w:t>Age (Yrs)</w:t>
            </w:r>
          </w:p>
        </w:tc>
        <w:tc>
          <w:tcPr>
            <w:tcW w:w="1429" w:type="dxa"/>
            <w:tcBorders>
              <w:bottom w:val="single" w:sz="7" w:space="0" w:color="000000"/>
            </w:tcBorders>
          </w:tcPr>
          <w:p>
            <w:pPr>
              <w:pStyle w:val="TableParagraph"/>
              <w:spacing w:before="16"/>
              <w:ind w:right="202"/>
              <w:jc w:val="right"/>
              <w:rPr>
                <w:b/>
                <w:sz w:val="20"/>
              </w:rPr>
            </w:pPr>
            <w:r>
              <w:rPr>
                <w:b/>
                <w:w w:val="110"/>
                <w:sz w:val="20"/>
              </w:rPr>
              <w:t>of Aircraft</w:t>
            </w:r>
          </w:p>
        </w:tc>
        <w:tc>
          <w:tcPr>
            <w:tcW w:w="1117" w:type="dxa"/>
            <w:tcBorders>
              <w:bottom w:val="single" w:sz="7" w:space="0" w:color="000000"/>
            </w:tcBorders>
          </w:tcPr>
          <w:p>
            <w:pPr>
              <w:pStyle w:val="TableParagraph"/>
              <w:spacing w:before="16"/>
              <w:ind w:right="241"/>
              <w:jc w:val="right"/>
              <w:rPr>
                <w:b/>
                <w:sz w:val="20"/>
              </w:rPr>
            </w:pPr>
            <w:r>
              <w:rPr>
                <w:b/>
                <w:sz w:val="20"/>
              </w:rPr>
              <w:t>Owned</w:t>
            </w:r>
          </w:p>
        </w:tc>
        <w:tc>
          <w:tcPr>
            <w:tcW w:w="1090" w:type="dxa"/>
            <w:tcBorders>
              <w:bottom w:val="single" w:sz="7" w:space="0" w:color="000000"/>
            </w:tcBorders>
          </w:tcPr>
          <w:p>
            <w:pPr>
              <w:pStyle w:val="TableParagraph"/>
              <w:spacing w:before="16"/>
              <w:ind w:right="198"/>
              <w:jc w:val="right"/>
              <w:rPr>
                <w:b/>
                <w:sz w:val="20"/>
              </w:rPr>
            </w:pPr>
            <w:r>
              <w:rPr>
                <w:b/>
                <w:sz w:val="20"/>
              </w:rPr>
              <w:t>Leased</w:t>
            </w:r>
          </w:p>
        </w:tc>
      </w:tr>
      <w:tr>
        <w:trPr>
          <w:trHeight w:val="588" w:hRule="exact"/>
        </w:trPr>
        <w:tc>
          <w:tcPr>
            <w:tcW w:w="1340" w:type="dxa"/>
            <w:tcBorders>
              <w:top w:val="single" w:sz="7" w:space="0" w:color="000000"/>
            </w:tcBorders>
          </w:tcPr>
          <w:p>
            <w:pPr>
              <w:pStyle w:val="TableParagraph"/>
              <w:spacing w:before="8"/>
              <w:rPr>
                <w:b/>
                <w:sz w:val="27"/>
              </w:rPr>
            </w:pPr>
          </w:p>
          <w:p>
            <w:pPr>
              <w:pStyle w:val="TableParagraph"/>
              <w:spacing w:before="1"/>
              <w:ind w:left="187" w:right="125"/>
              <w:jc w:val="center"/>
              <w:rPr>
                <w:sz w:val="20"/>
              </w:rPr>
            </w:pPr>
            <w:r>
              <w:rPr>
                <w:w w:val="120"/>
                <w:sz w:val="20"/>
              </w:rPr>
              <w:t>-200</w:t>
            </w:r>
          </w:p>
        </w:tc>
        <w:tc>
          <w:tcPr>
            <w:tcW w:w="778" w:type="dxa"/>
            <w:tcBorders>
              <w:top w:val="single" w:sz="7" w:space="0" w:color="000000"/>
            </w:tcBorders>
          </w:tcPr>
          <w:p>
            <w:pPr>
              <w:pStyle w:val="TableParagraph"/>
              <w:spacing w:before="8"/>
              <w:rPr>
                <w:b/>
                <w:sz w:val="27"/>
              </w:rPr>
            </w:pPr>
          </w:p>
          <w:p>
            <w:pPr>
              <w:pStyle w:val="TableParagraph"/>
              <w:spacing w:before="1"/>
              <w:ind w:left="168"/>
              <w:rPr>
                <w:sz w:val="20"/>
              </w:rPr>
            </w:pPr>
            <w:r>
              <w:rPr>
                <w:w w:val="125"/>
                <w:sz w:val="20"/>
              </w:rPr>
              <w:t>122</w:t>
            </w:r>
          </w:p>
        </w:tc>
        <w:tc>
          <w:tcPr>
            <w:tcW w:w="1313" w:type="dxa"/>
            <w:tcBorders>
              <w:top w:val="single" w:sz="7" w:space="0" w:color="000000"/>
            </w:tcBorders>
          </w:tcPr>
          <w:p>
            <w:pPr>
              <w:pStyle w:val="TableParagraph"/>
              <w:spacing w:before="8"/>
              <w:rPr>
                <w:b/>
                <w:sz w:val="27"/>
              </w:rPr>
            </w:pPr>
          </w:p>
          <w:p>
            <w:pPr>
              <w:pStyle w:val="TableParagraph"/>
              <w:spacing w:before="1"/>
              <w:ind w:right="154"/>
              <w:jc w:val="right"/>
              <w:rPr>
                <w:sz w:val="20"/>
              </w:rPr>
            </w:pPr>
            <w:r>
              <w:rPr>
                <w:w w:val="120"/>
                <w:sz w:val="20"/>
              </w:rPr>
              <w:t>21.2</w:t>
            </w:r>
          </w:p>
        </w:tc>
        <w:tc>
          <w:tcPr>
            <w:tcW w:w="1429" w:type="dxa"/>
            <w:tcBorders>
              <w:top w:val="single" w:sz="7" w:space="0" w:color="000000"/>
            </w:tcBorders>
          </w:tcPr>
          <w:p>
            <w:pPr>
              <w:pStyle w:val="TableParagraph"/>
              <w:spacing w:before="8"/>
              <w:rPr>
                <w:b/>
                <w:sz w:val="27"/>
              </w:rPr>
            </w:pPr>
          </w:p>
          <w:p>
            <w:pPr>
              <w:pStyle w:val="TableParagraph"/>
              <w:spacing w:before="1"/>
              <w:ind w:right="180"/>
              <w:jc w:val="right"/>
              <w:rPr>
                <w:sz w:val="20"/>
              </w:rPr>
            </w:pPr>
            <w:r>
              <w:rPr>
                <w:w w:val="120"/>
                <w:sz w:val="20"/>
              </w:rPr>
              <w:t>23</w:t>
            </w:r>
          </w:p>
        </w:tc>
        <w:tc>
          <w:tcPr>
            <w:tcW w:w="1117" w:type="dxa"/>
            <w:tcBorders>
              <w:top w:val="single" w:sz="7" w:space="0" w:color="000000"/>
            </w:tcBorders>
          </w:tcPr>
          <w:p>
            <w:pPr>
              <w:pStyle w:val="TableParagraph"/>
              <w:spacing w:before="8"/>
              <w:rPr>
                <w:b/>
                <w:sz w:val="27"/>
              </w:rPr>
            </w:pPr>
          </w:p>
          <w:p>
            <w:pPr>
              <w:pStyle w:val="TableParagraph"/>
              <w:spacing w:before="1"/>
              <w:ind w:right="173"/>
              <w:jc w:val="right"/>
              <w:rPr>
                <w:sz w:val="20"/>
              </w:rPr>
            </w:pPr>
            <w:r>
              <w:rPr>
                <w:w w:val="120"/>
                <w:sz w:val="20"/>
              </w:rPr>
              <w:t>21</w:t>
            </w:r>
          </w:p>
        </w:tc>
        <w:tc>
          <w:tcPr>
            <w:tcW w:w="1090" w:type="dxa"/>
            <w:tcBorders>
              <w:top w:val="single" w:sz="7" w:space="0" w:color="000000"/>
            </w:tcBorders>
          </w:tcPr>
          <w:p>
            <w:pPr>
              <w:pStyle w:val="TableParagraph"/>
              <w:spacing w:before="8"/>
              <w:rPr>
                <w:b/>
                <w:sz w:val="27"/>
              </w:rPr>
            </w:pPr>
          </w:p>
          <w:p>
            <w:pPr>
              <w:pStyle w:val="TableParagraph"/>
              <w:spacing w:before="1"/>
              <w:ind w:right="141"/>
              <w:jc w:val="right"/>
              <w:rPr>
                <w:sz w:val="20"/>
              </w:rPr>
            </w:pPr>
            <w:r>
              <w:rPr>
                <w:w w:val="122"/>
                <w:sz w:val="20"/>
              </w:rPr>
              <w:t>2</w:t>
            </w:r>
          </w:p>
        </w:tc>
      </w:tr>
      <w:tr>
        <w:trPr>
          <w:trHeight w:val="294" w:hRule="exact"/>
        </w:trPr>
        <w:tc>
          <w:tcPr>
            <w:tcW w:w="1340" w:type="dxa"/>
          </w:tcPr>
          <w:p>
            <w:pPr>
              <w:pStyle w:val="TableParagraph"/>
              <w:spacing w:before="17"/>
              <w:ind w:left="185" w:right="125"/>
              <w:jc w:val="center"/>
              <w:rPr>
                <w:sz w:val="20"/>
              </w:rPr>
            </w:pPr>
            <w:r>
              <w:rPr>
                <w:w w:val="120"/>
                <w:sz w:val="20"/>
              </w:rPr>
              <w:t>-300</w:t>
            </w:r>
          </w:p>
        </w:tc>
        <w:tc>
          <w:tcPr>
            <w:tcW w:w="778" w:type="dxa"/>
          </w:tcPr>
          <w:p>
            <w:pPr>
              <w:pStyle w:val="TableParagraph"/>
              <w:spacing w:before="17"/>
              <w:ind w:left="167"/>
              <w:rPr>
                <w:sz w:val="20"/>
              </w:rPr>
            </w:pPr>
            <w:r>
              <w:rPr>
                <w:w w:val="125"/>
                <w:sz w:val="20"/>
              </w:rPr>
              <w:t>137</w:t>
            </w:r>
          </w:p>
        </w:tc>
        <w:tc>
          <w:tcPr>
            <w:tcW w:w="1313" w:type="dxa"/>
          </w:tcPr>
          <w:p>
            <w:pPr>
              <w:pStyle w:val="TableParagraph"/>
              <w:spacing w:before="17"/>
              <w:ind w:right="151"/>
              <w:jc w:val="right"/>
              <w:rPr>
                <w:sz w:val="20"/>
              </w:rPr>
            </w:pPr>
            <w:r>
              <w:rPr>
                <w:w w:val="120"/>
                <w:sz w:val="20"/>
              </w:rPr>
              <w:t>12.6</w:t>
            </w:r>
          </w:p>
        </w:tc>
        <w:tc>
          <w:tcPr>
            <w:tcW w:w="1429" w:type="dxa"/>
          </w:tcPr>
          <w:p>
            <w:pPr>
              <w:pStyle w:val="TableParagraph"/>
              <w:spacing w:before="17"/>
              <w:ind w:right="175"/>
              <w:jc w:val="right"/>
              <w:rPr>
                <w:sz w:val="20"/>
              </w:rPr>
            </w:pPr>
            <w:r>
              <w:rPr>
                <w:w w:val="120"/>
                <w:sz w:val="20"/>
              </w:rPr>
              <w:t>194</w:t>
            </w:r>
          </w:p>
        </w:tc>
        <w:tc>
          <w:tcPr>
            <w:tcW w:w="1117" w:type="dxa"/>
          </w:tcPr>
          <w:p>
            <w:pPr>
              <w:pStyle w:val="TableParagraph"/>
              <w:spacing w:before="17"/>
              <w:ind w:right="169"/>
              <w:jc w:val="right"/>
              <w:rPr>
                <w:sz w:val="20"/>
              </w:rPr>
            </w:pPr>
            <w:r>
              <w:rPr>
                <w:w w:val="120"/>
                <w:sz w:val="20"/>
              </w:rPr>
              <w:t>110</w:t>
            </w:r>
          </w:p>
        </w:tc>
        <w:tc>
          <w:tcPr>
            <w:tcW w:w="1090" w:type="dxa"/>
          </w:tcPr>
          <w:p>
            <w:pPr>
              <w:pStyle w:val="TableParagraph"/>
              <w:spacing w:before="17"/>
              <w:ind w:right="135"/>
              <w:jc w:val="right"/>
              <w:rPr>
                <w:sz w:val="20"/>
              </w:rPr>
            </w:pPr>
            <w:r>
              <w:rPr>
                <w:w w:val="120"/>
                <w:sz w:val="20"/>
              </w:rPr>
              <w:t>84</w:t>
            </w:r>
          </w:p>
        </w:tc>
      </w:tr>
      <w:tr>
        <w:trPr>
          <w:trHeight w:val="294" w:hRule="exact"/>
        </w:trPr>
        <w:tc>
          <w:tcPr>
            <w:tcW w:w="1340" w:type="dxa"/>
          </w:tcPr>
          <w:p>
            <w:pPr>
              <w:pStyle w:val="TableParagraph"/>
              <w:spacing w:before="17"/>
              <w:ind w:left="187" w:right="125"/>
              <w:jc w:val="center"/>
              <w:rPr>
                <w:sz w:val="20"/>
              </w:rPr>
            </w:pPr>
            <w:r>
              <w:rPr>
                <w:w w:val="120"/>
                <w:sz w:val="20"/>
              </w:rPr>
              <w:t>-500</w:t>
            </w:r>
          </w:p>
        </w:tc>
        <w:tc>
          <w:tcPr>
            <w:tcW w:w="778" w:type="dxa"/>
          </w:tcPr>
          <w:p>
            <w:pPr>
              <w:pStyle w:val="TableParagraph"/>
              <w:spacing w:before="17"/>
              <w:ind w:left="168"/>
              <w:rPr>
                <w:sz w:val="20"/>
              </w:rPr>
            </w:pPr>
            <w:r>
              <w:rPr>
                <w:w w:val="125"/>
                <w:sz w:val="20"/>
              </w:rPr>
              <w:t>122</w:t>
            </w:r>
          </w:p>
        </w:tc>
        <w:tc>
          <w:tcPr>
            <w:tcW w:w="1313" w:type="dxa"/>
          </w:tcPr>
          <w:p>
            <w:pPr>
              <w:pStyle w:val="TableParagraph"/>
              <w:spacing w:before="17"/>
              <w:ind w:right="154"/>
              <w:jc w:val="right"/>
              <w:rPr>
                <w:sz w:val="20"/>
              </w:rPr>
            </w:pPr>
            <w:r>
              <w:rPr>
                <w:w w:val="120"/>
                <w:sz w:val="20"/>
              </w:rPr>
              <w:t>12.7</w:t>
            </w:r>
          </w:p>
        </w:tc>
        <w:tc>
          <w:tcPr>
            <w:tcW w:w="1429" w:type="dxa"/>
          </w:tcPr>
          <w:p>
            <w:pPr>
              <w:pStyle w:val="TableParagraph"/>
              <w:spacing w:before="17"/>
              <w:ind w:right="181"/>
              <w:jc w:val="right"/>
              <w:rPr>
                <w:sz w:val="20"/>
              </w:rPr>
            </w:pPr>
            <w:r>
              <w:rPr>
                <w:w w:val="120"/>
                <w:sz w:val="20"/>
              </w:rPr>
              <w:t>25</w:t>
            </w:r>
          </w:p>
        </w:tc>
        <w:tc>
          <w:tcPr>
            <w:tcW w:w="1117" w:type="dxa"/>
          </w:tcPr>
          <w:p>
            <w:pPr>
              <w:pStyle w:val="TableParagraph"/>
              <w:spacing w:before="17"/>
              <w:ind w:right="175"/>
              <w:jc w:val="right"/>
              <w:rPr>
                <w:sz w:val="20"/>
              </w:rPr>
            </w:pPr>
            <w:r>
              <w:rPr>
                <w:w w:val="120"/>
                <w:sz w:val="20"/>
              </w:rPr>
              <w:t>16</w:t>
            </w:r>
          </w:p>
        </w:tc>
        <w:tc>
          <w:tcPr>
            <w:tcW w:w="1090" w:type="dxa"/>
          </w:tcPr>
          <w:p>
            <w:pPr>
              <w:pStyle w:val="TableParagraph"/>
              <w:spacing w:before="17"/>
              <w:ind w:right="142"/>
              <w:jc w:val="right"/>
              <w:rPr>
                <w:sz w:val="20"/>
              </w:rPr>
            </w:pPr>
            <w:r>
              <w:rPr>
                <w:w w:val="122"/>
                <w:sz w:val="20"/>
              </w:rPr>
              <w:t>9</w:t>
            </w:r>
          </w:p>
        </w:tc>
      </w:tr>
      <w:tr>
        <w:trPr>
          <w:trHeight w:val="392" w:hRule="exact"/>
        </w:trPr>
        <w:tc>
          <w:tcPr>
            <w:tcW w:w="1340" w:type="dxa"/>
          </w:tcPr>
          <w:p>
            <w:pPr>
              <w:pStyle w:val="TableParagraph"/>
              <w:spacing w:before="17"/>
              <w:ind w:left="187" w:right="125"/>
              <w:jc w:val="center"/>
              <w:rPr>
                <w:sz w:val="20"/>
              </w:rPr>
            </w:pPr>
            <w:r>
              <w:rPr>
                <w:w w:val="120"/>
                <w:sz w:val="20"/>
              </w:rPr>
              <w:t>-700</w:t>
            </w:r>
          </w:p>
        </w:tc>
        <w:tc>
          <w:tcPr>
            <w:tcW w:w="778" w:type="dxa"/>
          </w:tcPr>
          <w:p>
            <w:pPr>
              <w:pStyle w:val="TableParagraph"/>
              <w:spacing w:before="17"/>
              <w:ind w:left="168"/>
              <w:rPr>
                <w:sz w:val="20"/>
              </w:rPr>
            </w:pPr>
            <w:r>
              <w:rPr>
                <w:w w:val="125"/>
                <w:sz w:val="20"/>
              </w:rPr>
              <w:t>137</w:t>
            </w:r>
          </w:p>
        </w:tc>
        <w:tc>
          <w:tcPr>
            <w:tcW w:w="1313" w:type="dxa"/>
            <w:tcBorders>
              <w:bottom w:val="single" w:sz="7" w:space="0" w:color="000000"/>
            </w:tcBorders>
          </w:tcPr>
          <w:p>
            <w:pPr>
              <w:pStyle w:val="TableParagraph"/>
              <w:spacing w:before="17"/>
              <w:ind w:right="154"/>
              <w:jc w:val="right"/>
              <w:rPr>
                <w:sz w:val="20"/>
              </w:rPr>
            </w:pPr>
            <w:r>
              <w:rPr>
                <w:w w:val="120"/>
                <w:sz w:val="20"/>
              </w:rPr>
              <w:t>3.3</w:t>
            </w:r>
          </w:p>
        </w:tc>
        <w:tc>
          <w:tcPr>
            <w:tcW w:w="1429" w:type="dxa"/>
            <w:tcBorders>
              <w:bottom w:val="single" w:sz="7" w:space="0" w:color="000000"/>
            </w:tcBorders>
          </w:tcPr>
          <w:p>
            <w:pPr>
              <w:pStyle w:val="TableParagraph"/>
              <w:spacing w:before="17"/>
              <w:ind w:right="181"/>
              <w:jc w:val="right"/>
              <w:rPr>
                <w:sz w:val="20"/>
              </w:rPr>
            </w:pPr>
            <w:r>
              <w:rPr>
                <w:w w:val="120"/>
                <w:sz w:val="20"/>
              </w:rPr>
              <w:t>146</w:t>
            </w:r>
          </w:p>
        </w:tc>
        <w:tc>
          <w:tcPr>
            <w:tcW w:w="1117" w:type="dxa"/>
            <w:tcBorders>
              <w:bottom w:val="single" w:sz="7" w:space="0" w:color="000000"/>
            </w:tcBorders>
          </w:tcPr>
          <w:p>
            <w:pPr>
              <w:pStyle w:val="TableParagraph"/>
              <w:spacing w:before="17"/>
              <w:ind w:right="175"/>
              <w:jc w:val="right"/>
              <w:rPr>
                <w:sz w:val="20"/>
              </w:rPr>
            </w:pPr>
            <w:r>
              <w:rPr>
                <w:w w:val="120"/>
                <w:sz w:val="20"/>
              </w:rPr>
              <w:t>145</w:t>
            </w:r>
          </w:p>
        </w:tc>
        <w:tc>
          <w:tcPr>
            <w:tcW w:w="1090" w:type="dxa"/>
            <w:tcBorders>
              <w:bottom w:val="single" w:sz="7" w:space="0" w:color="000000"/>
            </w:tcBorders>
          </w:tcPr>
          <w:p>
            <w:pPr>
              <w:pStyle w:val="TableParagraph"/>
              <w:spacing w:before="17"/>
              <w:ind w:right="142"/>
              <w:jc w:val="right"/>
              <w:rPr>
                <w:sz w:val="20"/>
              </w:rPr>
            </w:pPr>
            <w:r>
              <w:rPr>
                <w:w w:val="122"/>
                <w:sz w:val="20"/>
              </w:rPr>
              <w:t>1</w:t>
            </w:r>
          </w:p>
        </w:tc>
      </w:tr>
      <w:tr>
        <w:trPr>
          <w:trHeight w:val="310" w:hRule="exact"/>
        </w:trPr>
        <w:tc>
          <w:tcPr>
            <w:tcW w:w="1340" w:type="dxa"/>
          </w:tcPr>
          <w:p>
            <w:pPr>
              <w:pStyle w:val="TableParagraph"/>
              <w:spacing w:before="34"/>
              <w:ind w:left="185" w:right="125"/>
              <w:jc w:val="center"/>
              <w:rPr>
                <w:sz w:val="20"/>
              </w:rPr>
            </w:pPr>
            <w:r>
              <w:rPr>
                <w:w w:val="105"/>
                <w:sz w:val="20"/>
              </w:rPr>
              <w:t>TOTALS</w:t>
            </w:r>
          </w:p>
        </w:tc>
        <w:tc>
          <w:tcPr>
            <w:tcW w:w="778" w:type="dxa"/>
          </w:tcPr>
          <w:p>
            <w:pPr/>
          </w:p>
        </w:tc>
        <w:tc>
          <w:tcPr>
            <w:tcW w:w="1313" w:type="dxa"/>
            <w:tcBorders>
              <w:top w:val="single" w:sz="7" w:space="0" w:color="000000"/>
            </w:tcBorders>
          </w:tcPr>
          <w:p>
            <w:pPr>
              <w:pStyle w:val="TableParagraph"/>
              <w:spacing w:before="26"/>
              <w:ind w:right="152"/>
              <w:jc w:val="right"/>
              <w:rPr>
                <w:sz w:val="20"/>
              </w:rPr>
            </w:pPr>
            <w:r>
              <w:rPr>
                <w:w w:val="120"/>
                <w:sz w:val="20"/>
              </w:rPr>
              <w:t>9.6</w:t>
            </w:r>
          </w:p>
        </w:tc>
        <w:tc>
          <w:tcPr>
            <w:tcW w:w="1429" w:type="dxa"/>
            <w:tcBorders>
              <w:top w:val="single" w:sz="7" w:space="0" w:color="000000"/>
            </w:tcBorders>
          </w:tcPr>
          <w:p>
            <w:pPr>
              <w:pStyle w:val="TableParagraph"/>
              <w:spacing w:before="26"/>
              <w:ind w:right="177"/>
              <w:jc w:val="right"/>
              <w:rPr>
                <w:sz w:val="20"/>
              </w:rPr>
            </w:pPr>
            <w:r>
              <w:rPr>
                <w:w w:val="120"/>
                <w:sz w:val="20"/>
              </w:rPr>
              <w:t>388</w:t>
            </w:r>
          </w:p>
        </w:tc>
        <w:tc>
          <w:tcPr>
            <w:tcW w:w="1117" w:type="dxa"/>
            <w:tcBorders>
              <w:top w:val="single" w:sz="7" w:space="0" w:color="000000"/>
            </w:tcBorders>
          </w:tcPr>
          <w:p>
            <w:pPr>
              <w:pStyle w:val="TableParagraph"/>
              <w:spacing w:before="26"/>
              <w:ind w:right="170"/>
              <w:jc w:val="right"/>
              <w:rPr>
                <w:sz w:val="20"/>
              </w:rPr>
            </w:pPr>
            <w:r>
              <w:rPr>
                <w:w w:val="120"/>
                <w:sz w:val="20"/>
              </w:rPr>
              <w:t>292</w:t>
            </w:r>
          </w:p>
        </w:tc>
        <w:tc>
          <w:tcPr>
            <w:tcW w:w="1090" w:type="dxa"/>
            <w:tcBorders>
              <w:top w:val="single" w:sz="7" w:space="0" w:color="000000"/>
            </w:tcBorders>
          </w:tcPr>
          <w:p>
            <w:pPr>
              <w:pStyle w:val="TableParagraph"/>
              <w:spacing w:before="26"/>
              <w:ind w:right="136"/>
              <w:jc w:val="right"/>
              <w:rPr>
                <w:sz w:val="20"/>
              </w:rPr>
            </w:pPr>
            <w:r>
              <w:rPr>
                <w:w w:val="120"/>
                <w:sz w:val="20"/>
              </w:rPr>
              <w:t>96</w:t>
            </w:r>
          </w:p>
        </w:tc>
      </w:tr>
    </w:tbl>
    <w:p>
      <w:pPr>
        <w:pStyle w:val="BodyText"/>
        <w:spacing w:line="218" w:lineRule="auto" w:before="197"/>
        <w:ind w:left="115" w:right="207"/>
        <w:jc w:val="both"/>
      </w:pPr>
      <w:r>
        <w:rPr>
          <w:spacing w:val="-2"/>
          <w:w w:val="105"/>
        </w:rPr>
        <w:t>The </w:t>
      </w:r>
      <w:r>
        <w:rPr>
          <w:w w:val="105"/>
        </w:rPr>
        <w:t>Company </w:t>
      </w:r>
      <w:r>
        <w:rPr>
          <w:spacing w:val="-3"/>
          <w:w w:val="105"/>
        </w:rPr>
        <w:t>has </w:t>
      </w:r>
      <w:r>
        <w:rPr>
          <w:w w:val="105"/>
        </w:rPr>
        <w:t>engaged in off-balance </w:t>
      </w:r>
      <w:r>
        <w:rPr>
          <w:spacing w:val="-3"/>
          <w:w w:val="105"/>
        </w:rPr>
        <w:t>sheet arrangements </w:t>
      </w:r>
      <w:r>
        <w:rPr>
          <w:w w:val="105"/>
        </w:rPr>
        <w:t>in the leasing of </w:t>
      </w:r>
      <w:r>
        <w:rPr>
          <w:spacing w:val="-3"/>
          <w:w w:val="105"/>
        </w:rPr>
        <w:t>aircraft. </w:t>
      </w:r>
      <w:r>
        <w:rPr>
          <w:spacing w:val="-4"/>
          <w:w w:val="105"/>
        </w:rPr>
        <w:t>The </w:t>
      </w:r>
      <w:r>
        <w:rPr>
          <w:w w:val="105"/>
        </w:rPr>
        <w:t>leasing of </w:t>
      </w:r>
      <w:r>
        <w:rPr>
          <w:spacing w:val="-3"/>
          <w:w w:val="105"/>
        </w:rPr>
        <w:t>aircraft </w:t>
      </w:r>
      <w:r>
        <w:rPr>
          <w:w w:val="105"/>
        </w:rPr>
        <w:t>provides</w:t>
      </w:r>
      <w:r>
        <w:rPr>
          <w:spacing w:val="-25"/>
          <w:w w:val="105"/>
        </w:rPr>
        <w:t> </w:t>
      </w:r>
      <w:r>
        <w:rPr>
          <w:w w:val="105"/>
        </w:rPr>
        <w:t>flexibility</w:t>
      </w:r>
      <w:r>
        <w:rPr>
          <w:spacing w:val="-19"/>
          <w:w w:val="105"/>
        </w:rPr>
        <w:t> </w:t>
      </w:r>
      <w:r>
        <w:rPr>
          <w:w w:val="105"/>
        </w:rPr>
        <w:t>to</w:t>
      </w:r>
      <w:r>
        <w:rPr>
          <w:spacing w:val="-19"/>
          <w:w w:val="105"/>
        </w:rPr>
        <w:t> </w:t>
      </w:r>
      <w:r>
        <w:rPr>
          <w:w w:val="105"/>
        </w:rPr>
        <w:t>the</w:t>
      </w:r>
      <w:r>
        <w:rPr>
          <w:spacing w:val="-23"/>
          <w:w w:val="105"/>
        </w:rPr>
        <w:t> </w:t>
      </w:r>
      <w:r>
        <w:rPr>
          <w:w w:val="105"/>
        </w:rPr>
        <w:t>Company</w:t>
      </w:r>
      <w:r>
        <w:rPr>
          <w:spacing w:val="-19"/>
          <w:w w:val="105"/>
        </w:rPr>
        <w:t> </w:t>
      </w:r>
      <w:r>
        <w:rPr>
          <w:w w:val="105"/>
        </w:rPr>
        <w:t>by</w:t>
      </w:r>
      <w:r>
        <w:rPr>
          <w:spacing w:val="-22"/>
          <w:w w:val="105"/>
        </w:rPr>
        <w:t> </w:t>
      </w:r>
      <w:r>
        <w:rPr>
          <w:spacing w:val="-3"/>
          <w:w w:val="105"/>
        </w:rPr>
        <w:t>allowing</w:t>
      </w:r>
      <w:r>
        <w:rPr>
          <w:spacing w:val="-19"/>
          <w:w w:val="105"/>
        </w:rPr>
        <w:t> </w:t>
      </w:r>
      <w:r>
        <w:rPr>
          <w:w w:val="105"/>
        </w:rPr>
        <w:t>for</w:t>
      </w:r>
      <w:r>
        <w:rPr>
          <w:spacing w:val="-23"/>
          <w:w w:val="105"/>
        </w:rPr>
        <w:t> </w:t>
      </w:r>
      <w:r>
        <w:rPr>
          <w:spacing w:val="-3"/>
          <w:w w:val="105"/>
        </w:rPr>
        <w:t>capacity</w:t>
      </w:r>
      <w:r>
        <w:rPr>
          <w:spacing w:val="-19"/>
          <w:w w:val="105"/>
        </w:rPr>
        <w:t> </w:t>
      </w:r>
      <w:r>
        <w:rPr>
          <w:w w:val="105"/>
        </w:rPr>
        <w:t>and</w:t>
      </w:r>
      <w:r>
        <w:rPr>
          <w:spacing w:val="-22"/>
          <w:w w:val="105"/>
        </w:rPr>
        <w:t> </w:t>
      </w:r>
      <w:r>
        <w:rPr>
          <w:w w:val="105"/>
        </w:rPr>
        <w:t>fleet</w:t>
      </w:r>
      <w:r>
        <w:rPr>
          <w:spacing w:val="-22"/>
          <w:w w:val="105"/>
        </w:rPr>
        <w:t> </w:t>
      </w:r>
      <w:r>
        <w:rPr>
          <w:spacing w:val="-3"/>
          <w:w w:val="105"/>
        </w:rPr>
        <w:t>growth,</w:t>
      </w:r>
      <w:r>
        <w:rPr>
          <w:spacing w:val="-21"/>
          <w:w w:val="105"/>
        </w:rPr>
        <w:t> </w:t>
      </w:r>
      <w:r>
        <w:rPr>
          <w:w w:val="105"/>
        </w:rPr>
        <w:t>without</w:t>
      </w:r>
      <w:r>
        <w:rPr>
          <w:spacing w:val="-22"/>
          <w:w w:val="105"/>
        </w:rPr>
        <w:t> </w:t>
      </w:r>
      <w:r>
        <w:rPr>
          <w:w w:val="105"/>
        </w:rPr>
        <w:t>the</w:t>
      </w:r>
      <w:r>
        <w:rPr>
          <w:spacing w:val="-20"/>
          <w:w w:val="105"/>
        </w:rPr>
        <w:t> </w:t>
      </w:r>
      <w:r>
        <w:rPr>
          <w:w w:val="105"/>
        </w:rPr>
        <w:t>substantial</w:t>
      </w:r>
      <w:r>
        <w:rPr>
          <w:spacing w:val="-22"/>
          <w:w w:val="105"/>
        </w:rPr>
        <w:t> </w:t>
      </w:r>
      <w:r>
        <w:rPr>
          <w:w w:val="105"/>
        </w:rPr>
        <w:t>cash</w:t>
      </w:r>
      <w:r>
        <w:rPr>
          <w:spacing w:val="-19"/>
          <w:w w:val="105"/>
        </w:rPr>
        <w:t> </w:t>
      </w:r>
      <w:r>
        <w:rPr>
          <w:w w:val="105"/>
        </w:rPr>
        <w:t>outlay </w:t>
      </w:r>
      <w:r>
        <w:rPr>
          <w:spacing w:val="-3"/>
          <w:w w:val="105"/>
        </w:rPr>
        <w:t>necessary </w:t>
      </w:r>
      <w:r>
        <w:rPr>
          <w:w w:val="105"/>
        </w:rPr>
        <w:t>to purchase new </w:t>
      </w:r>
      <w:r>
        <w:rPr>
          <w:spacing w:val="-3"/>
          <w:w w:val="105"/>
        </w:rPr>
        <w:t>aircraft. </w:t>
      </w:r>
      <w:r>
        <w:rPr>
          <w:w w:val="105"/>
        </w:rPr>
        <w:t>Although the Company is responsible for all maintenance, insurance, and expense</w:t>
      </w:r>
      <w:r>
        <w:rPr>
          <w:spacing w:val="-12"/>
          <w:w w:val="105"/>
        </w:rPr>
        <w:t> </w:t>
      </w:r>
      <w:r>
        <w:rPr>
          <w:w w:val="105"/>
        </w:rPr>
        <w:t>associated</w:t>
      </w:r>
      <w:r>
        <w:rPr>
          <w:spacing w:val="-7"/>
          <w:w w:val="105"/>
        </w:rPr>
        <w:t> </w:t>
      </w:r>
      <w:r>
        <w:rPr>
          <w:spacing w:val="-3"/>
          <w:w w:val="105"/>
        </w:rPr>
        <w:t>with</w:t>
      </w:r>
      <w:r>
        <w:rPr>
          <w:spacing w:val="-10"/>
          <w:w w:val="105"/>
        </w:rPr>
        <w:t> </w:t>
      </w:r>
      <w:r>
        <w:rPr>
          <w:w w:val="105"/>
        </w:rPr>
        <w:t>operating</w:t>
      </w:r>
      <w:r>
        <w:rPr>
          <w:spacing w:val="-10"/>
          <w:w w:val="105"/>
        </w:rPr>
        <w:t> </w:t>
      </w:r>
      <w:r>
        <w:rPr>
          <w:w w:val="105"/>
        </w:rPr>
        <w:t>the</w:t>
      </w:r>
      <w:r>
        <w:rPr>
          <w:spacing w:val="-12"/>
          <w:w w:val="105"/>
        </w:rPr>
        <w:t> </w:t>
      </w:r>
      <w:r>
        <w:rPr>
          <w:spacing w:val="-3"/>
          <w:w w:val="105"/>
        </w:rPr>
        <w:t>aircraft,</w:t>
      </w:r>
      <w:r>
        <w:rPr>
          <w:spacing w:val="-13"/>
          <w:w w:val="105"/>
        </w:rPr>
        <w:t> </w:t>
      </w:r>
      <w:r>
        <w:rPr>
          <w:w w:val="105"/>
        </w:rPr>
        <w:t>and</w:t>
      </w:r>
      <w:r>
        <w:rPr>
          <w:spacing w:val="-10"/>
          <w:w w:val="105"/>
        </w:rPr>
        <w:t> </w:t>
      </w:r>
      <w:r>
        <w:rPr>
          <w:w w:val="105"/>
        </w:rPr>
        <w:t>retains</w:t>
      </w:r>
      <w:r>
        <w:rPr>
          <w:spacing w:val="-7"/>
          <w:w w:val="105"/>
        </w:rPr>
        <w:t> </w:t>
      </w:r>
      <w:r>
        <w:rPr>
          <w:w w:val="105"/>
        </w:rPr>
        <w:t>the</w:t>
      </w:r>
      <w:r>
        <w:rPr>
          <w:spacing w:val="-12"/>
          <w:w w:val="105"/>
        </w:rPr>
        <w:t> </w:t>
      </w:r>
      <w:r>
        <w:rPr>
          <w:w w:val="105"/>
        </w:rPr>
        <w:t>risk</w:t>
      </w:r>
      <w:r>
        <w:rPr>
          <w:spacing w:val="-7"/>
          <w:w w:val="105"/>
        </w:rPr>
        <w:t> </w:t>
      </w:r>
      <w:r>
        <w:rPr>
          <w:w w:val="105"/>
        </w:rPr>
        <w:t>of</w:t>
      </w:r>
      <w:r>
        <w:rPr>
          <w:spacing w:val="-12"/>
          <w:w w:val="105"/>
        </w:rPr>
        <w:t> </w:t>
      </w:r>
      <w:r>
        <w:rPr>
          <w:w w:val="105"/>
        </w:rPr>
        <w:t>loss</w:t>
      </w:r>
      <w:r>
        <w:rPr>
          <w:spacing w:val="-10"/>
          <w:w w:val="105"/>
        </w:rPr>
        <w:t> </w:t>
      </w:r>
      <w:r>
        <w:rPr>
          <w:w w:val="105"/>
        </w:rPr>
        <w:t>for</w:t>
      </w:r>
      <w:r>
        <w:rPr>
          <w:spacing w:val="-12"/>
          <w:w w:val="105"/>
        </w:rPr>
        <w:t> </w:t>
      </w:r>
      <w:r>
        <w:rPr>
          <w:w w:val="105"/>
        </w:rPr>
        <w:t>leased</w:t>
      </w:r>
      <w:r>
        <w:rPr>
          <w:spacing w:val="-10"/>
          <w:w w:val="105"/>
        </w:rPr>
        <w:t> </w:t>
      </w:r>
      <w:r>
        <w:rPr>
          <w:spacing w:val="-3"/>
          <w:w w:val="105"/>
        </w:rPr>
        <w:t>aircraft,</w:t>
      </w:r>
      <w:r>
        <w:rPr>
          <w:spacing w:val="-13"/>
          <w:w w:val="105"/>
        </w:rPr>
        <w:t> </w:t>
      </w:r>
      <w:r>
        <w:rPr>
          <w:w w:val="105"/>
        </w:rPr>
        <w:t>it</w:t>
      </w:r>
      <w:r>
        <w:rPr>
          <w:spacing w:val="-7"/>
          <w:w w:val="105"/>
        </w:rPr>
        <w:t> </w:t>
      </w:r>
      <w:r>
        <w:rPr>
          <w:w w:val="105"/>
        </w:rPr>
        <w:t>has</w:t>
      </w:r>
      <w:r>
        <w:rPr>
          <w:spacing w:val="-14"/>
          <w:w w:val="105"/>
        </w:rPr>
        <w:t> </w:t>
      </w:r>
      <w:r>
        <w:rPr>
          <w:w w:val="105"/>
        </w:rPr>
        <w:t>not</w:t>
      </w:r>
      <w:r>
        <w:rPr>
          <w:spacing w:val="-7"/>
          <w:w w:val="105"/>
        </w:rPr>
        <w:t> </w:t>
      </w:r>
      <w:r>
        <w:rPr>
          <w:w w:val="105"/>
        </w:rPr>
        <w:t>made</w:t>
      </w:r>
      <w:r>
        <w:rPr>
          <w:spacing w:val="-12"/>
          <w:w w:val="105"/>
        </w:rPr>
        <w:t> </w:t>
      </w:r>
      <w:r>
        <w:rPr>
          <w:w w:val="105"/>
        </w:rPr>
        <w:t>any </w:t>
      </w:r>
      <w:r>
        <w:rPr>
          <w:spacing w:val="-3"/>
          <w:w w:val="105"/>
        </w:rPr>
        <w:t>guarantees </w:t>
      </w:r>
      <w:r>
        <w:rPr>
          <w:w w:val="105"/>
        </w:rPr>
        <w:t>to the lessors regarding the residual value </w:t>
      </w:r>
      <w:r>
        <w:rPr>
          <w:spacing w:val="-3"/>
          <w:w w:val="105"/>
        </w:rPr>
        <w:t>(or market </w:t>
      </w:r>
      <w:r>
        <w:rPr>
          <w:w w:val="105"/>
        </w:rPr>
        <w:t>value) of the </w:t>
      </w:r>
      <w:r>
        <w:rPr>
          <w:spacing w:val="-3"/>
          <w:w w:val="105"/>
        </w:rPr>
        <w:t>aircraft </w:t>
      </w:r>
      <w:r>
        <w:rPr>
          <w:w w:val="105"/>
        </w:rPr>
        <w:t>at the end of the lease </w:t>
      </w:r>
      <w:r>
        <w:rPr>
          <w:spacing w:val="-3"/>
          <w:w w:val="105"/>
        </w:rPr>
        <w:t>terms.</w:t>
      </w:r>
    </w:p>
    <w:p>
      <w:pPr>
        <w:pStyle w:val="BodyText"/>
        <w:spacing w:line="218" w:lineRule="auto" w:before="221"/>
        <w:ind w:left="115" w:right="206"/>
        <w:jc w:val="both"/>
      </w:pPr>
      <w:r>
        <w:rPr>
          <w:spacing w:val="-4"/>
          <w:w w:val="105"/>
        </w:rPr>
        <w:t>As</w:t>
      </w:r>
      <w:r>
        <w:rPr>
          <w:spacing w:val="-12"/>
          <w:w w:val="105"/>
        </w:rPr>
        <w:t> </w:t>
      </w:r>
      <w:r>
        <w:rPr>
          <w:w w:val="105"/>
        </w:rPr>
        <w:t>shown</w:t>
      </w:r>
      <w:r>
        <w:rPr>
          <w:spacing w:val="-12"/>
          <w:w w:val="105"/>
        </w:rPr>
        <w:t> </w:t>
      </w:r>
      <w:r>
        <w:rPr>
          <w:w w:val="105"/>
        </w:rPr>
        <w:t>above</w:t>
      </w:r>
      <w:r>
        <w:rPr>
          <w:spacing w:val="-14"/>
          <w:w w:val="105"/>
        </w:rPr>
        <w:t> </w:t>
      </w:r>
      <w:r>
        <w:rPr>
          <w:spacing w:val="-3"/>
          <w:w w:val="105"/>
        </w:rPr>
        <w:t>and</w:t>
      </w:r>
      <w:r>
        <w:rPr>
          <w:spacing w:val="-9"/>
          <w:w w:val="105"/>
        </w:rPr>
        <w:t> </w:t>
      </w:r>
      <w:r>
        <w:rPr>
          <w:w w:val="105"/>
        </w:rPr>
        <w:t>as</w:t>
      </w:r>
      <w:r>
        <w:rPr>
          <w:spacing w:val="-16"/>
          <w:w w:val="105"/>
        </w:rPr>
        <w:t> </w:t>
      </w:r>
      <w:r>
        <w:rPr>
          <w:w w:val="105"/>
        </w:rPr>
        <w:t>disclosed</w:t>
      </w:r>
      <w:r>
        <w:rPr>
          <w:spacing w:val="-9"/>
          <w:w w:val="105"/>
        </w:rPr>
        <w:t> </w:t>
      </w:r>
      <w:r>
        <w:rPr>
          <w:w w:val="105"/>
        </w:rPr>
        <w:t>in</w:t>
      </w:r>
      <w:r>
        <w:rPr>
          <w:spacing w:val="-12"/>
          <w:w w:val="105"/>
        </w:rPr>
        <w:t> </w:t>
      </w:r>
      <w:r>
        <w:rPr>
          <w:spacing w:val="-3"/>
          <w:w w:val="105"/>
        </w:rPr>
        <w:t>Note</w:t>
      </w:r>
      <w:r>
        <w:rPr>
          <w:spacing w:val="-10"/>
          <w:w w:val="105"/>
        </w:rPr>
        <w:t> </w:t>
      </w:r>
      <w:r>
        <w:rPr>
          <w:w w:val="105"/>
        </w:rPr>
        <w:t>8</w:t>
      </w:r>
      <w:r>
        <w:rPr>
          <w:spacing w:val="-9"/>
          <w:w w:val="105"/>
        </w:rPr>
        <w:t> </w:t>
      </w:r>
      <w:r>
        <w:rPr>
          <w:w w:val="105"/>
        </w:rPr>
        <w:t>to</w:t>
      </w:r>
      <w:r>
        <w:rPr>
          <w:spacing w:val="-12"/>
          <w:w w:val="105"/>
        </w:rPr>
        <w:t> </w:t>
      </w:r>
      <w:r>
        <w:rPr>
          <w:w w:val="105"/>
        </w:rPr>
        <w:t>the</w:t>
      </w:r>
      <w:r>
        <w:rPr>
          <w:spacing w:val="-14"/>
          <w:w w:val="105"/>
        </w:rPr>
        <w:t> </w:t>
      </w:r>
      <w:r>
        <w:rPr>
          <w:w w:val="105"/>
        </w:rPr>
        <w:t>Consolidated</w:t>
      </w:r>
      <w:r>
        <w:rPr>
          <w:spacing w:val="-16"/>
          <w:w w:val="105"/>
        </w:rPr>
        <w:t> </w:t>
      </w:r>
      <w:r>
        <w:rPr>
          <w:w w:val="105"/>
        </w:rPr>
        <w:t>Financial</w:t>
      </w:r>
      <w:r>
        <w:rPr>
          <w:spacing w:val="-9"/>
          <w:w w:val="105"/>
        </w:rPr>
        <w:t> </w:t>
      </w:r>
      <w:r>
        <w:rPr>
          <w:w w:val="105"/>
        </w:rPr>
        <w:t>Statements,</w:t>
      </w:r>
      <w:r>
        <w:rPr>
          <w:spacing w:val="-15"/>
          <w:w w:val="105"/>
        </w:rPr>
        <w:t> </w:t>
      </w:r>
      <w:r>
        <w:rPr>
          <w:w w:val="105"/>
        </w:rPr>
        <w:t>the</w:t>
      </w:r>
      <w:r>
        <w:rPr>
          <w:spacing w:val="-10"/>
          <w:w w:val="105"/>
        </w:rPr>
        <w:t> </w:t>
      </w:r>
      <w:r>
        <w:rPr>
          <w:w w:val="105"/>
        </w:rPr>
        <w:t>Company</w:t>
      </w:r>
      <w:r>
        <w:rPr>
          <w:spacing w:val="-12"/>
          <w:w w:val="105"/>
        </w:rPr>
        <w:t> </w:t>
      </w:r>
      <w:r>
        <w:rPr>
          <w:w w:val="105"/>
        </w:rPr>
        <w:t>operates</w:t>
      </w:r>
      <w:r>
        <w:rPr>
          <w:spacing w:val="-12"/>
          <w:w w:val="105"/>
        </w:rPr>
        <w:t> </w:t>
      </w:r>
      <w:r>
        <w:rPr>
          <w:w w:val="105"/>
        </w:rPr>
        <w:t>96 </w:t>
      </w:r>
      <w:r>
        <w:rPr>
          <w:spacing w:val="-3"/>
          <w:w w:val="105"/>
        </w:rPr>
        <w:t>aircraft </w:t>
      </w:r>
      <w:r>
        <w:rPr>
          <w:w w:val="105"/>
        </w:rPr>
        <w:t>that it has leased from third </w:t>
      </w:r>
      <w:r>
        <w:rPr>
          <w:spacing w:val="-3"/>
          <w:w w:val="105"/>
        </w:rPr>
        <w:t>parties, </w:t>
      </w:r>
      <w:r>
        <w:rPr>
          <w:w w:val="105"/>
        </w:rPr>
        <w:t>of which 89 </w:t>
      </w:r>
      <w:r>
        <w:rPr>
          <w:spacing w:val="-4"/>
          <w:w w:val="105"/>
        </w:rPr>
        <w:t>are </w:t>
      </w:r>
      <w:r>
        <w:rPr>
          <w:w w:val="105"/>
        </w:rPr>
        <w:t>operating leases. As prescribed by </w:t>
      </w:r>
      <w:r>
        <w:rPr>
          <w:spacing w:val="-5"/>
          <w:w w:val="105"/>
        </w:rPr>
        <w:t>GAAP, </w:t>
      </w:r>
      <w:r>
        <w:rPr>
          <w:w w:val="105"/>
        </w:rPr>
        <w:t>assets and obligations under operating lease are not included in the Company’s Consolidated </w:t>
      </w:r>
      <w:r>
        <w:rPr>
          <w:spacing w:val="-3"/>
          <w:w w:val="105"/>
        </w:rPr>
        <w:t>Balance </w:t>
      </w:r>
      <w:r>
        <w:rPr>
          <w:w w:val="105"/>
        </w:rPr>
        <w:t>Sheet. </w:t>
      </w:r>
      <w:r>
        <w:rPr>
          <w:spacing w:val="-3"/>
          <w:w w:val="105"/>
        </w:rPr>
        <w:t>Disclosure</w:t>
      </w:r>
      <w:r>
        <w:rPr>
          <w:spacing w:val="-14"/>
          <w:w w:val="105"/>
        </w:rPr>
        <w:t> </w:t>
      </w:r>
      <w:r>
        <w:rPr>
          <w:w w:val="105"/>
        </w:rPr>
        <w:t>of</w:t>
      </w:r>
      <w:r>
        <w:rPr>
          <w:spacing w:val="-14"/>
          <w:w w:val="105"/>
        </w:rPr>
        <w:t> </w:t>
      </w:r>
      <w:r>
        <w:rPr>
          <w:w w:val="105"/>
        </w:rPr>
        <w:t>the</w:t>
      </w:r>
      <w:r>
        <w:rPr>
          <w:spacing w:val="-14"/>
          <w:w w:val="105"/>
        </w:rPr>
        <w:t> </w:t>
      </w:r>
      <w:r>
        <w:rPr>
          <w:w w:val="105"/>
        </w:rPr>
        <w:t>contractual</w:t>
      </w:r>
      <w:r>
        <w:rPr>
          <w:spacing w:val="-13"/>
          <w:w w:val="105"/>
        </w:rPr>
        <w:t> </w:t>
      </w:r>
      <w:r>
        <w:rPr>
          <w:w w:val="105"/>
        </w:rPr>
        <w:t>obligations</w:t>
      </w:r>
      <w:r>
        <w:rPr>
          <w:spacing w:val="-13"/>
          <w:w w:val="105"/>
        </w:rPr>
        <w:t> </w:t>
      </w:r>
      <w:r>
        <w:rPr>
          <w:w w:val="105"/>
        </w:rPr>
        <w:t>associated</w:t>
      </w:r>
      <w:r>
        <w:rPr>
          <w:spacing w:val="-13"/>
          <w:w w:val="105"/>
        </w:rPr>
        <w:t> </w:t>
      </w:r>
      <w:r>
        <w:rPr>
          <w:spacing w:val="-3"/>
          <w:w w:val="105"/>
        </w:rPr>
        <w:t>with</w:t>
      </w:r>
      <w:r>
        <w:rPr>
          <w:spacing w:val="-9"/>
          <w:w w:val="105"/>
        </w:rPr>
        <w:t> </w:t>
      </w:r>
      <w:r>
        <w:rPr>
          <w:w w:val="105"/>
        </w:rPr>
        <w:t>the</w:t>
      </w:r>
      <w:r>
        <w:rPr>
          <w:spacing w:val="-18"/>
          <w:w w:val="105"/>
        </w:rPr>
        <w:t> </w:t>
      </w:r>
      <w:r>
        <w:rPr>
          <w:w w:val="105"/>
        </w:rPr>
        <w:t>Company’s</w:t>
      </w:r>
      <w:r>
        <w:rPr>
          <w:spacing w:val="-9"/>
          <w:w w:val="105"/>
        </w:rPr>
        <w:t> </w:t>
      </w:r>
      <w:r>
        <w:rPr>
          <w:w w:val="105"/>
        </w:rPr>
        <w:t>leased</w:t>
      </w:r>
      <w:r>
        <w:rPr>
          <w:spacing w:val="-13"/>
          <w:w w:val="105"/>
        </w:rPr>
        <w:t> </w:t>
      </w:r>
      <w:r>
        <w:rPr>
          <w:spacing w:val="-3"/>
          <w:w w:val="105"/>
        </w:rPr>
        <w:t>aircraft</w:t>
      </w:r>
      <w:r>
        <w:rPr>
          <w:spacing w:val="-13"/>
          <w:w w:val="105"/>
        </w:rPr>
        <w:t> </w:t>
      </w:r>
      <w:r>
        <w:rPr>
          <w:w w:val="105"/>
        </w:rPr>
        <w:t>are</w:t>
      </w:r>
      <w:r>
        <w:rPr>
          <w:spacing w:val="-10"/>
          <w:w w:val="105"/>
        </w:rPr>
        <w:t> </w:t>
      </w:r>
      <w:r>
        <w:rPr>
          <w:spacing w:val="-3"/>
          <w:w w:val="105"/>
        </w:rPr>
        <w:t>shown</w:t>
      </w:r>
      <w:r>
        <w:rPr>
          <w:spacing w:val="-13"/>
          <w:w w:val="105"/>
        </w:rPr>
        <w:t> </w:t>
      </w:r>
      <w:r>
        <w:rPr>
          <w:w w:val="105"/>
        </w:rPr>
        <w:t>below</w:t>
      </w:r>
      <w:r>
        <w:rPr>
          <w:spacing w:val="-13"/>
          <w:w w:val="105"/>
        </w:rPr>
        <w:t> </w:t>
      </w:r>
      <w:r>
        <w:rPr>
          <w:spacing w:val="-3"/>
          <w:w w:val="105"/>
        </w:rPr>
        <w:t>as</w:t>
      </w:r>
      <w:r>
        <w:rPr>
          <w:spacing w:val="-13"/>
          <w:w w:val="105"/>
        </w:rPr>
        <w:t> </w:t>
      </w:r>
      <w:r>
        <w:rPr>
          <w:spacing w:val="-3"/>
          <w:w w:val="105"/>
        </w:rPr>
        <w:t>well as</w:t>
      </w:r>
      <w:r>
        <w:rPr>
          <w:spacing w:val="-25"/>
          <w:w w:val="105"/>
        </w:rPr>
        <w:t> </w:t>
      </w:r>
      <w:r>
        <w:rPr>
          <w:w w:val="105"/>
        </w:rPr>
        <w:t>in</w:t>
      </w:r>
      <w:r>
        <w:rPr>
          <w:spacing w:val="-27"/>
          <w:w w:val="105"/>
        </w:rPr>
        <w:t> </w:t>
      </w:r>
      <w:r>
        <w:rPr>
          <w:spacing w:val="-3"/>
          <w:w w:val="105"/>
        </w:rPr>
        <w:t>Note</w:t>
      </w:r>
      <w:r>
        <w:rPr>
          <w:spacing w:val="-26"/>
          <w:w w:val="105"/>
        </w:rPr>
        <w:t> </w:t>
      </w:r>
      <w:r>
        <w:rPr>
          <w:w w:val="105"/>
        </w:rPr>
        <w:t>8</w:t>
      </w:r>
      <w:r>
        <w:rPr>
          <w:spacing w:val="-25"/>
          <w:w w:val="105"/>
        </w:rPr>
        <w:t> </w:t>
      </w:r>
      <w:r>
        <w:rPr>
          <w:w w:val="105"/>
        </w:rPr>
        <w:t>to</w:t>
      </w:r>
      <w:r>
        <w:rPr>
          <w:spacing w:val="-25"/>
          <w:w w:val="105"/>
        </w:rPr>
        <w:t> </w:t>
      </w:r>
      <w:r>
        <w:rPr>
          <w:w w:val="105"/>
        </w:rPr>
        <w:t>the</w:t>
      </w:r>
      <w:r>
        <w:rPr>
          <w:spacing w:val="-26"/>
          <w:w w:val="105"/>
        </w:rPr>
        <w:t> </w:t>
      </w:r>
      <w:r>
        <w:rPr>
          <w:w w:val="105"/>
        </w:rPr>
        <w:t>Consolidated</w:t>
      </w:r>
      <w:r>
        <w:rPr>
          <w:spacing w:val="-27"/>
          <w:w w:val="105"/>
        </w:rPr>
        <w:t> </w:t>
      </w:r>
      <w:r>
        <w:rPr>
          <w:w w:val="105"/>
        </w:rPr>
        <w:t>Financial</w:t>
      </w:r>
      <w:r>
        <w:rPr>
          <w:spacing w:val="-25"/>
          <w:w w:val="105"/>
        </w:rPr>
        <w:t> </w:t>
      </w:r>
      <w:r>
        <w:rPr>
          <w:w w:val="105"/>
        </w:rPr>
        <w:t>Statements.</w:t>
      </w:r>
    </w:p>
    <w:p>
      <w:pPr>
        <w:pStyle w:val="BodyText"/>
        <w:spacing w:line="220" w:lineRule="exact" w:before="224"/>
        <w:ind w:left="115" w:right="212"/>
        <w:jc w:val="both"/>
      </w:pPr>
      <w:r>
        <w:rPr>
          <w:spacing w:val="-2"/>
          <w:w w:val="105"/>
        </w:rPr>
        <w:t>The</w:t>
      </w:r>
      <w:r>
        <w:rPr>
          <w:spacing w:val="-18"/>
          <w:w w:val="105"/>
        </w:rPr>
        <w:t> </w:t>
      </w:r>
      <w:r>
        <w:rPr>
          <w:w w:val="105"/>
        </w:rPr>
        <w:t>following</w:t>
      </w:r>
      <w:r>
        <w:rPr>
          <w:spacing w:val="-20"/>
          <w:w w:val="105"/>
        </w:rPr>
        <w:t> </w:t>
      </w:r>
      <w:r>
        <w:rPr>
          <w:w w:val="105"/>
        </w:rPr>
        <w:t>table</w:t>
      </w:r>
      <w:r>
        <w:rPr>
          <w:spacing w:val="-18"/>
          <w:w w:val="105"/>
        </w:rPr>
        <w:t> </w:t>
      </w:r>
      <w:r>
        <w:rPr>
          <w:spacing w:val="-3"/>
          <w:w w:val="105"/>
        </w:rPr>
        <w:t>aggregates</w:t>
      </w:r>
      <w:r>
        <w:rPr>
          <w:spacing w:val="-17"/>
          <w:w w:val="105"/>
        </w:rPr>
        <w:t> </w:t>
      </w:r>
      <w:r>
        <w:rPr>
          <w:w w:val="105"/>
        </w:rPr>
        <w:t>the</w:t>
      </w:r>
      <w:r>
        <w:rPr>
          <w:spacing w:val="-18"/>
          <w:w w:val="105"/>
        </w:rPr>
        <w:t> </w:t>
      </w:r>
      <w:r>
        <w:rPr>
          <w:w w:val="105"/>
        </w:rPr>
        <w:t>Company’s</w:t>
      </w:r>
      <w:r>
        <w:rPr>
          <w:spacing w:val="-13"/>
          <w:w w:val="105"/>
        </w:rPr>
        <w:t> </w:t>
      </w:r>
      <w:r>
        <w:rPr>
          <w:w w:val="105"/>
        </w:rPr>
        <w:t>material</w:t>
      </w:r>
      <w:r>
        <w:rPr>
          <w:spacing w:val="-20"/>
          <w:w w:val="105"/>
        </w:rPr>
        <w:t> </w:t>
      </w:r>
      <w:r>
        <w:rPr>
          <w:w w:val="105"/>
        </w:rPr>
        <w:t>expected</w:t>
      </w:r>
      <w:r>
        <w:rPr>
          <w:spacing w:val="-17"/>
          <w:w w:val="105"/>
        </w:rPr>
        <w:t> </w:t>
      </w:r>
      <w:r>
        <w:rPr>
          <w:spacing w:val="-3"/>
          <w:w w:val="105"/>
        </w:rPr>
        <w:t>contractual</w:t>
      </w:r>
      <w:r>
        <w:rPr>
          <w:spacing w:val="-17"/>
          <w:w w:val="105"/>
        </w:rPr>
        <w:t> </w:t>
      </w:r>
      <w:r>
        <w:rPr>
          <w:w w:val="105"/>
        </w:rPr>
        <w:t>obligations</w:t>
      </w:r>
      <w:r>
        <w:rPr>
          <w:spacing w:val="-17"/>
          <w:w w:val="105"/>
        </w:rPr>
        <w:t> </w:t>
      </w:r>
      <w:r>
        <w:rPr>
          <w:spacing w:val="-3"/>
          <w:w w:val="105"/>
        </w:rPr>
        <w:t>and</w:t>
      </w:r>
      <w:r>
        <w:rPr>
          <w:spacing w:val="-17"/>
          <w:w w:val="105"/>
        </w:rPr>
        <w:t> </w:t>
      </w:r>
      <w:r>
        <w:rPr>
          <w:w w:val="105"/>
        </w:rPr>
        <w:t>commitments</w:t>
      </w:r>
      <w:r>
        <w:rPr>
          <w:spacing w:val="-17"/>
          <w:w w:val="105"/>
        </w:rPr>
        <w:t> </w:t>
      </w:r>
      <w:r>
        <w:rPr>
          <w:spacing w:val="-3"/>
          <w:w w:val="105"/>
        </w:rPr>
        <w:t>as</w:t>
      </w:r>
      <w:r>
        <w:rPr>
          <w:spacing w:val="-17"/>
          <w:w w:val="105"/>
        </w:rPr>
        <w:t> </w:t>
      </w:r>
      <w:r>
        <w:rPr>
          <w:w w:val="105"/>
        </w:rPr>
        <w:t>of </w:t>
      </w:r>
      <w:r>
        <w:rPr>
          <w:spacing w:val="-3"/>
          <w:w w:val="105"/>
        </w:rPr>
        <w:t>December</w:t>
      </w:r>
      <w:r>
        <w:rPr>
          <w:spacing w:val="-33"/>
          <w:w w:val="105"/>
        </w:rPr>
        <w:t> </w:t>
      </w:r>
      <w:r>
        <w:rPr>
          <w:w w:val="105"/>
        </w:rPr>
        <w:t>31,</w:t>
      </w:r>
      <w:r>
        <w:rPr>
          <w:spacing w:val="-31"/>
          <w:w w:val="105"/>
        </w:rPr>
        <w:t> </w:t>
      </w:r>
      <w:r>
        <w:rPr>
          <w:w w:val="105"/>
        </w:rPr>
        <w:t>2003:</w:t>
      </w:r>
    </w:p>
    <w:p>
      <w:pPr>
        <w:tabs>
          <w:tab w:pos="5095" w:val="left" w:leader="none"/>
          <w:tab w:pos="9860" w:val="left" w:leader="none"/>
        </w:tabs>
        <w:spacing w:before="35" w:after="34"/>
        <w:ind w:left="3012" w:right="0" w:firstLine="0"/>
        <w:jc w:val="left"/>
        <w:rPr>
          <w:rFonts w:ascii="Arial"/>
          <w:b/>
          <w:sz w:val="16"/>
        </w:rPr>
      </w:pPr>
      <w:r>
        <w:rPr>
          <w:rFonts w:ascii="Arial"/>
          <w:b/>
          <w:w w:val="118"/>
          <w:sz w:val="16"/>
          <w:u w:val="single"/>
        </w:rPr>
        <w:t> </w:t>
      </w:r>
      <w:r>
        <w:rPr>
          <w:rFonts w:ascii="Arial"/>
          <w:b/>
          <w:sz w:val="16"/>
          <w:u w:val="single"/>
        </w:rPr>
        <w:tab/>
        <w:t>Obligations by period (in </w:t>
      </w:r>
      <w:r>
        <w:rPr>
          <w:rFonts w:ascii="Arial"/>
          <w:b/>
          <w:spacing w:val="38"/>
          <w:sz w:val="16"/>
          <w:u w:val="single"/>
        </w:rPr>
        <w:t> </w:t>
      </w:r>
      <w:r>
        <w:rPr>
          <w:rFonts w:ascii="Arial"/>
          <w:b/>
          <w:sz w:val="16"/>
          <w:u w:val="single"/>
        </w:rPr>
        <w:t>millions)</w:t>
        <w:tab/>
      </w:r>
    </w:p>
    <w:tbl>
      <w:tblPr>
        <w:tblW w:w="0" w:type="auto"/>
        <w:jc w:val="left"/>
        <w:tblInd w:w="12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889"/>
        <w:gridCol w:w="1368"/>
        <w:gridCol w:w="1427"/>
        <w:gridCol w:w="1428"/>
        <w:gridCol w:w="1367"/>
        <w:gridCol w:w="1259"/>
      </w:tblGrid>
      <w:tr>
        <w:trPr>
          <w:trHeight w:val="226" w:hRule="exact"/>
        </w:trPr>
        <w:tc>
          <w:tcPr>
            <w:tcW w:w="4257" w:type="dxa"/>
            <w:gridSpan w:val="2"/>
          </w:tcPr>
          <w:p>
            <w:pPr/>
          </w:p>
        </w:tc>
        <w:tc>
          <w:tcPr>
            <w:tcW w:w="1427" w:type="dxa"/>
          </w:tcPr>
          <w:p>
            <w:pPr>
              <w:pStyle w:val="TableParagraph"/>
              <w:spacing w:before="8"/>
              <w:ind w:right="148"/>
              <w:jc w:val="right"/>
              <w:rPr>
                <w:b/>
                <w:sz w:val="16"/>
              </w:rPr>
            </w:pPr>
            <w:r>
              <w:rPr>
                <w:b/>
                <w:w w:val="115"/>
                <w:sz w:val="16"/>
              </w:rPr>
              <w:t>2005</w:t>
            </w:r>
          </w:p>
        </w:tc>
        <w:tc>
          <w:tcPr>
            <w:tcW w:w="1428" w:type="dxa"/>
          </w:tcPr>
          <w:p>
            <w:pPr>
              <w:pStyle w:val="TableParagraph"/>
              <w:spacing w:before="8"/>
              <w:ind w:right="148"/>
              <w:jc w:val="right"/>
              <w:rPr>
                <w:b/>
                <w:sz w:val="16"/>
              </w:rPr>
            </w:pPr>
            <w:r>
              <w:rPr>
                <w:b/>
                <w:w w:val="115"/>
                <w:sz w:val="16"/>
              </w:rPr>
              <w:t>2007</w:t>
            </w:r>
          </w:p>
        </w:tc>
        <w:tc>
          <w:tcPr>
            <w:tcW w:w="1367" w:type="dxa"/>
          </w:tcPr>
          <w:p>
            <w:pPr>
              <w:pStyle w:val="TableParagraph"/>
              <w:spacing w:before="8"/>
              <w:ind w:right="185"/>
              <w:jc w:val="right"/>
              <w:rPr>
                <w:b/>
                <w:sz w:val="16"/>
              </w:rPr>
            </w:pPr>
            <w:r>
              <w:rPr>
                <w:b/>
                <w:w w:val="95"/>
                <w:sz w:val="16"/>
              </w:rPr>
              <w:t>Beyond</w:t>
            </w:r>
          </w:p>
        </w:tc>
        <w:tc>
          <w:tcPr>
            <w:tcW w:w="1259" w:type="dxa"/>
          </w:tcPr>
          <w:p>
            <w:pPr/>
          </w:p>
        </w:tc>
      </w:tr>
      <w:tr>
        <w:trPr>
          <w:trHeight w:val="230" w:hRule="exact"/>
        </w:trPr>
        <w:tc>
          <w:tcPr>
            <w:tcW w:w="2889" w:type="dxa"/>
            <w:tcBorders>
              <w:bottom w:val="single" w:sz="6" w:space="0" w:color="000000"/>
            </w:tcBorders>
          </w:tcPr>
          <w:p>
            <w:pPr>
              <w:pStyle w:val="TableParagraph"/>
              <w:spacing w:before="11"/>
              <w:ind w:left="33"/>
              <w:rPr>
                <w:sz w:val="16"/>
              </w:rPr>
            </w:pPr>
            <w:r>
              <w:rPr>
                <w:w w:val="110"/>
                <w:sz w:val="16"/>
              </w:rPr>
              <w:t>Contractual obligations</w:t>
            </w:r>
          </w:p>
        </w:tc>
        <w:tc>
          <w:tcPr>
            <w:tcW w:w="1368" w:type="dxa"/>
            <w:tcBorders>
              <w:bottom w:val="single" w:sz="6" w:space="0" w:color="000000"/>
            </w:tcBorders>
          </w:tcPr>
          <w:p>
            <w:pPr>
              <w:pStyle w:val="TableParagraph"/>
              <w:spacing w:before="8"/>
              <w:ind w:right="118"/>
              <w:jc w:val="right"/>
              <w:rPr>
                <w:b/>
                <w:sz w:val="16"/>
              </w:rPr>
            </w:pPr>
            <w:r>
              <w:rPr>
                <w:b/>
                <w:w w:val="115"/>
                <w:sz w:val="16"/>
              </w:rPr>
              <w:t>2004</w:t>
            </w:r>
          </w:p>
        </w:tc>
        <w:tc>
          <w:tcPr>
            <w:tcW w:w="1427" w:type="dxa"/>
            <w:tcBorders>
              <w:bottom w:val="single" w:sz="6" w:space="0" w:color="000000"/>
            </w:tcBorders>
          </w:tcPr>
          <w:p>
            <w:pPr>
              <w:pStyle w:val="TableParagraph"/>
              <w:spacing w:before="8"/>
              <w:ind w:right="144"/>
              <w:jc w:val="right"/>
              <w:rPr>
                <w:b/>
                <w:sz w:val="16"/>
              </w:rPr>
            </w:pPr>
            <w:r>
              <w:rPr>
                <w:b/>
                <w:w w:val="115"/>
                <w:sz w:val="16"/>
              </w:rPr>
              <w:t>- 2006</w:t>
            </w:r>
          </w:p>
        </w:tc>
        <w:tc>
          <w:tcPr>
            <w:tcW w:w="1428" w:type="dxa"/>
            <w:tcBorders>
              <w:bottom w:val="single" w:sz="6" w:space="0" w:color="000000"/>
            </w:tcBorders>
          </w:tcPr>
          <w:p>
            <w:pPr>
              <w:pStyle w:val="TableParagraph"/>
              <w:spacing w:before="8"/>
              <w:ind w:right="144"/>
              <w:jc w:val="right"/>
              <w:rPr>
                <w:b/>
                <w:sz w:val="16"/>
              </w:rPr>
            </w:pPr>
            <w:r>
              <w:rPr>
                <w:b/>
                <w:w w:val="115"/>
                <w:sz w:val="16"/>
              </w:rPr>
              <w:t>- 2008</w:t>
            </w:r>
          </w:p>
        </w:tc>
        <w:tc>
          <w:tcPr>
            <w:tcW w:w="1367" w:type="dxa"/>
            <w:tcBorders>
              <w:bottom w:val="single" w:sz="6" w:space="0" w:color="000000"/>
            </w:tcBorders>
          </w:tcPr>
          <w:p>
            <w:pPr>
              <w:pStyle w:val="TableParagraph"/>
              <w:spacing w:before="8"/>
              <w:ind w:right="117"/>
              <w:jc w:val="right"/>
              <w:rPr>
                <w:b/>
                <w:sz w:val="16"/>
              </w:rPr>
            </w:pPr>
            <w:r>
              <w:rPr>
                <w:b/>
                <w:w w:val="115"/>
                <w:sz w:val="16"/>
              </w:rPr>
              <w:t>2008</w:t>
            </w:r>
          </w:p>
        </w:tc>
        <w:tc>
          <w:tcPr>
            <w:tcW w:w="1259" w:type="dxa"/>
            <w:tcBorders>
              <w:bottom w:val="single" w:sz="6" w:space="0" w:color="000000"/>
            </w:tcBorders>
          </w:tcPr>
          <w:p>
            <w:pPr>
              <w:pStyle w:val="TableParagraph"/>
              <w:spacing w:before="8"/>
              <w:ind w:right="106"/>
              <w:jc w:val="right"/>
              <w:rPr>
                <w:b/>
                <w:sz w:val="16"/>
              </w:rPr>
            </w:pPr>
            <w:r>
              <w:rPr>
                <w:b/>
                <w:sz w:val="16"/>
              </w:rPr>
              <w:t>Total</w:t>
            </w:r>
          </w:p>
        </w:tc>
      </w:tr>
      <w:tr>
        <w:trPr>
          <w:trHeight w:val="226" w:hRule="exact"/>
        </w:trPr>
        <w:tc>
          <w:tcPr>
            <w:tcW w:w="2889" w:type="dxa"/>
            <w:tcBorders>
              <w:top w:val="single" w:sz="6" w:space="0" w:color="000000"/>
            </w:tcBorders>
          </w:tcPr>
          <w:p>
            <w:pPr>
              <w:pStyle w:val="TableParagraph"/>
              <w:spacing w:before="27"/>
              <w:ind w:left="33"/>
              <w:rPr>
                <w:sz w:val="16"/>
              </w:rPr>
            </w:pPr>
            <w:r>
              <w:rPr>
                <w:w w:val="115"/>
                <w:sz w:val="16"/>
              </w:rPr>
              <w:t>Long-term debt (1)</w:t>
            </w:r>
          </w:p>
        </w:tc>
        <w:tc>
          <w:tcPr>
            <w:tcW w:w="1368" w:type="dxa"/>
            <w:tcBorders>
              <w:top w:val="single" w:sz="6" w:space="0" w:color="000000"/>
            </w:tcBorders>
          </w:tcPr>
          <w:p>
            <w:pPr>
              <w:pStyle w:val="TableParagraph"/>
              <w:tabs>
                <w:tab w:pos="839" w:val="left" w:leader="none"/>
              </w:tabs>
              <w:spacing w:before="27"/>
              <w:ind w:right="103"/>
              <w:jc w:val="right"/>
              <w:rPr>
                <w:sz w:val="16"/>
              </w:rPr>
            </w:pPr>
            <w:r>
              <w:rPr>
                <w:w w:val="120"/>
                <w:sz w:val="16"/>
              </w:rPr>
              <w:t>$</w:t>
              <w:tab/>
            </w:r>
            <w:r>
              <w:rPr>
                <w:spacing w:val="-1"/>
                <w:w w:val="115"/>
                <w:sz w:val="16"/>
              </w:rPr>
              <w:t>196</w:t>
            </w:r>
          </w:p>
        </w:tc>
        <w:tc>
          <w:tcPr>
            <w:tcW w:w="1427" w:type="dxa"/>
            <w:tcBorders>
              <w:top w:val="single" w:sz="6" w:space="0" w:color="000000"/>
            </w:tcBorders>
          </w:tcPr>
          <w:p>
            <w:pPr>
              <w:pStyle w:val="TableParagraph"/>
              <w:tabs>
                <w:tab w:pos="898" w:val="left" w:leader="none"/>
              </w:tabs>
              <w:spacing w:before="27"/>
              <w:ind w:right="104"/>
              <w:jc w:val="right"/>
              <w:rPr>
                <w:sz w:val="16"/>
              </w:rPr>
            </w:pPr>
            <w:r>
              <w:rPr>
                <w:w w:val="120"/>
                <w:sz w:val="16"/>
              </w:rPr>
              <w:t>$</w:t>
              <w:tab/>
            </w:r>
            <w:r>
              <w:rPr>
                <w:spacing w:val="-1"/>
                <w:w w:val="115"/>
                <w:sz w:val="16"/>
              </w:rPr>
              <w:t>658</w:t>
            </w:r>
          </w:p>
        </w:tc>
        <w:tc>
          <w:tcPr>
            <w:tcW w:w="1428" w:type="dxa"/>
            <w:tcBorders>
              <w:top w:val="single" w:sz="6" w:space="0" w:color="000000"/>
            </w:tcBorders>
          </w:tcPr>
          <w:p>
            <w:pPr>
              <w:pStyle w:val="TableParagraph"/>
              <w:tabs>
                <w:tab w:pos="898" w:val="left" w:leader="none"/>
              </w:tabs>
              <w:spacing w:before="27"/>
              <w:ind w:right="104"/>
              <w:jc w:val="right"/>
              <w:rPr>
                <w:sz w:val="16"/>
              </w:rPr>
            </w:pPr>
            <w:r>
              <w:rPr>
                <w:w w:val="120"/>
                <w:sz w:val="16"/>
              </w:rPr>
              <w:t>$</w:t>
              <w:tab/>
            </w:r>
            <w:r>
              <w:rPr>
                <w:spacing w:val="-1"/>
                <w:w w:val="115"/>
                <w:sz w:val="16"/>
              </w:rPr>
              <w:t>110</w:t>
            </w:r>
          </w:p>
        </w:tc>
        <w:tc>
          <w:tcPr>
            <w:tcW w:w="1367" w:type="dxa"/>
            <w:tcBorders>
              <w:top w:val="single" w:sz="6" w:space="0" w:color="000000"/>
            </w:tcBorders>
          </w:tcPr>
          <w:p>
            <w:pPr>
              <w:pStyle w:val="TableParagraph"/>
              <w:tabs>
                <w:tab w:pos="838" w:val="left" w:leader="none"/>
              </w:tabs>
              <w:spacing w:before="27"/>
              <w:ind w:right="103"/>
              <w:jc w:val="right"/>
              <w:rPr>
                <w:sz w:val="16"/>
              </w:rPr>
            </w:pPr>
            <w:r>
              <w:rPr>
                <w:w w:val="120"/>
                <w:sz w:val="16"/>
              </w:rPr>
              <w:t>$</w:t>
              <w:tab/>
            </w:r>
            <w:r>
              <w:rPr>
                <w:spacing w:val="-1"/>
                <w:w w:val="115"/>
                <w:sz w:val="16"/>
              </w:rPr>
              <w:t>511</w:t>
            </w:r>
          </w:p>
        </w:tc>
        <w:tc>
          <w:tcPr>
            <w:tcW w:w="1259" w:type="dxa"/>
            <w:tcBorders>
              <w:top w:val="single" w:sz="6" w:space="0" w:color="000000"/>
            </w:tcBorders>
          </w:tcPr>
          <w:p>
            <w:pPr>
              <w:pStyle w:val="TableParagraph"/>
              <w:tabs>
                <w:tab w:pos="571" w:val="left" w:leader="none"/>
              </w:tabs>
              <w:spacing w:before="27"/>
              <w:ind w:right="108"/>
              <w:jc w:val="right"/>
              <w:rPr>
                <w:sz w:val="16"/>
              </w:rPr>
            </w:pPr>
            <w:r>
              <w:rPr>
                <w:w w:val="120"/>
                <w:sz w:val="16"/>
              </w:rPr>
              <w:t>$</w:t>
              <w:tab/>
            </w:r>
            <w:r>
              <w:rPr>
                <w:w w:val="115"/>
                <w:sz w:val="16"/>
              </w:rPr>
              <w:t>1,475</w:t>
            </w:r>
          </w:p>
        </w:tc>
      </w:tr>
      <w:tr>
        <w:trPr>
          <w:trHeight w:val="226" w:hRule="exact"/>
        </w:trPr>
        <w:tc>
          <w:tcPr>
            <w:tcW w:w="2889" w:type="dxa"/>
          </w:tcPr>
          <w:p>
            <w:pPr>
              <w:pStyle w:val="TableParagraph"/>
              <w:spacing w:before="8"/>
              <w:ind w:left="33"/>
              <w:rPr>
                <w:sz w:val="16"/>
              </w:rPr>
            </w:pPr>
            <w:r>
              <w:rPr>
                <w:w w:val="110"/>
                <w:sz w:val="16"/>
              </w:rPr>
              <w:t>Capital lease commitments (2)</w:t>
            </w:r>
          </w:p>
        </w:tc>
        <w:tc>
          <w:tcPr>
            <w:tcW w:w="1368" w:type="dxa"/>
          </w:tcPr>
          <w:p>
            <w:pPr>
              <w:pStyle w:val="TableParagraph"/>
              <w:spacing w:before="8"/>
              <w:ind w:right="104"/>
              <w:jc w:val="right"/>
              <w:rPr>
                <w:sz w:val="16"/>
              </w:rPr>
            </w:pPr>
            <w:r>
              <w:rPr>
                <w:w w:val="115"/>
                <w:sz w:val="16"/>
              </w:rPr>
              <w:t>18</w:t>
            </w:r>
          </w:p>
        </w:tc>
        <w:tc>
          <w:tcPr>
            <w:tcW w:w="1427" w:type="dxa"/>
          </w:tcPr>
          <w:p>
            <w:pPr>
              <w:pStyle w:val="TableParagraph"/>
              <w:spacing w:before="8"/>
              <w:ind w:right="104"/>
              <w:jc w:val="right"/>
              <w:rPr>
                <w:sz w:val="16"/>
              </w:rPr>
            </w:pPr>
            <w:r>
              <w:rPr>
                <w:w w:val="115"/>
                <w:sz w:val="16"/>
              </w:rPr>
              <w:t>38</w:t>
            </w:r>
          </w:p>
        </w:tc>
        <w:tc>
          <w:tcPr>
            <w:tcW w:w="1428" w:type="dxa"/>
          </w:tcPr>
          <w:p>
            <w:pPr>
              <w:pStyle w:val="TableParagraph"/>
              <w:spacing w:before="8"/>
              <w:ind w:right="104"/>
              <w:jc w:val="right"/>
              <w:rPr>
                <w:sz w:val="16"/>
              </w:rPr>
            </w:pPr>
            <w:r>
              <w:rPr>
                <w:w w:val="115"/>
                <w:sz w:val="16"/>
              </w:rPr>
              <w:t>29</w:t>
            </w:r>
          </w:p>
        </w:tc>
        <w:tc>
          <w:tcPr>
            <w:tcW w:w="1367" w:type="dxa"/>
          </w:tcPr>
          <w:p>
            <w:pPr>
              <w:pStyle w:val="TableParagraph"/>
              <w:spacing w:before="8"/>
              <w:ind w:right="104"/>
              <w:jc w:val="right"/>
              <w:rPr>
                <w:sz w:val="16"/>
              </w:rPr>
            </w:pPr>
            <w:r>
              <w:rPr>
                <w:w w:val="115"/>
                <w:sz w:val="16"/>
              </w:rPr>
              <w:t>39</w:t>
            </w:r>
          </w:p>
        </w:tc>
        <w:tc>
          <w:tcPr>
            <w:tcW w:w="1259" w:type="dxa"/>
          </w:tcPr>
          <w:p>
            <w:pPr>
              <w:pStyle w:val="TableParagraph"/>
              <w:spacing w:before="8"/>
              <w:ind w:right="108"/>
              <w:jc w:val="right"/>
              <w:rPr>
                <w:sz w:val="16"/>
              </w:rPr>
            </w:pPr>
            <w:r>
              <w:rPr>
                <w:w w:val="115"/>
                <w:sz w:val="16"/>
              </w:rPr>
              <w:t>124</w:t>
            </w:r>
          </w:p>
        </w:tc>
      </w:tr>
      <w:tr>
        <w:trPr>
          <w:trHeight w:val="226" w:hRule="exact"/>
        </w:trPr>
        <w:tc>
          <w:tcPr>
            <w:tcW w:w="2889" w:type="dxa"/>
          </w:tcPr>
          <w:p>
            <w:pPr>
              <w:pStyle w:val="TableParagraph"/>
              <w:spacing w:before="8"/>
              <w:ind w:left="33"/>
              <w:rPr>
                <w:sz w:val="16"/>
              </w:rPr>
            </w:pPr>
            <w:r>
              <w:rPr>
                <w:w w:val="105"/>
                <w:sz w:val="16"/>
              </w:rPr>
              <w:t>Operating  lease commitments</w:t>
            </w:r>
          </w:p>
        </w:tc>
        <w:tc>
          <w:tcPr>
            <w:tcW w:w="1368" w:type="dxa"/>
          </w:tcPr>
          <w:p>
            <w:pPr>
              <w:pStyle w:val="TableParagraph"/>
              <w:spacing w:before="8"/>
              <w:ind w:right="103"/>
              <w:jc w:val="right"/>
              <w:rPr>
                <w:sz w:val="16"/>
              </w:rPr>
            </w:pPr>
            <w:r>
              <w:rPr>
                <w:w w:val="115"/>
                <w:sz w:val="16"/>
              </w:rPr>
              <w:t>283</w:t>
            </w:r>
          </w:p>
        </w:tc>
        <w:tc>
          <w:tcPr>
            <w:tcW w:w="1427" w:type="dxa"/>
          </w:tcPr>
          <w:p>
            <w:pPr>
              <w:pStyle w:val="TableParagraph"/>
              <w:spacing w:before="8"/>
              <w:ind w:right="104"/>
              <w:jc w:val="right"/>
              <w:rPr>
                <w:sz w:val="16"/>
              </w:rPr>
            </w:pPr>
            <w:r>
              <w:rPr>
                <w:w w:val="115"/>
                <w:sz w:val="16"/>
              </w:rPr>
              <w:t>492</w:t>
            </w:r>
          </w:p>
        </w:tc>
        <w:tc>
          <w:tcPr>
            <w:tcW w:w="1428" w:type="dxa"/>
          </w:tcPr>
          <w:p>
            <w:pPr>
              <w:pStyle w:val="TableParagraph"/>
              <w:spacing w:before="8"/>
              <w:ind w:right="104"/>
              <w:jc w:val="right"/>
              <w:rPr>
                <w:sz w:val="16"/>
              </w:rPr>
            </w:pPr>
            <w:r>
              <w:rPr>
                <w:w w:val="115"/>
                <w:sz w:val="16"/>
              </w:rPr>
              <w:t>392</w:t>
            </w:r>
          </w:p>
        </w:tc>
        <w:tc>
          <w:tcPr>
            <w:tcW w:w="1367" w:type="dxa"/>
          </w:tcPr>
          <w:p>
            <w:pPr>
              <w:pStyle w:val="TableParagraph"/>
              <w:spacing w:before="8"/>
              <w:ind w:right="104"/>
              <w:jc w:val="right"/>
              <w:rPr>
                <w:sz w:val="16"/>
              </w:rPr>
            </w:pPr>
            <w:r>
              <w:rPr>
                <w:w w:val="115"/>
                <w:sz w:val="16"/>
              </w:rPr>
              <w:t>1,328</w:t>
            </w:r>
          </w:p>
        </w:tc>
        <w:tc>
          <w:tcPr>
            <w:tcW w:w="1259" w:type="dxa"/>
          </w:tcPr>
          <w:p>
            <w:pPr>
              <w:pStyle w:val="TableParagraph"/>
              <w:spacing w:before="8"/>
              <w:ind w:right="108"/>
              <w:jc w:val="right"/>
              <w:rPr>
                <w:sz w:val="16"/>
              </w:rPr>
            </w:pPr>
            <w:r>
              <w:rPr>
                <w:w w:val="115"/>
                <w:sz w:val="16"/>
              </w:rPr>
              <w:t>2,495</w:t>
            </w:r>
          </w:p>
        </w:tc>
      </w:tr>
      <w:tr>
        <w:trPr>
          <w:trHeight w:val="226" w:hRule="exact"/>
        </w:trPr>
        <w:tc>
          <w:tcPr>
            <w:tcW w:w="2889" w:type="dxa"/>
          </w:tcPr>
          <w:p>
            <w:pPr>
              <w:pStyle w:val="TableParagraph"/>
              <w:spacing w:before="8"/>
              <w:ind w:left="33"/>
              <w:rPr>
                <w:sz w:val="16"/>
              </w:rPr>
            </w:pPr>
            <w:r>
              <w:rPr>
                <w:w w:val="115"/>
                <w:sz w:val="16"/>
              </w:rPr>
              <w:t>Aircraft purchase commitments (3)</w:t>
            </w:r>
          </w:p>
        </w:tc>
        <w:tc>
          <w:tcPr>
            <w:tcW w:w="1368" w:type="dxa"/>
          </w:tcPr>
          <w:p>
            <w:pPr>
              <w:pStyle w:val="TableParagraph"/>
              <w:spacing w:before="8"/>
              <w:ind w:right="103"/>
              <w:jc w:val="right"/>
              <w:rPr>
                <w:sz w:val="16"/>
              </w:rPr>
            </w:pPr>
            <w:r>
              <w:rPr>
                <w:w w:val="115"/>
                <w:sz w:val="16"/>
              </w:rPr>
              <w:t>1,177</w:t>
            </w:r>
          </w:p>
        </w:tc>
        <w:tc>
          <w:tcPr>
            <w:tcW w:w="1427" w:type="dxa"/>
          </w:tcPr>
          <w:p>
            <w:pPr>
              <w:pStyle w:val="TableParagraph"/>
              <w:spacing w:before="8"/>
              <w:ind w:right="104"/>
              <w:jc w:val="right"/>
              <w:rPr>
                <w:sz w:val="16"/>
              </w:rPr>
            </w:pPr>
            <w:r>
              <w:rPr>
                <w:w w:val="115"/>
                <w:sz w:val="16"/>
              </w:rPr>
              <w:t>1,421</w:t>
            </w:r>
          </w:p>
        </w:tc>
        <w:tc>
          <w:tcPr>
            <w:tcW w:w="1428" w:type="dxa"/>
          </w:tcPr>
          <w:p>
            <w:pPr>
              <w:pStyle w:val="TableParagraph"/>
              <w:spacing w:before="8"/>
              <w:ind w:right="104"/>
              <w:jc w:val="right"/>
              <w:rPr>
                <w:sz w:val="16"/>
              </w:rPr>
            </w:pPr>
            <w:r>
              <w:rPr>
                <w:w w:val="115"/>
                <w:sz w:val="16"/>
              </w:rPr>
              <w:t>619</w:t>
            </w:r>
          </w:p>
        </w:tc>
        <w:tc>
          <w:tcPr>
            <w:tcW w:w="1367" w:type="dxa"/>
          </w:tcPr>
          <w:p>
            <w:pPr>
              <w:pStyle w:val="TableParagraph"/>
              <w:spacing w:before="8"/>
              <w:ind w:right="315"/>
              <w:jc w:val="right"/>
              <w:rPr>
                <w:sz w:val="16"/>
              </w:rPr>
            </w:pPr>
            <w:r>
              <w:rPr>
                <w:w w:val="112"/>
                <w:sz w:val="16"/>
              </w:rPr>
              <w:t>-</w:t>
            </w:r>
          </w:p>
        </w:tc>
        <w:tc>
          <w:tcPr>
            <w:tcW w:w="1259" w:type="dxa"/>
          </w:tcPr>
          <w:p>
            <w:pPr>
              <w:pStyle w:val="TableParagraph"/>
              <w:spacing w:before="8"/>
              <w:ind w:right="108"/>
              <w:jc w:val="right"/>
              <w:rPr>
                <w:sz w:val="16"/>
              </w:rPr>
            </w:pPr>
            <w:r>
              <w:rPr>
                <w:w w:val="115"/>
                <w:sz w:val="16"/>
              </w:rPr>
              <w:t>3,217</w:t>
            </w:r>
          </w:p>
        </w:tc>
      </w:tr>
      <w:tr>
        <w:trPr>
          <w:trHeight w:val="226" w:hRule="exact"/>
        </w:trPr>
        <w:tc>
          <w:tcPr>
            <w:tcW w:w="2889" w:type="dxa"/>
          </w:tcPr>
          <w:p>
            <w:pPr>
              <w:pStyle w:val="TableParagraph"/>
              <w:spacing w:before="8"/>
              <w:ind w:left="33"/>
              <w:rPr>
                <w:sz w:val="16"/>
              </w:rPr>
            </w:pPr>
            <w:r>
              <w:rPr>
                <w:w w:val="105"/>
                <w:sz w:val="16"/>
              </w:rPr>
              <w:t>Other  purchase commitments</w:t>
            </w:r>
          </w:p>
        </w:tc>
        <w:tc>
          <w:tcPr>
            <w:tcW w:w="1368" w:type="dxa"/>
            <w:tcBorders>
              <w:bottom w:val="single" w:sz="6" w:space="0" w:color="000000"/>
            </w:tcBorders>
          </w:tcPr>
          <w:p>
            <w:pPr>
              <w:pStyle w:val="TableParagraph"/>
              <w:spacing w:before="8"/>
              <w:ind w:right="103"/>
              <w:jc w:val="right"/>
              <w:rPr>
                <w:sz w:val="16"/>
              </w:rPr>
            </w:pPr>
            <w:r>
              <w:rPr>
                <w:w w:val="115"/>
                <w:sz w:val="16"/>
              </w:rPr>
              <w:t>90</w:t>
            </w:r>
          </w:p>
        </w:tc>
        <w:tc>
          <w:tcPr>
            <w:tcW w:w="1427" w:type="dxa"/>
            <w:tcBorders>
              <w:bottom w:val="single" w:sz="6" w:space="0" w:color="000000"/>
            </w:tcBorders>
          </w:tcPr>
          <w:p>
            <w:pPr>
              <w:pStyle w:val="TableParagraph"/>
              <w:spacing w:before="8"/>
              <w:ind w:right="104"/>
              <w:jc w:val="right"/>
              <w:rPr>
                <w:sz w:val="16"/>
              </w:rPr>
            </w:pPr>
            <w:r>
              <w:rPr>
                <w:w w:val="115"/>
                <w:sz w:val="16"/>
              </w:rPr>
              <w:t>133</w:t>
            </w:r>
          </w:p>
        </w:tc>
        <w:tc>
          <w:tcPr>
            <w:tcW w:w="1428" w:type="dxa"/>
            <w:tcBorders>
              <w:bottom w:val="single" w:sz="6" w:space="0" w:color="000000"/>
            </w:tcBorders>
          </w:tcPr>
          <w:p>
            <w:pPr>
              <w:pStyle w:val="TableParagraph"/>
              <w:spacing w:before="8"/>
              <w:ind w:right="104"/>
              <w:jc w:val="right"/>
              <w:rPr>
                <w:sz w:val="16"/>
              </w:rPr>
            </w:pPr>
            <w:r>
              <w:rPr>
                <w:w w:val="118"/>
                <w:sz w:val="16"/>
              </w:rPr>
              <w:t>5</w:t>
            </w:r>
          </w:p>
        </w:tc>
        <w:tc>
          <w:tcPr>
            <w:tcW w:w="1367" w:type="dxa"/>
            <w:tcBorders>
              <w:bottom w:val="single" w:sz="6" w:space="0" w:color="000000"/>
            </w:tcBorders>
          </w:tcPr>
          <w:p>
            <w:pPr>
              <w:pStyle w:val="TableParagraph"/>
              <w:spacing w:before="8"/>
              <w:ind w:right="316"/>
              <w:jc w:val="right"/>
              <w:rPr>
                <w:sz w:val="16"/>
              </w:rPr>
            </w:pPr>
            <w:r>
              <w:rPr>
                <w:w w:val="112"/>
                <w:sz w:val="16"/>
              </w:rPr>
              <w:t>-</w:t>
            </w:r>
          </w:p>
        </w:tc>
        <w:tc>
          <w:tcPr>
            <w:tcW w:w="1259" w:type="dxa"/>
            <w:tcBorders>
              <w:bottom w:val="single" w:sz="6" w:space="0" w:color="000000"/>
            </w:tcBorders>
          </w:tcPr>
          <w:p>
            <w:pPr>
              <w:pStyle w:val="TableParagraph"/>
              <w:spacing w:before="8"/>
              <w:ind w:right="108"/>
              <w:jc w:val="right"/>
              <w:rPr>
                <w:sz w:val="16"/>
              </w:rPr>
            </w:pPr>
            <w:r>
              <w:rPr>
                <w:w w:val="115"/>
                <w:sz w:val="16"/>
              </w:rPr>
              <w:t>228</w:t>
            </w:r>
          </w:p>
        </w:tc>
      </w:tr>
      <w:tr>
        <w:trPr>
          <w:trHeight w:val="200" w:hRule="exact"/>
        </w:trPr>
        <w:tc>
          <w:tcPr>
            <w:tcW w:w="2889" w:type="dxa"/>
          </w:tcPr>
          <w:p>
            <w:pPr>
              <w:pStyle w:val="TableParagraph"/>
              <w:spacing w:line="177" w:lineRule="exact"/>
              <w:ind w:left="193"/>
              <w:rPr>
                <w:sz w:val="16"/>
              </w:rPr>
            </w:pPr>
            <w:r>
              <w:rPr>
                <w:w w:val="110"/>
                <w:sz w:val="16"/>
              </w:rPr>
              <w:t>Total contractual obligations</w:t>
            </w:r>
          </w:p>
        </w:tc>
        <w:tc>
          <w:tcPr>
            <w:tcW w:w="1368" w:type="dxa"/>
            <w:tcBorders>
              <w:top w:val="single" w:sz="6" w:space="0" w:color="000000"/>
              <w:bottom w:val="single" w:sz="12" w:space="0" w:color="000000"/>
            </w:tcBorders>
          </w:tcPr>
          <w:p>
            <w:pPr>
              <w:pStyle w:val="TableParagraph"/>
              <w:tabs>
                <w:tab w:pos="684" w:val="left" w:leader="none"/>
              </w:tabs>
              <w:spacing w:before="12"/>
              <w:ind w:right="104"/>
              <w:jc w:val="right"/>
              <w:rPr>
                <w:sz w:val="16"/>
              </w:rPr>
            </w:pPr>
            <w:r>
              <w:rPr>
                <w:w w:val="120"/>
                <w:sz w:val="16"/>
              </w:rPr>
              <w:t>$</w:t>
              <w:tab/>
            </w:r>
            <w:r>
              <w:rPr>
                <w:w w:val="115"/>
                <w:sz w:val="16"/>
              </w:rPr>
              <w:t>1,764</w:t>
            </w:r>
          </w:p>
        </w:tc>
        <w:tc>
          <w:tcPr>
            <w:tcW w:w="1427" w:type="dxa"/>
            <w:tcBorders>
              <w:top w:val="single" w:sz="6" w:space="0" w:color="000000"/>
              <w:bottom w:val="single" w:sz="12" w:space="0" w:color="000000"/>
            </w:tcBorders>
          </w:tcPr>
          <w:p>
            <w:pPr>
              <w:pStyle w:val="TableParagraph"/>
              <w:tabs>
                <w:tab w:pos="745" w:val="left" w:leader="none"/>
              </w:tabs>
              <w:spacing w:before="12"/>
              <w:ind w:right="103"/>
              <w:jc w:val="right"/>
              <w:rPr>
                <w:sz w:val="16"/>
              </w:rPr>
            </w:pPr>
            <w:r>
              <w:rPr>
                <w:w w:val="120"/>
                <w:sz w:val="16"/>
              </w:rPr>
              <w:t>$</w:t>
              <w:tab/>
            </w:r>
            <w:r>
              <w:rPr>
                <w:w w:val="115"/>
                <w:sz w:val="16"/>
              </w:rPr>
              <w:t>2,742</w:t>
            </w:r>
          </w:p>
        </w:tc>
        <w:tc>
          <w:tcPr>
            <w:tcW w:w="1428" w:type="dxa"/>
            <w:tcBorders>
              <w:top w:val="single" w:sz="6" w:space="0" w:color="000000"/>
              <w:bottom w:val="single" w:sz="12" w:space="0" w:color="000000"/>
            </w:tcBorders>
          </w:tcPr>
          <w:p>
            <w:pPr>
              <w:pStyle w:val="TableParagraph"/>
              <w:tabs>
                <w:tab w:pos="745" w:val="left" w:leader="none"/>
              </w:tabs>
              <w:spacing w:before="12"/>
              <w:ind w:right="103"/>
              <w:jc w:val="right"/>
              <w:rPr>
                <w:sz w:val="16"/>
              </w:rPr>
            </w:pPr>
            <w:r>
              <w:rPr>
                <w:w w:val="120"/>
                <w:sz w:val="16"/>
              </w:rPr>
              <w:t>$</w:t>
              <w:tab/>
            </w:r>
            <w:r>
              <w:rPr>
                <w:w w:val="115"/>
                <w:sz w:val="16"/>
              </w:rPr>
              <w:t>1,155</w:t>
            </w:r>
          </w:p>
        </w:tc>
        <w:tc>
          <w:tcPr>
            <w:tcW w:w="1367" w:type="dxa"/>
            <w:tcBorders>
              <w:top w:val="single" w:sz="6" w:space="0" w:color="000000"/>
              <w:bottom w:val="single" w:sz="12" w:space="0" w:color="000000"/>
            </w:tcBorders>
          </w:tcPr>
          <w:p>
            <w:pPr>
              <w:pStyle w:val="TableParagraph"/>
              <w:tabs>
                <w:tab w:pos="684" w:val="left" w:leader="none"/>
              </w:tabs>
              <w:spacing w:before="12"/>
              <w:ind w:right="103"/>
              <w:jc w:val="right"/>
              <w:rPr>
                <w:sz w:val="16"/>
              </w:rPr>
            </w:pPr>
            <w:r>
              <w:rPr>
                <w:w w:val="120"/>
                <w:sz w:val="16"/>
              </w:rPr>
              <w:t>$</w:t>
              <w:tab/>
            </w:r>
            <w:r>
              <w:rPr>
                <w:w w:val="115"/>
                <w:sz w:val="16"/>
              </w:rPr>
              <w:t>1,878</w:t>
            </w:r>
          </w:p>
        </w:tc>
        <w:tc>
          <w:tcPr>
            <w:tcW w:w="1259" w:type="dxa"/>
            <w:tcBorders>
              <w:top w:val="single" w:sz="6" w:space="0" w:color="000000"/>
              <w:bottom w:val="single" w:sz="12" w:space="0" w:color="000000"/>
            </w:tcBorders>
          </w:tcPr>
          <w:p>
            <w:pPr>
              <w:pStyle w:val="TableParagraph"/>
              <w:tabs>
                <w:tab w:pos="571" w:val="left" w:leader="none"/>
              </w:tabs>
              <w:spacing w:before="12"/>
              <w:ind w:right="107"/>
              <w:jc w:val="right"/>
              <w:rPr>
                <w:sz w:val="16"/>
              </w:rPr>
            </w:pPr>
            <w:r>
              <w:rPr>
                <w:w w:val="120"/>
                <w:sz w:val="16"/>
              </w:rPr>
              <w:t>$</w:t>
              <w:tab/>
            </w:r>
            <w:r>
              <w:rPr>
                <w:w w:val="115"/>
                <w:sz w:val="16"/>
              </w:rPr>
              <w:t>7,539</w:t>
            </w:r>
          </w:p>
        </w:tc>
      </w:tr>
    </w:tbl>
    <w:p>
      <w:pPr>
        <w:pStyle w:val="ListParagraph"/>
        <w:numPr>
          <w:ilvl w:val="0"/>
          <w:numId w:val="3"/>
        </w:numPr>
        <w:tabs>
          <w:tab w:pos="430" w:val="left" w:leader="none"/>
        </w:tabs>
        <w:spacing w:line="240" w:lineRule="auto" w:before="125" w:after="0"/>
        <w:ind w:left="429" w:right="0" w:hanging="272"/>
        <w:jc w:val="left"/>
        <w:rPr>
          <w:rFonts w:ascii="Arial"/>
          <w:sz w:val="14"/>
        </w:rPr>
      </w:pPr>
      <w:r>
        <w:rPr>
          <w:rFonts w:ascii="Arial"/>
          <w:w w:val="115"/>
          <w:sz w:val="14"/>
        </w:rPr>
        <w:t>Includes</w:t>
      </w:r>
      <w:r>
        <w:rPr>
          <w:rFonts w:ascii="Arial"/>
          <w:spacing w:val="-13"/>
          <w:w w:val="115"/>
          <w:sz w:val="14"/>
        </w:rPr>
        <w:t> </w:t>
      </w:r>
      <w:r>
        <w:rPr>
          <w:rFonts w:ascii="Arial"/>
          <w:w w:val="115"/>
          <w:sz w:val="14"/>
        </w:rPr>
        <w:t>current</w:t>
      </w:r>
      <w:r>
        <w:rPr>
          <w:rFonts w:ascii="Arial"/>
          <w:spacing w:val="-13"/>
          <w:w w:val="115"/>
          <w:sz w:val="14"/>
        </w:rPr>
        <w:t> </w:t>
      </w:r>
      <w:r>
        <w:rPr>
          <w:rFonts w:ascii="Arial"/>
          <w:w w:val="115"/>
          <w:sz w:val="14"/>
        </w:rPr>
        <w:t>maturities,</w:t>
      </w:r>
      <w:r>
        <w:rPr>
          <w:rFonts w:ascii="Arial"/>
          <w:spacing w:val="-13"/>
          <w:w w:val="115"/>
          <w:sz w:val="14"/>
        </w:rPr>
        <w:t> </w:t>
      </w:r>
      <w:r>
        <w:rPr>
          <w:rFonts w:ascii="Arial"/>
          <w:w w:val="115"/>
          <w:sz w:val="14"/>
        </w:rPr>
        <w:t>but</w:t>
      </w:r>
      <w:r>
        <w:rPr>
          <w:rFonts w:ascii="Arial"/>
          <w:spacing w:val="-13"/>
          <w:w w:val="115"/>
          <w:sz w:val="14"/>
        </w:rPr>
        <w:t> </w:t>
      </w:r>
      <w:r>
        <w:rPr>
          <w:rFonts w:ascii="Arial"/>
          <w:w w:val="115"/>
          <w:sz w:val="14"/>
        </w:rPr>
        <w:t>excludes</w:t>
      </w:r>
      <w:r>
        <w:rPr>
          <w:rFonts w:ascii="Arial"/>
          <w:spacing w:val="-14"/>
          <w:w w:val="115"/>
          <w:sz w:val="14"/>
        </w:rPr>
        <w:t> </w:t>
      </w:r>
      <w:r>
        <w:rPr>
          <w:rFonts w:ascii="Arial"/>
          <w:w w:val="115"/>
          <w:sz w:val="14"/>
        </w:rPr>
        <w:t>amounts</w:t>
      </w:r>
      <w:r>
        <w:rPr>
          <w:rFonts w:ascii="Arial"/>
          <w:spacing w:val="-13"/>
          <w:w w:val="115"/>
          <w:sz w:val="14"/>
        </w:rPr>
        <w:t> </w:t>
      </w:r>
      <w:r>
        <w:rPr>
          <w:rFonts w:ascii="Arial"/>
          <w:w w:val="115"/>
          <w:sz w:val="14"/>
        </w:rPr>
        <w:t>associated</w:t>
      </w:r>
      <w:r>
        <w:rPr>
          <w:rFonts w:ascii="Arial"/>
          <w:spacing w:val="-13"/>
          <w:w w:val="115"/>
          <w:sz w:val="14"/>
        </w:rPr>
        <w:t> </w:t>
      </w:r>
      <w:r>
        <w:rPr>
          <w:rFonts w:ascii="Arial"/>
          <w:w w:val="115"/>
          <w:sz w:val="14"/>
        </w:rPr>
        <w:t>with</w:t>
      </w:r>
      <w:r>
        <w:rPr>
          <w:rFonts w:ascii="Arial"/>
          <w:spacing w:val="-13"/>
          <w:w w:val="115"/>
          <w:sz w:val="14"/>
        </w:rPr>
        <w:t> </w:t>
      </w:r>
      <w:r>
        <w:rPr>
          <w:rFonts w:ascii="Arial"/>
          <w:w w:val="115"/>
          <w:sz w:val="14"/>
        </w:rPr>
        <w:t>interest</w:t>
      </w:r>
      <w:r>
        <w:rPr>
          <w:rFonts w:ascii="Arial"/>
          <w:spacing w:val="-13"/>
          <w:w w:val="115"/>
          <w:sz w:val="14"/>
        </w:rPr>
        <w:t> </w:t>
      </w:r>
      <w:r>
        <w:rPr>
          <w:rFonts w:ascii="Arial"/>
          <w:w w:val="115"/>
          <w:sz w:val="14"/>
        </w:rPr>
        <w:t>rate</w:t>
      </w:r>
      <w:r>
        <w:rPr>
          <w:rFonts w:ascii="Arial"/>
          <w:spacing w:val="-13"/>
          <w:w w:val="115"/>
          <w:sz w:val="14"/>
        </w:rPr>
        <w:t> </w:t>
      </w:r>
      <w:r>
        <w:rPr>
          <w:rFonts w:ascii="Arial"/>
          <w:w w:val="115"/>
          <w:sz w:val="14"/>
        </w:rPr>
        <w:t>swap</w:t>
      </w:r>
      <w:r>
        <w:rPr>
          <w:rFonts w:ascii="Arial"/>
          <w:spacing w:val="-13"/>
          <w:w w:val="115"/>
          <w:sz w:val="14"/>
        </w:rPr>
        <w:t> </w:t>
      </w:r>
      <w:r>
        <w:rPr>
          <w:rFonts w:ascii="Arial"/>
          <w:w w:val="115"/>
          <w:sz w:val="14"/>
        </w:rPr>
        <w:t>agreements</w:t>
      </w:r>
    </w:p>
    <w:p>
      <w:pPr>
        <w:pStyle w:val="ListParagraph"/>
        <w:numPr>
          <w:ilvl w:val="0"/>
          <w:numId w:val="3"/>
        </w:numPr>
        <w:tabs>
          <w:tab w:pos="429" w:val="left" w:leader="none"/>
        </w:tabs>
        <w:spacing w:line="240" w:lineRule="auto" w:before="65" w:after="0"/>
        <w:ind w:left="428" w:right="0" w:hanging="271"/>
        <w:jc w:val="left"/>
        <w:rPr>
          <w:rFonts w:ascii="Arial"/>
          <w:sz w:val="14"/>
        </w:rPr>
      </w:pPr>
      <w:r>
        <w:rPr>
          <w:rFonts w:ascii="Arial"/>
          <w:w w:val="110"/>
          <w:sz w:val="14"/>
        </w:rPr>
        <w:t>Includes amounts classified as</w:t>
      </w:r>
      <w:r>
        <w:rPr>
          <w:rFonts w:ascii="Arial"/>
          <w:spacing w:val="12"/>
          <w:w w:val="110"/>
          <w:sz w:val="14"/>
        </w:rPr>
        <w:t> </w:t>
      </w:r>
      <w:r>
        <w:rPr>
          <w:rFonts w:ascii="Arial"/>
          <w:w w:val="110"/>
          <w:sz w:val="14"/>
        </w:rPr>
        <w:t>interest</w:t>
      </w:r>
    </w:p>
    <w:p>
      <w:pPr>
        <w:pStyle w:val="ListParagraph"/>
        <w:numPr>
          <w:ilvl w:val="0"/>
          <w:numId w:val="3"/>
        </w:numPr>
        <w:tabs>
          <w:tab w:pos="431" w:val="left" w:leader="none"/>
        </w:tabs>
        <w:spacing w:line="240" w:lineRule="auto" w:before="57" w:after="0"/>
        <w:ind w:left="430" w:right="0" w:hanging="273"/>
        <w:jc w:val="left"/>
        <w:rPr>
          <w:rFonts w:ascii="Arial"/>
          <w:sz w:val="14"/>
        </w:rPr>
      </w:pPr>
      <w:r>
        <w:rPr>
          <w:rFonts w:ascii="Arial"/>
          <w:w w:val="115"/>
          <w:sz w:val="14"/>
        </w:rPr>
        <w:t>Firm</w:t>
      </w:r>
      <w:r>
        <w:rPr>
          <w:rFonts w:ascii="Arial"/>
          <w:spacing w:val="-10"/>
          <w:w w:val="115"/>
          <w:sz w:val="14"/>
        </w:rPr>
        <w:t> </w:t>
      </w:r>
      <w:r>
        <w:rPr>
          <w:rFonts w:ascii="Arial"/>
          <w:w w:val="115"/>
          <w:sz w:val="14"/>
        </w:rPr>
        <w:t>orders</w:t>
      </w:r>
      <w:r>
        <w:rPr>
          <w:rFonts w:ascii="Arial"/>
          <w:spacing w:val="-10"/>
          <w:w w:val="115"/>
          <w:sz w:val="14"/>
        </w:rPr>
        <w:t> </w:t>
      </w:r>
      <w:r>
        <w:rPr>
          <w:rFonts w:ascii="Arial"/>
          <w:w w:val="115"/>
          <w:sz w:val="14"/>
        </w:rPr>
        <w:t>from</w:t>
      </w:r>
      <w:r>
        <w:rPr>
          <w:rFonts w:ascii="Arial"/>
          <w:spacing w:val="-10"/>
          <w:w w:val="115"/>
          <w:sz w:val="14"/>
        </w:rPr>
        <w:t> </w:t>
      </w:r>
      <w:r>
        <w:rPr>
          <w:rFonts w:ascii="Arial"/>
          <w:w w:val="115"/>
          <w:sz w:val="14"/>
        </w:rPr>
        <w:t>the</w:t>
      </w:r>
      <w:r>
        <w:rPr>
          <w:rFonts w:ascii="Arial"/>
          <w:spacing w:val="-10"/>
          <w:w w:val="115"/>
          <w:sz w:val="14"/>
        </w:rPr>
        <w:t> </w:t>
      </w:r>
      <w:r>
        <w:rPr>
          <w:rFonts w:ascii="Arial"/>
          <w:w w:val="115"/>
          <w:sz w:val="14"/>
        </w:rPr>
        <w:t>manufacturer</w:t>
      </w:r>
    </w:p>
    <w:p>
      <w:pPr>
        <w:pStyle w:val="BodyText"/>
        <w:spacing w:before="8"/>
        <w:rPr>
          <w:rFonts w:ascii="Arial"/>
          <w:sz w:val="27"/>
        </w:rPr>
      </w:pPr>
    </w:p>
    <w:p>
      <w:pPr>
        <w:pStyle w:val="BodyText"/>
        <w:spacing w:line="220" w:lineRule="exact" w:before="134"/>
        <w:ind w:left="115" w:right="212"/>
        <w:jc w:val="both"/>
      </w:pPr>
      <w:r>
        <w:rPr>
          <w:spacing w:val="-2"/>
          <w:w w:val="105"/>
        </w:rPr>
        <w:t>The </w:t>
      </w:r>
      <w:r>
        <w:rPr>
          <w:w w:val="105"/>
        </w:rPr>
        <w:t>Company currently expects that it </w:t>
      </w:r>
      <w:r>
        <w:rPr>
          <w:spacing w:val="-3"/>
          <w:w w:val="105"/>
        </w:rPr>
        <w:t>will </w:t>
      </w:r>
      <w:r>
        <w:rPr>
          <w:w w:val="105"/>
        </w:rPr>
        <w:t>issue a portion of its $1.0 billion in public debt securities and pass through certificates from its outstanding </w:t>
      </w:r>
      <w:r>
        <w:rPr>
          <w:spacing w:val="2"/>
          <w:w w:val="105"/>
        </w:rPr>
        <w:t>shelf registrations during 2004, </w:t>
      </w:r>
      <w:r>
        <w:rPr>
          <w:w w:val="105"/>
        </w:rPr>
        <w:t>in </w:t>
      </w:r>
      <w:r>
        <w:rPr>
          <w:spacing w:val="2"/>
          <w:w w:val="105"/>
        </w:rPr>
        <w:t>order </w:t>
      </w:r>
      <w:r>
        <w:rPr>
          <w:w w:val="105"/>
        </w:rPr>
        <w:t>to </w:t>
      </w:r>
      <w:r>
        <w:rPr>
          <w:spacing w:val="2"/>
          <w:w w:val="105"/>
        </w:rPr>
        <w:t>fulfill some </w:t>
      </w:r>
      <w:r>
        <w:rPr>
          <w:w w:val="105"/>
        </w:rPr>
        <w:t>of </w:t>
      </w:r>
      <w:r>
        <w:rPr>
          <w:spacing w:val="3"/>
          <w:w w:val="105"/>
        </w:rPr>
        <w:t>its </w:t>
      </w:r>
      <w:r>
        <w:rPr>
          <w:w w:val="105"/>
        </w:rPr>
        <w:t>obligations as noted above.</w:t>
      </w:r>
    </w:p>
    <w:p>
      <w:pPr>
        <w:pStyle w:val="BodyText"/>
        <w:spacing w:line="220" w:lineRule="exact" w:before="217"/>
        <w:ind w:left="115" w:right="208"/>
        <w:jc w:val="both"/>
      </w:pPr>
      <w:r>
        <w:rPr>
          <w:spacing w:val="-3"/>
          <w:w w:val="105"/>
        </w:rPr>
        <w:t>There </w:t>
      </w:r>
      <w:r>
        <w:rPr>
          <w:spacing w:val="-4"/>
          <w:w w:val="105"/>
        </w:rPr>
        <w:t>were </w:t>
      </w:r>
      <w:r>
        <w:rPr>
          <w:w w:val="105"/>
        </w:rPr>
        <w:t>no outstanding </w:t>
      </w:r>
      <w:r>
        <w:rPr>
          <w:spacing w:val="-3"/>
          <w:w w:val="105"/>
        </w:rPr>
        <w:t>borrowings </w:t>
      </w:r>
      <w:r>
        <w:rPr>
          <w:w w:val="105"/>
        </w:rPr>
        <w:t>under the revolving credit facility at </w:t>
      </w:r>
      <w:r>
        <w:rPr>
          <w:spacing w:val="-4"/>
          <w:w w:val="105"/>
        </w:rPr>
        <w:t>December </w:t>
      </w:r>
      <w:r>
        <w:rPr>
          <w:w w:val="105"/>
        </w:rPr>
        <w:t>31, 2003. See </w:t>
      </w:r>
      <w:r>
        <w:rPr>
          <w:spacing w:val="-3"/>
          <w:w w:val="105"/>
        </w:rPr>
        <w:t>Note </w:t>
      </w:r>
      <w:r>
        <w:rPr>
          <w:w w:val="105"/>
        </w:rPr>
        <w:t>6 to the consolidated financial statements for more information.</w:t>
      </w:r>
    </w:p>
    <w:p>
      <w:pPr>
        <w:pStyle w:val="BodyText"/>
        <w:spacing w:line="218" w:lineRule="auto" w:before="219"/>
        <w:ind w:left="115" w:right="208"/>
        <w:jc w:val="both"/>
      </w:pPr>
      <w:r>
        <w:rPr>
          <w:spacing w:val="-3"/>
          <w:w w:val="105"/>
        </w:rPr>
        <w:t>In </w:t>
      </w:r>
      <w:r>
        <w:rPr>
          <w:w w:val="105"/>
        </w:rPr>
        <w:t>January 2004, the Company’s </w:t>
      </w:r>
      <w:r>
        <w:rPr>
          <w:spacing w:val="-3"/>
          <w:w w:val="105"/>
        </w:rPr>
        <w:t>Board </w:t>
      </w:r>
      <w:r>
        <w:rPr>
          <w:w w:val="105"/>
        </w:rPr>
        <w:t>of </w:t>
      </w:r>
      <w:r>
        <w:rPr>
          <w:spacing w:val="-3"/>
          <w:w w:val="105"/>
        </w:rPr>
        <w:t>Directors </w:t>
      </w:r>
      <w:r>
        <w:rPr>
          <w:w w:val="105"/>
        </w:rPr>
        <w:t>authorized the repurchase of up to $300 million of the Company’s common stock, utilizing present and anticipated </w:t>
      </w:r>
      <w:r>
        <w:rPr>
          <w:spacing w:val="-3"/>
          <w:w w:val="105"/>
        </w:rPr>
        <w:t>proceeds </w:t>
      </w:r>
      <w:r>
        <w:rPr>
          <w:w w:val="105"/>
        </w:rPr>
        <w:t>from the </w:t>
      </w:r>
      <w:r>
        <w:rPr>
          <w:spacing w:val="-3"/>
          <w:w w:val="105"/>
        </w:rPr>
        <w:t>exercise </w:t>
      </w:r>
      <w:r>
        <w:rPr>
          <w:w w:val="105"/>
        </w:rPr>
        <w:t>of Employee stock options.</w:t>
      </w:r>
      <w:r>
        <w:rPr>
          <w:spacing w:val="22"/>
          <w:w w:val="105"/>
        </w:rPr>
        <w:t> </w:t>
      </w:r>
      <w:r>
        <w:rPr>
          <w:w w:val="105"/>
        </w:rPr>
        <w:t>Repurchases</w:t>
      </w:r>
      <w:r>
        <w:rPr>
          <w:spacing w:val="-20"/>
          <w:w w:val="105"/>
        </w:rPr>
        <w:t> </w:t>
      </w:r>
      <w:r>
        <w:rPr>
          <w:spacing w:val="-3"/>
          <w:w w:val="105"/>
        </w:rPr>
        <w:t>will</w:t>
      </w:r>
      <w:r>
        <w:rPr>
          <w:spacing w:val="-17"/>
          <w:w w:val="105"/>
        </w:rPr>
        <w:t> </w:t>
      </w:r>
      <w:r>
        <w:rPr>
          <w:w w:val="105"/>
        </w:rPr>
        <w:t>be</w:t>
      </w:r>
      <w:r>
        <w:rPr>
          <w:spacing w:val="-22"/>
          <w:w w:val="105"/>
        </w:rPr>
        <w:t> </w:t>
      </w:r>
      <w:r>
        <w:rPr>
          <w:w w:val="105"/>
        </w:rPr>
        <w:t>made</w:t>
      </w:r>
      <w:r>
        <w:rPr>
          <w:spacing w:val="-18"/>
          <w:w w:val="105"/>
        </w:rPr>
        <w:t> </w:t>
      </w:r>
      <w:r>
        <w:rPr>
          <w:w w:val="105"/>
        </w:rPr>
        <w:t>in</w:t>
      </w:r>
      <w:r>
        <w:rPr>
          <w:spacing w:val="-20"/>
          <w:w w:val="105"/>
        </w:rPr>
        <w:t> </w:t>
      </w:r>
      <w:r>
        <w:rPr>
          <w:w w:val="105"/>
        </w:rPr>
        <w:t>accordance</w:t>
      </w:r>
      <w:r>
        <w:rPr>
          <w:spacing w:val="-22"/>
          <w:w w:val="105"/>
        </w:rPr>
        <w:t> </w:t>
      </w:r>
      <w:r>
        <w:rPr>
          <w:w w:val="105"/>
        </w:rPr>
        <w:t>with</w:t>
      </w:r>
      <w:r>
        <w:rPr>
          <w:spacing w:val="-17"/>
          <w:w w:val="105"/>
        </w:rPr>
        <w:t> </w:t>
      </w:r>
      <w:r>
        <w:rPr>
          <w:w w:val="105"/>
        </w:rPr>
        <w:t>applicable</w:t>
      </w:r>
      <w:r>
        <w:rPr>
          <w:spacing w:val="-22"/>
          <w:w w:val="105"/>
        </w:rPr>
        <w:t> </w:t>
      </w:r>
      <w:r>
        <w:rPr>
          <w:w w:val="105"/>
        </w:rPr>
        <w:t>securities</w:t>
      </w:r>
      <w:r>
        <w:rPr>
          <w:spacing w:val="-17"/>
          <w:w w:val="105"/>
        </w:rPr>
        <w:t> </w:t>
      </w:r>
      <w:r>
        <w:rPr>
          <w:spacing w:val="-3"/>
          <w:w w:val="105"/>
        </w:rPr>
        <w:t>laws</w:t>
      </w:r>
      <w:r>
        <w:rPr>
          <w:spacing w:val="-20"/>
          <w:w w:val="105"/>
        </w:rPr>
        <w:t> </w:t>
      </w:r>
      <w:r>
        <w:rPr>
          <w:w w:val="105"/>
        </w:rPr>
        <w:t>in</w:t>
      </w:r>
      <w:r>
        <w:rPr>
          <w:spacing w:val="-17"/>
          <w:w w:val="105"/>
        </w:rPr>
        <w:t> </w:t>
      </w:r>
      <w:r>
        <w:rPr>
          <w:w w:val="105"/>
        </w:rPr>
        <w:t>the</w:t>
      </w:r>
      <w:r>
        <w:rPr>
          <w:spacing w:val="-18"/>
          <w:w w:val="105"/>
        </w:rPr>
        <w:t> </w:t>
      </w:r>
      <w:r>
        <w:rPr>
          <w:w w:val="105"/>
        </w:rPr>
        <w:t>open</w:t>
      </w:r>
      <w:r>
        <w:rPr>
          <w:spacing w:val="-13"/>
          <w:w w:val="105"/>
        </w:rPr>
        <w:t> </w:t>
      </w:r>
      <w:r>
        <w:rPr>
          <w:spacing w:val="-3"/>
          <w:w w:val="105"/>
        </w:rPr>
        <w:t>market</w:t>
      </w:r>
      <w:r>
        <w:rPr>
          <w:spacing w:val="-17"/>
          <w:w w:val="105"/>
        </w:rPr>
        <w:t> </w:t>
      </w:r>
      <w:r>
        <w:rPr>
          <w:w w:val="105"/>
        </w:rPr>
        <w:t>or</w:t>
      </w:r>
      <w:r>
        <w:rPr>
          <w:spacing w:val="-18"/>
          <w:w w:val="105"/>
        </w:rPr>
        <w:t> </w:t>
      </w:r>
      <w:r>
        <w:rPr>
          <w:w w:val="105"/>
        </w:rPr>
        <w:t>in</w:t>
      </w:r>
      <w:r>
        <w:rPr>
          <w:spacing w:val="-17"/>
          <w:w w:val="105"/>
        </w:rPr>
        <w:t> </w:t>
      </w:r>
      <w:r>
        <w:rPr>
          <w:w w:val="105"/>
        </w:rPr>
        <w:t>private transactions</w:t>
      </w:r>
      <w:r>
        <w:rPr>
          <w:spacing w:val="-28"/>
          <w:w w:val="105"/>
        </w:rPr>
        <w:t> </w:t>
      </w:r>
      <w:r>
        <w:rPr>
          <w:w w:val="105"/>
        </w:rPr>
        <w:t>from</w:t>
      </w:r>
      <w:r>
        <w:rPr>
          <w:spacing w:val="-29"/>
          <w:w w:val="105"/>
        </w:rPr>
        <w:t> </w:t>
      </w:r>
      <w:r>
        <w:rPr>
          <w:w w:val="105"/>
        </w:rPr>
        <w:t>time</w:t>
      </w:r>
      <w:r>
        <w:rPr>
          <w:spacing w:val="-29"/>
          <w:w w:val="105"/>
        </w:rPr>
        <w:t> </w:t>
      </w:r>
      <w:r>
        <w:rPr>
          <w:w w:val="105"/>
        </w:rPr>
        <w:t>to</w:t>
      </w:r>
      <w:r>
        <w:rPr>
          <w:spacing w:val="-28"/>
          <w:w w:val="105"/>
        </w:rPr>
        <w:t> </w:t>
      </w:r>
      <w:r>
        <w:rPr>
          <w:spacing w:val="-3"/>
          <w:w w:val="105"/>
        </w:rPr>
        <w:t>time,</w:t>
      </w:r>
      <w:r>
        <w:rPr>
          <w:spacing w:val="-30"/>
          <w:w w:val="105"/>
        </w:rPr>
        <w:t> </w:t>
      </w:r>
      <w:r>
        <w:rPr>
          <w:w w:val="105"/>
        </w:rPr>
        <w:t>depending</w:t>
      </w:r>
      <w:r>
        <w:rPr>
          <w:spacing w:val="-28"/>
          <w:w w:val="105"/>
        </w:rPr>
        <w:t> </w:t>
      </w:r>
      <w:r>
        <w:rPr>
          <w:w w:val="105"/>
        </w:rPr>
        <w:t>on</w:t>
      </w:r>
      <w:r>
        <w:rPr>
          <w:spacing w:val="-28"/>
          <w:w w:val="105"/>
        </w:rPr>
        <w:t> </w:t>
      </w:r>
      <w:r>
        <w:rPr>
          <w:spacing w:val="-3"/>
          <w:w w:val="105"/>
        </w:rPr>
        <w:t>market</w:t>
      </w:r>
      <w:r>
        <w:rPr>
          <w:spacing w:val="-28"/>
          <w:w w:val="105"/>
        </w:rPr>
        <w:t> </w:t>
      </w:r>
      <w:r>
        <w:rPr>
          <w:w w:val="105"/>
        </w:rPr>
        <w:t>conditions.</w:t>
      </w:r>
    </w:p>
    <w:p>
      <w:pPr>
        <w:pStyle w:val="BodyText"/>
        <w:spacing w:before="6"/>
        <w:rPr>
          <w:sz w:val="23"/>
        </w:rPr>
      </w:pPr>
    </w:p>
    <w:p>
      <w:pPr>
        <w:pStyle w:val="Heading2"/>
        <w:jc w:val="both"/>
      </w:pPr>
      <w:r>
        <w:rPr>
          <w:w w:val="105"/>
        </w:rPr>
        <w:t>CRITICAL ACCOUNTING POLICIES AND ESTIMATES</w:t>
      </w:r>
    </w:p>
    <w:p>
      <w:pPr>
        <w:pStyle w:val="BodyText"/>
        <w:spacing w:line="259" w:lineRule="auto" w:before="238"/>
        <w:ind w:left="115" w:right="209"/>
        <w:jc w:val="both"/>
      </w:pPr>
      <w:r>
        <w:rPr>
          <w:w w:val="105"/>
        </w:rPr>
        <w:t>The Company’s consolidated financial statements have been prepared in accordance with United States GAAP. The Company’s significant accounting policies are described in Note 1 to the Consolidated Financial Statements. The preparation of financial statements in accordance with GAAP requires the Company’s management to make estimates and assumptions that affect the amounts reported in the consolidated financial statements and accompanying footnotes. The Company’s estimates and assumptions</w:t>
      </w:r>
    </w:p>
    <w:p>
      <w:pPr>
        <w:spacing w:after="0" w:line="259" w:lineRule="auto"/>
        <w:jc w:val="both"/>
        <w:sectPr>
          <w:pgSz w:w="12240" w:h="15840"/>
          <w:pgMar w:top="1160" w:bottom="280" w:left="1180" w:right="1080"/>
        </w:sectPr>
      </w:pPr>
    </w:p>
    <w:p>
      <w:pPr>
        <w:pStyle w:val="BodyText"/>
        <w:spacing w:line="259" w:lineRule="auto" w:before="100"/>
        <w:ind w:left="115" w:right="105"/>
        <w:jc w:val="both"/>
      </w:pPr>
      <w:r>
        <w:rPr>
          <w:w w:val="105"/>
        </w:rPr>
        <w:t>are based on historical experiences and changes in the business environment. However, actual results may differ from estimates under different conditions, sometimes materially. Critical accounting policies and estimates are defined as those that are both most important to the portrayal of the Company’s financial condition and results and require management’s most subjective judgments. The Company’s most critical accounting policies and estimates are described below.</w:t>
      </w:r>
    </w:p>
    <w:p>
      <w:pPr>
        <w:pStyle w:val="BodyText"/>
        <w:spacing w:before="244"/>
        <w:ind w:left="115"/>
        <w:jc w:val="both"/>
      </w:pPr>
      <w:r>
        <w:rPr>
          <w:u w:val="single"/>
        </w:rPr>
        <w:t>Revenue</w:t>
      </w:r>
      <w:r>
        <w:rPr>
          <w:spacing w:val="51"/>
          <w:u w:val="single"/>
        </w:rPr>
        <w:t> </w:t>
      </w:r>
      <w:r>
        <w:rPr>
          <w:u w:val="single"/>
        </w:rPr>
        <w:t>Recognition</w:t>
      </w:r>
    </w:p>
    <w:p>
      <w:pPr>
        <w:pStyle w:val="BodyText"/>
        <w:spacing w:line="218" w:lineRule="auto" w:before="213"/>
        <w:ind w:left="115" w:right="106"/>
        <w:jc w:val="both"/>
      </w:pPr>
      <w:r>
        <w:rPr>
          <w:w w:val="105"/>
        </w:rPr>
        <w:t>As described in Note 1 to the Consolidated Financial Statements, tickets sold for passenger air travel are initially deferred as “Air traffic liability.” Passenger revenue is recognized and air traffic liability is reduced when the service is provided (i.e., when the flight takes place). “Air traffic liability” represents tickets sold for future travel dates and estimated future refunds and exchanges of tickets sold for past travel dates. The Company’s air traffic liability balance at December 31, 2003 was $462 million.</w:t>
      </w:r>
    </w:p>
    <w:p>
      <w:pPr>
        <w:pStyle w:val="BodyText"/>
        <w:spacing w:line="218" w:lineRule="auto" w:before="222"/>
        <w:ind w:left="115" w:right="105"/>
        <w:jc w:val="both"/>
      </w:pPr>
      <w:r>
        <w:rPr>
          <w:spacing w:val="2"/>
          <w:w w:val="105"/>
        </w:rPr>
        <w:t>Estimating </w:t>
      </w:r>
      <w:r>
        <w:rPr>
          <w:w w:val="105"/>
        </w:rPr>
        <w:t>the </w:t>
      </w:r>
      <w:r>
        <w:rPr>
          <w:spacing w:val="2"/>
          <w:w w:val="105"/>
        </w:rPr>
        <w:t>amount </w:t>
      </w:r>
      <w:r>
        <w:rPr>
          <w:w w:val="105"/>
        </w:rPr>
        <w:t>of </w:t>
      </w:r>
      <w:r>
        <w:rPr>
          <w:spacing w:val="2"/>
          <w:w w:val="105"/>
        </w:rPr>
        <w:t>tickets that will </w:t>
      </w:r>
      <w:r>
        <w:rPr>
          <w:w w:val="105"/>
        </w:rPr>
        <w:t>be </w:t>
      </w:r>
      <w:r>
        <w:rPr>
          <w:spacing w:val="2"/>
          <w:w w:val="105"/>
        </w:rPr>
        <w:t>refunded, exchanged, </w:t>
      </w:r>
      <w:r>
        <w:rPr>
          <w:w w:val="105"/>
        </w:rPr>
        <w:t>or </w:t>
      </w:r>
      <w:r>
        <w:rPr>
          <w:spacing w:val="2"/>
          <w:w w:val="105"/>
        </w:rPr>
        <w:t>forfeited involves some level </w:t>
      </w:r>
      <w:r>
        <w:rPr>
          <w:spacing w:val="3"/>
          <w:w w:val="105"/>
        </w:rPr>
        <w:t>of </w:t>
      </w:r>
      <w:r>
        <w:rPr>
          <w:w w:val="105"/>
        </w:rPr>
        <w:t>subjectivity and judgment. The majority of the Company’s tickets sold are nonrefundable, which is </w:t>
      </w:r>
      <w:r>
        <w:rPr>
          <w:spacing w:val="2"/>
          <w:w w:val="105"/>
        </w:rPr>
        <w:t>the </w:t>
      </w:r>
      <w:r>
        <w:rPr>
          <w:w w:val="105"/>
        </w:rPr>
        <w:t>primary source of forfeited tickets. According to the Company’s “Contract of Carriage”, tickets that are sold but not flown on the travel date can be reused for another flight, up to a year from the date of sale, or can be refunded (if the ticket is refundable). A small percentage of tickets (or partial tickets) expire unused. Fully refundable tickets are rarely forfeited. “Air traffic liability” includes an estimate of the amount of </w:t>
      </w:r>
      <w:r>
        <w:rPr>
          <w:spacing w:val="2"/>
          <w:w w:val="105"/>
        </w:rPr>
        <w:t>future refunds </w:t>
      </w:r>
      <w:r>
        <w:rPr>
          <w:w w:val="105"/>
        </w:rPr>
        <w:t>and </w:t>
      </w:r>
      <w:r>
        <w:rPr>
          <w:spacing w:val="2"/>
          <w:w w:val="105"/>
        </w:rPr>
        <w:t>exchanges, </w:t>
      </w:r>
      <w:r>
        <w:rPr>
          <w:w w:val="105"/>
        </w:rPr>
        <w:t>net of </w:t>
      </w:r>
      <w:r>
        <w:rPr>
          <w:spacing w:val="2"/>
          <w:w w:val="105"/>
        </w:rPr>
        <w:t>forfeitures </w:t>
      </w:r>
      <w:r>
        <w:rPr>
          <w:w w:val="105"/>
        </w:rPr>
        <w:t>for all </w:t>
      </w:r>
      <w:r>
        <w:rPr>
          <w:spacing w:val="2"/>
          <w:w w:val="105"/>
        </w:rPr>
        <w:t>unused tickets once </w:t>
      </w:r>
      <w:r>
        <w:rPr>
          <w:w w:val="105"/>
        </w:rPr>
        <w:t>the </w:t>
      </w:r>
      <w:r>
        <w:rPr>
          <w:spacing w:val="2"/>
          <w:w w:val="105"/>
        </w:rPr>
        <w:t>flight date </w:t>
      </w:r>
      <w:r>
        <w:rPr>
          <w:w w:val="105"/>
        </w:rPr>
        <w:t>has </w:t>
      </w:r>
      <w:r>
        <w:rPr>
          <w:spacing w:val="2"/>
          <w:w w:val="105"/>
        </w:rPr>
        <w:t>passed. </w:t>
      </w:r>
      <w:r>
        <w:rPr>
          <w:spacing w:val="3"/>
          <w:w w:val="105"/>
        </w:rPr>
        <w:t>These </w:t>
      </w:r>
      <w:r>
        <w:rPr>
          <w:w w:val="105"/>
        </w:rPr>
        <w:t>estimates are based on historical experience over many years. The Company and members of the airline</w:t>
      </w:r>
      <w:r>
        <w:rPr>
          <w:spacing w:val="55"/>
          <w:w w:val="105"/>
        </w:rPr>
        <w:t> </w:t>
      </w:r>
      <w:r>
        <w:rPr>
          <w:w w:val="105"/>
        </w:rPr>
        <w:t>industry have consistently applied this accounting method to estimate revenue from forfeited tickets at </w:t>
      </w:r>
      <w:r>
        <w:rPr>
          <w:spacing w:val="2"/>
          <w:w w:val="105"/>
        </w:rPr>
        <w:t>the </w:t>
      </w:r>
      <w:r>
        <w:rPr>
          <w:w w:val="105"/>
        </w:rPr>
        <w:t>date travel is provided. Estimated future refunds and exchanges included in the air traffic liability account  are constantly evaluated based on subsequent refund and exchange activity to validate the accuracy of </w:t>
      </w:r>
      <w:r>
        <w:rPr>
          <w:spacing w:val="2"/>
          <w:w w:val="105"/>
        </w:rPr>
        <w:t>the </w:t>
      </w:r>
      <w:r>
        <w:rPr>
          <w:w w:val="105"/>
        </w:rPr>
        <w:t>Company’s</w:t>
      </w:r>
      <w:r>
        <w:rPr>
          <w:spacing w:val="-17"/>
          <w:w w:val="105"/>
        </w:rPr>
        <w:t> </w:t>
      </w:r>
      <w:r>
        <w:rPr>
          <w:w w:val="105"/>
        </w:rPr>
        <w:t>estimates</w:t>
      </w:r>
      <w:r>
        <w:rPr>
          <w:spacing w:val="-17"/>
          <w:w w:val="105"/>
        </w:rPr>
        <w:t> </w:t>
      </w:r>
      <w:r>
        <w:rPr>
          <w:w w:val="105"/>
        </w:rPr>
        <w:t>with</w:t>
      </w:r>
      <w:r>
        <w:rPr>
          <w:spacing w:val="-17"/>
          <w:w w:val="105"/>
        </w:rPr>
        <w:t> </w:t>
      </w:r>
      <w:r>
        <w:rPr>
          <w:w w:val="105"/>
        </w:rPr>
        <w:t>respect</w:t>
      </w:r>
      <w:r>
        <w:rPr>
          <w:spacing w:val="-17"/>
          <w:w w:val="105"/>
        </w:rPr>
        <w:t> </w:t>
      </w:r>
      <w:r>
        <w:rPr>
          <w:w w:val="105"/>
        </w:rPr>
        <w:t>to</w:t>
      </w:r>
      <w:r>
        <w:rPr>
          <w:spacing w:val="-17"/>
          <w:w w:val="105"/>
        </w:rPr>
        <w:t> </w:t>
      </w:r>
      <w:r>
        <w:rPr>
          <w:w w:val="105"/>
        </w:rPr>
        <w:t>forfeited</w:t>
      </w:r>
      <w:r>
        <w:rPr>
          <w:spacing w:val="-17"/>
          <w:w w:val="105"/>
        </w:rPr>
        <w:t> </w:t>
      </w:r>
      <w:r>
        <w:rPr>
          <w:w w:val="105"/>
        </w:rPr>
        <w:t>tickets.</w:t>
      </w:r>
    </w:p>
    <w:p>
      <w:pPr>
        <w:pStyle w:val="BodyText"/>
        <w:spacing w:line="218" w:lineRule="auto" w:before="222"/>
        <w:ind w:left="115" w:right="108"/>
        <w:jc w:val="both"/>
      </w:pPr>
      <w:r>
        <w:rPr>
          <w:w w:val="105"/>
        </w:rPr>
        <w:t>Events and circumstances outside of historical fare sale activity or historical Customer travel patterns, as</w:t>
      </w:r>
      <w:r>
        <w:rPr>
          <w:spacing w:val="55"/>
          <w:w w:val="105"/>
        </w:rPr>
        <w:t> </w:t>
      </w:r>
      <w:r>
        <w:rPr>
          <w:spacing w:val="3"/>
          <w:w w:val="105"/>
        </w:rPr>
        <w:t>noted above, </w:t>
      </w:r>
      <w:r>
        <w:rPr>
          <w:spacing w:val="2"/>
          <w:w w:val="105"/>
        </w:rPr>
        <w:t>can </w:t>
      </w:r>
      <w:r>
        <w:rPr>
          <w:spacing w:val="3"/>
          <w:w w:val="105"/>
        </w:rPr>
        <w:t>result </w:t>
      </w:r>
      <w:r>
        <w:rPr>
          <w:w w:val="105"/>
        </w:rPr>
        <w:t>in </w:t>
      </w:r>
      <w:r>
        <w:rPr>
          <w:spacing w:val="3"/>
          <w:w w:val="105"/>
        </w:rPr>
        <w:t>actual refunds, exchanges, </w:t>
      </w:r>
      <w:r>
        <w:rPr>
          <w:w w:val="105"/>
        </w:rPr>
        <w:t>or </w:t>
      </w:r>
      <w:r>
        <w:rPr>
          <w:spacing w:val="3"/>
          <w:w w:val="105"/>
        </w:rPr>
        <w:t>forfeited tickets differing significantly </w:t>
      </w:r>
      <w:r>
        <w:rPr>
          <w:spacing w:val="4"/>
          <w:w w:val="105"/>
        </w:rPr>
        <w:t>from </w:t>
      </w:r>
      <w:r>
        <w:rPr>
          <w:w w:val="105"/>
        </w:rPr>
        <w:t>estimates. The Company evaluates its estimates within a narrow range of acceptable amounts. If </w:t>
      </w:r>
      <w:r>
        <w:rPr>
          <w:spacing w:val="2"/>
          <w:w w:val="105"/>
        </w:rPr>
        <w:t>actual </w:t>
      </w:r>
      <w:r>
        <w:rPr>
          <w:spacing w:val="3"/>
          <w:w w:val="105"/>
        </w:rPr>
        <w:t>refunds, exchanges, </w:t>
      </w:r>
      <w:r>
        <w:rPr>
          <w:w w:val="105"/>
        </w:rPr>
        <w:t>or </w:t>
      </w:r>
      <w:r>
        <w:rPr>
          <w:spacing w:val="3"/>
          <w:w w:val="105"/>
        </w:rPr>
        <w:t>forfeiture experience results </w:t>
      </w:r>
      <w:r>
        <w:rPr>
          <w:w w:val="105"/>
        </w:rPr>
        <w:t>in an </w:t>
      </w:r>
      <w:r>
        <w:rPr>
          <w:spacing w:val="3"/>
          <w:w w:val="105"/>
        </w:rPr>
        <w:t>amount outside </w:t>
      </w:r>
      <w:r>
        <w:rPr>
          <w:w w:val="105"/>
        </w:rPr>
        <w:t>of </w:t>
      </w:r>
      <w:r>
        <w:rPr>
          <w:spacing w:val="3"/>
          <w:w w:val="105"/>
        </w:rPr>
        <w:t>this range, estimates </w:t>
      </w:r>
      <w:r>
        <w:rPr>
          <w:spacing w:val="4"/>
          <w:w w:val="105"/>
        </w:rPr>
        <w:t>and </w:t>
      </w:r>
      <w:r>
        <w:rPr>
          <w:w w:val="105"/>
        </w:rPr>
        <w:t>assumptions are reviewed and adjustments to “Air traffic liability” and to “Passenger revenue” are recorded as necessary. Additional factors that may affect estimated refunds and exchanges include, but may not be</w:t>
      </w:r>
      <w:r>
        <w:rPr>
          <w:spacing w:val="55"/>
          <w:w w:val="105"/>
        </w:rPr>
        <w:t> </w:t>
      </w:r>
      <w:r>
        <w:rPr>
          <w:w w:val="105"/>
        </w:rPr>
        <w:t>limited to, the Company’s refund and exchange policy, the mix of refundable and nonrefundable fares, and promotional fare activity. The Company’s estimation techniques have been consistently applied from year to year; however, as with any estimates, actual refund and exchange activity may vary from estimated amounts. </w:t>
      </w:r>
      <w:r>
        <w:rPr>
          <w:spacing w:val="2"/>
          <w:w w:val="105"/>
        </w:rPr>
        <w:t>Furthermore, </w:t>
      </w:r>
      <w:r>
        <w:rPr>
          <w:w w:val="105"/>
        </w:rPr>
        <w:t>the </w:t>
      </w:r>
      <w:r>
        <w:rPr>
          <w:spacing w:val="2"/>
          <w:w w:val="105"/>
        </w:rPr>
        <w:t>Company believes </w:t>
      </w:r>
      <w:r>
        <w:rPr>
          <w:w w:val="105"/>
        </w:rPr>
        <w:t>it is </w:t>
      </w:r>
      <w:r>
        <w:rPr>
          <w:spacing w:val="2"/>
          <w:w w:val="105"/>
        </w:rPr>
        <w:t>unlikely that materially different estimates </w:t>
      </w:r>
      <w:r>
        <w:rPr>
          <w:w w:val="105"/>
        </w:rPr>
        <w:t>for </w:t>
      </w:r>
      <w:r>
        <w:rPr>
          <w:spacing w:val="2"/>
          <w:w w:val="105"/>
        </w:rPr>
        <w:t>future </w:t>
      </w:r>
      <w:r>
        <w:rPr>
          <w:spacing w:val="3"/>
          <w:w w:val="105"/>
        </w:rPr>
        <w:t>refunds, </w:t>
      </w:r>
      <w:r>
        <w:rPr>
          <w:spacing w:val="2"/>
          <w:w w:val="105"/>
        </w:rPr>
        <w:t>exchanges, </w:t>
      </w:r>
      <w:r>
        <w:rPr>
          <w:w w:val="105"/>
        </w:rPr>
        <w:t>and </w:t>
      </w:r>
      <w:r>
        <w:rPr>
          <w:spacing w:val="2"/>
          <w:w w:val="105"/>
        </w:rPr>
        <w:t>forfeited tickets </w:t>
      </w:r>
      <w:r>
        <w:rPr>
          <w:w w:val="105"/>
        </w:rPr>
        <w:t>would be </w:t>
      </w:r>
      <w:r>
        <w:rPr>
          <w:spacing w:val="2"/>
          <w:w w:val="105"/>
        </w:rPr>
        <w:t>reported based </w:t>
      </w:r>
      <w:r>
        <w:rPr>
          <w:w w:val="105"/>
        </w:rPr>
        <w:t>on </w:t>
      </w:r>
      <w:r>
        <w:rPr>
          <w:spacing w:val="2"/>
          <w:w w:val="105"/>
        </w:rPr>
        <w:t>other reasonable assumptions </w:t>
      </w:r>
      <w:r>
        <w:rPr>
          <w:w w:val="105"/>
        </w:rPr>
        <w:t>or </w:t>
      </w:r>
      <w:r>
        <w:rPr>
          <w:spacing w:val="3"/>
          <w:w w:val="105"/>
        </w:rPr>
        <w:t>conditions </w:t>
      </w:r>
      <w:r>
        <w:rPr>
          <w:w w:val="105"/>
        </w:rPr>
        <w:t>suggested by actual historical experience and other data available at the time estimates were made.</w:t>
      </w:r>
    </w:p>
    <w:p>
      <w:pPr>
        <w:pStyle w:val="BodyText"/>
        <w:spacing w:line="259" w:lineRule="auto" w:before="242"/>
        <w:ind w:left="115" w:right="106"/>
        <w:jc w:val="both"/>
      </w:pPr>
      <w:r>
        <w:rPr>
          <w:w w:val="105"/>
        </w:rPr>
        <w:t>Following September 2001 and through 2002, the Company experienced fluctuations in estimated refunds and exchanges, and correspondingly, forfeited tickets, due to many of the factors described above. Following the terrorist events of September 11, 2001, and the subsequent temporary shutdown of U.S. air space, Southwest temporarily suspended its normal refund policy in order to provide the highest Service to the Company’s Customers, including the refunding of nonrefundable tickets upon Customer request. As a result, the Company experienced refunds during September 2001 and through December 2001 far above historical refund levels and in excess of the Company’s contractual obligations. In evaluating passenger revenue through third quarter 2001, based on these unusually high refund levels, the Company estimated that approximately $30 million of these refunds related to revenue previously recognized for estimated forfeited tickets. As a result, the Company reduced third quarter 2001 “Passenger revenue” by $30 million and restored “Air traffic liability”, accordingly.</w:t>
      </w:r>
    </w:p>
    <w:p>
      <w:pPr>
        <w:pStyle w:val="BodyText"/>
        <w:spacing w:line="218" w:lineRule="auto" w:before="217"/>
        <w:ind w:left="115" w:right="108"/>
        <w:jc w:val="both"/>
      </w:pPr>
      <w:r>
        <w:rPr>
          <w:w w:val="105"/>
        </w:rPr>
        <w:t>Subsequent to third quarter 2001 and through second quarter 2002, the Company experienced a higher than historical mix of discount, nonrefundable ticket sales. The Company also experienced changes in Customer travel patterns resulting from various factors, including new airport security measures, concerns about further terrorist attacks, and an uncertain economy. Consequently, the Company recorded $36 million in additional passenger revenue in second quarter 2002 as Customers required fewer refunds and exchanges, resulting in more forfeited tickets. During 2003, refund, exchange, and forfeiture activity returned to more historic, pre- September 11, 2001, patterns.</w:t>
      </w:r>
    </w:p>
    <w:p>
      <w:pPr>
        <w:spacing w:after="0" w:line="218" w:lineRule="auto"/>
        <w:jc w:val="both"/>
        <w:sectPr>
          <w:pgSz w:w="12240" w:h="15840"/>
          <w:pgMar w:top="1120" w:bottom="280" w:left="1180" w:right="1180"/>
        </w:sectPr>
      </w:pPr>
    </w:p>
    <w:p>
      <w:pPr>
        <w:pStyle w:val="BodyText"/>
        <w:spacing w:before="97"/>
        <w:ind w:left="115"/>
        <w:jc w:val="both"/>
      </w:pPr>
      <w:r>
        <w:rPr>
          <w:w w:val="105"/>
          <w:u w:val="single"/>
        </w:rPr>
        <w:t>Accounting for Long-Lived Assets</w:t>
      </w:r>
    </w:p>
    <w:p>
      <w:pPr>
        <w:pStyle w:val="BodyText"/>
        <w:spacing w:line="218" w:lineRule="auto" w:before="217"/>
        <w:ind w:left="115" w:right="107"/>
        <w:jc w:val="both"/>
      </w:pPr>
      <w:r>
        <w:rPr>
          <w:w w:val="105"/>
        </w:rPr>
        <w:t>As of December 31, 2003, the Company had approximately $10.6 billion of long-lived assets, including $8.6 billion in flight equipment and related assets. In accounting for long-lived assets, the Company must make estimates about the expected useful lives of the assets, the expected residual values of the assets, and the potential for impairment based on the fair value of the assets and the cash flows they generate.</w:t>
      </w:r>
    </w:p>
    <w:p>
      <w:pPr>
        <w:pStyle w:val="BodyText"/>
        <w:spacing w:line="216" w:lineRule="exact" w:before="251"/>
        <w:ind w:left="115" w:right="112"/>
        <w:jc w:val="both"/>
      </w:pPr>
      <w:r>
        <w:rPr>
          <w:w w:val="105"/>
        </w:rPr>
        <w:t>The following table shows a breakdown of the Company’s long-lived asset groups along with information about estimated useful lives and residual values of these groups:</w:t>
      </w:r>
    </w:p>
    <w:p>
      <w:pPr>
        <w:spacing w:after="0" w:line="216" w:lineRule="exact"/>
        <w:jc w:val="both"/>
        <w:sectPr>
          <w:pgSz w:w="12240" w:h="15840"/>
          <w:pgMar w:top="1300" w:bottom="280" w:left="1180" w:right="1180"/>
        </w:sectPr>
      </w:pPr>
    </w:p>
    <w:p>
      <w:pPr>
        <w:pStyle w:val="Heading2"/>
        <w:spacing w:line="231" w:lineRule="exact" w:before="202"/>
        <w:ind w:left="0" w:right="601"/>
        <w:jc w:val="right"/>
      </w:pPr>
      <w:r>
        <w:rPr/>
        <w:t>Estimated</w:t>
      </w:r>
    </w:p>
    <w:p>
      <w:pPr>
        <w:tabs>
          <w:tab w:pos="4829" w:val="left" w:leader="none"/>
          <w:tab w:pos="6408" w:val="left" w:leader="none"/>
        </w:tabs>
        <w:spacing w:line="231" w:lineRule="exact" w:before="0"/>
        <w:ind w:left="4248" w:right="0" w:firstLine="0"/>
        <w:jc w:val="center"/>
        <w:rPr>
          <w:b/>
          <w:sz w:val="21"/>
        </w:rPr>
      </w:pPr>
      <w:r>
        <w:rPr>
          <w:b/>
          <w:w w:val="102"/>
          <w:sz w:val="21"/>
          <w:u w:val="single"/>
        </w:rPr>
        <w:t> </w:t>
      </w:r>
      <w:r>
        <w:rPr>
          <w:b/>
          <w:sz w:val="21"/>
          <w:u w:val="single"/>
        </w:rPr>
        <w:tab/>
      </w:r>
      <w:r>
        <w:rPr>
          <w:b/>
          <w:w w:val="105"/>
          <w:sz w:val="21"/>
          <w:u w:val="single"/>
        </w:rPr>
        <w:t>Useful</w:t>
      </w:r>
      <w:r>
        <w:rPr>
          <w:b/>
          <w:spacing w:val="-22"/>
          <w:w w:val="105"/>
          <w:sz w:val="21"/>
          <w:u w:val="single"/>
        </w:rPr>
        <w:t> </w:t>
      </w:r>
      <w:r>
        <w:rPr>
          <w:b/>
          <w:w w:val="105"/>
          <w:sz w:val="21"/>
          <w:u w:val="single"/>
        </w:rPr>
        <w:t>Life</w:t>
      </w:r>
      <w:r>
        <w:rPr>
          <w:b/>
          <w:sz w:val="21"/>
          <w:u w:val="single"/>
        </w:rPr>
        <w:tab/>
      </w:r>
    </w:p>
    <w:p>
      <w:pPr>
        <w:spacing w:line="231" w:lineRule="exact" w:before="202"/>
        <w:ind w:left="0" w:right="978" w:firstLine="0"/>
        <w:jc w:val="center"/>
        <w:rPr>
          <w:b/>
          <w:sz w:val="21"/>
        </w:rPr>
      </w:pPr>
      <w:r>
        <w:rPr/>
        <w:br w:type="column"/>
      </w:r>
      <w:r>
        <w:rPr>
          <w:b/>
          <w:w w:val="105"/>
          <w:sz w:val="21"/>
        </w:rPr>
        <w:t>Estimated</w:t>
      </w:r>
    </w:p>
    <w:p>
      <w:pPr>
        <w:tabs>
          <w:tab w:pos="321" w:val="left" w:leader="none"/>
          <w:tab w:pos="1977" w:val="left" w:leader="none"/>
        </w:tabs>
        <w:spacing w:line="231" w:lineRule="exact" w:before="0"/>
        <w:ind w:left="0" w:right="994" w:firstLine="0"/>
        <w:jc w:val="center"/>
        <w:rPr>
          <w:b/>
          <w:sz w:val="21"/>
        </w:rPr>
      </w:pPr>
      <w:r>
        <w:rPr>
          <w:b/>
          <w:w w:val="102"/>
          <w:sz w:val="21"/>
          <w:u w:val="single"/>
        </w:rPr>
        <w:t> </w:t>
      </w:r>
      <w:r>
        <w:rPr>
          <w:b/>
          <w:sz w:val="21"/>
          <w:u w:val="single"/>
        </w:rPr>
        <w:tab/>
      </w:r>
      <w:r>
        <w:rPr>
          <w:b/>
          <w:w w:val="105"/>
          <w:sz w:val="21"/>
          <w:u w:val="single"/>
        </w:rPr>
        <w:t>Residual</w:t>
      </w:r>
      <w:r>
        <w:rPr>
          <w:b/>
          <w:spacing w:val="-29"/>
          <w:w w:val="105"/>
          <w:sz w:val="21"/>
          <w:u w:val="single"/>
        </w:rPr>
        <w:t> </w:t>
      </w:r>
      <w:r>
        <w:rPr>
          <w:b/>
          <w:w w:val="105"/>
          <w:sz w:val="21"/>
          <w:u w:val="single"/>
        </w:rPr>
        <w:t>value</w:t>
      </w:r>
      <w:r>
        <w:rPr>
          <w:b/>
          <w:sz w:val="21"/>
          <w:u w:val="single"/>
        </w:rPr>
        <w:tab/>
      </w:r>
    </w:p>
    <w:p>
      <w:pPr>
        <w:spacing w:after="0" w:line="231" w:lineRule="exact"/>
        <w:jc w:val="center"/>
        <w:rPr>
          <w:sz w:val="21"/>
        </w:rPr>
        <w:sectPr>
          <w:type w:val="continuous"/>
          <w:pgSz w:w="12240" w:h="15840"/>
          <w:pgMar w:top="320" w:bottom="280" w:left="1180" w:right="1180"/>
          <w:cols w:num="2" w:equalWidth="0">
            <w:col w:w="6409" w:space="40"/>
            <w:col w:w="3431"/>
          </w:cols>
        </w:sectPr>
      </w:pPr>
    </w:p>
    <w:p>
      <w:pPr>
        <w:pStyle w:val="BodyText"/>
        <w:spacing w:before="9"/>
        <w:rPr>
          <w:b/>
          <w:sz w:val="5"/>
        </w:rPr>
      </w:pPr>
    </w:p>
    <w:tbl>
      <w:tblPr>
        <w:tblW w:w="0" w:type="auto"/>
        <w:jc w:val="left"/>
        <w:tblInd w:w="822"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176"/>
        <w:gridCol w:w="2609"/>
        <w:gridCol w:w="1478"/>
      </w:tblGrid>
      <w:tr>
        <w:trPr>
          <w:trHeight w:val="348" w:hRule="exact"/>
        </w:trPr>
        <w:tc>
          <w:tcPr>
            <w:tcW w:w="3176" w:type="dxa"/>
          </w:tcPr>
          <w:p>
            <w:pPr>
              <w:pStyle w:val="TableParagraph"/>
              <w:spacing w:before="13"/>
              <w:ind w:left="32"/>
              <w:rPr>
                <w:rFonts w:ascii="Times New Roman"/>
                <w:sz w:val="21"/>
              </w:rPr>
            </w:pPr>
            <w:r>
              <w:rPr>
                <w:rFonts w:ascii="Times New Roman"/>
                <w:w w:val="105"/>
                <w:sz w:val="21"/>
              </w:rPr>
              <w:t>Aircraft and engines</w:t>
            </w:r>
          </w:p>
        </w:tc>
        <w:tc>
          <w:tcPr>
            <w:tcW w:w="2609" w:type="dxa"/>
          </w:tcPr>
          <w:p>
            <w:pPr>
              <w:pStyle w:val="TableParagraph"/>
              <w:spacing w:before="13"/>
              <w:ind w:left="365"/>
              <w:rPr>
                <w:rFonts w:ascii="Times New Roman"/>
                <w:sz w:val="21"/>
              </w:rPr>
            </w:pPr>
            <w:r>
              <w:rPr>
                <w:rFonts w:ascii="Times New Roman"/>
                <w:w w:val="105"/>
                <w:sz w:val="21"/>
              </w:rPr>
              <w:t>20 to 25 years</w:t>
            </w:r>
          </w:p>
        </w:tc>
        <w:tc>
          <w:tcPr>
            <w:tcW w:w="1478" w:type="dxa"/>
          </w:tcPr>
          <w:p>
            <w:pPr>
              <w:pStyle w:val="TableParagraph"/>
              <w:spacing w:before="13"/>
              <w:ind w:right="30"/>
              <w:jc w:val="right"/>
              <w:rPr>
                <w:rFonts w:ascii="Times New Roman"/>
                <w:sz w:val="21"/>
              </w:rPr>
            </w:pPr>
            <w:r>
              <w:rPr>
                <w:rFonts w:ascii="Times New Roman"/>
                <w:sz w:val="21"/>
              </w:rPr>
              <w:t>15%*</w:t>
            </w:r>
          </w:p>
        </w:tc>
      </w:tr>
      <w:tr>
        <w:trPr>
          <w:trHeight w:val="398" w:hRule="exact"/>
        </w:trPr>
        <w:tc>
          <w:tcPr>
            <w:tcW w:w="3176" w:type="dxa"/>
          </w:tcPr>
          <w:p>
            <w:pPr>
              <w:pStyle w:val="TableParagraph"/>
              <w:spacing w:before="63"/>
              <w:ind w:left="32"/>
              <w:rPr>
                <w:rFonts w:ascii="Times New Roman"/>
                <w:sz w:val="21"/>
              </w:rPr>
            </w:pPr>
            <w:r>
              <w:rPr>
                <w:rFonts w:ascii="Times New Roman"/>
                <w:w w:val="105"/>
                <w:sz w:val="21"/>
              </w:rPr>
              <w:t>Aircraft parts</w:t>
            </w:r>
          </w:p>
        </w:tc>
        <w:tc>
          <w:tcPr>
            <w:tcW w:w="2609" w:type="dxa"/>
          </w:tcPr>
          <w:p>
            <w:pPr>
              <w:pStyle w:val="TableParagraph"/>
              <w:spacing w:before="63"/>
              <w:ind w:left="364"/>
              <w:rPr>
                <w:rFonts w:ascii="Times New Roman"/>
                <w:sz w:val="21"/>
              </w:rPr>
            </w:pPr>
            <w:r>
              <w:rPr>
                <w:rFonts w:ascii="Times New Roman"/>
                <w:w w:val="105"/>
                <w:sz w:val="21"/>
              </w:rPr>
              <w:t>Fleet life</w:t>
            </w:r>
          </w:p>
        </w:tc>
        <w:tc>
          <w:tcPr>
            <w:tcW w:w="1478" w:type="dxa"/>
          </w:tcPr>
          <w:p>
            <w:pPr>
              <w:pStyle w:val="TableParagraph"/>
              <w:spacing w:before="63"/>
              <w:ind w:right="139"/>
              <w:jc w:val="right"/>
              <w:rPr>
                <w:rFonts w:ascii="Times New Roman"/>
                <w:sz w:val="21"/>
              </w:rPr>
            </w:pPr>
            <w:r>
              <w:rPr>
                <w:rFonts w:ascii="Times New Roman"/>
                <w:sz w:val="21"/>
              </w:rPr>
              <w:t>4%</w:t>
            </w:r>
          </w:p>
        </w:tc>
      </w:tr>
      <w:tr>
        <w:trPr>
          <w:trHeight w:val="401" w:hRule="exact"/>
        </w:trPr>
        <w:tc>
          <w:tcPr>
            <w:tcW w:w="3176" w:type="dxa"/>
          </w:tcPr>
          <w:p>
            <w:pPr>
              <w:pStyle w:val="TableParagraph"/>
              <w:spacing w:before="63"/>
              <w:ind w:left="32"/>
              <w:rPr>
                <w:rFonts w:ascii="Times New Roman"/>
                <w:sz w:val="21"/>
              </w:rPr>
            </w:pPr>
            <w:r>
              <w:rPr>
                <w:rFonts w:ascii="Times New Roman"/>
                <w:w w:val="105"/>
                <w:sz w:val="21"/>
              </w:rPr>
              <w:t>Ground property and equipment</w:t>
            </w:r>
          </w:p>
        </w:tc>
        <w:tc>
          <w:tcPr>
            <w:tcW w:w="2609" w:type="dxa"/>
          </w:tcPr>
          <w:p>
            <w:pPr>
              <w:pStyle w:val="TableParagraph"/>
              <w:spacing w:before="63"/>
              <w:ind w:left="365"/>
              <w:rPr>
                <w:rFonts w:ascii="Times New Roman"/>
                <w:sz w:val="21"/>
              </w:rPr>
            </w:pPr>
            <w:r>
              <w:rPr>
                <w:rFonts w:ascii="Times New Roman"/>
                <w:w w:val="105"/>
                <w:sz w:val="21"/>
              </w:rPr>
              <w:t>5 to 30 years</w:t>
            </w:r>
          </w:p>
        </w:tc>
        <w:tc>
          <w:tcPr>
            <w:tcW w:w="1478" w:type="dxa"/>
          </w:tcPr>
          <w:p>
            <w:pPr>
              <w:pStyle w:val="TableParagraph"/>
              <w:spacing w:before="63"/>
              <w:ind w:right="156"/>
              <w:jc w:val="right"/>
              <w:rPr>
                <w:rFonts w:ascii="Times New Roman"/>
                <w:sz w:val="21"/>
              </w:rPr>
            </w:pPr>
            <w:r>
              <w:rPr>
                <w:rFonts w:ascii="Times New Roman"/>
                <w:w w:val="105"/>
                <w:sz w:val="21"/>
              </w:rPr>
              <w:t>0% - 10%</w:t>
            </w:r>
          </w:p>
        </w:tc>
      </w:tr>
      <w:tr>
        <w:trPr>
          <w:trHeight w:val="351" w:hRule="exact"/>
        </w:trPr>
        <w:tc>
          <w:tcPr>
            <w:tcW w:w="3176" w:type="dxa"/>
          </w:tcPr>
          <w:p>
            <w:pPr>
              <w:pStyle w:val="TableParagraph"/>
              <w:spacing w:before="65"/>
              <w:ind w:left="32"/>
              <w:rPr>
                <w:rFonts w:ascii="Times New Roman"/>
                <w:sz w:val="21"/>
              </w:rPr>
            </w:pPr>
            <w:r>
              <w:rPr>
                <w:rFonts w:ascii="Times New Roman"/>
                <w:sz w:val="21"/>
              </w:rPr>
              <w:t>Leasehold  improvements</w:t>
            </w:r>
          </w:p>
        </w:tc>
        <w:tc>
          <w:tcPr>
            <w:tcW w:w="2609" w:type="dxa"/>
          </w:tcPr>
          <w:p>
            <w:pPr>
              <w:pStyle w:val="TableParagraph"/>
              <w:spacing w:before="65"/>
              <w:ind w:left="365"/>
              <w:rPr>
                <w:rFonts w:ascii="Times New Roman"/>
                <w:sz w:val="21"/>
              </w:rPr>
            </w:pPr>
            <w:r>
              <w:rPr>
                <w:rFonts w:ascii="Times New Roman"/>
                <w:w w:val="105"/>
                <w:sz w:val="21"/>
              </w:rPr>
              <w:t>5 years or lease term</w:t>
            </w:r>
          </w:p>
        </w:tc>
        <w:tc>
          <w:tcPr>
            <w:tcW w:w="1478" w:type="dxa"/>
          </w:tcPr>
          <w:p>
            <w:pPr>
              <w:pStyle w:val="TableParagraph"/>
              <w:spacing w:before="65"/>
              <w:ind w:right="138"/>
              <w:jc w:val="right"/>
              <w:rPr>
                <w:rFonts w:ascii="Times New Roman"/>
                <w:sz w:val="21"/>
              </w:rPr>
            </w:pPr>
            <w:r>
              <w:rPr>
                <w:rFonts w:ascii="Times New Roman"/>
                <w:sz w:val="21"/>
              </w:rPr>
              <w:t>0%</w:t>
            </w:r>
          </w:p>
        </w:tc>
      </w:tr>
    </w:tbl>
    <w:p>
      <w:pPr>
        <w:spacing w:before="160"/>
        <w:ind w:left="855" w:right="0" w:firstLine="0"/>
        <w:jc w:val="left"/>
        <w:rPr>
          <w:sz w:val="17"/>
        </w:rPr>
      </w:pPr>
      <w:r>
        <w:rPr>
          <w:w w:val="105"/>
          <w:sz w:val="17"/>
        </w:rPr>
        <w:t>* The Company’s remaining 737-200’s, due to be retired by first quarter 2005, have residual value of 2%</w:t>
      </w:r>
    </w:p>
    <w:p>
      <w:pPr>
        <w:pStyle w:val="BodyText"/>
        <w:spacing w:before="9"/>
        <w:rPr>
          <w:sz w:val="18"/>
        </w:rPr>
      </w:pPr>
    </w:p>
    <w:p>
      <w:pPr>
        <w:pStyle w:val="BodyText"/>
        <w:spacing w:line="218" w:lineRule="auto"/>
        <w:ind w:left="115" w:right="106"/>
        <w:jc w:val="both"/>
      </w:pPr>
      <w:r>
        <w:rPr>
          <w:w w:val="105"/>
        </w:rPr>
        <w:t>In estimating the lives and expected residual values of its aircraft, the Company has primarily relied upon</w:t>
      </w:r>
      <w:r>
        <w:rPr>
          <w:spacing w:val="55"/>
          <w:w w:val="105"/>
        </w:rPr>
        <w:t> </w:t>
      </w:r>
      <w:r>
        <w:rPr>
          <w:spacing w:val="5"/>
          <w:w w:val="105"/>
        </w:rPr>
        <w:t>actual experience </w:t>
      </w:r>
      <w:r>
        <w:rPr>
          <w:spacing w:val="3"/>
          <w:w w:val="105"/>
        </w:rPr>
        <w:t>with </w:t>
      </w:r>
      <w:r>
        <w:rPr>
          <w:spacing w:val="4"/>
          <w:w w:val="105"/>
        </w:rPr>
        <w:t>the </w:t>
      </w:r>
      <w:r>
        <w:rPr>
          <w:spacing w:val="3"/>
          <w:w w:val="105"/>
        </w:rPr>
        <w:t>same or </w:t>
      </w:r>
      <w:r>
        <w:rPr>
          <w:spacing w:val="4"/>
          <w:w w:val="105"/>
        </w:rPr>
        <w:t>similar </w:t>
      </w:r>
      <w:r>
        <w:rPr>
          <w:spacing w:val="5"/>
          <w:w w:val="105"/>
        </w:rPr>
        <w:t>aircraft </w:t>
      </w:r>
      <w:r>
        <w:rPr>
          <w:spacing w:val="4"/>
          <w:w w:val="105"/>
        </w:rPr>
        <w:t>types and </w:t>
      </w:r>
      <w:r>
        <w:rPr>
          <w:spacing w:val="5"/>
          <w:w w:val="105"/>
        </w:rPr>
        <w:t>recommendations </w:t>
      </w:r>
      <w:r>
        <w:rPr>
          <w:spacing w:val="4"/>
          <w:w w:val="105"/>
        </w:rPr>
        <w:t>from </w:t>
      </w:r>
      <w:r>
        <w:rPr>
          <w:spacing w:val="5"/>
          <w:w w:val="105"/>
        </w:rPr>
        <w:t>Boeing, </w:t>
      </w:r>
      <w:r>
        <w:rPr>
          <w:spacing w:val="6"/>
          <w:w w:val="105"/>
        </w:rPr>
        <w:t>the </w:t>
      </w:r>
      <w:r>
        <w:rPr>
          <w:w w:val="105"/>
        </w:rPr>
        <w:t>manufacturer of the Company’s aircraft. Aircraft estimated useful lives are based on the number of “cycles” flown (a “cycle” is one take-off and landing). The Company has made a conversion of cycles into years</w:t>
      </w:r>
      <w:r>
        <w:rPr>
          <w:spacing w:val="55"/>
          <w:w w:val="105"/>
        </w:rPr>
        <w:t> </w:t>
      </w:r>
      <w:r>
        <w:rPr>
          <w:w w:val="105"/>
        </w:rPr>
        <w:t>based on both its historical and anticipated future utilization of the aircraft. Subsequent revisions to these estimates, which can be significant, could be caused by changes to the Company’s maintenance program,</w:t>
      </w:r>
      <w:r>
        <w:rPr>
          <w:spacing w:val="55"/>
          <w:w w:val="105"/>
        </w:rPr>
        <w:t> </w:t>
      </w:r>
      <w:r>
        <w:rPr>
          <w:w w:val="105"/>
        </w:rPr>
        <w:t>changes in utilization of the aircraft (actual cycles during a given period of time), governmental regulations on aging aircraft, and changing market prices of new and used aircraft of the same or similar types. </w:t>
      </w:r>
      <w:r>
        <w:rPr>
          <w:spacing w:val="2"/>
          <w:w w:val="105"/>
        </w:rPr>
        <w:t>The </w:t>
      </w:r>
      <w:r>
        <w:rPr>
          <w:w w:val="105"/>
        </w:rPr>
        <w:t>Company evaluates its estimates and assumptions each reporting period and, when warranted, adjusts these estimates and assumptions. Generally, these adjustments are accounted for on a prospective basis through depreciation</w:t>
      </w:r>
      <w:r>
        <w:rPr>
          <w:spacing w:val="-17"/>
          <w:w w:val="105"/>
        </w:rPr>
        <w:t> </w:t>
      </w:r>
      <w:r>
        <w:rPr>
          <w:w w:val="105"/>
        </w:rPr>
        <w:t>expense,</w:t>
      </w:r>
      <w:r>
        <w:rPr>
          <w:spacing w:val="-17"/>
          <w:w w:val="105"/>
        </w:rPr>
        <w:t> </w:t>
      </w:r>
      <w:r>
        <w:rPr>
          <w:w w:val="105"/>
        </w:rPr>
        <w:t>as</w:t>
      </w:r>
      <w:r>
        <w:rPr>
          <w:spacing w:val="-17"/>
          <w:w w:val="105"/>
        </w:rPr>
        <w:t> </w:t>
      </w:r>
      <w:r>
        <w:rPr>
          <w:w w:val="105"/>
        </w:rPr>
        <w:t>required</w:t>
      </w:r>
      <w:r>
        <w:rPr>
          <w:spacing w:val="-17"/>
          <w:w w:val="105"/>
        </w:rPr>
        <w:t> </w:t>
      </w:r>
      <w:r>
        <w:rPr>
          <w:w w:val="105"/>
        </w:rPr>
        <w:t>by</w:t>
      </w:r>
      <w:r>
        <w:rPr>
          <w:spacing w:val="-17"/>
          <w:w w:val="105"/>
        </w:rPr>
        <w:t> </w:t>
      </w:r>
      <w:r>
        <w:rPr>
          <w:w w:val="105"/>
        </w:rPr>
        <w:t>GAAP.</w:t>
      </w:r>
    </w:p>
    <w:p>
      <w:pPr>
        <w:pStyle w:val="BodyText"/>
        <w:spacing w:line="218" w:lineRule="auto" w:before="221"/>
        <w:ind w:left="115" w:right="109"/>
        <w:jc w:val="both"/>
      </w:pPr>
      <w:r>
        <w:rPr>
          <w:w w:val="105"/>
        </w:rPr>
        <w:t>When appropriate, the Company evaluates its long-lived assets for impairment. Factors that would indicate potential impairment may include, but are not limited to, significant decreases in the market value of the long-lived asset(s), a significant change in the long-lived asset’s physical condition, and operating or cash flow losses associated with the use of the long-lived asset. While the airline industry as a whole has experienced many of these indicators, Southwest has continued to operate all of its aircraft and continues to experience positive cash flow. Consequently, the Company has not identified any impairments related to its existing aircraft fleet. The Company will continue to monitor its long-lived assets and the airline operating environment.</w:t>
      </w:r>
    </w:p>
    <w:p>
      <w:pPr>
        <w:pStyle w:val="BodyText"/>
        <w:spacing w:before="203"/>
        <w:ind w:left="115"/>
        <w:jc w:val="both"/>
      </w:pPr>
      <w:r>
        <w:rPr>
          <w:w w:val="105"/>
          <w:u w:val="single"/>
        </w:rPr>
        <w:t>Financial Derivative Instruments</w:t>
      </w:r>
    </w:p>
    <w:p>
      <w:pPr>
        <w:pStyle w:val="BodyText"/>
        <w:spacing w:line="259" w:lineRule="auto" w:before="243"/>
        <w:ind w:left="115" w:right="108"/>
        <w:jc w:val="both"/>
      </w:pPr>
      <w:r>
        <w:rPr>
          <w:w w:val="105"/>
        </w:rPr>
        <w:t>The Company utilizes financial derivative instruments to manage its risk associated with changing jet fuel prices, and accounts for them under Statement of Financial Accounting Standards No. 133, “Accounting for Derivative Instruments and Hedging Activities” (SFAS 133). See “Qualitative and Quantitative Disclosures about Market Risk” for more information on these risk management activities and see Notes 2 and 10 to the Consolidated Financial Statements for more information on SFAS 133, the Company’s fuel hedging program, and financial derivative instruments.</w:t>
      </w:r>
    </w:p>
    <w:p>
      <w:pPr>
        <w:pStyle w:val="BodyText"/>
        <w:spacing w:line="259" w:lineRule="auto" w:before="258"/>
        <w:ind w:left="115" w:right="108"/>
        <w:jc w:val="both"/>
      </w:pPr>
      <w:r>
        <w:rPr>
          <w:w w:val="105"/>
        </w:rPr>
        <w:t>SFAS 133 requires that all derivatives be marked to market (fair value) and recorded on the Consolidated Balance Sheet. The fair value of the Company’s financial derivative instruments recorded on the Company’s Consolidated Balance Sheet as of December 31, 2003, was $251 million. The financial derivative instruments utilized by the Company primarily were a combination of collars, purchased call options, and fixed price swap agreements. The Company does not purchase or hold any derivative instruments for trading purposes.</w:t>
      </w:r>
    </w:p>
    <w:p>
      <w:pPr>
        <w:spacing w:after="0" w:line="259" w:lineRule="auto"/>
        <w:jc w:val="both"/>
        <w:sectPr>
          <w:type w:val="continuous"/>
          <w:pgSz w:w="12240" w:h="15840"/>
          <w:pgMar w:top="320" w:bottom="280" w:left="1180" w:right="1180"/>
        </w:sectPr>
      </w:pPr>
    </w:p>
    <w:p>
      <w:pPr>
        <w:pStyle w:val="BodyText"/>
        <w:spacing w:line="259" w:lineRule="auto" w:before="100"/>
        <w:ind w:left="115" w:right="107"/>
        <w:jc w:val="both"/>
      </w:pPr>
      <w:r>
        <w:rPr>
          <w:w w:val="105"/>
        </w:rPr>
        <w:t>The Company enters into financial derivative instruments with third party institutions in “over-the-counter” markets. Since the majority of the Company’s financial derivative instruments are not traded on a </w:t>
      </w:r>
      <w:r>
        <w:rPr>
          <w:spacing w:val="2"/>
          <w:w w:val="105"/>
        </w:rPr>
        <w:t>market </w:t>
      </w:r>
      <w:r>
        <w:rPr>
          <w:w w:val="105"/>
        </w:rPr>
        <w:t>exchange, the Company estimates their fair values. Depending on the type of instrument, the values </w:t>
      </w:r>
      <w:r>
        <w:rPr>
          <w:spacing w:val="2"/>
          <w:w w:val="105"/>
        </w:rPr>
        <w:t>are </w:t>
      </w:r>
      <w:r>
        <w:rPr>
          <w:w w:val="105"/>
        </w:rPr>
        <w:t>determined by the use of present value methods or standard option value models with assumptions about</w:t>
      </w:r>
      <w:r>
        <w:rPr>
          <w:spacing w:val="55"/>
          <w:w w:val="105"/>
        </w:rPr>
        <w:t> </w:t>
      </w:r>
      <w:r>
        <w:rPr>
          <w:w w:val="105"/>
        </w:rPr>
        <w:t>commodity prices based on those observed in underlying markets. Also, since there is not a reliable forward </w:t>
      </w:r>
      <w:r>
        <w:rPr>
          <w:spacing w:val="3"/>
          <w:w w:val="105"/>
        </w:rPr>
        <w:t>market </w:t>
      </w:r>
      <w:r>
        <w:rPr>
          <w:spacing w:val="2"/>
          <w:w w:val="105"/>
        </w:rPr>
        <w:t>for jet </w:t>
      </w:r>
      <w:r>
        <w:rPr>
          <w:spacing w:val="3"/>
          <w:w w:val="105"/>
        </w:rPr>
        <w:t>fuel, </w:t>
      </w:r>
      <w:r>
        <w:rPr>
          <w:spacing w:val="2"/>
          <w:w w:val="105"/>
        </w:rPr>
        <w:t>the </w:t>
      </w:r>
      <w:r>
        <w:rPr>
          <w:spacing w:val="3"/>
          <w:w w:val="105"/>
        </w:rPr>
        <w:t>Company must estimate </w:t>
      </w:r>
      <w:r>
        <w:rPr>
          <w:spacing w:val="2"/>
          <w:w w:val="105"/>
        </w:rPr>
        <w:t>the </w:t>
      </w:r>
      <w:r>
        <w:rPr>
          <w:spacing w:val="3"/>
          <w:w w:val="105"/>
        </w:rPr>
        <w:t>future prices </w:t>
      </w:r>
      <w:r>
        <w:rPr>
          <w:w w:val="105"/>
        </w:rPr>
        <w:t>of </w:t>
      </w:r>
      <w:r>
        <w:rPr>
          <w:spacing w:val="2"/>
          <w:w w:val="105"/>
        </w:rPr>
        <w:t>jet </w:t>
      </w:r>
      <w:r>
        <w:rPr>
          <w:spacing w:val="3"/>
          <w:w w:val="105"/>
        </w:rPr>
        <w:t>fuel </w:t>
      </w:r>
      <w:r>
        <w:rPr>
          <w:w w:val="105"/>
        </w:rPr>
        <w:t>in </w:t>
      </w:r>
      <w:r>
        <w:rPr>
          <w:spacing w:val="3"/>
          <w:w w:val="105"/>
        </w:rPr>
        <w:t>order </w:t>
      </w:r>
      <w:r>
        <w:rPr>
          <w:w w:val="105"/>
        </w:rPr>
        <w:t>to </w:t>
      </w:r>
      <w:r>
        <w:rPr>
          <w:spacing w:val="3"/>
          <w:w w:val="105"/>
        </w:rPr>
        <w:t>measure </w:t>
      </w:r>
      <w:r>
        <w:rPr>
          <w:spacing w:val="4"/>
          <w:w w:val="105"/>
        </w:rPr>
        <w:t>the </w:t>
      </w:r>
      <w:r>
        <w:rPr>
          <w:w w:val="105"/>
        </w:rPr>
        <w:t>effectiveness of the hedging instruments in offsetting changes to those prices, as required by SFAS 133. Forward jet fuel prices are estimated through the observation of similar commodity futures prices (such as crude oil and heating oil) and adjusted based on historical variations to those like commodities.</w:t>
      </w:r>
    </w:p>
    <w:p>
      <w:pPr>
        <w:pStyle w:val="BodyText"/>
        <w:spacing w:line="259" w:lineRule="auto" w:before="263"/>
        <w:ind w:left="115" w:right="105"/>
        <w:jc w:val="both"/>
      </w:pPr>
      <w:r>
        <w:rPr>
          <w:w w:val="105"/>
        </w:rPr>
        <w:t>Fair</w:t>
      </w:r>
      <w:r>
        <w:rPr>
          <w:spacing w:val="-4"/>
          <w:w w:val="105"/>
        </w:rPr>
        <w:t> </w:t>
      </w:r>
      <w:r>
        <w:rPr>
          <w:w w:val="105"/>
        </w:rPr>
        <w:t>values</w:t>
      </w:r>
      <w:r>
        <w:rPr>
          <w:spacing w:val="-5"/>
          <w:w w:val="105"/>
        </w:rPr>
        <w:t> </w:t>
      </w:r>
      <w:r>
        <w:rPr>
          <w:w w:val="105"/>
        </w:rPr>
        <w:t>for</w:t>
      </w:r>
      <w:r>
        <w:rPr>
          <w:spacing w:val="-5"/>
          <w:w w:val="105"/>
        </w:rPr>
        <w:t> </w:t>
      </w:r>
      <w:r>
        <w:rPr>
          <w:w w:val="105"/>
        </w:rPr>
        <w:t>financial</w:t>
      </w:r>
      <w:r>
        <w:rPr>
          <w:spacing w:val="-4"/>
          <w:w w:val="105"/>
        </w:rPr>
        <w:t> </w:t>
      </w:r>
      <w:r>
        <w:rPr>
          <w:w w:val="105"/>
        </w:rPr>
        <w:t>derivative</w:t>
      </w:r>
      <w:r>
        <w:rPr>
          <w:spacing w:val="-4"/>
          <w:w w:val="105"/>
        </w:rPr>
        <w:t> </w:t>
      </w:r>
      <w:r>
        <w:rPr>
          <w:w w:val="105"/>
        </w:rPr>
        <w:t>instruments</w:t>
      </w:r>
      <w:r>
        <w:rPr>
          <w:spacing w:val="-5"/>
          <w:w w:val="105"/>
        </w:rPr>
        <w:t> </w:t>
      </w:r>
      <w:r>
        <w:rPr>
          <w:w w:val="105"/>
        </w:rPr>
        <w:t>and</w:t>
      </w:r>
      <w:r>
        <w:rPr>
          <w:spacing w:val="-5"/>
          <w:w w:val="105"/>
        </w:rPr>
        <w:t> </w:t>
      </w:r>
      <w:r>
        <w:rPr>
          <w:w w:val="105"/>
        </w:rPr>
        <w:t>forward</w:t>
      </w:r>
      <w:r>
        <w:rPr>
          <w:spacing w:val="-5"/>
          <w:w w:val="105"/>
        </w:rPr>
        <w:t> </w:t>
      </w:r>
      <w:r>
        <w:rPr>
          <w:w w:val="105"/>
        </w:rPr>
        <w:t>jet</w:t>
      </w:r>
      <w:r>
        <w:rPr>
          <w:spacing w:val="-5"/>
          <w:w w:val="105"/>
        </w:rPr>
        <w:t> </w:t>
      </w:r>
      <w:r>
        <w:rPr>
          <w:w w:val="105"/>
        </w:rPr>
        <w:t>fuel</w:t>
      </w:r>
      <w:r>
        <w:rPr>
          <w:spacing w:val="-5"/>
          <w:w w:val="105"/>
        </w:rPr>
        <w:t> </w:t>
      </w:r>
      <w:r>
        <w:rPr>
          <w:w w:val="105"/>
        </w:rPr>
        <w:t>prices</w:t>
      </w:r>
      <w:r>
        <w:rPr>
          <w:spacing w:val="-5"/>
          <w:w w:val="105"/>
        </w:rPr>
        <w:t> </w:t>
      </w:r>
      <w:r>
        <w:rPr>
          <w:w w:val="105"/>
        </w:rPr>
        <w:t>are</w:t>
      </w:r>
      <w:r>
        <w:rPr>
          <w:spacing w:val="-5"/>
          <w:w w:val="105"/>
        </w:rPr>
        <w:t> </w:t>
      </w:r>
      <w:r>
        <w:rPr>
          <w:w w:val="105"/>
        </w:rPr>
        <w:t>both</w:t>
      </w:r>
      <w:r>
        <w:rPr>
          <w:spacing w:val="-5"/>
          <w:w w:val="105"/>
        </w:rPr>
        <w:t> </w:t>
      </w:r>
      <w:r>
        <w:rPr>
          <w:w w:val="105"/>
        </w:rPr>
        <w:t>estimated</w:t>
      </w:r>
      <w:r>
        <w:rPr>
          <w:spacing w:val="-5"/>
          <w:w w:val="105"/>
        </w:rPr>
        <w:t> </w:t>
      </w:r>
      <w:r>
        <w:rPr>
          <w:w w:val="105"/>
        </w:rPr>
        <w:t>prior</w:t>
      </w:r>
      <w:r>
        <w:rPr>
          <w:spacing w:val="-5"/>
          <w:w w:val="105"/>
        </w:rPr>
        <w:t> </w:t>
      </w:r>
      <w:r>
        <w:rPr>
          <w:w w:val="105"/>
        </w:rPr>
        <w:t>to</w:t>
      </w:r>
      <w:r>
        <w:rPr>
          <w:spacing w:val="-5"/>
          <w:w w:val="105"/>
        </w:rPr>
        <w:t> </w:t>
      </w:r>
      <w:r>
        <w:rPr>
          <w:w w:val="105"/>
        </w:rPr>
        <w:t>the</w:t>
      </w:r>
      <w:r>
        <w:rPr>
          <w:spacing w:val="-5"/>
          <w:w w:val="105"/>
        </w:rPr>
        <w:t> </w:t>
      </w:r>
      <w:r>
        <w:rPr>
          <w:w w:val="105"/>
        </w:rPr>
        <w:t>time </w:t>
      </w:r>
      <w:r>
        <w:rPr>
          <w:spacing w:val="3"/>
          <w:w w:val="105"/>
        </w:rPr>
        <w:t>that </w:t>
      </w:r>
      <w:r>
        <w:rPr>
          <w:spacing w:val="2"/>
          <w:w w:val="105"/>
        </w:rPr>
        <w:t>the </w:t>
      </w:r>
      <w:r>
        <w:rPr>
          <w:spacing w:val="3"/>
          <w:w w:val="105"/>
        </w:rPr>
        <w:t>financial derivative instruments settle, </w:t>
      </w:r>
      <w:r>
        <w:rPr>
          <w:spacing w:val="2"/>
          <w:w w:val="105"/>
        </w:rPr>
        <w:t>and the </w:t>
      </w:r>
      <w:r>
        <w:rPr>
          <w:spacing w:val="3"/>
          <w:w w:val="105"/>
        </w:rPr>
        <w:t>time that </w:t>
      </w:r>
      <w:r>
        <w:rPr>
          <w:spacing w:val="2"/>
          <w:w w:val="105"/>
        </w:rPr>
        <w:t>jet </w:t>
      </w:r>
      <w:r>
        <w:rPr>
          <w:spacing w:val="3"/>
          <w:w w:val="105"/>
        </w:rPr>
        <w:t>fuel </w:t>
      </w:r>
      <w:r>
        <w:rPr>
          <w:w w:val="105"/>
        </w:rPr>
        <w:t>is </w:t>
      </w:r>
      <w:r>
        <w:rPr>
          <w:spacing w:val="3"/>
          <w:w w:val="105"/>
        </w:rPr>
        <w:t>purchased </w:t>
      </w:r>
      <w:r>
        <w:rPr>
          <w:spacing w:val="2"/>
          <w:w w:val="105"/>
        </w:rPr>
        <w:t>and </w:t>
      </w:r>
      <w:r>
        <w:rPr>
          <w:spacing w:val="4"/>
          <w:w w:val="105"/>
        </w:rPr>
        <w:t>consumed, </w:t>
      </w:r>
      <w:r>
        <w:rPr>
          <w:w w:val="105"/>
        </w:rPr>
        <w:t>respectively. However, once settlement of the financial derivative instruments occurs and the hedged jet fuel is purchased and consumed, all values and prices are known and are recognized in the financial statements. </w:t>
      </w:r>
      <w:r>
        <w:rPr>
          <w:spacing w:val="2"/>
          <w:w w:val="105"/>
        </w:rPr>
        <w:t>Based </w:t>
      </w:r>
      <w:r>
        <w:rPr>
          <w:w w:val="105"/>
        </w:rPr>
        <w:t>on </w:t>
      </w:r>
      <w:r>
        <w:rPr>
          <w:spacing w:val="2"/>
          <w:w w:val="105"/>
        </w:rPr>
        <w:t>these actual results once </w:t>
      </w:r>
      <w:r>
        <w:rPr>
          <w:w w:val="105"/>
        </w:rPr>
        <w:t>all </w:t>
      </w:r>
      <w:r>
        <w:rPr>
          <w:spacing w:val="2"/>
          <w:w w:val="105"/>
        </w:rPr>
        <w:t>values </w:t>
      </w:r>
      <w:r>
        <w:rPr>
          <w:w w:val="105"/>
        </w:rPr>
        <w:t>and </w:t>
      </w:r>
      <w:r>
        <w:rPr>
          <w:spacing w:val="2"/>
          <w:w w:val="105"/>
        </w:rPr>
        <w:t>prices become known, </w:t>
      </w:r>
      <w:r>
        <w:rPr>
          <w:w w:val="105"/>
        </w:rPr>
        <w:t>the </w:t>
      </w:r>
      <w:r>
        <w:rPr>
          <w:spacing w:val="2"/>
          <w:w w:val="105"/>
        </w:rPr>
        <w:t>Company’s estimates </w:t>
      </w:r>
      <w:r>
        <w:rPr>
          <w:spacing w:val="3"/>
          <w:w w:val="105"/>
        </w:rPr>
        <w:t>have </w:t>
      </w:r>
      <w:r>
        <w:rPr>
          <w:w w:val="105"/>
        </w:rPr>
        <w:t>proved to be materially accurate. Furthermore, since the majority of the Company’s hedges settle within 12  to 24 months from the time the Company enters into the contract for the derivative financial instrument, the estimates</w:t>
      </w:r>
      <w:r>
        <w:rPr>
          <w:spacing w:val="-18"/>
          <w:w w:val="105"/>
        </w:rPr>
        <w:t> </w:t>
      </w:r>
      <w:r>
        <w:rPr>
          <w:w w:val="105"/>
        </w:rPr>
        <w:t>being</w:t>
      </w:r>
      <w:r>
        <w:rPr>
          <w:spacing w:val="-18"/>
          <w:w w:val="105"/>
        </w:rPr>
        <w:t> </w:t>
      </w:r>
      <w:r>
        <w:rPr>
          <w:w w:val="105"/>
        </w:rPr>
        <w:t>made</w:t>
      </w:r>
      <w:r>
        <w:rPr>
          <w:spacing w:val="-18"/>
          <w:w w:val="105"/>
        </w:rPr>
        <w:t> </w:t>
      </w:r>
      <w:r>
        <w:rPr>
          <w:w w:val="105"/>
        </w:rPr>
        <w:t>are</w:t>
      </w:r>
      <w:r>
        <w:rPr>
          <w:spacing w:val="-18"/>
          <w:w w:val="105"/>
        </w:rPr>
        <w:t> </w:t>
      </w:r>
      <w:r>
        <w:rPr>
          <w:w w:val="105"/>
        </w:rPr>
        <w:t>relatively</w:t>
      </w:r>
      <w:r>
        <w:rPr>
          <w:spacing w:val="-18"/>
          <w:w w:val="105"/>
        </w:rPr>
        <w:t> </w:t>
      </w:r>
      <w:r>
        <w:rPr>
          <w:w w:val="105"/>
        </w:rPr>
        <w:t>short-term.</w:t>
      </w:r>
    </w:p>
    <w:p>
      <w:pPr>
        <w:pStyle w:val="BodyText"/>
        <w:spacing w:line="220" w:lineRule="exact" w:before="239"/>
        <w:ind w:left="115" w:right="111"/>
        <w:jc w:val="both"/>
      </w:pPr>
      <w:r>
        <w:rPr>
          <w:w w:val="105"/>
        </w:rPr>
        <w:t>Estimating the fair value of these fuel hedging derivatives and forward prices for jet fuel will also result in changes in their values from period to period and thus determine how they are accounted for under SFAS</w:t>
      </w:r>
    </w:p>
    <w:p>
      <w:pPr>
        <w:pStyle w:val="BodyText"/>
        <w:spacing w:line="218" w:lineRule="auto"/>
        <w:ind w:left="115" w:right="108"/>
        <w:jc w:val="both"/>
      </w:pPr>
      <w:r>
        <w:rPr>
          <w:w w:val="105"/>
        </w:rPr>
        <w:t>133. To the extent that the period to period change in the estimated fair value of a fuel hedging instrument </w:t>
      </w:r>
      <w:r>
        <w:rPr>
          <w:spacing w:val="2"/>
          <w:w w:val="105"/>
        </w:rPr>
        <w:t>differs from </w:t>
      </w:r>
      <w:r>
        <w:rPr>
          <w:w w:val="105"/>
        </w:rPr>
        <w:t>a </w:t>
      </w:r>
      <w:r>
        <w:rPr>
          <w:spacing w:val="2"/>
          <w:w w:val="105"/>
        </w:rPr>
        <w:t>period </w:t>
      </w:r>
      <w:r>
        <w:rPr>
          <w:w w:val="105"/>
        </w:rPr>
        <w:t>to </w:t>
      </w:r>
      <w:r>
        <w:rPr>
          <w:spacing w:val="2"/>
          <w:w w:val="105"/>
        </w:rPr>
        <w:t>period change </w:t>
      </w:r>
      <w:r>
        <w:rPr>
          <w:w w:val="105"/>
        </w:rPr>
        <w:t>in the </w:t>
      </w:r>
      <w:r>
        <w:rPr>
          <w:spacing w:val="2"/>
          <w:w w:val="105"/>
        </w:rPr>
        <w:t>estimated price </w:t>
      </w:r>
      <w:r>
        <w:rPr>
          <w:w w:val="105"/>
        </w:rPr>
        <w:t>of the </w:t>
      </w:r>
      <w:r>
        <w:rPr>
          <w:spacing w:val="2"/>
          <w:w w:val="105"/>
        </w:rPr>
        <w:t>associated </w:t>
      </w:r>
      <w:r>
        <w:rPr>
          <w:w w:val="105"/>
        </w:rPr>
        <w:t>jet </w:t>
      </w:r>
      <w:r>
        <w:rPr>
          <w:spacing w:val="2"/>
          <w:w w:val="105"/>
        </w:rPr>
        <w:t>fuel </w:t>
      </w:r>
      <w:r>
        <w:rPr>
          <w:w w:val="105"/>
        </w:rPr>
        <w:t>to be </w:t>
      </w:r>
      <w:r>
        <w:rPr>
          <w:spacing w:val="3"/>
          <w:w w:val="105"/>
        </w:rPr>
        <w:t>purchased, </w:t>
      </w:r>
      <w:r>
        <w:rPr>
          <w:w w:val="105"/>
        </w:rPr>
        <w:t>ineffectiveness of the fuel hedge will result, as defined by SFAS 133. This could result in the immediate</w:t>
      </w:r>
      <w:r>
        <w:rPr>
          <w:spacing w:val="55"/>
          <w:w w:val="105"/>
        </w:rPr>
        <w:t> </w:t>
      </w:r>
      <w:r>
        <w:rPr>
          <w:w w:val="105"/>
        </w:rPr>
        <w:t>recording of charges or income, even though the derivative instrument may not expire until a future period. Historically, the Company has not experienced significant ineffectiveness in its fuel hedges accounted </w:t>
      </w:r>
      <w:r>
        <w:rPr>
          <w:spacing w:val="2"/>
          <w:w w:val="105"/>
        </w:rPr>
        <w:t>for </w:t>
      </w:r>
      <w:r>
        <w:rPr>
          <w:w w:val="105"/>
        </w:rPr>
        <w:t>under SFAS 133.</w:t>
      </w:r>
    </w:p>
    <w:p>
      <w:pPr>
        <w:pStyle w:val="BodyText"/>
        <w:spacing w:line="259" w:lineRule="auto" w:before="250"/>
        <w:ind w:left="115" w:right="107"/>
        <w:jc w:val="both"/>
      </w:pPr>
      <w:r>
        <w:rPr>
          <w:w w:val="105"/>
        </w:rPr>
        <w:t>SFAS 133 is a complex accounting standard with stringent requirements including the documentation of a Company hedging strategy, statistical analysis to qualify a commodity for hedge accounting both on a historical and a prospective basis, and strict contemporaneous documentation that is required at the time each hedge is executed by the Company. As required by SFAS 133, the Company assesses the effectiveness of each of its individual hedges on a quarterly basis. The Company also examines the effectiveness of its entire hedging program on a quarterly basis utilizing statistical analysis. This analysis involves utilizing regression and other statistical analyses that compare changes in the price of jet fuel to changes in the prices of the commodities used for hedging purposes (crude oil and heating oil).</w:t>
      </w:r>
    </w:p>
    <w:p>
      <w:pPr>
        <w:pStyle w:val="BodyText"/>
        <w:spacing w:line="218" w:lineRule="auto" w:before="199"/>
        <w:ind w:left="115" w:right="109"/>
        <w:jc w:val="both"/>
      </w:pPr>
      <w:r>
        <w:rPr>
          <w:w w:val="105"/>
        </w:rPr>
        <w:t>The Company also utilizes financial derivative instruments in the form of interest rate swap agreements. During second quarter 2003, the Company entered into interest rate swap agreements relating to its $385</w:t>
      </w:r>
      <w:r>
        <w:rPr>
          <w:spacing w:val="55"/>
          <w:w w:val="105"/>
        </w:rPr>
        <w:t> </w:t>
      </w:r>
      <w:r>
        <w:rPr>
          <w:w w:val="105"/>
        </w:rPr>
        <w:t>million 6.5% senior unsecured notes due March 1, 2012, and $375 million 5.496% Class A-2 pass-through certificates due November 1, 2006. Under the first interest rate swap agreement, the Company pays </w:t>
      </w:r>
      <w:r>
        <w:rPr>
          <w:spacing w:val="2"/>
          <w:w w:val="105"/>
        </w:rPr>
        <w:t>the London InterBank Offered Rate (LIBOR) plus </w:t>
      </w:r>
      <w:r>
        <w:rPr>
          <w:w w:val="105"/>
        </w:rPr>
        <w:t>a </w:t>
      </w:r>
      <w:r>
        <w:rPr>
          <w:spacing w:val="2"/>
          <w:w w:val="105"/>
        </w:rPr>
        <w:t>margin every </w:t>
      </w:r>
      <w:r>
        <w:rPr>
          <w:w w:val="105"/>
        </w:rPr>
        <w:t>six </w:t>
      </w:r>
      <w:r>
        <w:rPr>
          <w:spacing w:val="2"/>
          <w:w w:val="105"/>
        </w:rPr>
        <w:t>months </w:t>
      </w:r>
      <w:r>
        <w:rPr>
          <w:w w:val="105"/>
        </w:rPr>
        <w:t>and </w:t>
      </w:r>
      <w:r>
        <w:rPr>
          <w:spacing w:val="2"/>
          <w:w w:val="105"/>
        </w:rPr>
        <w:t>receives 6.5% every </w:t>
      </w:r>
      <w:r>
        <w:rPr>
          <w:spacing w:val="3"/>
          <w:w w:val="105"/>
        </w:rPr>
        <w:t>six </w:t>
      </w:r>
      <w:r>
        <w:rPr>
          <w:spacing w:val="2"/>
          <w:w w:val="105"/>
        </w:rPr>
        <w:t>months </w:t>
      </w:r>
      <w:r>
        <w:rPr>
          <w:w w:val="105"/>
        </w:rPr>
        <w:t>on a </w:t>
      </w:r>
      <w:r>
        <w:rPr>
          <w:spacing w:val="2"/>
          <w:w w:val="105"/>
        </w:rPr>
        <w:t>notional amount </w:t>
      </w:r>
      <w:r>
        <w:rPr>
          <w:w w:val="105"/>
        </w:rPr>
        <w:t>of </w:t>
      </w:r>
      <w:r>
        <w:rPr>
          <w:spacing w:val="2"/>
          <w:w w:val="105"/>
        </w:rPr>
        <w:t>$385 million until March </w:t>
      </w:r>
      <w:r>
        <w:rPr>
          <w:w w:val="105"/>
        </w:rPr>
        <w:t>1, </w:t>
      </w:r>
      <w:r>
        <w:rPr>
          <w:spacing w:val="2"/>
          <w:w w:val="105"/>
        </w:rPr>
        <w:t>2012. Under </w:t>
      </w:r>
      <w:r>
        <w:rPr>
          <w:w w:val="105"/>
        </w:rPr>
        <w:t>the </w:t>
      </w:r>
      <w:r>
        <w:rPr>
          <w:spacing w:val="2"/>
          <w:w w:val="105"/>
        </w:rPr>
        <w:t>second agreement, </w:t>
      </w:r>
      <w:r>
        <w:rPr>
          <w:spacing w:val="3"/>
          <w:w w:val="105"/>
        </w:rPr>
        <w:t>the </w:t>
      </w:r>
      <w:r>
        <w:rPr>
          <w:w w:val="105"/>
        </w:rPr>
        <w:t>Company pays LIBOR plus a margin every six months and receives 5.496% every six months on a notional amount of $375 million until November 1, 2006.</w:t>
      </w:r>
    </w:p>
    <w:p>
      <w:pPr>
        <w:pStyle w:val="BodyText"/>
        <w:spacing w:line="218" w:lineRule="auto" w:before="221"/>
        <w:ind w:left="115" w:right="107"/>
        <w:jc w:val="both"/>
      </w:pPr>
      <w:r>
        <w:rPr>
          <w:w w:val="105"/>
        </w:rPr>
        <w:t>The Company’s interest rate swap agreements qualify as fair value hedges, as defined by SFAS 133. In addition, these interest rate swap agreements qualify for the “shortcut” method of accounting for hedges, as defined by SFAS 133. Under the “shortcut” method, the hedges are assumed to be perfectly effective, and thus, there is no ineffectiveness to be recorded in earnings. The fair value of the interest rate swap agreements, which are adjusted regularly, are recorded in the Consolidated Balance Sheet, as necessary, with a corresponding adjustment to the carrying value of the long-term debt. The fair value of the interest rate swap agreements, excluding accrued interest, at December 31, 2003, was a liability of approximately $18 million. This amount is recorded in “Other deferred liabilities” in the Consolidated Balance Sheet. In accordance with fair value hedging, the offsetting entry is an adjustment to decrease the carrying value of long-term debt. See Note 10 to the Consolidated Financial Statements.</w:t>
      </w:r>
    </w:p>
    <w:p>
      <w:pPr>
        <w:spacing w:after="0" w:line="218" w:lineRule="auto"/>
        <w:jc w:val="both"/>
        <w:sectPr>
          <w:pgSz w:w="12240" w:h="15840"/>
          <w:pgMar w:top="1120" w:bottom="280" w:left="1180" w:right="1180"/>
        </w:sectPr>
      </w:pPr>
    </w:p>
    <w:p>
      <w:pPr>
        <w:pStyle w:val="Heading2"/>
        <w:spacing w:before="96"/>
        <w:jc w:val="both"/>
      </w:pPr>
      <w:bookmarkStart w:name="Forward-Looking Statements" w:id="33"/>
      <w:bookmarkEnd w:id="33"/>
      <w:r>
        <w:rPr>
          <w:b w:val="0"/>
        </w:rPr>
      </w:r>
      <w:bookmarkStart w:name="Market Risk Disclosures" w:id="34"/>
      <w:bookmarkEnd w:id="34"/>
      <w:r>
        <w:rPr>
          <w:b w:val="0"/>
        </w:rPr>
      </w:r>
      <w:r>
        <w:rPr/>
        <w:t>FORWARD  LOOKING</w:t>
      </w:r>
      <w:r>
        <w:rPr>
          <w:spacing w:val="51"/>
        </w:rPr>
        <w:t> </w:t>
      </w:r>
      <w:r>
        <w:rPr/>
        <w:t>STATEMENTS</w:t>
      </w:r>
    </w:p>
    <w:p>
      <w:pPr>
        <w:pStyle w:val="BodyText"/>
        <w:spacing w:line="218" w:lineRule="auto" w:before="217"/>
        <w:ind w:left="115" w:right="107"/>
        <w:jc w:val="both"/>
      </w:pPr>
      <w:r>
        <w:rPr>
          <w:w w:val="105"/>
        </w:rPr>
        <w:t>Some statements in this Form 10-K (or otherwise made by the Company or on the Company’s behalf from time to time in other reports, filings with the Securities and Exchange Commission, news releases, conferences, World Wide Web postings or otherwise) which are not historical facts, may be “forward- looking statements” within the meaning of Section 21E of the Securities Exchange Act of 1934 and the Private Securities Litigation Reform Act of 1995. Forward-looking statements include statements about Southwest’s estimates, expectations, beliefs, intentions or strategies for the future, and the assumptions underlying these forward-looking statements. Southwest uses the words "anticipates," "believes," "estimates," "expects," "intends," "forecasts," "may," "will," "should," and similar expressions to identify these forward-looking statements. Forward-looking statements involve risks and uncertainties that could cause actual results to differ materially from historical experience or the Company’s present expectations. Factors that could cause these differences include, but are not limited to:</w:t>
      </w:r>
    </w:p>
    <w:p>
      <w:pPr>
        <w:pStyle w:val="ListParagraph"/>
        <w:numPr>
          <w:ilvl w:val="0"/>
          <w:numId w:val="4"/>
        </w:numPr>
        <w:tabs>
          <w:tab w:pos="476" w:val="left" w:leader="none"/>
        </w:tabs>
        <w:spacing w:line="218" w:lineRule="auto" w:before="208" w:after="0"/>
        <w:ind w:left="476" w:right="110" w:hanging="360"/>
        <w:jc w:val="both"/>
        <w:rPr>
          <w:sz w:val="21"/>
        </w:rPr>
      </w:pPr>
      <w:r>
        <w:rPr>
          <w:w w:val="105"/>
          <w:sz w:val="21"/>
        </w:rPr>
        <w:t>Items directly linked to the September 11, 2001 terrorist attacks, such as the adverse impact of </w:t>
      </w:r>
      <w:r>
        <w:rPr>
          <w:spacing w:val="2"/>
          <w:w w:val="105"/>
          <w:sz w:val="21"/>
        </w:rPr>
        <w:t>new </w:t>
      </w:r>
      <w:r>
        <w:rPr>
          <w:w w:val="105"/>
          <w:sz w:val="21"/>
        </w:rPr>
        <w:t>airline and airport security directives on the Company’s costs and Customer demand for travel, changes in the </w:t>
      </w:r>
      <w:r>
        <w:rPr>
          <w:spacing w:val="-3"/>
          <w:w w:val="105"/>
          <w:sz w:val="21"/>
        </w:rPr>
        <w:t>Transportation </w:t>
      </w:r>
      <w:r>
        <w:rPr>
          <w:w w:val="105"/>
          <w:sz w:val="21"/>
        </w:rPr>
        <w:t>Security Administration's scope </w:t>
      </w:r>
      <w:r>
        <w:rPr>
          <w:spacing w:val="-3"/>
          <w:w w:val="105"/>
          <w:sz w:val="21"/>
        </w:rPr>
        <w:t>for </w:t>
      </w:r>
      <w:r>
        <w:rPr>
          <w:w w:val="105"/>
          <w:sz w:val="21"/>
        </w:rPr>
        <w:t>managing </w:t>
      </w:r>
      <w:r>
        <w:rPr>
          <w:spacing w:val="-4"/>
          <w:w w:val="105"/>
          <w:sz w:val="21"/>
        </w:rPr>
        <w:t>U.S. </w:t>
      </w:r>
      <w:r>
        <w:rPr>
          <w:w w:val="105"/>
          <w:sz w:val="21"/>
        </w:rPr>
        <w:t>airport security, the availability and cost of war-risk and other aviation insurance, including the federal government's provision of third party </w:t>
      </w:r>
      <w:r>
        <w:rPr>
          <w:spacing w:val="-3"/>
          <w:w w:val="105"/>
          <w:sz w:val="21"/>
        </w:rPr>
        <w:t>war-risk </w:t>
      </w:r>
      <w:r>
        <w:rPr>
          <w:w w:val="105"/>
          <w:sz w:val="21"/>
        </w:rPr>
        <w:t>coverage, and the possibility of additional incidents that could cause the public to question the</w:t>
      </w:r>
      <w:r>
        <w:rPr>
          <w:spacing w:val="-13"/>
          <w:w w:val="105"/>
          <w:sz w:val="21"/>
        </w:rPr>
        <w:t> </w:t>
      </w:r>
      <w:r>
        <w:rPr>
          <w:w w:val="105"/>
          <w:sz w:val="21"/>
        </w:rPr>
        <w:t>safety</w:t>
      </w:r>
      <w:r>
        <w:rPr>
          <w:spacing w:val="-13"/>
          <w:w w:val="105"/>
          <w:sz w:val="21"/>
        </w:rPr>
        <w:t> </w:t>
      </w:r>
      <w:r>
        <w:rPr>
          <w:w w:val="105"/>
          <w:sz w:val="21"/>
        </w:rPr>
        <w:t>and/or</w:t>
      </w:r>
      <w:r>
        <w:rPr>
          <w:spacing w:val="-13"/>
          <w:w w:val="105"/>
          <w:sz w:val="21"/>
        </w:rPr>
        <w:t> </w:t>
      </w:r>
      <w:r>
        <w:rPr>
          <w:w w:val="105"/>
          <w:sz w:val="21"/>
        </w:rPr>
        <w:t>efficiency</w:t>
      </w:r>
      <w:r>
        <w:rPr>
          <w:spacing w:val="-13"/>
          <w:w w:val="105"/>
          <w:sz w:val="21"/>
        </w:rPr>
        <w:t> </w:t>
      </w:r>
      <w:r>
        <w:rPr>
          <w:w w:val="105"/>
          <w:sz w:val="21"/>
        </w:rPr>
        <w:t>of</w:t>
      </w:r>
      <w:r>
        <w:rPr>
          <w:spacing w:val="-13"/>
          <w:w w:val="105"/>
          <w:sz w:val="21"/>
        </w:rPr>
        <w:t> </w:t>
      </w:r>
      <w:r>
        <w:rPr>
          <w:w w:val="105"/>
          <w:sz w:val="21"/>
        </w:rPr>
        <w:t>air</w:t>
      </w:r>
      <w:r>
        <w:rPr>
          <w:spacing w:val="-13"/>
          <w:w w:val="105"/>
          <w:sz w:val="21"/>
        </w:rPr>
        <w:t> </w:t>
      </w:r>
      <w:r>
        <w:rPr>
          <w:w w:val="105"/>
          <w:sz w:val="21"/>
        </w:rPr>
        <w:t>travel.</w:t>
      </w:r>
    </w:p>
    <w:p>
      <w:pPr>
        <w:pStyle w:val="ListParagraph"/>
        <w:numPr>
          <w:ilvl w:val="0"/>
          <w:numId w:val="4"/>
        </w:numPr>
        <w:tabs>
          <w:tab w:pos="476" w:val="left" w:leader="none"/>
        </w:tabs>
        <w:spacing w:line="240" w:lineRule="auto" w:before="189" w:after="0"/>
        <w:ind w:left="475" w:right="0" w:hanging="360"/>
        <w:jc w:val="both"/>
        <w:rPr>
          <w:sz w:val="21"/>
        </w:rPr>
      </w:pPr>
      <w:r>
        <w:rPr>
          <w:w w:val="105"/>
          <w:sz w:val="21"/>
        </w:rPr>
        <w:t>War</w:t>
      </w:r>
      <w:r>
        <w:rPr>
          <w:spacing w:val="-11"/>
          <w:w w:val="105"/>
          <w:sz w:val="21"/>
        </w:rPr>
        <w:t> </w:t>
      </w:r>
      <w:r>
        <w:rPr>
          <w:w w:val="105"/>
          <w:sz w:val="21"/>
        </w:rPr>
        <w:t>or</w:t>
      </w:r>
      <w:r>
        <w:rPr>
          <w:spacing w:val="-11"/>
          <w:w w:val="105"/>
          <w:sz w:val="21"/>
        </w:rPr>
        <w:t> </w:t>
      </w:r>
      <w:r>
        <w:rPr>
          <w:w w:val="105"/>
          <w:sz w:val="21"/>
        </w:rPr>
        <w:t>other</w:t>
      </w:r>
      <w:r>
        <w:rPr>
          <w:spacing w:val="-11"/>
          <w:w w:val="105"/>
          <w:sz w:val="21"/>
        </w:rPr>
        <w:t> </w:t>
      </w:r>
      <w:r>
        <w:rPr>
          <w:w w:val="105"/>
          <w:sz w:val="21"/>
        </w:rPr>
        <w:t>military</w:t>
      </w:r>
      <w:r>
        <w:rPr>
          <w:spacing w:val="-11"/>
          <w:w w:val="105"/>
          <w:sz w:val="21"/>
        </w:rPr>
        <w:t> </w:t>
      </w:r>
      <w:r>
        <w:rPr>
          <w:w w:val="105"/>
          <w:sz w:val="21"/>
        </w:rPr>
        <w:t>actions</w:t>
      </w:r>
      <w:r>
        <w:rPr>
          <w:spacing w:val="-11"/>
          <w:w w:val="105"/>
          <w:sz w:val="21"/>
        </w:rPr>
        <w:t> </w:t>
      </w:r>
      <w:r>
        <w:rPr>
          <w:w w:val="105"/>
          <w:sz w:val="21"/>
        </w:rPr>
        <w:t>by</w:t>
      </w:r>
      <w:r>
        <w:rPr>
          <w:spacing w:val="-11"/>
          <w:w w:val="105"/>
          <w:sz w:val="21"/>
        </w:rPr>
        <w:t> </w:t>
      </w:r>
      <w:r>
        <w:rPr>
          <w:w w:val="105"/>
          <w:sz w:val="21"/>
        </w:rPr>
        <w:t>the</w:t>
      </w:r>
      <w:r>
        <w:rPr>
          <w:spacing w:val="-11"/>
          <w:w w:val="105"/>
          <w:sz w:val="21"/>
        </w:rPr>
        <w:t> </w:t>
      </w:r>
      <w:r>
        <w:rPr>
          <w:w w:val="105"/>
          <w:sz w:val="21"/>
        </w:rPr>
        <w:t>U.S.</w:t>
      </w:r>
      <w:r>
        <w:rPr>
          <w:spacing w:val="-11"/>
          <w:w w:val="105"/>
          <w:sz w:val="21"/>
        </w:rPr>
        <w:t> </w:t>
      </w:r>
      <w:r>
        <w:rPr>
          <w:w w:val="105"/>
          <w:sz w:val="21"/>
        </w:rPr>
        <w:t>or</w:t>
      </w:r>
      <w:r>
        <w:rPr>
          <w:spacing w:val="-11"/>
          <w:w w:val="105"/>
          <w:sz w:val="21"/>
        </w:rPr>
        <w:t> </w:t>
      </w:r>
      <w:r>
        <w:rPr>
          <w:w w:val="105"/>
          <w:sz w:val="21"/>
        </w:rPr>
        <w:t>others.</w:t>
      </w:r>
    </w:p>
    <w:p>
      <w:pPr>
        <w:pStyle w:val="ListParagraph"/>
        <w:numPr>
          <w:ilvl w:val="0"/>
          <w:numId w:val="4"/>
        </w:numPr>
        <w:tabs>
          <w:tab w:pos="476" w:val="left" w:leader="none"/>
        </w:tabs>
        <w:spacing w:line="220" w:lineRule="exact" w:before="214" w:after="0"/>
        <w:ind w:left="475" w:right="110" w:hanging="360"/>
        <w:jc w:val="both"/>
        <w:rPr>
          <w:sz w:val="21"/>
        </w:rPr>
      </w:pPr>
      <w:r>
        <w:rPr>
          <w:spacing w:val="2"/>
          <w:w w:val="105"/>
          <w:sz w:val="21"/>
        </w:rPr>
        <w:t>Competitive factors, such </w:t>
      </w:r>
      <w:r>
        <w:rPr>
          <w:w w:val="105"/>
          <w:sz w:val="21"/>
        </w:rPr>
        <w:t>as </w:t>
      </w:r>
      <w:r>
        <w:rPr>
          <w:spacing w:val="2"/>
          <w:w w:val="105"/>
          <w:sz w:val="21"/>
        </w:rPr>
        <w:t>fare sales </w:t>
      </w:r>
      <w:r>
        <w:rPr>
          <w:w w:val="105"/>
          <w:sz w:val="21"/>
        </w:rPr>
        <w:t>and </w:t>
      </w:r>
      <w:r>
        <w:rPr>
          <w:spacing w:val="2"/>
          <w:w w:val="105"/>
          <w:sz w:val="21"/>
        </w:rPr>
        <w:t>capacity decisions </w:t>
      </w:r>
      <w:r>
        <w:rPr>
          <w:w w:val="105"/>
          <w:sz w:val="21"/>
        </w:rPr>
        <w:t>by the </w:t>
      </w:r>
      <w:r>
        <w:rPr>
          <w:spacing w:val="2"/>
          <w:w w:val="105"/>
          <w:sz w:val="21"/>
        </w:rPr>
        <w:t>Company </w:t>
      </w:r>
      <w:r>
        <w:rPr>
          <w:w w:val="105"/>
          <w:sz w:val="21"/>
        </w:rPr>
        <w:t>and its </w:t>
      </w:r>
      <w:r>
        <w:rPr>
          <w:spacing w:val="3"/>
          <w:w w:val="105"/>
          <w:sz w:val="21"/>
        </w:rPr>
        <w:t>competitors, </w:t>
      </w:r>
      <w:r>
        <w:rPr>
          <w:w w:val="105"/>
          <w:sz w:val="21"/>
        </w:rPr>
        <w:t>changes in competitors' flight schedules, mergers and acquisitions, codesharing programs, and airline bankruptcies.</w:t>
      </w:r>
    </w:p>
    <w:p>
      <w:pPr>
        <w:pStyle w:val="ListParagraph"/>
        <w:numPr>
          <w:ilvl w:val="0"/>
          <w:numId w:val="4"/>
        </w:numPr>
        <w:tabs>
          <w:tab w:pos="476" w:val="left" w:leader="none"/>
        </w:tabs>
        <w:spacing w:line="218" w:lineRule="auto" w:before="205" w:after="0"/>
        <w:ind w:left="475" w:right="110" w:hanging="360"/>
        <w:jc w:val="both"/>
        <w:rPr>
          <w:sz w:val="21"/>
        </w:rPr>
      </w:pPr>
      <w:r>
        <w:rPr>
          <w:spacing w:val="3"/>
          <w:w w:val="105"/>
          <w:sz w:val="21"/>
        </w:rPr>
        <w:t>General economic conditions, which could adversely affect </w:t>
      </w:r>
      <w:r>
        <w:rPr>
          <w:spacing w:val="2"/>
          <w:w w:val="105"/>
          <w:sz w:val="21"/>
        </w:rPr>
        <w:t>the </w:t>
      </w:r>
      <w:r>
        <w:rPr>
          <w:spacing w:val="3"/>
          <w:w w:val="105"/>
          <w:sz w:val="21"/>
        </w:rPr>
        <w:t>demand </w:t>
      </w:r>
      <w:r>
        <w:rPr>
          <w:spacing w:val="2"/>
          <w:w w:val="105"/>
          <w:sz w:val="21"/>
        </w:rPr>
        <w:t>for </w:t>
      </w:r>
      <w:r>
        <w:rPr>
          <w:spacing w:val="3"/>
          <w:w w:val="105"/>
          <w:sz w:val="21"/>
        </w:rPr>
        <w:t>travel </w:t>
      </w:r>
      <w:r>
        <w:rPr>
          <w:w w:val="105"/>
          <w:sz w:val="21"/>
        </w:rPr>
        <w:t>in </w:t>
      </w:r>
      <w:r>
        <w:rPr>
          <w:spacing w:val="3"/>
          <w:w w:val="105"/>
          <w:sz w:val="21"/>
        </w:rPr>
        <w:t>general </w:t>
      </w:r>
      <w:r>
        <w:rPr>
          <w:spacing w:val="4"/>
          <w:w w:val="105"/>
          <w:sz w:val="21"/>
        </w:rPr>
        <w:t>and </w:t>
      </w:r>
      <w:r>
        <w:rPr>
          <w:w w:val="105"/>
          <w:sz w:val="21"/>
        </w:rPr>
        <w:t>consumer ticket purchasing habits, as well as decisions by major freight Customers on how they allocate freight</w:t>
      </w:r>
      <w:r>
        <w:rPr>
          <w:spacing w:val="-16"/>
          <w:w w:val="105"/>
          <w:sz w:val="21"/>
        </w:rPr>
        <w:t> </w:t>
      </w:r>
      <w:r>
        <w:rPr>
          <w:w w:val="105"/>
          <w:sz w:val="21"/>
        </w:rPr>
        <w:t>deliveries</w:t>
      </w:r>
      <w:r>
        <w:rPr>
          <w:spacing w:val="-16"/>
          <w:w w:val="105"/>
          <w:sz w:val="21"/>
        </w:rPr>
        <w:t> </w:t>
      </w:r>
      <w:r>
        <w:rPr>
          <w:w w:val="105"/>
          <w:sz w:val="21"/>
        </w:rPr>
        <w:t>among</w:t>
      </w:r>
      <w:r>
        <w:rPr>
          <w:spacing w:val="-16"/>
          <w:w w:val="105"/>
          <w:sz w:val="21"/>
        </w:rPr>
        <w:t> </w:t>
      </w:r>
      <w:r>
        <w:rPr>
          <w:w w:val="105"/>
          <w:sz w:val="21"/>
        </w:rPr>
        <w:t>different</w:t>
      </w:r>
      <w:r>
        <w:rPr>
          <w:spacing w:val="-16"/>
          <w:w w:val="105"/>
          <w:sz w:val="21"/>
        </w:rPr>
        <w:t> </w:t>
      </w:r>
      <w:r>
        <w:rPr>
          <w:w w:val="105"/>
          <w:sz w:val="21"/>
        </w:rPr>
        <w:t>types</w:t>
      </w:r>
      <w:r>
        <w:rPr>
          <w:spacing w:val="-16"/>
          <w:w w:val="105"/>
          <w:sz w:val="21"/>
        </w:rPr>
        <w:t> </w:t>
      </w:r>
      <w:r>
        <w:rPr>
          <w:w w:val="105"/>
          <w:sz w:val="21"/>
        </w:rPr>
        <w:t>of</w:t>
      </w:r>
      <w:r>
        <w:rPr>
          <w:spacing w:val="-16"/>
          <w:w w:val="105"/>
          <w:sz w:val="21"/>
        </w:rPr>
        <w:t> </w:t>
      </w:r>
      <w:r>
        <w:rPr>
          <w:w w:val="105"/>
          <w:sz w:val="21"/>
        </w:rPr>
        <w:t>carriers.</w:t>
      </w:r>
    </w:p>
    <w:p>
      <w:pPr>
        <w:pStyle w:val="ListParagraph"/>
        <w:numPr>
          <w:ilvl w:val="0"/>
          <w:numId w:val="4"/>
        </w:numPr>
        <w:tabs>
          <w:tab w:pos="476" w:val="left" w:leader="none"/>
        </w:tabs>
        <w:spacing w:line="218" w:lineRule="auto" w:before="208" w:after="0"/>
        <w:ind w:left="475" w:right="110" w:hanging="360"/>
        <w:jc w:val="both"/>
        <w:rPr>
          <w:sz w:val="21"/>
        </w:rPr>
      </w:pPr>
      <w:r>
        <w:rPr>
          <w:w w:val="105"/>
          <w:sz w:val="21"/>
        </w:rPr>
        <w:t>Factors that could affect the Company’s ability to control its costs, such as the results of Employee labor contract</w:t>
      </w:r>
      <w:r>
        <w:rPr>
          <w:spacing w:val="-5"/>
          <w:w w:val="105"/>
          <w:sz w:val="21"/>
        </w:rPr>
        <w:t> </w:t>
      </w:r>
      <w:r>
        <w:rPr>
          <w:w w:val="105"/>
          <w:sz w:val="21"/>
        </w:rPr>
        <w:t>negotiations,</w:t>
      </w:r>
      <w:r>
        <w:rPr>
          <w:spacing w:val="-5"/>
          <w:w w:val="105"/>
          <w:sz w:val="21"/>
        </w:rPr>
        <w:t> </w:t>
      </w:r>
      <w:r>
        <w:rPr>
          <w:w w:val="105"/>
          <w:sz w:val="21"/>
        </w:rPr>
        <w:t>Employee</w:t>
      </w:r>
      <w:r>
        <w:rPr>
          <w:spacing w:val="-5"/>
          <w:w w:val="105"/>
          <w:sz w:val="21"/>
        </w:rPr>
        <w:t> </w:t>
      </w:r>
      <w:r>
        <w:rPr>
          <w:w w:val="105"/>
          <w:sz w:val="21"/>
        </w:rPr>
        <w:t>hiring</w:t>
      </w:r>
      <w:r>
        <w:rPr>
          <w:spacing w:val="-5"/>
          <w:w w:val="105"/>
          <w:sz w:val="21"/>
        </w:rPr>
        <w:t> </w:t>
      </w:r>
      <w:r>
        <w:rPr>
          <w:w w:val="105"/>
          <w:sz w:val="21"/>
        </w:rPr>
        <w:t>and</w:t>
      </w:r>
      <w:r>
        <w:rPr>
          <w:spacing w:val="-5"/>
          <w:w w:val="105"/>
          <w:sz w:val="21"/>
        </w:rPr>
        <w:t> </w:t>
      </w:r>
      <w:r>
        <w:rPr>
          <w:w w:val="105"/>
          <w:sz w:val="21"/>
        </w:rPr>
        <w:t>retention</w:t>
      </w:r>
      <w:r>
        <w:rPr>
          <w:spacing w:val="-5"/>
          <w:w w:val="105"/>
          <w:sz w:val="21"/>
        </w:rPr>
        <w:t> </w:t>
      </w:r>
      <w:r>
        <w:rPr>
          <w:w w:val="105"/>
          <w:sz w:val="21"/>
        </w:rPr>
        <w:t>rates,</w:t>
      </w:r>
      <w:r>
        <w:rPr>
          <w:spacing w:val="-5"/>
          <w:w w:val="105"/>
          <w:sz w:val="21"/>
        </w:rPr>
        <w:t> </w:t>
      </w:r>
      <w:r>
        <w:rPr>
          <w:w w:val="105"/>
          <w:sz w:val="21"/>
        </w:rPr>
        <w:t>costs</w:t>
      </w:r>
      <w:r>
        <w:rPr>
          <w:spacing w:val="-5"/>
          <w:w w:val="105"/>
          <w:sz w:val="21"/>
        </w:rPr>
        <w:t> </w:t>
      </w:r>
      <w:r>
        <w:rPr>
          <w:w w:val="105"/>
          <w:sz w:val="21"/>
        </w:rPr>
        <w:t>for</w:t>
      </w:r>
      <w:r>
        <w:rPr>
          <w:spacing w:val="-5"/>
          <w:w w:val="105"/>
          <w:sz w:val="21"/>
        </w:rPr>
        <w:t> </w:t>
      </w:r>
      <w:r>
        <w:rPr>
          <w:w w:val="105"/>
          <w:sz w:val="21"/>
        </w:rPr>
        <w:t>health</w:t>
      </w:r>
      <w:r>
        <w:rPr>
          <w:spacing w:val="-5"/>
          <w:w w:val="105"/>
          <w:sz w:val="21"/>
        </w:rPr>
        <w:t> </w:t>
      </w:r>
      <w:r>
        <w:rPr>
          <w:w w:val="105"/>
          <w:sz w:val="21"/>
        </w:rPr>
        <w:t>care,</w:t>
      </w:r>
      <w:r>
        <w:rPr>
          <w:spacing w:val="-5"/>
          <w:w w:val="105"/>
          <w:sz w:val="21"/>
        </w:rPr>
        <w:t> </w:t>
      </w:r>
      <w:r>
        <w:rPr>
          <w:w w:val="105"/>
          <w:sz w:val="21"/>
        </w:rPr>
        <w:t>the</w:t>
      </w:r>
      <w:r>
        <w:rPr>
          <w:spacing w:val="-5"/>
          <w:w w:val="105"/>
          <w:sz w:val="21"/>
        </w:rPr>
        <w:t> </w:t>
      </w:r>
      <w:r>
        <w:rPr>
          <w:w w:val="105"/>
          <w:sz w:val="21"/>
        </w:rPr>
        <w:t>largely</w:t>
      </w:r>
      <w:r>
        <w:rPr>
          <w:spacing w:val="-5"/>
          <w:w w:val="105"/>
          <w:sz w:val="21"/>
        </w:rPr>
        <w:t> </w:t>
      </w:r>
      <w:r>
        <w:rPr>
          <w:w w:val="105"/>
          <w:sz w:val="21"/>
        </w:rPr>
        <w:t>unpredictable prices of jet fuel, crude oil, and heating oil, the continued effectiveness of the Company's fuel hedges, </w:t>
      </w:r>
      <w:r>
        <w:rPr>
          <w:spacing w:val="2"/>
          <w:w w:val="105"/>
          <w:sz w:val="21"/>
        </w:rPr>
        <w:t>changes </w:t>
      </w:r>
      <w:r>
        <w:rPr>
          <w:w w:val="105"/>
          <w:sz w:val="21"/>
        </w:rPr>
        <w:t>in the </w:t>
      </w:r>
      <w:r>
        <w:rPr>
          <w:spacing w:val="2"/>
          <w:w w:val="105"/>
          <w:sz w:val="21"/>
        </w:rPr>
        <w:t>Company's overall fuel hedging strategy, capacity decisions </w:t>
      </w:r>
      <w:r>
        <w:rPr>
          <w:w w:val="105"/>
          <w:sz w:val="21"/>
        </w:rPr>
        <w:t>by the Company and </w:t>
      </w:r>
      <w:r>
        <w:rPr>
          <w:spacing w:val="3"/>
          <w:w w:val="105"/>
          <w:sz w:val="21"/>
        </w:rPr>
        <w:t>its </w:t>
      </w:r>
      <w:r>
        <w:rPr>
          <w:w w:val="105"/>
          <w:sz w:val="21"/>
        </w:rPr>
        <w:t>competitors,</w:t>
      </w:r>
      <w:r>
        <w:rPr>
          <w:spacing w:val="-13"/>
          <w:w w:val="105"/>
          <w:sz w:val="21"/>
        </w:rPr>
        <w:t> </w:t>
      </w:r>
      <w:r>
        <w:rPr>
          <w:w w:val="105"/>
          <w:sz w:val="21"/>
        </w:rPr>
        <w:t>unscheduled</w:t>
      </w:r>
      <w:r>
        <w:rPr>
          <w:spacing w:val="-8"/>
          <w:w w:val="105"/>
          <w:sz w:val="21"/>
        </w:rPr>
        <w:t> </w:t>
      </w:r>
      <w:r>
        <w:rPr>
          <w:spacing w:val="-3"/>
          <w:w w:val="105"/>
          <w:sz w:val="21"/>
        </w:rPr>
        <w:t>required</w:t>
      </w:r>
      <w:r>
        <w:rPr>
          <w:spacing w:val="-5"/>
          <w:w w:val="105"/>
          <w:sz w:val="21"/>
        </w:rPr>
        <w:t> </w:t>
      </w:r>
      <w:r>
        <w:rPr>
          <w:spacing w:val="-3"/>
          <w:w w:val="105"/>
          <w:sz w:val="21"/>
        </w:rPr>
        <w:t>aircraft</w:t>
      </w:r>
      <w:r>
        <w:rPr>
          <w:spacing w:val="-11"/>
          <w:w w:val="105"/>
          <w:sz w:val="21"/>
        </w:rPr>
        <w:t> </w:t>
      </w:r>
      <w:r>
        <w:rPr>
          <w:spacing w:val="-3"/>
          <w:w w:val="105"/>
          <w:sz w:val="21"/>
        </w:rPr>
        <w:t>airframe</w:t>
      </w:r>
      <w:r>
        <w:rPr>
          <w:spacing w:val="-10"/>
          <w:w w:val="105"/>
          <w:sz w:val="21"/>
        </w:rPr>
        <w:t> </w:t>
      </w:r>
      <w:r>
        <w:rPr>
          <w:w w:val="105"/>
          <w:sz w:val="21"/>
        </w:rPr>
        <w:t>or</w:t>
      </w:r>
      <w:r>
        <w:rPr>
          <w:spacing w:val="-7"/>
          <w:w w:val="105"/>
          <w:sz w:val="21"/>
        </w:rPr>
        <w:t> </w:t>
      </w:r>
      <w:r>
        <w:rPr>
          <w:w w:val="105"/>
          <w:sz w:val="21"/>
        </w:rPr>
        <w:t>engine</w:t>
      </w:r>
      <w:r>
        <w:rPr>
          <w:spacing w:val="-13"/>
          <w:w w:val="105"/>
          <w:sz w:val="21"/>
        </w:rPr>
        <w:t> </w:t>
      </w:r>
      <w:r>
        <w:rPr>
          <w:w w:val="105"/>
          <w:sz w:val="21"/>
        </w:rPr>
        <w:t>repairs</w:t>
      </w:r>
      <w:r>
        <w:rPr>
          <w:spacing w:val="-11"/>
          <w:w w:val="105"/>
          <w:sz w:val="21"/>
        </w:rPr>
        <w:t> </w:t>
      </w:r>
      <w:r>
        <w:rPr>
          <w:w w:val="105"/>
          <w:sz w:val="21"/>
        </w:rPr>
        <w:t>and</w:t>
      </w:r>
      <w:r>
        <w:rPr>
          <w:spacing w:val="-8"/>
          <w:w w:val="105"/>
          <w:sz w:val="21"/>
        </w:rPr>
        <w:t> </w:t>
      </w:r>
      <w:r>
        <w:rPr>
          <w:w w:val="105"/>
          <w:sz w:val="21"/>
        </w:rPr>
        <w:t>regulatory</w:t>
      </w:r>
      <w:r>
        <w:rPr>
          <w:spacing w:val="-5"/>
          <w:w w:val="105"/>
          <w:sz w:val="21"/>
        </w:rPr>
        <w:t> </w:t>
      </w:r>
      <w:r>
        <w:rPr>
          <w:w w:val="105"/>
          <w:sz w:val="21"/>
        </w:rPr>
        <w:t>requirements,</w:t>
      </w:r>
      <w:r>
        <w:rPr>
          <w:spacing w:val="-14"/>
          <w:w w:val="105"/>
          <w:sz w:val="21"/>
        </w:rPr>
        <w:t> </w:t>
      </w:r>
      <w:r>
        <w:rPr>
          <w:w w:val="105"/>
          <w:sz w:val="21"/>
        </w:rPr>
        <w:t>changes in commission policy, availability of capital markets, future financing decisions made by the </w:t>
      </w:r>
      <w:r>
        <w:rPr>
          <w:spacing w:val="-3"/>
          <w:w w:val="105"/>
          <w:sz w:val="21"/>
        </w:rPr>
        <w:t>Company, </w:t>
      </w:r>
      <w:r>
        <w:rPr>
          <w:w w:val="105"/>
          <w:sz w:val="21"/>
        </w:rPr>
        <w:t>and</w:t>
      </w:r>
      <w:r>
        <w:rPr>
          <w:spacing w:val="-22"/>
          <w:w w:val="105"/>
          <w:sz w:val="21"/>
        </w:rPr>
        <w:t> </w:t>
      </w:r>
      <w:r>
        <w:rPr>
          <w:spacing w:val="-3"/>
          <w:w w:val="105"/>
          <w:sz w:val="21"/>
        </w:rPr>
        <w:t>reliance</w:t>
      </w:r>
      <w:r>
        <w:rPr>
          <w:spacing w:val="-23"/>
          <w:w w:val="105"/>
          <w:sz w:val="21"/>
        </w:rPr>
        <w:t> </w:t>
      </w:r>
      <w:r>
        <w:rPr>
          <w:w w:val="105"/>
          <w:sz w:val="21"/>
        </w:rPr>
        <w:t>on</w:t>
      </w:r>
      <w:r>
        <w:rPr>
          <w:spacing w:val="-22"/>
          <w:w w:val="105"/>
          <w:sz w:val="21"/>
        </w:rPr>
        <w:t> </w:t>
      </w:r>
      <w:r>
        <w:rPr>
          <w:w w:val="105"/>
          <w:sz w:val="21"/>
        </w:rPr>
        <w:t>single</w:t>
      </w:r>
      <w:r>
        <w:rPr>
          <w:spacing w:val="-23"/>
          <w:w w:val="105"/>
          <w:sz w:val="21"/>
        </w:rPr>
        <w:t> </w:t>
      </w:r>
      <w:r>
        <w:rPr>
          <w:w w:val="105"/>
          <w:sz w:val="21"/>
        </w:rPr>
        <w:t>suppliers</w:t>
      </w:r>
      <w:r>
        <w:rPr>
          <w:spacing w:val="-24"/>
          <w:w w:val="105"/>
          <w:sz w:val="21"/>
        </w:rPr>
        <w:t> </w:t>
      </w:r>
      <w:r>
        <w:rPr>
          <w:w w:val="105"/>
          <w:sz w:val="21"/>
        </w:rPr>
        <w:t>for</w:t>
      </w:r>
      <w:r>
        <w:rPr>
          <w:spacing w:val="-23"/>
          <w:w w:val="105"/>
          <w:sz w:val="21"/>
        </w:rPr>
        <w:t> </w:t>
      </w:r>
      <w:r>
        <w:rPr>
          <w:w w:val="105"/>
          <w:sz w:val="21"/>
        </w:rPr>
        <w:t>both</w:t>
      </w:r>
      <w:r>
        <w:rPr>
          <w:spacing w:val="-22"/>
          <w:w w:val="105"/>
          <w:sz w:val="21"/>
        </w:rPr>
        <w:t> </w:t>
      </w:r>
      <w:r>
        <w:rPr>
          <w:w w:val="105"/>
          <w:sz w:val="21"/>
        </w:rPr>
        <w:t>the</w:t>
      </w:r>
      <w:r>
        <w:rPr>
          <w:spacing w:val="-27"/>
          <w:w w:val="105"/>
          <w:sz w:val="21"/>
        </w:rPr>
        <w:t> </w:t>
      </w:r>
      <w:r>
        <w:rPr>
          <w:w w:val="105"/>
          <w:sz w:val="21"/>
        </w:rPr>
        <w:t>Company’s</w:t>
      </w:r>
      <w:r>
        <w:rPr>
          <w:spacing w:val="-22"/>
          <w:w w:val="105"/>
          <w:sz w:val="21"/>
        </w:rPr>
        <w:t> </w:t>
      </w:r>
      <w:r>
        <w:rPr>
          <w:spacing w:val="-3"/>
          <w:w w:val="105"/>
          <w:sz w:val="21"/>
        </w:rPr>
        <w:t>aircraft</w:t>
      </w:r>
      <w:r>
        <w:rPr>
          <w:spacing w:val="-24"/>
          <w:w w:val="105"/>
          <w:sz w:val="21"/>
        </w:rPr>
        <w:t> </w:t>
      </w:r>
      <w:r>
        <w:rPr>
          <w:w w:val="105"/>
          <w:sz w:val="21"/>
        </w:rPr>
        <w:t>and</w:t>
      </w:r>
      <w:r>
        <w:rPr>
          <w:spacing w:val="-22"/>
          <w:w w:val="105"/>
          <w:sz w:val="21"/>
        </w:rPr>
        <w:t> </w:t>
      </w:r>
      <w:r>
        <w:rPr>
          <w:w w:val="105"/>
          <w:sz w:val="21"/>
        </w:rPr>
        <w:t>its</w:t>
      </w:r>
      <w:r>
        <w:rPr>
          <w:spacing w:val="-24"/>
          <w:w w:val="105"/>
          <w:sz w:val="21"/>
        </w:rPr>
        <w:t> </w:t>
      </w:r>
      <w:r>
        <w:rPr>
          <w:spacing w:val="-3"/>
          <w:w w:val="105"/>
          <w:sz w:val="21"/>
        </w:rPr>
        <w:t>aircraft</w:t>
      </w:r>
      <w:r>
        <w:rPr>
          <w:spacing w:val="-22"/>
          <w:w w:val="105"/>
          <w:sz w:val="21"/>
        </w:rPr>
        <w:t> </w:t>
      </w:r>
      <w:r>
        <w:rPr>
          <w:w w:val="105"/>
          <w:sz w:val="21"/>
        </w:rPr>
        <w:t>engines.</w:t>
      </w:r>
    </w:p>
    <w:p>
      <w:pPr>
        <w:pStyle w:val="ListParagraph"/>
        <w:numPr>
          <w:ilvl w:val="0"/>
          <w:numId w:val="4"/>
        </w:numPr>
        <w:tabs>
          <w:tab w:pos="476" w:val="left" w:leader="none"/>
        </w:tabs>
        <w:spacing w:line="240" w:lineRule="auto" w:before="189" w:after="0"/>
        <w:ind w:left="475" w:right="0" w:hanging="360"/>
        <w:jc w:val="both"/>
        <w:rPr>
          <w:sz w:val="21"/>
        </w:rPr>
      </w:pPr>
      <w:r>
        <w:rPr>
          <w:w w:val="105"/>
          <w:sz w:val="21"/>
        </w:rPr>
        <w:t>Disruptions</w:t>
      </w:r>
      <w:r>
        <w:rPr>
          <w:spacing w:val="-15"/>
          <w:w w:val="105"/>
          <w:sz w:val="21"/>
        </w:rPr>
        <w:t> </w:t>
      </w:r>
      <w:r>
        <w:rPr>
          <w:w w:val="105"/>
          <w:sz w:val="21"/>
        </w:rPr>
        <w:t>to</w:t>
      </w:r>
      <w:r>
        <w:rPr>
          <w:spacing w:val="-16"/>
          <w:w w:val="105"/>
          <w:sz w:val="21"/>
        </w:rPr>
        <w:t> </w:t>
      </w:r>
      <w:r>
        <w:rPr>
          <w:w w:val="105"/>
          <w:sz w:val="21"/>
        </w:rPr>
        <w:t>operations</w:t>
      </w:r>
      <w:r>
        <w:rPr>
          <w:spacing w:val="-16"/>
          <w:w w:val="105"/>
          <w:sz w:val="21"/>
        </w:rPr>
        <w:t> </w:t>
      </w:r>
      <w:r>
        <w:rPr>
          <w:w w:val="105"/>
          <w:sz w:val="21"/>
        </w:rPr>
        <w:t>due</w:t>
      </w:r>
      <w:r>
        <w:rPr>
          <w:spacing w:val="-16"/>
          <w:w w:val="105"/>
          <w:sz w:val="21"/>
        </w:rPr>
        <w:t> </w:t>
      </w:r>
      <w:r>
        <w:rPr>
          <w:w w:val="105"/>
          <w:sz w:val="21"/>
        </w:rPr>
        <w:t>to</w:t>
      </w:r>
      <w:r>
        <w:rPr>
          <w:spacing w:val="-16"/>
          <w:w w:val="105"/>
          <w:sz w:val="21"/>
        </w:rPr>
        <w:t> </w:t>
      </w:r>
      <w:r>
        <w:rPr>
          <w:w w:val="105"/>
          <w:sz w:val="21"/>
        </w:rPr>
        <w:t>adverse</w:t>
      </w:r>
      <w:r>
        <w:rPr>
          <w:spacing w:val="-16"/>
          <w:w w:val="105"/>
          <w:sz w:val="21"/>
        </w:rPr>
        <w:t> </w:t>
      </w:r>
      <w:r>
        <w:rPr>
          <w:w w:val="105"/>
          <w:sz w:val="21"/>
        </w:rPr>
        <w:t>weather</w:t>
      </w:r>
      <w:r>
        <w:rPr>
          <w:spacing w:val="-15"/>
          <w:w w:val="105"/>
          <w:sz w:val="21"/>
        </w:rPr>
        <w:t> </w:t>
      </w:r>
      <w:r>
        <w:rPr>
          <w:w w:val="105"/>
          <w:sz w:val="21"/>
        </w:rPr>
        <w:t>conditions</w:t>
      </w:r>
      <w:r>
        <w:rPr>
          <w:spacing w:val="-16"/>
          <w:w w:val="105"/>
          <w:sz w:val="21"/>
        </w:rPr>
        <w:t> </w:t>
      </w:r>
      <w:r>
        <w:rPr>
          <w:w w:val="105"/>
          <w:sz w:val="21"/>
        </w:rPr>
        <w:t>and</w:t>
      </w:r>
      <w:r>
        <w:rPr>
          <w:spacing w:val="-16"/>
          <w:w w:val="105"/>
          <w:sz w:val="21"/>
        </w:rPr>
        <w:t> </w:t>
      </w:r>
      <w:r>
        <w:rPr>
          <w:w w:val="105"/>
          <w:sz w:val="21"/>
        </w:rPr>
        <w:t>air</w:t>
      </w:r>
      <w:r>
        <w:rPr>
          <w:spacing w:val="-16"/>
          <w:w w:val="105"/>
          <w:sz w:val="21"/>
        </w:rPr>
        <w:t> </w:t>
      </w:r>
      <w:r>
        <w:rPr>
          <w:w w:val="105"/>
          <w:sz w:val="21"/>
        </w:rPr>
        <w:t>traffic</w:t>
      </w:r>
      <w:r>
        <w:rPr>
          <w:spacing w:val="-16"/>
          <w:w w:val="105"/>
          <w:sz w:val="21"/>
        </w:rPr>
        <w:t> </w:t>
      </w:r>
      <w:r>
        <w:rPr>
          <w:w w:val="105"/>
          <w:sz w:val="21"/>
        </w:rPr>
        <w:t>control-related</w:t>
      </w:r>
      <w:r>
        <w:rPr>
          <w:spacing w:val="-17"/>
          <w:w w:val="105"/>
          <w:sz w:val="21"/>
        </w:rPr>
        <w:t> </w:t>
      </w:r>
      <w:r>
        <w:rPr>
          <w:w w:val="105"/>
          <w:sz w:val="21"/>
        </w:rPr>
        <w:t>constraints.</w:t>
      </w:r>
    </w:p>
    <w:p>
      <w:pPr>
        <w:pStyle w:val="BodyText"/>
        <w:spacing w:line="220" w:lineRule="exact" w:before="215"/>
        <w:ind w:left="115" w:right="110"/>
        <w:jc w:val="both"/>
      </w:pPr>
      <w:r>
        <w:rPr>
          <w:w w:val="105"/>
        </w:rPr>
        <w:t>Caution should be taken not to place undue reliance on the Company’s forward-looking statements, which represent</w:t>
      </w:r>
      <w:r>
        <w:rPr>
          <w:spacing w:val="-4"/>
          <w:w w:val="105"/>
        </w:rPr>
        <w:t> </w:t>
      </w:r>
      <w:r>
        <w:rPr>
          <w:w w:val="105"/>
        </w:rPr>
        <w:t>the</w:t>
      </w:r>
      <w:r>
        <w:rPr>
          <w:spacing w:val="-4"/>
          <w:w w:val="105"/>
        </w:rPr>
        <w:t> </w:t>
      </w:r>
      <w:r>
        <w:rPr>
          <w:w w:val="105"/>
        </w:rPr>
        <w:t>Company’s</w:t>
      </w:r>
      <w:r>
        <w:rPr>
          <w:spacing w:val="-4"/>
          <w:w w:val="105"/>
        </w:rPr>
        <w:t> </w:t>
      </w:r>
      <w:r>
        <w:rPr>
          <w:w w:val="105"/>
        </w:rPr>
        <w:t>views</w:t>
      </w:r>
      <w:r>
        <w:rPr>
          <w:spacing w:val="-4"/>
          <w:w w:val="105"/>
        </w:rPr>
        <w:t> </w:t>
      </w:r>
      <w:r>
        <w:rPr>
          <w:w w:val="105"/>
        </w:rPr>
        <w:t>only</w:t>
      </w:r>
      <w:r>
        <w:rPr>
          <w:spacing w:val="-4"/>
          <w:w w:val="105"/>
        </w:rPr>
        <w:t> </w:t>
      </w:r>
      <w:r>
        <w:rPr>
          <w:w w:val="105"/>
        </w:rPr>
        <w:t>as</w:t>
      </w:r>
      <w:r>
        <w:rPr>
          <w:spacing w:val="-4"/>
          <w:w w:val="105"/>
        </w:rPr>
        <w:t> </w:t>
      </w:r>
      <w:r>
        <w:rPr>
          <w:w w:val="105"/>
        </w:rPr>
        <w:t>of</w:t>
      </w:r>
      <w:r>
        <w:rPr>
          <w:spacing w:val="-4"/>
          <w:w w:val="105"/>
        </w:rPr>
        <w:t> </w:t>
      </w:r>
      <w:r>
        <w:rPr>
          <w:w w:val="105"/>
        </w:rPr>
        <w:t>the</w:t>
      </w:r>
      <w:r>
        <w:rPr>
          <w:spacing w:val="-4"/>
          <w:w w:val="105"/>
        </w:rPr>
        <w:t> </w:t>
      </w:r>
      <w:r>
        <w:rPr>
          <w:w w:val="105"/>
        </w:rPr>
        <w:t>date</w:t>
      </w:r>
      <w:r>
        <w:rPr>
          <w:spacing w:val="-4"/>
          <w:w w:val="105"/>
        </w:rPr>
        <w:t> </w:t>
      </w:r>
      <w:r>
        <w:rPr>
          <w:w w:val="105"/>
        </w:rPr>
        <w:t>this</w:t>
      </w:r>
      <w:r>
        <w:rPr>
          <w:spacing w:val="-4"/>
          <w:w w:val="105"/>
        </w:rPr>
        <w:t> </w:t>
      </w:r>
      <w:r>
        <w:rPr>
          <w:w w:val="105"/>
        </w:rPr>
        <w:t>report</w:t>
      </w:r>
      <w:r>
        <w:rPr>
          <w:spacing w:val="-4"/>
          <w:w w:val="105"/>
        </w:rPr>
        <w:t> </w:t>
      </w:r>
      <w:r>
        <w:rPr>
          <w:w w:val="105"/>
        </w:rPr>
        <w:t>is</w:t>
      </w:r>
      <w:r>
        <w:rPr>
          <w:spacing w:val="-4"/>
          <w:w w:val="105"/>
        </w:rPr>
        <w:t> </w:t>
      </w:r>
      <w:r>
        <w:rPr>
          <w:w w:val="105"/>
        </w:rPr>
        <w:t>filed.</w:t>
      </w:r>
      <w:r>
        <w:rPr>
          <w:spacing w:val="-4"/>
          <w:w w:val="105"/>
        </w:rPr>
        <w:t> </w:t>
      </w:r>
      <w:r>
        <w:rPr>
          <w:w w:val="105"/>
        </w:rPr>
        <w:t>The</w:t>
      </w:r>
      <w:r>
        <w:rPr>
          <w:spacing w:val="-4"/>
          <w:w w:val="105"/>
        </w:rPr>
        <w:t> </w:t>
      </w:r>
      <w:r>
        <w:rPr>
          <w:w w:val="105"/>
        </w:rPr>
        <w:t>Company</w:t>
      </w:r>
      <w:r>
        <w:rPr>
          <w:spacing w:val="-4"/>
          <w:w w:val="105"/>
        </w:rPr>
        <w:t> </w:t>
      </w:r>
      <w:r>
        <w:rPr>
          <w:w w:val="105"/>
        </w:rPr>
        <w:t>undertakes</w:t>
      </w:r>
      <w:r>
        <w:rPr>
          <w:spacing w:val="-4"/>
          <w:w w:val="105"/>
        </w:rPr>
        <w:t> </w:t>
      </w:r>
      <w:r>
        <w:rPr>
          <w:w w:val="105"/>
        </w:rPr>
        <w:t>no</w:t>
      </w:r>
      <w:r>
        <w:rPr>
          <w:spacing w:val="-4"/>
          <w:w w:val="105"/>
        </w:rPr>
        <w:t> </w:t>
      </w:r>
      <w:r>
        <w:rPr>
          <w:w w:val="105"/>
        </w:rPr>
        <w:t>obligation to update publicly or revise any forward-looking statement, whether as a result of new information, </w:t>
      </w:r>
      <w:r>
        <w:rPr>
          <w:spacing w:val="2"/>
          <w:w w:val="105"/>
        </w:rPr>
        <w:t>future </w:t>
      </w:r>
      <w:r>
        <w:rPr>
          <w:w w:val="105"/>
        </w:rPr>
        <w:t>events, or</w:t>
      </w:r>
      <w:r>
        <w:rPr>
          <w:spacing w:val="-39"/>
          <w:w w:val="105"/>
        </w:rPr>
        <w:t> </w:t>
      </w:r>
      <w:r>
        <w:rPr>
          <w:w w:val="105"/>
        </w:rPr>
        <w:t>otherwise.</w:t>
      </w:r>
    </w:p>
    <w:p>
      <w:pPr>
        <w:pStyle w:val="Heading2"/>
        <w:spacing w:before="197"/>
        <w:jc w:val="both"/>
      </w:pPr>
      <w:r>
        <w:rPr>
          <w:w w:val="105"/>
        </w:rPr>
        <w:t>Item 7A. QUALITATIVE AND QUANTITATIVE DISCLOSURES ABOUT MARKET RISK</w:t>
      </w:r>
    </w:p>
    <w:p>
      <w:pPr>
        <w:pStyle w:val="BodyText"/>
        <w:spacing w:line="259" w:lineRule="auto" w:before="243"/>
        <w:ind w:left="115" w:right="107"/>
        <w:jc w:val="both"/>
      </w:pPr>
      <w:r>
        <w:rPr>
          <w:spacing w:val="3"/>
          <w:w w:val="105"/>
        </w:rPr>
        <w:t>Southwest </w:t>
      </w:r>
      <w:r>
        <w:rPr>
          <w:spacing w:val="2"/>
          <w:w w:val="105"/>
        </w:rPr>
        <w:t>has </w:t>
      </w:r>
      <w:r>
        <w:rPr>
          <w:spacing w:val="3"/>
          <w:w w:val="105"/>
        </w:rPr>
        <w:t>interest rate risk </w:t>
      </w:r>
      <w:r>
        <w:rPr>
          <w:w w:val="105"/>
        </w:rPr>
        <w:t>in </w:t>
      </w:r>
      <w:r>
        <w:rPr>
          <w:spacing w:val="2"/>
          <w:w w:val="105"/>
        </w:rPr>
        <w:t>its </w:t>
      </w:r>
      <w:r>
        <w:rPr>
          <w:spacing w:val="3"/>
          <w:w w:val="105"/>
        </w:rPr>
        <w:t>floating rate debt obligations </w:t>
      </w:r>
      <w:r>
        <w:rPr>
          <w:spacing w:val="2"/>
          <w:w w:val="105"/>
        </w:rPr>
        <w:t>and </w:t>
      </w:r>
      <w:r>
        <w:rPr>
          <w:spacing w:val="3"/>
          <w:w w:val="105"/>
        </w:rPr>
        <w:t>interest rate swaps, </w:t>
      </w:r>
      <w:r>
        <w:rPr>
          <w:spacing w:val="2"/>
          <w:w w:val="105"/>
        </w:rPr>
        <w:t>and </w:t>
      </w:r>
      <w:r>
        <w:rPr>
          <w:spacing w:val="4"/>
          <w:w w:val="105"/>
        </w:rPr>
        <w:t>has </w:t>
      </w:r>
      <w:r>
        <w:rPr>
          <w:w w:val="105"/>
        </w:rPr>
        <w:t>commodity price risk in jet fuel required to operate its aircraft fleet. The Company purchases jet fuel at </w:t>
      </w:r>
      <w:r>
        <w:rPr>
          <w:spacing w:val="2"/>
          <w:w w:val="105"/>
        </w:rPr>
        <w:t>prevailing market prices, </w:t>
      </w:r>
      <w:r>
        <w:rPr>
          <w:w w:val="105"/>
        </w:rPr>
        <w:t>but </w:t>
      </w:r>
      <w:r>
        <w:rPr>
          <w:spacing w:val="2"/>
          <w:w w:val="105"/>
        </w:rPr>
        <w:t>seeks </w:t>
      </w:r>
      <w:r>
        <w:rPr>
          <w:w w:val="105"/>
        </w:rPr>
        <w:t>to </w:t>
      </w:r>
      <w:r>
        <w:rPr>
          <w:spacing w:val="2"/>
          <w:w w:val="105"/>
        </w:rPr>
        <w:t>manage market risk through execution </w:t>
      </w:r>
      <w:r>
        <w:rPr>
          <w:w w:val="105"/>
        </w:rPr>
        <w:t>of a </w:t>
      </w:r>
      <w:r>
        <w:rPr>
          <w:spacing w:val="2"/>
          <w:w w:val="105"/>
        </w:rPr>
        <w:t>documented </w:t>
      </w:r>
      <w:r>
        <w:rPr>
          <w:spacing w:val="3"/>
          <w:w w:val="105"/>
        </w:rPr>
        <w:t>hedging </w:t>
      </w:r>
      <w:r>
        <w:rPr>
          <w:w w:val="105"/>
        </w:rPr>
        <w:t>strategy. Southwest has market sensitive instruments in the form of fixed rate debt instruments and financial derivative instruments used to hedge its exposure to jet fuel price increases. The Company also operates 96 aircraft under operating and capital leases. However, leases are not considered market sensitive financial</w:t>
      </w:r>
      <w:r>
        <w:rPr>
          <w:spacing w:val="55"/>
          <w:w w:val="105"/>
        </w:rPr>
        <w:t> </w:t>
      </w:r>
      <w:r>
        <w:rPr>
          <w:w w:val="105"/>
        </w:rPr>
        <w:t>instruments and, therefore, are not included in the interest rate sensitivity analysis below. Commitments related to leases are disclosed in Note 8 to the Consolidated Financial Statements. The Company does not purchase or hold any derivative financial instruments for trading purposes. See Note 2 to the Consolidated Financial Statements for information on the Company's accounting for its hedging program and Note 10 to the Consolidated Financial Statements for further details on the Company's financial derivative instruments.</w:t>
      </w:r>
    </w:p>
    <w:p>
      <w:pPr>
        <w:spacing w:after="0" w:line="259" w:lineRule="auto"/>
        <w:jc w:val="both"/>
        <w:sectPr>
          <w:pgSz w:w="12240" w:h="15840"/>
          <w:pgMar w:top="1080" w:bottom="280" w:left="1180" w:right="1180"/>
        </w:sectPr>
      </w:pPr>
    </w:p>
    <w:p>
      <w:pPr>
        <w:pStyle w:val="BodyText"/>
        <w:spacing w:line="218" w:lineRule="auto" w:before="118"/>
        <w:ind w:left="100" w:right="103"/>
        <w:jc w:val="both"/>
      </w:pPr>
      <w:r>
        <w:rPr>
          <w:w w:val="105"/>
          <w:u w:val="single"/>
        </w:rPr>
        <w:t>Fuel hedging</w:t>
      </w:r>
      <w:r>
        <w:rPr>
          <w:w w:val="105"/>
        </w:rPr>
        <w:t>. The Company utilizes its fuel hedges as a form of insurance against significant increases in  fuel prices. The Company believes there is significant risk in not hedging against the possibility of such fuel price increases. The Company expects to consume 1.2 billion gallons of jet fuel in 2004. Based on this</w:t>
      </w:r>
      <w:r>
        <w:rPr>
          <w:spacing w:val="55"/>
          <w:w w:val="105"/>
        </w:rPr>
        <w:t> </w:t>
      </w:r>
      <w:r>
        <w:rPr>
          <w:w w:val="105"/>
        </w:rPr>
        <w:t>usage, a change in jet fuel prices of just one cent per gallon would impact the Company’s “Fuel and </w:t>
      </w:r>
      <w:r>
        <w:rPr>
          <w:spacing w:val="2"/>
          <w:w w:val="105"/>
        </w:rPr>
        <w:t>oil </w:t>
      </w:r>
      <w:r>
        <w:rPr>
          <w:w w:val="105"/>
        </w:rPr>
        <w:t>expense”</w:t>
      </w:r>
      <w:r>
        <w:rPr>
          <w:spacing w:val="-16"/>
          <w:w w:val="105"/>
        </w:rPr>
        <w:t> </w:t>
      </w:r>
      <w:r>
        <w:rPr>
          <w:w w:val="105"/>
        </w:rPr>
        <w:t>by</w:t>
      </w:r>
      <w:r>
        <w:rPr>
          <w:spacing w:val="-16"/>
          <w:w w:val="105"/>
        </w:rPr>
        <w:t> </w:t>
      </w:r>
      <w:r>
        <w:rPr>
          <w:w w:val="105"/>
        </w:rPr>
        <w:t>approximately</w:t>
      </w:r>
      <w:r>
        <w:rPr>
          <w:spacing w:val="-16"/>
          <w:w w:val="105"/>
        </w:rPr>
        <w:t> </w:t>
      </w:r>
      <w:r>
        <w:rPr>
          <w:w w:val="105"/>
        </w:rPr>
        <w:t>$12</w:t>
      </w:r>
      <w:r>
        <w:rPr>
          <w:spacing w:val="-16"/>
          <w:w w:val="105"/>
        </w:rPr>
        <w:t> </w:t>
      </w:r>
      <w:r>
        <w:rPr>
          <w:w w:val="105"/>
        </w:rPr>
        <w:t>million</w:t>
      </w:r>
      <w:r>
        <w:rPr>
          <w:spacing w:val="-16"/>
          <w:w w:val="105"/>
        </w:rPr>
        <w:t> </w:t>
      </w:r>
      <w:r>
        <w:rPr>
          <w:w w:val="105"/>
        </w:rPr>
        <w:t>per</w:t>
      </w:r>
      <w:r>
        <w:rPr>
          <w:spacing w:val="-16"/>
          <w:w w:val="105"/>
        </w:rPr>
        <w:t> </w:t>
      </w:r>
      <w:r>
        <w:rPr>
          <w:w w:val="105"/>
        </w:rPr>
        <w:t>year.</w:t>
      </w:r>
    </w:p>
    <w:p>
      <w:pPr>
        <w:pStyle w:val="BodyText"/>
        <w:spacing w:line="218" w:lineRule="auto" w:before="246"/>
        <w:ind w:left="100" w:right="102"/>
        <w:jc w:val="both"/>
      </w:pPr>
      <w:r>
        <w:rPr>
          <w:w w:val="105"/>
        </w:rPr>
        <w:t>The fair values of outstanding financial derivative instruments related to the Company’s jet fuel market price risk at December 31, 2003, were net assets of $251 million. The current portion of these financial derivative instruments, or $164 million, is classified as “Fuel hedge contracts” in the Consolidated Balance Sheet. The long-term portion of these financial derivative instruments, or $87 million, is included in “Other assets.” The fair values of the derivative instruments, depending on the type of instrument, were determined by use of</w:t>
      </w:r>
      <w:r>
        <w:rPr>
          <w:spacing w:val="55"/>
          <w:w w:val="105"/>
        </w:rPr>
        <w:t> </w:t>
      </w:r>
      <w:r>
        <w:rPr>
          <w:w w:val="105"/>
        </w:rPr>
        <w:t>present value methods or standard option value models with assumptions about commodity prices based on those observed in underlying markets. An immediate ten percent increase or decrease in underlying fuel- related commodity prices from the December 31, 2003, prices would correspondingly change the fair value of the commodity derivative instruments in place by approximately $125 million. Changes in the related </w:t>
      </w:r>
      <w:r>
        <w:rPr>
          <w:spacing w:val="2"/>
          <w:w w:val="105"/>
        </w:rPr>
        <w:t>commodity derivative instrument cash flows </w:t>
      </w:r>
      <w:r>
        <w:rPr>
          <w:w w:val="105"/>
        </w:rPr>
        <w:t>may </w:t>
      </w:r>
      <w:r>
        <w:rPr>
          <w:spacing w:val="2"/>
          <w:w w:val="105"/>
        </w:rPr>
        <w:t>change </w:t>
      </w:r>
      <w:r>
        <w:rPr>
          <w:w w:val="105"/>
        </w:rPr>
        <w:t>by </w:t>
      </w:r>
      <w:r>
        <w:rPr>
          <w:spacing w:val="2"/>
          <w:w w:val="105"/>
        </w:rPr>
        <w:t>more </w:t>
      </w:r>
      <w:r>
        <w:rPr>
          <w:w w:val="105"/>
        </w:rPr>
        <w:t>or </w:t>
      </w:r>
      <w:r>
        <w:rPr>
          <w:spacing w:val="2"/>
          <w:w w:val="105"/>
        </w:rPr>
        <w:t>less than this amount based </w:t>
      </w:r>
      <w:r>
        <w:rPr>
          <w:spacing w:val="3"/>
          <w:w w:val="105"/>
        </w:rPr>
        <w:t>upon </w:t>
      </w:r>
      <w:r>
        <w:rPr>
          <w:w w:val="105"/>
        </w:rPr>
        <w:t>further fluctuations in futures prices as well as related income tax effects. This sensitivity analysis uses </w:t>
      </w:r>
      <w:r>
        <w:rPr>
          <w:spacing w:val="2"/>
          <w:w w:val="105"/>
        </w:rPr>
        <w:t>industry standard valuation models </w:t>
      </w:r>
      <w:r>
        <w:rPr>
          <w:w w:val="105"/>
        </w:rPr>
        <w:t>and </w:t>
      </w:r>
      <w:r>
        <w:rPr>
          <w:spacing w:val="2"/>
          <w:w w:val="105"/>
        </w:rPr>
        <w:t>holds </w:t>
      </w:r>
      <w:r>
        <w:rPr>
          <w:w w:val="105"/>
        </w:rPr>
        <w:t>all </w:t>
      </w:r>
      <w:r>
        <w:rPr>
          <w:spacing w:val="2"/>
          <w:w w:val="105"/>
        </w:rPr>
        <w:t>inputs constant </w:t>
      </w:r>
      <w:r>
        <w:rPr>
          <w:w w:val="105"/>
        </w:rPr>
        <w:t>at </w:t>
      </w:r>
      <w:r>
        <w:rPr>
          <w:spacing w:val="2"/>
          <w:w w:val="105"/>
        </w:rPr>
        <w:t>December </w:t>
      </w:r>
      <w:r>
        <w:rPr>
          <w:w w:val="105"/>
        </w:rPr>
        <w:t>31, </w:t>
      </w:r>
      <w:r>
        <w:rPr>
          <w:spacing w:val="2"/>
          <w:w w:val="105"/>
        </w:rPr>
        <w:t>2003, levels, </w:t>
      </w:r>
      <w:r>
        <w:rPr>
          <w:spacing w:val="3"/>
          <w:w w:val="105"/>
        </w:rPr>
        <w:t>except </w:t>
      </w:r>
      <w:r>
        <w:rPr>
          <w:w w:val="105"/>
        </w:rPr>
        <w:t>underlying</w:t>
      </w:r>
      <w:r>
        <w:rPr>
          <w:spacing w:val="-24"/>
          <w:w w:val="105"/>
        </w:rPr>
        <w:t> </w:t>
      </w:r>
      <w:r>
        <w:rPr>
          <w:w w:val="105"/>
        </w:rPr>
        <w:t>futures</w:t>
      </w:r>
      <w:r>
        <w:rPr>
          <w:spacing w:val="-24"/>
          <w:w w:val="105"/>
        </w:rPr>
        <w:t> </w:t>
      </w:r>
      <w:r>
        <w:rPr>
          <w:w w:val="105"/>
        </w:rPr>
        <w:t>prices.</w:t>
      </w:r>
    </w:p>
    <w:p>
      <w:pPr>
        <w:pStyle w:val="BodyText"/>
        <w:spacing w:line="218" w:lineRule="auto" w:before="222"/>
        <w:ind w:left="100" w:right="101"/>
        <w:jc w:val="both"/>
      </w:pPr>
      <w:r>
        <w:rPr>
          <w:spacing w:val="3"/>
          <w:w w:val="105"/>
          <w:u w:val="single"/>
        </w:rPr>
        <w:t>Financial market risk. </w:t>
      </w:r>
      <w:r>
        <w:rPr>
          <w:spacing w:val="3"/>
          <w:w w:val="105"/>
        </w:rPr>
        <w:t>Airline operators are </w:t>
      </w:r>
      <w:r>
        <w:rPr>
          <w:spacing w:val="4"/>
          <w:w w:val="105"/>
        </w:rPr>
        <w:t>inherently capital intensive </w:t>
      </w:r>
      <w:r>
        <w:rPr>
          <w:spacing w:val="2"/>
          <w:w w:val="105"/>
        </w:rPr>
        <w:t>as </w:t>
      </w:r>
      <w:r>
        <w:rPr>
          <w:spacing w:val="3"/>
          <w:w w:val="105"/>
        </w:rPr>
        <w:t>the vast </w:t>
      </w:r>
      <w:r>
        <w:rPr>
          <w:spacing w:val="4"/>
          <w:w w:val="105"/>
        </w:rPr>
        <w:t>majority </w:t>
      </w:r>
      <w:r>
        <w:rPr>
          <w:w w:val="105"/>
        </w:rPr>
        <w:t>of </w:t>
      </w:r>
      <w:r>
        <w:rPr>
          <w:spacing w:val="4"/>
          <w:w w:val="105"/>
        </w:rPr>
        <w:t>the </w:t>
      </w:r>
      <w:r>
        <w:rPr>
          <w:w w:val="105"/>
        </w:rPr>
        <w:t>Company’s </w:t>
      </w:r>
      <w:r>
        <w:rPr>
          <w:spacing w:val="2"/>
          <w:w w:val="105"/>
        </w:rPr>
        <w:t>assets </w:t>
      </w:r>
      <w:r>
        <w:rPr>
          <w:w w:val="105"/>
        </w:rPr>
        <w:t>are </w:t>
      </w:r>
      <w:r>
        <w:rPr>
          <w:spacing w:val="2"/>
          <w:w w:val="105"/>
        </w:rPr>
        <w:t>expensive aircraft, </w:t>
      </w:r>
      <w:r>
        <w:rPr>
          <w:w w:val="105"/>
        </w:rPr>
        <w:t>which are </w:t>
      </w:r>
      <w:r>
        <w:rPr>
          <w:spacing w:val="2"/>
          <w:w w:val="105"/>
        </w:rPr>
        <w:t>long-lived. </w:t>
      </w:r>
      <w:r>
        <w:rPr>
          <w:w w:val="105"/>
        </w:rPr>
        <w:t>The Company’s strategy is to capitalize</w:t>
      </w:r>
      <w:r>
        <w:rPr>
          <w:spacing w:val="55"/>
          <w:w w:val="105"/>
        </w:rPr>
        <w:t> </w:t>
      </w:r>
      <w:r>
        <w:rPr>
          <w:w w:val="105"/>
        </w:rPr>
        <w:t>conservatively and grow capacity steadily and profitably. While the Company uses financial leverage, it has </w:t>
      </w:r>
      <w:r>
        <w:rPr>
          <w:spacing w:val="2"/>
          <w:w w:val="105"/>
        </w:rPr>
        <w:t>maintained </w:t>
      </w:r>
      <w:r>
        <w:rPr>
          <w:w w:val="105"/>
        </w:rPr>
        <w:t>a </w:t>
      </w:r>
      <w:r>
        <w:rPr>
          <w:spacing w:val="2"/>
          <w:w w:val="105"/>
        </w:rPr>
        <w:t>strong balance sheet </w:t>
      </w:r>
      <w:r>
        <w:rPr>
          <w:w w:val="105"/>
        </w:rPr>
        <w:t>and an "A" </w:t>
      </w:r>
      <w:r>
        <w:rPr>
          <w:spacing w:val="2"/>
          <w:w w:val="105"/>
        </w:rPr>
        <w:t>credit rating </w:t>
      </w:r>
      <w:r>
        <w:rPr>
          <w:w w:val="105"/>
        </w:rPr>
        <w:t>on its </w:t>
      </w:r>
      <w:r>
        <w:rPr>
          <w:spacing w:val="2"/>
          <w:w w:val="105"/>
        </w:rPr>
        <w:t>senior unsecured fixed-rate debt </w:t>
      </w:r>
      <w:r>
        <w:rPr>
          <w:spacing w:val="3"/>
          <w:w w:val="105"/>
        </w:rPr>
        <w:t>with </w:t>
      </w:r>
      <w:r>
        <w:rPr>
          <w:w w:val="105"/>
        </w:rPr>
        <w:t>Standard &amp; Poor’s and Fitch ratings agencies, and a "Baa1" credit rating with Moody's rating agency. The Company's Aircraft Secured Notes and French Credit Agreements do not give rise to significant fair value risk but do give rise to interest rate risk because these borrowings are floating-rate debt. In addition, as </w:t>
      </w:r>
      <w:r>
        <w:rPr>
          <w:spacing w:val="2"/>
          <w:w w:val="105"/>
        </w:rPr>
        <w:t>disclosed </w:t>
      </w:r>
      <w:r>
        <w:rPr>
          <w:w w:val="105"/>
        </w:rPr>
        <w:t>in </w:t>
      </w:r>
      <w:r>
        <w:rPr>
          <w:spacing w:val="2"/>
          <w:w w:val="105"/>
        </w:rPr>
        <w:t>Note </w:t>
      </w:r>
      <w:r>
        <w:rPr>
          <w:w w:val="105"/>
        </w:rPr>
        <w:t>10 to the </w:t>
      </w:r>
      <w:r>
        <w:rPr>
          <w:spacing w:val="2"/>
          <w:w w:val="105"/>
        </w:rPr>
        <w:t>Consolidated Financial Statements, during 2003, </w:t>
      </w:r>
      <w:r>
        <w:rPr>
          <w:w w:val="105"/>
        </w:rPr>
        <w:t>the </w:t>
      </w:r>
      <w:r>
        <w:rPr>
          <w:spacing w:val="2"/>
          <w:w w:val="105"/>
        </w:rPr>
        <w:t>Company entered </w:t>
      </w:r>
      <w:r>
        <w:rPr>
          <w:spacing w:val="3"/>
          <w:w w:val="105"/>
        </w:rPr>
        <w:t>into </w:t>
      </w:r>
      <w:r>
        <w:rPr>
          <w:w w:val="105"/>
        </w:rPr>
        <w:t>interest rate swap agreements relating to its $385 million 6.5% senior unsecured notes due March 1, 2012, </w:t>
      </w:r>
      <w:r>
        <w:rPr>
          <w:spacing w:val="2"/>
          <w:w w:val="105"/>
        </w:rPr>
        <w:t>and </w:t>
      </w:r>
      <w:r>
        <w:rPr>
          <w:spacing w:val="3"/>
          <w:w w:val="105"/>
        </w:rPr>
        <w:t>$375 million 5.496% Class </w:t>
      </w:r>
      <w:r>
        <w:rPr>
          <w:spacing w:val="2"/>
          <w:w w:val="105"/>
        </w:rPr>
        <w:t>A-2 </w:t>
      </w:r>
      <w:r>
        <w:rPr>
          <w:spacing w:val="3"/>
          <w:w w:val="105"/>
        </w:rPr>
        <w:t>pass-through certificates </w:t>
      </w:r>
      <w:r>
        <w:rPr>
          <w:spacing w:val="2"/>
          <w:w w:val="105"/>
        </w:rPr>
        <w:t>due </w:t>
      </w:r>
      <w:r>
        <w:rPr>
          <w:spacing w:val="3"/>
          <w:w w:val="105"/>
        </w:rPr>
        <w:t>November </w:t>
      </w:r>
      <w:r>
        <w:rPr>
          <w:w w:val="105"/>
        </w:rPr>
        <w:t>1, </w:t>
      </w:r>
      <w:r>
        <w:rPr>
          <w:spacing w:val="3"/>
          <w:w w:val="105"/>
        </w:rPr>
        <w:t>2006. </w:t>
      </w:r>
      <w:r>
        <w:rPr>
          <w:spacing w:val="2"/>
          <w:w w:val="105"/>
        </w:rPr>
        <w:t>Due </w:t>
      </w:r>
      <w:r>
        <w:rPr>
          <w:w w:val="105"/>
        </w:rPr>
        <w:t>to </w:t>
      </w:r>
      <w:r>
        <w:rPr>
          <w:spacing w:val="4"/>
          <w:w w:val="105"/>
        </w:rPr>
        <w:t>these </w:t>
      </w:r>
      <w:r>
        <w:rPr>
          <w:w w:val="105"/>
        </w:rPr>
        <w:t>transactions, the Company considers these debts to also be at floating rates. Although there is interest rate risk associated with these floating rate borrowings, the risk for the Aircraft Secured Notes and French Credit Agreements is somewhat mitigated by the fact that the Company may prepay this debt on any of the semi- annual principal and interest payment dates. See Notes 6 and 7 to the Consolidated Financial Statements for more</w:t>
      </w:r>
      <w:r>
        <w:rPr>
          <w:spacing w:val="-14"/>
          <w:w w:val="105"/>
        </w:rPr>
        <w:t> </w:t>
      </w:r>
      <w:r>
        <w:rPr>
          <w:w w:val="105"/>
        </w:rPr>
        <w:t>information</w:t>
      </w:r>
      <w:r>
        <w:rPr>
          <w:spacing w:val="-14"/>
          <w:w w:val="105"/>
        </w:rPr>
        <w:t> </w:t>
      </w:r>
      <w:r>
        <w:rPr>
          <w:w w:val="105"/>
        </w:rPr>
        <w:t>on</w:t>
      </w:r>
      <w:r>
        <w:rPr>
          <w:spacing w:val="-14"/>
          <w:w w:val="105"/>
        </w:rPr>
        <w:t> </w:t>
      </w:r>
      <w:r>
        <w:rPr>
          <w:w w:val="105"/>
        </w:rPr>
        <w:t>the</w:t>
      </w:r>
      <w:r>
        <w:rPr>
          <w:spacing w:val="-14"/>
          <w:w w:val="105"/>
        </w:rPr>
        <w:t> </w:t>
      </w:r>
      <w:r>
        <w:rPr>
          <w:w w:val="105"/>
        </w:rPr>
        <w:t>material</w:t>
      </w:r>
      <w:r>
        <w:rPr>
          <w:spacing w:val="-14"/>
          <w:w w:val="105"/>
        </w:rPr>
        <w:t> </w:t>
      </w:r>
      <w:r>
        <w:rPr>
          <w:w w:val="105"/>
        </w:rPr>
        <w:t>terms</w:t>
      </w:r>
      <w:r>
        <w:rPr>
          <w:spacing w:val="-14"/>
          <w:w w:val="105"/>
        </w:rPr>
        <w:t> </w:t>
      </w:r>
      <w:r>
        <w:rPr>
          <w:w w:val="105"/>
        </w:rPr>
        <w:t>of</w:t>
      </w:r>
      <w:r>
        <w:rPr>
          <w:spacing w:val="-14"/>
          <w:w w:val="105"/>
        </w:rPr>
        <w:t> </w:t>
      </w:r>
      <w:r>
        <w:rPr>
          <w:w w:val="105"/>
        </w:rPr>
        <w:t>the</w:t>
      </w:r>
      <w:r>
        <w:rPr>
          <w:spacing w:val="-14"/>
          <w:w w:val="105"/>
        </w:rPr>
        <w:t> </w:t>
      </w:r>
      <w:r>
        <w:rPr>
          <w:w w:val="105"/>
        </w:rPr>
        <w:t>Company’s</w:t>
      </w:r>
      <w:r>
        <w:rPr>
          <w:spacing w:val="-14"/>
          <w:w w:val="105"/>
        </w:rPr>
        <w:t> </w:t>
      </w:r>
      <w:r>
        <w:rPr>
          <w:w w:val="105"/>
        </w:rPr>
        <w:t>short-term</w:t>
      </w:r>
      <w:r>
        <w:rPr>
          <w:spacing w:val="-14"/>
          <w:w w:val="105"/>
        </w:rPr>
        <w:t> </w:t>
      </w:r>
      <w:r>
        <w:rPr>
          <w:w w:val="105"/>
        </w:rPr>
        <w:t>and</w:t>
      </w:r>
      <w:r>
        <w:rPr>
          <w:spacing w:val="-14"/>
          <w:w w:val="105"/>
        </w:rPr>
        <w:t> </w:t>
      </w:r>
      <w:r>
        <w:rPr>
          <w:w w:val="105"/>
        </w:rPr>
        <w:t>long-term</w:t>
      </w:r>
      <w:r>
        <w:rPr>
          <w:spacing w:val="-14"/>
          <w:w w:val="105"/>
        </w:rPr>
        <w:t> </w:t>
      </w:r>
      <w:r>
        <w:rPr>
          <w:w w:val="105"/>
        </w:rPr>
        <w:t>debt.</w:t>
      </w:r>
    </w:p>
    <w:p>
      <w:pPr>
        <w:pStyle w:val="BodyText"/>
        <w:spacing w:line="218" w:lineRule="auto" w:before="222"/>
        <w:ind w:left="100" w:right="104"/>
        <w:jc w:val="both"/>
      </w:pPr>
      <w:r>
        <w:rPr>
          <w:w w:val="105"/>
        </w:rPr>
        <w:t>Excluding the $385 million 6.5% senior unsecured notes that were converted to a floating rate as previously noted, the Company had outstanding senior unsecured notes totaling $300 million at December 31, 2003.</w:t>
      </w:r>
      <w:r>
        <w:rPr>
          <w:spacing w:val="55"/>
          <w:w w:val="105"/>
        </w:rPr>
        <w:t> </w:t>
      </w:r>
      <w:r>
        <w:rPr>
          <w:spacing w:val="3"/>
          <w:w w:val="105"/>
        </w:rPr>
        <w:t>These senior unsecured notes currently have </w:t>
      </w:r>
      <w:r>
        <w:rPr>
          <w:w w:val="105"/>
        </w:rPr>
        <w:t>a </w:t>
      </w:r>
      <w:r>
        <w:rPr>
          <w:spacing w:val="3"/>
          <w:w w:val="105"/>
        </w:rPr>
        <w:t>weighted-average maturity </w:t>
      </w:r>
      <w:r>
        <w:rPr>
          <w:w w:val="105"/>
        </w:rPr>
        <w:t>of </w:t>
      </w:r>
      <w:r>
        <w:rPr>
          <w:spacing w:val="2"/>
          <w:w w:val="105"/>
        </w:rPr>
        <w:t>9.3 </w:t>
      </w:r>
      <w:r>
        <w:rPr>
          <w:spacing w:val="3"/>
          <w:w w:val="105"/>
        </w:rPr>
        <w:t>years </w:t>
      </w:r>
      <w:r>
        <w:rPr>
          <w:w w:val="105"/>
        </w:rPr>
        <w:t>at </w:t>
      </w:r>
      <w:r>
        <w:rPr>
          <w:spacing w:val="3"/>
          <w:w w:val="105"/>
        </w:rPr>
        <w:t>fixed </w:t>
      </w:r>
      <w:r>
        <w:rPr>
          <w:spacing w:val="4"/>
          <w:w w:val="105"/>
        </w:rPr>
        <w:t>rates </w:t>
      </w:r>
      <w:r>
        <w:rPr>
          <w:w w:val="105"/>
        </w:rPr>
        <w:t>averaging 7.75 percent at December 31, 2003, which is comparable to average rates prevailing for similar debt instruments over the last ten years. The fixed-rate portion of the Company’s pass-through certificates consists of its Class A certificates and Class B certificates, which totaled $193 million at December 31, 2003. These Class A and Class B certificates had a weighted-average maturity of 2.3 years at fixed rates  averaging</w:t>
      </w:r>
    </w:p>
    <w:p>
      <w:pPr>
        <w:pStyle w:val="BodyText"/>
        <w:spacing w:line="218" w:lineRule="auto" w:before="1"/>
        <w:ind w:left="100" w:right="104"/>
        <w:jc w:val="both"/>
      </w:pPr>
      <w:r>
        <w:rPr>
          <w:w w:val="105"/>
        </w:rPr>
        <w:t>5.58 percent at December 31, 2003. The carrying value of the Company’s floating rate debt totaled $964 million, and this debt had a weighted-average maturity of 4.6 years at floating rates averaging 1.47 percent at December 31, 2003.  In total, the Company's fixed rate debt and floating rate debt represented 6.5 percent  and</w:t>
      </w:r>
      <w:r>
        <w:rPr>
          <w:spacing w:val="-15"/>
          <w:w w:val="105"/>
        </w:rPr>
        <w:t> </w:t>
      </w:r>
      <w:r>
        <w:rPr>
          <w:w w:val="105"/>
        </w:rPr>
        <w:t>13.0</w:t>
      </w:r>
      <w:r>
        <w:rPr>
          <w:spacing w:val="-15"/>
          <w:w w:val="105"/>
        </w:rPr>
        <w:t> </w:t>
      </w:r>
      <w:r>
        <w:rPr>
          <w:w w:val="105"/>
        </w:rPr>
        <w:t>percent,</w:t>
      </w:r>
      <w:r>
        <w:rPr>
          <w:spacing w:val="-15"/>
          <w:w w:val="105"/>
        </w:rPr>
        <w:t> </w:t>
      </w:r>
      <w:r>
        <w:rPr>
          <w:w w:val="105"/>
        </w:rPr>
        <w:t>respectively,</w:t>
      </w:r>
      <w:r>
        <w:rPr>
          <w:spacing w:val="-15"/>
          <w:w w:val="105"/>
        </w:rPr>
        <w:t> </w:t>
      </w:r>
      <w:r>
        <w:rPr>
          <w:w w:val="105"/>
        </w:rPr>
        <w:t>of</w:t>
      </w:r>
      <w:r>
        <w:rPr>
          <w:spacing w:val="-15"/>
          <w:w w:val="105"/>
        </w:rPr>
        <w:t> </w:t>
      </w:r>
      <w:r>
        <w:rPr>
          <w:w w:val="105"/>
        </w:rPr>
        <w:t>total</w:t>
      </w:r>
      <w:r>
        <w:rPr>
          <w:spacing w:val="-15"/>
          <w:w w:val="105"/>
        </w:rPr>
        <w:t> </w:t>
      </w:r>
      <w:r>
        <w:rPr>
          <w:w w:val="105"/>
        </w:rPr>
        <w:t>noncurrent</w:t>
      </w:r>
      <w:r>
        <w:rPr>
          <w:spacing w:val="-15"/>
          <w:w w:val="105"/>
        </w:rPr>
        <w:t> </w:t>
      </w:r>
      <w:r>
        <w:rPr>
          <w:w w:val="105"/>
        </w:rPr>
        <w:t>assets</w:t>
      </w:r>
      <w:r>
        <w:rPr>
          <w:spacing w:val="-15"/>
          <w:w w:val="105"/>
        </w:rPr>
        <w:t> </w:t>
      </w:r>
      <w:r>
        <w:rPr>
          <w:w w:val="105"/>
        </w:rPr>
        <w:t>at</w:t>
      </w:r>
      <w:r>
        <w:rPr>
          <w:spacing w:val="-15"/>
          <w:w w:val="105"/>
        </w:rPr>
        <w:t> </w:t>
      </w:r>
      <w:r>
        <w:rPr>
          <w:w w:val="105"/>
        </w:rPr>
        <w:t>December</w:t>
      </w:r>
      <w:r>
        <w:rPr>
          <w:spacing w:val="-14"/>
          <w:w w:val="105"/>
        </w:rPr>
        <w:t> </w:t>
      </w:r>
      <w:r>
        <w:rPr>
          <w:w w:val="105"/>
        </w:rPr>
        <w:t>31,</w:t>
      </w:r>
      <w:r>
        <w:rPr>
          <w:spacing w:val="-15"/>
          <w:w w:val="105"/>
        </w:rPr>
        <w:t> </w:t>
      </w:r>
      <w:r>
        <w:rPr>
          <w:w w:val="105"/>
        </w:rPr>
        <w:t>2003.</w:t>
      </w:r>
    </w:p>
    <w:p>
      <w:pPr>
        <w:pStyle w:val="BodyText"/>
        <w:spacing w:line="218" w:lineRule="auto" w:before="221"/>
        <w:ind w:left="100" w:right="104"/>
        <w:jc w:val="both"/>
      </w:pPr>
      <w:r>
        <w:rPr>
          <w:w w:val="105"/>
        </w:rPr>
        <w:t>The Company also has some risk associated with changing interest rates due to the short-term nature of its invested cash, which totaled $1.9 billion at December 31, 2003. The Company invests available cash in</w:t>
      </w:r>
      <w:r>
        <w:rPr>
          <w:spacing w:val="55"/>
          <w:w w:val="105"/>
        </w:rPr>
        <w:t> </w:t>
      </w:r>
      <w:r>
        <w:rPr>
          <w:w w:val="105"/>
        </w:rPr>
        <w:t>certificates of deposit, highly rated money markets, investment grade commercial paper, and other </w:t>
      </w:r>
      <w:r>
        <w:rPr>
          <w:spacing w:val="2"/>
          <w:w w:val="105"/>
        </w:rPr>
        <w:t>highly </w:t>
      </w:r>
      <w:r>
        <w:rPr>
          <w:w w:val="105"/>
        </w:rPr>
        <w:t>rated financial instruments. Because of the short-term nature of these investments, the returns earned parallel closely with short-term floating interest rates. The Company has not undertaken any additional actions to cover interest rate market risk and is not a party to any other material market interest rate risk management activities.</w:t>
      </w:r>
    </w:p>
    <w:p>
      <w:pPr>
        <w:pStyle w:val="BodyText"/>
        <w:tabs>
          <w:tab w:pos="1429" w:val="left" w:leader="none"/>
          <w:tab w:pos="7898" w:val="left" w:leader="none"/>
        </w:tabs>
        <w:spacing w:line="218" w:lineRule="auto" w:before="221"/>
        <w:ind w:left="100" w:right="103" w:hanging="8"/>
        <w:jc w:val="center"/>
      </w:pPr>
      <w:r>
        <w:rPr>
          <w:w w:val="105"/>
        </w:rPr>
        <w:t>A </w:t>
      </w:r>
      <w:r>
        <w:rPr>
          <w:spacing w:val="2"/>
          <w:w w:val="105"/>
        </w:rPr>
        <w:t>hypothetical </w:t>
      </w:r>
      <w:r>
        <w:rPr>
          <w:w w:val="105"/>
        </w:rPr>
        <w:t>ten </w:t>
      </w:r>
      <w:r>
        <w:rPr>
          <w:spacing w:val="2"/>
          <w:w w:val="105"/>
        </w:rPr>
        <w:t>percent change </w:t>
      </w:r>
      <w:r>
        <w:rPr>
          <w:w w:val="105"/>
        </w:rPr>
        <w:t>in </w:t>
      </w:r>
      <w:r>
        <w:rPr>
          <w:spacing w:val="2"/>
          <w:w w:val="105"/>
        </w:rPr>
        <w:t>market interest rates </w:t>
      </w:r>
      <w:r>
        <w:rPr>
          <w:w w:val="105"/>
        </w:rPr>
        <w:t>as of </w:t>
      </w:r>
      <w:r>
        <w:rPr>
          <w:spacing w:val="2"/>
          <w:w w:val="105"/>
        </w:rPr>
        <w:t>December </w:t>
      </w:r>
      <w:r>
        <w:rPr>
          <w:w w:val="105"/>
        </w:rPr>
        <w:t>31, </w:t>
      </w:r>
      <w:r>
        <w:rPr>
          <w:spacing w:val="2"/>
          <w:w w:val="105"/>
        </w:rPr>
        <w:t>2003, would </w:t>
      </w:r>
      <w:r>
        <w:rPr>
          <w:w w:val="105"/>
        </w:rPr>
        <w:t>not </w:t>
      </w:r>
      <w:r>
        <w:rPr>
          <w:spacing w:val="2"/>
          <w:w w:val="105"/>
        </w:rPr>
        <w:t>have </w:t>
      </w:r>
      <w:r>
        <w:rPr>
          <w:w w:val="105"/>
        </w:rPr>
        <w:t>a </w:t>
      </w:r>
      <w:r>
        <w:rPr>
          <w:spacing w:val="3"/>
          <w:w w:val="105"/>
        </w:rPr>
        <w:t>material</w:t>
      </w:r>
      <w:r>
        <w:rPr>
          <w:spacing w:val="44"/>
          <w:w w:val="105"/>
        </w:rPr>
        <w:t> </w:t>
      </w:r>
      <w:r>
        <w:rPr>
          <w:spacing w:val="3"/>
          <w:w w:val="105"/>
        </w:rPr>
        <w:t>effect</w:t>
      </w:r>
      <w:r>
        <w:rPr>
          <w:spacing w:val="44"/>
          <w:w w:val="105"/>
        </w:rPr>
        <w:t> </w:t>
      </w:r>
      <w:r>
        <w:rPr>
          <w:w w:val="105"/>
        </w:rPr>
        <w:t>on</w:t>
      </w:r>
      <w:r>
        <w:rPr>
          <w:spacing w:val="44"/>
          <w:w w:val="105"/>
        </w:rPr>
        <w:t> </w:t>
      </w:r>
      <w:r>
        <w:rPr>
          <w:spacing w:val="2"/>
          <w:w w:val="105"/>
        </w:rPr>
        <w:t>the</w:t>
      </w:r>
      <w:r>
        <w:rPr>
          <w:spacing w:val="44"/>
          <w:w w:val="105"/>
        </w:rPr>
        <w:t> </w:t>
      </w:r>
      <w:r>
        <w:rPr>
          <w:spacing w:val="3"/>
          <w:w w:val="105"/>
        </w:rPr>
        <w:t>fair</w:t>
      </w:r>
      <w:r>
        <w:rPr>
          <w:spacing w:val="44"/>
          <w:w w:val="105"/>
        </w:rPr>
        <w:t> </w:t>
      </w:r>
      <w:r>
        <w:rPr>
          <w:spacing w:val="3"/>
          <w:w w:val="105"/>
        </w:rPr>
        <w:t>value</w:t>
      </w:r>
      <w:r>
        <w:rPr>
          <w:spacing w:val="44"/>
          <w:w w:val="105"/>
        </w:rPr>
        <w:t> </w:t>
      </w:r>
      <w:r>
        <w:rPr>
          <w:w w:val="105"/>
        </w:rPr>
        <w:t>of</w:t>
      </w:r>
      <w:r>
        <w:rPr>
          <w:spacing w:val="44"/>
          <w:w w:val="105"/>
        </w:rPr>
        <w:t> </w:t>
      </w:r>
      <w:r>
        <w:rPr>
          <w:spacing w:val="2"/>
          <w:w w:val="105"/>
        </w:rPr>
        <w:t>the</w:t>
      </w:r>
      <w:r>
        <w:rPr>
          <w:spacing w:val="44"/>
          <w:w w:val="105"/>
        </w:rPr>
        <w:t> </w:t>
      </w:r>
      <w:r>
        <w:rPr>
          <w:spacing w:val="3"/>
          <w:w w:val="105"/>
        </w:rPr>
        <w:t>Company's</w:t>
      </w:r>
      <w:r>
        <w:rPr>
          <w:spacing w:val="44"/>
          <w:w w:val="105"/>
        </w:rPr>
        <w:t> </w:t>
      </w:r>
      <w:r>
        <w:rPr>
          <w:spacing w:val="3"/>
          <w:w w:val="105"/>
        </w:rPr>
        <w:t>fixed</w:t>
      </w:r>
      <w:r>
        <w:rPr>
          <w:spacing w:val="44"/>
          <w:w w:val="105"/>
        </w:rPr>
        <w:t> </w:t>
      </w:r>
      <w:r>
        <w:rPr>
          <w:spacing w:val="3"/>
          <w:w w:val="105"/>
        </w:rPr>
        <w:t>rate</w:t>
      </w:r>
      <w:r>
        <w:rPr>
          <w:spacing w:val="44"/>
          <w:w w:val="105"/>
        </w:rPr>
        <w:t> </w:t>
      </w:r>
      <w:r>
        <w:rPr>
          <w:spacing w:val="3"/>
          <w:w w:val="105"/>
        </w:rPr>
        <w:t>debt</w:t>
      </w:r>
      <w:r>
        <w:rPr>
          <w:spacing w:val="44"/>
          <w:w w:val="105"/>
        </w:rPr>
        <w:t> </w:t>
      </w:r>
      <w:r>
        <w:rPr>
          <w:spacing w:val="3"/>
          <w:w w:val="105"/>
        </w:rPr>
        <w:t>instruments.</w:t>
        <w:tab/>
      </w:r>
      <w:r>
        <w:rPr>
          <w:spacing w:val="2"/>
          <w:w w:val="105"/>
        </w:rPr>
        <w:t>See  </w:t>
      </w:r>
      <w:r>
        <w:rPr>
          <w:spacing w:val="3"/>
          <w:w w:val="105"/>
        </w:rPr>
        <w:t>Note  </w:t>
      </w:r>
      <w:r>
        <w:rPr>
          <w:w w:val="105"/>
        </w:rPr>
        <w:t>10</w:t>
      </w:r>
      <w:r>
        <w:rPr>
          <w:spacing w:val="21"/>
          <w:w w:val="105"/>
        </w:rPr>
        <w:t> </w:t>
      </w:r>
      <w:r>
        <w:rPr>
          <w:w w:val="105"/>
        </w:rPr>
        <w:t>to</w:t>
      </w:r>
      <w:r>
        <w:rPr>
          <w:spacing w:val="47"/>
          <w:w w:val="105"/>
        </w:rPr>
        <w:t> </w:t>
      </w:r>
      <w:r>
        <w:rPr>
          <w:spacing w:val="4"/>
          <w:w w:val="105"/>
        </w:rPr>
        <w:t>the</w:t>
      </w:r>
      <w:r>
        <w:rPr>
          <w:spacing w:val="4"/>
          <w:w w:val="102"/>
        </w:rPr>
        <w:t> </w:t>
      </w:r>
      <w:r>
        <w:rPr>
          <w:spacing w:val="2"/>
          <w:w w:val="105"/>
        </w:rPr>
        <w:t>Consolidated Financial Statements </w:t>
      </w:r>
      <w:r>
        <w:rPr>
          <w:w w:val="105"/>
        </w:rPr>
        <w:t>for </w:t>
      </w:r>
      <w:r>
        <w:rPr>
          <w:spacing w:val="2"/>
          <w:w w:val="105"/>
        </w:rPr>
        <w:t>further information </w:t>
      </w:r>
      <w:r>
        <w:rPr>
          <w:w w:val="105"/>
        </w:rPr>
        <w:t>on the </w:t>
      </w:r>
      <w:r>
        <w:rPr>
          <w:spacing w:val="2"/>
          <w:w w:val="105"/>
        </w:rPr>
        <w:t>fair value </w:t>
      </w:r>
      <w:r>
        <w:rPr>
          <w:w w:val="105"/>
        </w:rPr>
        <w:t>of the </w:t>
      </w:r>
      <w:r>
        <w:rPr>
          <w:spacing w:val="2"/>
          <w:w w:val="105"/>
        </w:rPr>
        <w:t>Company's </w:t>
      </w:r>
      <w:r>
        <w:rPr>
          <w:spacing w:val="3"/>
          <w:w w:val="105"/>
        </w:rPr>
        <w:t>financial instruments.</w:t>
        <w:tab/>
      </w:r>
      <w:r>
        <w:rPr>
          <w:w w:val="105"/>
        </w:rPr>
        <w:t>A</w:t>
      </w:r>
      <w:r>
        <w:rPr>
          <w:spacing w:val="45"/>
          <w:w w:val="105"/>
        </w:rPr>
        <w:t> </w:t>
      </w:r>
      <w:r>
        <w:rPr>
          <w:spacing w:val="3"/>
          <w:w w:val="105"/>
        </w:rPr>
        <w:t>change</w:t>
      </w:r>
      <w:r>
        <w:rPr>
          <w:spacing w:val="45"/>
          <w:w w:val="105"/>
        </w:rPr>
        <w:t> </w:t>
      </w:r>
      <w:r>
        <w:rPr>
          <w:w w:val="105"/>
        </w:rPr>
        <w:t>in</w:t>
      </w:r>
      <w:r>
        <w:rPr>
          <w:spacing w:val="45"/>
          <w:w w:val="105"/>
        </w:rPr>
        <w:t> </w:t>
      </w:r>
      <w:r>
        <w:rPr>
          <w:spacing w:val="3"/>
          <w:w w:val="105"/>
        </w:rPr>
        <w:t>market</w:t>
      </w:r>
      <w:r>
        <w:rPr>
          <w:spacing w:val="45"/>
          <w:w w:val="105"/>
        </w:rPr>
        <w:t> </w:t>
      </w:r>
      <w:r>
        <w:rPr>
          <w:spacing w:val="3"/>
          <w:w w:val="105"/>
        </w:rPr>
        <w:t>interest</w:t>
      </w:r>
      <w:r>
        <w:rPr>
          <w:spacing w:val="45"/>
          <w:w w:val="105"/>
        </w:rPr>
        <w:t> </w:t>
      </w:r>
      <w:r>
        <w:rPr>
          <w:spacing w:val="3"/>
          <w:w w:val="105"/>
        </w:rPr>
        <w:t>rates</w:t>
      </w:r>
      <w:r>
        <w:rPr>
          <w:spacing w:val="45"/>
          <w:w w:val="105"/>
        </w:rPr>
        <w:t> </w:t>
      </w:r>
      <w:r>
        <w:rPr>
          <w:spacing w:val="3"/>
          <w:w w:val="105"/>
        </w:rPr>
        <w:t>could,</w:t>
      </w:r>
      <w:r>
        <w:rPr>
          <w:spacing w:val="45"/>
          <w:w w:val="105"/>
        </w:rPr>
        <w:t> </w:t>
      </w:r>
      <w:r>
        <w:rPr>
          <w:spacing w:val="3"/>
          <w:w w:val="105"/>
        </w:rPr>
        <w:t>however,</w:t>
      </w:r>
      <w:r>
        <w:rPr>
          <w:spacing w:val="45"/>
          <w:w w:val="105"/>
        </w:rPr>
        <w:t> </w:t>
      </w:r>
      <w:r>
        <w:rPr>
          <w:spacing w:val="3"/>
          <w:w w:val="105"/>
        </w:rPr>
        <w:t>have</w:t>
      </w:r>
      <w:r>
        <w:rPr>
          <w:spacing w:val="45"/>
          <w:w w:val="105"/>
        </w:rPr>
        <w:t> </w:t>
      </w:r>
      <w:r>
        <w:rPr>
          <w:w w:val="105"/>
        </w:rPr>
        <w:t>a</w:t>
      </w:r>
      <w:r>
        <w:rPr>
          <w:spacing w:val="45"/>
          <w:w w:val="105"/>
        </w:rPr>
        <w:t> </w:t>
      </w:r>
      <w:r>
        <w:rPr>
          <w:spacing w:val="3"/>
          <w:w w:val="105"/>
        </w:rPr>
        <w:t>corresponding</w:t>
      </w:r>
      <w:r>
        <w:rPr>
          <w:spacing w:val="45"/>
          <w:w w:val="105"/>
        </w:rPr>
        <w:t> </w:t>
      </w:r>
      <w:r>
        <w:rPr>
          <w:spacing w:val="3"/>
          <w:w w:val="105"/>
        </w:rPr>
        <w:t>effect</w:t>
      </w:r>
      <w:r>
        <w:rPr>
          <w:spacing w:val="45"/>
          <w:w w:val="105"/>
        </w:rPr>
        <w:t> </w:t>
      </w:r>
      <w:r>
        <w:rPr>
          <w:w w:val="105"/>
        </w:rPr>
        <w:t>on</w:t>
      </w:r>
      <w:r>
        <w:rPr>
          <w:spacing w:val="45"/>
          <w:w w:val="105"/>
        </w:rPr>
        <w:t> </w:t>
      </w:r>
      <w:r>
        <w:rPr>
          <w:spacing w:val="4"/>
          <w:w w:val="105"/>
        </w:rPr>
        <w:t>the</w:t>
      </w:r>
      <w:r>
        <w:rPr>
          <w:spacing w:val="4"/>
          <w:w w:val="102"/>
        </w:rPr>
        <w:t> </w:t>
      </w:r>
      <w:r>
        <w:rPr>
          <w:spacing w:val="2"/>
          <w:w w:val="105"/>
        </w:rPr>
        <w:t>Company's earnings </w:t>
      </w:r>
      <w:r>
        <w:rPr>
          <w:w w:val="105"/>
        </w:rPr>
        <w:t>and </w:t>
      </w:r>
      <w:r>
        <w:rPr>
          <w:spacing w:val="2"/>
          <w:w w:val="105"/>
        </w:rPr>
        <w:t>cash flows associated with </w:t>
      </w:r>
      <w:r>
        <w:rPr>
          <w:w w:val="105"/>
        </w:rPr>
        <w:t>its </w:t>
      </w:r>
      <w:r>
        <w:rPr>
          <w:spacing w:val="2"/>
          <w:w w:val="105"/>
        </w:rPr>
        <w:t>floating rate debt, invested cash, </w:t>
      </w:r>
      <w:r>
        <w:rPr>
          <w:w w:val="105"/>
        </w:rPr>
        <w:t>and </w:t>
      </w:r>
      <w:r>
        <w:rPr>
          <w:spacing w:val="3"/>
          <w:w w:val="105"/>
        </w:rPr>
        <w:t>short-term </w:t>
      </w:r>
      <w:r>
        <w:rPr>
          <w:w w:val="105"/>
        </w:rPr>
        <w:t>investments because of the floating-rate nature of these items. Assuming floating market rates in effect as of December 31, 2003, were held constant throughout a 12-month period, a hypothetical ten percent change  </w:t>
      </w:r>
      <w:r>
        <w:rPr>
          <w:spacing w:val="11"/>
          <w:w w:val="105"/>
        </w:rPr>
        <w:t> </w:t>
      </w:r>
      <w:r>
        <w:rPr>
          <w:w w:val="105"/>
        </w:rPr>
        <w:t>in</w:t>
      </w:r>
    </w:p>
    <w:p>
      <w:pPr>
        <w:pStyle w:val="BodyText"/>
        <w:spacing w:before="74"/>
        <w:ind w:left="4680" w:right="4685"/>
        <w:jc w:val="center"/>
      </w:pPr>
      <w:r>
        <w:rPr>
          <w:w w:val="105"/>
        </w:rPr>
        <w:t>A-28</w:t>
      </w:r>
    </w:p>
    <w:p>
      <w:pPr>
        <w:spacing w:after="0"/>
        <w:jc w:val="center"/>
        <w:sectPr>
          <w:pgSz w:w="12240" w:h="15840"/>
          <w:pgMar w:top="1080" w:bottom="280" w:left="1200" w:right="1180"/>
        </w:sectPr>
      </w:pPr>
    </w:p>
    <w:p>
      <w:pPr>
        <w:pStyle w:val="BodyText"/>
        <w:spacing w:line="218" w:lineRule="auto" w:before="118"/>
        <w:ind w:left="100" w:right="103"/>
        <w:jc w:val="both"/>
      </w:pPr>
      <w:r>
        <w:rPr>
          <w:w w:val="105"/>
        </w:rPr>
        <w:t>those rates would correspondingly change the Company's net earnings and cash flows associated with these items by less than $1 million. Utilizing these assumptions and considering the Company’s cash balance, short-term investments, and floating-rate debt outstanding at December 31, 2003, an increase in rates would have a net positive effect on the Company’s earnings and cash flows, while a decrease in rates would have a net negative effect on the Company’s earnings and cash flows. However, a ten percent change in </w:t>
      </w:r>
      <w:r>
        <w:rPr>
          <w:spacing w:val="2"/>
          <w:w w:val="105"/>
        </w:rPr>
        <w:t>market  </w:t>
      </w:r>
      <w:r>
        <w:rPr>
          <w:w w:val="105"/>
        </w:rPr>
        <w:t>rates would not impact the Company's earnings or cash flow associated with the Company's publicly traded fixed-rate</w:t>
      </w:r>
      <w:r>
        <w:rPr>
          <w:spacing w:val="-28"/>
          <w:w w:val="105"/>
        </w:rPr>
        <w:t> </w:t>
      </w:r>
      <w:r>
        <w:rPr>
          <w:w w:val="105"/>
        </w:rPr>
        <w:t>debt.</w:t>
      </w:r>
    </w:p>
    <w:p>
      <w:pPr>
        <w:pStyle w:val="BodyText"/>
        <w:spacing w:line="218" w:lineRule="auto" w:before="222"/>
        <w:ind w:left="100" w:right="103"/>
        <w:jc w:val="both"/>
      </w:pPr>
      <w:r>
        <w:rPr>
          <w:w w:val="105"/>
        </w:rPr>
        <w:t>The Company is also subject to various financial covenants included in its credit card transaction processing agreement, the revolving credit facility, and outstanding debt agreements. Covenants included the maintenance of minimum credit ratings and minimum asset fair values. The Company met or exceeded the minimum standards set forth in these agreements as of December 31, 2003. However, if conditions change and the Company failed to meet the minimum standards set forth in the agreements, it could reduce the availability of cash under the agreements or increase the costs to keep these agreements intact as written.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p>
    <w:p>
      <w:pPr>
        <w:pStyle w:val="BodyText"/>
        <w:spacing w:before="113"/>
        <w:ind w:left="4680" w:right="4685"/>
        <w:jc w:val="center"/>
      </w:pPr>
      <w:r>
        <w:rPr>
          <w:w w:val="105"/>
        </w:rPr>
        <w:t>A-29</w:t>
      </w:r>
    </w:p>
    <w:p>
      <w:pPr>
        <w:spacing w:after="0"/>
        <w:jc w:val="center"/>
        <w:sectPr>
          <w:pgSz w:w="12240" w:h="15840"/>
          <w:pgMar w:top="1080" w:bottom="280" w:left="1200" w:right="1180"/>
        </w:sectPr>
      </w:pPr>
    </w:p>
    <w:p>
      <w:pPr>
        <w:spacing w:before="103"/>
        <w:ind w:left="115" w:right="0" w:firstLine="0"/>
        <w:jc w:val="left"/>
        <w:rPr>
          <w:b/>
          <w:sz w:val="19"/>
        </w:rPr>
      </w:pPr>
      <w:bookmarkStart w:name="Financial Statements" w:id="35"/>
      <w:bookmarkEnd w:id="35"/>
      <w:r>
        <w:rPr/>
      </w:r>
      <w:bookmarkStart w:name="Balance Sheet" w:id="36"/>
      <w:bookmarkEnd w:id="36"/>
      <w:r>
        <w:rPr/>
      </w:r>
      <w:r>
        <w:rPr>
          <w:b/>
          <w:w w:val="105"/>
          <w:sz w:val="19"/>
        </w:rPr>
        <w:t>ITEM 8. FINANCIAL STATEMENTS AND SUPPLEMENTARY DATA</w:t>
      </w:r>
    </w:p>
    <w:p>
      <w:pPr>
        <w:spacing w:line="290" w:lineRule="auto" w:before="49"/>
        <w:ind w:left="173" w:right="5849" w:firstLine="0"/>
        <w:jc w:val="left"/>
        <w:rPr>
          <w:rFonts w:ascii="Arial"/>
          <w:b/>
          <w:sz w:val="20"/>
        </w:rPr>
      </w:pPr>
      <w:r>
        <w:rPr>
          <w:rFonts w:ascii="Arial"/>
          <w:b/>
          <w:sz w:val="20"/>
        </w:rPr>
        <w:t>SOUTHWEST AIRLINES CO. CONSOLIDATED BALANCE SHEET</w:t>
      </w:r>
    </w:p>
    <w:p>
      <w:pPr>
        <w:tabs>
          <w:tab w:pos="6456" w:val="left" w:leader="none"/>
          <w:tab w:pos="7560" w:val="left" w:leader="none"/>
          <w:tab w:pos="10133" w:val="left" w:leader="none"/>
        </w:tabs>
        <w:spacing w:before="1"/>
        <w:ind w:left="168" w:right="0" w:firstLine="0"/>
        <w:jc w:val="left"/>
        <w:rPr>
          <w:rFonts w:ascii="Arial"/>
          <w:b/>
          <w:sz w:val="20"/>
        </w:rPr>
      </w:pPr>
      <w:r>
        <w:rPr>
          <w:rFonts w:ascii="Arial"/>
          <w:w w:val="110"/>
          <w:sz w:val="20"/>
        </w:rPr>
        <w:t>(In millions, except</w:t>
      </w:r>
      <w:r>
        <w:rPr>
          <w:rFonts w:ascii="Arial"/>
          <w:spacing w:val="6"/>
          <w:w w:val="110"/>
          <w:sz w:val="20"/>
        </w:rPr>
        <w:t> </w:t>
      </w:r>
      <w:r>
        <w:rPr>
          <w:rFonts w:ascii="Arial"/>
          <w:w w:val="110"/>
          <w:sz w:val="20"/>
        </w:rPr>
        <w:t>share</w:t>
      </w:r>
      <w:r>
        <w:rPr>
          <w:rFonts w:ascii="Arial"/>
          <w:spacing w:val="2"/>
          <w:w w:val="110"/>
          <w:sz w:val="20"/>
        </w:rPr>
        <w:t> </w:t>
      </w:r>
      <w:r>
        <w:rPr>
          <w:rFonts w:ascii="Arial"/>
          <w:w w:val="110"/>
          <w:sz w:val="20"/>
        </w:rPr>
        <w:t>data)</w:t>
        <w:tab/>
      </w:r>
      <w:r>
        <w:rPr>
          <w:rFonts w:ascii="Arial"/>
          <w:w w:val="110"/>
          <w:sz w:val="20"/>
          <w:u w:val="single"/>
        </w:rPr>
        <w:t> </w:t>
        <w:tab/>
      </w:r>
      <w:r>
        <w:rPr>
          <w:rFonts w:ascii="Arial"/>
          <w:sz w:val="20"/>
          <w:u w:val="single"/>
        </w:rPr>
        <w:t>D</w:t>
      </w:r>
      <w:r>
        <w:rPr>
          <w:rFonts w:ascii="Arial"/>
          <w:b/>
          <w:sz w:val="20"/>
          <w:u w:val="single"/>
        </w:rPr>
        <w:t>ECEMBER</w:t>
      </w:r>
      <w:r>
        <w:rPr>
          <w:rFonts w:ascii="Arial"/>
          <w:b/>
          <w:spacing w:val="-6"/>
          <w:sz w:val="20"/>
          <w:u w:val="single"/>
        </w:rPr>
        <w:t> </w:t>
      </w:r>
      <w:r>
        <w:rPr>
          <w:rFonts w:ascii="Arial"/>
          <w:b/>
          <w:sz w:val="20"/>
          <w:u w:val="single"/>
        </w:rPr>
        <w:t>31,</w:t>
        <w:tab/>
      </w:r>
    </w:p>
    <w:p>
      <w:pPr>
        <w:tabs>
          <w:tab w:pos="6931" w:val="left" w:leader="none"/>
          <w:tab w:pos="7954" w:val="left" w:leader="none"/>
          <w:tab w:pos="8635" w:val="left" w:leader="none"/>
          <w:tab w:pos="9120" w:val="left" w:leader="none"/>
          <w:tab w:pos="10133" w:val="left" w:leader="none"/>
        </w:tabs>
        <w:spacing w:before="48"/>
        <w:ind w:left="6456" w:right="0" w:firstLine="0"/>
        <w:jc w:val="left"/>
        <w:rPr>
          <w:rFonts w:ascii="Arial"/>
          <w:sz w:val="20"/>
        </w:rPr>
      </w:pPr>
      <w:r>
        <w:rPr>
          <w:rFonts w:ascii="Arial"/>
          <w:b/>
          <w:color w:val="0000D3"/>
          <w:w w:val="120"/>
          <w:sz w:val="20"/>
          <w:u w:val="single" w:color="000000"/>
        </w:rPr>
        <w:t> </w:t>
      </w:r>
      <w:r>
        <w:rPr>
          <w:rFonts w:ascii="Arial"/>
          <w:b/>
          <w:color w:val="0000D3"/>
          <w:sz w:val="20"/>
          <w:u w:val="single" w:color="000000"/>
        </w:rPr>
        <w:tab/>
      </w:r>
      <w:r>
        <w:rPr>
          <w:rFonts w:ascii="Arial"/>
          <w:b/>
          <w:color w:val="0000D3"/>
          <w:spacing w:val="4"/>
          <w:w w:val="120"/>
          <w:sz w:val="20"/>
          <w:u w:val="single" w:color="000000"/>
        </w:rPr>
        <w:t>2003</w:t>
        <w:tab/>
      </w:r>
      <w:r>
        <w:rPr>
          <w:rFonts w:ascii="Arial"/>
          <w:b/>
          <w:color w:val="0000D3"/>
          <w:spacing w:val="4"/>
          <w:w w:val="120"/>
          <w:sz w:val="20"/>
        </w:rPr>
        <w:tab/>
      </w:r>
      <w:r>
        <w:rPr>
          <w:rFonts w:ascii="Arial"/>
          <w:spacing w:val="4"/>
          <w:w w:val="120"/>
          <w:sz w:val="20"/>
          <w:u w:val="single"/>
        </w:rPr>
        <w:t> </w:t>
        <w:tab/>
      </w:r>
      <w:r>
        <w:rPr>
          <w:rFonts w:ascii="Arial"/>
          <w:w w:val="120"/>
          <w:sz w:val="20"/>
          <w:u w:val="single"/>
        </w:rPr>
        <w:t>2002</w:t>
      </w:r>
      <w:r>
        <w:rPr>
          <w:rFonts w:ascii="Arial"/>
          <w:sz w:val="20"/>
          <w:u w:val="single"/>
        </w:rPr>
        <w:tab/>
      </w:r>
    </w:p>
    <w:p>
      <w:pPr>
        <w:spacing w:after="0"/>
        <w:jc w:val="left"/>
        <w:rPr>
          <w:rFonts w:ascii="Arial"/>
          <w:sz w:val="20"/>
        </w:rPr>
        <w:sectPr>
          <w:pgSz w:w="12240" w:h="15840"/>
          <w:pgMar w:top="1140" w:bottom="280" w:left="1180" w:right="780"/>
        </w:sectPr>
      </w:pPr>
    </w:p>
    <w:p>
      <w:pPr>
        <w:spacing w:before="48"/>
        <w:ind w:left="173" w:right="0" w:firstLine="0"/>
        <w:jc w:val="left"/>
        <w:rPr>
          <w:rFonts w:ascii="Arial"/>
          <w:b/>
          <w:sz w:val="20"/>
        </w:rPr>
      </w:pPr>
      <w:r>
        <w:rPr>
          <w:rFonts w:ascii="Arial"/>
          <w:b/>
          <w:color w:val="0000D3"/>
          <w:sz w:val="20"/>
        </w:rPr>
        <w:t>ASSETS</w:t>
      </w:r>
    </w:p>
    <w:p>
      <w:pPr>
        <w:spacing w:before="48"/>
        <w:ind w:left="168" w:right="0" w:firstLine="0"/>
        <w:jc w:val="left"/>
        <w:rPr>
          <w:rFonts w:ascii="Arial"/>
          <w:sz w:val="20"/>
        </w:rPr>
      </w:pPr>
      <w:r>
        <w:rPr>
          <w:rFonts w:ascii="Arial"/>
          <w:w w:val="110"/>
          <w:sz w:val="20"/>
        </w:rPr>
        <w:t>Current assets:</w:t>
      </w:r>
    </w:p>
    <w:p>
      <w:pPr>
        <w:spacing w:before="48"/>
        <w:ind w:left="302" w:right="0" w:firstLine="0"/>
        <w:jc w:val="left"/>
        <w:rPr>
          <w:rFonts w:ascii="Arial"/>
          <w:sz w:val="20"/>
        </w:rPr>
      </w:pPr>
      <w:r>
        <w:rPr>
          <w:rFonts w:ascii="Arial"/>
          <w:w w:val="105"/>
          <w:sz w:val="20"/>
        </w:rPr>
        <w:t>Cash and cash equivalents</w:t>
      </w:r>
    </w:p>
    <w:p>
      <w:pPr>
        <w:pStyle w:val="BodyText"/>
        <w:rPr>
          <w:rFonts w:ascii="Arial"/>
          <w:sz w:val="28"/>
        </w:rPr>
      </w:pPr>
      <w:r>
        <w:rPr/>
        <w:br w:type="column"/>
      </w:r>
      <w:r>
        <w:rPr>
          <w:rFonts w:ascii="Arial"/>
          <w:sz w:val="28"/>
        </w:rPr>
      </w:r>
    </w:p>
    <w:p>
      <w:pPr>
        <w:pStyle w:val="BodyText"/>
        <w:spacing w:before="6"/>
        <w:rPr>
          <w:rFonts w:ascii="Arial"/>
          <w:sz w:val="24"/>
        </w:rPr>
      </w:pPr>
    </w:p>
    <w:p>
      <w:pPr>
        <w:tabs>
          <w:tab w:pos="749" w:val="left" w:leader="none"/>
        </w:tabs>
        <w:spacing w:before="1"/>
        <w:ind w:left="168" w:right="0" w:firstLine="0"/>
        <w:jc w:val="left"/>
        <w:rPr>
          <w:rFonts w:ascii="Arial"/>
          <w:b/>
          <w:sz w:val="20"/>
        </w:rPr>
      </w:pPr>
      <w:r>
        <w:rPr>
          <w:rFonts w:ascii="Arial"/>
          <w:b/>
          <w:color w:val="0000D3"/>
          <w:w w:val="120"/>
          <w:sz w:val="20"/>
        </w:rPr>
        <w:t>$</w:t>
        <w:tab/>
      </w:r>
      <w:r>
        <w:rPr>
          <w:rFonts w:ascii="Arial"/>
          <w:b/>
          <w:color w:val="0000D3"/>
          <w:spacing w:val="4"/>
          <w:w w:val="120"/>
          <w:sz w:val="20"/>
        </w:rPr>
        <w:t>1,865</w:t>
      </w:r>
    </w:p>
    <w:p>
      <w:pPr>
        <w:pStyle w:val="BodyText"/>
        <w:rPr>
          <w:rFonts w:ascii="Arial"/>
          <w:b/>
          <w:sz w:val="28"/>
        </w:rPr>
      </w:pPr>
      <w:r>
        <w:rPr/>
        <w:br w:type="column"/>
      </w:r>
      <w:r>
        <w:rPr>
          <w:rFonts w:ascii="Arial"/>
          <w:b/>
          <w:sz w:val="28"/>
        </w:rPr>
      </w:r>
    </w:p>
    <w:p>
      <w:pPr>
        <w:pStyle w:val="BodyText"/>
        <w:spacing w:before="6"/>
        <w:rPr>
          <w:rFonts w:ascii="Arial"/>
          <w:b/>
          <w:sz w:val="24"/>
        </w:rPr>
      </w:pPr>
    </w:p>
    <w:p>
      <w:pPr>
        <w:tabs>
          <w:tab w:pos="792" w:val="left" w:leader="none"/>
        </w:tabs>
        <w:spacing w:before="1"/>
        <w:ind w:left="168" w:right="0" w:firstLine="0"/>
        <w:jc w:val="left"/>
        <w:rPr>
          <w:rFonts w:ascii="Arial"/>
          <w:sz w:val="20"/>
        </w:rPr>
      </w:pPr>
      <w:r>
        <w:rPr>
          <w:rFonts w:ascii="Arial"/>
          <w:w w:val="120"/>
          <w:sz w:val="20"/>
        </w:rPr>
        <w:t>$</w:t>
        <w:tab/>
        <w:t>1,815</w:t>
      </w:r>
    </w:p>
    <w:p>
      <w:pPr>
        <w:spacing w:after="0"/>
        <w:jc w:val="left"/>
        <w:rPr>
          <w:rFonts w:ascii="Arial"/>
          <w:sz w:val="20"/>
        </w:rPr>
        <w:sectPr>
          <w:type w:val="continuous"/>
          <w:pgSz w:w="12240" w:h="15840"/>
          <w:pgMar w:top="320" w:bottom="280" w:left="1180" w:right="780"/>
          <w:cols w:num="3" w:equalWidth="0">
            <w:col w:w="2862" w:space="3570"/>
            <w:col w:w="1375" w:space="795"/>
            <w:col w:w="1678"/>
          </w:cols>
        </w:sectPr>
      </w:pPr>
    </w:p>
    <w:p>
      <w:pPr>
        <w:tabs>
          <w:tab w:pos="7387" w:val="left" w:leader="none"/>
          <w:tab w:pos="9994" w:val="right" w:leader="none"/>
        </w:tabs>
        <w:spacing w:before="48"/>
        <w:ind w:left="303" w:right="0" w:firstLine="0"/>
        <w:jc w:val="left"/>
        <w:rPr>
          <w:rFonts w:ascii="Arial"/>
          <w:sz w:val="20"/>
        </w:rPr>
      </w:pPr>
      <w:r>
        <w:rPr>
          <w:rFonts w:ascii="Arial"/>
          <w:w w:val="115"/>
          <w:sz w:val="20"/>
        </w:rPr>
        <w:t>Accounts</w:t>
      </w:r>
      <w:r>
        <w:rPr>
          <w:rFonts w:ascii="Arial"/>
          <w:spacing w:val="-28"/>
          <w:w w:val="115"/>
          <w:sz w:val="20"/>
        </w:rPr>
        <w:t> </w:t>
      </w:r>
      <w:r>
        <w:rPr>
          <w:rFonts w:ascii="Arial"/>
          <w:w w:val="115"/>
          <w:sz w:val="20"/>
        </w:rPr>
        <w:t>and</w:t>
      </w:r>
      <w:r>
        <w:rPr>
          <w:rFonts w:ascii="Arial"/>
          <w:spacing w:val="-28"/>
          <w:w w:val="115"/>
          <w:sz w:val="20"/>
        </w:rPr>
        <w:t> </w:t>
      </w:r>
      <w:r>
        <w:rPr>
          <w:rFonts w:ascii="Arial"/>
          <w:w w:val="115"/>
          <w:sz w:val="20"/>
        </w:rPr>
        <w:t>other</w:t>
      </w:r>
      <w:r>
        <w:rPr>
          <w:rFonts w:ascii="Arial"/>
          <w:spacing w:val="-28"/>
          <w:w w:val="115"/>
          <w:sz w:val="20"/>
        </w:rPr>
        <w:t> </w:t>
      </w:r>
      <w:r>
        <w:rPr>
          <w:rFonts w:ascii="Arial"/>
          <w:w w:val="115"/>
          <w:sz w:val="20"/>
        </w:rPr>
        <w:t>receivables</w:t>
        <w:tab/>
      </w:r>
      <w:r>
        <w:rPr>
          <w:rFonts w:ascii="Arial"/>
          <w:b/>
          <w:color w:val="0000D3"/>
          <w:spacing w:val="4"/>
          <w:w w:val="115"/>
          <w:sz w:val="20"/>
        </w:rPr>
        <w:t>132</w:t>
      </w:r>
      <w:r>
        <w:rPr>
          <w:rFonts w:ascii="Arial"/>
          <w:spacing w:val="4"/>
          <w:w w:val="115"/>
          <w:sz w:val="20"/>
        </w:rPr>
        <w:tab/>
      </w:r>
      <w:r>
        <w:rPr>
          <w:rFonts w:ascii="Arial"/>
          <w:w w:val="115"/>
          <w:sz w:val="20"/>
        </w:rPr>
        <w:t>175</w:t>
      </w:r>
    </w:p>
    <w:p>
      <w:pPr>
        <w:tabs>
          <w:tab w:pos="7527" w:val="left" w:leader="none"/>
          <w:tab w:pos="9994" w:val="right" w:leader="none"/>
        </w:tabs>
        <w:spacing w:before="48"/>
        <w:ind w:left="302" w:right="0" w:firstLine="0"/>
        <w:jc w:val="left"/>
        <w:rPr>
          <w:rFonts w:ascii="Arial"/>
          <w:sz w:val="20"/>
        </w:rPr>
      </w:pPr>
      <w:r>
        <w:rPr>
          <w:rFonts w:ascii="Arial"/>
          <w:w w:val="115"/>
          <w:sz w:val="20"/>
        </w:rPr>
        <w:t>Inventories</w:t>
      </w:r>
      <w:r>
        <w:rPr>
          <w:rFonts w:ascii="Arial"/>
          <w:spacing w:val="-20"/>
          <w:w w:val="115"/>
          <w:sz w:val="20"/>
        </w:rPr>
        <w:t> </w:t>
      </w:r>
      <w:r>
        <w:rPr>
          <w:rFonts w:ascii="Arial"/>
          <w:w w:val="115"/>
          <w:sz w:val="20"/>
        </w:rPr>
        <w:t>of</w:t>
      </w:r>
      <w:r>
        <w:rPr>
          <w:rFonts w:ascii="Arial"/>
          <w:spacing w:val="-20"/>
          <w:w w:val="115"/>
          <w:sz w:val="20"/>
        </w:rPr>
        <w:t> </w:t>
      </w:r>
      <w:r>
        <w:rPr>
          <w:rFonts w:ascii="Arial"/>
          <w:w w:val="115"/>
          <w:sz w:val="20"/>
        </w:rPr>
        <w:t>parts</w:t>
      </w:r>
      <w:r>
        <w:rPr>
          <w:rFonts w:ascii="Arial"/>
          <w:spacing w:val="-20"/>
          <w:w w:val="115"/>
          <w:sz w:val="20"/>
        </w:rPr>
        <w:t> </w:t>
      </w:r>
      <w:r>
        <w:rPr>
          <w:rFonts w:ascii="Arial"/>
          <w:w w:val="115"/>
          <w:sz w:val="20"/>
        </w:rPr>
        <w:t>and</w:t>
      </w:r>
      <w:r>
        <w:rPr>
          <w:rFonts w:ascii="Arial"/>
          <w:spacing w:val="-20"/>
          <w:w w:val="115"/>
          <w:sz w:val="20"/>
        </w:rPr>
        <w:t> </w:t>
      </w:r>
      <w:r>
        <w:rPr>
          <w:rFonts w:ascii="Arial"/>
          <w:w w:val="115"/>
          <w:sz w:val="20"/>
        </w:rPr>
        <w:t>supplies,</w:t>
      </w:r>
      <w:r>
        <w:rPr>
          <w:rFonts w:ascii="Arial"/>
          <w:spacing w:val="-20"/>
          <w:w w:val="115"/>
          <w:sz w:val="20"/>
        </w:rPr>
        <w:t> </w:t>
      </w:r>
      <w:r>
        <w:rPr>
          <w:rFonts w:ascii="Arial"/>
          <w:w w:val="115"/>
          <w:sz w:val="20"/>
        </w:rPr>
        <w:t>at</w:t>
      </w:r>
      <w:r>
        <w:rPr>
          <w:rFonts w:ascii="Arial"/>
          <w:spacing w:val="-20"/>
          <w:w w:val="115"/>
          <w:sz w:val="20"/>
        </w:rPr>
        <w:t> </w:t>
      </w:r>
      <w:r>
        <w:rPr>
          <w:rFonts w:ascii="Arial"/>
          <w:w w:val="115"/>
          <w:sz w:val="20"/>
        </w:rPr>
        <w:t>cost</w:t>
        <w:tab/>
      </w:r>
      <w:r>
        <w:rPr>
          <w:rFonts w:ascii="Arial"/>
          <w:b/>
          <w:color w:val="0000D3"/>
          <w:spacing w:val="4"/>
          <w:w w:val="115"/>
          <w:sz w:val="20"/>
        </w:rPr>
        <w:t>93</w:t>
      </w:r>
      <w:r>
        <w:rPr>
          <w:rFonts w:ascii="Arial"/>
          <w:spacing w:val="4"/>
          <w:w w:val="115"/>
          <w:sz w:val="20"/>
        </w:rPr>
        <w:tab/>
      </w:r>
      <w:r>
        <w:rPr>
          <w:rFonts w:ascii="Arial"/>
          <w:w w:val="115"/>
          <w:sz w:val="20"/>
        </w:rPr>
        <w:t>86</w:t>
      </w:r>
    </w:p>
    <w:p>
      <w:pPr>
        <w:tabs>
          <w:tab w:pos="7387" w:val="left" w:leader="none"/>
          <w:tab w:pos="9994" w:val="right" w:leader="none"/>
        </w:tabs>
        <w:spacing w:before="48"/>
        <w:ind w:left="303" w:right="0" w:firstLine="0"/>
        <w:jc w:val="left"/>
        <w:rPr>
          <w:rFonts w:ascii="Arial"/>
          <w:sz w:val="20"/>
        </w:rPr>
      </w:pPr>
      <w:r>
        <w:rPr>
          <w:rFonts w:ascii="Arial"/>
          <w:w w:val="115"/>
          <w:sz w:val="20"/>
        </w:rPr>
        <w:t>Fuel</w:t>
      </w:r>
      <w:r>
        <w:rPr>
          <w:rFonts w:ascii="Arial"/>
          <w:spacing w:val="-24"/>
          <w:w w:val="115"/>
          <w:sz w:val="20"/>
        </w:rPr>
        <w:t> </w:t>
      </w:r>
      <w:r>
        <w:rPr>
          <w:rFonts w:ascii="Arial"/>
          <w:w w:val="115"/>
          <w:sz w:val="20"/>
        </w:rPr>
        <w:t>hedge</w:t>
      </w:r>
      <w:r>
        <w:rPr>
          <w:rFonts w:ascii="Arial"/>
          <w:spacing w:val="-24"/>
          <w:w w:val="115"/>
          <w:sz w:val="20"/>
        </w:rPr>
        <w:t> </w:t>
      </w:r>
      <w:r>
        <w:rPr>
          <w:rFonts w:ascii="Arial"/>
          <w:w w:val="115"/>
          <w:sz w:val="20"/>
        </w:rPr>
        <w:t>contracts</w:t>
        <w:tab/>
      </w:r>
      <w:r>
        <w:rPr>
          <w:rFonts w:ascii="Arial"/>
          <w:b/>
          <w:color w:val="0000D3"/>
          <w:spacing w:val="4"/>
          <w:w w:val="115"/>
          <w:sz w:val="20"/>
        </w:rPr>
        <w:t>164</w:t>
      </w:r>
      <w:r>
        <w:rPr>
          <w:rFonts w:ascii="Arial"/>
          <w:spacing w:val="4"/>
          <w:w w:val="115"/>
          <w:sz w:val="20"/>
        </w:rPr>
        <w:tab/>
      </w:r>
      <w:r>
        <w:rPr>
          <w:rFonts w:ascii="Arial"/>
          <w:w w:val="115"/>
          <w:sz w:val="20"/>
        </w:rPr>
        <w:t>113</w:t>
      </w:r>
    </w:p>
    <w:p>
      <w:pPr>
        <w:tabs>
          <w:tab w:pos="6456" w:val="left" w:leader="none"/>
          <w:tab w:pos="7527" w:val="left" w:leader="none"/>
          <w:tab w:pos="8635" w:val="left" w:leader="none"/>
          <w:tab w:pos="9725" w:val="left" w:leader="none"/>
        </w:tabs>
        <w:spacing w:before="48"/>
        <w:ind w:left="302" w:right="0" w:firstLine="0"/>
        <w:jc w:val="left"/>
        <w:rPr>
          <w:rFonts w:ascii="Arial"/>
          <w:sz w:val="20"/>
        </w:rPr>
      </w:pPr>
      <w:r>
        <w:rPr/>
        <w:pict>
          <v:shape style="position:absolute;margin-left:65.795624pt;margin-top:16.128046pt;width:501.55pt;height:434.7pt;mso-position-horizontal-relative:page;mso-position-vertical-relative:paragraph;z-index:5872"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990"/>
                    <w:gridCol w:w="2170"/>
                    <w:gridCol w:w="1871"/>
                  </w:tblGrid>
                  <w:tr>
                    <w:trPr>
                      <w:trHeight w:val="936" w:hRule="exact"/>
                    </w:trPr>
                    <w:tc>
                      <w:tcPr>
                        <w:tcW w:w="5990" w:type="dxa"/>
                      </w:tcPr>
                      <w:p>
                        <w:pPr>
                          <w:pStyle w:val="TableParagraph"/>
                          <w:spacing w:before="13"/>
                          <w:ind w:left="301"/>
                          <w:rPr>
                            <w:sz w:val="20"/>
                          </w:rPr>
                        </w:pPr>
                        <w:r>
                          <w:rPr>
                            <w:w w:val="110"/>
                            <w:sz w:val="20"/>
                          </w:rPr>
                          <w:t>Total current assets</w:t>
                        </w:r>
                      </w:p>
                      <w:p>
                        <w:pPr>
                          <w:pStyle w:val="TableParagraph"/>
                          <w:spacing w:line="290" w:lineRule="auto" w:before="144"/>
                          <w:ind w:left="172" w:right="2260" w:hanging="140"/>
                          <w:rPr>
                            <w:sz w:val="20"/>
                          </w:rPr>
                        </w:pPr>
                        <w:r>
                          <w:rPr>
                            <w:w w:val="110"/>
                            <w:sz w:val="20"/>
                          </w:rPr>
                          <w:t>Property and equipment, at cost: Flight equipment</w:t>
                        </w:r>
                      </w:p>
                    </w:tc>
                    <w:tc>
                      <w:tcPr>
                        <w:tcW w:w="2170" w:type="dxa"/>
                      </w:tcPr>
                      <w:p>
                        <w:pPr>
                          <w:pStyle w:val="TableParagraph"/>
                          <w:spacing w:before="13"/>
                          <w:ind w:left="1056"/>
                          <w:rPr>
                            <w:b/>
                            <w:sz w:val="20"/>
                          </w:rPr>
                        </w:pPr>
                        <w:r>
                          <w:rPr>
                            <w:b/>
                            <w:color w:val="0000D3"/>
                            <w:w w:val="120"/>
                            <w:sz w:val="20"/>
                          </w:rPr>
                          <w:t>2,313</w:t>
                        </w:r>
                      </w:p>
                      <w:p>
                        <w:pPr>
                          <w:pStyle w:val="TableParagraph"/>
                          <w:spacing w:before="8"/>
                          <w:rPr>
                            <w:sz w:val="36"/>
                          </w:rPr>
                        </w:pPr>
                      </w:p>
                      <w:p>
                        <w:pPr>
                          <w:pStyle w:val="TableParagraph"/>
                          <w:ind w:left="1056"/>
                          <w:rPr>
                            <w:b/>
                            <w:sz w:val="20"/>
                          </w:rPr>
                        </w:pPr>
                        <w:r>
                          <w:rPr>
                            <w:b/>
                            <w:color w:val="0000D3"/>
                            <w:w w:val="120"/>
                            <w:sz w:val="20"/>
                          </w:rPr>
                          <w:t>8,646</w:t>
                        </w:r>
                      </w:p>
                    </w:tc>
                    <w:tc>
                      <w:tcPr>
                        <w:tcW w:w="1871" w:type="dxa"/>
                      </w:tcPr>
                      <w:p>
                        <w:pPr>
                          <w:pStyle w:val="TableParagraph"/>
                          <w:spacing w:before="13"/>
                          <w:ind w:left="1099"/>
                          <w:rPr>
                            <w:sz w:val="20"/>
                          </w:rPr>
                        </w:pPr>
                        <w:r>
                          <w:rPr>
                            <w:w w:val="120"/>
                            <w:sz w:val="20"/>
                          </w:rPr>
                          <w:t>2,232</w:t>
                        </w:r>
                      </w:p>
                      <w:p>
                        <w:pPr>
                          <w:pStyle w:val="TableParagraph"/>
                          <w:spacing w:before="8"/>
                          <w:rPr>
                            <w:sz w:val="36"/>
                          </w:rPr>
                        </w:pPr>
                      </w:p>
                      <w:p>
                        <w:pPr>
                          <w:pStyle w:val="TableParagraph"/>
                          <w:ind w:left="1099"/>
                          <w:rPr>
                            <w:sz w:val="20"/>
                          </w:rPr>
                        </w:pPr>
                        <w:r>
                          <w:rPr>
                            <w:w w:val="120"/>
                            <w:sz w:val="20"/>
                          </w:rPr>
                          <w:t>8,025</w:t>
                        </w:r>
                      </w:p>
                    </w:tc>
                  </w:tr>
                  <w:tr>
                    <w:trPr>
                      <w:trHeight w:val="278" w:hRule="exact"/>
                    </w:trPr>
                    <w:tc>
                      <w:tcPr>
                        <w:tcW w:w="5990" w:type="dxa"/>
                      </w:tcPr>
                      <w:p>
                        <w:pPr>
                          <w:pStyle w:val="TableParagraph"/>
                          <w:spacing w:before="8"/>
                          <w:ind w:left="167"/>
                          <w:rPr>
                            <w:sz w:val="20"/>
                          </w:rPr>
                        </w:pPr>
                        <w:r>
                          <w:rPr>
                            <w:w w:val="110"/>
                            <w:sz w:val="20"/>
                          </w:rPr>
                          <w:t>Ground property and equipment</w:t>
                        </w:r>
                      </w:p>
                    </w:tc>
                    <w:tc>
                      <w:tcPr>
                        <w:tcW w:w="2170" w:type="dxa"/>
                      </w:tcPr>
                      <w:p>
                        <w:pPr>
                          <w:pStyle w:val="TableParagraph"/>
                          <w:spacing w:before="8"/>
                          <w:ind w:left="1056"/>
                          <w:rPr>
                            <w:b/>
                            <w:sz w:val="20"/>
                          </w:rPr>
                        </w:pPr>
                        <w:r>
                          <w:rPr>
                            <w:b/>
                            <w:color w:val="0000D3"/>
                            <w:w w:val="120"/>
                            <w:sz w:val="20"/>
                          </w:rPr>
                          <w:t>1,117</w:t>
                        </w:r>
                      </w:p>
                    </w:tc>
                    <w:tc>
                      <w:tcPr>
                        <w:tcW w:w="1871" w:type="dxa"/>
                      </w:tcPr>
                      <w:p>
                        <w:pPr>
                          <w:pStyle w:val="TableParagraph"/>
                          <w:spacing w:before="8"/>
                          <w:ind w:right="168"/>
                          <w:jc w:val="right"/>
                          <w:rPr>
                            <w:sz w:val="20"/>
                          </w:rPr>
                        </w:pPr>
                        <w:r>
                          <w:rPr>
                            <w:w w:val="115"/>
                            <w:sz w:val="20"/>
                          </w:rPr>
                          <w:t>1,042</w:t>
                        </w:r>
                      </w:p>
                    </w:tc>
                  </w:tr>
                  <w:tr>
                    <w:trPr>
                      <w:trHeight w:val="283" w:hRule="exact"/>
                    </w:trPr>
                    <w:tc>
                      <w:tcPr>
                        <w:tcW w:w="5990" w:type="dxa"/>
                      </w:tcPr>
                      <w:p>
                        <w:pPr>
                          <w:pStyle w:val="TableParagraph"/>
                          <w:spacing w:before="8"/>
                          <w:ind w:right="1066"/>
                          <w:jc w:val="right"/>
                          <w:rPr>
                            <w:sz w:val="20"/>
                          </w:rPr>
                        </w:pPr>
                        <w:r>
                          <w:rPr>
                            <w:w w:val="110"/>
                            <w:sz w:val="20"/>
                          </w:rPr>
                          <w:t>Deposits on flight equipment purchase</w:t>
                        </w:r>
                        <w:r>
                          <w:rPr>
                            <w:spacing w:val="53"/>
                            <w:w w:val="110"/>
                            <w:sz w:val="20"/>
                          </w:rPr>
                          <w:t> </w:t>
                        </w:r>
                        <w:r>
                          <w:rPr>
                            <w:w w:val="110"/>
                            <w:sz w:val="20"/>
                          </w:rPr>
                          <w:t>contracts</w:t>
                        </w:r>
                      </w:p>
                    </w:tc>
                    <w:tc>
                      <w:tcPr>
                        <w:tcW w:w="2170" w:type="dxa"/>
                      </w:tcPr>
                      <w:p>
                        <w:pPr>
                          <w:pStyle w:val="TableParagraph"/>
                          <w:tabs>
                            <w:tab w:pos="1262" w:val="left" w:leader="none"/>
                          </w:tabs>
                          <w:spacing w:before="8"/>
                          <w:ind w:left="331"/>
                          <w:rPr>
                            <w:b/>
                            <w:sz w:val="20"/>
                          </w:rPr>
                        </w:pPr>
                        <w:r>
                          <w:rPr>
                            <w:b/>
                            <w:color w:val="0000D3"/>
                            <w:w w:val="120"/>
                            <w:sz w:val="20"/>
                            <w:u w:val="single" w:color="000000"/>
                          </w:rPr>
                          <w:t> </w:t>
                        </w:r>
                        <w:r>
                          <w:rPr>
                            <w:b/>
                            <w:color w:val="0000D3"/>
                            <w:sz w:val="20"/>
                            <w:u w:val="single" w:color="000000"/>
                          </w:rPr>
                          <w:tab/>
                        </w:r>
                        <w:r>
                          <w:rPr>
                            <w:b/>
                            <w:color w:val="0000D3"/>
                            <w:spacing w:val="4"/>
                            <w:w w:val="120"/>
                            <w:sz w:val="20"/>
                            <w:u w:val="single" w:color="000000"/>
                          </w:rPr>
                          <w:t>787</w:t>
                        </w:r>
                        <w:r>
                          <w:rPr>
                            <w:b/>
                            <w:color w:val="0000D3"/>
                            <w:spacing w:val="-19"/>
                            <w:sz w:val="20"/>
                            <w:u w:val="single" w:color="000000"/>
                          </w:rPr>
                          <w:t> </w:t>
                        </w:r>
                      </w:p>
                    </w:tc>
                    <w:tc>
                      <w:tcPr>
                        <w:tcW w:w="1871" w:type="dxa"/>
                      </w:tcPr>
                      <w:p>
                        <w:pPr>
                          <w:pStyle w:val="TableParagraph"/>
                          <w:tabs>
                            <w:tab w:pos="955" w:val="left" w:leader="none"/>
                          </w:tabs>
                          <w:spacing w:before="8"/>
                          <w:ind w:right="30"/>
                          <w:jc w:val="right"/>
                          <w:rPr>
                            <w:sz w:val="20"/>
                          </w:rPr>
                        </w:pPr>
                        <w:r>
                          <w:rPr>
                            <w:w w:val="120"/>
                            <w:sz w:val="20"/>
                            <w:u w:val="single"/>
                          </w:rPr>
                          <w:t> </w:t>
                        </w:r>
                        <w:r>
                          <w:rPr>
                            <w:sz w:val="20"/>
                            <w:u w:val="single"/>
                          </w:rPr>
                          <w:tab/>
                        </w:r>
                        <w:r>
                          <w:rPr>
                            <w:spacing w:val="-1"/>
                            <w:w w:val="120"/>
                            <w:sz w:val="20"/>
                            <w:u w:val="single"/>
                          </w:rPr>
                          <w:t>389</w:t>
                        </w:r>
                        <w:r>
                          <w:rPr>
                            <w:spacing w:val="27"/>
                            <w:sz w:val="20"/>
                            <w:u w:val="single"/>
                          </w:rPr>
                          <w:t> </w:t>
                        </w:r>
                      </w:p>
                    </w:tc>
                  </w:tr>
                  <w:tr>
                    <w:trPr>
                      <w:trHeight w:val="283" w:hRule="exact"/>
                    </w:trPr>
                    <w:tc>
                      <w:tcPr>
                        <w:tcW w:w="5990" w:type="dxa"/>
                      </w:tcPr>
                      <w:p>
                        <w:pPr/>
                      </w:p>
                    </w:tc>
                    <w:tc>
                      <w:tcPr>
                        <w:tcW w:w="2170" w:type="dxa"/>
                      </w:tcPr>
                      <w:p>
                        <w:pPr>
                          <w:pStyle w:val="TableParagraph"/>
                          <w:spacing w:before="13"/>
                          <w:ind w:left="916"/>
                          <w:rPr>
                            <w:b/>
                            <w:sz w:val="20"/>
                          </w:rPr>
                        </w:pPr>
                        <w:r>
                          <w:rPr>
                            <w:b/>
                            <w:color w:val="0000D3"/>
                            <w:w w:val="120"/>
                            <w:sz w:val="20"/>
                          </w:rPr>
                          <w:t>10,550</w:t>
                        </w:r>
                      </w:p>
                    </w:tc>
                    <w:tc>
                      <w:tcPr>
                        <w:tcW w:w="1871" w:type="dxa"/>
                      </w:tcPr>
                      <w:p>
                        <w:pPr>
                          <w:pStyle w:val="TableParagraph"/>
                          <w:spacing w:before="13"/>
                          <w:ind w:right="168"/>
                          <w:jc w:val="right"/>
                          <w:rPr>
                            <w:sz w:val="20"/>
                          </w:rPr>
                        </w:pPr>
                        <w:r>
                          <w:rPr>
                            <w:w w:val="115"/>
                            <w:sz w:val="20"/>
                          </w:rPr>
                          <w:t>9,456</w:t>
                        </w:r>
                      </w:p>
                    </w:tc>
                  </w:tr>
                  <w:tr>
                    <w:trPr>
                      <w:trHeight w:val="283" w:hRule="exact"/>
                    </w:trPr>
                    <w:tc>
                      <w:tcPr>
                        <w:tcW w:w="5990" w:type="dxa"/>
                      </w:tcPr>
                      <w:p>
                        <w:pPr>
                          <w:pStyle w:val="TableParagraph"/>
                          <w:spacing w:before="8"/>
                          <w:ind w:right="1055"/>
                          <w:jc w:val="right"/>
                          <w:rPr>
                            <w:sz w:val="20"/>
                          </w:rPr>
                        </w:pPr>
                        <w:r>
                          <w:rPr>
                            <w:w w:val="110"/>
                            <w:sz w:val="20"/>
                          </w:rPr>
                          <w:t>Less allowance for depreciation and amortization</w:t>
                        </w:r>
                      </w:p>
                    </w:tc>
                    <w:tc>
                      <w:tcPr>
                        <w:tcW w:w="2170" w:type="dxa"/>
                      </w:tcPr>
                      <w:p>
                        <w:pPr>
                          <w:pStyle w:val="TableParagraph"/>
                          <w:tabs>
                            <w:tab w:pos="1055" w:val="left" w:leader="none"/>
                          </w:tabs>
                          <w:spacing w:before="8"/>
                          <w:ind w:left="331"/>
                          <w:rPr>
                            <w:b/>
                            <w:sz w:val="20"/>
                          </w:rPr>
                        </w:pPr>
                        <w:r>
                          <w:rPr>
                            <w:b/>
                            <w:color w:val="0000D3"/>
                            <w:w w:val="120"/>
                            <w:sz w:val="20"/>
                            <w:u w:val="single" w:color="000000"/>
                          </w:rPr>
                          <w:t> </w:t>
                        </w:r>
                        <w:r>
                          <w:rPr>
                            <w:b/>
                            <w:color w:val="0000D3"/>
                            <w:sz w:val="20"/>
                            <w:u w:val="single" w:color="000000"/>
                          </w:rPr>
                          <w:tab/>
                        </w:r>
                        <w:r>
                          <w:rPr>
                            <w:b/>
                            <w:color w:val="0000D3"/>
                            <w:spacing w:val="4"/>
                            <w:w w:val="120"/>
                            <w:sz w:val="20"/>
                            <w:u w:val="single" w:color="000000"/>
                          </w:rPr>
                          <w:t>3,107</w:t>
                        </w:r>
                        <w:r>
                          <w:rPr>
                            <w:b/>
                            <w:color w:val="0000D3"/>
                            <w:spacing w:val="-19"/>
                            <w:sz w:val="20"/>
                            <w:u w:val="single" w:color="000000"/>
                          </w:rPr>
                          <w:t> </w:t>
                        </w:r>
                      </w:p>
                    </w:tc>
                    <w:tc>
                      <w:tcPr>
                        <w:tcW w:w="1871" w:type="dxa"/>
                      </w:tcPr>
                      <w:p>
                        <w:pPr>
                          <w:pStyle w:val="TableParagraph"/>
                          <w:tabs>
                            <w:tab w:pos="758" w:val="left" w:leader="none"/>
                          </w:tabs>
                          <w:spacing w:before="8"/>
                          <w:ind w:right="30"/>
                          <w:jc w:val="right"/>
                          <w:rPr>
                            <w:sz w:val="20"/>
                          </w:rPr>
                        </w:pPr>
                        <w:r>
                          <w:rPr>
                            <w:w w:val="120"/>
                            <w:sz w:val="20"/>
                            <w:u w:val="single"/>
                          </w:rPr>
                          <w:t> </w:t>
                        </w:r>
                        <w:r>
                          <w:rPr>
                            <w:sz w:val="20"/>
                            <w:u w:val="single"/>
                          </w:rPr>
                          <w:tab/>
                        </w:r>
                        <w:r>
                          <w:rPr>
                            <w:w w:val="115"/>
                            <w:sz w:val="20"/>
                            <w:u w:val="single"/>
                          </w:rPr>
                          <w:t>2,810</w:t>
                        </w:r>
                        <w:r>
                          <w:rPr>
                            <w:spacing w:val="27"/>
                            <w:sz w:val="20"/>
                            <w:u w:val="single"/>
                          </w:rPr>
                          <w:t> </w:t>
                        </w:r>
                      </w:p>
                    </w:tc>
                  </w:tr>
                  <w:tr>
                    <w:trPr>
                      <w:trHeight w:val="278" w:hRule="exact"/>
                    </w:trPr>
                    <w:tc>
                      <w:tcPr>
                        <w:tcW w:w="5990" w:type="dxa"/>
                      </w:tcPr>
                      <w:p>
                        <w:pPr/>
                      </w:p>
                    </w:tc>
                    <w:tc>
                      <w:tcPr>
                        <w:tcW w:w="2170" w:type="dxa"/>
                      </w:tcPr>
                      <w:p>
                        <w:pPr>
                          <w:pStyle w:val="TableParagraph"/>
                          <w:spacing w:before="13"/>
                          <w:ind w:left="1055"/>
                          <w:rPr>
                            <w:b/>
                            <w:sz w:val="20"/>
                          </w:rPr>
                        </w:pPr>
                        <w:r>
                          <w:rPr>
                            <w:b/>
                            <w:color w:val="0000D3"/>
                            <w:w w:val="120"/>
                            <w:sz w:val="20"/>
                          </w:rPr>
                          <w:t>7,443</w:t>
                        </w:r>
                      </w:p>
                    </w:tc>
                    <w:tc>
                      <w:tcPr>
                        <w:tcW w:w="1871" w:type="dxa"/>
                      </w:tcPr>
                      <w:p>
                        <w:pPr>
                          <w:pStyle w:val="TableParagraph"/>
                          <w:spacing w:before="13"/>
                          <w:ind w:right="168"/>
                          <w:jc w:val="right"/>
                          <w:rPr>
                            <w:sz w:val="20"/>
                          </w:rPr>
                        </w:pPr>
                        <w:r>
                          <w:rPr>
                            <w:w w:val="115"/>
                            <w:sz w:val="20"/>
                          </w:rPr>
                          <w:t>6,646</w:t>
                        </w:r>
                      </w:p>
                    </w:tc>
                  </w:tr>
                  <w:tr>
                    <w:trPr>
                      <w:trHeight w:val="269" w:hRule="exact"/>
                    </w:trPr>
                    <w:tc>
                      <w:tcPr>
                        <w:tcW w:w="5990" w:type="dxa"/>
                      </w:tcPr>
                      <w:p>
                        <w:pPr>
                          <w:pStyle w:val="TableParagraph"/>
                          <w:spacing w:before="4"/>
                          <w:ind w:left="32"/>
                          <w:rPr>
                            <w:sz w:val="20"/>
                          </w:rPr>
                        </w:pPr>
                        <w:r>
                          <w:rPr>
                            <w:w w:val="110"/>
                            <w:sz w:val="20"/>
                          </w:rPr>
                          <w:t>Other assets</w:t>
                        </w:r>
                      </w:p>
                    </w:tc>
                    <w:tc>
                      <w:tcPr>
                        <w:tcW w:w="2170" w:type="dxa"/>
                      </w:tcPr>
                      <w:p>
                        <w:pPr>
                          <w:pStyle w:val="TableParagraph"/>
                          <w:tabs>
                            <w:tab w:pos="1262" w:val="left" w:leader="none"/>
                          </w:tabs>
                          <w:spacing w:before="4"/>
                          <w:ind w:left="331"/>
                          <w:rPr>
                            <w:b/>
                            <w:sz w:val="20"/>
                          </w:rPr>
                        </w:pPr>
                        <w:r>
                          <w:rPr>
                            <w:b/>
                            <w:color w:val="0000D3"/>
                            <w:w w:val="120"/>
                            <w:sz w:val="20"/>
                            <w:u w:val="single" w:color="000000"/>
                          </w:rPr>
                          <w:t> </w:t>
                        </w:r>
                        <w:r>
                          <w:rPr>
                            <w:b/>
                            <w:color w:val="0000D3"/>
                            <w:sz w:val="20"/>
                            <w:u w:val="single" w:color="000000"/>
                          </w:rPr>
                          <w:tab/>
                        </w:r>
                        <w:r>
                          <w:rPr>
                            <w:b/>
                            <w:color w:val="0000D3"/>
                            <w:spacing w:val="4"/>
                            <w:w w:val="120"/>
                            <w:sz w:val="20"/>
                            <w:u w:val="single" w:color="000000"/>
                          </w:rPr>
                          <w:t>122</w:t>
                        </w:r>
                        <w:r>
                          <w:rPr>
                            <w:b/>
                            <w:color w:val="0000D3"/>
                            <w:spacing w:val="-19"/>
                            <w:sz w:val="20"/>
                            <w:u w:val="single" w:color="000000"/>
                          </w:rPr>
                          <w:t> </w:t>
                        </w:r>
                      </w:p>
                    </w:tc>
                    <w:tc>
                      <w:tcPr>
                        <w:tcW w:w="1871" w:type="dxa"/>
                      </w:tcPr>
                      <w:p>
                        <w:pPr>
                          <w:pStyle w:val="TableParagraph"/>
                          <w:tabs>
                            <w:tab w:pos="1089" w:val="left" w:leader="none"/>
                          </w:tabs>
                          <w:spacing w:before="4"/>
                          <w:ind w:right="30"/>
                          <w:jc w:val="right"/>
                          <w:rPr>
                            <w:sz w:val="20"/>
                          </w:rPr>
                        </w:pPr>
                        <w:r>
                          <w:rPr>
                            <w:w w:val="120"/>
                            <w:sz w:val="20"/>
                            <w:u w:val="single"/>
                          </w:rPr>
                          <w:t> </w:t>
                        </w:r>
                        <w:r>
                          <w:rPr>
                            <w:sz w:val="20"/>
                            <w:u w:val="single"/>
                          </w:rPr>
                          <w:tab/>
                        </w:r>
                        <w:r>
                          <w:rPr>
                            <w:w w:val="120"/>
                            <w:sz w:val="20"/>
                            <w:u w:val="single"/>
                          </w:rPr>
                          <w:t>76</w:t>
                        </w:r>
                        <w:r>
                          <w:rPr>
                            <w:spacing w:val="-28"/>
                            <w:sz w:val="20"/>
                            <w:u w:val="single"/>
                          </w:rPr>
                          <w:t> </w:t>
                        </w:r>
                      </w:p>
                    </w:tc>
                  </w:tr>
                  <w:tr>
                    <w:trPr>
                      <w:trHeight w:val="283" w:hRule="exact"/>
                    </w:trPr>
                    <w:tc>
                      <w:tcPr>
                        <w:tcW w:w="5990" w:type="dxa"/>
                      </w:tcPr>
                      <w:p>
                        <w:pPr/>
                      </w:p>
                    </w:tc>
                    <w:tc>
                      <w:tcPr>
                        <w:tcW w:w="2170" w:type="dxa"/>
                      </w:tcPr>
                      <w:p>
                        <w:pPr>
                          <w:pStyle w:val="TableParagraph"/>
                          <w:tabs>
                            <w:tab w:pos="1055" w:val="left" w:leader="none"/>
                          </w:tabs>
                          <w:spacing w:before="4"/>
                          <w:ind w:left="331"/>
                          <w:rPr>
                            <w:b/>
                            <w:sz w:val="20"/>
                          </w:rPr>
                        </w:pPr>
                        <w:r>
                          <w:rPr>
                            <w:b/>
                            <w:color w:val="0000D3"/>
                            <w:w w:val="120"/>
                            <w:sz w:val="20"/>
                            <w:u w:val="thick" w:color="000000"/>
                          </w:rPr>
                          <w:t> </w:t>
                        </w:r>
                        <w:r>
                          <w:rPr>
                            <w:b/>
                            <w:color w:val="0000D3"/>
                            <w:spacing w:val="21"/>
                            <w:sz w:val="20"/>
                            <w:u w:val="thick" w:color="000000"/>
                          </w:rPr>
                          <w:t> </w:t>
                        </w:r>
                        <w:r>
                          <w:rPr>
                            <w:b/>
                            <w:color w:val="0000D3"/>
                            <w:w w:val="120"/>
                            <w:sz w:val="20"/>
                            <w:u w:val="thick" w:color="000000"/>
                          </w:rPr>
                          <w:t>$</w:t>
                          <w:tab/>
                        </w:r>
                        <w:r>
                          <w:rPr>
                            <w:b/>
                            <w:color w:val="0000D3"/>
                            <w:spacing w:val="4"/>
                            <w:w w:val="120"/>
                            <w:sz w:val="20"/>
                            <w:u w:val="thick" w:color="000000"/>
                          </w:rPr>
                          <w:t>9,878</w:t>
                        </w:r>
                        <w:r>
                          <w:rPr>
                            <w:b/>
                            <w:color w:val="0000D3"/>
                            <w:spacing w:val="-19"/>
                            <w:sz w:val="20"/>
                            <w:u w:val="thick" w:color="000000"/>
                          </w:rPr>
                          <w:t> </w:t>
                        </w:r>
                      </w:p>
                    </w:tc>
                    <w:tc>
                      <w:tcPr>
                        <w:tcW w:w="1871" w:type="dxa"/>
                      </w:tcPr>
                      <w:p>
                        <w:pPr>
                          <w:pStyle w:val="TableParagraph"/>
                          <w:tabs>
                            <w:tab w:pos="758" w:val="left" w:leader="none"/>
                          </w:tabs>
                          <w:spacing w:before="4"/>
                          <w:ind w:right="30"/>
                          <w:jc w:val="right"/>
                          <w:rPr>
                            <w:sz w:val="20"/>
                          </w:rPr>
                        </w:pPr>
                        <w:r>
                          <w:rPr>
                            <w:w w:val="120"/>
                            <w:sz w:val="20"/>
                            <w:u w:val="thick"/>
                          </w:rPr>
                          <w:t> </w:t>
                        </w:r>
                        <w:r>
                          <w:rPr>
                            <w:spacing w:val="11"/>
                            <w:sz w:val="20"/>
                            <w:u w:val="thick"/>
                          </w:rPr>
                          <w:t> </w:t>
                        </w:r>
                        <w:r>
                          <w:rPr>
                            <w:w w:val="120"/>
                            <w:sz w:val="20"/>
                            <w:u w:val="thick"/>
                          </w:rPr>
                          <w:t>$</w:t>
                          <w:tab/>
                        </w:r>
                        <w:r>
                          <w:rPr>
                            <w:w w:val="115"/>
                            <w:sz w:val="20"/>
                            <w:u w:val="thick"/>
                          </w:rPr>
                          <w:t>8,954</w:t>
                        </w:r>
                        <w:r>
                          <w:rPr>
                            <w:spacing w:val="27"/>
                            <w:sz w:val="20"/>
                            <w:u w:val="thick"/>
                          </w:rPr>
                          <w:t> </w:t>
                        </w:r>
                      </w:p>
                    </w:tc>
                  </w:tr>
                  <w:tr>
                    <w:trPr>
                      <w:trHeight w:val="844" w:hRule="exact"/>
                    </w:trPr>
                    <w:tc>
                      <w:tcPr>
                        <w:tcW w:w="5990" w:type="dxa"/>
                      </w:tcPr>
                      <w:p>
                        <w:pPr>
                          <w:pStyle w:val="TableParagraph"/>
                          <w:spacing w:before="18"/>
                          <w:ind w:left="37"/>
                          <w:rPr>
                            <w:b/>
                            <w:sz w:val="20"/>
                          </w:rPr>
                        </w:pPr>
                        <w:r>
                          <w:rPr>
                            <w:b/>
                            <w:color w:val="0000D3"/>
                            <w:sz w:val="20"/>
                          </w:rPr>
                          <w:t>LIABILITIES AND STOCKHOLDERS' EQUITY</w:t>
                        </w:r>
                      </w:p>
                      <w:p>
                        <w:pPr>
                          <w:pStyle w:val="TableParagraph"/>
                          <w:spacing w:line="290" w:lineRule="auto" w:before="48"/>
                          <w:ind w:left="168" w:right="3385" w:hanging="136"/>
                          <w:rPr>
                            <w:sz w:val="20"/>
                          </w:rPr>
                        </w:pPr>
                        <w:r>
                          <w:rPr>
                            <w:w w:val="110"/>
                            <w:sz w:val="20"/>
                          </w:rPr>
                          <w:t>Current liabilities: Accounts payable</w:t>
                        </w:r>
                      </w:p>
                    </w:tc>
                    <w:tc>
                      <w:tcPr>
                        <w:tcW w:w="2170" w:type="dxa"/>
                      </w:tcPr>
                      <w:p>
                        <w:pPr>
                          <w:pStyle w:val="TableParagraph"/>
                          <w:rPr>
                            <w:sz w:val="28"/>
                          </w:rPr>
                        </w:pPr>
                      </w:p>
                      <w:p>
                        <w:pPr>
                          <w:pStyle w:val="TableParagraph"/>
                          <w:spacing w:before="11"/>
                          <w:rPr>
                            <w:sz w:val="21"/>
                          </w:rPr>
                        </w:pPr>
                      </w:p>
                      <w:p>
                        <w:pPr>
                          <w:pStyle w:val="TableParagraph"/>
                          <w:tabs>
                            <w:tab w:pos="1262" w:val="left" w:leader="none"/>
                          </w:tabs>
                          <w:ind w:left="475"/>
                          <w:rPr>
                            <w:b/>
                            <w:sz w:val="20"/>
                          </w:rPr>
                        </w:pPr>
                        <w:r>
                          <w:rPr>
                            <w:b/>
                            <w:color w:val="0000D3"/>
                            <w:w w:val="120"/>
                            <w:sz w:val="20"/>
                          </w:rPr>
                          <w:t>$</w:t>
                          <w:tab/>
                        </w:r>
                        <w:r>
                          <w:rPr>
                            <w:b/>
                            <w:color w:val="0000D3"/>
                            <w:spacing w:val="4"/>
                            <w:w w:val="120"/>
                            <w:sz w:val="20"/>
                          </w:rPr>
                          <w:t>405</w:t>
                        </w:r>
                      </w:p>
                    </w:tc>
                    <w:tc>
                      <w:tcPr>
                        <w:tcW w:w="1871" w:type="dxa"/>
                      </w:tcPr>
                      <w:p>
                        <w:pPr>
                          <w:pStyle w:val="TableParagraph"/>
                          <w:rPr>
                            <w:sz w:val="28"/>
                          </w:rPr>
                        </w:pPr>
                      </w:p>
                      <w:p>
                        <w:pPr>
                          <w:pStyle w:val="TableParagraph"/>
                          <w:spacing w:before="11"/>
                          <w:rPr>
                            <w:sz w:val="21"/>
                          </w:rPr>
                        </w:pPr>
                      </w:p>
                      <w:p>
                        <w:pPr>
                          <w:pStyle w:val="TableParagraph"/>
                          <w:tabs>
                            <w:tab w:pos="820" w:val="left" w:leader="none"/>
                          </w:tabs>
                          <w:ind w:right="169"/>
                          <w:jc w:val="right"/>
                          <w:rPr>
                            <w:sz w:val="20"/>
                          </w:rPr>
                        </w:pPr>
                        <w:r>
                          <w:rPr>
                            <w:w w:val="120"/>
                            <w:sz w:val="20"/>
                          </w:rPr>
                          <w:t>$</w:t>
                          <w:tab/>
                          <w:t>362</w:t>
                        </w:r>
                      </w:p>
                    </w:tc>
                  </w:tr>
                  <w:tr>
                    <w:trPr>
                      <w:trHeight w:val="278" w:hRule="exact"/>
                    </w:trPr>
                    <w:tc>
                      <w:tcPr>
                        <w:tcW w:w="5990" w:type="dxa"/>
                      </w:tcPr>
                      <w:p>
                        <w:pPr>
                          <w:pStyle w:val="TableParagraph"/>
                          <w:spacing w:before="8"/>
                          <w:ind w:left="169"/>
                          <w:rPr>
                            <w:sz w:val="20"/>
                          </w:rPr>
                        </w:pPr>
                        <w:r>
                          <w:rPr>
                            <w:w w:val="110"/>
                            <w:sz w:val="20"/>
                          </w:rPr>
                          <w:t>Accrued liabilities</w:t>
                        </w:r>
                      </w:p>
                    </w:tc>
                    <w:tc>
                      <w:tcPr>
                        <w:tcW w:w="2170" w:type="dxa"/>
                      </w:tcPr>
                      <w:p>
                        <w:pPr>
                          <w:pStyle w:val="TableParagraph"/>
                          <w:spacing w:before="8"/>
                          <w:ind w:left="1262"/>
                          <w:rPr>
                            <w:b/>
                            <w:sz w:val="20"/>
                          </w:rPr>
                        </w:pPr>
                        <w:r>
                          <w:rPr>
                            <w:b/>
                            <w:color w:val="0000D3"/>
                            <w:w w:val="120"/>
                            <w:sz w:val="20"/>
                          </w:rPr>
                          <w:t>650</w:t>
                        </w:r>
                      </w:p>
                    </w:tc>
                    <w:tc>
                      <w:tcPr>
                        <w:tcW w:w="1871" w:type="dxa"/>
                      </w:tcPr>
                      <w:p>
                        <w:pPr>
                          <w:pStyle w:val="TableParagraph"/>
                          <w:spacing w:before="8"/>
                          <w:ind w:right="169"/>
                          <w:jc w:val="right"/>
                          <w:rPr>
                            <w:sz w:val="20"/>
                          </w:rPr>
                        </w:pPr>
                        <w:r>
                          <w:rPr>
                            <w:w w:val="120"/>
                            <w:sz w:val="20"/>
                          </w:rPr>
                          <w:t>529</w:t>
                        </w:r>
                      </w:p>
                    </w:tc>
                  </w:tr>
                  <w:tr>
                    <w:trPr>
                      <w:trHeight w:val="278" w:hRule="exact"/>
                    </w:trPr>
                    <w:tc>
                      <w:tcPr>
                        <w:tcW w:w="5990" w:type="dxa"/>
                      </w:tcPr>
                      <w:p>
                        <w:pPr>
                          <w:pStyle w:val="TableParagraph"/>
                          <w:spacing w:before="8"/>
                          <w:ind w:left="168"/>
                          <w:rPr>
                            <w:sz w:val="20"/>
                          </w:rPr>
                        </w:pPr>
                        <w:r>
                          <w:rPr>
                            <w:w w:val="115"/>
                            <w:sz w:val="20"/>
                          </w:rPr>
                          <w:t>Air traffic liability</w:t>
                        </w:r>
                      </w:p>
                    </w:tc>
                    <w:tc>
                      <w:tcPr>
                        <w:tcW w:w="2170" w:type="dxa"/>
                      </w:tcPr>
                      <w:p>
                        <w:pPr>
                          <w:pStyle w:val="TableParagraph"/>
                          <w:spacing w:before="8"/>
                          <w:ind w:left="1262"/>
                          <w:rPr>
                            <w:b/>
                            <w:sz w:val="20"/>
                          </w:rPr>
                        </w:pPr>
                        <w:r>
                          <w:rPr>
                            <w:b/>
                            <w:color w:val="0000D3"/>
                            <w:w w:val="120"/>
                            <w:sz w:val="20"/>
                          </w:rPr>
                          <w:t>462</w:t>
                        </w:r>
                      </w:p>
                    </w:tc>
                    <w:tc>
                      <w:tcPr>
                        <w:tcW w:w="1871" w:type="dxa"/>
                      </w:tcPr>
                      <w:p>
                        <w:pPr>
                          <w:pStyle w:val="TableParagraph"/>
                          <w:spacing w:before="8"/>
                          <w:ind w:right="169"/>
                          <w:jc w:val="right"/>
                          <w:rPr>
                            <w:sz w:val="20"/>
                          </w:rPr>
                        </w:pPr>
                        <w:r>
                          <w:rPr>
                            <w:w w:val="120"/>
                            <w:sz w:val="20"/>
                          </w:rPr>
                          <w:t>412</w:t>
                        </w:r>
                      </w:p>
                    </w:tc>
                  </w:tr>
                  <w:tr>
                    <w:trPr>
                      <w:trHeight w:val="283" w:hRule="exact"/>
                    </w:trPr>
                    <w:tc>
                      <w:tcPr>
                        <w:tcW w:w="5990" w:type="dxa"/>
                      </w:tcPr>
                      <w:p>
                        <w:pPr>
                          <w:pStyle w:val="TableParagraph"/>
                          <w:spacing w:before="8"/>
                          <w:ind w:left="169"/>
                          <w:rPr>
                            <w:sz w:val="20"/>
                          </w:rPr>
                        </w:pPr>
                        <w:r>
                          <w:rPr>
                            <w:w w:val="115"/>
                            <w:sz w:val="20"/>
                          </w:rPr>
                          <w:t>Current maturities of long-term debt</w:t>
                        </w:r>
                      </w:p>
                    </w:tc>
                    <w:tc>
                      <w:tcPr>
                        <w:tcW w:w="2170" w:type="dxa"/>
                      </w:tcPr>
                      <w:p>
                        <w:pPr>
                          <w:pStyle w:val="TableParagraph"/>
                          <w:tabs>
                            <w:tab w:pos="1262" w:val="left" w:leader="none"/>
                          </w:tabs>
                          <w:spacing w:before="8"/>
                          <w:ind w:left="331"/>
                          <w:rPr>
                            <w:b/>
                            <w:sz w:val="20"/>
                          </w:rPr>
                        </w:pPr>
                        <w:r>
                          <w:rPr>
                            <w:b/>
                            <w:color w:val="0000D3"/>
                            <w:w w:val="120"/>
                            <w:sz w:val="20"/>
                            <w:u w:val="single" w:color="000000"/>
                          </w:rPr>
                          <w:t> </w:t>
                        </w:r>
                        <w:r>
                          <w:rPr>
                            <w:b/>
                            <w:color w:val="0000D3"/>
                            <w:sz w:val="20"/>
                            <w:u w:val="single" w:color="000000"/>
                          </w:rPr>
                          <w:tab/>
                        </w:r>
                        <w:r>
                          <w:rPr>
                            <w:b/>
                            <w:color w:val="0000D3"/>
                            <w:spacing w:val="4"/>
                            <w:w w:val="120"/>
                            <w:sz w:val="20"/>
                            <w:u w:val="single" w:color="000000"/>
                          </w:rPr>
                          <w:t>206</w:t>
                        </w:r>
                        <w:r>
                          <w:rPr>
                            <w:b/>
                            <w:color w:val="0000D3"/>
                            <w:spacing w:val="-19"/>
                            <w:sz w:val="20"/>
                            <w:u w:val="single" w:color="000000"/>
                          </w:rPr>
                          <w:t> </w:t>
                        </w:r>
                      </w:p>
                    </w:tc>
                    <w:tc>
                      <w:tcPr>
                        <w:tcW w:w="1871" w:type="dxa"/>
                      </w:tcPr>
                      <w:p>
                        <w:pPr>
                          <w:pStyle w:val="TableParagraph"/>
                          <w:tabs>
                            <w:tab w:pos="955" w:val="left" w:leader="none"/>
                          </w:tabs>
                          <w:spacing w:before="8"/>
                          <w:ind w:right="30"/>
                          <w:jc w:val="right"/>
                          <w:rPr>
                            <w:sz w:val="20"/>
                          </w:rPr>
                        </w:pPr>
                        <w:r>
                          <w:rPr>
                            <w:w w:val="120"/>
                            <w:sz w:val="20"/>
                            <w:u w:val="single"/>
                          </w:rPr>
                          <w:t> </w:t>
                        </w:r>
                        <w:r>
                          <w:rPr>
                            <w:sz w:val="20"/>
                            <w:u w:val="single"/>
                          </w:rPr>
                          <w:tab/>
                        </w:r>
                        <w:r>
                          <w:rPr>
                            <w:spacing w:val="-1"/>
                            <w:w w:val="120"/>
                            <w:sz w:val="20"/>
                            <w:u w:val="single"/>
                          </w:rPr>
                          <w:t>131</w:t>
                        </w:r>
                        <w:r>
                          <w:rPr>
                            <w:spacing w:val="27"/>
                            <w:sz w:val="20"/>
                            <w:u w:val="single"/>
                          </w:rPr>
                          <w:t> </w:t>
                        </w:r>
                      </w:p>
                    </w:tc>
                  </w:tr>
                  <w:tr>
                    <w:trPr>
                      <w:trHeight w:val="331" w:hRule="exact"/>
                    </w:trPr>
                    <w:tc>
                      <w:tcPr>
                        <w:tcW w:w="5990" w:type="dxa"/>
                      </w:tcPr>
                      <w:p>
                        <w:pPr>
                          <w:pStyle w:val="TableParagraph"/>
                          <w:spacing w:before="13"/>
                          <w:ind w:left="305"/>
                          <w:rPr>
                            <w:sz w:val="20"/>
                          </w:rPr>
                        </w:pPr>
                        <w:r>
                          <w:rPr>
                            <w:w w:val="110"/>
                            <w:sz w:val="20"/>
                          </w:rPr>
                          <w:t>Total current liabilities</w:t>
                        </w:r>
                      </w:p>
                    </w:tc>
                    <w:tc>
                      <w:tcPr>
                        <w:tcW w:w="2170" w:type="dxa"/>
                      </w:tcPr>
                      <w:p>
                        <w:pPr>
                          <w:pStyle w:val="TableParagraph"/>
                          <w:spacing w:before="13"/>
                          <w:ind w:left="1055"/>
                          <w:rPr>
                            <w:b/>
                            <w:sz w:val="20"/>
                          </w:rPr>
                        </w:pPr>
                        <w:r>
                          <w:rPr>
                            <w:b/>
                            <w:color w:val="0000D3"/>
                            <w:w w:val="120"/>
                            <w:sz w:val="20"/>
                          </w:rPr>
                          <w:t>1,723</w:t>
                        </w:r>
                      </w:p>
                    </w:tc>
                    <w:tc>
                      <w:tcPr>
                        <w:tcW w:w="1871" w:type="dxa"/>
                      </w:tcPr>
                      <w:p>
                        <w:pPr>
                          <w:pStyle w:val="TableParagraph"/>
                          <w:spacing w:before="13"/>
                          <w:ind w:right="168"/>
                          <w:jc w:val="right"/>
                          <w:rPr>
                            <w:sz w:val="20"/>
                          </w:rPr>
                        </w:pPr>
                        <w:r>
                          <w:rPr>
                            <w:w w:val="115"/>
                            <w:sz w:val="20"/>
                          </w:rPr>
                          <w:t>1,434</w:t>
                        </w:r>
                      </w:p>
                    </w:tc>
                  </w:tr>
                  <w:tr>
                    <w:trPr>
                      <w:trHeight w:val="326" w:hRule="exact"/>
                    </w:trPr>
                    <w:tc>
                      <w:tcPr>
                        <w:tcW w:w="5990" w:type="dxa"/>
                      </w:tcPr>
                      <w:p>
                        <w:pPr>
                          <w:pStyle w:val="TableParagraph"/>
                          <w:spacing w:before="56"/>
                          <w:ind w:left="32"/>
                          <w:rPr>
                            <w:sz w:val="20"/>
                          </w:rPr>
                        </w:pPr>
                        <w:r>
                          <w:rPr>
                            <w:w w:val="110"/>
                            <w:sz w:val="20"/>
                          </w:rPr>
                          <w:t>Long-term debt less current  maturities</w:t>
                        </w:r>
                      </w:p>
                    </w:tc>
                    <w:tc>
                      <w:tcPr>
                        <w:tcW w:w="2170" w:type="dxa"/>
                      </w:tcPr>
                      <w:p>
                        <w:pPr>
                          <w:pStyle w:val="TableParagraph"/>
                          <w:spacing w:before="56"/>
                          <w:ind w:left="1055"/>
                          <w:rPr>
                            <w:b/>
                            <w:sz w:val="20"/>
                          </w:rPr>
                        </w:pPr>
                        <w:r>
                          <w:rPr>
                            <w:b/>
                            <w:color w:val="0000D3"/>
                            <w:w w:val="120"/>
                            <w:sz w:val="20"/>
                          </w:rPr>
                          <w:t>1,332</w:t>
                        </w:r>
                      </w:p>
                    </w:tc>
                    <w:tc>
                      <w:tcPr>
                        <w:tcW w:w="1871" w:type="dxa"/>
                      </w:tcPr>
                      <w:p>
                        <w:pPr>
                          <w:pStyle w:val="TableParagraph"/>
                          <w:spacing w:before="56"/>
                          <w:ind w:right="168"/>
                          <w:jc w:val="right"/>
                          <w:rPr>
                            <w:sz w:val="20"/>
                          </w:rPr>
                        </w:pPr>
                        <w:r>
                          <w:rPr>
                            <w:w w:val="115"/>
                            <w:sz w:val="20"/>
                          </w:rPr>
                          <w:t>1,553</w:t>
                        </w:r>
                      </w:p>
                    </w:tc>
                  </w:tr>
                  <w:tr>
                    <w:trPr>
                      <w:trHeight w:val="278" w:hRule="exact"/>
                    </w:trPr>
                    <w:tc>
                      <w:tcPr>
                        <w:tcW w:w="5990" w:type="dxa"/>
                      </w:tcPr>
                      <w:p>
                        <w:pPr>
                          <w:pStyle w:val="TableParagraph"/>
                          <w:spacing w:before="8"/>
                          <w:ind w:left="32"/>
                          <w:rPr>
                            <w:sz w:val="20"/>
                          </w:rPr>
                        </w:pPr>
                        <w:r>
                          <w:rPr>
                            <w:w w:val="110"/>
                            <w:sz w:val="20"/>
                          </w:rPr>
                          <w:t>Deferred income taxes</w:t>
                        </w:r>
                      </w:p>
                    </w:tc>
                    <w:tc>
                      <w:tcPr>
                        <w:tcW w:w="2170" w:type="dxa"/>
                      </w:tcPr>
                      <w:p>
                        <w:pPr>
                          <w:pStyle w:val="TableParagraph"/>
                          <w:spacing w:before="8"/>
                          <w:ind w:left="1055"/>
                          <w:rPr>
                            <w:b/>
                            <w:sz w:val="20"/>
                          </w:rPr>
                        </w:pPr>
                        <w:r>
                          <w:rPr>
                            <w:b/>
                            <w:color w:val="0000D3"/>
                            <w:w w:val="120"/>
                            <w:sz w:val="20"/>
                          </w:rPr>
                          <w:t>1,420</w:t>
                        </w:r>
                      </w:p>
                    </w:tc>
                    <w:tc>
                      <w:tcPr>
                        <w:tcW w:w="1871" w:type="dxa"/>
                      </w:tcPr>
                      <w:p>
                        <w:pPr>
                          <w:pStyle w:val="TableParagraph"/>
                          <w:spacing w:before="8"/>
                          <w:ind w:right="168"/>
                          <w:jc w:val="right"/>
                          <w:rPr>
                            <w:sz w:val="20"/>
                          </w:rPr>
                        </w:pPr>
                        <w:r>
                          <w:rPr>
                            <w:w w:val="115"/>
                            <w:sz w:val="20"/>
                          </w:rPr>
                          <w:t>1,227</w:t>
                        </w:r>
                      </w:p>
                    </w:tc>
                  </w:tr>
                  <w:tr>
                    <w:trPr>
                      <w:trHeight w:val="278" w:hRule="exact"/>
                    </w:trPr>
                    <w:tc>
                      <w:tcPr>
                        <w:tcW w:w="5990" w:type="dxa"/>
                      </w:tcPr>
                      <w:p>
                        <w:pPr>
                          <w:pStyle w:val="TableParagraph"/>
                          <w:spacing w:before="8"/>
                          <w:ind w:left="32"/>
                          <w:rPr>
                            <w:sz w:val="20"/>
                          </w:rPr>
                        </w:pPr>
                        <w:r>
                          <w:rPr>
                            <w:w w:val="110"/>
                            <w:sz w:val="20"/>
                          </w:rPr>
                          <w:t>Deferred gains from sale and leaseback of aircraft</w:t>
                        </w:r>
                      </w:p>
                    </w:tc>
                    <w:tc>
                      <w:tcPr>
                        <w:tcW w:w="2170" w:type="dxa"/>
                      </w:tcPr>
                      <w:p>
                        <w:pPr>
                          <w:pStyle w:val="TableParagraph"/>
                          <w:spacing w:before="8"/>
                          <w:ind w:left="1262"/>
                          <w:rPr>
                            <w:b/>
                            <w:sz w:val="20"/>
                          </w:rPr>
                        </w:pPr>
                        <w:r>
                          <w:rPr>
                            <w:b/>
                            <w:color w:val="0000D3"/>
                            <w:w w:val="120"/>
                            <w:sz w:val="20"/>
                          </w:rPr>
                          <w:t>168</w:t>
                        </w:r>
                      </w:p>
                    </w:tc>
                    <w:tc>
                      <w:tcPr>
                        <w:tcW w:w="1871" w:type="dxa"/>
                      </w:tcPr>
                      <w:p>
                        <w:pPr>
                          <w:pStyle w:val="TableParagraph"/>
                          <w:spacing w:before="8"/>
                          <w:ind w:right="169"/>
                          <w:jc w:val="right"/>
                          <w:rPr>
                            <w:sz w:val="20"/>
                          </w:rPr>
                        </w:pPr>
                        <w:r>
                          <w:rPr>
                            <w:w w:val="120"/>
                            <w:sz w:val="20"/>
                          </w:rPr>
                          <w:t>184</w:t>
                        </w:r>
                      </w:p>
                    </w:tc>
                  </w:tr>
                  <w:tr>
                    <w:trPr>
                      <w:trHeight w:val="302" w:hRule="exact"/>
                    </w:trPr>
                    <w:tc>
                      <w:tcPr>
                        <w:tcW w:w="5990" w:type="dxa"/>
                      </w:tcPr>
                      <w:p>
                        <w:pPr>
                          <w:pStyle w:val="TableParagraph"/>
                          <w:spacing w:before="8"/>
                          <w:ind w:left="32"/>
                          <w:rPr>
                            <w:sz w:val="20"/>
                          </w:rPr>
                        </w:pPr>
                        <w:r>
                          <w:rPr>
                            <w:w w:val="110"/>
                            <w:sz w:val="20"/>
                          </w:rPr>
                          <w:t>Other deferred liabilities</w:t>
                        </w:r>
                      </w:p>
                    </w:tc>
                    <w:tc>
                      <w:tcPr>
                        <w:tcW w:w="2170" w:type="dxa"/>
                      </w:tcPr>
                      <w:p>
                        <w:pPr>
                          <w:pStyle w:val="TableParagraph"/>
                          <w:spacing w:before="8"/>
                          <w:ind w:left="1262"/>
                          <w:rPr>
                            <w:b/>
                            <w:sz w:val="20"/>
                          </w:rPr>
                        </w:pPr>
                        <w:r>
                          <w:rPr>
                            <w:b/>
                            <w:color w:val="0000D3"/>
                            <w:w w:val="120"/>
                            <w:sz w:val="20"/>
                          </w:rPr>
                          <w:t>183</w:t>
                        </w:r>
                      </w:p>
                    </w:tc>
                    <w:tc>
                      <w:tcPr>
                        <w:tcW w:w="1871" w:type="dxa"/>
                      </w:tcPr>
                      <w:p>
                        <w:pPr>
                          <w:pStyle w:val="TableParagraph"/>
                          <w:spacing w:before="8"/>
                          <w:ind w:right="169"/>
                          <w:jc w:val="right"/>
                          <w:rPr>
                            <w:sz w:val="20"/>
                          </w:rPr>
                        </w:pPr>
                        <w:r>
                          <w:rPr>
                            <w:w w:val="120"/>
                            <w:sz w:val="20"/>
                          </w:rPr>
                          <w:t>134</w:t>
                        </w:r>
                      </w:p>
                    </w:tc>
                  </w:tr>
                  <w:tr>
                    <w:trPr>
                      <w:trHeight w:val="307" w:hRule="exact"/>
                    </w:trPr>
                    <w:tc>
                      <w:tcPr>
                        <w:tcW w:w="5990" w:type="dxa"/>
                      </w:tcPr>
                      <w:p>
                        <w:pPr>
                          <w:pStyle w:val="TableParagraph"/>
                          <w:spacing w:before="32"/>
                          <w:ind w:left="32"/>
                          <w:rPr>
                            <w:sz w:val="20"/>
                          </w:rPr>
                        </w:pPr>
                        <w:r>
                          <w:rPr>
                            <w:w w:val="110"/>
                            <w:sz w:val="20"/>
                          </w:rPr>
                          <w:t>Commitments and contingencies</w:t>
                        </w:r>
                      </w:p>
                    </w:tc>
                    <w:tc>
                      <w:tcPr>
                        <w:tcW w:w="2170" w:type="dxa"/>
                      </w:tcPr>
                      <w:p>
                        <w:pPr/>
                      </w:p>
                    </w:tc>
                    <w:tc>
                      <w:tcPr>
                        <w:tcW w:w="1871" w:type="dxa"/>
                      </w:tcPr>
                      <w:p>
                        <w:pPr/>
                      </w:p>
                    </w:tc>
                  </w:tr>
                  <w:tr>
                    <w:trPr>
                      <w:trHeight w:val="614" w:hRule="exact"/>
                    </w:trPr>
                    <w:tc>
                      <w:tcPr>
                        <w:tcW w:w="8159" w:type="dxa"/>
                        <w:gridSpan w:val="2"/>
                      </w:tcPr>
                      <w:p>
                        <w:pPr>
                          <w:pStyle w:val="TableParagraph"/>
                          <w:spacing w:before="61"/>
                          <w:ind w:left="32"/>
                          <w:rPr>
                            <w:sz w:val="20"/>
                          </w:rPr>
                        </w:pPr>
                        <w:r>
                          <w:rPr>
                            <w:w w:val="110"/>
                            <w:sz w:val="20"/>
                          </w:rPr>
                          <w:t>Stockholders' equity:</w:t>
                        </w:r>
                      </w:p>
                      <w:p>
                        <w:pPr>
                          <w:pStyle w:val="TableParagraph"/>
                          <w:spacing w:before="47"/>
                          <w:ind w:left="166"/>
                          <w:rPr>
                            <w:sz w:val="20"/>
                          </w:rPr>
                        </w:pPr>
                        <w:r>
                          <w:rPr>
                            <w:w w:val="110"/>
                            <w:sz w:val="20"/>
                          </w:rPr>
                          <w:t>Common stock, $1.00 par value: 2,000,000,000 shares </w:t>
                        </w:r>
                        <w:r>
                          <w:rPr>
                            <w:spacing w:val="61"/>
                            <w:w w:val="110"/>
                            <w:sz w:val="20"/>
                          </w:rPr>
                          <w:t> </w:t>
                        </w:r>
                        <w:r>
                          <w:rPr>
                            <w:w w:val="110"/>
                            <w:sz w:val="20"/>
                          </w:rPr>
                          <w:t>authorized;</w:t>
                        </w:r>
                      </w:p>
                    </w:tc>
                    <w:tc>
                      <w:tcPr>
                        <w:tcW w:w="1871" w:type="dxa"/>
                      </w:tcPr>
                      <w:p>
                        <w:pPr/>
                      </w:p>
                    </w:tc>
                  </w:tr>
                  <w:tr>
                    <w:trPr>
                      <w:trHeight w:val="552" w:hRule="exact"/>
                    </w:trPr>
                    <w:tc>
                      <w:tcPr>
                        <w:tcW w:w="5990" w:type="dxa"/>
                      </w:tcPr>
                      <w:p>
                        <w:pPr>
                          <w:pStyle w:val="TableParagraph"/>
                          <w:spacing w:before="13"/>
                          <w:ind w:left="300"/>
                          <w:rPr>
                            <w:sz w:val="20"/>
                          </w:rPr>
                        </w:pPr>
                        <w:r>
                          <w:rPr>
                            <w:w w:val="110"/>
                            <w:sz w:val="20"/>
                          </w:rPr>
                          <w:t>789,390,678 and 776,662,894 shares issued in    2003</w:t>
                        </w:r>
                      </w:p>
                      <w:p>
                        <w:pPr>
                          <w:pStyle w:val="TableParagraph"/>
                          <w:spacing w:before="48"/>
                          <w:ind w:left="301"/>
                          <w:rPr>
                            <w:sz w:val="20"/>
                          </w:rPr>
                        </w:pPr>
                        <w:r>
                          <w:rPr>
                            <w:w w:val="110"/>
                            <w:sz w:val="20"/>
                          </w:rPr>
                          <w:t>and 2002,</w:t>
                        </w:r>
                        <w:r>
                          <w:rPr>
                            <w:spacing w:val="54"/>
                            <w:w w:val="110"/>
                            <w:sz w:val="20"/>
                          </w:rPr>
                          <w:t> </w:t>
                        </w:r>
                        <w:r>
                          <w:rPr>
                            <w:w w:val="110"/>
                            <w:sz w:val="20"/>
                          </w:rPr>
                          <w:t>respectively</w:t>
                        </w:r>
                      </w:p>
                    </w:tc>
                    <w:tc>
                      <w:tcPr>
                        <w:tcW w:w="2170" w:type="dxa"/>
                      </w:tcPr>
                      <w:p>
                        <w:pPr>
                          <w:pStyle w:val="TableParagraph"/>
                          <w:spacing w:before="4"/>
                          <w:rPr>
                            <w:sz w:val="25"/>
                          </w:rPr>
                        </w:pPr>
                      </w:p>
                      <w:p>
                        <w:pPr>
                          <w:pStyle w:val="TableParagraph"/>
                          <w:ind w:left="1262"/>
                          <w:rPr>
                            <w:b/>
                            <w:sz w:val="20"/>
                          </w:rPr>
                        </w:pPr>
                        <w:r>
                          <w:rPr>
                            <w:b/>
                            <w:color w:val="0000D3"/>
                            <w:w w:val="120"/>
                            <w:sz w:val="20"/>
                          </w:rPr>
                          <w:t>789</w:t>
                        </w:r>
                      </w:p>
                    </w:tc>
                    <w:tc>
                      <w:tcPr>
                        <w:tcW w:w="1871" w:type="dxa"/>
                      </w:tcPr>
                      <w:p>
                        <w:pPr>
                          <w:pStyle w:val="TableParagraph"/>
                          <w:spacing w:before="4"/>
                          <w:rPr>
                            <w:sz w:val="25"/>
                          </w:rPr>
                        </w:pPr>
                      </w:p>
                      <w:p>
                        <w:pPr>
                          <w:pStyle w:val="TableParagraph"/>
                          <w:ind w:right="169"/>
                          <w:jc w:val="right"/>
                          <w:rPr>
                            <w:sz w:val="20"/>
                          </w:rPr>
                        </w:pPr>
                        <w:r>
                          <w:rPr>
                            <w:w w:val="120"/>
                            <w:sz w:val="20"/>
                          </w:rPr>
                          <w:t>777</w:t>
                        </w:r>
                      </w:p>
                    </w:tc>
                  </w:tr>
                  <w:tr>
                    <w:trPr>
                      <w:trHeight w:val="278" w:hRule="exact"/>
                    </w:trPr>
                    <w:tc>
                      <w:tcPr>
                        <w:tcW w:w="5990" w:type="dxa"/>
                      </w:tcPr>
                      <w:p>
                        <w:pPr>
                          <w:pStyle w:val="TableParagraph"/>
                          <w:spacing w:before="8"/>
                          <w:ind w:left="166"/>
                          <w:rPr>
                            <w:sz w:val="20"/>
                          </w:rPr>
                        </w:pPr>
                        <w:r>
                          <w:rPr>
                            <w:w w:val="105"/>
                            <w:sz w:val="20"/>
                          </w:rPr>
                          <w:t>Capital in excess of par  value</w:t>
                        </w:r>
                      </w:p>
                    </w:tc>
                    <w:tc>
                      <w:tcPr>
                        <w:tcW w:w="2170" w:type="dxa"/>
                      </w:tcPr>
                      <w:p>
                        <w:pPr>
                          <w:pStyle w:val="TableParagraph"/>
                          <w:spacing w:before="8"/>
                          <w:ind w:left="1262"/>
                          <w:rPr>
                            <w:b/>
                            <w:sz w:val="20"/>
                          </w:rPr>
                        </w:pPr>
                        <w:r>
                          <w:rPr>
                            <w:b/>
                            <w:color w:val="0000D3"/>
                            <w:w w:val="120"/>
                            <w:sz w:val="20"/>
                          </w:rPr>
                          <w:t>258</w:t>
                        </w:r>
                      </w:p>
                    </w:tc>
                    <w:tc>
                      <w:tcPr>
                        <w:tcW w:w="1871" w:type="dxa"/>
                      </w:tcPr>
                      <w:p>
                        <w:pPr>
                          <w:pStyle w:val="TableParagraph"/>
                          <w:spacing w:before="8"/>
                          <w:ind w:right="169"/>
                          <w:jc w:val="right"/>
                          <w:rPr>
                            <w:sz w:val="20"/>
                          </w:rPr>
                        </w:pPr>
                        <w:r>
                          <w:rPr>
                            <w:w w:val="120"/>
                            <w:sz w:val="20"/>
                          </w:rPr>
                          <w:t>136</w:t>
                        </w:r>
                      </w:p>
                    </w:tc>
                  </w:tr>
                  <w:tr>
                    <w:trPr>
                      <w:trHeight w:val="278" w:hRule="exact"/>
                    </w:trPr>
                    <w:tc>
                      <w:tcPr>
                        <w:tcW w:w="5990" w:type="dxa"/>
                      </w:tcPr>
                      <w:p>
                        <w:pPr>
                          <w:pStyle w:val="TableParagraph"/>
                          <w:spacing w:before="8"/>
                          <w:ind w:left="167"/>
                          <w:rPr>
                            <w:sz w:val="20"/>
                          </w:rPr>
                        </w:pPr>
                        <w:r>
                          <w:rPr>
                            <w:w w:val="105"/>
                            <w:sz w:val="20"/>
                          </w:rPr>
                          <w:t>Retained earnings</w:t>
                        </w:r>
                      </w:p>
                    </w:tc>
                    <w:tc>
                      <w:tcPr>
                        <w:tcW w:w="2170" w:type="dxa"/>
                      </w:tcPr>
                      <w:p>
                        <w:pPr>
                          <w:pStyle w:val="TableParagraph"/>
                          <w:spacing w:before="8"/>
                          <w:ind w:left="1056"/>
                          <w:rPr>
                            <w:b/>
                            <w:sz w:val="20"/>
                          </w:rPr>
                        </w:pPr>
                        <w:r>
                          <w:rPr>
                            <w:b/>
                            <w:color w:val="0000D3"/>
                            <w:w w:val="120"/>
                            <w:sz w:val="20"/>
                          </w:rPr>
                          <w:t>3,883</w:t>
                        </w:r>
                      </w:p>
                    </w:tc>
                    <w:tc>
                      <w:tcPr>
                        <w:tcW w:w="1871" w:type="dxa"/>
                      </w:tcPr>
                      <w:p>
                        <w:pPr>
                          <w:pStyle w:val="TableParagraph"/>
                          <w:spacing w:before="8"/>
                          <w:ind w:right="168"/>
                          <w:jc w:val="right"/>
                          <w:rPr>
                            <w:sz w:val="20"/>
                          </w:rPr>
                        </w:pPr>
                        <w:r>
                          <w:rPr>
                            <w:w w:val="115"/>
                            <w:sz w:val="20"/>
                          </w:rPr>
                          <w:t>3,455</w:t>
                        </w:r>
                      </w:p>
                    </w:tc>
                  </w:tr>
                  <w:tr>
                    <w:trPr>
                      <w:trHeight w:val="283" w:hRule="exact"/>
                    </w:trPr>
                    <w:tc>
                      <w:tcPr>
                        <w:tcW w:w="5990" w:type="dxa"/>
                      </w:tcPr>
                      <w:p>
                        <w:pPr>
                          <w:pStyle w:val="TableParagraph"/>
                          <w:spacing w:before="8"/>
                          <w:ind w:left="170"/>
                          <w:rPr>
                            <w:sz w:val="20"/>
                          </w:rPr>
                        </w:pPr>
                        <w:r>
                          <w:rPr>
                            <w:w w:val="110"/>
                            <w:sz w:val="20"/>
                          </w:rPr>
                          <w:t>Accumulated other comprehensive income</w:t>
                        </w:r>
                      </w:p>
                    </w:tc>
                    <w:tc>
                      <w:tcPr>
                        <w:tcW w:w="2170" w:type="dxa"/>
                      </w:tcPr>
                      <w:p>
                        <w:pPr>
                          <w:pStyle w:val="TableParagraph"/>
                          <w:tabs>
                            <w:tab w:pos="1262" w:val="left" w:leader="none"/>
                          </w:tabs>
                          <w:spacing w:before="8"/>
                          <w:ind w:left="331"/>
                          <w:rPr>
                            <w:b/>
                            <w:sz w:val="20"/>
                          </w:rPr>
                        </w:pPr>
                        <w:r>
                          <w:rPr>
                            <w:b/>
                            <w:color w:val="0000D3"/>
                            <w:w w:val="120"/>
                            <w:sz w:val="20"/>
                            <w:u w:val="single" w:color="000000"/>
                          </w:rPr>
                          <w:t> </w:t>
                        </w:r>
                        <w:r>
                          <w:rPr>
                            <w:b/>
                            <w:color w:val="0000D3"/>
                            <w:sz w:val="20"/>
                            <w:u w:val="single" w:color="000000"/>
                          </w:rPr>
                          <w:tab/>
                        </w:r>
                        <w:r>
                          <w:rPr>
                            <w:b/>
                            <w:color w:val="0000D3"/>
                            <w:spacing w:val="4"/>
                            <w:w w:val="120"/>
                            <w:sz w:val="20"/>
                            <w:u w:val="single" w:color="000000"/>
                          </w:rPr>
                          <w:t>122</w:t>
                        </w:r>
                        <w:r>
                          <w:rPr>
                            <w:b/>
                            <w:color w:val="0000D3"/>
                            <w:spacing w:val="-19"/>
                            <w:sz w:val="20"/>
                            <w:u w:val="single" w:color="000000"/>
                          </w:rPr>
                          <w:t> </w:t>
                        </w:r>
                      </w:p>
                    </w:tc>
                    <w:tc>
                      <w:tcPr>
                        <w:tcW w:w="1871" w:type="dxa"/>
                      </w:tcPr>
                      <w:p>
                        <w:pPr>
                          <w:pStyle w:val="TableParagraph"/>
                          <w:tabs>
                            <w:tab w:pos="1089" w:val="left" w:leader="none"/>
                          </w:tabs>
                          <w:spacing w:before="8"/>
                          <w:ind w:right="30"/>
                          <w:jc w:val="right"/>
                          <w:rPr>
                            <w:sz w:val="20"/>
                          </w:rPr>
                        </w:pPr>
                        <w:r>
                          <w:rPr>
                            <w:w w:val="120"/>
                            <w:sz w:val="20"/>
                            <w:u w:val="single"/>
                          </w:rPr>
                          <w:t> </w:t>
                        </w:r>
                        <w:r>
                          <w:rPr>
                            <w:sz w:val="20"/>
                            <w:u w:val="single"/>
                          </w:rPr>
                          <w:tab/>
                        </w:r>
                        <w:r>
                          <w:rPr>
                            <w:w w:val="120"/>
                            <w:sz w:val="20"/>
                            <w:u w:val="single"/>
                          </w:rPr>
                          <w:t>54</w:t>
                        </w:r>
                        <w:r>
                          <w:rPr>
                            <w:spacing w:val="-28"/>
                            <w:sz w:val="20"/>
                            <w:u w:val="single"/>
                          </w:rPr>
                          <w:t> </w:t>
                        </w:r>
                      </w:p>
                    </w:tc>
                  </w:tr>
                  <w:tr>
                    <w:trPr>
                      <w:trHeight w:val="288" w:hRule="exact"/>
                    </w:trPr>
                    <w:tc>
                      <w:tcPr>
                        <w:tcW w:w="5990" w:type="dxa"/>
                      </w:tcPr>
                      <w:p>
                        <w:pPr>
                          <w:pStyle w:val="TableParagraph"/>
                          <w:spacing w:before="13"/>
                          <w:ind w:left="301"/>
                          <w:rPr>
                            <w:sz w:val="20"/>
                          </w:rPr>
                        </w:pPr>
                        <w:r>
                          <w:rPr>
                            <w:w w:val="115"/>
                            <w:sz w:val="20"/>
                          </w:rPr>
                          <w:t>Total stockholders' equity</w:t>
                        </w:r>
                      </w:p>
                    </w:tc>
                    <w:tc>
                      <w:tcPr>
                        <w:tcW w:w="2170" w:type="dxa"/>
                      </w:tcPr>
                      <w:p>
                        <w:pPr>
                          <w:pStyle w:val="TableParagraph"/>
                          <w:tabs>
                            <w:tab w:pos="1055" w:val="left" w:leader="none"/>
                          </w:tabs>
                          <w:spacing w:before="13"/>
                          <w:ind w:left="331"/>
                          <w:rPr>
                            <w:b/>
                            <w:sz w:val="20"/>
                          </w:rPr>
                        </w:pPr>
                        <w:r>
                          <w:rPr>
                            <w:b/>
                            <w:color w:val="0000D3"/>
                            <w:w w:val="120"/>
                            <w:sz w:val="20"/>
                            <w:u w:val="single" w:color="000000"/>
                          </w:rPr>
                          <w:t> </w:t>
                        </w:r>
                        <w:r>
                          <w:rPr>
                            <w:b/>
                            <w:color w:val="0000D3"/>
                            <w:sz w:val="20"/>
                            <w:u w:val="single" w:color="000000"/>
                          </w:rPr>
                          <w:tab/>
                        </w:r>
                        <w:r>
                          <w:rPr>
                            <w:b/>
                            <w:color w:val="0000D3"/>
                            <w:spacing w:val="4"/>
                            <w:w w:val="120"/>
                            <w:sz w:val="20"/>
                            <w:u w:val="single" w:color="000000"/>
                          </w:rPr>
                          <w:t>5,052</w:t>
                        </w:r>
                        <w:r>
                          <w:rPr>
                            <w:b/>
                            <w:color w:val="0000D3"/>
                            <w:spacing w:val="-19"/>
                            <w:sz w:val="20"/>
                            <w:u w:val="single" w:color="000000"/>
                          </w:rPr>
                          <w:t> </w:t>
                        </w:r>
                      </w:p>
                    </w:tc>
                    <w:tc>
                      <w:tcPr>
                        <w:tcW w:w="1871" w:type="dxa"/>
                      </w:tcPr>
                      <w:p>
                        <w:pPr>
                          <w:pStyle w:val="TableParagraph"/>
                          <w:tabs>
                            <w:tab w:pos="758" w:val="left" w:leader="none"/>
                          </w:tabs>
                          <w:spacing w:before="13"/>
                          <w:ind w:right="30"/>
                          <w:jc w:val="right"/>
                          <w:rPr>
                            <w:sz w:val="20"/>
                          </w:rPr>
                        </w:pPr>
                        <w:r>
                          <w:rPr>
                            <w:w w:val="120"/>
                            <w:sz w:val="20"/>
                            <w:u w:val="single"/>
                          </w:rPr>
                          <w:t> </w:t>
                        </w:r>
                        <w:r>
                          <w:rPr>
                            <w:sz w:val="20"/>
                            <w:u w:val="single"/>
                          </w:rPr>
                          <w:tab/>
                        </w:r>
                        <w:r>
                          <w:rPr>
                            <w:w w:val="115"/>
                            <w:sz w:val="20"/>
                            <w:u w:val="single"/>
                          </w:rPr>
                          <w:t>4,422</w:t>
                        </w:r>
                        <w:r>
                          <w:rPr>
                            <w:spacing w:val="27"/>
                            <w:sz w:val="20"/>
                            <w:u w:val="single"/>
                          </w:rPr>
                          <w:t> </w:t>
                        </w:r>
                      </w:p>
                    </w:tc>
                  </w:tr>
                </w:tbl>
                <w:p>
                  <w:pPr>
                    <w:pStyle w:val="BodyText"/>
                  </w:pPr>
                </w:p>
              </w:txbxContent>
            </v:textbox>
            <w10:wrap type="none"/>
          </v:shape>
        </w:pict>
      </w:r>
      <w:r>
        <w:rPr>
          <w:rFonts w:ascii="Arial"/>
          <w:w w:val="110"/>
          <w:sz w:val="20"/>
        </w:rPr>
        <w:t>Prepaid expenses and other</w:t>
      </w:r>
      <w:r>
        <w:rPr>
          <w:rFonts w:ascii="Arial"/>
          <w:spacing w:val="-35"/>
          <w:w w:val="110"/>
          <w:sz w:val="20"/>
        </w:rPr>
        <w:t> </w:t>
      </w:r>
      <w:r>
        <w:rPr>
          <w:rFonts w:ascii="Arial"/>
          <w:w w:val="110"/>
          <w:sz w:val="20"/>
        </w:rPr>
        <w:t>current</w:t>
      </w:r>
      <w:r>
        <w:rPr>
          <w:rFonts w:ascii="Arial"/>
          <w:spacing w:val="-9"/>
          <w:w w:val="110"/>
          <w:sz w:val="20"/>
        </w:rPr>
        <w:t> </w:t>
      </w:r>
      <w:r>
        <w:rPr>
          <w:rFonts w:ascii="Arial"/>
          <w:w w:val="110"/>
          <w:sz w:val="20"/>
        </w:rPr>
        <w:t>assets</w:t>
        <w:tab/>
      </w:r>
      <w:r>
        <w:rPr>
          <w:rFonts w:ascii="Arial"/>
          <w:b/>
          <w:color w:val="0000D3"/>
          <w:w w:val="110"/>
          <w:sz w:val="20"/>
          <w:u w:val="single" w:color="000000"/>
        </w:rPr>
        <w:t> </w:t>
        <w:tab/>
      </w:r>
      <w:r>
        <w:rPr>
          <w:rFonts w:ascii="Arial"/>
          <w:b/>
          <w:color w:val="0000D3"/>
          <w:spacing w:val="4"/>
          <w:w w:val="110"/>
          <w:sz w:val="20"/>
          <w:u w:val="single" w:color="000000"/>
        </w:rPr>
        <w:t>59</w:t>
      </w:r>
      <w:r>
        <w:rPr>
          <w:rFonts w:ascii="Arial"/>
          <w:b/>
          <w:color w:val="0000D3"/>
          <w:spacing w:val="4"/>
          <w:w w:val="110"/>
          <w:sz w:val="20"/>
        </w:rPr>
        <w:tab/>
      </w:r>
      <w:r>
        <w:rPr>
          <w:rFonts w:ascii="Arial"/>
          <w:spacing w:val="4"/>
          <w:w w:val="110"/>
          <w:sz w:val="20"/>
          <w:u w:val="single"/>
        </w:rPr>
        <w:t> </w:t>
        <w:tab/>
      </w:r>
      <w:r>
        <w:rPr>
          <w:rFonts w:ascii="Arial"/>
          <w:w w:val="110"/>
          <w:sz w:val="20"/>
          <w:u w:val="single"/>
        </w:rPr>
        <w:t>43</w:t>
      </w:r>
      <w:r>
        <w:rPr>
          <w:rFonts w:ascii="Arial"/>
          <w:spacing w:val="-28"/>
          <w:sz w:val="20"/>
          <w:u w:val="single"/>
        </w:rPr>
        <w:t> </w:t>
      </w:r>
    </w:p>
    <w:p>
      <w:pPr>
        <w:spacing w:after="0"/>
        <w:jc w:val="left"/>
        <w:rPr>
          <w:rFonts w:ascii="Arial"/>
          <w:sz w:val="20"/>
        </w:rPr>
        <w:sectPr>
          <w:type w:val="continuous"/>
          <w:pgSz w:w="12240" w:h="15840"/>
          <w:pgMar w:top="320" w:bottom="280" w:left="1180" w:right="780"/>
        </w:sect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spacing w:before="11"/>
        <w:rPr>
          <w:rFonts w:ascii="Arial"/>
          <w:sz w:val="25"/>
        </w:rPr>
      </w:pPr>
    </w:p>
    <w:p>
      <w:pPr>
        <w:spacing w:before="0"/>
        <w:ind w:left="168" w:right="0" w:firstLine="0"/>
        <w:jc w:val="left"/>
        <w:rPr>
          <w:rFonts w:ascii="Arial"/>
          <w:sz w:val="20"/>
        </w:rPr>
      </w:pPr>
      <w:r>
        <w:rPr>
          <w:rFonts w:ascii="Arial"/>
          <w:w w:val="105"/>
          <w:sz w:val="20"/>
        </w:rPr>
        <w:t>See  accompanying notes.</w:t>
      </w:r>
    </w:p>
    <w:p>
      <w:pPr>
        <w:pStyle w:val="BodyText"/>
        <w:rPr>
          <w:rFonts w:ascii="Arial"/>
          <w:sz w:val="28"/>
        </w:rPr>
      </w:pPr>
      <w:r>
        <w:rPr/>
        <w:br w:type="column"/>
      </w:r>
      <w:r>
        <w:rPr>
          <w:rFonts w:ascii="Arial"/>
          <w:sz w:val="28"/>
        </w:rPr>
      </w: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spacing w:before="4"/>
        <w:rPr>
          <w:rFonts w:ascii="Arial"/>
          <w:sz w:val="31"/>
        </w:rPr>
      </w:pPr>
    </w:p>
    <w:p>
      <w:pPr>
        <w:tabs>
          <w:tab w:pos="893" w:val="left" w:leader="none"/>
        </w:tabs>
        <w:spacing w:before="1"/>
        <w:ind w:left="168" w:right="0" w:firstLine="0"/>
        <w:jc w:val="left"/>
        <w:rPr>
          <w:rFonts w:ascii="Arial"/>
          <w:b/>
          <w:sz w:val="20"/>
        </w:rPr>
      </w:pPr>
      <w:r>
        <w:rPr>
          <w:rFonts w:ascii="Arial"/>
          <w:b/>
          <w:color w:val="0000D3"/>
          <w:w w:val="120"/>
          <w:sz w:val="20"/>
          <w:u w:val="thick" w:color="000000"/>
        </w:rPr>
        <w:t> </w:t>
      </w:r>
      <w:r>
        <w:rPr>
          <w:rFonts w:ascii="Arial"/>
          <w:b/>
          <w:color w:val="0000D3"/>
          <w:spacing w:val="21"/>
          <w:sz w:val="20"/>
          <w:u w:val="thick" w:color="000000"/>
        </w:rPr>
        <w:t> </w:t>
      </w:r>
      <w:r>
        <w:rPr>
          <w:rFonts w:ascii="Arial"/>
          <w:b/>
          <w:color w:val="0000D3"/>
          <w:w w:val="120"/>
          <w:sz w:val="20"/>
          <w:u w:val="thick" w:color="000000"/>
        </w:rPr>
        <w:t>$</w:t>
        <w:tab/>
      </w:r>
      <w:r>
        <w:rPr>
          <w:rFonts w:ascii="Arial"/>
          <w:b/>
          <w:color w:val="0000D3"/>
          <w:spacing w:val="4"/>
          <w:w w:val="120"/>
          <w:sz w:val="20"/>
          <w:u w:val="thick" w:color="000000"/>
        </w:rPr>
        <w:t>9,878</w:t>
      </w:r>
      <w:r>
        <w:rPr>
          <w:rFonts w:ascii="Arial"/>
          <w:b/>
          <w:color w:val="0000D3"/>
          <w:spacing w:val="-19"/>
          <w:sz w:val="20"/>
          <w:u w:val="thick" w:color="000000"/>
        </w:rPr>
        <w:t> </w:t>
      </w:r>
    </w:p>
    <w:p>
      <w:pPr>
        <w:pStyle w:val="BodyText"/>
        <w:rPr>
          <w:rFonts w:ascii="Arial"/>
          <w:b/>
          <w:sz w:val="28"/>
        </w:rPr>
      </w:pPr>
      <w:r>
        <w:rPr/>
        <w:br w:type="column"/>
      </w:r>
      <w:r>
        <w:rPr>
          <w:rFonts w:ascii="Arial"/>
          <w:b/>
          <w:sz w:val="28"/>
        </w:rPr>
      </w: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spacing w:before="4"/>
        <w:rPr>
          <w:rFonts w:ascii="Arial"/>
          <w:b/>
          <w:sz w:val="31"/>
        </w:rPr>
      </w:pPr>
    </w:p>
    <w:p>
      <w:pPr>
        <w:tabs>
          <w:tab w:pos="927" w:val="left" w:leader="none"/>
        </w:tabs>
        <w:spacing w:before="1"/>
        <w:ind w:left="168" w:right="0" w:firstLine="0"/>
        <w:jc w:val="left"/>
        <w:rPr>
          <w:rFonts w:ascii="Arial"/>
          <w:sz w:val="20"/>
        </w:rPr>
      </w:pPr>
      <w:r>
        <w:rPr>
          <w:rFonts w:ascii="Arial"/>
          <w:w w:val="120"/>
          <w:sz w:val="20"/>
          <w:u w:val="thick"/>
        </w:rPr>
        <w:t> </w:t>
      </w:r>
      <w:r>
        <w:rPr>
          <w:rFonts w:ascii="Arial"/>
          <w:spacing w:val="11"/>
          <w:sz w:val="20"/>
          <w:u w:val="thick"/>
        </w:rPr>
        <w:t> </w:t>
      </w:r>
      <w:r>
        <w:rPr>
          <w:rFonts w:ascii="Arial"/>
          <w:w w:val="120"/>
          <w:sz w:val="20"/>
          <w:u w:val="thick"/>
        </w:rPr>
        <w:t>$</w:t>
        <w:tab/>
        <w:t>8,954</w:t>
      </w:r>
      <w:r>
        <w:rPr>
          <w:rFonts w:ascii="Arial"/>
          <w:spacing w:val="27"/>
          <w:sz w:val="20"/>
          <w:u w:val="thick"/>
        </w:rPr>
        <w:t> </w:t>
      </w:r>
    </w:p>
    <w:p>
      <w:pPr>
        <w:spacing w:after="0"/>
        <w:jc w:val="left"/>
        <w:rPr>
          <w:rFonts w:ascii="Arial"/>
          <w:sz w:val="20"/>
        </w:rPr>
        <w:sectPr>
          <w:type w:val="continuous"/>
          <w:pgSz w:w="12240" w:h="15840"/>
          <w:pgMar w:top="320" w:bottom="280" w:left="1180" w:right="780"/>
          <w:cols w:num="3" w:equalWidth="0">
            <w:col w:w="2655" w:space="3633"/>
            <w:col w:w="1667" w:space="512"/>
            <w:col w:w="1813"/>
          </w:cols>
        </w:sectPr>
      </w:pPr>
    </w:p>
    <w:p>
      <w:pPr>
        <w:spacing w:line="290" w:lineRule="auto" w:before="97"/>
        <w:ind w:left="153" w:right="5300" w:firstLine="0"/>
        <w:jc w:val="left"/>
        <w:rPr>
          <w:rFonts w:ascii="Arial"/>
          <w:b/>
          <w:sz w:val="20"/>
        </w:rPr>
      </w:pPr>
      <w:bookmarkStart w:name="Income Statement" w:id="37"/>
      <w:bookmarkEnd w:id="37"/>
      <w:r>
        <w:rPr/>
      </w:r>
      <w:r>
        <w:rPr>
          <w:rFonts w:ascii="Arial"/>
          <w:b/>
          <w:sz w:val="20"/>
        </w:rPr>
        <w:t>SOUTHWEST AIRLINES CO. CONSOLIDATED STATEMENT OF INCOME</w:t>
      </w:r>
    </w:p>
    <w:p>
      <w:pPr>
        <w:tabs>
          <w:tab w:pos="5518" w:val="left" w:leader="none"/>
          <w:tab w:pos="9393" w:val="left" w:leader="none"/>
        </w:tabs>
        <w:spacing w:before="1"/>
        <w:ind w:left="4423" w:right="0" w:firstLine="0"/>
        <w:jc w:val="left"/>
        <w:rPr>
          <w:rFonts w:ascii="Arial"/>
          <w:b/>
          <w:sz w:val="20"/>
        </w:rPr>
      </w:pPr>
      <w:r>
        <w:rPr>
          <w:rFonts w:ascii="Arial"/>
          <w:b/>
          <w:w w:val="121"/>
          <w:sz w:val="20"/>
          <w:u w:val="single"/>
        </w:rPr>
        <w:t> </w:t>
      </w:r>
      <w:r>
        <w:rPr>
          <w:rFonts w:ascii="Arial"/>
          <w:b/>
          <w:sz w:val="20"/>
          <w:u w:val="single"/>
        </w:rPr>
        <w:tab/>
        <w:t>YEARS ENDED DECEMBER</w:t>
      </w:r>
      <w:r>
        <w:rPr>
          <w:rFonts w:ascii="Arial"/>
          <w:b/>
          <w:spacing w:val="-29"/>
          <w:sz w:val="20"/>
          <w:u w:val="single"/>
        </w:rPr>
        <w:t> </w:t>
      </w:r>
      <w:r>
        <w:rPr>
          <w:rFonts w:ascii="Arial"/>
          <w:b/>
          <w:sz w:val="20"/>
          <w:u w:val="single"/>
        </w:rPr>
        <w:t>31,</w:t>
        <w:tab/>
      </w:r>
    </w:p>
    <w:p>
      <w:pPr>
        <w:tabs>
          <w:tab w:pos="4422" w:val="left" w:leader="none"/>
          <w:tab w:pos="4850" w:val="left" w:leader="none"/>
          <w:tab w:pos="5921" w:val="left" w:leader="none"/>
          <w:tab w:pos="6199" w:val="left" w:leader="none"/>
          <w:tab w:pos="6680" w:val="left" w:leader="none"/>
          <w:tab w:pos="7780" w:val="left" w:leader="none"/>
          <w:tab w:pos="8058" w:val="left" w:leader="none"/>
          <w:tab w:pos="8462" w:val="left" w:leader="none"/>
          <w:tab w:pos="9393" w:val="left" w:leader="none"/>
        </w:tabs>
        <w:spacing w:line="350" w:lineRule="auto" w:before="72"/>
        <w:ind w:left="153" w:right="144" w:hanging="5"/>
        <w:jc w:val="left"/>
        <w:rPr>
          <w:rFonts w:ascii="Arial"/>
          <w:b/>
          <w:sz w:val="20"/>
        </w:rPr>
      </w:pPr>
      <w:r>
        <w:rPr/>
        <w:pict>
          <v:shape style="position:absolute;margin-left:72.515366pt;margin-top:31.737913pt;width:451.9pt;height:26.4pt;mso-position-horizontal-relative:page;mso-position-vertical-relative:paragraph;z-index:5896"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668"/>
                    <w:gridCol w:w="3136"/>
                    <w:gridCol w:w="1864"/>
                    <w:gridCol w:w="1370"/>
                  </w:tblGrid>
                  <w:tr>
                    <w:trPr>
                      <w:trHeight w:val="264" w:hRule="exact"/>
                    </w:trPr>
                    <w:tc>
                      <w:tcPr>
                        <w:tcW w:w="2668" w:type="dxa"/>
                      </w:tcPr>
                      <w:p>
                        <w:pPr>
                          <w:pStyle w:val="TableParagraph"/>
                          <w:spacing w:before="13"/>
                          <w:ind w:left="32"/>
                          <w:rPr>
                            <w:sz w:val="20"/>
                          </w:rPr>
                        </w:pPr>
                        <w:r>
                          <w:rPr>
                            <w:w w:val="105"/>
                            <w:sz w:val="20"/>
                          </w:rPr>
                          <w:t>Passenger</w:t>
                        </w:r>
                      </w:p>
                    </w:tc>
                    <w:tc>
                      <w:tcPr>
                        <w:tcW w:w="3136" w:type="dxa"/>
                      </w:tcPr>
                      <w:p>
                        <w:pPr>
                          <w:pStyle w:val="TableParagraph"/>
                          <w:tabs>
                            <w:tab w:pos="581" w:val="left" w:leader="none"/>
                          </w:tabs>
                          <w:spacing w:before="13"/>
                          <w:ind w:right="278"/>
                          <w:jc w:val="right"/>
                          <w:rPr>
                            <w:b/>
                            <w:sz w:val="20"/>
                          </w:rPr>
                        </w:pPr>
                        <w:r>
                          <w:rPr>
                            <w:b/>
                            <w:color w:val="0000D3"/>
                            <w:w w:val="120"/>
                            <w:sz w:val="20"/>
                          </w:rPr>
                          <w:t>$</w:t>
                          <w:tab/>
                        </w:r>
                        <w:r>
                          <w:rPr>
                            <w:b/>
                            <w:color w:val="0000D3"/>
                            <w:spacing w:val="4"/>
                            <w:w w:val="120"/>
                            <w:sz w:val="20"/>
                          </w:rPr>
                          <w:t>5,741</w:t>
                        </w:r>
                      </w:p>
                    </w:tc>
                    <w:tc>
                      <w:tcPr>
                        <w:tcW w:w="1864" w:type="dxa"/>
                      </w:tcPr>
                      <w:p>
                        <w:pPr>
                          <w:pStyle w:val="TableParagraph"/>
                          <w:tabs>
                            <w:tab w:pos="705" w:val="left" w:leader="none"/>
                          </w:tabs>
                          <w:spacing w:before="13"/>
                          <w:ind w:right="273"/>
                          <w:jc w:val="right"/>
                          <w:rPr>
                            <w:sz w:val="20"/>
                          </w:rPr>
                        </w:pPr>
                        <w:r>
                          <w:rPr>
                            <w:w w:val="120"/>
                            <w:sz w:val="20"/>
                          </w:rPr>
                          <w:t>$</w:t>
                          <w:tab/>
                        </w:r>
                        <w:r>
                          <w:rPr>
                            <w:w w:val="115"/>
                            <w:sz w:val="20"/>
                          </w:rPr>
                          <w:t>5,341</w:t>
                        </w:r>
                      </w:p>
                    </w:tc>
                    <w:tc>
                      <w:tcPr>
                        <w:tcW w:w="1370" w:type="dxa"/>
                      </w:tcPr>
                      <w:p>
                        <w:pPr>
                          <w:pStyle w:val="TableParagraph"/>
                          <w:tabs>
                            <w:tab w:pos="460" w:val="left" w:leader="none"/>
                          </w:tabs>
                          <w:spacing w:before="13"/>
                          <w:ind w:right="31"/>
                          <w:jc w:val="right"/>
                          <w:rPr>
                            <w:sz w:val="20"/>
                          </w:rPr>
                        </w:pPr>
                        <w:r>
                          <w:rPr>
                            <w:w w:val="120"/>
                            <w:sz w:val="20"/>
                          </w:rPr>
                          <w:t>$</w:t>
                          <w:tab/>
                        </w:r>
                        <w:r>
                          <w:rPr>
                            <w:w w:val="115"/>
                            <w:sz w:val="20"/>
                          </w:rPr>
                          <w:t>5,379</w:t>
                        </w:r>
                      </w:p>
                    </w:tc>
                  </w:tr>
                  <w:tr>
                    <w:trPr>
                      <w:trHeight w:val="264" w:hRule="exact"/>
                    </w:trPr>
                    <w:tc>
                      <w:tcPr>
                        <w:tcW w:w="2668" w:type="dxa"/>
                      </w:tcPr>
                      <w:p>
                        <w:pPr>
                          <w:pStyle w:val="TableParagraph"/>
                          <w:spacing w:line="220" w:lineRule="exact"/>
                          <w:ind w:left="35"/>
                          <w:rPr>
                            <w:sz w:val="20"/>
                          </w:rPr>
                        </w:pPr>
                        <w:r>
                          <w:rPr>
                            <w:w w:val="110"/>
                            <w:sz w:val="20"/>
                          </w:rPr>
                          <w:t>Freight</w:t>
                        </w:r>
                      </w:p>
                    </w:tc>
                    <w:tc>
                      <w:tcPr>
                        <w:tcW w:w="3136" w:type="dxa"/>
                      </w:tcPr>
                      <w:p>
                        <w:pPr>
                          <w:pStyle w:val="TableParagraph"/>
                          <w:spacing w:line="220" w:lineRule="exact"/>
                          <w:ind w:right="279"/>
                          <w:jc w:val="right"/>
                          <w:rPr>
                            <w:b/>
                            <w:sz w:val="20"/>
                          </w:rPr>
                        </w:pPr>
                        <w:r>
                          <w:rPr>
                            <w:b/>
                            <w:color w:val="0000D3"/>
                            <w:w w:val="120"/>
                            <w:sz w:val="20"/>
                          </w:rPr>
                          <w:t>94</w:t>
                        </w:r>
                      </w:p>
                    </w:tc>
                    <w:tc>
                      <w:tcPr>
                        <w:tcW w:w="1864" w:type="dxa"/>
                      </w:tcPr>
                      <w:p>
                        <w:pPr>
                          <w:pStyle w:val="TableParagraph"/>
                          <w:spacing w:line="220" w:lineRule="exact"/>
                          <w:ind w:right="274"/>
                          <w:jc w:val="right"/>
                          <w:rPr>
                            <w:sz w:val="20"/>
                          </w:rPr>
                        </w:pPr>
                        <w:r>
                          <w:rPr>
                            <w:w w:val="120"/>
                            <w:sz w:val="20"/>
                          </w:rPr>
                          <w:t>85</w:t>
                        </w:r>
                      </w:p>
                    </w:tc>
                    <w:tc>
                      <w:tcPr>
                        <w:tcW w:w="1370" w:type="dxa"/>
                      </w:tcPr>
                      <w:p>
                        <w:pPr>
                          <w:pStyle w:val="TableParagraph"/>
                          <w:spacing w:line="220" w:lineRule="exact"/>
                          <w:ind w:right="30"/>
                          <w:jc w:val="right"/>
                          <w:rPr>
                            <w:sz w:val="20"/>
                          </w:rPr>
                        </w:pPr>
                        <w:r>
                          <w:rPr>
                            <w:w w:val="120"/>
                            <w:sz w:val="20"/>
                          </w:rPr>
                          <w:t>91</w:t>
                        </w:r>
                      </w:p>
                    </w:tc>
                  </w:tr>
                </w:tbl>
                <w:p>
                  <w:pPr>
                    <w:pStyle w:val="BodyText"/>
                  </w:pPr>
                </w:p>
              </w:txbxContent>
            </v:textbox>
            <w10:wrap type="none"/>
          </v:shape>
        </w:pict>
      </w:r>
      <w:r>
        <w:rPr>
          <w:rFonts w:ascii="Arial"/>
          <w:w w:val="110"/>
          <w:sz w:val="20"/>
        </w:rPr>
        <w:t>(In millions, except per</w:t>
      </w:r>
      <w:r>
        <w:rPr>
          <w:rFonts w:ascii="Arial"/>
          <w:spacing w:val="8"/>
          <w:w w:val="110"/>
          <w:sz w:val="20"/>
        </w:rPr>
        <w:t> </w:t>
      </w:r>
      <w:r>
        <w:rPr>
          <w:rFonts w:ascii="Arial"/>
          <w:w w:val="110"/>
          <w:sz w:val="20"/>
        </w:rPr>
        <w:t>share</w:t>
      </w:r>
      <w:r>
        <w:rPr>
          <w:rFonts w:ascii="Arial"/>
          <w:spacing w:val="2"/>
          <w:w w:val="110"/>
          <w:sz w:val="20"/>
        </w:rPr>
        <w:t> </w:t>
      </w:r>
      <w:r>
        <w:rPr>
          <w:rFonts w:ascii="Arial"/>
          <w:w w:val="110"/>
          <w:sz w:val="20"/>
        </w:rPr>
        <w:t>amounts)</w:t>
        <w:tab/>
      </w:r>
      <w:r>
        <w:rPr>
          <w:rFonts w:ascii="Arial"/>
          <w:b/>
          <w:color w:val="0000D3"/>
          <w:w w:val="110"/>
          <w:sz w:val="20"/>
          <w:u w:val="single" w:color="000000"/>
        </w:rPr>
        <w:t> </w:t>
        <w:tab/>
      </w:r>
      <w:r>
        <w:rPr>
          <w:rFonts w:ascii="Arial"/>
          <w:b/>
          <w:color w:val="0000D3"/>
          <w:spacing w:val="4"/>
          <w:w w:val="110"/>
          <w:sz w:val="20"/>
          <w:u w:val="single" w:color="000000"/>
        </w:rPr>
        <w:t>2003</w:t>
        <w:tab/>
      </w:r>
      <w:r>
        <w:rPr>
          <w:rFonts w:ascii="Arial"/>
          <w:b/>
          <w:color w:val="0000D3"/>
          <w:spacing w:val="4"/>
          <w:w w:val="110"/>
          <w:sz w:val="20"/>
        </w:rPr>
        <w:tab/>
      </w:r>
      <w:r>
        <w:rPr>
          <w:rFonts w:ascii="Arial"/>
          <w:spacing w:val="4"/>
          <w:w w:val="110"/>
          <w:sz w:val="20"/>
          <w:u w:val="single"/>
        </w:rPr>
        <w:t> </w:t>
        <w:tab/>
      </w:r>
      <w:r>
        <w:rPr>
          <w:rFonts w:ascii="Arial"/>
          <w:w w:val="110"/>
          <w:sz w:val="20"/>
          <w:u w:val="single"/>
        </w:rPr>
        <w:t>2002</w:t>
        <w:tab/>
      </w:r>
      <w:r>
        <w:rPr>
          <w:rFonts w:ascii="Arial"/>
          <w:w w:val="110"/>
          <w:sz w:val="20"/>
        </w:rPr>
        <w:tab/>
      </w:r>
      <w:r>
        <w:rPr>
          <w:rFonts w:ascii="Arial"/>
          <w:w w:val="110"/>
          <w:sz w:val="20"/>
          <w:u w:val="single"/>
        </w:rPr>
        <w:t> </w:t>
        <w:tab/>
        <w:t>2001</w:t>
        <w:tab/>
      </w:r>
      <w:r>
        <w:rPr>
          <w:rFonts w:ascii="Arial"/>
          <w:w w:val="110"/>
          <w:sz w:val="20"/>
        </w:rPr>
        <w:t> </w:t>
      </w:r>
      <w:r>
        <w:rPr>
          <w:rFonts w:ascii="Arial"/>
          <w:b/>
          <w:color w:val="0000D3"/>
          <w:spacing w:val="2"/>
          <w:w w:val="95"/>
          <w:sz w:val="20"/>
        </w:rPr>
        <w:t>OPERATING</w:t>
      </w:r>
      <w:r>
        <w:rPr>
          <w:rFonts w:ascii="Arial"/>
          <w:b/>
          <w:color w:val="0000D3"/>
          <w:spacing w:val="11"/>
          <w:w w:val="95"/>
          <w:sz w:val="20"/>
        </w:rPr>
        <w:t> </w:t>
      </w:r>
      <w:r>
        <w:rPr>
          <w:rFonts w:ascii="Arial"/>
          <w:b/>
          <w:color w:val="0000D3"/>
          <w:spacing w:val="2"/>
          <w:w w:val="95"/>
          <w:sz w:val="20"/>
        </w:rPr>
        <w:t>REVENUES:</w:t>
      </w:r>
    </w:p>
    <w:p>
      <w:pPr>
        <w:pStyle w:val="BodyText"/>
        <w:spacing w:before="7"/>
        <w:rPr>
          <w:rFonts w:ascii="Arial"/>
          <w:b/>
          <w:sz w:val="33"/>
        </w:rPr>
      </w:pPr>
    </w:p>
    <w:p>
      <w:pPr>
        <w:tabs>
          <w:tab w:pos="4422" w:val="left" w:leader="none"/>
          <w:tab w:pos="5354" w:val="left" w:leader="none"/>
          <w:tab w:pos="6199" w:val="left" w:leader="none"/>
          <w:tab w:pos="7371" w:val="left" w:leader="none"/>
          <w:tab w:pos="8058" w:val="left" w:leader="none"/>
          <w:tab w:pos="8985" w:val="left" w:leader="none"/>
        </w:tabs>
        <w:spacing w:before="1"/>
        <w:ind w:left="285" w:right="0" w:firstLine="0"/>
        <w:jc w:val="left"/>
        <w:rPr>
          <w:rFonts w:ascii="Arial"/>
          <w:sz w:val="20"/>
        </w:rPr>
      </w:pPr>
      <w:r>
        <w:rPr>
          <w:rFonts w:ascii="Arial"/>
          <w:w w:val="120"/>
          <w:sz w:val="20"/>
        </w:rPr>
        <w:t>Other</w:t>
        <w:tab/>
      </w:r>
      <w:r>
        <w:rPr>
          <w:rFonts w:ascii="Arial"/>
          <w:b/>
          <w:color w:val="0000D3"/>
          <w:w w:val="120"/>
          <w:sz w:val="20"/>
          <w:u w:val="single" w:color="000000"/>
        </w:rPr>
        <w:t> </w:t>
        <w:tab/>
      </w:r>
      <w:r>
        <w:rPr>
          <w:rFonts w:ascii="Arial"/>
          <w:b/>
          <w:color w:val="0000D3"/>
          <w:spacing w:val="4"/>
          <w:w w:val="120"/>
          <w:sz w:val="20"/>
          <w:u w:val="single" w:color="000000"/>
        </w:rPr>
        <w:t>102</w:t>
      </w:r>
      <w:r>
        <w:rPr>
          <w:rFonts w:ascii="Arial"/>
          <w:b/>
          <w:color w:val="0000D3"/>
          <w:spacing w:val="4"/>
          <w:w w:val="120"/>
          <w:sz w:val="20"/>
        </w:rPr>
        <w:tab/>
      </w:r>
      <w:r>
        <w:rPr>
          <w:rFonts w:ascii="Arial"/>
          <w:spacing w:val="4"/>
          <w:w w:val="120"/>
          <w:sz w:val="20"/>
          <w:u w:val="single"/>
        </w:rPr>
        <w:t> </w:t>
        <w:tab/>
      </w:r>
      <w:r>
        <w:rPr>
          <w:rFonts w:ascii="Arial"/>
          <w:w w:val="120"/>
          <w:sz w:val="20"/>
          <w:u w:val="single"/>
        </w:rPr>
        <w:t>96</w:t>
      </w:r>
      <w:r>
        <w:rPr>
          <w:rFonts w:ascii="Arial"/>
          <w:w w:val="120"/>
          <w:sz w:val="20"/>
        </w:rPr>
        <w:tab/>
      </w:r>
      <w:r>
        <w:rPr>
          <w:rFonts w:ascii="Arial"/>
          <w:w w:val="120"/>
          <w:sz w:val="20"/>
          <w:u w:val="single"/>
        </w:rPr>
        <w:t> </w:t>
        <w:tab/>
        <w:t>85</w:t>
      </w:r>
      <w:r>
        <w:rPr>
          <w:rFonts w:ascii="Arial"/>
          <w:spacing w:val="-28"/>
          <w:sz w:val="20"/>
          <w:u w:val="single"/>
        </w:rPr>
        <w:t> </w:t>
      </w:r>
    </w:p>
    <w:p>
      <w:pPr>
        <w:tabs>
          <w:tab w:pos="5148" w:val="left" w:leader="none"/>
          <w:tab w:pos="7040" w:val="left" w:leader="none"/>
          <w:tab w:pos="8654" w:val="left" w:leader="none"/>
        </w:tabs>
        <w:spacing w:line="350" w:lineRule="auto" w:before="72"/>
        <w:ind w:left="153" w:right="281" w:firstLine="263"/>
        <w:jc w:val="left"/>
        <w:rPr>
          <w:rFonts w:ascii="Arial"/>
          <w:b/>
          <w:sz w:val="20"/>
        </w:rPr>
      </w:pPr>
      <w:r>
        <w:rPr/>
        <w:pict>
          <v:shape style="position:absolute;margin-left:65.791931pt;margin-top:31.738562pt;width:465.55pt;height:336.9pt;mso-position-horizontal-relative:page;mso-position-vertical-relative:paragraph;z-index:5920"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891"/>
                    <w:gridCol w:w="2054"/>
                    <w:gridCol w:w="1859"/>
                    <w:gridCol w:w="1507"/>
                  </w:tblGrid>
                  <w:tr>
                    <w:trPr>
                      <w:trHeight w:val="264" w:hRule="exact"/>
                    </w:trPr>
                    <w:tc>
                      <w:tcPr>
                        <w:tcW w:w="3891" w:type="dxa"/>
                      </w:tcPr>
                      <w:p>
                        <w:pPr>
                          <w:pStyle w:val="TableParagraph"/>
                          <w:spacing w:before="13"/>
                          <w:ind w:left="167"/>
                          <w:rPr>
                            <w:sz w:val="20"/>
                          </w:rPr>
                        </w:pPr>
                        <w:r>
                          <w:rPr>
                            <w:w w:val="105"/>
                            <w:sz w:val="20"/>
                          </w:rPr>
                          <w:t>Salaries, wages, and</w:t>
                        </w:r>
                        <w:r>
                          <w:rPr>
                            <w:spacing w:val="56"/>
                            <w:w w:val="105"/>
                            <w:sz w:val="20"/>
                          </w:rPr>
                          <w:t> </w:t>
                        </w:r>
                        <w:r>
                          <w:rPr>
                            <w:w w:val="105"/>
                            <w:sz w:val="20"/>
                          </w:rPr>
                          <w:t>benefits</w:t>
                        </w:r>
                      </w:p>
                    </w:tc>
                    <w:tc>
                      <w:tcPr>
                        <w:tcW w:w="2054" w:type="dxa"/>
                      </w:tcPr>
                      <w:p>
                        <w:pPr>
                          <w:pStyle w:val="TableParagraph"/>
                          <w:spacing w:before="13"/>
                          <w:ind w:left="1141"/>
                          <w:rPr>
                            <w:b/>
                            <w:sz w:val="20"/>
                          </w:rPr>
                        </w:pPr>
                        <w:r>
                          <w:rPr>
                            <w:b/>
                            <w:color w:val="0000D3"/>
                            <w:w w:val="120"/>
                            <w:sz w:val="20"/>
                          </w:rPr>
                          <w:t>2,224</w:t>
                        </w:r>
                      </w:p>
                    </w:tc>
                    <w:tc>
                      <w:tcPr>
                        <w:tcW w:w="1859" w:type="dxa"/>
                      </w:tcPr>
                      <w:p>
                        <w:pPr>
                          <w:pStyle w:val="TableParagraph"/>
                          <w:spacing w:before="13"/>
                          <w:ind w:right="275"/>
                          <w:jc w:val="right"/>
                          <w:rPr>
                            <w:sz w:val="20"/>
                          </w:rPr>
                        </w:pPr>
                        <w:r>
                          <w:rPr>
                            <w:w w:val="115"/>
                            <w:sz w:val="20"/>
                          </w:rPr>
                          <w:t>1,993</w:t>
                        </w:r>
                      </w:p>
                    </w:tc>
                    <w:tc>
                      <w:tcPr>
                        <w:tcW w:w="1507" w:type="dxa"/>
                      </w:tcPr>
                      <w:p>
                        <w:pPr>
                          <w:pStyle w:val="TableParagraph"/>
                          <w:spacing w:before="13"/>
                          <w:ind w:right="168"/>
                          <w:jc w:val="right"/>
                          <w:rPr>
                            <w:sz w:val="20"/>
                          </w:rPr>
                        </w:pPr>
                        <w:r>
                          <w:rPr>
                            <w:w w:val="115"/>
                            <w:sz w:val="20"/>
                          </w:rPr>
                          <w:t>1,856</w:t>
                        </w:r>
                      </w:p>
                    </w:tc>
                  </w:tr>
                  <w:tr>
                    <w:trPr>
                      <w:trHeight w:val="240" w:hRule="exact"/>
                    </w:trPr>
                    <w:tc>
                      <w:tcPr>
                        <w:tcW w:w="3891" w:type="dxa"/>
                      </w:tcPr>
                      <w:p>
                        <w:pPr>
                          <w:pStyle w:val="TableParagraph"/>
                          <w:spacing w:line="220" w:lineRule="exact"/>
                          <w:ind w:left="167"/>
                          <w:rPr>
                            <w:sz w:val="20"/>
                          </w:rPr>
                        </w:pPr>
                        <w:r>
                          <w:rPr>
                            <w:w w:val="105"/>
                            <w:sz w:val="20"/>
                          </w:rPr>
                          <w:t>Fuel and oil</w:t>
                        </w:r>
                      </w:p>
                    </w:tc>
                    <w:tc>
                      <w:tcPr>
                        <w:tcW w:w="2054" w:type="dxa"/>
                      </w:tcPr>
                      <w:p>
                        <w:pPr>
                          <w:pStyle w:val="TableParagraph"/>
                          <w:spacing w:line="220" w:lineRule="exact"/>
                          <w:ind w:left="1348"/>
                          <w:rPr>
                            <w:b/>
                            <w:sz w:val="20"/>
                          </w:rPr>
                        </w:pPr>
                        <w:r>
                          <w:rPr>
                            <w:b/>
                            <w:color w:val="0000D3"/>
                            <w:w w:val="120"/>
                            <w:sz w:val="20"/>
                          </w:rPr>
                          <w:t>830</w:t>
                        </w:r>
                      </w:p>
                    </w:tc>
                    <w:tc>
                      <w:tcPr>
                        <w:tcW w:w="1859" w:type="dxa"/>
                      </w:tcPr>
                      <w:p>
                        <w:pPr>
                          <w:pStyle w:val="TableParagraph"/>
                          <w:spacing w:line="220" w:lineRule="exact"/>
                          <w:ind w:right="276"/>
                          <w:jc w:val="right"/>
                          <w:rPr>
                            <w:sz w:val="20"/>
                          </w:rPr>
                        </w:pPr>
                        <w:r>
                          <w:rPr>
                            <w:w w:val="120"/>
                            <w:sz w:val="20"/>
                          </w:rPr>
                          <w:t>762</w:t>
                        </w:r>
                      </w:p>
                    </w:tc>
                    <w:tc>
                      <w:tcPr>
                        <w:tcW w:w="1507" w:type="dxa"/>
                      </w:tcPr>
                      <w:p>
                        <w:pPr>
                          <w:pStyle w:val="TableParagraph"/>
                          <w:spacing w:line="220" w:lineRule="exact"/>
                          <w:ind w:right="169"/>
                          <w:jc w:val="right"/>
                          <w:rPr>
                            <w:sz w:val="20"/>
                          </w:rPr>
                        </w:pPr>
                        <w:r>
                          <w:rPr>
                            <w:w w:val="120"/>
                            <w:sz w:val="20"/>
                          </w:rPr>
                          <w:t>771</w:t>
                        </w:r>
                      </w:p>
                    </w:tc>
                  </w:tr>
                  <w:tr>
                    <w:trPr>
                      <w:trHeight w:val="240" w:hRule="exact"/>
                    </w:trPr>
                    <w:tc>
                      <w:tcPr>
                        <w:tcW w:w="3891" w:type="dxa"/>
                      </w:tcPr>
                      <w:p>
                        <w:pPr>
                          <w:pStyle w:val="TableParagraph"/>
                          <w:spacing w:line="220" w:lineRule="exact"/>
                          <w:ind w:left="167"/>
                          <w:rPr>
                            <w:sz w:val="20"/>
                          </w:rPr>
                        </w:pPr>
                        <w:r>
                          <w:rPr>
                            <w:w w:val="105"/>
                            <w:sz w:val="20"/>
                          </w:rPr>
                          <w:t>Maintenance materials and  repairs</w:t>
                        </w:r>
                      </w:p>
                    </w:tc>
                    <w:tc>
                      <w:tcPr>
                        <w:tcW w:w="2054" w:type="dxa"/>
                      </w:tcPr>
                      <w:p>
                        <w:pPr>
                          <w:pStyle w:val="TableParagraph"/>
                          <w:spacing w:line="220" w:lineRule="exact"/>
                          <w:ind w:left="1348"/>
                          <w:rPr>
                            <w:b/>
                            <w:sz w:val="20"/>
                          </w:rPr>
                        </w:pPr>
                        <w:r>
                          <w:rPr>
                            <w:b/>
                            <w:color w:val="0000D3"/>
                            <w:w w:val="120"/>
                            <w:sz w:val="20"/>
                          </w:rPr>
                          <w:t>430</w:t>
                        </w:r>
                      </w:p>
                    </w:tc>
                    <w:tc>
                      <w:tcPr>
                        <w:tcW w:w="1859" w:type="dxa"/>
                      </w:tcPr>
                      <w:p>
                        <w:pPr>
                          <w:pStyle w:val="TableParagraph"/>
                          <w:spacing w:line="220" w:lineRule="exact"/>
                          <w:ind w:right="276"/>
                          <w:jc w:val="right"/>
                          <w:rPr>
                            <w:sz w:val="20"/>
                          </w:rPr>
                        </w:pPr>
                        <w:r>
                          <w:rPr>
                            <w:w w:val="120"/>
                            <w:sz w:val="20"/>
                          </w:rPr>
                          <w:t>390</w:t>
                        </w:r>
                      </w:p>
                    </w:tc>
                    <w:tc>
                      <w:tcPr>
                        <w:tcW w:w="1507" w:type="dxa"/>
                      </w:tcPr>
                      <w:p>
                        <w:pPr>
                          <w:pStyle w:val="TableParagraph"/>
                          <w:spacing w:line="220" w:lineRule="exact"/>
                          <w:ind w:right="169"/>
                          <w:jc w:val="right"/>
                          <w:rPr>
                            <w:sz w:val="20"/>
                          </w:rPr>
                        </w:pPr>
                        <w:r>
                          <w:rPr>
                            <w:w w:val="120"/>
                            <w:sz w:val="20"/>
                          </w:rPr>
                          <w:t>398</w:t>
                        </w:r>
                      </w:p>
                    </w:tc>
                  </w:tr>
                  <w:tr>
                    <w:trPr>
                      <w:trHeight w:val="240" w:hRule="exact"/>
                    </w:trPr>
                    <w:tc>
                      <w:tcPr>
                        <w:tcW w:w="3891" w:type="dxa"/>
                      </w:tcPr>
                      <w:p>
                        <w:pPr>
                          <w:pStyle w:val="TableParagraph"/>
                          <w:spacing w:line="220" w:lineRule="exact"/>
                          <w:ind w:left="169"/>
                          <w:rPr>
                            <w:sz w:val="20"/>
                          </w:rPr>
                        </w:pPr>
                        <w:r>
                          <w:rPr>
                            <w:w w:val="110"/>
                            <w:sz w:val="20"/>
                          </w:rPr>
                          <w:t>Agency commissions</w:t>
                        </w:r>
                      </w:p>
                    </w:tc>
                    <w:tc>
                      <w:tcPr>
                        <w:tcW w:w="2054" w:type="dxa"/>
                      </w:tcPr>
                      <w:p>
                        <w:pPr>
                          <w:pStyle w:val="TableParagraph"/>
                          <w:spacing w:line="220" w:lineRule="exact"/>
                          <w:ind w:right="286"/>
                          <w:jc w:val="right"/>
                          <w:rPr>
                            <w:b/>
                            <w:sz w:val="20"/>
                          </w:rPr>
                        </w:pPr>
                        <w:r>
                          <w:rPr>
                            <w:b/>
                            <w:color w:val="0000D3"/>
                            <w:w w:val="120"/>
                            <w:sz w:val="20"/>
                          </w:rPr>
                          <w:t>48</w:t>
                        </w:r>
                      </w:p>
                    </w:tc>
                    <w:tc>
                      <w:tcPr>
                        <w:tcW w:w="1859" w:type="dxa"/>
                      </w:tcPr>
                      <w:p>
                        <w:pPr>
                          <w:pStyle w:val="TableParagraph"/>
                          <w:spacing w:line="220" w:lineRule="exact"/>
                          <w:ind w:right="276"/>
                          <w:jc w:val="right"/>
                          <w:rPr>
                            <w:sz w:val="20"/>
                          </w:rPr>
                        </w:pPr>
                        <w:r>
                          <w:rPr>
                            <w:w w:val="120"/>
                            <w:sz w:val="20"/>
                          </w:rPr>
                          <w:t>55</w:t>
                        </w:r>
                      </w:p>
                    </w:tc>
                    <w:tc>
                      <w:tcPr>
                        <w:tcW w:w="1507" w:type="dxa"/>
                      </w:tcPr>
                      <w:p>
                        <w:pPr>
                          <w:pStyle w:val="TableParagraph"/>
                          <w:spacing w:line="220" w:lineRule="exact"/>
                          <w:ind w:right="169"/>
                          <w:jc w:val="right"/>
                          <w:rPr>
                            <w:sz w:val="20"/>
                          </w:rPr>
                        </w:pPr>
                        <w:r>
                          <w:rPr>
                            <w:w w:val="120"/>
                            <w:sz w:val="20"/>
                          </w:rPr>
                          <w:t>103</w:t>
                        </w:r>
                      </w:p>
                    </w:tc>
                  </w:tr>
                  <w:tr>
                    <w:trPr>
                      <w:trHeight w:val="240" w:hRule="exact"/>
                    </w:trPr>
                    <w:tc>
                      <w:tcPr>
                        <w:tcW w:w="3891" w:type="dxa"/>
                      </w:tcPr>
                      <w:p>
                        <w:pPr>
                          <w:pStyle w:val="TableParagraph"/>
                          <w:spacing w:line="220" w:lineRule="exact"/>
                          <w:ind w:left="167"/>
                          <w:rPr>
                            <w:sz w:val="20"/>
                          </w:rPr>
                        </w:pPr>
                        <w:r>
                          <w:rPr>
                            <w:w w:val="115"/>
                            <w:sz w:val="20"/>
                          </w:rPr>
                          <w:t>Aircraft rentals</w:t>
                        </w:r>
                      </w:p>
                    </w:tc>
                    <w:tc>
                      <w:tcPr>
                        <w:tcW w:w="2054" w:type="dxa"/>
                      </w:tcPr>
                      <w:p>
                        <w:pPr>
                          <w:pStyle w:val="TableParagraph"/>
                          <w:spacing w:line="220" w:lineRule="exact"/>
                          <w:ind w:left="1348"/>
                          <w:rPr>
                            <w:b/>
                            <w:sz w:val="20"/>
                          </w:rPr>
                        </w:pPr>
                        <w:r>
                          <w:rPr>
                            <w:b/>
                            <w:color w:val="0000D3"/>
                            <w:w w:val="120"/>
                            <w:sz w:val="20"/>
                          </w:rPr>
                          <w:t>183</w:t>
                        </w:r>
                      </w:p>
                    </w:tc>
                    <w:tc>
                      <w:tcPr>
                        <w:tcW w:w="1859" w:type="dxa"/>
                      </w:tcPr>
                      <w:p>
                        <w:pPr>
                          <w:pStyle w:val="TableParagraph"/>
                          <w:spacing w:line="220" w:lineRule="exact"/>
                          <w:ind w:right="276"/>
                          <w:jc w:val="right"/>
                          <w:rPr>
                            <w:sz w:val="20"/>
                          </w:rPr>
                        </w:pPr>
                        <w:r>
                          <w:rPr>
                            <w:w w:val="120"/>
                            <w:sz w:val="20"/>
                          </w:rPr>
                          <w:t>187</w:t>
                        </w:r>
                      </w:p>
                    </w:tc>
                    <w:tc>
                      <w:tcPr>
                        <w:tcW w:w="1507" w:type="dxa"/>
                      </w:tcPr>
                      <w:p>
                        <w:pPr>
                          <w:pStyle w:val="TableParagraph"/>
                          <w:spacing w:line="220" w:lineRule="exact"/>
                          <w:ind w:right="169"/>
                          <w:jc w:val="right"/>
                          <w:rPr>
                            <w:sz w:val="20"/>
                          </w:rPr>
                        </w:pPr>
                        <w:r>
                          <w:rPr>
                            <w:w w:val="120"/>
                            <w:sz w:val="20"/>
                          </w:rPr>
                          <w:t>192</w:t>
                        </w:r>
                      </w:p>
                    </w:tc>
                  </w:tr>
                  <w:tr>
                    <w:trPr>
                      <w:trHeight w:val="240" w:hRule="exact"/>
                    </w:trPr>
                    <w:tc>
                      <w:tcPr>
                        <w:tcW w:w="3891" w:type="dxa"/>
                      </w:tcPr>
                      <w:p>
                        <w:pPr>
                          <w:pStyle w:val="TableParagraph"/>
                          <w:spacing w:line="220" w:lineRule="exact"/>
                          <w:ind w:left="167"/>
                          <w:rPr>
                            <w:sz w:val="20"/>
                          </w:rPr>
                        </w:pPr>
                        <w:r>
                          <w:rPr>
                            <w:w w:val="110"/>
                            <w:sz w:val="20"/>
                          </w:rPr>
                          <w:t>Landing fees and other rentals</w:t>
                        </w:r>
                      </w:p>
                    </w:tc>
                    <w:tc>
                      <w:tcPr>
                        <w:tcW w:w="2054" w:type="dxa"/>
                      </w:tcPr>
                      <w:p>
                        <w:pPr>
                          <w:pStyle w:val="TableParagraph"/>
                          <w:spacing w:line="220" w:lineRule="exact"/>
                          <w:ind w:left="1348"/>
                          <w:rPr>
                            <w:b/>
                            <w:sz w:val="20"/>
                          </w:rPr>
                        </w:pPr>
                        <w:r>
                          <w:rPr>
                            <w:b/>
                            <w:color w:val="0000D3"/>
                            <w:w w:val="120"/>
                            <w:sz w:val="20"/>
                          </w:rPr>
                          <w:t>372</w:t>
                        </w:r>
                      </w:p>
                    </w:tc>
                    <w:tc>
                      <w:tcPr>
                        <w:tcW w:w="1859" w:type="dxa"/>
                      </w:tcPr>
                      <w:p>
                        <w:pPr>
                          <w:pStyle w:val="TableParagraph"/>
                          <w:spacing w:line="220" w:lineRule="exact"/>
                          <w:ind w:right="276"/>
                          <w:jc w:val="right"/>
                          <w:rPr>
                            <w:sz w:val="20"/>
                          </w:rPr>
                        </w:pPr>
                        <w:r>
                          <w:rPr>
                            <w:w w:val="120"/>
                            <w:sz w:val="20"/>
                          </w:rPr>
                          <w:t>345</w:t>
                        </w:r>
                      </w:p>
                    </w:tc>
                    <w:tc>
                      <w:tcPr>
                        <w:tcW w:w="1507" w:type="dxa"/>
                      </w:tcPr>
                      <w:p>
                        <w:pPr>
                          <w:pStyle w:val="TableParagraph"/>
                          <w:spacing w:line="220" w:lineRule="exact"/>
                          <w:ind w:right="169"/>
                          <w:jc w:val="right"/>
                          <w:rPr>
                            <w:sz w:val="20"/>
                          </w:rPr>
                        </w:pPr>
                        <w:r>
                          <w:rPr>
                            <w:w w:val="120"/>
                            <w:sz w:val="20"/>
                          </w:rPr>
                          <w:t>311</w:t>
                        </w:r>
                      </w:p>
                    </w:tc>
                  </w:tr>
                  <w:tr>
                    <w:trPr>
                      <w:trHeight w:val="264" w:hRule="exact"/>
                    </w:trPr>
                    <w:tc>
                      <w:tcPr>
                        <w:tcW w:w="3891" w:type="dxa"/>
                      </w:tcPr>
                      <w:p>
                        <w:pPr>
                          <w:pStyle w:val="TableParagraph"/>
                          <w:spacing w:line="220" w:lineRule="exact"/>
                          <w:ind w:left="167"/>
                          <w:rPr>
                            <w:sz w:val="20"/>
                          </w:rPr>
                        </w:pPr>
                        <w:r>
                          <w:rPr>
                            <w:w w:val="110"/>
                            <w:sz w:val="20"/>
                          </w:rPr>
                          <w:t>Depreciation and amortization</w:t>
                        </w:r>
                      </w:p>
                    </w:tc>
                    <w:tc>
                      <w:tcPr>
                        <w:tcW w:w="2054" w:type="dxa"/>
                      </w:tcPr>
                      <w:p>
                        <w:pPr>
                          <w:pStyle w:val="TableParagraph"/>
                          <w:spacing w:line="220" w:lineRule="exact"/>
                          <w:ind w:left="1348"/>
                          <w:rPr>
                            <w:b/>
                            <w:sz w:val="20"/>
                          </w:rPr>
                        </w:pPr>
                        <w:r>
                          <w:rPr>
                            <w:b/>
                            <w:color w:val="0000D3"/>
                            <w:w w:val="120"/>
                            <w:sz w:val="20"/>
                          </w:rPr>
                          <w:t>384</w:t>
                        </w:r>
                      </w:p>
                    </w:tc>
                    <w:tc>
                      <w:tcPr>
                        <w:tcW w:w="1859" w:type="dxa"/>
                      </w:tcPr>
                      <w:p>
                        <w:pPr>
                          <w:pStyle w:val="TableParagraph"/>
                          <w:spacing w:line="220" w:lineRule="exact"/>
                          <w:ind w:right="276"/>
                          <w:jc w:val="right"/>
                          <w:rPr>
                            <w:sz w:val="20"/>
                          </w:rPr>
                        </w:pPr>
                        <w:r>
                          <w:rPr>
                            <w:w w:val="120"/>
                            <w:sz w:val="20"/>
                          </w:rPr>
                          <w:t>356</w:t>
                        </w:r>
                      </w:p>
                    </w:tc>
                    <w:tc>
                      <w:tcPr>
                        <w:tcW w:w="1507" w:type="dxa"/>
                      </w:tcPr>
                      <w:p>
                        <w:pPr>
                          <w:pStyle w:val="TableParagraph"/>
                          <w:spacing w:line="220" w:lineRule="exact"/>
                          <w:ind w:right="169"/>
                          <w:jc w:val="right"/>
                          <w:rPr>
                            <w:sz w:val="20"/>
                          </w:rPr>
                        </w:pPr>
                        <w:r>
                          <w:rPr>
                            <w:w w:val="120"/>
                            <w:sz w:val="20"/>
                          </w:rPr>
                          <w:t>318</w:t>
                        </w:r>
                      </w:p>
                    </w:tc>
                  </w:tr>
                  <w:tr>
                    <w:trPr>
                      <w:trHeight w:val="240" w:hRule="exact"/>
                    </w:trPr>
                    <w:tc>
                      <w:tcPr>
                        <w:tcW w:w="9311" w:type="dxa"/>
                        <w:gridSpan w:val="4"/>
                      </w:tcPr>
                      <w:p>
                        <w:pPr>
                          <w:pStyle w:val="TableParagraph"/>
                          <w:tabs>
                            <w:tab w:pos="4307" w:val="left" w:leader="none"/>
                            <w:tab w:pos="5238" w:val="left" w:leader="none"/>
                            <w:tab w:pos="6084" w:val="left" w:leader="none"/>
                            <w:tab w:pos="6924" w:val="left" w:leader="none"/>
                            <w:tab w:pos="7942" w:val="left" w:leader="none"/>
                            <w:tab w:pos="8734" w:val="left" w:leader="none"/>
                          </w:tabs>
                          <w:spacing w:line="196" w:lineRule="exact"/>
                          <w:ind w:left="167"/>
                          <w:rPr>
                            <w:sz w:val="20"/>
                          </w:rPr>
                        </w:pPr>
                        <w:r>
                          <w:rPr>
                            <w:w w:val="115"/>
                            <w:sz w:val="20"/>
                          </w:rPr>
                          <w:t>Other</w:t>
                        </w:r>
                        <w:r>
                          <w:rPr>
                            <w:spacing w:val="-38"/>
                            <w:w w:val="115"/>
                            <w:sz w:val="20"/>
                          </w:rPr>
                          <w:t> </w:t>
                        </w:r>
                        <w:r>
                          <w:rPr>
                            <w:w w:val="115"/>
                            <w:sz w:val="20"/>
                          </w:rPr>
                          <w:t>operating</w:t>
                        </w:r>
                        <w:r>
                          <w:rPr>
                            <w:spacing w:val="-38"/>
                            <w:w w:val="115"/>
                            <w:sz w:val="20"/>
                          </w:rPr>
                          <w:t> </w:t>
                        </w:r>
                        <w:r>
                          <w:rPr>
                            <w:w w:val="115"/>
                            <w:sz w:val="20"/>
                          </w:rPr>
                          <w:t>expenses</w:t>
                          <w:tab/>
                        </w:r>
                        <w:r>
                          <w:rPr>
                            <w:b/>
                            <w:color w:val="0000D3"/>
                            <w:w w:val="115"/>
                            <w:sz w:val="20"/>
                            <w:u w:val="single" w:color="000000"/>
                          </w:rPr>
                          <w:t> </w:t>
                          <w:tab/>
                        </w:r>
                        <w:r>
                          <w:rPr>
                            <w:b/>
                            <w:color w:val="0000D3"/>
                            <w:spacing w:val="4"/>
                            <w:w w:val="115"/>
                            <w:sz w:val="20"/>
                            <w:u w:val="single" w:color="000000"/>
                          </w:rPr>
                          <w:t>983</w:t>
                        </w:r>
                        <w:r>
                          <w:rPr>
                            <w:b/>
                            <w:color w:val="0000D3"/>
                            <w:spacing w:val="4"/>
                            <w:w w:val="115"/>
                            <w:sz w:val="20"/>
                          </w:rPr>
                          <w:tab/>
                        </w:r>
                        <w:r>
                          <w:rPr>
                            <w:spacing w:val="4"/>
                            <w:w w:val="115"/>
                            <w:sz w:val="20"/>
                            <w:u w:val="single"/>
                          </w:rPr>
                          <w:t> </w:t>
                          <w:tab/>
                        </w:r>
                        <w:r>
                          <w:rPr>
                            <w:w w:val="115"/>
                            <w:sz w:val="20"/>
                            <w:u w:val="single"/>
                          </w:rPr>
                          <w:t>1,017</w:t>
                        </w:r>
                        <w:r>
                          <w:rPr>
                            <w:w w:val="115"/>
                            <w:sz w:val="20"/>
                          </w:rPr>
                          <w:tab/>
                        </w:r>
                        <w:r>
                          <w:rPr>
                            <w:w w:val="115"/>
                            <w:sz w:val="20"/>
                            <w:u w:val="single"/>
                          </w:rPr>
                          <w:t> </w:t>
                          <w:tab/>
                          <w:t>976</w:t>
                        </w:r>
                        <w:r>
                          <w:rPr>
                            <w:spacing w:val="27"/>
                            <w:sz w:val="20"/>
                            <w:u w:val="single"/>
                          </w:rPr>
                          <w:t> </w:t>
                        </w:r>
                      </w:p>
                    </w:tc>
                  </w:tr>
                  <w:tr>
                    <w:trPr>
                      <w:trHeight w:val="327" w:hRule="exact"/>
                    </w:trPr>
                    <w:tc>
                      <w:tcPr>
                        <w:tcW w:w="3891" w:type="dxa"/>
                      </w:tcPr>
                      <w:p>
                        <w:pPr>
                          <w:pStyle w:val="TableParagraph"/>
                          <w:spacing w:before="13"/>
                          <w:ind w:left="301"/>
                          <w:rPr>
                            <w:sz w:val="20"/>
                          </w:rPr>
                        </w:pPr>
                        <w:r>
                          <w:rPr>
                            <w:w w:val="110"/>
                            <w:sz w:val="20"/>
                          </w:rPr>
                          <w:t>Total operating expenses</w:t>
                        </w:r>
                      </w:p>
                    </w:tc>
                    <w:tc>
                      <w:tcPr>
                        <w:tcW w:w="2054" w:type="dxa"/>
                      </w:tcPr>
                      <w:p>
                        <w:pPr>
                          <w:pStyle w:val="TableParagraph"/>
                          <w:tabs>
                            <w:tab w:pos="725" w:val="left" w:leader="none"/>
                          </w:tabs>
                          <w:spacing w:before="13"/>
                          <w:ind w:right="137"/>
                          <w:jc w:val="right"/>
                          <w:rPr>
                            <w:b/>
                            <w:sz w:val="20"/>
                          </w:rPr>
                        </w:pPr>
                        <w:r>
                          <w:rPr>
                            <w:b/>
                            <w:color w:val="0000D3"/>
                            <w:w w:val="121"/>
                            <w:sz w:val="20"/>
                            <w:u w:val="single" w:color="000000"/>
                          </w:rPr>
                          <w:t> </w:t>
                        </w:r>
                        <w:r>
                          <w:rPr>
                            <w:b/>
                            <w:color w:val="0000D3"/>
                            <w:sz w:val="20"/>
                            <w:u w:val="single" w:color="000000"/>
                          </w:rPr>
                          <w:tab/>
                        </w:r>
                        <w:r>
                          <w:rPr>
                            <w:b/>
                            <w:color w:val="0000D3"/>
                            <w:spacing w:val="4"/>
                            <w:w w:val="120"/>
                            <w:sz w:val="20"/>
                            <w:u w:val="single" w:color="000000"/>
                          </w:rPr>
                          <w:t>5,454</w:t>
                        </w:r>
                        <w:r>
                          <w:rPr>
                            <w:b/>
                            <w:color w:val="0000D3"/>
                            <w:spacing w:val="-19"/>
                            <w:sz w:val="20"/>
                            <w:u w:val="single" w:color="000000"/>
                          </w:rPr>
                          <w:t> </w:t>
                        </w:r>
                      </w:p>
                    </w:tc>
                    <w:tc>
                      <w:tcPr>
                        <w:tcW w:w="1859" w:type="dxa"/>
                      </w:tcPr>
                      <w:p>
                        <w:pPr>
                          <w:pStyle w:val="TableParagraph"/>
                          <w:tabs>
                            <w:tab w:pos="840" w:val="left" w:leader="none"/>
                          </w:tabs>
                          <w:spacing w:before="13"/>
                          <w:ind w:right="137"/>
                          <w:jc w:val="right"/>
                          <w:rPr>
                            <w:sz w:val="20"/>
                          </w:rPr>
                        </w:pPr>
                        <w:r>
                          <w:rPr>
                            <w:w w:val="121"/>
                            <w:sz w:val="20"/>
                            <w:u w:val="single"/>
                          </w:rPr>
                          <w:t> </w:t>
                        </w:r>
                        <w:r>
                          <w:rPr>
                            <w:sz w:val="20"/>
                            <w:u w:val="single"/>
                          </w:rPr>
                          <w:tab/>
                        </w:r>
                        <w:r>
                          <w:rPr>
                            <w:w w:val="115"/>
                            <w:sz w:val="20"/>
                            <w:u w:val="single"/>
                          </w:rPr>
                          <w:t>5,105</w:t>
                        </w:r>
                        <w:r>
                          <w:rPr>
                            <w:spacing w:val="27"/>
                            <w:sz w:val="20"/>
                            <w:u w:val="single"/>
                          </w:rPr>
                          <w:t> </w:t>
                        </w:r>
                      </w:p>
                    </w:tc>
                    <w:tc>
                      <w:tcPr>
                        <w:tcW w:w="1507" w:type="dxa"/>
                      </w:tcPr>
                      <w:p>
                        <w:pPr>
                          <w:pStyle w:val="TableParagraph"/>
                          <w:tabs>
                            <w:tab w:pos="595" w:val="left" w:leader="none"/>
                          </w:tabs>
                          <w:spacing w:before="13"/>
                          <w:ind w:right="30"/>
                          <w:jc w:val="right"/>
                          <w:rPr>
                            <w:sz w:val="20"/>
                          </w:rPr>
                        </w:pPr>
                        <w:r>
                          <w:rPr>
                            <w:w w:val="121"/>
                            <w:sz w:val="20"/>
                            <w:u w:val="single"/>
                          </w:rPr>
                          <w:t> </w:t>
                        </w:r>
                        <w:r>
                          <w:rPr>
                            <w:sz w:val="20"/>
                            <w:u w:val="single"/>
                          </w:rPr>
                          <w:tab/>
                        </w:r>
                        <w:r>
                          <w:rPr>
                            <w:w w:val="115"/>
                            <w:sz w:val="20"/>
                            <w:u w:val="single"/>
                          </w:rPr>
                          <w:t>4,924</w:t>
                        </w:r>
                        <w:r>
                          <w:rPr>
                            <w:spacing w:val="26"/>
                            <w:sz w:val="20"/>
                            <w:u w:val="single"/>
                          </w:rPr>
                          <w:t> </w:t>
                        </w:r>
                      </w:p>
                    </w:tc>
                  </w:tr>
                  <w:tr>
                    <w:trPr>
                      <w:trHeight w:val="312" w:hRule="exact"/>
                    </w:trPr>
                    <w:tc>
                      <w:tcPr>
                        <w:tcW w:w="3891" w:type="dxa"/>
                      </w:tcPr>
                      <w:p>
                        <w:pPr>
                          <w:pStyle w:val="TableParagraph"/>
                          <w:spacing w:before="37"/>
                          <w:ind w:left="37"/>
                          <w:rPr>
                            <w:b/>
                            <w:sz w:val="20"/>
                          </w:rPr>
                        </w:pPr>
                        <w:r>
                          <w:rPr>
                            <w:b/>
                            <w:color w:val="0000D3"/>
                            <w:w w:val="95"/>
                            <w:sz w:val="20"/>
                          </w:rPr>
                          <w:t>OPERATING INCOME</w:t>
                        </w:r>
                      </w:p>
                    </w:tc>
                    <w:tc>
                      <w:tcPr>
                        <w:tcW w:w="2054" w:type="dxa"/>
                      </w:tcPr>
                      <w:p>
                        <w:pPr>
                          <w:pStyle w:val="TableParagraph"/>
                          <w:spacing w:before="37"/>
                          <w:ind w:left="1348"/>
                          <w:rPr>
                            <w:b/>
                            <w:sz w:val="20"/>
                          </w:rPr>
                        </w:pPr>
                        <w:r>
                          <w:rPr>
                            <w:b/>
                            <w:color w:val="0000D3"/>
                            <w:w w:val="120"/>
                            <w:sz w:val="20"/>
                          </w:rPr>
                          <w:t>483</w:t>
                        </w:r>
                      </w:p>
                    </w:tc>
                    <w:tc>
                      <w:tcPr>
                        <w:tcW w:w="1859" w:type="dxa"/>
                      </w:tcPr>
                      <w:p>
                        <w:pPr>
                          <w:pStyle w:val="TableParagraph"/>
                          <w:spacing w:before="37"/>
                          <w:ind w:right="276"/>
                          <w:jc w:val="right"/>
                          <w:rPr>
                            <w:sz w:val="20"/>
                          </w:rPr>
                        </w:pPr>
                        <w:r>
                          <w:rPr>
                            <w:w w:val="120"/>
                            <w:sz w:val="20"/>
                          </w:rPr>
                          <w:t>417</w:t>
                        </w:r>
                      </w:p>
                    </w:tc>
                    <w:tc>
                      <w:tcPr>
                        <w:tcW w:w="1507" w:type="dxa"/>
                      </w:tcPr>
                      <w:p>
                        <w:pPr>
                          <w:pStyle w:val="TableParagraph"/>
                          <w:spacing w:before="37"/>
                          <w:ind w:right="169"/>
                          <w:jc w:val="right"/>
                          <w:rPr>
                            <w:sz w:val="20"/>
                          </w:rPr>
                        </w:pPr>
                        <w:r>
                          <w:rPr>
                            <w:w w:val="120"/>
                            <w:sz w:val="20"/>
                          </w:rPr>
                          <w:t>631</w:t>
                        </w:r>
                      </w:p>
                    </w:tc>
                  </w:tr>
                  <w:tr>
                    <w:trPr>
                      <w:trHeight w:val="312" w:hRule="exact"/>
                    </w:trPr>
                    <w:tc>
                      <w:tcPr>
                        <w:tcW w:w="3891" w:type="dxa"/>
                      </w:tcPr>
                      <w:p>
                        <w:pPr>
                          <w:pStyle w:val="TableParagraph"/>
                          <w:spacing w:before="62"/>
                          <w:ind w:left="37"/>
                          <w:rPr>
                            <w:b/>
                            <w:sz w:val="20"/>
                          </w:rPr>
                        </w:pPr>
                        <w:r>
                          <w:rPr>
                            <w:b/>
                            <w:color w:val="0000D3"/>
                            <w:sz w:val="20"/>
                          </w:rPr>
                          <w:t>OTHER EXPENSES (INCOME):</w:t>
                        </w:r>
                      </w:p>
                    </w:tc>
                    <w:tc>
                      <w:tcPr>
                        <w:tcW w:w="2054" w:type="dxa"/>
                      </w:tcPr>
                      <w:p>
                        <w:pPr/>
                      </w:p>
                    </w:tc>
                    <w:tc>
                      <w:tcPr>
                        <w:tcW w:w="1859" w:type="dxa"/>
                      </w:tcPr>
                      <w:p>
                        <w:pPr/>
                      </w:p>
                    </w:tc>
                    <w:tc>
                      <w:tcPr>
                        <w:tcW w:w="1507" w:type="dxa"/>
                      </w:tcPr>
                      <w:p>
                        <w:pPr/>
                      </w:p>
                    </w:tc>
                  </w:tr>
                  <w:tr>
                    <w:trPr>
                      <w:trHeight w:val="240" w:hRule="exact"/>
                    </w:trPr>
                    <w:tc>
                      <w:tcPr>
                        <w:tcW w:w="3891" w:type="dxa"/>
                      </w:tcPr>
                      <w:p>
                        <w:pPr>
                          <w:pStyle w:val="TableParagraph"/>
                          <w:spacing w:line="220" w:lineRule="exact"/>
                          <w:ind w:left="166"/>
                          <w:rPr>
                            <w:sz w:val="20"/>
                          </w:rPr>
                        </w:pPr>
                        <w:r>
                          <w:rPr>
                            <w:w w:val="110"/>
                            <w:sz w:val="20"/>
                          </w:rPr>
                          <w:t>Interest expense</w:t>
                        </w:r>
                      </w:p>
                    </w:tc>
                    <w:tc>
                      <w:tcPr>
                        <w:tcW w:w="2054" w:type="dxa"/>
                      </w:tcPr>
                      <w:p>
                        <w:pPr>
                          <w:pStyle w:val="TableParagraph"/>
                          <w:spacing w:line="220" w:lineRule="exact"/>
                          <w:ind w:right="286"/>
                          <w:jc w:val="right"/>
                          <w:rPr>
                            <w:b/>
                            <w:sz w:val="20"/>
                          </w:rPr>
                        </w:pPr>
                        <w:r>
                          <w:rPr>
                            <w:b/>
                            <w:color w:val="0000D3"/>
                            <w:w w:val="120"/>
                            <w:sz w:val="20"/>
                          </w:rPr>
                          <w:t>91</w:t>
                        </w:r>
                      </w:p>
                    </w:tc>
                    <w:tc>
                      <w:tcPr>
                        <w:tcW w:w="1859" w:type="dxa"/>
                      </w:tcPr>
                      <w:p>
                        <w:pPr>
                          <w:pStyle w:val="TableParagraph"/>
                          <w:spacing w:line="220" w:lineRule="exact"/>
                          <w:ind w:right="276"/>
                          <w:jc w:val="right"/>
                          <w:rPr>
                            <w:sz w:val="20"/>
                          </w:rPr>
                        </w:pPr>
                        <w:r>
                          <w:rPr>
                            <w:w w:val="120"/>
                            <w:sz w:val="20"/>
                          </w:rPr>
                          <w:t>106</w:t>
                        </w:r>
                      </w:p>
                    </w:tc>
                    <w:tc>
                      <w:tcPr>
                        <w:tcW w:w="1507" w:type="dxa"/>
                      </w:tcPr>
                      <w:p>
                        <w:pPr>
                          <w:pStyle w:val="TableParagraph"/>
                          <w:spacing w:line="220" w:lineRule="exact"/>
                          <w:ind w:right="169"/>
                          <w:jc w:val="right"/>
                          <w:rPr>
                            <w:sz w:val="20"/>
                          </w:rPr>
                        </w:pPr>
                        <w:r>
                          <w:rPr>
                            <w:w w:val="120"/>
                            <w:sz w:val="20"/>
                          </w:rPr>
                          <w:t>70</w:t>
                        </w:r>
                      </w:p>
                    </w:tc>
                  </w:tr>
                  <w:tr>
                    <w:trPr>
                      <w:trHeight w:val="240" w:hRule="exact"/>
                    </w:trPr>
                    <w:tc>
                      <w:tcPr>
                        <w:tcW w:w="3891" w:type="dxa"/>
                      </w:tcPr>
                      <w:p>
                        <w:pPr>
                          <w:pStyle w:val="TableParagraph"/>
                          <w:spacing w:line="220" w:lineRule="exact"/>
                          <w:ind w:left="167"/>
                          <w:rPr>
                            <w:sz w:val="20"/>
                          </w:rPr>
                        </w:pPr>
                        <w:r>
                          <w:rPr>
                            <w:w w:val="110"/>
                            <w:sz w:val="20"/>
                          </w:rPr>
                          <w:t>Capitalized interest</w:t>
                        </w:r>
                      </w:p>
                    </w:tc>
                    <w:tc>
                      <w:tcPr>
                        <w:tcW w:w="2054" w:type="dxa"/>
                      </w:tcPr>
                      <w:p>
                        <w:pPr>
                          <w:pStyle w:val="TableParagraph"/>
                          <w:spacing w:line="220" w:lineRule="exact"/>
                          <w:ind w:right="189"/>
                          <w:jc w:val="right"/>
                          <w:rPr>
                            <w:b/>
                            <w:sz w:val="20"/>
                          </w:rPr>
                        </w:pPr>
                        <w:r>
                          <w:rPr>
                            <w:b/>
                            <w:color w:val="0000D3"/>
                            <w:w w:val="125"/>
                            <w:sz w:val="20"/>
                          </w:rPr>
                          <w:t>(33)</w:t>
                        </w:r>
                      </w:p>
                    </w:tc>
                    <w:tc>
                      <w:tcPr>
                        <w:tcW w:w="1859" w:type="dxa"/>
                      </w:tcPr>
                      <w:p>
                        <w:pPr>
                          <w:pStyle w:val="TableParagraph"/>
                          <w:spacing w:line="220" w:lineRule="exact"/>
                          <w:ind w:right="184"/>
                          <w:jc w:val="right"/>
                          <w:rPr>
                            <w:sz w:val="20"/>
                          </w:rPr>
                        </w:pPr>
                        <w:r>
                          <w:rPr>
                            <w:w w:val="125"/>
                            <w:sz w:val="20"/>
                          </w:rPr>
                          <w:t>(17)</w:t>
                        </w:r>
                      </w:p>
                    </w:tc>
                    <w:tc>
                      <w:tcPr>
                        <w:tcW w:w="1507" w:type="dxa"/>
                      </w:tcPr>
                      <w:p>
                        <w:pPr>
                          <w:pStyle w:val="TableParagraph"/>
                          <w:spacing w:line="220" w:lineRule="exact"/>
                          <w:ind w:right="77"/>
                          <w:jc w:val="right"/>
                          <w:rPr>
                            <w:sz w:val="20"/>
                          </w:rPr>
                        </w:pPr>
                        <w:r>
                          <w:rPr>
                            <w:w w:val="125"/>
                            <w:sz w:val="20"/>
                          </w:rPr>
                          <w:t>(21)</w:t>
                        </w:r>
                      </w:p>
                    </w:tc>
                  </w:tr>
                  <w:tr>
                    <w:trPr>
                      <w:trHeight w:val="264" w:hRule="exact"/>
                    </w:trPr>
                    <w:tc>
                      <w:tcPr>
                        <w:tcW w:w="3891" w:type="dxa"/>
                      </w:tcPr>
                      <w:p>
                        <w:pPr>
                          <w:pStyle w:val="TableParagraph"/>
                          <w:spacing w:line="220" w:lineRule="exact"/>
                          <w:ind w:left="168"/>
                          <w:rPr>
                            <w:sz w:val="20"/>
                          </w:rPr>
                        </w:pPr>
                        <w:r>
                          <w:rPr>
                            <w:w w:val="110"/>
                            <w:sz w:val="20"/>
                          </w:rPr>
                          <w:t>Interest income</w:t>
                        </w:r>
                      </w:p>
                    </w:tc>
                    <w:tc>
                      <w:tcPr>
                        <w:tcW w:w="2054" w:type="dxa"/>
                      </w:tcPr>
                      <w:p>
                        <w:pPr>
                          <w:pStyle w:val="TableParagraph"/>
                          <w:spacing w:line="220" w:lineRule="exact"/>
                          <w:ind w:right="189"/>
                          <w:jc w:val="right"/>
                          <w:rPr>
                            <w:b/>
                            <w:sz w:val="20"/>
                          </w:rPr>
                        </w:pPr>
                        <w:r>
                          <w:rPr>
                            <w:b/>
                            <w:color w:val="0000D3"/>
                            <w:w w:val="125"/>
                            <w:sz w:val="20"/>
                          </w:rPr>
                          <w:t>(24)</w:t>
                        </w:r>
                      </w:p>
                    </w:tc>
                    <w:tc>
                      <w:tcPr>
                        <w:tcW w:w="1859" w:type="dxa"/>
                      </w:tcPr>
                      <w:p>
                        <w:pPr>
                          <w:pStyle w:val="TableParagraph"/>
                          <w:spacing w:line="220" w:lineRule="exact"/>
                          <w:ind w:right="184"/>
                          <w:jc w:val="right"/>
                          <w:rPr>
                            <w:sz w:val="20"/>
                          </w:rPr>
                        </w:pPr>
                        <w:r>
                          <w:rPr>
                            <w:w w:val="125"/>
                            <w:sz w:val="20"/>
                          </w:rPr>
                          <w:t>(37)</w:t>
                        </w:r>
                      </w:p>
                    </w:tc>
                    <w:tc>
                      <w:tcPr>
                        <w:tcW w:w="1507" w:type="dxa"/>
                      </w:tcPr>
                      <w:p>
                        <w:pPr>
                          <w:pStyle w:val="TableParagraph"/>
                          <w:spacing w:line="220" w:lineRule="exact"/>
                          <w:ind w:right="77"/>
                          <w:jc w:val="right"/>
                          <w:rPr>
                            <w:sz w:val="20"/>
                          </w:rPr>
                        </w:pPr>
                        <w:r>
                          <w:rPr>
                            <w:w w:val="125"/>
                            <w:sz w:val="20"/>
                          </w:rPr>
                          <w:t>(43)</w:t>
                        </w:r>
                      </w:p>
                    </w:tc>
                  </w:tr>
                  <w:tr>
                    <w:trPr>
                      <w:trHeight w:val="855" w:hRule="exact"/>
                    </w:trPr>
                    <w:tc>
                      <w:tcPr>
                        <w:tcW w:w="3891" w:type="dxa"/>
                      </w:tcPr>
                      <w:p>
                        <w:pPr>
                          <w:pStyle w:val="TableParagraph"/>
                          <w:spacing w:line="196" w:lineRule="exact"/>
                          <w:ind w:left="167"/>
                          <w:rPr>
                            <w:sz w:val="20"/>
                          </w:rPr>
                        </w:pPr>
                        <w:r>
                          <w:rPr>
                            <w:w w:val="110"/>
                            <w:sz w:val="20"/>
                          </w:rPr>
                          <w:t>Other (gains) losses, net</w:t>
                        </w:r>
                      </w:p>
                      <w:p>
                        <w:pPr>
                          <w:pStyle w:val="TableParagraph"/>
                          <w:spacing w:before="72"/>
                          <w:ind w:left="301"/>
                          <w:rPr>
                            <w:sz w:val="20"/>
                          </w:rPr>
                        </w:pPr>
                        <w:r>
                          <w:rPr>
                            <w:w w:val="110"/>
                            <w:sz w:val="20"/>
                          </w:rPr>
                          <w:t>Total other expenses (income)</w:t>
                        </w:r>
                      </w:p>
                      <w:p>
                        <w:pPr>
                          <w:pStyle w:val="TableParagraph"/>
                          <w:spacing w:before="105"/>
                          <w:ind w:left="37"/>
                          <w:rPr>
                            <w:b/>
                            <w:sz w:val="20"/>
                          </w:rPr>
                        </w:pPr>
                        <w:r>
                          <w:rPr>
                            <w:b/>
                            <w:color w:val="0000D3"/>
                            <w:w w:val="95"/>
                            <w:sz w:val="20"/>
                          </w:rPr>
                          <w:t>INCOME  BEFORE  INCOME TAXES</w:t>
                        </w:r>
                      </w:p>
                    </w:tc>
                    <w:tc>
                      <w:tcPr>
                        <w:tcW w:w="2054" w:type="dxa"/>
                      </w:tcPr>
                      <w:p>
                        <w:pPr>
                          <w:pStyle w:val="TableParagraph"/>
                          <w:tabs>
                            <w:tab w:pos="1252" w:val="left" w:leader="none"/>
                          </w:tabs>
                          <w:spacing w:line="196" w:lineRule="exact"/>
                          <w:ind w:left="416"/>
                          <w:rPr>
                            <w:b/>
                            <w:sz w:val="20"/>
                          </w:rPr>
                        </w:pPr>
                        <w:r>
                          <w:rPr>
                            <w:b/>
                            <w:color w:val="0000D3"/>
                            <w:w w:val="121"/>
                            <w:sz w:val="20"/>
                            <w:u w:val="single" w:color="000000"/>
                          </w:rPr>
                          <w:t> </w:t>
                        </w:r>
                        <w:r>
                          <w:rPr>
                            <w:b/>
                            <w:color w:val="0000D3"/>
                            <w:sz w:val="20"/>
                            <w:u w:val="single" w:color="000000"/>
                          </w:rPr>
                          <w:tab/>
                        </w:r>
                        <w:r>
                          <w:rPr>
                            <w:b/>
                            <w:color w:val="0000D3"/>
                            <w:spacing w:val="4"/>
                            <w:w w:val="125"/>
                            <w:sz w:val="20"/>
                            <w:u w:val="single" w:color="000000"/>
                          </w:rPr>
                          <w:t>(259)</w:t>
                        </w:r>
                      </w:p>
                      <w:p>
                        <w:pPr>
                          <w:pStyle w:val="TableParagraph"/>
                          <w:tabs>
                            <w:tab w:pos="1252" w:val="left" w:leader="none"/>
                          </w:tabs>
                          <w:spacing w:before="72"/>
                          <w:ind w:left="416"/>
                          <w:rPr>
                            <w:b/>
                            <w:sz w:val="20"/>
                          </w:rPr>
                        </w:pPr>
                        <w:r>
                          <w:rPr>
                            <w:b/>
                            <w:color w:val="0000D3"/>
                            <w:w w:val="121"/>
                            <w:sz w:val="20"/>
                            <w:u w:val="single" w:color="000000"/>
                          </w:rPr>
                          <w:t> </w:t>
                        </w:r>
                        <w:r>
                          <w:rPr>
                            <w:b/>
                            <w:color w:val="0000D3"/>
                            <w:sz w:val="20"/>
                            <w:u w:val="single" w:color="000000"/>
                          </w:rPr>
                          <w:tab/>
                        </w:r>
                        <w:r>
                          <w:rPr>
                            <w:b/>
                            <w:color w:val="0000D3"/>
                            <w:spacing w:val="4"/>
                            <w:w w:val="125"/>
                            <w:sz w:val="20"/>
                            <w:u w:val="single" w:color="000000"/>
                          </w:rPr>
                          <w:t>(225)</w:t>
                        </w:r>
                      </w:p>
                      <w:p>
                        <w:pPr>
                          <w:pStyle w:val="TableParagraph"/>
                          <w:spacing w:before="105"/>
                          <w:ind w:left="1348"/>
                          <w:rPr>
                            <w:b/>
                            <w:sz w:val="20"/>
                          </w:rPr>
                        </w:pPr>
                        <w:r>
                          <w:rPr>
                            <w:b/>
                            <w:color w:val="0000D3"/>
                            <w:w w:val="120"/>
                            <w:sz w:val="20"/>
                          </w:rPr>
                          <w:t>708</w:t>
                        </w:r>
                      </w:p>
                    </w:tc>
                    <w:tc>
                      <w:tcPr>
                        <w:tcW w:w="1859" w:type="dxa"/>
                      </w:tcPr>
                      <w:p>
                        <w:pPr>
                          <w:pStyle w:val="TableParagraph"/>
                          <w:tabs>
                            <w:tab w:pos="1219" w:val="left" w:leader="none"/>
                          </w:tabs>
                          <w:spacing w:line="196" w:lineRule="exact"/>
                          <w:ind w:left="139"/>
                          <w:rPr>
                            <w:sz w:val="20"/>
                          </w:rPr>
                        </w:pPr>
                        <w:r>
                          <w:rPr>
                            <w:w w:val="121"/>
                            <w:sz w:val="20"/>
                            <w:u w:val="single"/>
                          </w:rPr>
                          <w:t> </w:t>
                        </w:r>
                        <w:r>
                          <w:rPr>
                            <w:sz w:val="20"/>
                            <w:u w:val="single"/>
                          </w:rPr>
                          <w:tab/>
                        </w:r>
                        <w:r>
                          <w:rPr>
                            <w:w w:val="125"/>
                            <w:sz w:val="20"/>
                            <w:u w:val="single"/>
                          </w:rPr>
                          <w:t>(28)</w:t>
                        </w:r>
                      </w:p>
                      <w:p>
                        <w:pPr>
                          <w:pStyle w:val="TableParagraph"/>
                          <w:tabs>
                            <w:tab w:pos="1311" w:val="left" w:leader="none"/>
                          </w:tabs>
                          <w:spacing w:before="72"/>
                          <w:ind w:left="139"/>
                          <w:rPr>
                            <w:sz w:val="20"/>
                          </w:rPr>
                        </w:pPr>
                        <w:r>
                          <w:rPr>
                            <w:w w:val="121"/>
                            <w:sz w:val="20"/>
                            <w:u w:val="single"/>
                          </w:rPr>
                          <w:t> </w:t>
                        </w:r>
                        <w:r>
                          <w:rPr>
                            <w:sz w:val="20"/>
                            <w:u w:val="single"/>
                          </w:rPr>
                          <w:tab/>
                        </w:r>
                        <w:r>
                          <w:rPr>
                            <w:w w:val="120"/>
                            <w:sz w:val="20"/>
                            <w:u w:val="single"/>
                          </w:rPr>
                          <w:t>24</w:t>
                        </w:r>
                        <w:r>
                          <w:rPr>
                            <w:spacing w:val="27"/>
                            <w:sz w:val="20"/>
                            <w:u w:val="single"/>
                          </w:rPr>
                          <w:t> </w:t>
                        </w:r>
                      </w:p>
                      <w:p>
                        <w:pPr>
                          <w:pStyle w:val="TableParagraph"/>
                          <w:spacing w:before="105"/>
                          <w:ind w:left="1176"/>
                          <w:rPr>
                            <w:sz w:val="20"/>
                          </w:rPr>
                        </w:pPr>
                        <w:r>
                          <w:rPr>
                            <w:w w:val="120"/>
                            <w:sz w:val="20"/>
                          </w:rPr>
                          <w:t>393</w:t>
                        </w:r>
                      </w:p>
                    </w:tc>
                    <w:tc>
                      <w:tcPr>
                        <w:tcW w:w="1507" w:type="dxa"/>
                      </w:tcPr>
                      <w:p>
                        <w:pPr>
                          <w:pStyle w:val="TableParagraph"/>
                          <w:tabs>
                            <w:tab w:pos="840" w:val="left" w:leader="none"/>
                          </w:tabs>
                          <w:spacing w:line="196" w:lineRule="exact"/>
                          <w:ind w:left="139"/>
                          <w:rPr>
                            <w:sz w:val="20"/>
                          </w:rPr>
                        </w:pPr>
                        <w:r>
                          <w:rPr>
                            <w:w w:val="121"/>
                            <w:sz w:val="20"/>
                            <w:u w:val="single"/>
                          </w:rPr>
                          <w:t> </w:t>
                        </w:r>
                        <w:r>
                          <w:rPr>
                            <w:sz w:val="20"/>
                            <w:u w:val="single"/>
                          </w:rPr>
                          <w:tab/>
                        </w:r>
                        <w:r>
                          <w:rPr>
                            <w:w w:val="125"/>
                            <w:sz w:val="20"/>
                            <w:u w:val="single"/>
                          </w:rPr>
                          <w:t>(203)</w:t>
                        </w:r>
                      </w:p>
                      <w:p>
                        <w:pPr>
                          <w:pStyle w:val="TableParagraph"/>
                          <w:tabs>
                            <w:tab w:pos="840" w:val="left" w:leader="none"/>
                          </w:tabs>
                          <w:spacing w:before="72"/>
                          <w:ind w:left="139"/>
                          <w:rPr>
                            <w:sz w:val="20"/>
                          </w:rPr>
                        </w:pPr>
                        <w:r>
                          <w:rPr>
                            <w:w w:val="121"/>
                            <w:sz w:val="20"/>
                            <w:u w:val="single"/>
                          </w:rPr>
                          <w:t> </w:t>
                        </w:r>
                        <w:r>
                          <w:rPr>
                            <w:sz w:val="20"/>
                            <w:u w:val="single"/>
                          </w:rPr>
                          <w:tab/>
                        </w:r>
                        <w:r>
                          <w:rPr>
                            <w:w w:val="125"/>
                            <w:sz w:val="20"/>
                            <w:u w:val="single"/>
                          </w:rPr>
                          <w:t>(197)</w:t>
                        </w:r>
                      </w:p>
                      <w:p>
                        <w:pPr>
                          <w:pStyle w:val="TableParagraph"/>
                          <w:spacing w:before="105"/>
                          <w:ind w:left="931"/>
                          <w:rPr>
                            <w:sz w:val="20"/>
                          </w:rPr>
                        </w:pPr>
                        <w:r>
                          <w:rPr>
                            <w:w w:val="120"/>
                            <w:sz w:val="20"/>
                          </w:rPr>
                          <w:t>828</w:t>
                        </w:r>
                      </w:p>
                    </w:tc>
                  </w:tr>
                  <w:tr>
                    <w:trPr>
                      <w:trHeight w:val="310" w:hRule="exact"/>
                    </w:trPr>
                    <w:tc>
                      <w:tcPr>
                        <w:tcW w:w="3891" w:type="dxa"/>
                      </w:tcPr>
                      <w:p>
                        <w:pPr>
                          <w:pStyle w:val="TableParagraph"/>
                          <w:spacing w:line="220" w:lineRule="exact"/>
                          <w:ind w:left="37"/>
                          <w:rPr>
                            <w:b/>
                            <w:sz w:val="20"/>
                          </w:rPr>
                        </w:pPr>
                        <w:r>
                          <w:rPr>
                            <w:b/>
                            <w:color w:val="0000D3"/>
                            <w:sz w:val="20"/>
                          </w:rPr>
                          <w:t>PROVISION FOR INCOME TAXES</w:t>
                        </w:r>
                      </w:p>
                    </w:tc>
                    <w:tc>
                      <w:tcPr>
                        <w:tcW w:w="2054" w:type="dxa"/>
                      </w:tcPr>
                      <w:p>
                        <w:pPr>
                          <w:pStyle w:val="TableParagraph"/>
                          <w:tabs>
                            <w:tab w:pos="931" w:val="left" w:leader="none"/>
                          </w:tabs>
                          <w:spacing w:line="220" w:lineRule="exact"/>
                          <w:ind w:right="137"/>
                          <w:jc w:val="right"/>
                          <w:rPr>
                            <w:b/>
                            <w:sz w:val="20"/>
                          </w:rPr>
                        </w:pPr>
                        <w:r>
                          <w:rPr>
                            <w:b/>
                            <w:color w:val="0000D3"/>
                            <w:w w:val="121"/>
                            <w:sz w:val="20"/>
                            <w:u w:val="single" w:color="000000"/>
                          </w:rPr>
                          <w:t> </w:t>
                        </w:r>
                        <w:r>
                          <w:rPr>
                            <w:b/>
                            <w:color w:val="0000D3"/>
                            <w:sz w:val="20"/>
                            <w:u w:val="single" w:color="000000"/>
                          </w:rPr>
                          <w:tab/>
                        </w:r>
                        <w:r>
                          <w:rPr>
                            <w:b/>
                            <w:color w:val="0000D3"/>
                            <w:spacing w:val="4"/>
                            <w:w w:val="120"/>
                            <w:sz w:val="20"/>
                            <w:u w:val="single" w:color="000000"/>
                          </w:rPr>
                          <w:t>266</w:t>
                        </w:r>
                        <w:r>
                          <w:rPr>
                            <w:b/>
                            <w:color w:val="0000D3"/>
                            <w:spacing w:val="-19"/>
                            <w:sz w:val="20"/>
                            <w:u w:val="single" w:color="000000"/>
                          </w:rPr>
                          <w:t> </w:t>
                        </w:r>
                      </w:p>
                    </w:tc>
                    <w:tc>
                      <w:tcPr>
                        <w:tcW w:w="1859" w:type="dxa"/>
                      </w:tcPr>
                      <w:p>
                        <w:pPr>
                          <w:pStyle w:val="TableParagraph"/>
                          <w:tabs>
                            <w:tab w:pos="1037" w:val="left" w:leader="none"/>
                          </w:tabs>
                          <w:spacing w:line="220" w:lineRule="exact"/>
                          <w:ind w:right="137"/>
                          <w:jc w:val="right"/>
                          <w:rPr>
                            <w:sz w:val="20"/>
                          </w:rPr>
                        </w:pPr>
                        <w:r>
                          <w:rPr>
                            <w:w w:val="121"/>
                            <w:sz w:val="20"/>
                            <w:u w:val="single"/>
                          </w:rPr>
                          <w:t> </w:t>
                        </w:r>
                        <w:r>
                          <w:rPr>
                            <w:sz w:val="20"/>
                            <w:u w:val="single"/>
                          </w:rPr>
                          <w:tab/>
                        </w:r>
                        <w:r>
                          <w:rPr>
                            <w:spacing w:val="-1"/>
                            <w:w w:val="120"/>
                            <w:sz w:val="20"/>
                            <w:u w:val="single"/>
                          </w:rPr>
                          <w:t>152</w:t>
                        </w:r>
                        <w:r>
                          <w:rPr>
                            <w:spacing w:val="27"/>
                            <w:sz w:val="20"/>
                            <w:u w:val="single"/>
                          </w:rPr>
                          <w:t> </w:t>
                        </w:r>
                      </w:p>
                    </w:tc>
                    <w:tc>
                      <w:tcPr>
                        <w:tcW w:w="1507" w:type="dxa"/>
                      </w:tcPr>
                      <w:p>
                        <w:pPr>
                          <w:pStyle w:val="TableParagraph"/>
                          <w:tabs>
                            <w:tab w:pos="792" w:val="left" w:leader="none"/>
                          </w:tabs>
                          <w:spacing w:line="220" w:lineRule="exact"/>
                          <w:ind w:right="30"/>
                          <w:jc w:val="right"/>
                          <w:rPr>
                            <w:sz w:val="20"/>
                          </w:rPr>
                        </w:pPr>
                        <w:r>
                          <w:rPr>
                            <w:w w:val="121"/>
                            <w:sz w:val="20"/>
                            <w:u w:val="single"/>
                          </w:rPr>
                          <w:t> </w:t>
                        </w:r>
                        <w:r>
                          <w:rPr>
                            <w:sz w:val="20"/>
                            <w:u w:val="single"/>
                          </w:rPr>
                          <w:tab/>
                        </w:r>
                        <w:r>
                          <w:rPr>
                            <w:spacing w:val="-1"/>
                            <w:w w:val="120"/>
                            <w:sz w:val="20"/>
                            <w:u w:val="single"/>
                          </w:rPr>
                          <w:t>317</w:t>
                        </w:r>
                        <w:r>
                          <w:rPr>
                            <w:spacing w:val="27"/>
                            <w:sz w:val="20"/>
                            <w:u w:val="single"/>
                          </w:rPr>
                          <w:t> </w:t>
                        </w:r>
                      </w:p>
                    </w:tc>
                  </w:tr>
                  <w:tr>
                    <w:trPr>
                      <w:trHeight w:val="478" w:hRule="exact"/>
                    </w:trPr>
                    <w:tc>
                      <w:tcPr>
                        <w:tcW w:w="3891" w:type="dxa"/>
                      </w:tcPr>
                      <w:p>
                        <w:pPr>
                          <w:pStyle w:val="TableParagraph"/>
                          <w:spacing w:before="59"/>
                          <w:ind w:left="37"/>
                          <w:rPr>
                            <w:b/>
                            <w:sz w:val="20"/>
                          </w:rPr>
                        </w:pPr>
                        <w:r>
                          <w:rPr>
                            <w:b/>
                            <w:color w:val="0000D3"/>
                            <w:sz w:val="20"/>
                          </w:rPr>
                          <w:t>NET INCOME</w:t>
                        </w:r>
                      </w:p>
                    </w:tc>
                    <w:tc>
                      <w:tcPr>
                        <w:tcW w:w="2054" w:type="dxa"/>
                      </w:tcPr>
                      <w:p>
                        <w:pPr>
                          <w:pStyle w:val="TableParagraph"/>
                          <w:tabs>
                            <w:tab w:pos="931" w:val="left" w:leader="none"/>
                          </w:tabs>
                          <w:spacing w:before="59"/>
                          <w:ind w:right="137"/>
                          <w:jc w:val="right"/>
                          <w:rPr>
                            <w:b/>
                            <w:sz w:val="20"/>
                          </w:rPr>
                        </w:pPr>
                        <w:r>
                          <w:rPr>
                            <w:b/>
                            <w:color w:val="0000D3"/>
                            <w:w w:val="121"/>
                            <w:sz w:val="20"/>
                            <w:u w:val="thick" w:color="000000"/>
                          </w:rPr>
                          <w:t> </w:t>
                        </w:r>
                        <w:r>
                          <w:rPr>
                            <w:b/>
                            <w:color w:val="0000D3"/>
                            <w:spacing w:val="21"/>
                            <w:sz w:val="20"/>
                            <w:u w:val="thick" w:color="000000"/>
                          </w:rPr>
                          <w:t> </w:t>
                        </w:r>
                        <w:r>
                          <w:rPr>
                            <w:b/>
                            <w:color w:val="0000D3"/>
                            <w:w w:val="120"/>
                            <w:sz w:val="20"/>
                            <w:u w:val="thick" w:color="000000"/>
                          </w:rPr>
                          <w:t>$</w:t>
                          <w:tab/>
                        </w:r>
                        <w:r>
                          <w:rPr>
                            <w:b/>
                            <w:color w:val="0000D3"/>
                            <w:spacing w:val="4"/>
                            <w:w w:val="120"/>
                            <w:sz w:val="20"/>
                            <w:u w:val="thick" w:color="000000"/>
                          </w:rPr>
                          <w:t>442</w:t>
                        </w:r>
                        <w:r>
                          <w:rPr>
                            <w:b/>
                            <w:color w:val="0000D3"/>
                            <w:spacing w:val="-19"/>
                            <w:sz w:val="20"/>
                            <w:u w:val="thick" w:color="000000"/>
                          </w:rPr>
                          <w:t> </w:t>
                        </w:r>
                      </w:p>
                    </w:tc>
                    <w:tc>
                      <w:tcPr>
                        <w:tcW w:w="1859" w:type="dxa"/>
                      </w:tcPr>
                      <w:p>
                        <w:pPr>
                          <w:pStyle w:val="TableParagraph"/>
                          <w:tabs>
                            <w:tab w:pos="1037" w:val="left" w:leader="none"/>
                          </w:tabs>
                          <w:spacing w:before="59"/>
                          <w:ind w:right="137"/>
                          <w:jc w:val="right"/>
                          <w:rPr>
                            <w:sz w:val="20"/>
                          </w:rPr>
                        </w:pPr>
                        <w:r>
                          <w:rPr>
                            <w:w w:val="121"/>
                            <w:sz w:val="20"/>
                            <w:u w:val="thick"/>
                          </w:rPr>
                          <w:t> </w:t>
                        </w:r>
                        <w:r>
                          <w:rPr>
                            <w:spacing w:val="11"/>
                            <w:sz w:val="20"/>
                            <w:u w:val="thick"/>
                          </w:rPr>
                          <w:t> </w:t>
                        </w:r>
                        <w:r>
                          <w:rPr>
                            <w:w w:val="120"/>
                            <w:sz w:val="20"/>
                            <w:u w:val="thick"/>
                          </w:rPr>
                          <w:t>$</w:t>
                          <w:tab/>
                        </w:r>
                        <w:r>
                          <w:rPr>
                            <w:spacing w:val="-1"/>
                            <w:w w:val="120"/>
                            <w:sz w:val="20"/>
                            <w:u w:val="thick"/>
                          </w:rPr>
                          <w:t>241</w:t>
                        </w:r>
                        <w:r>
                          <w:rPr>
                            <w:spacing w:val="27"/>
                            <w:sz w:val="20"/>
                            <w:u w:val="thick"/>
                          </w:rPr>
                          <w:t> </w:t>
                        </w:r>
                      </w:p>
                    </w:tc>
                    <w:tc>
                      <w:tcPr>
                        <w:tcW w:w="1507" w:type="dxa"/>
                      </w:tcPr>
                      <w:p>
                        <w:pPr>
                          <w:pStyle w:val="TableParagraph"/>
                          <w:tabs>
                            <w:tab w:pos="791" w:val="left" w:leader="none"/>
                          </w:tabs>
                          <w:spacing w:before="59"/>
                          <w:ind w:right="30"/>
                          <w:jc w:val="right"/>
                          <w:rPr>
                            <w:sz w:val="20"/>
                          </w:rPr>
                        </w:pPr>
                        <w:r>
                          <w:rPr>
                            <w:w w:val="121"/>
                            <w:sz w:val="20"/>
                            <w:u w:val="thick"/>
                          </w:rPr>
                          <w:t> </w:t>
                        </w:r>
                        <w:r>
                          <w:rPr>
                            <w:spacing w:val="11"/>
                            <w:sz w:val="20"/>
                            <w:u w:val="thick"/>
                          </w:rPr>
                          <w:t> </w:t>
                        </w:r>
                        <w:r>
                          <w:rPr>
                            <w:w w:val="120"/>
                            <w:sz w:val="20"/>
                            <w:u w:val="thick"/>
                          </w:rPr>
                          <w:t>$</w:t>
                          <w:tab/>
                          <w:t>511</w:t>
                        </w:r>
                        <w:r>
                          <w:rPr>
                            <w:spacing w:val="-27"/>
                            <w:sz w:val="20"/>
                            <w:u w:val="thick"/>
                          </w:rPr>
                          <w:t> </w:t>
                        </w:r>
                      </w:p>
                    </w:tc>
                  </w:tr>
                  <w:tr>
                    <w:trPr>
                      <w:trHeight w:val="576" w:hRule="exact"/>
                    </w:trPr>
                    <w:tc>
                      <w:tcPr>
                        <w:tcW w:w="3891" w:type="dxa"/>
                      </w:tcPr>
                      <w:p>
                        <w:pPr>
                          <w:pStyle w:val="TableParagraph"/>
                          <w:spacing w:before="157"/>
                          <w:ind w:left="37"/>
                          <w:rPr>
                            <w:b/>
                            <w:sz w:val="20"/>
                          </w:rPr>
                        </w:pPr>
                        <w:r>
                          <w:rPr>
                            <w:b/>
                            <w:color w:val="0000D3"/>
                            <w:sz w:val="20"/>
                          </w:rPr>
                          <w:t>NET INCOME PER SHARE, BASIC</w:t>
                        </w:r>
                      </w:p>
                    </w:tc>
                    <w:tc>
                      <w:tcPr>
                        <w:tcW w:w="2054" w:type="dxa"/>
                      </w:tcPr>
                      <w:p>
                        <w:pPr>
                          <w:pStyle w:val="TableParagraph"/>
                          <w:tabs>
                            <w:tab w:pos="1003" w:val="left" w:leader="none"/>
                          </w:tabs>
                          <w:spacing w:before="157"/>
                          <w:ind w:right="137"/>
                          <w:jc w:val="right"/>
                          <w:rPr>
                            <w:b/>
                            <w:sz w:val="20"/>
                          </w:rPr>
                        </w:pPr>
                        <w:r>
                          <w:rPr>
                            <w:b/>
                            <w:color w:val="0000D3"/>
                            <w:w w:val="121"/>
                            <w:sz w:val="20"/>
                            <w:u w:val="thick" w:color="000000"/>
                          </w:rPr>
                          <w:t> </w:t>
                        </w:r>
                        <w:r>
                          <w:rPr>
                            <w:b/>
                            <w:color w:val="0000D3"/>
                            <w:spacing w:val="21"/>
                            <w:sz w:val="20"/>
                            <w:u w:val="thick" w:color="000000"/>
                          </w:rPr>
                          <w:t> </w:t>
                        </w:r>
                        <w:r>
                          <w:rPr>
                            <w:b/>
                            <w:color w:val="0000D3"/>
                            <w:w w:val="120"/>
                            <w:sz w:val="20"/>
                            <w:u w:val="thick" w:color="000000"/>
                          </w:rPr>
                          <w:t>$</w:t>
                          <w:tab/>
                        </w:r>
                        <w:r>
                          <w:rPr>
                            <w:b/>
                            <w:color w:val="0000D3"/>
                            <w:spacing w:val="5"/>
                            <w:w w:val="115"/>
                            <w:sz w:val="20"/>
                            <w:u w:val="thick" w:color="000000"/>
                          </w:rPr>
                          <w:t>.56</w:t>
                        </w:r>
                        <w:r>
                          <w:rPr>
                            <w:b/>
                            <w:color w:val="0000D3"/>
                            <w:spacing w:val="-19"/>
                            <w:sz w:val="20"/>
                            <w:u w:val="thick" w:color="000000"/>
                          </w:rPr>
                          <w:t> </w:t>
                        </w:r>
                      </w:p>
                    </w:tc>
                    <w:tc>
                      <w:tcPr>
                        <w:tcW w:w="1859" w:type="dxa"/>
                      </w:tcPr>
                      <w:p>
                        <w:pPr>
                          <w:pStyle w:val="TableParagraph"/>
                          <w:tabs>
                            <w:tab w:pos="1109" w:val="left" w:leader="none"/>
                          </w:tabs>
                          <w:spacing w:before="157"/>
                          <w:ind w:right="137"/>
                          <w:jc w:val="right"/>
                          <w:rPr>
                            <w:sz w:val="20"/>
                          </w:rPr>
                        </w:pPr>
                        <w:r>
                          <w:rPr>
                            <w:w w:val="121"/>
                            <w:sz w:val="20"/>
                            <w:u w:val="thick"/>
                          </w:rPr>
                          <w:t> </w:t>
                        </w:r>
                        <w:r>
                          <w:rPr>
                            <w:spacing w:val="11"/>
                            <w:sz w:val="20"/>
                            <w:u w:val="thick"/>
                          </w:rPr>
                          <w:t> </w:t>
                        </w:r>
                        <w:r>
                          <w:rPr>
                            <w:w w:val="120"/>
                            <w:sz w:val="20"/>
                            <w:u w:val="thick"/>
                          </w:rPr>
                          <w:t>$</w:t>
                          <w:tab/>
                        </w:r>
                        <w:r>
                          <w:rPr>
                            <w:w w:val="115"/>
                            <w:sz w:val="20"/>
                            <w:u w:val="thick"/>
                          </w:rPr>
                          <w:t>.31</w:t>
                        </w:r>
                        <w:r>
                          <w:rPr>
                            <w:spacing w:val="-28"/>
                            <w:sz w:val="20"/>
                            <w:u w:val="thick"/>
                          </w:rPr>
                          <w:t> </w:t>
                        </w:r>
                      </w:p>
                    </w:tc>
                    <w:tc>
                      <w:tcPr>
                        <w:tcW w:w="1507" w:type="dxa"/>
                      </w:tcPr>
                      <w:p>
                        <w:pPr>
                          <w:pStyle w:val="TableParagraph"/>
                          <w:tabs>
                            <w:tab w:pos="863" w:val="left" w:leader="none"/>
                          </w:tabs>
                          <w:spacing w:before="157"/>
                          <w:ind w:right="31"/>
                          <w:jc w:val="right"/>
                          <w:rPr>
                            <w:sz w:val="20"/>
                          </w:rPr>
                        </w:pPr>
                        <w:r>
                          <w:rPr>
                            <w:w w:val="121"/>
                            <w:sz w:val="20"/>
                            <w:u w:val="thick"/>
                          </w:rPr>
                          <w:t> </w:t>
                        </w:r>
                        <w:r>
                          <w:rPr>
                            <w:spacing w:val="11"/>
                            <w:sz w:val="20"/>
                            <w:u w:val="thick"/>
                          </w:rPr>
                          <w:t> </w:t>
                        </w:r>
                        <w:r>
                          <w:rPr>
                            <w:w w:val="120"/>
                            <w:sz w:val="20"/>
                            <w:u w:val="thick"/>
                          </w:rPr>
                          <w:t>$</w:t>
                          <w:tab/>
                        </w:r>
                        <w:r>
                          <w:rPr>
                            <w:w w:val="115"/>
                            <w:sz w:val="20"/>
                            <w:u w:val="thick"/>
                          </w:rPr>
                          <w:t>.67</w:t>
                        </w:r>
                        <w:r>
                          <w:rPr>
                            <w:spacing w:val="-26"/>
                            <w:sz w:val="20"/>
                            <w:u w:val="thick"/>
                          </w:rPr>
                          <w:t> </w:t>
                        </w:r>
                      </w:p>
                    </w:tc>
                  </w:tr>
                  <w:tr>
                    <w:trPr>
                      <w:trHeight w:val="499" w:hRule="exact"/>
                    </w:trPr>
                    <w:tc>
                      <w:tcPr>
                        <w:tcW w:w="3891" w:type="dxa"/>
                      </w:tcPr>
                      <w:p>
                        <w:pPr>
                          <w:pStyle w:val="TableParagraph"/>
                          <w:spacing w:before="157"/>
                          <w:ind w:left="37"/>
                          <w:rPr>
                            <w:b/>
                            <w:sz w:val="20"/>
                          </w:rPr>
                        </w:pPr>
                        <w:r>
                          <w:rPr>
                            <w:b/>
                            <w:color w:val="0000D3"/>
                            <w:sz w:val="20"/>
                          </w:rPr>
                          <w:t>NET INCOME PER SHARE, DILUTED</w:t>
                        </w:r>
                      </w:p>
                    </w:tc>
                    <w:tc>
                      <w:tcPr>
                        <w:tcW w:w="2054" w:type="dxa"/>
                      </w:tcPr>
                      <w:p>
                        <w:pPr>
                          <w:pStyle w:val="TableParagraph"/>
                          <w:tabs>
                            <w:tab w:pos="1003" w:val="left" w:leader="none"/>
                          </w:tabs>
                          <w:spacing w:before="157"/>
                          <w:ind w:right="137"/>
                          <w:jc w:val="right"/>
                          <w:rPr>
                            <w:b/>
                            <w:sz w:val="20"/>
                          </w:rPr>
                        </w:pPr>
                        <w:r>
                          <w:rPr>
                            <w:b/>
                            <w:color w:val="0000D3"/>
                            <w:w w:val="121"/>
                            <w:sz w:val="20"/>
                            <w:u w:val="thick" w:color="000000"/>
                          </w:rPr>
                          <w:t> </w:t>
                        </w:r>
                        <w:r>
                          <w:rPr>
                            <w:b/>
                            <w:color w:val="0000D3"/>
                            <w:spacing w:val="21"/>
                            <w:sz w:val="20"/>
                            <w:u w:val="thick" w:color="000000"/>
                          </w:rPr>
                          <w:t> </w:t>
                        </w:r>
                        <w:r>
                          <w:rPr>
                            <w:b/>
                            <w:color w:val="0000D3"/>
                            <w:w w:val="120"/>
                            <w:sz w:val="20"/>
                            <w:u w:val="thick" w:color="000000"/>
                          </w:rPr>
                          <w:t>$</w:t>
                          <w:tab/>
                        </w:r>
                        <w:r>
                          <w:rPr>
                            <w:b/>
                            <w:color w:val="0000D3"/>
                            <w:spacing w:val="5"/>
                            <w:w w:val="115"/>
                            <w:sz w:val="20"/>
                            <w:u w:val="thick" w:color="000000"/>
                          </w:rPr>
                          <w:t>.54</w:t>
                        </w:r>
                        <w:r>
                          <w:rPr>
                            <w:b/>
                            <w:color w:val="0000D3"/>
                            <w:spacing w:val="-18"/>
                            <w:sz w:val="20"/>
                            <w:u w:val="thick" w:color="000000"/>
                          </w:rPr>
                          <w:t> </w:t>
                        </w:r>
                      </w:p>
                    </w:tc>
                    <w:tc>
                      <w:tcPr>
                        <w:tcW w:w="1859" w:type="dxa"/>
                      </w:tcPr>
                      <w:p>
                        <w:pPr>
                          <w:pStyle w:val="TableParagraph"/>
                          <w:tabs>
                            <w:tab w:pos="1109" w:val="left" w:leader="none"/>
                          </w:tabs>
                          <w:spacing w:before="157"/>
                          <w:ind w:right="137"/>
                          <w:jc w:val="right"/>
                          <w:rPr>
                            <w:sz w:val="20"/>
                          </w:rPr>
                        </w:pPr>
                        <w:r>
                          <w:rPr>
                            <w:w w:val="121"/>
                            <w:sz w:val="20"/>
                            <w:u w:val="thick"/>
                          </w:rPr>
                          <w:t> </w:t>
                        </w:r>
                        <w:r>
                          <w:rPr>
                            <w:spacing w:val="11"/>
                            <w:sz w:val="20"/>
                            <w:u w:val="thick"/>
                          </w:rPr>
                          <w:t> </w:t>
                        </w:r>
                        <w:r>
                          <w:rPr>
                            <w:w w:val="120"/>
                            <w:sz w:val="20"/>
                            <w:u w:val="thick"/>
                          </w:rPr>
                          <w:t>$</w:t>
                          <w:tab/>
                        </w:r>
                        <w:r>
                          <w:rPr>
                            <w:w w:val="115"/>
                            <w:sz w:val="20"/>
                            <w:u w:val="thick"/>
                          </w:rPr>
                          <w:t>.30</w:t>
                        </w:r>
                        <w:r>
                          <w:rPr>
                            <w:spacing w:val="-28"/>
                            <w:sz w:val="20"/>
                            <w:u w:val="thick"/>
                          </w:rPr>
                          <w:t> </w:t>
                        </w:r>
                      </w:p>
                    </w:tc>
                    <w:tc>
                      <w:tcPr>
                        <w:tcW w:w="1507" w:type="dxa"/>
                      </w:tcPr>
                      <w:p>
                        <w:pPr>
                          <w:pStyle w:val="TableParagraph"/>
                          <w:tabs>
                            <w:tab w:pos="863" w:val="left" w:leader="none"/>
                          </w:tabs>
                          <w:spacing w:before="157"/>
                          <w:ind w:right="31"/>
                          <w:jc w:val="right"/>
                          <w:rPr>
                            <w:sz w:val="20"/>
                          </w:rPr>
                        </w:pPr>
                        <w:r>
                          <w:rPr>
                            <w:w w:val="121"/>
                            <w:sz w:val="20"/>
                            <w:u w:val="thick"/>
                          </w:rPr>
                          <w:t> </w:t>
                        </w:r>
                        <w:r>
                          <w:rPr>
                            <w:spacing w:val="11"/>
                            <w:sz w:val="20"/>
                            <w:u w:val="thick"/>
                          </w:rPr>
                          <w:t> </w:t>
                        </w:r>
                        <w:r>
                          <w:rPr>
                            <w:w w:val="120"/>
                            <w:sz w:val="20"/>
                            <w:u w:val="thick"/>
                          </w:rPr>
                          <w:t>$</w:t>
                          <w:tab/>
                        </w:r>
                        <w:r>
                          <w:rPr>
                            <w:w w:val="115"/>
                            <w:sz w:val="20"/>
                            <w:u w:val="thick"/>
                          </w:rPr>
                          <w:t>.63</w:t>
                        </w:r>
                        <w:r>
                          <w:rPr>
                            <w:spacing w:val="-26"/>
                            <w:sz w:val="20"/>
                            <w:u w:val="thick"/>
                          </w:rPr>
                          <w:t> </w:t>
                        </w:r>
                      </w:p>
                    </w:tc>
                  </w:tr>
                  <w:tr>
                    <w:trPr>
                      <w:trHeight w:val="355" w:hRule="exact"/>
                    </w:trPr>
                    <w:tc>
                      <w:tcPr>
                        <w:tcW w:w="3891" w:type="dxa"/>
                      </w:tcPr>
                      <w:p>
                        <w:pPr>
                          <w:pStyle w:val="TableParagraph"/>
                          <w:spacing w:before="81"/>
                          <w:ind w:left="32"/>
                          <w:rPr>
                            <w:sz w:val="20"/>
                          </w:rPr>
                        </w:pPr>
                        <w:r>
                          <w:rPr>
                            <w:w w:val="105"/>
                            <w:sz w:val="20"/>
                          </w:rPr>
                          <w:t>See  accompanying notes.</w:t>
                        </w:r>
                      </w:p>
                    </w:tc>
                    <w:tc>
                      <w:tcPr>
                        <w:tcW w:w="2054" w:type="dxa"/>
                      </w:tcPr>
                      <w:p>
                        <w:pPr/>
                      </w:p>
                    </w:tc>
                    <w:tc>
                      <w:tcPr>
                        <w:tcW w:w="1859" w:type="dxa"/>
                      </w:tcPr>
                      <w:p>
                        <w:pPr/>
                      </w:p>
                    </w:tc>
                    <w:tc>
                      <w:tcPr>
                        <w:tcW w:w="1507" w:type="dxa"/>
                      </w:tcPr>
                      <w:p>
                        <w:pPr/>
                      </w:p>
                    </w:tc>
                  </w:tr>
                </w:tbl>
                <w:p>
                  <w:pPr>
                    <w:pStyle w:val="BodyText"/>
                  </w:pPr>
                </w:p>
              </w:txbxContent>
            </v:textbox>
            <w10:wrap type="none"/>
          </v:shape>
        </w:pict>
      </w:r>
      <w:r>
        <w:rPr>
          <w:rFonts w:ascii="Arial"/>
          <w:w w:val="110"/>
          <w:sz w:val="20"/>
        </w:rPr>
        <w:t>Total</w:t>
      </w:r>
      <w:r>
        <w:rPr>
          <w:rFonts w:ascii="Arial"/>
          <w:spacing w:val="3"/>
          <w:w w:val="110"/>
          <w:sz w:val="20"/>
        </w:rPr>
        <w:t> </w:t>
      </w:r>
      <w:r>
        <w:rPr>
          <w:rFonts w:ascii="Arial"/>
          <w:w w:val="110"/>
          <w:sz w:val="20"/>
        </w:rPr>
        <w:t>operating</w:t>
      </w:r>
      <w:r>
        <w:rPr>
          <w:rFonts w:ascii="Arial"/>
          <w:spacing w:val="3"/>
          <w:w w:val="110"/>
          <w:sz w:val="20"/>
        </w:rPr>
        <w:t> </w:t>
      </w:r>
      <w:r>
        <w:rPr>
          <w:rFonts w:ascii="Arial"/>
          <w:w w:val="110"/>
          <w:sz w:val="20"/>
        </w:rPr>
        <w:t>revenues</w:t>
        <w:tab/>
      </w:r>
      <w:r>
        <w:rPr>
          <w:rFonts w:ascii="Arial"/>
          <w:b/>
          <w:color w:val="0000D3"/>
          <w:spacing w:val="4"/>
          <w:w w:val="110"/>
          <w:sz w:val="20"/>
        </w:rPr>
        <w:t>5,937</w:t>
        <w:tab/>
      </w:r>
      <w:r>
        <w:rPr>
          <w:rFonts w:ascii="Arial"/>
          <w:w w:val="110"/>
          <w:sz w:val="20"/>
        </w:rPr>
        <w:t>5,522</w:t>
        <w:tab/>
        <w:t>5,555 </w:t>
      </w:r>
      <w:r>
        <w:rPr>
          <w:rFonts w:ascii="Arial"/>
          <w:b/>
          <w:color w:val="0000D3"/>
          <w:spacing w:val="2"/>
          <w:w w:val="95"/>
          <w:sz w:val="20"/>
        </w:rPr>
        <w:t>OPERATING</w:t>
      </w:r>
      <w:r>
        <w:rPr>
          <w:rFonts w:ascii="Arial"/>
          <w:b/>
          <w:color w:val="0000D3"/>
          <w:spacing w:val="-8"/>
          <w:w w:val="95"/>
          <w:sz w:val="20"/>
        </w:rPr>
        <w:t> </w:t>
      </w:r>
      <w:r>
        <w:rPr>
          <w:rFonts w:ascii="Arial"/>
          <w:b/>
          <w:color w:val="0000D3"/>
          <w:spacing w:val="2"/>
          <w:w w:val="95"/>
          <w:sz w:val="20"/>
        </w:rPr>
        <w:t>EXPENSES:</w:t>
      </w:r>
    </w:p>
    <w:p>
      <w:pPr>
        <w:spacing w:after="0" w:line="350" w:lineRule="auto"/>
        <w:jc w:val="left"/>
        <w:rPr>
          <w:rFonts w:ascii="Arial"/>
          <w:sz w:val="20"/>
        </w:rPr>
        <w:sectPr>
          <w:pgSz w:w="12240" w:h="15840"/>
          <w:pgMar w:top="1160" w:bottom="280" w:left="1200" w:right="1500"/>
        </w:sectPr>
      </w:pPr>
    </w:p>
    <w:p>
      <w:pPr>
        <w:spacing w:before="85"/>
        <w:ind w:left="142" w:right="0" w:firstLine="0"/>
        <w:jc w:val="left"/>
        <w:rPr>
          <w:rFonts w:ascii="Trebuchet MS"/>
          <w:b/>
          <w:sz w:val="17"/>
        </w:rPr>
      </w:pPr>
      <w:bookmarkStart w:name="Shareholders' Equity" w:id="38"/>
      <w:bookmarkEnd w:id="38"/>
      <w:r>
        <w:rPr/>
      </w:r>
      <w:r>
        <w:rPr>
          <w:rFonts w:ascii="Trebuchet MS"/>
          <w:b/>
          <w:sz w:val="17"/>
        </w:rPr>
        <w:t>SOUTHWEST  AIRLINES  CO.</w:t>
      </w:r>
    </w:p>
    <w:p>
      <w:pPr>
        <w:spacing w:before="104"/>
        <w:ind w:left="143" w:right="0" w:firstLine="0"/>
        <w:jc w:val="left"/>
        <w:rPr>
          <w:rFonts w:ascii="Trebuchet MS"/>
          <w:b/>
          <w:sz w:val="17"/>
        </w:rPr>
      </w:pPr>
      <w:r>
        <w:rPr>
          <w:rFonts w:ascii="Trebuchet MS"/>
          <w:b/>
          <w:sz w:val="17"/>
        </w:rPr>
        <w:t>CONSOLIDATED  STATEMENT  OF  STOCKHOLDERS'  EQUITY</w:t>
      </w:r>
    </w:p>
    <w:p>
      <w:pPr>
        <w:tabs>
          <w:tab w:pos="4979" w:val="left" w:leader="none"/>
          <w:tab w:pos="10922" w:val="left" w:leader="none"/>
        </w:tabs>
        <w:spacing w:before="78"/>
        <w:ind w:left="3507" w:right="0" w:firstLine="0"/>
        <w:jc w:val="left"/>
        <w:rPr>
          <w:rFonts w:ascii="Trebuchet MS"/>
          <w:b/>
          <w:sz w:val="17"/>
        </w:rPr>
      </w:pPr>
      <w:r>
        <w:rPr>
          <w:rFonts w:ascii="Trebuchet MS"/>
          <w:b/>
          <w:w w:val="106"/>
          <w:sz w:val="17"/>
          <w:u w:val="thick"/>
        </w:rPr>
        <w:t> </w:t>
      </w:r>
      <w:r>
        <w:rPr>
          <w:rFonts w:ascii="Trebuchet MS"/>
          <w:b/>
          <w:sz w:val="17"/>
          <w:u w:val="thick"/>
        </w:rPr>
        <w:tab/>
        <w:t>YEARS  ENDED  DECEMBER  31,  2003,  2002,  AND</w:t>
      </w:r>
      <w:r>
        <w:rPr>
          <w:rFonts w:ascii="Trebuchet MS"/>
          <w:b/>
          <w:spacing w:val="21"/>
          <w:sz w:val="17"/>
          <w:u w:val="thick"/>
        </w:rPr>
        <w:t> </w:t>
      </w:r>
      <w:r>
        <w:rPr>
          <w:rFonts w:ascii="Trebuchet MS"/>
          <w:b/>
          <w:sz w:val="17"/>
          <w:u w:val="thick"/>
        </w:rPr>
        <w:t>2001</w:t>
        <w:tab/>
      </w:r>
    </w:p>
    <w:p>
      <w:pPr>
        <w:spacing w:before="78"/>
        <w:ind w:left="7271" w:right="0" w:firstLine="0"/>
        <w:jc w:val="left"/>
        <w:rPr>
          <w:rFonts w:ascii="Trebuchet MS"/>
          <w:b/>
          <w:sz w:val="17"/>
        </w:rPr>
      </w:pPr>
      <w:r>
        <w:rPr>
          <w:rFonts w:ascii="Trebuchet MS"/>
          <w:b/>
          <w:sz w:val="17"/>
        </w:rPr>
        <w:t>Accumulated</w:t>
      </w:r>
    </w:p>
    <w:p>
      <w:pPr>
        <w:pStyle w:val="BodyText"/>
        <w:spacing w:before="8"/>
        <w:rPr>
          <w:rFonts w:ascii="Trebuchet MS"/>
          <w:b/>
          <w:sz w:val="5"/>
        </w:rPr>
      </w:pPr>
    </w:p>
    <w:tbl>
      <w:tblPr>
        <w:tblW w:w="0" w:type="auto"/>
        <w:jc w:val="left"/>
        <w:tblInd w:w="10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320"/>
        <w:gridCol w:w="1256"/>
        <w:gridCol w:w="1181"/>
        <w:gridCol w:w="1193"/>
        <w:gridCol w:w="1507"/>
        <w:gridCol w:w="1116"/>
        <w:gridCol w:w="1245"/>
      </w:tblGrid>
      <w:tr>
        <w:trPr>
          <w:trHeight w:val="537" w:hRule="exact"/>
        </w:trPr>
        <w:tc>
          <w:tcPr>
            <w:tcW w:w="3320" w:type="dxa"/>
          </w:tcPr>
          <w:p>
            <w:pPr/>
          </w:p>
        </w:tc>
        <w:tc>
          <w:tcPr>
            <w:tcW w:w="1256" w:type="dxa"/>
          </w:tcPr>
          <w:p>
            <w:pPr>
              <w:pStyle w:val="TableParagraph"/>
              <w:spacing w:before="9"/>
              <w:rPr>
                <w:rFonts w:ascii="Trebuchet MS"/>
                <w:b/>
                <w:sz w:val="24"/>
              </w:rPr>
            </w:pPr>
          </w:p>
          <w:p>
            <w:pPr>
              <w:pStyle w:val="TableParagraph"/>
              <w:ind w:left="47"/>
              <w:jc w:val="center"/>
              <w:rPr>
                <w:rFonts w:ascii="Trebuchet MS"/>
                <w:b/>
                <w:sz w:val="17"/>
              </w:rPr>
            </w:pPr>
            <w:r>
              <w:rPr>
                <w:rFonts w:ascii="Trebuchet MS"/>
                <w:b/>
                <w:sz w:val="17"/>
              </w:rPr>
              <w:t>Common</w:t>
            </w:r>
          </w:p>
        </w:tc>
        <w:tc>
          <w:tcPr>
            <w:tcW w:w="1181" w:type="dxa"/>
          </w:tcPr>
          <w:p>
            <w:pPr>
              <w:pStyle w:val="TableParagraph"/>
              <w:spacing w:line="336" w:lineRule="auto" w:before="12"/>
              <w:ind w:left="175" w:firstLine="39"/>
              <w:rPr>
                <w:rFonts w:ascii="Trebuchet MS"/>
                <w:b/>
                <w:sz w:val="17"/>
              </w:rPr>
            </w:pPr>
            <w:r>
              <w:rPr>
                <w:rFonts w:ascii="Trebuchet MS"/>
                <w:b/>
                <w:sz w:val="17"/>
              </w:rPr>
              <w:t>Capital in excess of</w:t>
            </w:r>
          </w:p>
        </w:tc>
        <w:tc>
          <w:tcPr>
            <w:tcW w:w="1193" w:type="dxa"/>
          </w:tcPr>
          <w:p>
            <w:pPr>
              <w:pStyle w:val="TableParagraph"/>
              <w:spacing w:before="9"/>
              <w:rPr>
                <w:rFonts w:ascii="Trebuchet MS"/>
                <w:b/>
                <w:sz w:val="24"/>
              </w:rPr>
            </w:pPr>
          </w:p>
          <w:p>
            <w:pPr>
              <w:pStyle w:val="TableParagraph"/>
              <w:ind w:left="47"/>
              <w:jc w:val="center"/>
              <w:rPr>
                <w:rFonts w:ascii="Trebuchet MS"/>
                <w:b/>
                <w:sz w:val="17"/>
              </w:rPr>
            </w:pPr>
            <w:r>
              <w:rPr>
                <w:rFonts w:ascii="Trebuchet MS"/>
                <w:b/>
                <w:sz w:val="17"/>
              </w:rPr>
              <w:t>Retained</w:t>
            </w:r>
          </w:p>
        </w:tc>
        <w:tc>
          <w:tcPr>
            <w:tcW w:w="1507" w:type="dxa"/>
          </w:tcPr>
          <w:p>
            <w:pPr>
              <w:pStyle w:val="TableParagraph"/>
              <w:spacing w:line="336" w:lineRule="auto" w:before="12"/>
              <w:ind w:left="133" w:firstLine="400"/>
              <w:rPr>
                <w:rFonts w:ascii="Trebuchet MS"/>
                <w:b/>
                <w:sz w:val="17"/>
              </w:rPr>
            </w:pPr>
            <w:r>
              <w:rPr>
                <w:rFonts w:ascii="Trebuchet MS"/>
                <w:b/>
                <w:sz w:val="17"/>
              </w:rPr>
              <w:t>other </w:t>
            </w:r>
            <w:r>
              <w:rPr>
                <w:rFonts w:ascii="Trebuchet MS"/>
                <w:b/>
                <w:w w:val="95"/>
                <w:sz w:val="17"/>
              </w:rPr>
              <w:t>comprehensive</w:t>
            </w:r>
          </w:p>
        </w:tc>
        <w:tc>
          <w:tcPr>
            <w:tcW w:w="1116" w:type="dxa"/>
          </w:tcPr>
          <w:p>
            <w:pPr>
              <w:pStyle w:val="TableParagraph"/>
              <w:spacing w:before="9"/>
              <w:rPr>
                <w:rFonts w:ascii="Trebuchet MS"/>
                <w:b/>
                <w:sz w:val="24"/>
              </w:rPr>
            </w:pPr>
          </w:p>
          <w:p>
            <w:pPr>
              <w:pStyle w:val="TableParagraph"/>
              <w:ind w:left="162"/>
              <w:rPr>
                <w:rFonts w:ascii="Trebuchet MS"/>
                <w:b/>
                <w:sz w:val="17"/>
              </w:rPr>
            </w:pPr>
            <w:r>
              <w:rPr>
                <w:rFonts w:ascii="Trebuchet MS"/>
                <w:b/>
                <w:sz w:val="17"/>
              </w:rPr>
              <w:t>Treasury</w:t>
            </w:r>
          </w:p>
        </w:tc>
        <w:tc>
          <w:tcPr>
            <w:tcW w:w="1245" w:type="dxa"/>
          </w:tcPr>
          <w:p>
            <w:pPr/>
          </w:p>
        </w:tc>
      </w:tr>
      <w:tr>
        <w:trPr>
          <w:trHeight w:val="261" w:hRule="exact"/>
        </w:trPr>
        <w:tc>
          <w:tcPr>
            <w:tcW w:w="3320" w:type="dxa"/>
            <w:tcBorders>
              <w:bottom w:val="single" w:sz="8" w:space="0" w:color="000000"/>
            </w:tcBorders>
          </w:tcPr>
          <w:p>
            <w:pPr>
              <w:pStyle w:val="TableParagraph"/>
              <w:spacing w:before="16"/>
              <w:ind w:left="39"/>
              <w:rPr>
                <w:rFonts w:ascii="Tahoma"/>
                <w:sz w:val="17"/>
              </w:rPr>
            </w:pPr>
            <w:r>
              <w:rPr>
                <w:rFonts w:ascii="Tahoma"/>
                <w:w w:val="105"/>
                <w:sz w:val="17"/>
              </w:rPr>
              <w:t>(In millions, except per share amounts)</w:t>
            </w:r>
          </w:p>
        </w:tc>
        <w:tc>
          <w:tcPr>
            <w:tcW w:w="1256" w:type="dxa"/>
            <w:tcBorders>
              <w:bottom w:val="single" w:sz="8" w:space="0" w:color="000000"/>
            </w:tcBorders>
          </w:tcPr>
          <w:p>
            <w:pPr>
              <w:pStyle w:val="TableParagraph"/>
              <w:spacing w:before="16"/>
              <w:ind w:left="46"/>
              <w:jc w:val="center"/>
              <w:rPr>
                <w:rFonts w:ascii="Trebuchet MS"/>
                <w:b/>
                <w:sz w:val="17"/>
              </w:rPr>
            </w:pPr>
            <w:r>
              <w:rPr>
                <w:rFonts w:ascii="Tahoma"/>
                <w:sz w:val="17"/>
              </w:rPr>
              <w:t>S</w:t>
            </w:r>
            <w:r>
              <w:rPr>
                <w:rFonts w:ascii="Trebuchet MS"/>
                <w:b/>
                <w:sz w:val="17"/>
              </w:rPr>
              <w:t>tock</w:t>
            </w:r>
          </w:p>
        </w:tc>
        <w:tc>
          <w:tcPr>
            <w:tcW w:w="1181" w:type="dxa"/>
            <w:tcBorders>
              <w:bottom w:val="single" w:sz="8" w:space="0" w:color="000000"/>
            </w:tcBorders>
          </w:tcPr>
          <w:p>
            <w:pPr>
              <w:pStyle w:val="TableParagraph"/>
              <w:spacing w:before="27"/>
              <w:ind w:right="197"/>
              <w:jc w:val="right"/>
              <w:rPr>
                <w:rFonts w:ascii="Trebuchet MS"/>
                <w:b/>
                <w:sz w:val="17"/>
              </w:rPr>
            </w:pPr>
            <w:r>
              <w:rPr>
                <w:rFonts w:ascii="Trebuchet MS"/>
                <w:b/>
                <w:sz w:val="17"/>
              </w:rPr>
              <w:t>par value</w:t>
            </w:r>
          </w:p>
        </w:tc>
        <w:tc>
          <w:tcPr>
            <w:tcW w:w="1193" w:type="dxa"/>
            <w:tcBorders>
              <w:bottom w:val="single" w:sz="8" w:space="0" w:color="000000"/>
            </w:tcBorders>
          </w:tcPr>
          <w:p>
            <w:pPr>
              <w:pStyle w:val="TableParagraph"/>
              <w:spacing w:before="27"/>
              <w:ind w:left="52"/>
              <w:jc w:val="center"/>
              <w:rPr>
                <w:rFonts w:ascii="Trebuchet MS"/>
                <w:b/>
                <w:sz w:val="17"/>
              </w:rPr>
            </w:pPr>
            <w:r>
              <w:rPr>
                <w:rFonts w:ascii="Trebuchet MS"/>
                <w:b/>
                <w:sz w:val="17"/>
              </w:rPr>
              <w:t>earnings</w:t>
            </w:r>
          </w:p>
        </w:tc>
        <w:tc>
          <w:tcPr>
            <w:tcW w:w="1507" w:type="dxa"/>
            <w:tcBorders>
              <w:bottom w:val="single" w:sz="8" w:space="0" w:color="000000"/>
            </w:tcBorders>
          </w:tcPr>
          <w:p>
            <w:pPr>
              <w:pStyle w:val="TableParagraph"/>
              <w:spacing w:before="27"/>
              <w:ind w:left="187"/>
              <w:rPr>
                <w:rFonts w:ascii="Trebuchet MS"/>
                <w:b/>
                <w:sz w:val="17"/>
              </w:rPr>
            </w:pPr>
            <w:r>
              <w:rPr>
                <w:rFonts w:ascii="Trebuchet MS"/>
                <w:b/>
                <w:w w:val="105"/>
                <w:sz w:val="17"/>
              </w:rPr>
              <w:t>income (loss)</w:t>
            </w:r>
          </w:p>
        </w:tc>
        <w:tc>
          <w:tcPr>
            <w:tcW w:w="1116" w:type="dxa"/>
            <w:tcBorders>
              <w:bottom w:val="single" w:sz="8" w:space="0" w:color="000000"/>
            </w:tcBorders>
          </w:tcPr>
          <w:p>
            <w:pPr>
              <w:pStyle w:val="TableParagraph"/>
              <w:spacing w:before="27"/>
              <w:ind w:left="295"/>
              <w:rPr>
                <w:rFonts w:ascii="Trebuchet MS"/>
                <w:b/>
                <w:sz w:val="17"/>
              </w:rPr>
            </w:pPr>
            <w:r>
              <w:rPr>
                <w:rFonts w:ascii="Trebuchet MS"/>
                <w:b/>
                <w:w w:val="105"/>
                <w:sz w:val="17"/>
              </w:rPr>
              <w:t>stock</w:t>
            </w:r>
          </w:p>
        </w:tc>
        <w:tc>
          <w:tcPr>
            <w:tcW w:w="1245" w:type="dxa"/>
            <w:tcBorders>
              <w:bottom w:val="single" w:sz="8" w:space="0" w:color="000000"/>
            </w:tcBorders>
          </w:tcPr>
          <w:p>
            <w:pPr>
              <w:pStyle w:val="TableParagraph"/>
              <w:spacing w:before="27"/>
              <w:ind w:left="25"/>
              <w:jc w:val="center"/>
              <w:rPr>
                <w:rFonts w:ascii="Trebuchet MS"/>
                <w:b/>
                <w:sz w:val="17"/>
              </w:rPr>
            </w:pPr>
            <w:r>
              <w:rPr>
                <w:rFonts w:ascii="Trebuchet MS"/>
                <w:b/>
                <w:sz w:val="17"/>
              </w:rPr>
              <w:t>Total</w:t>
            </w:r>
          </w:p>
        </w:tc>
      </w:tr>
      <w:tr>
        <w:trPr>
          <w:trHeight w:val="380" w:hRule="exact"/>
        </w:trPr>
        <w:tc>
          <w:tcPr>
            <w:tcW w:w="3320" w:type="dxa"/>
            <w:tcBorders>
              <w:top w:val="single" w:sz="8" w:space="0" w:color="000000"/>
            </w:tcBorders>
          </w:tcPr>
          <w:p>
            <w:pPr>
              <w:pStyle w:val="TableParagraph"/>
              <w:spacing w:before="142"/>
              <w:ind w:left="39"/>
              <w:rPr>
                <w:rFonts w:ascii="Tahoma"/>
                <w:sz w:val="17"/>
              </w:rPr>
            </w:pPr>
            <w:r>
              <w:rPr>
                <w:rFonts w:ascii="Tahoma"/>
                <w:w w:val="105"/>
                <w:sz w:val="17"/>
              </w:rPr>
              <w:t>Balance at December 31, 2000</w:t>
            </w:r>
          </w:p>
        </w:tc>
        <w:tc>
          <w:tcPr>
            <w:tcW w:w="1256" w:type="dxa"/>
            <w:tcBorders>
              <w:top w:val="single" w:sz="8" w:space="0" w:color="000000"/>
            </w:tcBorders>
          </w:tcPr>
          <w:p>
            <w:pPr>
              <w:pStyle w:val="TableParagraph"/>
              <w:tabs>
                <w:tab w:pos="597" w:val="left" w:leader="none"/>
              </w:tabs>
              <w:spacing w:before="142"/>
              <w:ind w:left="31"/>
              <w:jc w:val="center"/>
              <w:rPr>
                <w:rFonts w:ascii="Tahoma"/>
                <w:sz w:val="17"/>
              </w:rPr>
            </w:pPr>
            <w:r>
              <w:rPr>
                <w:rFonts w:ascii="Tahoma"/>
                <w:w w:val="115"/>
                <w:sz w:val="17"/>
              </w:rPr>
              <w:t>$</w:t>
              <w:tab/>
              <w:t>508</w:t>
            </w:r>
          </w:p>
        </w:tc>
        <w:tc>
          <w:tcPr>
            <w:tcW w:w="1181" w:type="dxa"/>
            <w:tcBorders>
              <w:top w:val="single" w:sz="8" w:space="0" w:color="000000"/>
            </w:tcBorders>
          </w:tcPr>
          <w:p>
            <w:pPr>
              <w:pStyle w:val="TableParagraph"/>
              <w:tabs>
                <w:tab w:pos="522" w:val="left" w:leader="none"/>
              </w:tabs>
              <w:spacing w:before="142"/>
              <w:ind w:right="163"/>
              <w:jc w:val="right"/>
              <w:rPr>
                <w:rFonts w:ascii="Tahoma"/>
                <w:sz w:val="17"/>
              </w:rPr>
            </w:pPr>
            <w:r>
              <w:rPr>
                <w:rFonts w:ascii="Tahoma"/>
                <w:w w:val="115"/>
                <w:sz w:val="17"/>
              </w:rPr>
              <w:t>$</w:t>
              <w:tab/>
              <w:t>104</w:t>
            </w:r>
          </w:p>
        </w:tc>
        <w:tc>
          <w:tcPr>
            <w:tcW w:w="1193" w:type="dxa"/>
            <w:tcBorders>
              <w:top w:val="single" w:sz="8" w:space="0" w:color="000000"/>
            </w:tcBorders>
          </w:tcPr>
          <w:p>
            <w:pPr>
              <w:pStyle w:val="TableParagraph"/>
              <w:tabs>
                <w:tab w:pos="441" w:val="left" w:leader="none"/>
              </w:tabs>
              <w:spacing w:before="142"/>
              <w:ind w:left="32"/>
              <w:jc w:val="center"/>
              <w:rPr>
                <w:rFonts w:ascii="Tahoma"/>
                <w:sz w:val="17"/>
              </w:rPr>
            </w:pPr>
            <w:r>
              <w:rPr>
                <w:rFonts w:ascii="Tahoma"/>
                <w:w w:val="115"/>
                <w:sz w:val="17"/>
              </w:rPr>
              <w:t>$</w:t>
              <w:tab/>
              <w:t>2,902</w:t>
            </w:r>
          </w:p>
        </w:tc>
        <w:tc>
          <w:tcPr>
            <w:tcW w:w="1507" w:type="dxa"/>
            <w:tcBorders>
              <w:top w:val="single" w:sz="8" w:space="0" w:color="000000"/>
            </w:tcBorders>
          </w:tcPr>
          <w:p>
            <w:pPr>
              <w:pStyle w:val="TableParagraph"/>
              <w:tabs>
                <w:tab w:pos="1017" w:val="left" w:leader="none"/>
              </w:tabs>
              <w:spacing w:before="142"/>
              <w:ind w:left="197"/>
              <w:rPr>
                <w:rFonts w:ascii="Tahoma"/>
                <w:sz w:val="17"/>
              </w:rPr>
            </w:pPr>
            <w:r>
              <w:rPr>
                <w:rFonts w:ascii="Tahoma"/>
                <w:w w:val="110"/>
                <w:sz w:val="17"/>
              </w:rPr>
              <w:t>$</w:t>
              <w:tab/>
              <w:t>-</w:t>
            </w:r>
          </w:p>
        </w:tc>
        <w:tc>
          <w:tcPr>
            <w:tcW w:w="1116" w:type="dxa"/>
            <w:tcBorders>
              <w:top w:val="single" w:sz="8" w:space="0" w:color="000000"/>
            </w:tcBorders>
          </w:tcPr>
          <w:p>
            <w:pPr>
              <w:pStyle w:val="TableParagraph"/>
              <w:tabs>
                <w:tab w:pos="620" w:val="left" w:leader="none"/>
              </w:tabs>
              <w:spacing w:before="142"/>
              <w:ind w:left="122"/>
              <w:rPr>
                <w:rFonts w:ascii="Tahoma"/>
                <w:sz w:val="17"/>
              </w:rPr>
            </w:pPr>
            <w:r>
              <w:rPr>
                <w:rFonts w:ascii="Tahoma"/>
                <w:w w:val="115"/>
                <w:sz w:val="17"/>
              </w:rPr>
              <w:t>$</w:t>
              <w:tab/>
              <w:t>(63)</w:t>
            </w:r>
          </w:p>
        </w:tc>
        <w:tc>
          <w:tcPr>
            <w:tcW w:w="1245" w:type="dxa"/>
            <w:tcBorders>
              <w:top w:val="single" w:sz="8" w:space="0" w:color="000000"/>
            </w:tcBorders>
          </w:tcPr>
          <w:p>
            <w:pPr>
              <w:pStyle w:val="TableParagraph"/>
              <w:tabs>
                <w:tab w:pos="523" w:val="left" w:leader="none"/>
              </w:tabs>
              <w:spacing w:before="142"/>
              <w:ind w:left="10"/>
              <w:jc w:val="center"/>
              <w:rPr>
                <w:rFonts w:ascii="Tahoma"/>
                <w:sz w:val="17"/>
              </w:rPr>
            </w:pPr>
            <w:r>
              <w:rPr>
                <w:rFonts w:ascii="Tahoma"/>
                <w:w w:val="115"/>
                <w:sz w:val="17"/>
              </w:rPr>
              <w:t>$</w:t>
              <w:tab/>
              <w:t>3,451</w:t>
            </w:r>
          </w:p>
        </w:tc>
      </w:tr>
    </w:tbl>
    <w:p>
      <w:pPr>
        <w:tabs>
          <w:tab w:pos="4187" w:val="left" w:leader="none"/>
          <w:tab w:pos="5294" w:val="left" w:leader="none"/>
          <w:tab w:pos="6519" w:val="left" w:leader="none"/>
          <w:tab w:pos="8070" w:val="left" w:leader="none"/>
          <w:tab w:pos="9191" w:val="left" w:leader="none"/>
          <w:tab w:pos="10521" w:val="left" w:leader="none"/>
        </w:tabs>
        <w:spacing w:before="168"/>
        <w:ind w:left="258" w:right="0" w:firstLine="0"/>
        <w:jc w:val="both"/>
        <w:rPr>
          <w:rFonts w:ascii="Tahoma"/>
          <w:sz w:val="17"/>
        </w:rPr>
      </w:pPr>
      <w:r>
        <w:rPr>
          <w:rFonts w:ascii="Tahoma"/>
          <w:w w:val="105"/>
          <w:sz w:val="17"/>
        </w:rPr>
        <w:t>Three-for-two</w:t>
      </w:r>
      <w:r>
        <w:rPr>
          <w:rFonts w:ascii="Tahoma"/>
          <w:spacing w:val="11"/>
          <w:w w:val="105"/>
          <w:sz w:val="17"/>
        </w:rPr>
        <w:t> </w:t>
      </w:r>
      <w:r>
        <w:rPr>
          <w:rFonts w:ascii="Tahoma"/>
          <w:w w:val="105"/>
          <w:sz w:val="17"/>
        </w:rPr>
        <w:t>stock</w:t>
      </w:r>
      <w:r>
        <w:rPr>
          <w:rFonts w:ascii="Tahoma"/>
          <w:spacing w:val="11"/>
          <w:w w:val="105"/>
          <w:sz w:val="17"/>
        </w:rPr>
        <w:t> </w:t>
      </w:r>
      <w:r>
        <w:rPr>
          <w:rFonts w:ascii="Tahoma"/>
          <w:w w:val="105"/>
          <w:sz w:val="17"/>
        </w:rPr>
        <w:t>split</w:t>
        <w:tab/>
        <w:t>254</w:t>
        <w:tab/>
        <w:t>(136)</w:t>
        <w:tab/>
        <w:t>(118)</w:t>
        <w:tab/>
        <w:t>-</w:t>
        <w:tab/>
        <w:t>-</w:t>
        <w:tab/>
        <w:t>-</w:t>
      </w:r>
    </w:p>
    <w:p>
      <w:pPr>
        <w:spacing w:line="324" w:lineRule="auto" w:before="71"/>
        <w:ind w:left="364" w:right="7641" w:hanging="112"/>
        <w:jc w:val="left"/>
        <w:rPr>
          <w:rFonts w:ascii="Tahoma"/>
          <w:sz w:val="17"/>
        </w:rPr>
      </w:pPr>
      <w:r>
        <w:rPr/>
        <w:pict>
          <v:shape style="position:absolute;margin-left:243.001434pt;margin-top:17.291693pt;width:335.55pt;height:81.350pt;mso-position-horizontal-relative:page;mso-position-vertical-relative:paragraph;z-index:5968"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764"/>
                    <w:gridCol w:w="1181"/>
                    <w:gridCol w:w="1383"/>
                    <w:gridCol w:w="1282"/>
                    <w:gridCol w:w="1166"/>
                    <w:gridCol w:w="935"/>
                  </w:tblGrid>
                  <w:tr>
                    <w:trPr>
                      <w:trHeight w:val="261" w:hRule="exact"/>
                    </w:trPr>
                    <w:tc>
                      <w:tcPr>
                        <w:tcW w:w="764" w:type="dxa"/>
                      </w:tcPr>
                      <w:p>
                        <w:pPr>
                          <w:pStyle w:val="TableParagraph"/>
                          <w:spacing w:before="1"/>
                          <w:ind w:left="205"/>
                          <w:rPr>
                            <w:rFonts w:ascii="Tahoma"/>
                            <w:sz w:val="17"/>
                          </w:rPr>
                        </w:pPr>
                        <w:r>
                          <w:rPr>
                            <w:rFonts w:ascii="Tahoma"/>
                            <w:w w:val="117"/>
                            <w:sz w:val="17"/>
                          </w:rPr>
                          <w:t>5</w:t>
                        </w:r>
                      </w:p>
                    </w:tc>
                    <w:tc>
                      <w:tcPr>
                        <w:tcW w:w="1181" w:type="dxa"/>
                      </w:tcPr>
                      <w:p>
                        <w:pPr>
                          <w:pStyle w:val="TableParagraph"/>
                          <w:spacing w:before="1"/>
                          <w:ind w:right="447"/>
                          <w:jc w:val="right"/>
                          <w:rPr>
                            <w:rFonts w:ascii="Tahoma"/>
                            <w:sz w:val="17"/>
                          </w:rPr>
                        </w:pPr>
                        <w:r>
                          <w:rPr>
                            <w:rFonts w:ascii="Tahoma"/>
                            <w:w w:val="115"/>
                            <w:sz w:val="17"/>
                          </w:rPr>
                          <w:t>29</w:t>
                        </w:r>
                      </w:p>
                    </w:tc>
                    <w:tc>
                      <w:tcPr>
                        <w:tcW w:w="1383" w:type="dxa"/>
                      </w:tcPr>
                      <w:p>
                        <w:pPr>
                          <w:pStyle w:val="TableParagraph"/>
                          <w:spacing w:before="1"/>
                          <w:ind w:left="483"/>
                          <w:rPr>
                            <w:rFonts w:ascii="Tahoma"/>
                            <w:sz w:val="17"/>
                          </w:rPr>
                        </w:pPr>
                        <w:r>
                          <w:rPr>
                            <w:rFonts w:ascii="Tahoma"/>
                            <w:w w:val="115"/>
                            <w:sz w:val="17"/>
                          </w:rPr>
                          <w:t>(53)</w:t>
                        </w:r>
                      </w:p>
                    </w:tc>
                    <w:tc>
                      <w:tcPr>
                        <w:tcW w:w="1282" w:type="dxa"/>
                      </w:tcPr>
                      <w:p>
                        <w:pPr>
                          <w:pStyle w:val="TableParagraph"/>
                          <w:spacing w:before="1"/>
                          <w:ind w:left="543"/>
                          <w:rPr>
                            <w:rFonts w:ascii="Tahoma"/>
                            <w:sz w:val="17"/>
                          </w:rPr>
                        </w:pPr>
                        <w:r>
                          <w:rPr>
                            <w:rFonts w:ascii="Tahoma"/>
                            <w:w w:val="100"/>
                            <w:sz w:val="17"/>
                          </w:rPr>
                          <w:t>-</w:t>
                        </w:r>
                      </w:p>
                    </w:tc>
                    <w:tc>
                      <w:tcPr>
                        <w:tcW w:w="1166" w:type="dxa"/>
                      </w:tcPr>
                      <w:p>
                        <w:pPr>
                          <w:pStyle w:val="TableParagraph"/>
                          <w:spacing w:before="1"/>
                          <w:ind w:left="446"/>
                          <w:rPr>
                            <w:rFonts w:ascii="Tahoma"/>
                            <w:sz w:val="17"/>
                          </w:rPr>
                        </w:pPr>
                        <w:r>
                          <w:rPr>
                            <w:rFonts w:ascii="Tahoma"/>
                            <w:w w:val="115"/>
                            <w:sz w:val="17"/>
                          </w:rPr>
                          <w:t>63</w:t>
                        </w:r>
                      </w:p>
                    </w:tc>
                    <w:tc>
                      <w:tcPr>
                        <w:tcW w:w="935" w:type="dxa"/>
                      </w:tcPr>
                      <w:p>
                        <w:pPr>
                          <w:pStyle w:val="TableParagraph"/>
                          <w:spacing w:before="1"/>
                          <w:ind w:right="105"/>
                          <w:jc w:val="right"/>
                          <w:rPr>
                            <w:rFonts w:ascii="Tahoma"/>
                            <w:sz w:val="17"/>
                          </w:rPr>
                        </w:pPr>
                        <w:r>
                          <w:rPr>
                            <w:rFonts w:ascii="Tahoma"/>
                            <w:w w:val="115"/>
                            <w:sz w:val="17"/>
                          </w:rPr>
                          <w:t>44</w:t>
                        </w:r>
                      </w:p>
                    </w:tc>
                  </w:tr>
                  <w:tr>
                    <w:trPr>
                      <w:trHeight w:val="276" w:hRule="exact"/>
                    </w:trPr>
                    <w:tc>
                      <w:tcPr>
                        <w:tcW w:w="764" w:type="dxa"/>
                      </w:tcPr>
                      <w:p>
                        <w:pPr>
                          <w:pStyle w:val="TableParagraph"/>
                          <w:spacing w:before="16"/>
                          <w:ind w:left="33"/>
                          <w:rPr>
                            <w:rFonts w:ascii="Tahoma"/>
                            <w:sz w:val="17"/>
                          </w:rPr>
                        </w:pPr>
                        <w:r>
                          <w:rPr>
                            <w:rFonts w:ascii="Tahoma"/>
                            <w:w w:val="100"/>
                            <w:sz w:val="17"/>
                          </w:rPr>
                          <w:t>-</w:t>
                        </w:r>
                      </w:p>
                    </w:tc>
                    <w:tc>
                      <w:tcPr>
                        <w:tcW w:w="1181" w:type="dxa"/>
                      </w:tcPr>
                      <w:p>
                        <w:pPr>
                          <w:pStyle w:val="TableParagraph"/>
                          <w:spacing w:before="16"/>
                          <w:ind w:right="447"/>
                          <w:jc w:val="right"/>
                          <w:rPr>
                            <w:rFonts w:ascii="Tahoma"/>
                            <w:sz w:val="17"/>
                          </w:rPr>
                        </w:pPr>
                        <w:r>
                          <w:rPr>
                            <w:rFonts w:ascii="Tahoma"/>
                            <w:w w:val="115"/>
                            <w:sz w:val="17"/>
                          </w:rPr>
                          <w:t>54</w:t>
                        </w:r>
                      </w:p>
                    </w:tc>
                    <w:tc>
                      <w:tcPr>
                        <w:tcW w:w="1383" w:type="dxa"/>
                      </w:tcPr>
                      <w:p>
                        <w:pPr>
                          <w:pStyle w:val="TableParagraph"/>
                          <w:spacing w:before="16"/>
                          <w:ind w:left="493"/>
                          <w:rPr>
                            <w:rFonts w:ascii="Tahoma"/>
                            <w:sz w:val="17"/>
                          </w:rPr>
                        </w:pPr>
                        <w:r>
                          <w:rPr>
                            <w:rFonts w:ascii="Tahoma"/>
                            <w:w w:val="100"/>
                            <w:sz w:val="17"/>
                          </w:rPr>
                          <w:t>-</w:t>
                        </w:r>
                      </w:p>
                    </w:tc>
                    <w:tc>
                      <w:tcPr>
                        <w:tcW w:w="1282" w:type="dxa"/>
                      </w:tcPr>
                      <w:p>
                        <w:pPr>
                          <w:pStyle w:val="TableParagraph"/>
                          <w:spacing w:before="16"/>
                          <w:ind w:left="543"/>
                          <w:rPr>
                            <w:rFonts w:ascii="Tahoma"/>
                            <w:sz w:val="17"/>
                          </w:rPr>
                        </w:pPr>
                        <w:r>
                          <w:rPr>
                            <w:rFonts w:ascii="Tahoma"/>
                            <w:w w:val="100"/>
                            <w:sz w:val="17"/>
                          </w:rPr>
                          <w:t>-</w:t>
                        </w:r>
                      </w:p>
                    </w:tc>
                    <w:tc>
                      <w:tcPr>
                        <w:tcW w:w="1166" w:type="dxa"/>
                      </w:tcPr>
                      <w:p>
                        <w:pPr>
                          <w:pStyle w:val="TableParagraph"/>
                          <w:spacing w:before="16"/>
                          <w:ind w:left="382"/>
                          <w:rPr>
                            <w:rFonts w:ascii="Tahoma"/>
                            <w:sz w:val="17"/>
                          </w:rPr>
                        </w:pPr>
                        <w:r>
                          <w:rPr>
                            <w:rFonts w:ascii="Tahoma"/>
                            <w:w w:val="100"/>
                            <w:sz w:val="17"/>
                          </w:rPr>
                          <w:t>-</w:t>
                        </w:r>
                      </w:p>
                    </w:tc>
                    <w:tc>
                      <w:tcPr>
                        <w:tcW w:w="935" w:type="dxa"/>
                      </w:tcPr>
                      <w:p>
                        <w:pPr>
                          <w:pStyle w:val="TableParagraph"/>
                          <w:spacing w:before="16"/>
                          <w:ind w:right="105"/>
                          <w:jc w:val="right"/>
                          <w:rPr>
                            <w:rFonts w:ascii="Tahoma"/>
                            <w:sz w:val="17"/>
                          </w:rPr>
                        </w:pPr>
                        <w:r>
                          <w:rPr>
                            <w:rFonts w:ascii="Tahoma"/>
                            <w:w w:val="115"/>
                            <w:sz w:val="17"/>
                          </w:rPr>
                          <w:t>54</w:t>
                        </w:r>
                      </w:p>
                    </w:tc>
                  </w:tr>
                  <w:tr>
                    <w:trPr>
                      <w:trHeight w:val="414" w:hRule="exact"/>
                    </w:trPr>
                    <w:tc>
                      <w:tcPr>
                        <w:tcW w:w="764" w:type="dxa"/>
                      </w:tcPr>
                      <w:p>
                        <w:pPr>
                          <w:pStyle w:val="TableParagraph"/>
                          <w:spacing w:before="16"/>
                          <w:ind w:left="32"/>
                          <w:rPr>
                            <w:rFonts w:ascii="Tahoma"/>
                            <w:sz w:val="17"/>
                          </w:rPr>
                        </w:pPr>
                        <w:r>
                          <w:rPr>
                            <w:rFonts w:ascii="Tahoma"/>
                            <w:w w:val="100"/>
                            <w:sz w:val="17"/>
                          </w:rPr>
                          <w:t>-</w:t>
                        </w:r>
                      </w:p>
                    </w:tc>
                    <w:tc>
                      <w:tcPr>
                        <w:tcW w:w="1181" w:type="dxa"/>
                      </w:tcPr>
                      <w:p>
                        <w:pPr>
                          <w:pStyle w:val="TableParagraph"/>
                          <w:spacing w:before="16"/>
                          <w:ind w:left="449"/>
                          <w:rPr>
                            <w:rFonts w:ascii="Tahoma"/>
                            <w:sz w:val="17"/>
                          </w:rPr>
                        </w:pPr>
                        <w:r>
                          <w:rPr>
                            <w:rFonts w:ascii="Tahoma"/>
                            <w:w w:val="100"/>
                            <w:sz w:val="17"/>
                          </w:rPr>
                          <w:t>-</w:t>
                        </w:r>
                      </w:p>
                    </w:tc>
                    <w:tc>
                      <w:tcPr>
                        <w:tcW w:w="1383" w:type="dxa"/>
                      </w:tcPr>
                      <w:p>
                        <w:pPr>
                          <w:pStyle w:val="TableParagraph"/>
                          <w:spacing w:before="16"/>
                          <w:ind w:left="484"/>
                          <w:rPr>
                            <w:rFonts w:ascii="Tahoma"/>
                            <w:sz w:val="17"/>
                          </w:rPr>
                        </w:pPr>
                        <w:r>
                          <w:rPr>
                            <w:rFonts w:ascii="Tahoma"/>
                            <w:w w:val="115"/>
                            <w:sz w:val="17"/>
                          </w:rPr>
                          <w:t>(14)</w:t>
                        </w:r>
                      </w:p>
                    </w:tc>
                    <w:tc>
                      <w:tcPr>
                        <w:tcW w:w="1282" w:type="dxa"/>
                      </w:tcPr>
                      <w:p>
                        <w:pPr>
                          <w:pStyle w:val="TableParagraph"/>
                          <w:spacing w:before="16"/>
                          <w:ind w:left="543"/>
                          <w:rPr>
                            <w:rFonts w:ascii="Tahoma"/>
                            <w:sz w:val="17"/>
                          </w:rPr>
                        </w:pPr>
                        <w:r>
                          <w:rPr>
                            <w:rFonts w:ascii="Tahoma"/>
                            <w:w w:val="100"/>
                            <w:sz w:val="17"/>
                          </w:rPr>
                          <w:t>-</w:t>
                        </w:r>
                      </w:p>
                    </w:tc>
                    <w:tc>
                      <w:tcPr>
                        <w:tcW w:w="1166" w:type="dxa"/>
                      </w:tcPr>
                      <w:p>
                        <w:pPr>
                          <w:pStyle w:val="TableParagraph"/>
                          <w:spacing w:before="16"/>
                          <w:ind w:left="382"/>
                          <w:rPr>
                            <w:rFonts w:ascii="Tahoma"/>
                            <w:sz w:val="17"/>
                          </w:rPr>
                        </w:pPr>
                        <w:r>
                          <w:rPr>
                            <w:rFonts w:ascii="Tahoma"/>
                            <w:w w:val="100"/>
                            <w:sz w:val="17"/>
                          </w:rPr>
                          <w:t>-</w:t>
                        </w:r>
                      </w:p>
                    </w:tc>
                    <w:tc>
                      <w:tcPr>
                        <w:tcW w:w="935" w:type="dxa"/>
                      </w:tcPr>
                      <w:p>
                        <w:pPr>
                          <w:pStyle w:val="TableParagraph"/>
                          <w:spacing w:before="16"/>
                          <w:ind w:right="30"/>
                          <w:jc w:val="right"/>
                          <w:rPr>
                            <w:rFonts w:ascii="Tahoma"/>
                            <w:sz w:val="17"/>
                          </w:rPr>
                        </w:pPr>
                        <w:r>
                          <w:rPr>
                            <w:rFonts w:ascii="Tahoma"/>
                            <w:w w:val="115"/>
                            <w:sz w:val="17"/>
                          </w:rPr>
                          <w:t>(14)</w:t>
                        </w:r>
                      </w:p>
                    </w:tc>
                  </w:tr>
                  <w:tr>
                    <w:trPr>
                      <w:trHeight w:val="414" w:hRule="exact"/>
                    </w:trPr>
                    <w:tc>
                      <w:tcPr>
                        <w:tcW w:w="764" w:type="dxa"/>
                      </w:tcPr>
                      <w:p>
                        <w:pPr>
                          <w:pStyle w:val="TableParagraph"/>
                          <w:spacing w:before="155"/>
                          <w:ind w:left="32"/>
                          <w:rPr>
                            <w:rFonts w:ascii="Tahoma"/>
                            <w:sz w:val="17"/>
                          </w:rPr>
                        </w:pPr>
                        <w:r>
                          <w:rPr>
                            <w:rFonts w:ascii="Tahoma"/>
                            <w:w w:val="100"/>
                            <w:sz w:val="17"/>
                          </w:rPr>
                          <w:t>-</w:t>
                        </w:r>
                      </w:p>
                    </w:tc>
                    <w:tc>
                      <w:tcPr>
                        <w:tcW w:w="1181" w:type="dxa"/>
                      </w:tcPr>
                      <w:p>
                        <w:pPr>
                          <w:pStyle w:val="TableParagraph"/>
                          <w:spacing w:before="155"/>
                          <w:ind w:left="449"/>
                          <w:rPr>
                            <w:rFonts w:ascii="Tahoma"/>
                            <w:sz w:val="17"/>
                          </w:rPr>
                        </w:pPr>
                        <w:r>
                          <w:rPr>
                            <w:rFonts w:ascii="Tahoma"/>
                            <w:w w:val="100"/>
                            <w:sz w:val="17"/>
                          </w:rPr>
                          <w:t>-</w:t>
                        </w:r>
                      </w:p>
                    </w:tc>
                    <w:tc>
                      <w:tcPr>
                        <w:tcW w:w="1383" w:type="dxa"/>
                      </w:tcPr>
                      <w:p>
                        <w:pPr>
                          <w:pStyle w:val="TableParagraph"/>
                          <w:spacing w:before="155"/>
                          <w:ind w:left="449"/>
                          <w:rPr>
                            <w:rFonts w:ascii="Tahoma"/>
                            <w:sz w:val="17"/>
                          </w:rPr>
                        </w:pPr>
                        <w:r>
                          <w:rPr>
                            <w:rFonts w:ascii="Tahoma"/>
                            <w:w w:val="115"/>
                            <w:sz w:val="17"/>
                          </w:rPr>
                          <w:t>511</w:t>
                        </w:r>
                      </w:p>
                    </w:tc>
                    <w:tc>
                      <w:tcPr>
                        <w:tcW w:w="1282" w:type="dxa"/>
                      </w:tcPr>
                      <w:p>
                        <w:pPr>
                          <w:pStyle w:val="TableParagraph"/>
                          <w:spacing w:before="155"/>
                          <w:ind w:left="543"/>
                          <w:rPr>
                            <w:rFonts w:ascii="Tahoma"/>
                            <w:sz w:val="17"/>
                          </w:rPr>
                        </w:pPr>
                        <w:r>
                          <w:rPr>
                            <w:rFonts w:ascii="Tahoma"/>
                            <w:w w:val="100"/>
                            <w:sz w:val="17"/>
                          </w:rPr>
                          <w:t>-</w:t>
                        </w:r>
                      </w:p>
                    </w:tc>
                    <w:tc>
                      <w:tcPr>
                        <w:tcW w:w="1166" w:type="dxa"/>
                      </w:tcPr>
                      <w:p>
                        <w:pPr>
                          <w:pStyle w:val="TableParagraph"/>
                          <w:spacing w:before="155"/>
                          <w:ind w:left="382"/>
                          <w:rPr>
                            <w:rFonts w:ascii="Tahoma"/>
                            <w:sz w:val="17"/>
                          </w:rPr>
                        </w:pPr>
                        <w:r>
                          <w:rPr>
                            <w:rFonts w:ascii="Tahoma"/>
                            <w:w w:val="100"/>
                            <w:sz w:val="17"/>
                          </w:rPr>
                          <w:t>-</w:t>
                        </w:r>
                      </w:p>
                    </w:tc>
                    <w:tc>
                      <w:tcPr>
                        <w:tcW w:w="935" w:type="dxa"/>
                      </w:tcPr>
                      <w:p>
                        <w:pPr>
                          <w:pStyle w:val="TableParagraph"/>
                          <w:spacing w:before="155"/>
                          <w:ind w:right="105"/>
                          <w:jc w:val="right"/>
                          <w:rPr>
                            <w:rFonts w:ascii="Tahoma"/>
                            <w:sz w:val="17"/>
                          </w:rPr>
                        </w:pPr>
                        <w:r>
                          <w:rPr>
                            <w:rFonts w:ascii="Tahoma"/>
                            <w:w w:val="115"/>
                            <w:sz w:val="17"/>
                          </w:rPr>
                          <w:t>511</w:t>
                        </w:r>
                      </w:p>
                    </w:tc>
                  </w:tr>
                  <w:tr>
                    <w:trPr>
                      <w:trHeight w:val="261" w:hRule="exact"/>
                    </w:trPr>
                    <w:tc>
                      <w:tcPr>
                        <w:tcW w:w="764" w:type="dxa"/>
                      </w:tcPr>
                      <w:p>
                        <w:pPr>
                          <w:pStyle w:val="TableParagraph"/>
                          <w:spacing w:before="16"/>
                          <w:ind w:left="33"/>
                          <w:rPr>
                            <w:rFonts w:ascii="Tahoma"/>
                            <w:sz w:val="17"/>
                          </w:rPr>
                        </w:pPr>
                        <w:r>
                          <w:rPr>
                            <w:rFonts w:ascii="Tahoma"/>
                            <w:w w:val="100"/>
                            <w:sz w:val="17"/>
                          </w:rPr>
                          <w:t>-</w:t>
                        </w:r>
                      </w:p>
                    </w:tc>
                    <w:tc>
                      <w:tcPr>
                        <w:tcW w:w="1181" w:type="dxa"/>
                      </w:tcPr>
                      <w:p>
                        <w:pPr>
                          <w:pStyle w:val="TableParagraph"/>
                          <w:spacing w:before="16"/>
                          <w:ind w:left="449"/>
                          <w:rPr>
                            <w:rFonts w:ascii="Tahoma"/>
                            <w:sz w:val="17"/>
                          </w:rPr>
                        </w:pPr>
                        <w:r>
                          <w:rPr>
                            <w:rFonts w:ascii="Tahoma"/>
                            <w:w w:val="100"/>
                            <w:sz w:val="17"/>
                          </w:rPr>
                          <w:t>-</w:t>
                        </w:r>
                      </w:p>
                    </w:tc>
                    <w:tc>
                      <w:tcPr>
                        <w:tcW w:w="1383" w:type="dxa"/>
                      </w:tcPr>
                      <w:p>
                        <w:pPr>
                          <w:pStyle w:val="TableParagraph"/>
                          <w:spacing w:before="16"/>
                          <w:ind w:left="493"/>
                          <w:rPr>
                            <w:rFonts w:ascii="Tahoma"/>
                            <w:sz w:val="17"/>
                          </w:rPr>
                        </w:pPr>
                        <w:r>
                          <w:rPr>
                            <w:rFonts w:ascii="Tahoma"/>
                            <w:w w:val="100"/>
                            <w:sz w:val="17"/>
                          </w:rPr>
                          <w:t>-</w:t>
                        </w:r>
                      </w:p>
                    </w:tc>
                    <w:tc>
                      <w:tcPr>
                        <w:tcW w:w="1282" w:type="dxa"/>
                      </w:tcPr>
                      <w:p>
                        <w:pPr>
                          <w:pStyle w:val="TableParagraph"/>
                          <w:spacing w:before="16"/>
                          <w:ind w:left="533"/>
                          <w:rPr>
                            <w:rFonts w:ascii="Tahoma"/>
                            <w:sz w:val="17"/>
                          </w:rPr>
                        </w:pPr>
                        <w:r>
                          <w:rPr>
                            <w:rFonts w:ascii="Tahoma"/>
                            <w:w w:val="115"/>
                            <w:sz w:val="17"/>
                          </w:rPr>
                          <w:t>(31)</w:t>
                        </w:r>
                      </w:p>
                    </w:tc>
                    <w:tc>
                      <w:tcPr>
                        <w:tcW w:w="1166" w:type="dxa"/>
                      </w:tcPr>
                      <w:p>
                        <w:pPr>
                          <w:pStyle w:val="TableParagraph"/>
                          <w:spacing w:before="16"/>
                          <w:ind w:left="382"/>
                          <w:rPr>
                            <w:rFonts w:ascii="Tahoma"/>
                            <w:sz w:val="17"/>
                          </w:rPr>
                        </w:pPr>
                        <w:r>
                          <w:rPr>
                            <w:rFonts w:ascii="Tahoma"/>
                            <w:w w:val="100"/>
                            <w:sz w:val="17"/>
                          </w:rPr>
                          <w:t>-</w:t>
                        </w:r>
                      </w:p>
                    </w:tc>
                    <w:tc>
                      <w:tcPr>
                        <w:tcW w:w="935" w:type="dxa"/>
                      </w:tcPr>
                      <w:p>
                        <w:pPr>
                          <w:pStyle w:val="TableParagraph"/>
                          <w:spacing w:before="16"/>
                          <w:ind w:right="30"/>
                          <w:jc w:val="right"/>
                          <w:rPr>
                            <w:rFonts w:ascii="Tahoma"/>
                            <w:sz w:val="17"/>
                          </w:rPr>
                        </w:pPr>
                        <w:r>
                          <w:rPr>
                            <w:rFonts w:ascii="Tahoma"/>
                            <w:w w:val="115"/>
                            <w:sz w:val="17"/>
                          </w:rPr>
                          <w:t>(31)</w:t>
                        </w:r>
                      </w:p>
                    </w:tc>
                  </w:tr>
                </w:tbl>
                <w:p>
                  <w:pPr>
                    <w:pStyle w:val="BodyText"/>
                  </w:pPr>
                </w:p>
              </w:txbxContent>
            </v:textbox>
            <w10:wrap type="none"/>
          </v:shape>
        </w:pict>
      </w:r>
      <w:r>
        <w:rPr>
          <w:rFonts w:ascii="Tahoma"/>
          <w:w w:val="105"/>
          <w:sz w:val="17"/>
        </w:rPr>
        <w:t>Issuance of common and treasury stock pursuant to Employee stock plans</w:t>
      </w:r>
    </w:p>
    <w:p>
      <w:pPr>
        <w:spacing w:line="324" w:lineRule="auto" w:before="0"/>
        <w:ind w:left="251" w:right="8261" w:firstLine="0"/>
        <w:jc w:val="both"/>
        <w:rPr>
          <w:rFonts w:ascii="Tahoma"/>
          <w:sz w:val="17"/>
        </w:rPr>
      </w:pPr>
      <w:r>
        <w:rPr>
          <w:rFonts w:ascii="Tahoma"/>
          <w:w w:val="105"/>
          <w:sz w:val="17"/>
        </w:rPr>
        <w:t>Tax benefit of options exercised Cash dividends, $.018 per share Comprehensive income (loss)</w:t>
      </w:r>
    </w:p>
    <w:p>
      <w:pPr>
        <w:spacing w:line="204" w:lineRule="exact" w:before="0"/>
        <w:ind w:left="361" w:right="0" w:firstLine="0"/>
        <w:jc w:val="left"/>
        <w:rPr>
          <w:rFonts w:ascii="Tahoma"/>
          <w:sz w:val="17"/>
        </w:rPr>
      </w:pPr>
      <w:r>
        <w:rPr>
          <w:rFonts w:ascii="Tahoma"/>
          <w:w w:val="105"/>
          <w:sz w:val="17"/>
        </w:rPr>
        <w:t>Net income</w:t>
      </w:r>
    </w:p>
    <w:p>
      <w:pPr>
        <w:spacing w:before="70"/>
        <w:ind w:left="367" w:right="0" w:firstLine="0"/>
        <w:jc w:val="left"/>
        <w:rPr>
          <w:rFonts w:ascii="Tahoma"/>
          <w:sz w:val="17"/>
        </w:rPr>
      </w:pPr>
      <w:r>
        <w:rPr>
          <w:rFonts w:ascii="Tahoma"/>
          <w:w w:val="105"/>
          <w:sz w:val="17"/>
        </w:rPr>
        <w:t>Unrealized loss on derivative instrument</w:t>
      </w:r>
    </w:p>
    <w:p>
      <w:pPr>
        <w:tabs>
          <w:tab w:pos="3507" w:val="left" w:leader="none"/>
          <w:tab w:pos="4232" w:val="left" w:leader="none"/>
          <w:tab w:pos="5412" w:val="left" w:leader="none"/>
          <w:tab w:pos="6638" w:val="left" w:leader="none"/>
          <w:tab w:pos="8169" w:val="left" w:leader="none"/>
          <w:tab w:pos="9191" w:val="left" w:leader="none"/>
          <w:tab w:pos="9692" w:val="left" w:leader="none"/>
          <w:tab w:pos="10477" w:val="left" w:leader="none"/>
          <w:tab w:pos="10619" w:val="left" w:leader="none"/>
        </w:tabs>
        <w:spacing w:line="340" w:lineRule="auto" w:before="86"/>
        <w:ind w:left="254" w:right="135" w:firstLine="105"/>
        <w:jc w:val="left"/>
        <w:rPr>
          <w:rFonts w:ascii="Tahoma"/>
          <w:sz w:val="17"/>
        </w:rPr>
      </w:pPr>
      <w:r>
        <w:rPr>
          <w:rFonts w:ascii="Tahoma"/>
          <w:w w:val="105"/>
          <w:sz w:val="17"/>
        </w:rPr>
        <w:t>Other</w:t>
        <w:tab/>
        <w:tab/>
        <w:t>-</w:t>
        <w:tab/>
        <w:t>-</w:t>
        <w:tab/>
        <w:t>-</w:t>
        <w:tab/>
        <w:t>(1)</w:t>
        <w:tab/>
        <w:t>-</w:t>
        <w:tab/>
      </w:r>
      <w:r>
        <w:rPr>
          <w:rFonts w:ascii="Tahoma"/>
          <w:w w:val="105"/>
          <w:sz w:val="17"/>
          <w:u w:val="thick"/>
        </w:rPr>
        <w:t> </w:t>
        <w:tab/>
        <w:tab/>
        <w:t>(1) </w:t>
      </w:r>
      <w:r>
        <w:rPr>
          <w:rFonts w:ascii="Tahoma"/>
          <w:w w:val="105"/>
          <w:sz w:val="17"/>
        </w:rPr>
        <w:t>Total comprehensive</w:t>
      </w:r>
      <w:r>
        <w:rPr>
          <w:rFonts w:ascii="Tahoma"/>
          <w:spacing w:val="1"/>
          <w:w w:val="105"/>
          <w:sz w:val="17"/>
        </w:rPr>
        <w:t> </w:t>
      </w:r>
      <w:r>
        <w:rPr>
          <w:rFonts w:ascii="Tahoma"/>
          <w:w w:val="105"/>
          <w:sz w:val="17"/>
        </w:rPr>
        <w:t>income</w:t>
        <w:tab/>
      </w:r>
      <w:r>
        <w:rPr>
          <w:rFonts w:ascii="Tahoma"/>
          <w:w w:val="105"/>
          <w:sz w:val="17"/>
          <w:u w:val="thick"/>
        </w:rPr>
        <w:t> </w:t>
        <w:tab/>
        <w:tab/>
        <w:tab/>
        <w:tab/>
        <w:tab/>
        <w:tab/>
        <w:tab/>
        <w:t>479</w:t>
      </w:r>
      <w:r>
        <w:rPr>
          <w:rFonts w:ascii="Tahoma"/>
          <w:spacing w:val="12"/>
          <w:sz w:val="17"/>
          <w:u w:val="thick"/>
        </w:rPr>
        <w:t> </w:t>
      </w:r>
    </w:p>
    <w:p>
      <w:pPr>
        <w:tabs>
          <w:tab w:pos="4187" w:val="left" w:leader="none"/>
          <w:tab w:pos="5477" w:val="left" w:leader="none"/>
          <w:tab w:pos="6435" w:val="left" w:leader="none"/>
          <w:tab w:pos="8061" w:val="left" w:leader="none"/>
          <w:tab w:pos="9191" w:val="left" w:leader="none"/>
          <w:tab w:pos="10318" w:val="left" w:leader="none"/>
        </w:tabs>
        <w:spacing w:before="114"/>
        <w:ind w:left="143" w:right="0" w:firstLine="0"/>
        <w:jc w:val="left"/>
        <w:rPr>
          <w:rFonts w:ascii="Tahoma"/>
          <w:sz w:val="17"/>
        </w:rPr>
      </w:pPr>
      <w:r>
        <w:rPr>
          <w:rFonts w:ascii="Tahoma"/>
          <w:w w:val="110"/>
          <w:sz w:val="17"/>
        </w:rPr>
        <w:t>Balance at December</w:t>
      </w:r>
      <w:r>
        <w:rPr>
          <w:rFonts w:ascii="Tahoma"/>
          <w:spacing w:val="-43"/>
          <w:w w:val="110"/>
          <w:sz w:val="17"/>
        </w:rPr>
        <w:t> </w:t>
      </w:r>
      <w:r>
        <w:rPr>
          <w:rFonts w:ascii="Tahoma"/>
          <w:w w:val="110"/>
          <w:sz w:val="17"/>
        </w:rPr>
        <w:t>31,</w:t>
      </w:r>
      <w:r>
        <w:rPr>
          <w:rFonts w:ascii="Tahoma"/>
          <w:spacing w:val="-15"/>
          <w:w w:val="110"/>
          <w:sz w:val="17"/>
        </w:rPr>
        <w:t> </w:t>
      </w:r>
      <w:r>
        <w:rPr>
          <w:rFonts w:ascii="Tahoma"/>
          <w:w w:val="110"/>
          <w:sz w:val="17"/>
        </w:rPr>
        <w:t>2001</w:t>
        <w:tab/>
        <w:t>767</w:t>
        <w:tab/>
        <w:t>51</w:t>
        <w:tab/>
        <w:t>3,228</w:t>
        <w:tab/>
        <w:t>(32)</w:t>
        <w:tab/>
        <w:t>-</w:t>
        <w:tab/>
        <w:t>4,014</w:t>
      </w:r>
    </w:p>
    <w:p>
      <w:pPr>
        <w:spacing w:line="324" w:lineRule="auto" w:before="205"/>
        <w:ind w:left="365" w:right="7938" w:hanging="113"/>
        <w:jc w:val="left"/>
        <w:rPr>
          <w:rFonts w:ascii="Tahoma"/>
          <w:sz w:val="17"/>
        </w:rPr>
      </w:pPr>
      <w:r>
        <w:rPr/>
        <w:pict>
          <v:shape style="position:absolute;margin-left:242.998672pt;margin-top:23.991676pt;width:335.55pt;height:81.350pt;mso-position-horizontal-relative:page;mso-position-vertical-relative:paragraph;z-index:5992"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764"/>
                    <w:gridCol w:w="1181"/>
                    <w:gridCol w:w="1388"/>
                    <w:gridCol w:w="1240"/>
                    <w:gridCol w:w="2138"/>
                  </w:tblGrid>
                  <w:tr>
                    <w:trPr>
                      <w:trHeight w:val="261" w:hRule="exact"/>
                    </w:trPr>
                    <w:tc>
                      <w:tcPr>
                        <w:tcW w:w="764" w:type="dxa"/>
                      </w:tcPr>
                      <w:p>
                        <w:pPr>
                          <w:pStyle w:val="TableParagraph"/>
                          <w:spacing w:before="1"/>
                          <w:ind w:left="96"/>
                          <w:rPr>
                            <w:rFonts w:ascii="Tahoma"/>
                            <w:sz w:val="17"/>
                          </w:rPr>
                        </w:pPr>
                        <w:r>
                          <w:rPr>
                            <w:rFonts w:ascii="Tahoma"/>
                            <w:w w:val="115"/>
                            <w:sz w:val="17"/>
                          </w:rPr>
                          <w:t>10</w:t>
                        </w:r>
                      </w:p>
                    </w:tc>
                    <w:tc>
                      <w:tcPr>
                        <w:tcW w:w="1181" w:type="dxa"/>
                      </w:tcPr>
                      <w:p>
                        <w:pPr>
                          <w:pStyle w:val="TableParagraph"/>
                          <w:spacing w:before="1"/>
                          <w:ind w:right="447"/>
                          <w:jc w:val="right"/>
                          <w:rPr>
                            <w:rFonts w:ascii="Tahoma"/>
                            <w:sz w:val="17"/>
                          </w:rPr>
                        </w:pPr>
                        <w:r>
                          <w:rPr>
                            <w:rFonts w:ascii="Tahoma"/>
                            <w:w w:val="115"/>
                            <w:sz w:val="17"/>
                          </w:rPr>
                          <w:t>47</w:t>
                        </w:r>
                      </w:p>
                    </w:tc>
                    <w:tc>
                      <w:tcPr>
                        <w:tcW w:w="1388" w:type="dxa"/>
                      </w:tcPr>
                      <w:p>
                        <w:pPr>
                          <w:pStyle w:val="TableParagraph"/>
                          <w:spacing w:before="1"/>
                          <w:ind w:left="493"/>
                          <w:rPr>
                            <w:rFonts w:ascii="Tahoma"/>
                            <w:sz w:val="17"/>
                          </w:rPr>
                        </w:pPr>
                        <w:r>
                          <w:rPr>
                            <w:rFonts w:ascii="Tahoma"/>
                            <w:w w:val="100"/>
                            <w:sz w:val="17"/>
                          </w:rPr>
                          <w:t>-</w:t>
                        </w:r>
                      </w:p>
                    </w:tc>
                    <w:tc>
                      <w:tcPr>
                        <w:tcW w:w="1240" w:type="dxa"/>
                      </w:tcPr>
                      <w:p>
                        <w:pPr>
                          <w:pStyle w:val="TableParagraph"/>
                          <w:spacing w:before="1"/>
                          <w:ind w:left="538"/>
                          <w:rPr>
                            <w:rFonts w:ascii="Tahoma"/>
                            <w:sz w:val="17"/>
                          </w:rPr>
                        </w:pPr>
                        <w:r>
                          <w:rPr>
                            <w:rFonts w:ascii="Tahoma"/>
                            <w:w w:val="100"/>
                            <w:sz w:val="17"/>
                          </w:rPr>
                          <w:t>-</w:t>
                        </w:r>
                      </w:p>
                    </w:tc>
                    <w:tc>
                      <w:tcPr>
                        <w:tcW w:w="2138" w:type="dxa"/>
                      </w:tcPr>
                      <w:p>
                        <w:pPr>
                          <w:pStyle w:val="TableParagraph"/>
                          <w:tabs>
                            <w:tab w:pos="1813" w:val="left" w:leader="none"/>
                          </w:tabs>
                          <w:spacing w:before="1"/>
                          <w:ind w:left="419"/>
                          <w:rPr>
                            <w:rFonts w:ascii="Tahoma"/>
                            <w:sz w:val="17"/>
                          </w:rPr>
                        </w:pPr>
                        <w:r>
                          <w:rPr>
                            <w:rFonts w:ascii="Tahoma"/>
                            <w:w w:val="110"/>
                            <w:sz w:val="17"/>
                          </w:rPr>
                          <w:t>-</w:t>
                          <w:tab/>
                          <w:t>57</w:t>
                        </w:r>
                      </w:p>
                    </w:tc>
                  </w:tr>
                  <w:tr>
                    <w:trPr>
                      <w:trHeight w:val="276" w:hRule="exact"/>
                    </w:trPr>
                    <w:tc>
                      <w:tcPr>
                        <w:tcW w:w="764" w:type="dxa"/>
                      </w:tcPr>
                      <w:p>
                        <w:pPr>
                          <w:pStyle w:val="TableParagraph"/>
                          <w:spacing w:before="16"/>
                          <w:ind w:left="33"/>
                          <w:rPr>
                            <w:rFonts w:ascii="Tahoma"/>
                            <w:sz w:val="17"/>
                          </w:rPr>
                        </w:pPr>
                        <w:r>
                          <w:rPr>
                            <w:rFonts w:ascii="Tahoma"/>
                            <w:w w:val="100"/>
                            <w:sz w:val="17"/>
                          </w:rPr>
                          <w:t>-</w:t>
                        </w:r>
                      </w:p>
                    </w:tc>
                    <w:tc>
                      <w:tcPr>
                        <w:tcW w:w="1181" w:type="dxa"/>
                      </w:tcPr>
                      <w:p>
                        <w:pPr>
                          <w:pStyle w:val="TableParagraph"/>
                          <w:spacing w:before="16"/>
                          <w:ind w:right="447"/>
                          <w:jc w:val="right"/>
                          <w:rPr>
                            <w:rFonts w:ascii="Tahoma"/>
                            <w:sz w:val="17"/>
                          </w:rPr>
                        </w:pPr>
                        <w:r>
                          <w:rPr>
                            <w:rFonts w:ascii="Tahoma"/>
                            <w:w w:val="115"/>
                            <w:sz w:val="17"/>
                          </w:rPr>
                          <w:t>38</w:t>
                        </w:r>
                      </w:p>
                    </w:tc>
                    <w:tc>
                      <w:tcPr>
                        <w:tcW w:w="1388" w:type="dxa"/>
                      </w:tcPr>
                      <w:p>
                        <w:pPr>
                          <w:pStyle w:val="TableParagraph"/>
                          <w:spacing w:before="16"/>
                          <w:ind w:left="493"/>
                          <w:rPr>
                            <w:rFonts w:ascii="Tahoma"/>
                            <w:sz w:val="17"/>
                          </w:rPr>
                        </w:pPr>
                        <w:r>
                          <w:rPr>
                            <w:rFonts w:ascii="Tahoma"/>
                            <w:w w:val="100"/>
                            <w:sz w:val="17"/>
                          </w:rPr>
                          <w:t>-</w:t>
                        </w:r>
                      </w:p>
                    </w:tc>
                    <w:tc>
                      <w:tcPr>
                        <w:tcW w:w="1240" w:type="dxa"/>
                      </w:tcPr>
                      <w:p>
                        <w:pPr>
                          <w:pStyle w:val="TableParagraph"/>
                          <w:spacing w:before="16"/>
                          <w:ind w:left="538"/>
                          <w:rPr>
                            <w:rFonts w:ascii="Tahoma"/>
                            <w:sz w:val="17"/>
                          </w:rPr>
                        </w:pPr>
                        <w:r>
                          <w:rPr>
                            <w:rFonts w:ascii="Tahoma"/>
                            <w:w w:val="100"/>
                            <w:sz w:val="17"/>
                          </w:rPr>
                          <w:t>-</w:t>
                        </w:r>
                      </w:p>
                    </w:tc>
                    <w:tc>
                      <w:tcPr>
                        <w:tcW w:w="2138" w:type="dxa"/>
                      </w:tcPr>
                      <w:p>
                        <w:pPr>
                          <w:pStyle w:val="TableParagraph"/>
                          <w:tabs>
                            <w:tab w:pos="1813" w:val="left" w:leader="none"/>
                          </w:tabs>
                          <w:spacing w:before="16"/>
                          <w:ind w:left="419"/>
                          <w:rPr>
                            <w:rFonts w:ascii="Tahoma"/>
                            <w:sz w:val="17"/>
                          </w:rPr>
                        </w:pPr>
                        <w:r>
                          <w:rPr>
                            <w:rFonts w:ascii="Tahoma"/>
                            <w:w w:val="110"/>
                            <w:sz w:val="17"/>
                          </w:rPr>
                          <w:t>-</w:t>
                          <w:tab/>
                          <w:t>38</w:t>
                        </w:r>
                      </w:p>
                    </w:tc>
                  </w:tr>
                  <w:tr>
                    <w:trPr>
                      <w:trHeight w:val="414" w:hRule="exact"/>
                    </w:trPr>
                    <w:tc>
                      <w:tcPr>
                        <w:tcW w:w="764" w:type="dxa"/>
                      </w:tcPr>
                      <w:p>
                        <w:pPr>
                          <w:pStyle w:val="TableParagraph"/>
                          <w:spacing w:before="16"/>
                          <w:ind w:left="32"/>
                          <w:rPr>
                            <w:rFonts w:ascii="Tahoma"/>
                            <w:sz w:val="17"/>
                          </w:rPr>
                        </w:pPr>
                        <w:r>
                          <w:rPr>
                            <w:rFonts w:ascii="Tahoma"/>
                            <w:w w:val="100"/>
                            <w:sz w:val="17"/>
                          </w:rPr>
                          <w:t>-</w:t>
                        </w:r>
                      </w:p>
                    </w:tc>
                    <w:tc>
                      <w:tcPr>
                        <w:tcW w:w="1181" w:type="dxa"/>
                      </w:tcPr>
                      <w:p>
                        <w:pPr>
                          <w:pStyle w:val="TableParagraph"/>
                          <w:spacing w:before="16"/>
                          <w:ind w:left="449"/>
                          <w:rPr>
                            <w:rFonts w:ascii="Tahoma"/>
                            <w:sz w:val="17"/>
                          </w:rPr>
                        </w:pPr>
                        <w:r>
                          <w:rPr>
                            <w:rFonts w:ascii="Tahoma"/>
                            <w:w w:val="100"/>
                            <w:sz w:val="17"/>
                          </w:rPr>
                          <w:t>-</w:t>
                        </w:r>
                      </w:p>
                    </w:tc>
                    <w:tc>
                      <w:tcPr>
                        <w:tcW w:w="1388" w:type="dxa"/>
                      </w:tcPr>
                      <w:p>
                        <w:pPr>
                          <w:pStyle w:val="TableParagraph"/>
                          <w:spacing w:before="16"/>
                          <w:ind w:left="484"/>
                          <w:rPr>
                            <w:rFonts w:ascii="Tahoma"/>
                            <w:sz w:val="17"/>
                          </w:rPr>
                        </w:pPr>
                        <w:r>
                          <w:rPr>
                            <w:rFonts w:ascii="Tahoma"/>
                            <w:w w:val="115"/>
                            <w:sz w:val="17"/>
                          </w:rPr>
                          <w:t>(14)</w:t>
                        </w:r>
                      </w:p>
                    </w:tc>
                    <w:tc>
                      <w:tcPr>
                        <w:tcW w:w="1240" w:type="dxa"/>
                      </w:tcPr>
                      <w:p>
                        <w:pPr>
                          <w:pStyle w:val="TableParagraph"/>
                          <w:spacing w:before="16"/>
                          <w:ind w:left="538"/>
                          <w:rPr>
                            <w:rFonts w:ascii="Tahoma"/>
                            <w:sz w:val="17"/>
                          </w:rPr>
                        </w:pPr>
                        <w:r>
                          <w:rPr>
                            <w:rFonts w:ascii="Tahoma"/>
                            <w:w w:val="100"/>
                            <w:sz w:val="17"/>
                          </w:rPr>
                          <w:t>-</w:t>
                        </w:r>
                      </w:p>
                    </w:tc>
                    <w:tc>
                      <w:tcPr>
                        <w:tcW w:w="2138" w:type="dxa"/>
                      </w:tcPr>
                      <w:p>
                        <w:pPr>
                          <w:pStyle w:val="TableParagraph"/>
                          <w:tabs>
                            <w:tab w:pos="1739" w:val="left" w:leader="none"/>
                          </w:tabs>
                          <w:spacing w:before="16"/>
                          <w:ind w:left="419"/>
                          <w:rPr>
                            <w:rFonts w:ascii="Tahoma"/>
                            <w:sz w:val="17"/>
                          </w:rPr>
                        </w:pPr>
                        <w:r>
                          <w:rPr>
                            <w:rFonts w:ascii="Tahoma"/>
                            <w:w w:val="110"/>
                            <w:sz w:val="17"/>
                          </w:rPr>
                          <w:t>-</w:t>
                          <w:tab/>
                          <w:t>(14)</w:t>
                        </w:r>
                      </w:p>
                    </w:tc>
                  </w:tr>
                  <w:tr>
                    <w:trPr>
                      <w:trHeight w:val="414" w:hRule="exact"/>
                    </w:trPr>
                    <w:tc>
                      <w:tcPr>
                        <w:tcW w:w="764" w:type="dxa"/>
                      </w:tcPr>
                      <w:p>
                        <w:pPr>
                          <w:pStyle w:val="TableParagraph"/>
                          <w:spacing w:before="155"/>
                          <w:ind w:left="32"/>
                          <w:rPr>
                            <w:rFonts w:ascii="Tahoma"/>
                            <w:sz w:val="17"/>
                          </w:rPr>
                        </w:pPr>
                        <w:r>
                          <w:rPr>
                            <w:rFonts w:ascii="Tahoma"/>
                            <w:w w:val="100"/>
                            <w:sz w:val="17"/>
                          </w:rPr>
                          <w:t>-</w:t>
                        </w:r>
                      </w:p>
                    </w:tc>
                    <w:tc>
                      <w:tcPr>
                        <w:tcW w:w="1181" w:type="dxa"/>
                      </w:tcPr>
                      <w:p>
                        <w:pPr>
                          <w:pStyle w:val="TableParagraph"/>
                          <w:spacing w:before="155"/>
                          <w:ind w:left="449"/>
                          <w:rPr>
                            <w:rFonts w:ascii="Tahoma"/>
                            <w:sz w:val="17"/>
                          </w:rPr>
                        </w:pPr>
                        <w:r>
                          <w:rPr>
                            <w:rFonts w:ascii="Tahoma"/>
                            <w:w w:val="100"/>
                            <w:sz w:val="17"/>
                          </w:rPr>
                          <w:t>-</w:t>
                        </w:r>
                      </w:p>
                    </w:tc>
                    <w:tc>
                      <w:tcPr>
                        <w:tcW w:w="1388" w:type="dxa"/>
                      </w:tcPr>
                      <w:p>
                        <w:pPr>
                          <w:pStyle w:val="TableParagraph"/>
                          <w:spacing w:before="155"/>
                          <w:ind w:left="449"/>
                          <w:rPr>
                            <w:rFonts w:ascii="Tahoma"/>
                            <w:sz w:val="17"/>
                          </w:rPr>
                        </w:pPr>
                        <w:r>
                          <w:rPr>
                            <w:rFonts w:ascii="Tahoma"/>
                            <w:w w:val="115"/>
                            <w:sz w:val="17"/>
                          </w:rPr>
                          <w:t>241</w:t>
                        </w:r>
                      </w:p>
                    </w:tc>
                    <w:tc>
                      <w:tcPr>
                        <w:tcW w:w="1240" w:type="dxa"/>
                      </w:tcPr>
                      <w:p>
                        <w:pPr>
                          <w:pStyle w:val="TableParagraph"/>
                          <w:spacing w:before="155"/>
                          <w:ind w:left="538"/>
                          <w:rPr>
                            <w:rFonts w:ascii="Tahoma"/>
                            <w:sz w:val="17"/>
                          </w:rPr>
                        </w:pPr>
                        <w:r>
                          <w:rPr>
                            <w:rFonts w:ascii="Tahoma"/>
                            <w:w w:val="100"/>
                            <w:sz w:val="17"/>
                          </w:rPr>
                          <w:t>-</w:t>
                        </w:r>
                      </w:p>
                    </w:tc>
                    <w:tc>
                      <w:tcPr>
                        <w:tcW w:w="2138" w:type="dxa"/>
                      </w:tcPr>
                      <w:p>
                        <w:pPr>
                          <w:pStyle w:val="TableParagraph"/>
                          <w:tabs>
                            <w:tab w:pos="1704" w:val="left" w:leader="none"/>
                          </w:tabs>
                          <w:spacing w:before="155"/>
                          <w:ind w:left="419"/>
                          <w:rPr>
                            <w:rFonts w:ascii="Tahoma"/>
                            <w:sz w:val="17"/>
                          </w:rPr>
                        </w:pPr>
                        <w:r>
                          <w:rPr>
                            <w:rFonts w:ascii="Tahoma"/>
                            <w:w w:val="115"/>
                            <w:sz w:val="17"/>
                          </w:rPr>
                          <w:t>-</w:t>
                          <w:tab/>
                          <w:t>241</w:t>
                        </w:r>
                      </w:p>
                    </w:tc>
                  </w:tr>
                  <w:tr>
                    <w:trPr>
                      <w:trHeight w:val="261" w:hRule="exact"/>
                    </w:trPr>
                    <w:tc>
                      <w:tcPr>
                        <w:tcW w:w="764" w:type="dxa"/>
                      </w:tcPr>
                      <w:p>
                        <w:pPr>
                          <w:pStyle w:val="TableParagraph"/>
                          <w:spacing w:before="16"/>
                          <w:ind w:left="33"/>
                          <w:rPr>
                            <w:rFonts w:ascii="Tahoma"/>
                            <w:sz w:val="17"/>
                          </w:rPr>
                        </w:pPr>
                        <w:r>
                          <w:rPr>
                            <w:rFonts w:ascii="Tahoma"/>
                            <w:w w:val="100"/>
                            <w:sz w:val="17"/>
                          </w:rPr>
                          <w:t>-</w:t>
                        </w:r>
                      </w:p>
                    </w:tc>
                    <w:tc>
                      <w:tcPr>
                        <w:tcW w:w="1181" w:type="dxa"/>
                      </w:tcPr>
                      <w:p>
                        <w:pPr>
                          <w:pStyle w:val="TableParagraph"/>
                          <w:spacing w:before="16"/>
                          <w:ind w:left="449"/>
                          <w:rPr>
                            <w:rFonts w:ascii="Tahoma"/>
                            <w:sz w:val="17"/>
                          </w:rPr>
                        </w:pPr>
                        <w:r>
                          <w:rPr>
                            <w:rFonts w:ascii="Tahoma"/>
                            <w:w w:val="100"/>
                            <w:sz w:val="17"/>
                          </w:rPr>
                          <w:t>-</w:t>
                        </w:r>
                      </w:p>
                    </w:tc>
                    <w:tc>
                      <w:tcPr>
                        <w:tcW w:w="1388" w:type="dxa"/>
                      </w:tcPr>
                      <w:p>
                        <w:pPr>
                          <w:pStyle w:val="TableParagraph"/>
                          <w:spacing w:before="16"/>
                          <w:ind w:left="493"/>
                          <w:rPr>
                            <w:rFonts w:ascii="Tahoma"/>
                            <w:sz w:val="17"/>
                          </w:rPr>
                        </w:pPr>
                        <w:r>
                          <w:rPr>
                            <w:rFonts w:ascii="Tahoma"/>
                            <w:w w:val="100"/>
                            <w:sz w:val="17"/>
                          </w:rPr>
                          <w:t>-</w:t>
                        </w:r>
                      </w:p>
                    </w:tc>
                    <w:tc>
                      <w:tcPr>
                        <w:tcW w:w="1240" w:type="dxa"/>
                      </w:tcPr>
                      <w:p>
                        <w:pPr>
                          <w:pStyle w:val="TableParagraph"/>
                          <w:spacing w:before="16"/>
                          <w:ind w:left="602"/>
                          <w:rPr>
                            <w:rFonts w:ascii="Tahoma"/>
                            <w:sz w:val="17"/>
                          </w:rPr>
                        </w:pPr>
                        <w:r>
                          <w:rPr>
                            <w:rFonts w:ascii="Tahoma"/>
                            <w:w w:val="115"/>
                            <w:sz w:val="17"/>
                          </w:rPr>
                          <w:t>88</w:t>
                        </w:r>
                      </w:p>
                    </w:tc>
                    <w:tc>
                      <w:tcPr>
                        <w:tcW w:w="2138" w:type="dxa"/>
                      </w:tcPr>
                      <w:p>
                        <w:pPr>
                          <w:pStyle w:val="TableParagraph"/>
                          <w:tabs>
                            <w:tab w:pos="1813" w:val="left" w:leader="none"/>
                          </w:tabs>
                          <w:spacing w:before="16"/>
                          <w:ind w:left="419"/>
                          <w:rPr>
                            <w:rFonts w:ascii="Tahoma"/>
                            <w:sz w:val="17"/>
                          </w:rPr>
                        </w:pPr>
                        <w:r>
                          <w:rPr>
                            <w:rFonts w:ascii="Tahoma"/>
                            <w:w w:val="110"/>
                            <w:sz w:val="17"/>
                          </w:rPr>
                          <w:t>-</w:t>
                          <w:tab/>
                          <w:t>88</w:t>
                        </w:r>
                      </w:p>
                    </w:tc>
                  </w:tr>
                </w:tbl>
                <w:p>
                  <w:pPr>
                    <w:pStyle w:val="BodyText"/>
                  </w:pPr>
                </w:p>
              </w:txbxContent>
            </v:textbox>
            <w10:wrap type="none"/>
          </v:shape>
        </w:pict>
      </w:r>
      <w:r>
        <w:rPr>
          <w:rFonts w:ascii="Tahoma"/>
          <w:w w:val="105"/>
          <w:sz w:val="17"/>
        </w:rPr>
        <w:t>Issuance of common stock pursuant to Employee stock plans</w:t>
      </w:r>
    </w:p>
    <w:p>
      <w:pPr>
        <w:spacing w:line="324" w:lineRule="auto" w:before="0"/>
        <w:ind w:left="251" w:right="8261" w:firstLine="0"/>
        <w:jc w:val="both"/>
        <w:rPr>
          <w:rFonts w:ascii="Tahoma"/>
          <w:sz w:val="17"/>
        </w:rPr>
      </w:pPr>
      <w:r>
        <w:rPr>
          <w:rFonts w:ascii="Tahoma"/>
          <w:w w:val="105"/>
          <w:sz w:val="17"/>
        </w:rPr>
        <w:t>Tax benefit of options exercised Cash dividends, $.018 per share Comprehensive income (loss)</w:t>
      </w:r>
    </w:p>
    <w:p>
      <w:pPr>
        <w:spacing w:line="204" w:lineRule="exact" w:before="1"/>
        <w:ind w:left="361" w:right="0" w:firstLine="0"/>
        <w:jc w:val="left"/>
        <w:rPr>
          <w:rFonts w:ascii="Tahoma"/>
          <w:sz w:val="17"/>
        </w:rPr>
      </w:pPr>
      <w:r>
        <w:rPr>
          <w:rFonts w:ascii="Tahoma"/>
          <w:w w:val="105"/>
          <w:sz w:val="17"/>
        </w:rPr>
        <w:t>Net income</w:t>
      </w:r>
    </w:p>
    <w:p>
      <w:pPr>
        <w:spacing w:before="70"/>
        <w:ind w:left="365" w:right="0" w:firstLine="0"/>
        <w:jc w:val="left"/>
        <w:rPr>
          <w:rFonts w:ascii="Tahoma"/>
          <w:sz w:val="17"/>
        </w:rPr>
      </w:pPr>
      <w:r>
        <w:rPr>
          <w:rFonts w:ascii="Tahoma"/>
          <w:w w:val="105"/>
          <w:sz w:val="17"/>
        </w:rPr>
        <w:t>Unrealized gain on derivative instrumen</w:t>
      </w:r>
    </w:p>
    <w:p>
      <w:pPr>
        <w:tabs>
          <w:tab w:pos="3507" w:val="left" w:leader="none"/>
          <w:tab w:pos="4232" w:val="left" w:leader="none"/>
          <w:tab w:pos="5412" w:val="left" w:leader="none"/>
          <w:tab w:pos="6638" w:val="left" w:leader="none"/>
          <w:tab w:pos="8169" w:val="left" w:leader="none"/>
          <w:tab w:pos="9191" w:val="left" w:leader="none"/>
          <w:tab w:pos="9588" w:val="left" w:leader="none"/>
          <w:tab w:pos="10477" w:val="left" w:leader="none"/>
          <w:tab w:pos="10619" w:val="left" w:leader="none"/>
        </w:tabs>
        <w:spacing w:line="384" w:lineRule="auto" w:before="96"/>
        <w:ind w:left="254" w:right="135" w:firstLine="105"/>
        <w:jc w:val="left"/>
        <w:rPr>
          <w:rFonts w:ascii="Tahoma"/>
          <w:sz w:val="17"/>
        </w:rPr>
      </w:pPr>
      <w:r>
        <w:rPr>
          <w:rFonts w:ascii="Tahoma"/>
          <w:w w:val="105"/>
          <w:sz w:val="17"/>
        </w:rPr>
        <w:t>Other</w:t>
        <w:tab/>
        <w:tab/>
        <w:t>-</w:t>
        <w:tab/>
        <w:t>-</w:t>
        <w:tab/>
        <w:t>-</w:t>
        <w:tab/>
        <w:t>(2)</w:t>
        <w:tab/>
        <w:t>-</w:t>
        <w:tab/>
      </w:r>
      <w:r>
        <w:rPr>
          <w:rFonts w:ascii="Tahoma"/>
          <w:w w:val="105"/>
          <w:sz w:val="17"/>
          <w:u w:val="thick"/>
        </w:rPr>
        <w:t> </w:t>
        <w:tab/>
        <w:tab/>
        <w:t>(2) </w:t>
      </w:r>
      <w:r>
        <w:rPr>
          <w:rFonts w:ascii="Tahoma"/>
          <w:w w:val="105"/>
          <w:sz w:val="17"/>
        </w:rPr>
        <w:t>Total comprehensive</w:t>
      </w:r>
      <w:r>
        <w:rPr>
          <w:rFonts w:ascii="Tahoma"/>
          <w:spacing w:val="1"/>
          <w:w w:val="105"/>
          <w:sz w:val="17"/>
        </w:rPr>
        <w:t> </w:t>
      </w:r>
      <w:r>
        <w:rPr>
          <w:rFonts w:ascii="Tahoma"/>
          <w:w w:val="105"/>
          <w:sz w:val="17"/>
        </w:rPr>
        <w:t>income</w:t>
        <w:tab/>
      </w:r>
      <w:r>
        <w:rPr>
          <w:rFonts w:ascii="Tahoma"/>
          <w:w w:val="105"/>
          <w:sz w:val="17"/>
          <w:u w:val="thick"/>
        </w:rPr>
        <w:t> </w:t>
        <w:tab/>
        <w:tab/>
        <w:tab/>
        <w:tab/>
        <w:tab/>
        <w:tab/>
        <w:tab/>
        <w:t>327</w:t>
      </w:r>
      <w:r>
        <w:rPr>
          <w:rFonts w:ascii="Tahoma"/>
          <w:spacing w:val="12"/>
          <w:sz w:val="17"/>
          <w:u w:val="thick"/>
        </w:rPr>
        <w:t> </w:t>
      </w:r>
    </w:p>
    <w:p>
      <w:pPr>
        <w:tabs>
          <w:tab w:pos="4187" w:val="left" w:leader="none"/>
          <w:tab w:pos="5368" w:val="left" w:leader="none"/>
          <w:tab w:pos="6435" w:val="left" w:leader="none"/>
          <w:tab w:pos="8135" w:val="left" w:leader="none"/>
          <w:tab w:pos="9191" w:val="left" w:leader="none"/>
          <w:tab w:pos="10318" w:val="left" w:leader="none"/>
        </w:tabs>
        <w:spacing w:before="77"/>
        <w:ind w:left="143" w:right="0" w:firstLine="0"/>
        <w:jc w:val="left"/>
        <w:rPr>
          <w:rFonts w:ascii="Tahoma"/>
          <w:sz w:val="17"/>
        </w:rPr>
      </w:pPr>
      <w:r>
        <w:rPr>
          <w:rFonts w:ascii="Tahoma"/>
          <w:w w:val="110"/>
          <w:sz w:val="17"/>
        </w:rPr>
        <w:t>Balance at December</w:t>
      </w:r>
      <w:r>
        <w:rPr>
          <w:rFonts w:ascii="Tahoma"/>
          <w:spacing w:val="-43"/>
          <w:w w:val="110"/>
          <w:sz w:val="17"/>
        </w:rPr>
        <w:t> </w:t>
      </w:r>
      <w:r>
        <w:rPr>
          <w:rFonts w:ascii="Tahoma"/>
          <w:w w:val="110"/>
          <w:sz w:val="17"/>
        </w:rPr>
        <w:t>31,</w:t>
      </w:r>
      <w:r>
        <w:rPr>
          <w:rFonts w:ascii="Tahoma"/>
          <w:spacing w:val="-15"/>
          <w:w w:val="110"/>
          <w:sz w:val="17"/>
        </w:rPr>
        <w:t> </w:t>
      </w:r>
      <w:r>
        <w:rPr>
          <w:rFonts w:ascii="Tahoma"/>
          <w:w w:val="110"/>
          <w:sz w:val="17"/>
        </w:rPr>
        <w:t>2002</w:t>
        <w:tab/>
        <w:t>777</w:t>
        <w:tab/>
        <w:t>136</w:t>
        <w:tab/>
        <w:t>3,455</w:t>
        <w:tab/>
        <w:t>54</w:t>
        <w:tab/>
        <w:t>-</w:t>
        <w:tab/>
        <w:t>4,422</w:t>
      </w:r>
    </w:p>
    <w:p>
      <w:pPr>
        <w:pStyle w:val="BodyText"/>
        <w:spacing w:before="11"/>
        <w:rPr>
          <w:rFonts w:ascii="Tahoma"/>
          <w:sz w:val="17"/>
        </w:rPr>
      </w:pPr>
    </w:p>
    <w:p>
      <w:pPr>
        <w:spacing w:before="0"/>
        <w:ind w:left="293" w:right="0" w:firstLine="0"/>
        <w:jc w:val="both"/>
        <w:rPr>
          <w:rFonts w:ascii="Trebuchet MS"/>
          <w:b/>
          <w:sz w:val="17"/>
        </w:rPr>
      </w:pPr>
      <w:r>
        <w:rPr/>
        <w:pict>
          <v:shape style="position:absolute;margin-left:242.040833pt;margin-top:13.218741pt;width:254.4pt;height:96.45pt;mso-position-horizontal-relative:page;mso-position-vertical-relative:paragraph;z-index:6016"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771"/>
                    <w:gridCol w:w="1181"/>
                    <w:gridCol w:w="1391"/>
                    <w:gridCol w:w="1237"/>
                    <w:gridCol w:w="507"/>
                  </w:tblGrid>
                  <w:tr>
                    <w:trPr>
                      <w:trHeight w:val="261" w:hRule="exact"/>
                    </w:trPr>
                    <w:tc>
                      <w:tcPr>
                        <w:tcW w:w="771" w:type="dxa"/>
                      </w:tcPr>
                      <w:p>
                        <w:pPr>
                          <w:pStyle w:val="TableParagraph"/>
                          <w:spacing w:before="12"/>
                          <w:ind w:left="101"/>
                          <w:rPr>
                            <w:rFonts w:ascii="Trebuchet MS"/>
                            <w:b/>
                            <w:sz w:val="17"/>
                          </w:rPr>
                        </w:pPr>
                        <w:r>
                          <w:rPr>
                            <w:rFonts w:ascii="Trebuchet MS"/>
                            <w:b/>
                            <w:color w:val="0000D3"/>
                            <w:w w:val="110"/>
                            <w:sz w:val="17"/>
                          </w:rPr>
                          <w:t>12</w:t>
                        </w:r>
                      </w:p>
                    </w:tc>
                    <w:tc>
                      <w:tcPr>
                        <w:tcW w:w="1181" w:type="dxa"/>
                      </w:tcPr>
                      <w:p>
                        <w:pPr>
                          <w:pStyle w:val="TableParagraph"/>
                          <w:spacing w:before="12"/>
                          <w:ind w:right="440"/>
                          <w:jc w:val="right"/>
                          <w:rPr>
                            <w:rFonts w:ascii="Trebuchet MS"/>
                            <w:b/>
                            <w:sz w:val="17"/>
                          </w:rPr>
                        </w:pPr>
                        <w:r>
                          <w:rPr>
                            <w:rFonts w:ascii="Trebuchet MS"/>
                            <w:b/>
                            <w:color w:val="0000D3"/>
                            <w:w w:val="105"/>
                            <w:sz w:val="17"/>
                          </w:rPr>
                          <w:t>81</w:t>
                        </w:r>
                      </w:p>
                    </w:tc>
                    <w:tc>
                      <w:tcPr>
                        <w:tcW w:w="1391" w:type="dxa"/>
                      </w:tcPr>
                      <w:p>
                        <w:pPr>
                          <w:pStyle w:val="TableParagraph"/>
                          <w:spacing w:before="12"/>
                          <w:ind w:left="486"/>
                          <w:rPr>
                            <w:rFonts w:ascii="Trebuchet MS"/>
                            <w:b/>
                            <w:sz w:val="17"/>
                          </w:rPr>
                        </w:pPr>
                        <w:r>
                          <w:rPr>
                            <w:rFonts w:ascii="Trebuchet MS"/>
                            <w:b/>
                            <w:color w:val="0000D3"/>
                            <w:w w:val="98"/>
                            <w:sz w:val="17"/>
                          </w:rPr>
                          <w:t>-</w:t>
                        </w:r>
                      </w:p>
                    </w:tc>
                    <w:tc>
                      <w:tcPr>
                        <w:tcW w:w="1237" w:type="dxa"/>
                      </w:tcPr>
                      <w:p>
                        <w:pPr>
                          <w:pStyle w:val="TableParagraph"/>
                          <w:spacing w:before="12"/>
                          <w:ind w:left="528"/>
                          <w:rPr>
                            <w:rFonts w:ascii="Trebuchet MS"/>
                            <w:b/>
                            <w:sz w:val="17"/>
                          </w:rPr>
                        </w:pPr>
                        <w:r>
                          <w:rPr>
                            <w:rFonts w:ascii="Trebuchet MS"/>
                            <w:b/>
                            <w:color w:val="0000D3"/>
                            <w:w w:val="98"/>
                            <w:sz w:val="17"/>
                          </w:rPr>
                          <w:t>-</w:t>
                        </w:r>
                      </w:p>
                    </w:tc>
                    <w:tc>
                      <w:tcPr>
                        <w:tcW w:w="507" w:type="dxa"/>
                      </w:tcPr>
                      <w:p>
                        <w:pPr>
                          <w:pStyle w:val="TableParagraph"/>
                          <w:spacing w:before="12"/>
                          <w:ind w:right="32"/>
                          <w:jc w:val="right"/>
                          <w:rPr>
                            <w:rFonts w:ascii="Trebuchet MS"/>
                            <w:b/>
                            <w:sz w:val="17"/>
                          </w:rPr>
                        </w:pPr>
                        <w:r>
                          <w:rPr>
                            <w:rFonts w:ascii="Trebuchet MS"/>
                            <w:b/>
                            <w:color w:val="0000D3"/>
                            <w:w w:val="98"/>
                            <w:sz w:val="17"/>
                          </w:rPr>
                          <w:t>-</w:t>
                        </w:r>
                      </w:p>
                    </w:tc>
                  </w:tr>
                  <w:tr>
                    <w:trPr>
                      <w:trHeight w:val="276" w:hRule="exact"/>
                    </w:trPr>
                    <w:tc>
                      <w:tcPr>
                        <w:tcW w:w="771" w:type="dxa"/>
                      </w:tcPr>
                      <w:p>
                        <w:pPr>
                          <w:pStyle w:val="TableParagraph"/>
                          <w:spacing w:before="27"/>
                          <w:ind w:left="33"/>
                          <w:rPr>
                            <w:rFonts w:ascii="Trebuchet MS"/>
                            <w:b/>
                            <w:sz w:val="17"/>
                          </w:rPr>
                        </w:pPr>
                        <w:r>
                          <w:rPr>
                            <w:rFonts w:ascii="Trebuchet MS"/>
                            <w:b/>
                            <w:color w:val="0000D3"/>
                            <w:w w:val="98"/>
                            <w:sz w:val="17"/>
                          </w:rPr>
                          <w:t>-</w:t>
                        </w:r>
                      </w:p>
                    </w:tc>
                    <w:tc>
                      <w:tcPr>
                        <w:tcW w:w="1181" w:type="dxa"/>
                      </w:tcPr>
                      <w:p>
                        <w:pPr>
                          <w:pStyle w:val="TableParagraph"/>
                          <w:spacing w:before="27"/>
                          <w:ind w:right="440"/>
                          <w:jc w:val="right"/>
                          <w:rPr>
                            <w:rFonts w:ascii="Trebuchet MS"/>
                            <w:b/>
                            <w:sz w:val="17"/>
                          </w:rPr>
                        </w:pPr>
                        <w:r>
                          <w:rPr>
                            <w:rFonts w:ascii="Trebuchet MS"/>
                            <w:b/>
                            <w:color w:val="0000D3"/>
                            <w:w w:val="105"/>
                            <w:sz w:val="17"/>
                          </w:rPr>
                          <w:t>41</w:t>
                        </w:r>
                      </w:p>
                    </w:tc>
                    <w:tc>
                      <w:tcPr>
                        <w:tcW w:w="1391" w:type="dxa"/>
                      </w:tcPr>
                      <w:p>
                        <w:pPr>
                          <w:pStyle w:val="TableParagraph"/>
                          <w:spacing w:before="27"/>
                          <w:ind w:left="486"/>
                          <w:rPr>
                            <w:rFonts w:ascii="Trebuchet MS"/>
                            <w:b/>
                            <w:sz w:val="17"/>
                          </w:rPr>
                        </w:pPr>
                        <w:r>
                          <w:rPr>
                            <w:rFonts w:ascii="Trebuchet MS"/>
                            <w:b/>
                            <w:color w:val="0000D3"/>
                            <w:w w:val="98"/>
                            <w:sz w:val="17"/>
                          </w:rPr>
                          <w:t>-</w:t>
                        </w:r>
                      </w:p>
                    </w:tc>
                    <w:tc>
                      <w:tcPr>
                        <w:tcW w:w="1237" w:type="dxa"/>
                      </w:tcPr>
                      <w:p>
                        <w:pPr>
                          <w:pStyle w:val="TableParagraph"/>
                          <w:spacing w:before="27"/>
                          <w:ind w:left="528"/>
                          <w:rPr>
                            <w:rFonts w:ascii="Trebuchet MS"/>
                            <w:b/>
                            <w:sz w:val="17"/>
                          </w:rPr>
                        </w:pPr>
                        <w:r>
                          <w:rPr>
                            <w:rFonts w:ascii="Trebuchet MS"/>
                            <w:b/>
                            <w:color w:val="0000D3"/>
                            <w:w w:val="98"/>
                            <w:sz w:val="17"/>
                          </w:rPr>
                          <w:t>-</w:t>
                        </w:r>
                      </w:p>
                    </w:tc>
                    <w:tc>
                      <w:tcPr>
                        <w:tcW w:w="507" w:type="dxa"/>
                      </w:tcPr>
                      <w:p>
                        <w:pPr>
                          <w:pStyle w:val="TableParagraph"/>
                          <w:spacing w:before="27"/>
                          <w:ind w:right="30"/>
                          <w:jc w:val="right"/>
                          <w:rPr>
                            <w:rFonts w:ascii="Trebuchet MS"/>
                            <w:b/>
                            <w:sz w:val="17"/>
                          </w:rPr>
                        </w:pPr>
                        <w:r>
                          <w:rPr>
                            <w:rFonts w:ascii="Trebuchet MS"/>
                            <w:b/>
                            <w:color w:val="0000D3"/>
                            <w:w w:val="98"/>
                            <w:sz w:val="17"/>
                          </w:rPr>
                          <w:t>-</w:t>
                        </w:r>
                      </w:p>
                    </w:tc>
                  </w:tr>
                  <w:tr>
                    <w:trPr>
                      <w:trHeight w:val="414" w:hRule="exact"/>
                    </w:trPr>
                    <w:tc>
                      <w:tcPr>
                        <w:tcW w:w="771" w:type="dxa"/>
                      </w:tcPr>
                      <w:p>
                        <w:pPr>
                          <w:pStyle w:val="TableParagraph"/>
                          <w:spacing w:before="27"/>
                          <w:ind w:left="32"/>
                          <w:rPr>
                            <w:rFonts w:ascii="Trebuchet MS"/>
                            <w:b/>
                            <w:sz w:val="17"/>
                          </w:rPr>
                        </w:pPr>
                        <w:r>
                          <w:rPr>
                            <w:rFonts w:ascii="Trebuchet MS"/>
                            <w:b/>
                            <w:color w:val="0000D3"/>
                            <w:w w:val="98"/>
                            <w:sz w:val="17"/>
                          </w:rPr>
                          <w:t>-</w:t>
                        </w:r>
                      </w:p>
                    </w:tc>
                    <w:tc>
                      <w:tcPr>
                        <w:tcW w:w="1181" w:type="dxa"/>
                      </w:tcPr>
                      <w:p>
                        <w:pPr>
                          <w:pStyle w:val="TableParagraph"/>
                          <w:spacing w:before="27"/>
                          <w:ind w:left="442"/>
                          <w:rPr>
                            <w:rFonts w:ascii="Trebuchet MS"/>
                            <w:b/>
                            <w:sz w:val="17"/>
                          </w:rPr>
                        </w:pPr>
                        <w:r>
                          <w:rPr>
                            <w:rFonts w:ascii="Trebuchet MS"/>
                            <w:b/>
                            <w:color w:val="0000D3"/>
                            <w:w w:val="98"/>
                            <w:sz w:val="17"/>
                          </w:rPr>
                          <w:t>-</w:t>
                        </w:r>
                      </w:p>
                    </w:tc>
                    <w:tc>
                      <w:tcPr>
                        <w:tcW w:w="1391" w:type="dxa"/>
                      </w:tcPr>
                      <w:p>
                        <w:pPr>
                          <w:pStyle w:val="TableParagraph"/>
                          <w:spacing w:before="27"/>
                          <w:ind w:left="476"/>
                          <w:rPr>
                            <w:rFonts w:ascii="Trebuchet MS"/>
                            <w:b/>
                            <w:sz w:val="17"/>
                          </w:rPr>
                        </w:pPr>
                        <w:r>
                          <w:rPr>
                            <w:rFonts w:ascii="Trebuchet MS"/>
                            <w:b/>
                            <w:color w:val="0000D3"/>
                            <w:w w:val="115"/>
                            <w:sz w:val="17"/>
                          </w:rPr>
                          <w:t>(14)</w:t>
                        </w:r>
                      </w:p>
                    </w:tc>
                    <w:tc>
                      <w:tcPr>
                        <w:tcW w:w="1237" w:type="dxa"/>
                      </w:tcPr>
                      <w:p>
                        <w:pPr>
                          <w:pStyle w:val="TableParagraph"/>
                          <w:spacing w:before="27"/>
                          <w:ind w:left="528"/>
                          <w:rPr>
                            <w:rFonts w:ascii="Trebuchet MS"/>
                            <w:b/>
                            <w:sz w:val="17"/>
                          </w:rPr>
                        </w:pPr>
                        <w:r>
                          <w:rPr>
                            <w:rFonts w:ascii="Trebuchet MS"/>
                            <w:b/>
                            <w:color w:val="0000D3"/>
                            <w:w w:val="98"/>
                            <w:sz w:val="17"/>
                          </w:rPr>
                          <w:t>-</w:t>
                        </w:r>
                      </w:p>
                    </w:tc>
                    <w:tc>
                      <w:tcPr>
                        <w:tcW w:w="507" w:type="dxa"/>
                      </w:tcPr>
                      <w:p>
                        <w:pPr>
                          <w:pStyle w:val="TableParagraph"/>
                          <w:spacing w:before="27"/>
                          <w:ind w:right="30"/>
                          <w:jc w:val="right"/>
                          <w:rPr>
                            <w:rFonts w:ascii="Trebuchet MS"/>
                            <w:b/>
                            <w:sz w:val="17"/>
                          </w:rPr>
                        </w:pPr>
                        <w:r>
                          <w:rPr>
                            <w:rFonts w:ascii="Trebuchet MS"/>
                            <w:b/>
                            <w:color w:val="0000D3"/>
                            <w:w w:val="98"/>
                            <w:sz w:val="17"/>
                          </w:rPr>
                          <w:t>-</w:t>
                        </w:r>
                      </w:p>
                    </w:tc>
                  </w:tr>
                  <w:tr>
                    <w:trPr>
                      <w:trHeight w:val="414" w:hRule="exact"/>
                    </w:trPr>
                    <w:tc>
                      <w:tcPr>
                        <w:tcW w:w="771" w:type="dxa"/>
                      </w:tcPr>
                      <w:p>
                        <w:pPr>
                          <w:pStyle w:val="TableParagraph"/>
                          <w:spacing w:before="165"/>
                          <w:ind w:left="32"/>
                          <w:rPr>
                            <w:rFonts w:ascii="Trebuchet MS"/>
                            <w:b/>
                            <w:sz w:val="17"/>
                          </w:rPr>
                        </w:pPr>
                        <w:r>
                          <w:rPr>
                            <w:rFonts w:ascii="Trebuchet MS"/>
                            <w:b/>
                            <w:color w:val="0000D3"/>
                            <w:w w:val="98"/>
                            <w:sz w:val="17"/>
                          </w:rPr>
                          <w:t>-</w:t>
                        </w:r>
                      </w:p>
                    </w:tc>
                    <w:tc>
                      <w:tcPr>
                        <w:tcW w:w="1181" w:type="dxa"/>
                      </w:tcPr>
                      <w:p>
                        <w:pPr>
                          <w:pStyle w:val="TableParagraph"/>
                          <w:spacing w:before="165"/>
                          <w:ind w:left="442"/>
                          <w:rPr>
                            <w:rFonts w:ascii="Trebuchet MS"/>
                            <w:b/>
                            <w:sz w:val="17"/>
                          </w:rPr>
                        </w:pPr>
                        <w:r>
                          <w:rPr>
                            <w:rFonts w:ascii="Trebuchet MS"/>
                            <w:b/>
                            <w:color w:val="0000D3"/>
                            <w:w w:val="98"/>
                            <w:sz w:val="17"/>
                          </w:rPr>
                          <w:t>-</w:t>
                        </w:r>
                      </w:p>
                    </w:tc>
                    <w:tc>
                      <w:tcPr>
                        <w:tcW w:w="1391" w:type="dxa"/>
                      </w:tcPr>
                      <w:p>
                        <w:pPr>
                          <w:pStyle w:val="TableParagraph"/>
                          <w:spacing w:before="165"/>
                          <w:ind w:left="442"/>
                          <w:rPr>
                            <w:rFonts w:ascii="Trebuchet MS"/>
                            <w:b/>
                            <w:sz w:val="17"/>
                          </w:rPr>
                        </w:pPr>
                        <w:r>
                          <w:rPr>
                            <w:rFonts w:ascii="Trebuchet MS"/>
                            <w:b/>
                            <w:color w:val="0000D3"/>
                            <w:w w:val="110"/>
                            <w:sz w:val="17"/>
                          </w:rPr>
                          <w:t>442</w:t>
                        </w:r>
                      </w:p>
                    </w:tc>
                    <w:tc>
                      <w:tcPr>
                        <w:tcW w:w="1237" w:type="dxa"/>
                      </w:tcPr>
                      <w:p>
                        <w:pPr>
                          <w:pStyle w:val="TableParagraph"/>
                          <w:spacing w:before="165"/>
                          <w:ind w:left="528"/>
                          <w:rPr>
                            <w:rFonts w:ascii="Trebuchet MS"/>
                            <w:b/>
                            <w:sz w:val="17"/>
                          </w:rPr>
                        </w:pPr>
                        <w:r>
                          <w:rPr>
                            <w:rFonts w:ascii="Trebuchet MS"/>
                            <w:b/>
                            <w:color w:val="0000D3"/>
                            <w:w w:val="98"/>
                            <w:sz w:val="17"/>
                          </w:rPr>
                          <w:t>-</w:t>
                        </w:r>
                      </w:p>
                    </w:tc>
                    <w:tc>
                      <w:tcPr>
                        <w:tcW w:w="507" w:type="dxa"/>
                      </w:tcPr>
                      <w:p>
                        <w:pPr>
                          <w:pStyle w:val="TableParagraph"/>
                          <w:spacing w:before="165"/>
                          <w:ind w:right="30"/>
                          <w:jc w:val="right"/>
                          <w:rPr>
                            <w:rFonts w:ascii="Trebuchet MS"/>
                            <w:b/>
                            <w:sz w:val="17"/>
                          </w:rPr>
                        </w:pPr>
                        <w:r>
                          <w:rPr>
                            <w:rFonts w:ascii="Trebuchet MS"/>
                            <w:b/>
                            <w:color w:val="0000D3"/>
                            <w:w w:val="98"/>
                            <w:sz w:val="17"/>
                          </w:rPr>
                          <w:t>-</w:t>
                        </w:r>
                      </w:p>
                    </w:tc>
                  </w:tr>
                  <w:tr>
                    <w:trPr>
                      <w:trHeight w:val="289" w:hRule="exact"/>
                    </w:trPr>
                    <w:tc>
                      <w:tcPr>
                        <w:tcW w:w="771" w:type="dxa"/>
                      </w:tcPr>
                      <w:p>
                        <w:pPr>
                          <w:pStyle w:val="TableParagraph"/>
                          <w:spacing w:before="27"/>
                          <w:ind w:left="32"/>
                          <w:rPr>
                            <w:rFonts w:ascii="Trebuchet MS"/>
                            <w:b/>
                            <w:sz w:val="17"/>
                          </w:rPr>
                        </w:pPr>
                        <w:r>
                          <w:rPr>
                            <w:rFonts w:ascii="Trebuchet MS"/>
                            <w:b/>
                            <w:color w:val="0000D3"/>
                            <w:w w:val="98"/>
                            <w:sz w:val="17"/>
                          </w:rPr>
                          <w:t>-</w:t>
                        </w:r>
                      </w:p>
                    </w:tc>
                    <w:tc>
                      <w:tcPr>
                        <w:tcW w:w="1181" w:type="dxa"/>
                      </w:tcPr>
                      <w:p>
                        <w:pPr>
                          <w:pStyle w:val="TableParagraph"/>
                          <w:spacing w:before="27"/>
                          <w:ind w:left="442"/>
                          <w:rPr>
                            <w:rFonts w:ascii="Trebuchet MS"/>
                            <w:b/>
                            <w:sz w:val="17"/>
                          </w:rPr>
                        </w:pPr>
                        <w:r>
                          <w:rPr>
                            <w:rFonts w:ascii="Trebuchet MS"/>
                            <w:b/>
                            <w:color w:val="0000D3"/>
                            <w:w w:val="98"/>
                            <w:sz w:val="17"/>
                          </w:rPr>
                          <w:t>-</w:t>
                        </w:r>
                      </w:p>
                    </w:tc>
                    <w:tc>
                      <w:tcPr>
                        <w:tcW w:w="1391" w:type="dxa"/>
                      </w:tcPr>
                      <w:p>
                        <w:pPr>
                          <w:pStyle w:val="TableParagraph"/>
                          <w:spacing w:before="27"/>
                          <w:ind w:left="486"/>
                          <w:rPr>
                            <w:rFonts w:ascii="Trebuchet MS"/>
                            <w:b/>
                            <w:sz w:val="17"/>
                          </w:rPr>
                        </w:pPr>
                        <w:r>
                          <w:rPr>
                            <w:rFonts w:ascii="Trebuchet MS"/>
                            <w:b/>
                            <w:color w:val="0000D3"/>
                            <w:w w:val="98"/>
                            <w:sz w:val="17"/>
                          </w:rPr>
                          <w:t>-</w:t>
                        </w:r>
                      </w:p>
                    </w:tc>
                    <w:tc>
                      <w:tcPr>
                        <w:tcW w:w="1237" w:type="dxa"/>
                      </w:tcPr>
                      <w:p>
                        <w:pPr>
                          <w:pStyle w:val="TableParagraph"/>
                          <w:spacing w:before="27"/>
                          <w:ind w:right="410"/>
                          <w:jc w:val="right"/>
                          <w:rPr>
                            <w:rFonts w:ascii="Trebuchet MS"/>
                            <w:b/>
                            <w:sz w:val="17"/>
                          </w:rPr>
                        </w:pPr>
                        <w:r>
                          <w:rPr>
                            <w:rFonts w:ascii="Trebuchet MS"/>
                            <w:b/>
                            <w:color w:val="0000D3"/>
                            <w:w w:val="105"/>
                            <w:sz w:val="17"/>
                          </w:rPr>
                          <w:t>66</w:t>
                        </w:r>
                      </w:p>
                    </w:tc>
                    <w:tc>
                      <w:tcPr>
                        <w:tcW w:w="507" w:type="dxa"/>
                      </w:tcPr>
                      <w:p>
                        <w:pPr>
                          <w:pStyle w:val="TableParagraph"/>
                          <w:spacing w:before="27"/>
                          <w:ind w:right="30"/>
                          <w:jc w:val="right"/>
                          <w:rPr>
                            <w:rFonts w:ascii="Trebuchet MS"/>
                            <w:b/>
                            <w:sz w:val="17"/>
                          </w:rPr>
                        </w:pPr>
                        <w:r>
                          <w:rPr>
                            <w:rFonts w:ascii="Trebuchet MS"/>
                            <w:b/>
                            <w:color w:val="0000D3"/>
                            <w:w w:val="98"/>
                            <w:sz w:val="17"/>
                          </w:rPr>
                          <w:t>-</w:t>
                        </w:r>
                      </w:p>
                    </w:tc>
                  </w:tr>
                  <w:tr>
                    <w:trPr>
                      <w:trHeight w:val="274" w:hRule="exact"/>
                    </w:trPr>
                    <w:tc>
                      <w:tcPr>
                        <w:tcW w:w="771" w:type="dxa"/>
                      </w:tcPr>
                      <w:p>
                        <w:pPr>
                          <w:pStyle w:val="TableParagraph"/>
                          <w:spacing w:before="40"/>
                          <w:ind w:left="33"/>
                          <w:rPr>
                            <w:rFonts w:ascii="Trebuchet MS"/>
                            <w:b/>
                            <w:sz w:val="17"/>
                          </w:rPr>
                        </w:pPr>
                        <w:r>
                          <w:rPr>
                            <w:rFonts w:ascii="Trebuchet MS"/>
                            <w:b/>
                            <w:color w:val="0000D3"/>
                            <w:w w:val="98"/>
                            <w:sz w:val="17"/>
                          </w:rPr>
                          <w:t>-</w:t>
                        </w:r>
                      </w:p>
                    </w:tc>
                    <w:tc>
                      <w:tcPr>
                        <w:tcW w:w="1181" w:type="dxa"/>
                      </w:tcPr>
                      <w:p>
                        <w:pPr>
                          <w:pStyle w:val="TableParagraph"/>
                          <w:spacing w:before="40"/>
                          <w:ind w:left="442"/>
                          <w:rPr>
                            <w:rFonts w:ascii="Trebuchet MS"/>
                            <w:b/>
                            <w:sz w:val="17"/>
                          </w:rPr>
                        </w:pPr>
                        <w:r>
                          <w:rPr>
                            <w:rFonts w:ascii="Trebuchet MS"/>
                            <w:b/>
                            <w:color w:val="0000D3"/>
                            <w:w w:val="98"/>
                            <w:sz w:val="17"/>
                          </w:rPr>
                          <w:t>-</w:t>
                        </w:r>
                      </w:p>
                    </w:tc>
                    <w:tc>
                      <w:tcPr>
                        <w:tcW w:w="1391" w:type="dxa"/>
                      </w:tcPr>
                      <w:p>
                        <w:pPr>
                          <w:pStyle w:val="TableParagraph"/>
                          <w:spacing w:before="40"/>
                          <w:ind w:left="486"/>
                          <w:rPr>
                            <w:rFonts w:ascii="Trebuchet MS"/>
                            <w:b/>
                            <w:sz w:val="17"/>
                          </w:rPr>
                        </w:pPr>
                        <w:r>
                          <w:rPr>
                            <w:rFonts w:ascii="Trebuchet MS"/>
                            <w:b/>
                            <w:color w:val="0000D3"/>
                            <w:w w:val="98"/>
                            <w:sz w:val="17"/>
                          </w:rPr>
                          <w:t>-</w:t>
                        </w:r>
                      </w:p>
                    </w:tc>
                    <w:tc>
                      <w:tcPr>
                        <w:tcW w:w="1237" w:type="dxa"/>
                      </w:tcPr>
                      <w:p>
                        <w:pPr>
                          <w:pStyle w:val="TableParagraph"/>
                          <w:spacing w:before="40"/>
                          <w:ind w:right="415"/>
                          <w:jc w:val="right"/>
                          <w:rPr>
                            <w:rFonts w:ascii="Trebuchet MS"/>
                            <w:b/>
                            <w:sz w:val="17"/>
                          </w:rPr>
                        </w:pPr>
                        <w:r>
                          <w:rPr>
                            <w:rFonts w:ascii="Trebuchet MS"/>
                            <w:b/>
                            <w:color w:val="0000D3"/>
                            <w:w w:val="109"/>
                            <w:sz w:val="17"/>
                          </w:rPr>
                          <w:t>2</w:t>
                        </w:r>
                      </w:p>
                    </w:tc>
                    <w:tc>
                      <w:tcPr>
                        <w:tcW w:w="507" w:type="dxa"/>
                      </w:tcPr>
                      <w:p>
                        <w:pPr>
                          <w:pStyle w:val="TableParagraph"/>
                          <w:spacing w:before="40"/>
                          <w:ind w:right="32"/>
                          <w:jc w:val="right"/>
                          <w:rPr>
                            <w:rFonts w:ascii="Trebuchet MS"/>
                            <w:b/>
                            <w:sz w:val="17"/>
                          </w:rPr>
                        </w:pPr>
                        <w:r>
                          <w:rPr>
                            <w:rFonts w:ascii="Trebuchet MS"/>
                            <w:b/>
                            <w:color w:val="0000D3"/>
                            <w:w w:val="98"/>
                            <w:sz w:val="17"/>
                          </w:rPr>
                          <w:t>-</w:t>
                        </w:r>
                      </w:p>
                    </w:tc>
                  </w:tr>
                </w:tbl>
                <w:p>
                  <w:pPr>
                    <w:pStyle w:val="BodyText"/>
                  </w:pPr>
                </w:p>
              </w:txbxContent>
            </v:textbox>
            <w10:wrap type="none"/>
          </v:shape>
        </w:pict>
      </w:r>
      <w:r>
        <w:rPr>
          <w:rFonts w:ascii="Trebuchet MS"/>
          <w:b/>
          <w:color w:val="0000D3"/>
          <w:sz w:val="17"/>
        </w:rPr>
        <w:t>Issuance  of  common  stock pursuant</w:t>
      </w:r>
    </w:p>
    <w:p>
      <w:pPr>
        <w:spacing w:after="0"/>
        <w:jc w:val="both"/>
        <w:rPr>
          <w:rFonts w:ascii="Trebuchet MS"/>
          <w:sz w:val="17"/>
        </w:rPr>
        <w:sectPr>
          <w:pgSz w:w="12240" w:h="15840"/>
          <w:pgMar w:top="1220" w:bottom="280" w:left="660" w:right="520"/>
        </w:sectPr>
      </w:pPr>
    </w:p>
    <w:p>
      <w:pPr>
        <w:spacing w:before="78"/>
        <w:ind w:left="426" w:right="0" w:firstLine="0"/>
        <w:jc w:val="left"/>
        <w:rPr>
          <w:rFonts w:ascii="Trebuchet MS"/>
          <w:b/>
          <w:sz w:val="17"/>
        </w:rPr>
      </w:pPr>
      <w:r>
        <w:rPr>
          <w:rFonts w:ascii="Trebuchet MS"/>
          <w:b/>
          <w:color w:val="0000D3"/>
          <w:sz w:val="17"/>
        </w:rPr>
        <w:t>to Employee stock  plans</w:t>
      </w:r>
    </w:p>
    <w:p>
      <w:pPr>
        <w:spacing w:line="336" w:lineRule="auto" w:before="78"/>
        <w:ind w:left="291" w:right="531" w:firstLine="0"/>
        <w:jc w:val="both"/>
        <w:rPr>
          <w:rFonts w:ascii="Trebuchet MS"/>
          <w:b/>
          <w:sz w:val="17"/>
        </w:rPr>
      </w:pPr>
      <w:r>
        <w:rPr>
          <w:rFonts w:ascii="Trebuchet MS"/>
          <w:b/>
          <w:color w:val="0000D3"/>
          <w:sz w:val="17"/>
        </w:rPr>
        <w:t>Tax benefit of options exercised Cash dividends, $.018 per share Comprehensive  income (loss)</w:t>
      </w:r>
    </w:p>
    <w:p>
      <w:pPr>
        <w:spacing w:before="0"/>
        <w:ind w:left="410" w:right="0" w:firstLine="0"/>
        <w:jc w:val="left"/>
        <w:rPr>
          <w:rFonts w:ascii="Trebuchet MS"/>
          <w:b/>
          <w:sz w:val="17"/>
        </w:rPr>
      </w:pPr>
      <w:r>
        <w:rPr>
          <w:rFonts w:ascii="Trebuchet MS"/>
          <w:b/>
          <w:color w:val="0000D3"/>
          <w:sz w:val="17"/>
        </w:rPr>
        <w:t>Net income</w:t>
      </w:r>
    </w:p>
    <w:p>
      <w:pPr>
        <w:spacing w:line="360" w:lineRule="auto" w:before="68"/>
        <w:ind w:left="402" w:right="-5" w:firstLine="41"/>
        <w:jc w:val="left"/>
        <w:rPr>
          <w:rFonts w:ascii="Trebuchet MS"/>
          <w:b/>
          <w:sz w:val="17"/>
        </w:rPr>
      </w:pPr>
      <w:r>
        <w:rPr>
          <w:rFonts w:ascii="Trebuchet MS"/>
          <w:b/>
          <w:color w:val="0000D3"/>
          <w:spacing w:val="1"/>
          <w:w w:val="94"/>
          <w:sz w:val="17"/>
        </w:rPr>
        <w:t>U</w:t>
      </w:r>
      <w:r>
        <w:rPr>
          <w:rFonts w:ascii="Trebuchet MS"/>
          <w:b/>
          <w:color w:val="0000D3"/>
          <w:spacing w:val="1"/>
          <w:w w:val="94"/>
          <w:sz w:val="17"/>
        </w:rPr>
        <w:t>n</w:t>
      </w:r>
      <w:r>
        <w:rPr>
          <w:rFonts w:ascii="Trebuchet MS"/>
          <w:b/>
          <w:color w:val="0000D3"/>
          <w:spacing w:val="2"/>
          <w:w w:val="86"/>
          <w:sz w:val="17"/>
        </w:rPr>
        <w:t>r</w:t>
      </w:r>
      <w:r>
        <w:rPr>
          <w:rFonts w:ascii="Trebuchet MS"/>
          <w:b/>
          <w:color w:val="0000D3"/>
          <w:spacing w:val="1"/>
          <w:w w:val="96"/>
          <w:sz w:val="17"/>
        </w:rPr>
        <w:t>e</w:t>
      </w:r>
      <w:r>
        <w:rPr>
          <w:rFonts w:ascii="Trebuchet MS"/>
          <w:b/>
          <w:color w:val="0000D3"/>
          <w:spacing w:val="2"/>
          <w:w w:val="99"/>
          <w:sz w:val="17"/>
        </w:rPr>
        <w:t>a</w:t>
      </w:r>
      <w:r>
        <w:rPr>
          <w:rFonts w:ascii="Trebuchet MS"/>
          <w:b/>
          <w:color w:val="0000D3"/>
          <w:spacing w:val="1"/>
          <w:w w:val="76"/>
          <w:sz w:val="17"/>
        </w:rPr>
        <w:t>l</w:t>
      </w:r>
      <w:r>
        <w:rPr>
          <w:rFonts w:ascii="Trebuchet MS"/>
          <w:b/>
          <w:color w:val="0000D3"/>
          <w:spacing w:val="1"/>
          <w:w w:val="75"/>
          <w:sz w:val="17"/>
        </w:rPr>
        <w:t>i</w:t>
      </w:r>
      <w:r>
        <w:rPr>
          <w:rFonts w:ascii="Trebuchet MS"/>
          <w:b/>
          <w:color w:val="0000D3"/>
          <w:spacing w:val="2"/>
          <w:w w:val="100"/>
          <w:sz w:val="17"/>
        </w:rPr>
        <w:t>z</w:t>
      </w:r>
      <w:r>
        <w:rPr>
          <w:rFonts w:ascii="Trebuchet MS"/>
          <w:b/>
          <w:color w:val="0000D3"/>
          <w:spacing w:val="1"/>
          <w:w w:val="96"/>
          <w:sz w:val="17"/>
        </w:rPr>
        <w:t>e</w:t>
      </w:r>
      <w:r>
        <w:rPr>
          <w:rFonts w:ascii="Trebuchet MS"/>
          <w:b/>
          <w:color w:val="0000D3"/>
          <w:w w:val="99"/>
          <w:sz w:val="17"/>
        </w:rPr>
        <w:t>d</w:t>
      </w:r>
      <w:r>
        <w:rPr>
          <w:rFonts w:ascii="Trebuchet MS"/>
          <w:b/>
          <w:color w:val="0000D3"/>
          <w:sz w:val="17"/>
        </w:rPr>
        <w:t> </w:t>
      </w:r>
      <w:r>
        <w:rPr>
          <w:rFonts w:ascii="Trebuchet MS"/>
          <w:b/>
          <w:color w:val="0000D3"/>
          <w:spacing w:val="1"/>
          <w:w w:val="116"/>
          <w:sz w:val="17"/>
        </w:rPr>
        <w:t>g</w:t>
      </w:r>
      <w:r>
        <w:rPr>
          <w:rFonts w:ascii="Trebuchet MS"/>
          <w:b/>
          <w:color w:val="0000D3"/>
          <w:spacing w:val="2"/>
          <w:w w:val="99"/>
          <w:sz w:val="17"/>
        </w:rPr>
        <w:t>a</w:t>
      </w:r>
      <w:r>
        <w:rPr>
          <w:rFonts w:ascii="Trebuchet MS"/>
          <w:b/>
          <w:color w:val="0000D3"/>
          <w:spacing w:val="1"/>
          <w:w w:val="75"/>
          <w:sz w:val="17"/>
        </w:rPr>
        <w:t>i</w:t>
      </w:r>
      <w:r>
        <w:rPr>
          <w:rFonts w:ascii="Trebuchet MS"/>
          <w:b/>
          <w:color w:val="0000D3"/>
          <w:w w:val="94"/>
          <w:sz w:val="17"/>
        </w:rPr>
        <w:t>n</w:t>
      </w:r>
      <w:r>
        <w:rPr>
          <w:rFonts w:ascii="Trebuchet MS"/>
          <w:b/>
          <w:color w:val="0000D3"/>
          <w:sz w:val="17"/>
        </w:rPr>
        <w:t>  </w:t>
      </w:r>
      <w:r>
        <w:rPr>
          <w:rFonts w:ascii="Trebuchet MS"/>
          <w:b/>
          <w:color w:val="0000D3"/>
          <w:spacing w:val="1"/>
          <w:w w:val="102"/>
          <w:sz w:val="17"/>
        </w:rPr>
        <w:t>o</w:t>
      </w:r>
      <w:r>
        <w:rPr>
          <w:rFonts w:ascii="Trebuchet MS"/>
          <w:b/>
          <w:color w:val="0000D3"/>
          <w:w w:val="94"/>
          <w:sz w:val="17"/>
        </w:rPr>
        <w:t>n</w:t>
      </w:r>
      <w:r>
        <w:rPr>
          <w:rFonts w:ascii="Trebuchet MS"/>
          <w:b/>
          <w:color w:val="0000D3"/>
          <w:sz w:val="17"/>
        </w:rPr>
        <w:t>  </w:t>
      </w:r>
      <w:r>
        <w:rPr>
          <w:rFonts w:ascii="Trebuchet MS"/>
          <w:b/>
          <w:color w:val="0000D3"/>
          <w:spacing w:val="2"/>
          <w:w w:val="99"/>
          <w:sz w:val="17"/>
        </w:rPr>
        <w:t>d</w:t>
      </w:r>
      <w:r>
        <w:rPr>
          <w:rFonts w:ascii="Trebuchet MS"/>
          <w:b/>
          <w:color w:val="0000D3"/>
          <w:spacing w:val="1"/>
          <w:w w:val="96"/>
          <w:sz w:val="17"/>
        </w:rPr>
        <w:t>e</w:t>
      </w:r>
      <w:r>
        <w:rPr>
          <w:rFonts w:ascii="Trebuchet MS"/>
          <w:b/>
          <w:color w:val="0000D3"/>
          <w:spacing w:val="2"/>
          <w:w w:val="86"/>
          <w:sz w:val="17"/>
        </w:rPr>
        <w:t>r</w:t>
      </w:r>
      <w:r>
        <w:rPr>
          <w:rFonts w:ascii="Trebuchet MS"/>
          <w:b/>
          <w:color w:val="0000D3"/>
          <w:spacing w:val="1"/>
          <w:w w:val="75"/>
          <w:sz w:val="17"/>
        </w:rPr>
        <w:t>i</w:t>
      </w:r>
      <w:r>
        <w:rPr>
          <w:rFonts w:ascii="Trebuchet MS"/>
          <w:b/>
          <w:color w:val="0000D3"/>
          <w:spacing w:val="2"/>
          <w:w w:val="102"/>
          <w:sz w:val="17"/>
        </w:rPr>
        <w:t>v</w:t>
      </w:r>
      <w:r>
        <w:rPr>
          <w:rFonts w:ascii="Trebuchet MS"/>
          <w:b/>
          <w:color w:val="0000D3"/>
          <w:spacing w:val="2"/>
          <w:w w:val="99"/>
          <w:sz w:val="17"/>
        </w:rPr>
        <w:t>a</w:t>
      </w:r>
      <w:r>
        <w:rPr>
          <w:rFonts w:ascii="Trebuchet MS"/>
          <w:b/>
          <w:color w:val="0000D3"/>
          <w:spacing w:val="2"/>
          <w:w w:val="107"/>
          <w:sz w:val="17"/>
        </w:rPr>
        <w:t>t</w:t>
      </w:r>
      <w:r>
        <w:rPr>
          <w:rFonts w:ascii="Trebuchet MS"/>
          <w:b/>
          <w:color w:val="0000D3"/>
          <w:spacing w:val="1"/>
          <w:w w:val="75"/>
          <w:sz w:val="17"/>
        </w:rPr>
        <w:t>i</w:t>
      </w:r>
      <w:r>
        <w:rPr>
          <w:rFonts w:ascii="Trebuchet MS"/>
          <w:b/>
          <w:color w:val="0000D3"/>
          <w:spacing w:val="2"/>
          <w:w w:val="102"/>
          <w:sz w:val="17"/>
        </w:rPr>
        <w:t>v</w:t>
      </w:r>
      <w:r>
        <w:rPr>
          <w:rFonts w:ascii="Trebuchet MS"/>
          <w:b/>
          <w:color w:val="0000D3"/>
          <w:w w:val="96"/>
          <w:sz w:val="17"/>
        </w:rPr>
        <w:t>e</w:t>
      </w:r>
      <w:r>
        <w:rPr>
          <w:rFonts w:ascii="Trebuchet MS"/>
          <w:b/>
          <w:color w:val="0000D3"/>
          <w:sz w:val="17"/>
        </w:rPr>
        <w:t> </w:t>
      </w:r>
      <w:r>
        <w:rPr>
          <w:rFonts w:ascii="Trebuchet MS"/>
          <w:b/>
          <w:color w:val="0000D3"/>
          <w:spacing w:val="1"/>
          <w:w w:val="75"/>
          <w:sz w:val="17"/>
        </w:rPr>
        <w:t>i</w:t>
      </w:r>
      <w:r>
        <w:rPr>
          <w:rFonts w:ascii="Trebuchet MS"/>
          <w:b/>
          <w:color w:val="0000D3"/>
          <w:spacing w:val="1"/>
          <w:w w:val="94"/>
          <w:sz w:val="17"/>
        </w:rPr>
        <w:t>n</w:t>
      </w:r>
      <w:r>
        <w:rPr>
          <w:rFonts w:ascii="Trebuchet MS"/>
          <w:b/>
          <w:color w:val="0000D3"/>
          <w:spacing w:val="2"/>
          <w:w w:val="113"/>
          <w:sz w:val="17"/>
        </w:rPr>
        <w:t>s</w:t>
      </w:r>
      <w:r>
        <w:rPr>
          <w:rFonts w:ascii="Trebuchet MS"/>
          <w:b/>
          <w:color w:val="0000D3"/>
          <w:spacing w:val="2"/>
          <w:w w:val="107"/>
          <w:sz w:val="17"/>
        </w:rPr>
        <w:t>t</w:t>
      </w:r>
      <w:r>
        <w:rPr>
          <w:rFonts w:ascii="Trebuchet MS"/>
          <w:b/>
          <w:color w:val="0000D3"/>
          <w:spacing w:val="2"/>
          <w:w w:val="86"/>
          <w:sz w:val="17"/>
        </w:rPr>
        <w:t>r</w:t>
      </w:r>
      <w:r>
        <w:rPr>
          <w:rFonts w:ascii="Trebuchet MS"/>
          <w:b/>
          <w:color w:val="0000D3"/>
          <w:spacing w:val="1"/>
          <w:w w:val="94"/>
          <w:sz w:val="17"/>
        </w:rPr>
        <w:t>u</w:t>
      </w:r>
      <w:r>
        <w:rPr>
          <w:rFonts w:ascii="Tahoma"/>
          <w:color w:val="0000D3"/>
          <w:spacing w:val="-146"/>
          <w:w w:val="102"/>
          <w:sz w:val="17"/>
        </w:rPr>
        <w:t>m</w:t>
      </w:r>
      <w:r>
        <w:rPr>
          <w:rFonts w:ascii="Tahoma"/>
          <w:color w:val="0000D3"/>
          <w:spacing w:val="2"/>
          <w:w w:val="102"/>
          <w:sz w:val="17"/>
        </w:rPr>
        <w:t>m </w:t>
      </w:r>
      <w:r>
        <w:rPr>
          <w:rFonts w:ascii="Trebuchet MS"/>
          <w:b/>
          <w:color w:val="0000D3"/>
          <w:sz w:val="17"/>
        </w:rPr>
        <w:t>Other</w:t>
      </w:r>
    </w:p>
    <w:p>
      <w:pPr>
        <w:spacing w:before="78"/>
        <w:ind w:left="0" w:right="258" w:firstLine="0"/>
        <w:jc w:val="right"/>
        <w:rPr>
          <w:rFonts w:ascii="Trebuchet MS"/>
          <w:b/>
          <w:sz w:val="17"/>
        </w:rPr>
      </w:pPr>
      <w:r>
        <w:rPr/>
        <w:br w:type="column"/>
      </w:r>
      <w:r>
        <w:rPr>
          <w:rFonts w:ascii="Trebuchet MS"/>
          <w:b/>
          <w:color w:val="0000D3"/>
          <w:w w:val="105"/>
          <w:sz w:val="17"/>
        </w:rPr>
        <w:t>93</w:t>
      </w:r>
    </w:p>
    <w:p>
      <w:pPr>
        <w:spacing w:before="78"/>
        <w:ind w:left="0" w:right="258" w:firstLine="0"/>
        <w:jc w:val="right"/>
        <w:rPr>
          <w:rFonts w:ascii="Trebuchet MS"/>
          <w:b/>
          <w:sz w:val="17"/>
        </w:rPr>
      </w:pPr>
      <w:r>
        <w:rPr>
          <w:rFonts w:ascii="Trebuchet MS"/>
          <w:b/>
          <w:color w:val="0000D3"/>
          <w:w w:val="105"/>
          <w:sz w:val="17"/>
        </w:rPr>
        <w:t>41</w:t>
      </w:r>
    </w:p>
    <w:p>
      <w:pPr>
        <w:spacing w:before="78"/>
        <w:ind w:left="0" w:right="179" w:firstLine="0"/>
        <w:jc w:val="right"/>
        <w:rPr>
          <w:rFonts w:ascii="Trebuchet MS"/>
          <w:b/>
          <w:sz w:val="17"/>
        </w:rPr>
      </w:pPr>
      <w:r>
        <w:rPr>
          <w:rFonts w:ascii="Trebuchet MS"/>
          <w:b/>
          <w:color w:val="0000D3"/>
          <w:w w:val="110"/>
          <w:sz w:val="17"/>
        </w:rPr>
        <w:t>(14)</w:t>
      </w:r>
    </w:p>
    <w:p>
      <w:pPr>
        <w:pStyle w:val="BodyText"/>
        <w:spacing w:before="6"/>
        <w:rPr>
          <w:rFonts w:ascii="Trebuchet MS"/>
          <w:b/>
          <w:sz w:val="30"/>
        </w:rPr>
      </w:pPr>
    </w:p>
    <w:p>
      <w:pPr>
        <w:spacing w:before="0"/>
        <w:ind w:left="0" w:right="258" w:firstLine="0"/>
        <w:jc w:val="right"/>
        <w:rPr>
          <w:rFonts w:ascii="Trebuchet MS"/>
          <w:b/>
          <w:sz w:val="17"/>
        </w:rPr>
      </w:pPr>
      <w:r>
        <w:rPr>
          <w:rFonts w:ascii="Trebuchet MS"/>
          <w:b/>
          <w:color w:val="0000D3"/>
          <w:w w:val="105"/>
          <w:sz w:val="17"/>
        </w:rPr>
        <w:t>442</w:t>
      </w:r>
    </w:p>
    <w:p>
      <w:pPr>
        <w:spacing w:before="79"/>
        <w:ind w:left="0" w:right="258" w:firstLine="0"/>
        <w:jc w:val="right"/>
        <w:rPr>
          <w:rFonts w:ascii="Trebuchet MS"/>
          <w:b/>
          <w:sz w:val="17"/>
        </w:rPr>
      </w:pPr>
      <w:r>
        <w:rPr>
          <w:rFonts w:ascii="Trebuchet MS"/>
          <w:b/>
          <w:color w:val="0000D3"/>
          <w:w w:val="105"/>
          <w:sz w:val="17"/>
        </w:rPr>
        <w:t>66</w:t>
      </w:r>
    </w:p>
    <w:p>
      <w:pPr>
        <w:tabs>
          <w:tab w:pos="1096" w:val="left" w:leader="none"/>
        </w:tabs>
        <w:spacing w:before="105"/>
        <w:ind w:left="0" w:right="135" w:firstLine="0"/>
        <w:jc w:val="right"/>
        <w:rPr>
          <w:rFonts w:ascii="Trebuchet MS"/>
          <w:b/>
          <w:sz w:val="17"/>
        </w:rPr>
      </w:pPr>
      <w:r>
        <w:rPr>
          <w:rFonts w:ascii="Trebuchet MS"/>
          <w:b/>
          <w:color w:val="0000D3"/>
          <w:w w:val="106"/>
          <w:sz w:val="17"/>
          <w:u w:val="thick" w:color="000000"/>
        </w:rPr>
        <w:t> </w:t>
      </w:r>
      <w:r>
        <w:rPr>
          <w:rFonts w:ascii="Trebuchet MS"/>
          <w:b/>
          <w:color w:val="0000D3"/>
          <w:sz w:val="17"/>
          <w:u w:val="thick" w:color="000000"/>
        </w:rPr>
        <w:tab/>
      </w:r>
      <w:r>
        <w:rPr>
          <w:rFonts w:ascii="Trebuchet MS"/>
          <w:b/>
          <w:color w:val="0000D3"/>
          <w:w w:val="105"/>
          <w:sz w:val="17"/>
          <w:u w:val="thick" w:color="000000"/>
        </w:rPr>
        <w:t>2</w:t>
      </w:r>
      <w:r>
        <w:rPr>
          <w:rFonts w:ascii="Trebuchet MS"/>
          <w:b/>
          <w:color w:val="0000D3"/>
          <w:spacing w:val="-26"/>
          <w:sz w:val="17"/>
          <w:u w:val="thick" w:color="000000"/>
        </w:rPr>
        <w:t> </w:t>
      </w:r>
    </w:p>
    <w:p>
      <w:pPr>
        <w:spacing w:after="0"/>
        <w:jc w:val="right"/>
        <w:rPr>
          <w:rFonts w:ascii="Trebuchet MS"/>
          <w:sz w:val="17"/>
        </w:rPr>
        <w:sectPr>
          <w:type w:val="continuous"/>
          <w:pgSz w:w="12240" w:h="15840"/>
          <w:pgMar w:top="320" w:bottom="280" w:left="660" w:right="520"/>
          <w:cols w:num="2" w:equalWidth="0">
            <w:col w:w="3499" w:space="5797"/>
            <w:col w:w="1764"/>
          </w:cols>
        </w:sectPr>
      </w:pPr>
    </w:p>
    <w:p>
      <w:pPr>
        <w:tabs>
          <w:tab w:pos="3507" w:val="left" w:leader="none"/>
          <w:tab w:pos="10458" w:val="left" w:leader="none"/>
        </w:tabs>
        <w:spacing w:before="31"/>
        <w:ind w:left="300" w:right="0" w:firstLine="0"/>
        <w:jc w:val="left"/>
        <w:rPr>
          <w:rFonts w:ascii="Trebuchet MS"/>
          <w:b/>
          <w:sz w:val="17"/>
        </w:rPr>
      </w:pPr>
      <w:r>
        <w:rPr>
          <w:rFonts w:ascii="Trebuchet MS"/>
          <w:b/>
          <w:color w:val="0000D3"/>
          <w:sz w:val="17"/>
        </w:rPr>
        <w:t>Total</w:t>
      </w:r>
      <w:r>
        <w:rPr>
          <w:rFonts w:ascii="Trebuchet MS"/>
          <w:b/>
          <w:color w:val="0000D3"/>
          <w:spacing w:val="26"/>
          <w:sz w:val="17"/>
        </w:rPr>
        <w:t> </w:t>
      </w:r>
      <w:r>
        <w:rPr>
          <w:rFonts w:ascii="Trebuchet MS"/>
          <w:b/>
          <w:color w:val="0000D3"/>
          <w:sz w:val="17"/>
        </w:rPr>
        <w:t>comprehensive</w:t>
      </w:r>
      <w:r>
        <w:rPr>
          <w:rFonts w:ascii="Trebuchet MS"/>
          <w:b/>
          <w:color w:val="0000D3"/>
          <w:spacing w:val="25"/>
          <w:sz w:val="17"/>
        </w:rPr>
        <w:t> </w:t>
      </w:r>
      <w:r>
        <w:rPr>
          <w:rFonts w:ascii="Trebuchet MS"/>
          <w:b/>
          <w:color w:val="0000D3"/>
          <w:sz w:val="17"/>
        </w:rPr>
        <w:t>income</w:t>
        <w:tab/>
      </w:r>
      <w:r>
        <w:rPr>
          <w:rFonts w:ascii="Trebuchet MS"/>
          <w:b/>
          <w:color w:val="0000D3"/>
          <w:sz w:val="17"/>
          <w:u w:val="thick" w:color="000000"/>
        </w:rPr>
        <w:t> </w:t>
        <w:tab/>
      </w:r>
      <w:r>
        <w:rPr>
          <w:rFonts w:ascii="Trebuchet MS"/>
          <w:b/>
          <w:color w:val="0000D3"/>
          <w:spacing w:val="4"/>
          <w:sz w:val="17"/>
          <w:u w:val="thick" w:color="000000"/>
        </w:rPr>
        <w:t>510</w:t>
      </w:r>
      <w:r>
        <w:rPr>
          <w:rFonts w:ascii="Trebuchet MS"/>
          <w:b/>
          <w:color w:val="0000D3"/>
          <w:spacing w:val="20"/>
          <w:sz w:val="17"/>
          <w:u w:val="thick" w:color="000000"/>
        </w:rPr>
        <w:t> </w:t>
      </w:r>
    </w:p>
    <w:p>
      <w:pPr>
        <w:spacing w:after="0"/>
        <w:jc w:val="left"/>
        <w:rPr>
          <w:rFonts w:ascii="Trebuchet MS"/>
          <w:sz w:val="17"/>
        </w:rPr>
        <w:sectPr>
          <w:type w:val="continuous"/>
          <w:pgSz w:w="12240" w:h="15840"/>
          <w:pgMar w:top="320" w:bottom="280" w:left="660" w:right="520"/>
        </w:sectPr>
      </w:pPr>
    </w:p>
    <w:p>
      <w:pPr>
        <w:spacing w:before="208"/>
        <w:ind w:left="143" w:right="0" w:firstLine="0"/>
        <w:jc w:val="left"/>
        <w:rPr>
          <w:rFonts w:ascii="Trebuchet MS"/>
          <w:b/>
          <w:sz w:val="17"/>
        </w:rPr>
      </w:pPr>
      <w:r>
        <w:rPr>
          <w:rFonts w:ascii="Trebuchet MS"/>
          <w:b/>
          <w:color w:val="0000D3"/>
          <w:sz w:val="17"/>
        </w:rPr>
        <w:t>Balance  at  December  31, 2003</w:t>
      </w:r>
    </w:p>
    <w:p>
      <w:pPr>
        <w:tabs>
          <w:tab w:pos="686" w:val="left" w:leader="none"/>
          <w:tab w:pos="1368" w:val="left" w:leader="none"/>
        </w:tabs>
        <w:spacing w:before="208"/>
        <w:ind w:left="143" w:right="0" w:firstLine="0"/>
        <w:jc w:val="left"/>
        <w:rPr>
          <w:rFonts w:ascii="Trebuchet MS"/>
          <w:b/>
          <w:sz w:val="17"/>
        </w:rPr>
      </w:pPr>
      <w:r>
        <w:rPr/>
        <w:br w:type="column"/>
      </w:r>
      <w:r>
        <w:rPr>
          <w:rFonts w:ascii="Trebuchet MS"/>
          <w:b/>
          <w:color w:val="0000D3"/>
          <w:w w:val="110"/>
          <w:sz w:val="17"/>
        </w:rPr>
        <w:t>$</w:t>
        <w:tab/>
      </w:r>
      <w:r>
        <w:rPr>
          <w:rFonts w:ascii="Trebuchet MS"/>
          <w:b/>
          <w:color w:val="0000D3"/>
          <w:spacing w:val="4"/>
          <w:w w:val="110"/>
          <w:sz w:val="17"/>
        </w:rPr>
        <w:t>789</w:t>
        <w:tab/>
      </w:r>
      <w:r>
        <w:rPr>
          <w:rFonts w:ascii="Trebuchet MS"/>
          <w:b/>
          <w:color w:val="0000D3"/>
          <w:w w:val="105"/>
          <w:sz w:val="17"/>
        </w:rPr>
        <w:t>$</w:t>
      </w:r>
    </w:p>
    <w:p>
      <w:pPr>
        <w:spacing w:before="208"/>
        <w:ind w:left="143" w:right="0" w:firstLine="0"/>
        <w:jc w:val="left"/>
        <w:rPr>
          <w:rFonts w:ascii="Trebuchet MS"/>
          <w:b/>
          <w:sz w:val="17"/>
        </w:rPr>
      </w:pPr>
      <w:r>
        <w:rPr/>
        <w:br w:type="column"/>
      </w:r>
      <w:r>
        <w:rPr>
          <w:rFonts w:ascii="Trebuchet MS"/>
          <w:b/>
          <w:color w:val="0000D3"/>
          <w:w w:val="110"/>
          <w:sz w:val="17"/>
        </w:rPr>
        <w:t>258</w:t>
      </w:r>
    </w:p>
    <w:p>
      <w:pPr>
        <w:tabs>
          <w:tab w:pos="518" w:val="left" w:leader="none"/>
          <w:tab w:pos="1368" w:val="left" w:leader="none"/>
        </w:tabs>
        <w:spacing w:before="208"/>
        <w:ind w:left="143" w:right="0" w:firstLine="0"/>
        <w:jc w:val="left"/>
        <w:rPr>
          <w:rFonts w:ascii="Trebuchet MS"/>
          <w:b/>
          <w:sz w:val="17"/>
        </w:rPr>
      </w:pPr>
      <w:r>
        <w:rPr/>
        <w:br w:type="column"/>
      </w:r>
      <w:r>
        <w:rPr>
          <w:rFonts w:ascii="Trebuchet MS"/>
          <w:b/>
          <w:color w:val="0000D3"/>
          <w:w w:val="105"/>
          <w:sz w:val="17"/>
        </w:rPr>
        <w:t>$</w:t>
        <w:tab/>
      </w:r>
      <w:r>
        <w:rPr>
          <w:rFonts w:ascii="Trebuchet MS"/>
          <w:b/>
          <w:color w:val="0000D3"/>
          <w:spacing w:val="4"/>
          <w:w w:val="105"/>
          <w:sz w:val="17"/>
        </w:rPr>
        <w:t>3,883</w:t>
        <w:tab/>
      </w:r>
      <w:r>
        <w:rPr>
          <w:rFonts w:ascii="Trebuchet MS"/>
          <w:b/>
          <w:color w:val="0000D3"/>
          <w:w w:val="105"/>
          <w:sz w:val="17"/>
        </w:rPr>
        <w:t>$</w:t>
      </w:r>
    </w:p>
    <w:p>
      <w:pPr>
        <w:tabs>
          <w:tab w:pos="824" w:val="left" w:leader="none"/>
          <w:tab w:pos="1308" w:val="left" w:leader="none"/>
        </w:tabs>
        <w:spacing w:before="208"/>
        <w:ind w:left="143" w:right="0" w:firstLine="0"/>
        <w:jc w:val="left"/>
        <w:rPr>
          <w:rFonts w:ascii="Trebuchet MS"/>
          <w:b/>
          <w:sz w:val="17"/>
        </w:rPr>
      </w:pPr>
      <w:r>
        <w:rPr/>
        <w:br w:type="column"/>
      </w:r>
      <w:r>
        <w:rPr>
          <w:rFonts w:ascii="Trebuchet MS"/>
          <w:b/>
          <w:color w:val="0000D3"/>
          <w:spacing w:val="4"/>
          <w:w w:val="105"/>
          <w:sz w:val="17"/>
        </w:rPr>
        <w:t>122</w:t>
        <w:tab/>
      </w:r>
      <w:r>
        <w:rPr>
          <w:rFonts w:ascii="Trebuchet MS"/>
          <w:b/>
          <w:color w:val="0000D3"/>
          <w:w w:val="105"/>
          <w:sz w:val="17"/>
        </w:rPr>
        <w:t>$</w:t>
        <w:tab/>
      </w:r>
      <w:r>
        <w:rPr>
          <w:rFonts w:ascii="Trebuchet MS"/>
          <w:b/>
          <w:color w:val="0000D3"/>
          <w:sz w:val="17"/>
        </w:rPr>
        <w:t>-</w:t>
      </w:r>
    </w:p>
    <w:p>
      <w:pPr>
        <w:tabs>
          <w:tab w:pos="622" w:val="left" w:leader="none"/>
        </w:tabs>
        <w:spacing w:before="208"/>
        <w:ind w:left="143" w:right="0" w:firstLine="0"/>
        <w:jc w:val="left"/>
        <w:rPr>
          <w:rFonts w:ascii="Trebuchet MS"/>
          <w:b/>
          <w:sz w:val="17"/>
        </w:rPr>
      </w:pPr>
      <w:r>
        <w:rPr/>
        <w:br w:type="column"/>
      </w:r>
      <w:r>
        <w:rPr>
          <w:rFonts w:ascii="Trebuchet MS"/>
          <w:b/>
          <w:color w:val="0000D3"/>
          <w:w w:val="105"/>
          <w:sz w:val="17"/>
        </w:rPr>
        <w:t>$</w:t>
        <w:tab/>
      </w:r>
      <w:r>
        <w:rPr>
          <w:rFonts w:ascii="Trebuchet MS"/>
          <w:b/>
          <w:color w:val="0000D3"/>
          <w:spacing w:val="4"/>
          <w:w w:val="105"/>
          <w:sz w:val="17"/>
        </w:rPr>
        <w:t>5,052</w:t>
      </w:r>
    </w:p>
    <w:p>
      <w:pPr>
        <w:spacing w:after="0"/>
        <w:jc w:val="left"/>
        <w:rPr>
          <w:rFonts w:ascii="Trebuchet MS"/>
          <w:sz w:val="17"/>
        </w:rPr>
        <w:sectPr>
          <w:type w:val="continuous"/>
          <w:pgSz w:w="12240" w:h="15840"/>
          <w:pgMar w:top="320" w:bottom="280" w:left="660" w:right="520"/>
          <w:cols w:num="6" w:equalWidth="0">
            <w:col w:w="2757" w:space="726"/>
            <w:col w:w="1477" w:space="247"/>
            <w:col w:w="485" w:space="197"/>
            <w:col w:w="1477" w:space="499"/>
            <w:col w:w="1371" w:space="432"/>
            <w:col w:w="1392"/>
          </w:cols>
        </w:sectPr>
      </w:pPr>
    </w:p>
    <w:p>
      <w:pPr>
        <w:pStyle w:val="BodyText"/>
        <w:spacing w:line="42" w:lineRule="exact"/>
        <w:ind w:left="3486"/>
        <w:rPr>
          <w:rFonts w:ascii="Trebuchet MS"/>
          <w:sz w:val="4"/>
        </w:rPr>
      </w:pPr>
      <w:r>
        <w:rPr>
          <w:rFonts w:ascii="Trebuchet MS"/>
          <w:position w:val="0"/>
          <w:sz w:val="4"/>
        </w:rPr>
        <w:pict>
          <v:group style="width:372.9pt;height:2.1pt;mso-position-horizontal-relative:char;mso-position-vertical-relative:line" coordorigin="0,0" coordsize="7458,42">
            <v:line style="position:absolute" from="21,21" to="7436,21" stroked="true" strokeweight="2.0848pt" strokecolor="#000000">
              <v:stroke dashstyle="solid"/>
            </v:line>
          </v:group>
        </w:pict>
      </w:r>
      <w:r>
        <w:rPr>
          <w:rFonts w:ascii="Trebuchet MS"/>
          <w:position w:val="0"/>
          <w:sz w:val="4"/>
        </w:rPr>
      </w:r>
    </w:p>
    <w:p>
      <w:pPr>
        <w:pStyle w:val="BodyText"/>
        <w:rPr>
          <w:rFonts w:ascii="Trebuchet MS"/>
          <w:b/>
          <w:sz w:val="19"/>
        </w:rPr>
      </w:pPr>
    </w:p>
    <w:p>
      <w:pPr>
        <w:spacing w:before="102"/>
        <w:ind w:left="143" w:right="0" w:firstLine="0"/>
        <w:jc w:val="left"/>
        <w:rPr>
          <w:rFonts w:ascii="Tahoma"/>
          <w:sz w:val="17"/>
        </w:rPr>
      </w:pPr>
      <w:r>
        <w:rPr>
          <w:rFonts w:ascii="Tahoma"/>
          <w:w w:val="105"/>
          <w:sz w:val="17"/>
        </w:rPr>
        <w:t>See accompanying notes.</w:t>
      </w:r>
    </w:p>
    <w:p>
      <w:pPr>
        <w:spacing w:after="0"/>
        <w:jc w:val="left"/>
        <w:rPr>
          <w:rFonts w:ascii="Tahoma"/>
          <w:sz w:val="17"/>
        </w:rPr>
        <w:sectPr>
          <w:type w:val="continuous"/>
          <w:pgSz w:w="12240" w:h="15840"/>
          <w:pgMar w:top="320" w:bottom="280" w:left="660" w:right="520"/>
        </w:sectPr>
      </w:pPr>
    </w:p>
    <w:p>
      <w:pPr>
        <w:tabs>
          <w:tab w:pos="1511" w:val="left" w:leader="none"/>
          <w:tab w:pos="2568" w:val="left" w:leader="none"/>
        </w:tabs>
        <w:spacing w:before="80"/>
        <w:ind w:left="115" w:right="0" w:firstLine="0"/>
        <w:jc w:val="left"/>
        <w:rPr>
          <w:rFonts w:ascii="Arial"/>
          <w:b/>
          <w:sz w:val="18"/>
        </w:rPr>
      </w:pPr>
      <w:bookmarkStart w:name="Cash Flows Statement" w:id="39"/>
      <w:bookmarkEnd w:id="39"/>
      <w:r>
        <w:rPr/>
      </w:r>
      <w:r>
        <w:rPr>
          <w:rFonts w:ascii="Arial"/>
          <w:b/>
          <w:spacing w:val="9"/>
          <w:sz w:val="18"/>
        </w:rPr>
        <w:t>SOUTHWEST</w:t>
        <w:tab/>
        <w:t>AIRLINES</w:t>
        <w:tab/>
      </w:r>
      <w:r>
        <w:rPr>
          <w:rFonts w:ascii="Arial"/>
          <w:b/>
          <w:spacing w:val="7"/>
          <w:sz w:val="18"/>
        </w:rPr>
        <w:t>CO.</w:t>
      </w:r>
    </w:p>
    <w:p>
      <w:pPr>
        <w:spacing w:before="52"/>
        <w:ind w:left="115" w:right="0" w:firstLine="0"/>
        <w:jc w:val="left"/>
        <w:rPr>
          <w:rFonts w:ascii="Arial"/>
          <w:b/>
          <w:sz w:val="18"/>
        </w:rPr>
      </w:pPr>
      <w:r>
        <w:rPr>
          <w:rFonts w:ascii="Arial"/>
          <w:b/>
          <w:sz w:val="18"/>
        </w:rPr>
        <w:t>CONSOLIDATED  STATEMENT  OF  CASH   FLOWS</w:t>
      </w:r>
    </w:p>
    <w:p>
      <w:pPr>
        <w:tabs>
          <w:tab w:pos="6415" w:val="left" w:leader="none"/>
          <w:tab w:pos="10255" w:val="left" w:leader="none"/>
        </w:tabs>
        <w:spacing w:before="52"/>
        <w:ind w:left="5636" w:right="0" w:firstLine="0"/>
        <w:jc w:val="left"/>
        <w:rPr>
          <w:rFonts w:ascii="Arial"/>
          <w:b/>
          <w:sz w:val="18"/>
        </w:rPr>
      </w:pPr>
      <w:r>
        <w:rPr>
          <w:rFonts w:ascii="Arial"/>
          <w:b/>
          <w:w w:val="120"/>
          <w:sz w:val="18"/>
          <w:u w:val="single"/>
        </w:rPr>
        <w:t> </w:t>
      </w:r>
      <w:r>
        <w:rPr>
          <w:rFonts w:ascii="Arial"/>
          <w:b/>
          <w:sz w:val="18"/>
          <w:u w:val="single"/>
        </w:rPr>
        <w:tab/>
      </w:r>
      <w:r>
        <w:rPr>
          <w:rFonts w:ascii="Arial"/>
          <w:b/>
          <w:spacing w:val="8"/>
          <w:sz w:val="18"/>
          <w:u w:val="single"/>
        </w:rPr>
        <w:t>YEARS  ENDED  DECEMBER </w:t>
      </w:r>
      <w:r>
        <w:rPr>
          <w:rFonts w:ascii="Arial"/>
          <w:b/>
          <w:spacing w:val="43"/>
          <w:sz w:val="18"/>
          <w:u w:val="single"/>
        </w:rPr>
        <w:t> </w:t>
      </w:r>
      <w:r>
        <w:rPr>
          <w:rFonts w:ascii="Arial"/>
          <w:b/>
          <w:spacing w:val="6"/>
          <w:sz w:val="18"/>
          <w:u w:val="single"/>
        </w:rPr>
        <w:t>31,</w:t>
        <w:tab/>
      </w:r>
    </w:p>
    <w:p>
      <w:pPr>
        <w:tabs>
          <w:tab w:pos="5635" w:val="left" w:leader="none"/>
          <w:tab w:pos="5955" w:val="left" w:leader="none"/>
          <w:tab w:pos="6935" w:val="left" w:leader="none"/>
          <w:tab w:pos="7295" w:val="left" w:leader="none"/>
          <w:tab w:pos="7675" w:val="left" w:leader="none"/>
          <w:tab w:pos="8596" w:val="left" w:leader="none"/>
          <w:tab w:pos="8955" w:val="left" w:leader="none"/>
          <w:tab w:pos="9376" w:val="left" w:leader="none"/>
          <w:tab w:pos="10256" w:val="left" w:leader="none"/>
        </w:tabs>
        <w:spacing w:line="300" w:lineRule="exact" w:before="1"/>
        <w:ind w:left="116" w:right="141" w:hanging="1"/>
        <w:jc w:val="left"/>
        <w:rPr>
          <w:rFonts w:ascii="Arial"/>
          <w:b/>
          <w:sz w:val="18"/>
        </w:rPr>
      </w:pPr>
      <w:r>
        <w:rPr>
          <w:rFonts w:ascii="Arial"/>
          <w:w w:val="105"/>
          <w:sz w:val="16"/>
        </w:rPr>
        <w:t>(In </w:t>
      </w:r>
      <w:r>
        <w:rPr>
          <w:rFonts w:ascii="Arial"/>
          <w:spacing w:val="4"/>
          <w:w w:val="105"/>
          <w:sz w:val="16"/>
        </w:rPr>
        <w:t> </w:t>
      </w:r>
      <w:r>
        <w:rPr>
          <w:rFonts w:ascii="Arial"/>
          <w:w w:val="105"/>
          <w:sz w:val="16"/>
        </w:rPr>
        <w:t>millions)</w:t>
        <w:tab/>
      </w:r>
      <w:r>
        <w:rPr>
          <w:rFonts w:ascii="Arial"/>
          <w:b/>
          <w:color w:val="0000D3"/>
          <w:w w:val="105"/>
          <w:sz w:val="18"/>
          <w:u w:val="single" w:color="000000"/>
        </w:rPr>
        <w:t> </w:t>
        <w:tab/>
      </w:r>
      <w:r>
        <w:rPr>
          <w:rFonts w:ascii="Arial"/>
          <w:b/>
          <w:color w:val="0000D3"/>
          <w:spacing w:val="19"/>
          <w:w w:val="105"/>
          <w:sz w:val="18"/>
          <w:u w:val="single" w:color="000000"/>
        </w:rPr>
        <w:t>2003</w:t>
        <w:tab/>
      </w:r>
      <w:r>
        <w:rPr>
          <w:rFonts w:ascii="Arial"/>
          <w:b/>
          <w:color w:val="0000D3"/>
          <w:spacing w:val="19"/>
          <w:w w:val="105"/>
          <w:sz w:val="18"/>
        </w:rPr>
        <w:tab/>
      </w:r>
      <w:r>
        <w:rPr>
          <w:rFonts w:ascii="Arial"/>
          <w:spacing w:val="19"/>
          <w:w w:val="105"/>
          <w:sz w:val="18"/>
          <w:u w:val="single"/>
        </w:rPr>
        <w:t> </w:t>
        <w:tab/>
      </w:r>
      <w:r>
        <w:rPr>
          <w:rFonts w:ascii="Arial"/>
          <w:w w:val="105"/>
          <w:sz w:val="18"/>
          <w:u w:val="single"/>
        </w:rPr>
        <w:t>2002</w:t>
        <w:tab/>
      </w:r>
      <w:r>
        <w:rPr>
          <w:rFonts w:ascii="Arial"/>
          <w:w w:val="105"/>
          <w:sz w:val="18"/>
        </w:rPr>
        <w:tab/>
      </w:r>
      <w:r>
        <w:rPr>
          <w:rFonts w:ascii="Arial"/>
          <w:w w:val="105"/>
          <w:sz w:val="18"/>
          <w:u w:val="single"/>
        </w:rPr>
        <w:t> </w:t>
        <w:tab/>
        <w:t>2001</w:t>
        <w:tab/>
      </w:r>
      <w:r>
        <w:rPr>
          <w:rFonts w:ascii="Arial"/>
          <w:w w:val="105"/>
          <w:sz w:val="18"/>
        </w:rPr>
        <w:t> </w:t>
      </w:r>
      <w:r>
        <w:rPr>
          <w:rFonts w:ascii="Arial"/>
          <w:b/>
          <w:color w:val="0000D3"/>
          <w:spacing w:val="8"/>
          <w:w w:val="105"/>
          <w:sz w:val="18"/>
        </w:rPr>
        <w:t>CASH FLOWS FROM </w:t>
      </w:r>
      <w:r>
        <w:rPr>
          <w:rFonts w:ascii="Arial"/>
          <w:b/>
          <w:color w:val="0000D3"/>
          <w:spacing w:val="9"/>
          <w:w w:val="105"/>
          <w:sz w:val="18"/>
        </w:rPr>
        <w:t>OPERATING  </w:t>
      </w:r>
      <w:r>
        <w:rPr>
          <w:rFonts w:ascii="Arial"/>
          <w:b/>
          <w:color w:val="0000D3"/>
          <w:spacing w:val="27"/>
          <w:w w:val="105"/>
          <w:sz w:val="18"/>
        </w:rPr>
        <w:t> </w:t>
      </w:r>
      <w:r>
        <w:rPr>
          <w:rFonts w:ascii="Arial"/>
          <w:b/>
          <w:color w:val="0000D3"/>
          <w:spacing w:val="10"/>
          <w:w w:val="105"/>
          <w:sz w:val="18"/>
        </w:rPr>
        <w:t>ACTIVITIES:</w:t>
      </w:r>
    </w:p>
    <w:p>
      <w:pPr>
        <w:spacing w:after="0" w:line="300" w:lineRule="exact"/>
        <w:jc w:val="left"/>
        <w:rPr>
          <w:rFonts w:ascii="Arial"/>
          <w:sz w:val="18"/>
        </w:rPr>
        <w:sectPr>
          <w:pgSz w:w="12240" w:h="15840"/>
          <w:pgMar w:top="1180" w:bottom="280" w:left="1240" w:right="600"/>
        </w:sectPr>
      </w:pPr>
    </w:p>
    <w:p>
      <w:pPr>
        <w:spacing w:line="198" w:lineRule="exact" w:before="0"/>
        <w:ind w:left="234" w:right="0" w:firstLine="0"/>
        <w:jc w:val="left"/>
        <w:rPr>
          <w:rFonts w:ascii="Arial"/>
          <w:sz w:val="18"/>
        </w:rPr>
      </w:pPr>
      <w:r>
        <w:rPr>
          <w:rFonts w:ascii="Arial"/>
          <w:w w:val="110"/>
          <w:sz w:val="18"/>
        </w:rPr>
        <w:t>Net income</w:t>
      </w:r>
    </w:p>
    <w:p>
      <w:pPr>
        <w:spacing w:line="254" w:lineRule="auto" w:before="13"/>
        <w:ind w:left="419" w:right="0" w:hanging="175"/>
        <w:jc w:val="left"/>
        <w:rPr>
          <w:rFonts w:ascii="Arial"/>
          <w:sz w:val="18"/>
        </w:rPr>
      </w:pPr>
      <w:r>
        <w:rPr/>
        <w:pict>
          <v:shape style="position:absolute;margin-left:85.960236pt;margin-top:22.117167pt;width:483.45pt;height:23.85pt;mso-position-horizontal-relative:page;mso-position-vertical-relative:paragraph;z-index:6040"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277"/>
                    <w:gridCol w:w="2680"/>
                    <w:gridCol w:w="1670"/>
                    <w:gridCol w:w="1042"/>
                  </w:tblGrid>
                  <w:tr>
                    <w:trPr>
                      <w:trHeight w:val="238" w:hRule="exact"/>
                    </w:trPr>
                    <w:tc>
                      <w:tcPr>
                        <w:tcW w:w="4277" w:type="dxa"/>
                      </w:tcPr>
                      <w:p>
                        <w:pPr>
                          <w:pStyle w:val="TableParagraph"/>
                          <w:spacing w:before="10"/>
                          <w:ind w:left="32"/>
                          <w:rPr>
                            <w:sz w:val="18"/>
                          </w:rPr>
                        </w:pPr>
                        <w:r>
                          <w:rPr>
                            <w:w w:val="110"/>
                            <w:sz w:val="18"/>
                          </w:rPr>
                          <w:t>Depreciation and amortization</w:t>
                        </w:r>
                      </w:p>
                    </w:tc>
                    <w:tc>
                      <w:tcPr>
                        <w:tcW w:w="2680" w:type="dxa"/>
                      </w:tcPr>
                      <w:p>
                        <w:pPr>
                          <w:pStyle w:val="TableParagraph"/>
                          <w:spacing w:before="10"/>
                          <w:ind w:right="657"/>
                          <w:jc w:val="right"/>
                          <w:rPr>
                            <w:b/>
                            <w:sz w:val="18"/>
                          </w:rPr>
                        </w:pPr>
                        <w:r>
                          <w:rPr>
                            <w:b/>
                            <w:color w:val="0000D3"/>
                            <w:w w:val="120"/>
                            <w:sz w:val="18"/>
                          </w:rPr>
                          <w:t>3 8 4</w:t>
                        </w:r>
                      </w:p>
                    </w:tc>
                    <w:tc>
                      <w:tcPr>
                        <w:tcW w:w="1670" w:type="dxa"/>
                      </w:tcPr>
                      <w:p>
                        <w:pPr>
                          <w:pStyle w:val="TableParagraph"/>
                          <w:spacing w:before="10"/>
                          <w:ind w:right="647"/>
                          <w:jc w:val="right"/>
                          <w:rPr>
                            <w:sz w:val="18"/>
                          </w:rPr>
                        </w:pPr>
                        <w:r>
                          <w:rPr>
                            <w:w w:val="115"/>
                            <w:sz w:val="18"/>
                          </w:rPr>
                          <w:t>356</w:t>
                        </w:r>
                      </w:p>
                    </w:tc>
                    <w:tc>
                      <w:tcPr>
                        <w:tcW w:w="1042" w:type="dxa"/>
                      </w:tcPr>
                      <w:p>
                        <w:pPr>
                          <w:pStyle w:val="TableParagraph"/>
                          <w:spacing w:before="10"/>
                          <w:ind w:right="30"/>
                          <w:jc w:val="right"/>
                          <w:rPr>
                            <w:sz w:val="18"/>
                          </w:rPr>
                        </w:pPr>
                        <w:r>
                          <w:rPr>
                            <w:w w:val="115"/>
                            <w:sz w:val="18"/>
                          </w:rPr>
                          <w:t>318</w:t>
                        </w:r>
                      </w:p>
                    </w:tc>
                  </w:tr>
                  <w:tr>
                    <w:trPr>
                      <w:trHeight w:val="238" w:hRule="exact"/>
                    </w:trPr>
                    <w:tc>
                      <w:tcPr>
                        <w:tcW w:w="4277" w:type="dxa"/>
                      </w:tcPr>
                      <w:p>
                        <w:pPr>
                          <w:pStyle w:val="TableParagraph"/>
                          <w:spacing w:line="199" w:lineRule="exact"/>
                          <w:ind w:left="43"/>
                          <w:rPr>
                            <w:sz w:val="18"/>
                          </w:rPr>
                        </w:pPr>
                        <w:r>
                          <w:rPr>
                            <w:w w:val="110"/>
                            <w:sz w:val="18"/>
                          </w:rPr>
                          <w:t>Deferred income taxes</w:t>
                        </w:r>
                      </w:p>
                    </w:tc>
                    <w:tc>
                      <w:tcPr>
                        <w:tcW w:w="2680" w:type="dxa"/>
                      </w:tcPr>
                      <w:p>
                        <w:pPr>
                          <w:pStyle w:val="TableParagraph"/>
                          <w:spacing w:line="199" w:lineRule="exact"/>
                          <w:ind w:right="657"/>
                          <w:jc w:val="right"/>
                          <w:rPr>
                            <w:b/>
                            <w:sz w:val="18"/>
                          </w:rPr>
                        </w:pPr>
                        <w:r>
                          <w:rPr>
                            <w:b/>
                            <w:color w:val="0000D3"/>
                            <w:w w:val="120"/>
                            <w:sz w:val="18"/>
                          </w:rPr>
                          <w:t>1 8 3</w:t>
                        </w:r>
                      </w:p>
                    </w:tc>
                    <w:tc>
                      <w:tcPr>
                        <w:tcW w:w="1670" w:type="dxa"/>
                      </w:tcPr>
                      <w:p>
                        <w:pPr>
                          <w:pStyle w:val="TableParagraph"/>
                          <w:spacing w:line="199" w:lineRule="exact"/>
                          <w:ind w:right="647"/>
                          <w:jc w:val="right"/>
                          <w:rPr>
                            <w:sz w:val="18"/>
                          </w:rPr>
                        </w:pPr>
                        <w:r>
                          <w:rPr>
                            <w:w w:val="115"/>
                            <w:sz w:val="18"/>
                          </w:rPr>
                          <w:t>170</w:t>
                        </w:r>
                      </w:p>
                    </w:tc>
                    <w:tc>
                      <w:tcPr>
                        <w:tcW w:w="1042" w:type="dxa"/>
                      </w:tcPr>
                      <w:p>
                        <w:pPr>
                          <w:pStyle w:val="TableParagraph"/>
                          <w:spacing w:line="199" w:lineRule="exact"/>
                          <w:ind w:right="30"/>
                          <w:jc w:val="right"/>
                          <w:rPr>
                            <w:sz w:val="18"/>
                          </w:rPr>
                        </w:pPr>
                        <w:r>
                          <w:rPr>
                            <w:w w:val="115"/>
                            <w:sz w:val="18"/>
                          </w:rPr>
                          <w:t>208</w:t>
                        </w:r>
                      </w:p>
                    </w:tc>
                  </w:tr>
                </w:tbl>
                <w:p>
                  <w:pPr>
                    <w:pStyle w:val="BodyText"/>
                  </w:pPr>
                </w:p>
              </w:txbxContent>
            </v:textbox>
            <w10:wrap type="none"/>
          </v:shape>
        </w:pict>
      </w:r>
      <w:r>
        <w:rPr>
          <w:rFonts w:ascii="Arial"/>
          <w:w w:val="110"/>
          <w:sz w:val="18"/>
        </w:rPr>
        <w:t>Adjustments to reconcile net income to net cash provided  by  operating activities:</w:t>
      </w:r>
    </w:p>
    <w:p>
      <w:pPr>
        <w:tabs>
          <w:tab w:pos="794" w:val="left" w:leader="none"/>
        </w:tabs>
        <w:spacing w:line="198" w:lineRule="exact" w:before="0"/>
        <w:ind w:left="234" w:right="0" w:firstLine="0"/>
        <w:jc w:val="left"/>
        <w:rPr>
          <w:rFonts w:ascii="Arial"/>
          <w:b/>
          <w:sz w:val="18"/>
        </w:rPr>
      </w:pPr>
      <w:r>
        <w:rPr/>
        <w:br w:type="column"/>
      </w:r>
      <w:r>
        <w:rPr>
          <w:rFonts w:ascii="Arial"/>
          <w:b/>
          <w:color w:val="0000D3"/>
          <w:w w:val="120"/>
          <w:sz w:val="18"/>
        </w:rPr>
        <w:t>$</w:t>
        <w:tab/>
        <w:t>4</w:t>
      </w:r>
      <w:r>
        <w:rPr>
          <w:rFonts w:ascii="Arial"/>
          <w:b/>
          <w:color w:val="0000D3"/>
          <w:spacing w:val="-31"/>
          <w:w w:val="120"/>
          <w:sz w:val="18"/>
        </w:rPr>
        <w:t> </w:t>
      </w:r>
      <w:r>
        <w:rPr>
          <w:rFonts w:ascii="Arial"/>
          <w:b/>
          <w:color w:val="0000D3"/>
          <w:w w:val="120"/>
          <w:sz w:val="18"/>
        </w:rPr>
        <w:t>4</w:t>
      </w:r>
      <w:r>
        <w:rPr>
          <w:rFonts w:ascii="Arial"/>
          <w:b/>
          <w:color w:val="0000D3"/>
          <w:spacing w:val="-31"/>
          <w:w w:val="120"/>
          <w:sz w:val="18"/>
        </w:rPr>
        <w:t> </w:t>
      </w:r>
      <w:r>
        <w:rPr>
          <w:rFonts w:ascii="Arial"/>
          <w:b/>
          <w:color w:val="0000D3"/>
          <w:w w:val="120"/>
          <w:sz w:val="18"/>
        </w:rPr>
        <w:t>2</w:t>
      </w:r>
    </w:p>
    <w:p>
      <w:pPr>
        <w:tabs>
          <w:tab w:pos="894" w:val="left" w:leader="none"/>
        </w:tabs>
        <w:spacing w:line="198" w:lineRule="exact" w:before="0"/>
        <w:ind w:left="234" w:right="0" w:firstLine="0"/>
        <w:jc w:val="left"/>
        <w:rPr>
          <w:rFonts w:ascii="Arial"/>
          <w:sz w:val="18"/>
        </w:rPr>
      </w:pPr>
      <w:r>
        <w:rPr/>
        <w:br w:type="column"/>
      </w:r>
      <w:r>
        <w:rPr>
          <w:rFonts w:ascii="Arial"/>
          <w:w w:val="120"/>
          <w:sz w:val="18"/>
        </w:rPr>
        <w:t>$</w:t>
        <w:tab/>
        <w:t>241</w:t>
      </w:r>
    </w:p>
    <w:p>
      <w:pPr>
        <w:tabs>
          <w:tab w:pos="893" w:val="left" w:leader="none"/>
        </w:tabs>
        <w:spacing w:line="198" w:lineRule="exact" w:before="0"/>
        <w:ind w:left="234" w:right="0" w:firstLine="0"/>
        <w:jc w:val="left"/>
        <w:rPr>
          <w:rFonts w:ascii="Arial"/>
          <w:sz w:val="18"/>
        </w:rPr>
      </w:pPr>
      <w:r>
        <w:rPr/>
        <w:br w:type="column"/>
      </w:r>
      <w:r>
        <w:rPr>
          <w:rFonts w:ascii="Arial"/>
          <w:w w:val="120"/>
          <w:sz w:val="18"/>
        </w:rPr>
        <w:t>$</w:t>
        <w:tab/>
        <w:t>511</w:t>
      </w:r>
    </w:p>
    <w:p>
      <w:pPr>
        <w:spacing w:after="0" w:line="198" w:lineRule="exact"/>
        <w:jc w:val="left"/>
        <w:rPr>
          <w:rFonts w:ascii="Arial"/>
          <w:sz w:val="18"/>
        </w:rPr>
        <w:sectPr>
          <w:type w:val="continuous"/>
          <w:pgSz w:w="12240" w:h="15840"/>
          <w:pgMar w:top="320" w:bottom="280" w:left="1240" w:right="600"/>
          <w:cols w:num="4" w:equalWidth="0">
            <w:col w:w="4556" w:space="1006"/>
            <w:col w:w="1215" w:space="425"/>
            <w:col w:w="1255" w:space="405"/>
            <w:col w:w="1538"/>
          </w:cols>
        </w:sectPr>
      </w:pPr>
    </w:p>
    <w:p>
      <w:pPr>
        <w:pStyle w:val="BodyText"/>
        <w:spacing w:before="8"/>
        <w:rPr>
          <w:rFonts w:ascii="Arial"/>
          <w:sz w:val="28"/>
        </w:rPr>
      </w:pPr>
    </w:p>
    <w:p>
      <w:pPr>
        <w:spacing w:before="111"/>
        <w:ind w:left="516" w:right="0" w:firstLine="0"/>
        <w:jc w:val="left"/>
        <w:rPr>
          <w:rFonts w:ascii="Arial"/>
          <w:sz w:val="18"/>
        </w:rPr>
      </w:pPr>
      <w:r>
        <w:rPr>
          <w:rFonts w:ascii="Arial"/>
          <w:w w:val="110"/>
          <w:sz w:val="18"/>
        </w:rPr>
        <w:t>Amortization of deferred gains on sale and</w:t>
      </w:r>
    </w:p>
    <w:p>
      <w:pPr>
        <w:tabs>
          <w:tab w:pos="6395" w:val="left" w:leader="none"/>
          <w:tab w:pos="8135" w:val="left" w:leader="none"/>
          <w:tab w:pos="9794" w:val="left" w:leader="none"/>
        </w:tabs>
        <w:spacing w:before="13"/>
        <w:ind w:left="668" w:right="0" w:firstLine="0"/>
        <w:jc w:val="left"/>
        <w:rPr>
          <w:rFonts w:ascii="Arial"/>
          <w:sz w:val="18"/>
        </w:rPr>
      </w:pPr>
      <w:r>
        <w:rPr>
          <w:rFonts w:ascii="Arial"/>
          <w:w w:val="120"/>
          <w:sz w:val="18"/>
        </w:rPr>
        <w:t>leaseback</w:t>
      </w:r>
      <w:r>
        <w:rPr>
          <w:rFonts w:ascii="Arial"/>
          <w:spacing w:val="-35"/>
          <w:w w:val="120"/>
          <w:sz w:val="18"/>
        </w:rPr>
        <w:t> </w:t>
      </w:r>
      <w:r>
        <w:rPr>
          <w:rFonts w:ascii="Arial"/>
          <w:w w:val="120"/>
          <w:sz w:val="18"/>
        </w:rPr>
        <w:t>of</w:t>
      </w:r>
      <w:r>
        <w:rPr>
          <w:rFonts w:ascii="Arial"/>
          <w:spacing w:val="-35"/>
          <w:w w:val="120"/>
          <w:sz w:val="18"/>
        </w:rPr>
        <w:t> </w:t>
      </w:r>
      <w:r>
        <w:rPr>
          <w:rFonts w:ascii="Arial"/>
          <w:w w:val="120"/>
          <w:sz w:val="18"/>
        </w:rPr>
        <w:t>aircraft</w:t>
        <w:tab/>
      </w:r>
      <w:r>
        <w:rPr>
          <w:rFonts w:ascii="Arial"/>
          <w:b/>
          <w:color w:val="0000D3"/>
          <w:w w:val="120"/>
          <w:sz w:val="18"/>
        </w:rPr>
        <w:t>(</w:t>
      </w:r>
      <w:r>
        <w:rPr>
          <w:rFonts w:ascii="Arial"/>
          <w:b/>
          <w:color w:val="0000D3"/>
          <w:spacing w:val="-32"/>
          <w:w w:val="120"/>
          <w:sz w:val="18"/>
        </w:rPr>
        <w:t> </w:t>
      </w:r>
      <w:r>
        <w:rPr>
          <w:rFonts w:ascii="Arial"/>
          <w:b/>
          <w:color w:val="0000D3"/>
          <w:spacing w:val="13"/>
          <w:w w:val="120"/>
          <w:sz w:val="18"/>
        </w:rPr>
        <w:t>16</w:t>
      </w:r>
      <w:r>
        <w:rPr>
          <w:rFonts w:ascii="Arial"/>
          <w:b/>
          <w:color w:val="0000D3"/>
          <w:spacing w:val="-32"/>
          <w:w w:val="120"/>
          <w:sz w:val="18"/>
        </w:rPr>
        <w:t> </w:t>
      </w:r>
      <w:r>
        <w:rPr>
          <w:rFonts w:ascii="Arial"/>
          <w:b/>
          <w:color w:val="0000D3"/>
          <w:w w:val="120"/>
          <w:sz w:val="18"/>
        </w:rPr>
        <w:t>)</w:t>
        <w:tab/>
      </w:r>
      <w:r>
        <w:rPr>
          <w:rFonts w:ascii="Arial"/>
          <w:w w:val="120"/>
          <w:sz w:val="18"/>
        </w:rPr>
        <w:t>(15)</w:t>
        <w:tab/>
        <w:t>(15)</w:t>
      </w:r>
    </w:p>
    <w:p>
      <w:pPr>
        <w:spacing w:before="13"/>
        <w:ind w:left="543" w:right="0" w:firstLine="0"/>
        <w:jc w:val="left"/>
        <w:rPr>
          <w:rFonts w:ascii="Arial"/>
          <w:sz w:val="18"/>
        </w:rPr>
      </w:pPr>
      <w:r>
        <w:rPr>
          <w:rFonts w:ascii="Arial"/>
          <w:w w:val="110"/>
          <w:sz w:val="18"/>
        </w:rPr>
        <w:t>Amortization of scheduled airframe  inspections</w:t>
      </w:r>
    </w:p>
    <w:p>
      <w:pPr>
        <w:tabs>
          <w:tab w:pos="6495" w:val="left" w:leader="none"/>
          <w:tab w:pos="8215" w:val="left" w:leader="none"/>
          <w:tab w:pos="10114" w:val="right" w:leader="none"/>
        </w:tabs>
        <w:spacing w:before="13"/>
        <w:ind w:left="646" w:right="0" w:firstLine="0"/>
        <w:jc w:val="left"/>
        <w:rPr>
          <w:rFonts w:ascii="Arial"/>
          <w:sz w:val="18"/>
        </w:rPr>
      </w:pPr>
      <w:r>
        <w:rPr>
          <w:rFonts w:ascii="Arial"/>
          <w:w w:val="115"/>
          <w:sz w:val="18"/>
        </w:rPr>
        <w:t>and</w:t>
      </w:r>
      <w:r>
        <w:rPr>
          <w:rFonts w:ascii="Arial"/>
          <w:spacing w:val="-23"/>
          <w:w w:val="115"/>
          <w:sz w:val="18"/>
        </w:rPr>
        <w:t> </w:t>
      </w:r>
      <w:r>
        <w:rPr>
          <w:rFonts w:ascii="Arial"/>
          <w:w w:val="115"/>
          <w:sz w:val="18"/>
        </w:rPr>
        <w:t>repairs</w:t>
        <w:tab/>
      </w:r>
      <w:r>
        <w:rPr>
          <w:rFonts w:ascii="Arial"/>
          <w:b/>
          <w:color w:val="0000D3"/>
          <w:w w:val="115"/>
          <w:sz w:val="18"/>
        </w:rPr>
        <w:t>4</w:t>
      </w:r>
      <w:r>
        <w:rPr>
          <w:rFonts w:ascii="Arial"/>
          <w:b/>
          <w:color w:val="0000D3"/>
          <w:spacing w:val="-15"/>
          <w:w w:val="115"/>
          <w:sz w:val="18"/>
        </w:rPr>
        <w:t> </w:t>
      </w:r>
      <w:r>
        <w:rPr>
          <w:rFonts w:ascii="Arial"/>
          <w:b/>
          <w:color w:val="0000D3"/>
          <w:w w:val="115"/>
          <w:sz w:val="18"/>
        </w:rPr>
        <w:t>9</w:t>
        <w:tab/>
      </w:r>
      <w:r>
        <w:rPr>
          <w:rFonts w:ascii="Arial"/>
          <w:w w:val="115"/>
          <w:sz w:val="18"/>
        </w:rPr>
        <w:t>46</w:t>
        <w:tab/>
        <w:t>43</w:t>
      </w:r>
    </w:p>
    <w:p>
      <w:pPr>
        <w:spacing w:before="13"/>
        <w:ind w:left="506" w:right="0" w:firstLine="0"/>
        <w:jc w:val="left"/>
        <w:rPr>
          <w:rFonts w:ascii="Arial"/>
          <w:sz w:val="18"/>
        </w:rPr>
      </w:pPr>
      <w:r>
        <w:rPr>
          <w:rFonts w:ascii="Arial"/>
          <w:w w:val="110"/>
          <w:sz w:val="18"/>
        </w:rPr>
        <w:t>Income tax benefit from Employee stock</w:t>
      </w:r>
    </w:p>
    <w:p>
      <w:pPr>
        <w:tabs>
          <w:tab w:pos="6495" w:val="left" w:leader="none"/>
          <w:tab w:pos="8215" w:val="left" w:leader="none"/>
          <w:tab w:pos="10114" w:val="right" w:leader="none"/>
        </w:tabs>
        <w:spacing w:before="13"/>
        <w:ind w:left="647" w:right="0" w:firstLine="0"/>
        <w:jc w:val="left"/>
        <w:rPr>
          <w:rFonts w:ascii="Arial"/>
          <w:sz w:val="18"/>
        </w:rPr>
      </w:pPr>
      <w:r>
        <w:rPr>
          <w:rFonts w:ascii="Arial"/>
          <w:w w:val="115"/>
          <w:sz w:val="18"/>
        </w:rPr>
        <w:t>option</w:t>
      </w:r>
      <w:r>
        <w:rPr>
          <w:rFonts w:ascii="Arial"/>
          <w:spacing w:val="-25"/>
          <w:w w:val="115"/>
          <w:sz w:val="18"/>
        </w:rPr>
        <w:t> </w:t>
      </w:r>
      <w:r>
        <w:rPr>
          <w:rFonts w:ascii="Arial"/>
          <w:w w:val="115"/>
          <w:sz w:val="18"/>
        </w:rPr>
        <w:t>exercises</w:t>
        <w:tab/>
      </w:r>
      <w:r>
        <w:rPr>
          <w:rFonts w:ascii="Arial"/>
          <w:b/>
          <w:color w:val="0000D3"/>
          <w:w w:val="115"/>
          <w:sz w:val="18"/>
        </w:rPr>
        <w:t>4</w:t>
      </w:r>
      <w:r>
        <w:rPr>
          <w:rFonts w:ascii="Arial"/>
          <w:b/>
          <w:color w:val="0000D3"/>
          <w:spacing w:val="-15"/>
          <w:w w:val="115"/>
          <w:sz w:val="18"/>
        </w:rPr>
        <w:t> </w:t>
      </w:r>
      <w:r>
        <w:rPr>
          <w:rFonts w:ascii="Arial"/>
          <w:b/>
          <w:color w:val="0000D3"/>
          <w:w w:val="115"/>
          <w:sz w:val="18"/>
        </w:rPr>
        <w:t>1</w:t>
        <w:tab/>
      </w:r>
      <w:r>
        <w:rPr>
          <w:rFonts w:ascii="Arial"/>
          <w:w w:val="115"/>
          <w:sz w:val="18"/>
        </w:rPr>
        <w:t>38</w:t>
        <w:tab/>
        <w:t>54</w:t>
      </w:r>
    </w:p>
    <w:p>
      <w:pPr>
        <w:spacing w:before="13"/>
        <w:ind w:left="550" w:right="0" w:firstLine="0"/>
        <w:jc w:val="left"/>
        <w:rPr>
          <w:rFonts w:ascii="Arial"/>
          <w:sz w:val="18"/>
        </w:rPr>
      </w:pPr>
      <w:r>
        <w:rPr/>
        <w:pict>
          <v:shape style="position:absolute;margin-left:67.801903pt;margin-top:11.119111pt;width:508.65pt;height:210.85pt;mso-position-horizontal-relative:page;mso-position-vertical-relative:paragraph;z-index:6064"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850"/>
                    <w:gridCol w:w="2150"/>
                    <w:gridCol w:w="1660"/>
                    <w:gridCol w:w="1513"/>
                  </w:tblGrid>
                  <w:tr>
                    <w:trPr>
                      <w:trHeight w:val="238" w:hRule="exact"/>
                    </w:trPr>
                    <w:tc>
                      <w:tcPr>
                        <w:tcW w:w="4850" w:type="dxa"/>
                      </w:tcPr>
                      <w:p>
                        <w:pPr>
                          <w:pStyle w:val="TableParagraph"/>
                          <w:spacing w:before="10"/>
                          <w:ind w:left="525"/>
                          <w:rPr>
                            <w:sz w:val="18"/>
                          </w:rPr>
                        </w:pPr>
                        <w:r>
                          <w:rPr>
                            <w:w w:val="110"/>
                            <w:sz w:val="18"/>
                          </w:rPr>
                          <w:t>Accounts and other receivables</w:t>
                        </w:r>
                      </w:p>
                    </w:tc>
                    <w:tc>
                      <w:tcPr>
                        <w:tcW w:w="2150" w:type="dxa"/>
                      </w:tcPr>
                      <w:p>
                        <w:pPr>
                          <w:pStyle w:val="TableParagraph"/>
                          <w:spacing w:before="10"/>
                          <w:ind w:right="337"/>
                          <w:jc w:val="right"/>
                          <w:rPr>
                            <w:b/>
                            <w:sz w:val="18"/>
                          </w:rPr>
                        </w:pPr>
                        <w:r>
                          <w:rPr>
                            <w:b/>
                            <w:color w:val="0000D3"/>
                            <w:w w:val="120"/>
                            <w:sz w:val="18"/>
                          </w:rPr>
                          <w:t>4 3</w:t>
                        </w:r>
                      </w:p>
                    </w:tc>
                    <w:tc>
                      <w:tcPr>
                        <w:tcW w:w="1660" w:type="dxa"/>
                      </w:tcPr>
                      <w:p>
                        <w:pPr>
                          <w:pStyle w:val="TableParagraph"/>
                          <w:spacing w:before="10"/>
                          <w:ind w:right="236"/>
                          <w:jc w:val="right"/>
                          <w:rPr>
                            <w:sz w:val="18"/>
                          </w:rPr>
                        </w:pPr>
                        <w:r>
                          <w:rPr>
                            <w:w w:val="125"/>
                            <w:sz w:val="18"/>
                          </w:rPr>
                          <w:t>(103)</w:t>
                        </w:r>
                      </w:p>
                    </w:tc>
                    <w:tc>
                      <w:tcPr>
                        <w:tcW w:w="1513" w:type="dxa"/>
                      </w:tcPr>
                      <w:p>
                        <w:pPr>
                          <w:pStyle w:val="TableParagraph"/>
                          <w:spacing w:before="10"/>
                          <w:ind w:right="171"/>
                          <w:jc w:val="right"/>
                          <w:rPr>
                            <w:sz w:val="18"/>
                          </w:rPr>
                        </w:pPr>
                        <w:r>
                          <w:rPr>
                            <w:w w:val="115"/>
                            <w:sz w:val="18"/>
                          </w:rPr>
                          <w:t>67</w:t>
                        </w:r>
                      </w:p>
                    </w:tc>
                  </w:tr>
                  <w:tr>
                    <w:trPr>
                      <w:trHeight w:val="220" w:hRule="exact"/>
                    </w:trPr>
                    <w:tc>
                      <w:tcPr>
                        <w:tcW w:w="4850" w:type="dxa"/>
                      </w:tcPr>
                      <w:p>
                        <w:pPr>
                          <w:pStyle w:val="TableParagraph"/>
                          <w:spacing w:line="199" w:lineRule="exact"/>
                          <w:ind w:left="535"/>
                          <w:rPr>
                            <w:sz w:val="18"/>
                          </w:rPr>
                        </w:pPr>
                        <w:r>
                          <w:rPr>
                            <w:w w:val="110"/>
                            <w:sz w:val="18"/>
                          </w:rPr>
                          <w:t>Other current assets</w:t>
                        </w:r>
                      </w:p>
                    </w:tc>
                    <w:tc>
                      <w:tcPr>
                        <w:tcW w:w="2150" w:type="dxa"/>
                      </w:tcPr>
                      <w:p>
                        <w:pPr>
                          <w:pStyle w:val="TableParagraph"/>
                          <w:spacing w:line="199" w:lineRule="exact"/>
                          <w:ind w:right="237"/>
                          <w:jc w:val="right"/>
                          <w:rPr>
                            <w:b/>
                            <w:sz w:val="18"/>
                          </w:rPr>
                        </w:pPr>
                        <w:r>
                          <w:rPr>
                            <w:b/>
                            <w:color w:val="0000D3"/>
                            <w:w w:val="130"/>
                            <w:sz w:val="18"/>
                          </w:rPr>
                          <w:t>( </w:t>
                        </w:r>
                        <w:r>
                          <w:rPr>
                            <w:b/>
                            <w:color w:val="0000D3"/>
                            <w:spacing w:val="13"/>
                            <w:w w:val="130"/>
                            <w:sz w:val="18"/>
                          </w:rPr>
                          <w:t>19</w:t>
                        </w:r>
                        <w:r>
                          <w:rPr>
                            <w:b/>
                            <w:color w:val="0000D3"/>
                            <w:spacing w:val="-47"/>
                            <w:w w:val="130"/>
                            <w:sz w:val="18"/>
                          </w:rPr>
                          <w:t> </w:t>
                        </w:r>
                        <w:r>
                          <w:rPr>
                            <w:b/>
                            <w:color w:val="0000D3"/>
                            <w:w w:val="130"/>
                            <w:sz w:val="18"/>
                          </w:rPr>
                          <w:t>)</w:t>
                        </w:r>
                      </w:p>
                    </w:tc>
                    <w:tc>
                      <w:tcPr>
                        <w:tcW w:w="1660" w:type="dxa"/>
                      </w:tcPr>
                      <w:p>
                        <w:pPr>
                          <w:pStyle w:val="TableParagraph"/>
                          <w:spacing w:line="199" w:lineRule="exact"/>
                          <w:ind w:right="236"/>
                          <w:jc w:val="right"/>
                          <w:rPr>
                            <w:sz w:val="18"/>
                          </w:rPr>
                        </w:pPr>
                        <w:r>
                          <w:rPr>
                            <w:w w:val="125"/>
                            <w:sz w:val="18"/>
                          </w:rPr>
                          <w:t>(10)</w:t>
                        </w:r>
                      </w:p>
                    </w:tc>
                    <w:tc>
                      <w:tcPr>
                        <w:tcW w:w="1513" w:type="dxa"/>
                      </w:tcPr>
                      <w:p>
                        <w:pPr>
                          <w:pStyle w:val="TableParagraph"/>
                          <w:spacing w:line="199" w:lineRule="exact"/>
                          <w:ind w:right="90"/>
                          <w:jc w:val="right"/>
                          <w:rPr>
                            <w:sz w:val="18"/>
                          </w:rPr>
                        </w:pPr>
                        <w:r>
                          <w:rPr>
                            <w:w w:val="125"/>
                            <w:sz w:val="18"/>
                          </w:rPr>
                          <w:t>(9)</w:t>
                        </w:r>
                      </w:p>
                    </w:tc>
                  </w:tr>
                  <w:tr>
                    <w:trPr>
                      <w:trHeight w:val="220" w:hRule="exact"/>
                    </w:trPr>
                    <w:tc>
                      <w:tcPr>
                        <w:tcW w:w="4850" w:type="dxa"/>
                      </w:tcPr>
                      <w:p>
                        <w:pPr>
                          <w:pStyle w:val="TableParagraph"/>
                          <w:spacing w:line="199" w:lineRule="exact"/>
                          <w:ind w:left="543"/>
                          <w:rPr>
                            <w:sz w:val="18"/>
                          </w:rPr>
                        </w:pPr>
                        <w:r>
                          <w:rPr>
                            <w:w w:val="105"/>
                            <w:sz w:val="18"/>
                          </w:rPr>
                          <w:t>Accounts  payable  and  accrued liabilities</w:t>
                        </w:r>
                      </w:p>
                    </w:tc>
                    <w:tc>
                      <w:tcPr>
                        <w:tcW w:w="2150" w:type="dxa"/>
                      </w:tcPr>
                      <w:p>
                        <w:pPr>
                          <w:pStyle w:val="TableParagraph"/>
                          <w:spacing w:line="199" w:lineRule="exact"/>
                          <w:ind w:left="1390"/>
                          <w:rPr>
                            <w:b/>
                            <w:sz w:val="18"/>
                          </w:rPr>
                        </w:pPr>
                        <w:r>
                          <w:rPr>
                            <w:b/>
                            <w:color w:val="0000D3"/>
                            <w:w w:val="120"/>
                            <w:sz w:val="18"/>
                          </w:rPr>
                          <w:t>1 2 9</w:t>
                        </w:r>
                      </w:p>
                    </w:tc>
                    <w:tc>
                      <w:tcPr>
                        <w:tcW w:w="1660" w:type="dxa"/>
                      </w:tcPr>
                      <w:p>
                        <w:pPr>
                          <w:pStyle w:val="TableParagraph"/>
                          <w:spacing w:line="199" w:lineRule="exact"/>
                          <w:ind w:right="236"/>
                          <w:jc w:val="right"/>
                          <w:rPr>
                            <w:sz w:val="18"/>
                          </w:rPr>
                        </w:pPr>
                        <w:r>
                          <w:rPr>
                            <w:w w:val="125"/>
                            <w:sz w:val="18"/>
                          </w:rPr>
                          <w:t>(149)</w:t>
                        </w:r>
                      </w:p>
                    </w:tc>
                    <w:tc>
                      <w:tcPr>
                        <w:tcW w:w="1513" w:type="dxa"/>
                      </w:tcPr>
                      <w:p>
                        <w:pPr>
                          <w:pStyle w:val="TableParagraph"/>
                          <w:spacing w:line="199" w:lineRule="exact"/>
                          <w:ind w:left="979"/>
                          <w:rPr>
                            <w:sz w:val="18"/>
                          </w:rPr>
                        </w:pPr>
                        <w:r>
                          <w:rPr>
                            <w:w w:val="120"/>
                            <w:sz w:val="18"/>
                          </w:rPr>
                          <w:t>203</w:t>
                        </w:r>
                      </w:p>
                    </w:tc>
                  </w:tr>
                  <w:tr>
                    <w:trPr>
                      <w:trHeight w:val="220" w:hRule="exact"/>
                    </w:trPr>
                    <w:tc>
                      <w:tcPr>
                        <w:tcW w:w="4850" w:type="dxa"/>
                      </w:tcPr>
                      <w:p>
                        <w:pPr>
                          <w:pStyle w:val="TableParagraph"/>
                          <w:spacing w:line="199" w:lineRule="exact"/>
                          <w:ind w:left="633"/>
                          <w:rPr>
                            <w:sz w:val="18"/>
                          </w:rPr>
                        </w:pPr>
                        <w:r>
                          <w:rPr>
                            <w:w w:val="115"/>
                            <w:sz w:val="18"/>
                          </w:rPr>
                          <w:t>Air  traffic liability</w:t>
                        </w:r>
                      </w:p>
                    </w:tc>
                    <w:tc>
                      <w:tcPr>
                        <w:tcW w:w="2150" w:type="dxa"/>
                      </w:tcPr>
                      <w:p>
                        <w:pPr>
                          <w:pStyle w:val="TableParagraph"/>
                          <w:spacing w:line="199" w:lineRule="exact"/>
                          <w:ind w:right="337"/>
                          <w:jc w:val="right"/>
                          <w:rPr>
                            <w:b/>
                            <w:sz w:val="18"/>
                          </w:rPr>
                        </w:pPr>
                        <w:r>
                          <w:rPr>
                            <w:b/>
                            <w:color w:val="0000D3"/>
                            <w:w w:val="120"/>
                            <w:sz w:val="18"/>
                          </w:rPr>
                          <w:t>5 0</w:t>
                        </w:r>
                      </w:p>
                    </w:tc>
                    <w:tc>
                      <w:tcPr>
                        <w:tcW w:w="1660" w:type="dxa"/>
                      </w:tcPr>
                      <w:p>
                        <w:pPr>
                          <w:pStyle w:val="TableParagraph"/>
                          <w:spacing w:line="199" w:lineRule="exact"/>
                          <w:ind w:right="236"/>
                          <w:jc w:val="right"/>
                          <w:rPr>
                            <w:sz w:val="18"/>
                          </w:rPr>
                        </w:pPr>
                        <w:r>
                          <w:rPr>
                            <w:w w:val="125"/>
                            <w:sz w:val="18"/>
                          </w:rPr>
                          <w:t>(38)</w:t>
                        </w:r>
                      </w:p>
                    </w:tc>
                    <w:tc>
                      <w:tcPr>
                        <w:tcW w:w="1513" w:type="dxa"/>
                      </w:tcPr>
                      <w:p>
                        <w:pPr>
                          <w:pStyle w:val="TableParagraph"/>
                          <w:spacing w:line="199" w:lineRule="exact"/>
                          <w:ind w:right="171"/>
                          <w:jc w:val="right"/>
                          <w:rPr>
                            <w:sz w:val="18"/>
                          </w:rPr>
                        </w:pPr>
                        <w:r>
                          <w:rPr>
                            <w:w w:val="115"/>
                            <w:sz w:val="18"/>
                          </w:rPr>
                          <w:t>73</w:t>
                        </w:r>
                      </w:p>
                    </w:tc>
                  </w:tr>
                  <w:tr>
                    <w:trPr>
                      <w:trHeight w:val="250" w:hRule="exact"/>
                    </w:trPr>
                    <w:tc>
                      <w:tcPr>
                        <w:tcW w:w="4850" w:type="dxa"/>
                      </w:tcPr>
                      <w:p>
                        <w:pPr>
                          <w:pStyle w:val="TableParagraph"/>
                          <w:spacing w:line="199" w:lineRule="exact"/>
                          <w:ind w:left="368"/>
                          <w:rPr>
                            <w:sz w:val="18"/>
                          </w:rPr>
                        </w:pPr>
                        <w:r>
                          <w:rPr>
                            <w:w w:val="110"/>
                            <w:sz w:val="18"/>
                          </w:rPr>
                          <w:t>Other</w:t>
                        </w:r>
                      </w:p>
                    </w:tc>
                    <w:tc>
                      <w:tcPr>
                        <w:tcW w:w="2150" w:type="dxa"/>
                      </w:tcPr>
                      <w:p>
                        <w:pPr>
                          <w:pStyle w:val="TableParagraph"/>
                          <w:tabs>
                            <w:tab w:pos="859" w:val="left" w:leader="none"/>
                          </w:tabs>
                          <w:spacing w:line="199" w:lineRule="exact"/>
                          <w:ind w:right="178"/>
                          <w:jc w:val="right"/>
                          <w:rPr>
                            <w:b/>
                            <w:sz w:val="18"/>
                          </w:rPr>
                        </w:pPr>
                        <w:r>
                          <w:rPr>
                            <w:b/>
                            <w:color w:val="0000D3"/>
                            <w:w w:val="120"/>
                            <w:sz w:val="18"/>
                            <w:u w:val="single" w:color="000000"/>
                          </w:rPr>
                          <w:t> </w:t>
                        </w:r>
                        <w:r>
                          <w:rPr>
                            <w:b/>
                            <w:color w:val="0000D3"/>
                            <w:sz w:val="18"/>
                            <w:u w:val="single" w:color="000000"/>
                          </w:rPr>
                          <w:tab/>
                        </w:r>
                        <w:r>
                          <w:rPr>
                            <w:b/>
                            <w:color w:val="0000D3"/>
                            <w:w w:val="120"/>
                            <w:sz w:val="18"/>
                            <w:u w:val="single" w:color="000000"/>
                          </w:rPr>
                          <w:t>5</w:t>
                        </w:r>
                        <w:r>
                          <w:rPr>
                            <w:b/>
                            <w:color w:val="0000D3"/>
                            <w:spacing w:val="-21"/>
                            <w:w w:val="120"/>
                            <w:sz w:val="18"/>
                            <w:u w:val="single" w:color="000000"/>
                          </w:rPr>
                          <w:t> </w:t>
                        </w:r>
                        <w:r>
                          <w:rPr>
                            <w:b/>
                            <w:color w:val="0000D3"/>
                            <w:w w:val="120"/>
                            <w:sz w:val="18"/>
                            <w:u w:val="single" w:color="000000"/>
                          </w:rPr>
                          <w:t>0</w:t>
                        </w:r>
                        <w:r>
                          <w:rPr>
                            <w:b/>
                            <w:color w:val="0000D3"/>
                            <w:spacing w:val="9"/>
                            <w:sz w:val="18"/>
                            <w:u w:val="single" w:color="000000"/>
                          </w:rPr>
                          <w:t> </w:t>
                        </w:r>
                      </w:p>
                    </w:tc>
                    <w:tc>
                      <w:tcPr>
                        <w:tcW w:w="1660" w:type="dxa"/>
                      </w:tcPr>
                      <w:p>
                        <w:pPr>
                          <w:pStyle w:val="TableParagraph"/>
                          <w:tabs>
                            <w:tab w:pos="839" w:val="left" w:leader="none"/>
                          </w:tabs>
                          <w:spacing w:line="199" w:lineRule="exact"/>
                          <w:ind w:right="177"/>
                          <w:jc w:val="right"/>
                          <w:rPr>
                            <w:sz w:val="18"/>
                          </w:rPr>
                        </w:pPr>
                        <w:r>
                          <w:rPr>
                            <w:w w:val="120"/>
                            <w:sz w:val="18"/>
                            <w:u w:val="single"/>
                          </w:rPr>
                          <w:t> </w:t>
                        </w:r>
                        <w:r>
                          <w:rPr>
                            <w:sz w:val="18"/>
                            <w:u w:val="single"/>
                          </w:rPr>
                          <w:tab/>
                        </w:r>
                        <w:r>
                          <w:rPr>
                            <w:spacing w:val="-1"/>
                            <w:w w:val="125"/>
                            <w:sz w:val="18"/>
                            <w:u w:val="single"/>
                          </w:rPr>
                          <w:t>(16)</w:t>
                        </w:r>
                        <w:r>
                          <w:rPr>
                            <w:spacing w:val="8"/>
                            <w:sz w:val="18"/>
                            <w:u w:val="single"/>
                          </w:rPr>
                          <w:t> </w:t>
                        </w:r>
                      </w:p>
                    </w:tc>
                    <w:tc>
                      <w:tcPr>
                        <w:tcW w:w="1513" w:type="dxa"/>
                      </w:tcPr>
                      <w:p>
                        <w:pPr>
                          <w:pStyle w:val="TableParagraph"/>
                          <w:tabs>
                            <w:tab w:pos="1098" w:val="left" w:leader="none"/>
                          </w:tabs>
                          <w:spacing w:line="199" w:lineRule="exact"/>
                          <w:ind w:left="179"/>
                          <w:rPr>
                            <w:sz w:val="18"/>
                          </w:rPr>
                        </w:pPr>
                        <w:r>
                          <w:rPr>
                            <w:w w:val="120"/>
                            <w:sz w:val="18"/>
                            <w:u w:val="single"/>
                          </w:rPr>
                          <w:t> </w:t>
                        </w:r>
                        <w:r>
                          <w:rPr>
                            <w:sz w:val="18"/>
                            <w:u w:val="single"/>
                          </w:rPr>
                          <w:tab/>
                        </w:r>
                        <w:r>
                          <w:rPr>
                            <w:w w:val="120"/>
                            <w:sz w:val="18"/>
                            <w:u w:val="single"/>
                          </w:rPr>
                          <w:t>32</w:t>
                        </w:r>
                        <w:r>
                          <w:rPr>
                            <w:spacing w:val="-10"/>
                            <w:sz w:val="18"/>
                            <w:u w:val="single"/>
                          </w:rPr>
                          <w:t> </w:t>
                        </w:r>
                      </w:p>
                    </w:tc>
                  </w:tr>
                  <w:tr>
                    <w:trPr>
                      <w:trHeight w:val="400" w:hRule="exact"/>
                    </w:trPr>
                    <w:tc>
                      <w:tcPr>
                        <w:tcW w:w="4850" w:type="dxa"/>
                      </w:tcPr>
                      <w:p>
                        <w:pPr>
                          <w:pStyle w:val="TableParagraph"/>
                          <w:spacing w:before="22"/>
                          <w:ind w:left="539"/>
                          <w:rPr>
                            <w:sz w:val="18"/>
                          </w:rPr>
                        </w:pPr>
                        <w:r>
                          <w:rPr>
                            <w:w w:val="110"/>
                            <w:sz w:val="18"/>
                          </w:rPr>
                          <w:t>Net cash provided by operating  activities</w:t>
                        </w:r>
                      </w:p>
                    </w:tc>
                    <w:tc>
                      <w:tcPr>
                        <w:tcW w:w="2150" w:type="dxa"/>
                      </w:tcPr>
                      <w:p>
                        <w:pPr>
                          <w:pStyle w:val="TableParagraph"/>
                          <w:spacing w:before="22"/>
                          <w:ind w:left="1150"/>
                          <w:rPr>
                            <w:b/>
                            <w:sz w:val="18"/>
                          </w:rPr>
                        </w:pPr>
                        <w:r>
                          <w:rPr>
                            <w:b/>
                            <w:color w:val="0000D3"/>
                            <w:w w:val="120"/>
                            <w:sz w:val="18"/>
                          </w:rPr>
                          <w:t>1 , 3 3 6</w:t>
                        </w:r>
                      </w:p>
                    </w:tc>
                    <w:tc>
                      <w:tcPr>
                        <w:tcW w:w="1660" w:type="dxa"/>
                      </w:tcPr>
                      <w:p>
                        <w:pPr>
                          <w:pStyle w:val="TableParagraph"/>
                          <w:spacing w:before="22"/>
                          <w:ind w:right="317"/>
                          <w:jc w:val="right"/>
                          <w:rPr>
                            <w:sz w:val="18"/>
                          </w:rPr>
                        </w:pPr>
                        <w:r>
                          <w:rPr>
                            <w:w w:val="115"/>
                            <w:sz w:val="18"/>
                          </w:rPr>
                          <w:t>520</w:t>
                        </w:r>
                      </w:p>
                    </w:tc>
                    <w:tc>
                      <w:tcPr>
                        <w:tcW w:w="1513" w:type="dxa"/>
                      </w:tcPr>
                      <w:p>
                        <w:pPr>
                          <w:pStyle w:val="TableParagraph"/>
                          <w:spacing w:before="22"/>
                          <w:ind w:left="780"/>
                          <w:rPr>
                            <w:sz w:val="18"/>
                          </w:rPr>
                        </w:pPr>
                        <w:r>
                          <w:rPr>
                            <w:w w:val="120"/>
                            <w:sz w:val="18"/>
                          </w:rPr>
                          <w:t>1,485</w:t>
                        </w:r>
                      </w:p>
                    </w:tc>
                  </w:tr>
                  <w:tr>
                    <w:trPr>
                      <w:trHeight w:val="388" w:hRule="exact"/>
                    </w:trPr>
                    <w:tc>
                      <w:tcPr>
                        <w:tcW w:w="4850" w:type="dxa"/>
                      </w:tcPr>
                      <w:p>
                        <w:pPr>
                          <w:pStyle w:val="TableParagraph"/>
                          <w:spacing w:line="129" w:lineRule="exact"/>
                          <w:rPr>
                            <w:b/>
                            <w:sz w:val="18"/>
                          </w:rPr>
                        </w:pPr>
                        <w:r>
                          <w:rPr>
                            <w:b/>
                            <w:color w:val="0000D3"/>
                            <w:sz w:val="18"/>
                          </w:rPr>
                          <w:t>CASH   FLOWS   FROM   INVESTING ACTIVITIES:</w:t>
                        </w:r>
                      </w:p>
                      <w:p>
                        <w:pPr>
                          <w:pStyle w:val="TableParagraph"/>
                          <w:spacing w:before="13"/>
                          <w:ind w:left="137"/>
                          <w:rPr>
                            <w:sz w:val="18"/>
                          </w:rPr>
                        </w:pPr>
                        <w:r>
                          <w:rPr>
                            <w:w w:val="110"/>
                            <w:sz w:val="18"/>
                          </w:rPr>
                          <w:t>Purchases of property and equipment, net</w:t>
                        </w:r>
                      </w:p>
                    </w:tc>
                    <w:tc>
                      <w:tcPr>
                        <w:tcW w:w="2150" w:type="dxa"/>
                      </w:tcPr>
                      <w:p>
                        <w:pPr>
                          <w:pStyle w:val="TableParagraph"/>
                          <w:spacing w:before="142"/>
                          <w:ind w:right="237"/>
                          <w:jc w:val="right"/>
                          <w:rPr>
                            <w:b/>
                            <w:sz w:val="18"/>
                          </w:rPr>
                        </w:pPr>
                        <w:r>
                          <w:rPr>
                            <w:b/>
                            <w:color w:val="0000D3"/>
                            <w:w w:val="120"/>
                            <w:sz w:val="18"/>
                          </w:rPr>
                          <w:t>( 1 , 2 3 8 )</w:t>
                        </w:r>
                      </w:p>
                    </w:tc>
                    <w:tc>
                      <w:tcPr>
                        <w:tcW w:w="1660" w:type="dxa"/>
                      </w:tcPr>
                      <w:p>
                        <w:pPr>
                          <w:pStyle w:val="TableParagraph"/>
                          <w:spacing w:before="142"/>
                          <w:ind w:right="236"/>
                          <w:jc w:val="right"/>
                          <w:rPr>
                            <w:sz w:val="18"/>
                          </w:rPr>
                        </w:pPr>
                        <w:r>
                          <w:rPr>
                            <w:w w:val="125"/>
                            <w:sz w:val="18"/>
                          </w:rPr>
                          <w:t>(603)</w:t>
                        </w:r>
                      </w:p>
                    </w:tc>
                    <w:tc>
                      <w:tcPr>
                        <w:tcW w:w="1513" w:type="dxa"/>
                      </w:tcPr>
                      <w:p>
                        <w:pPr>
                          <w:pStyle w:val="TableParagraph"/>
                          <w:spacing w:before="142"/>
                          <w:ind w:left="900"/>
                          <w:rPr>
                            <w:sz w:val="18"/>
                          </w:rPr>
                        </w:pPr>
                        <w:r>
                          <w:rPr>
                            <w:w w:val="125"/>
                            <w:sz w:val="18"/>
                          </w:rPr>
                          <w:t>(998)</w:t>
                        </w:r>
                      </w:p>
                    </w:tc>
                  </w:tr>
                  <w:tr>
                    <w:trPr>
                      <w:trHeight w:val="282" w:hRule="exact"/>
                    </w:trPr>
                    <w:tc>
                      <w:tcPr>
                        <w:tcW w:w="4850" w:type="dxa"/>
                      </w:tcPr>
                      <w:p>
                        <w:pPr>
                          <w:pStyle w:val="TableParagraph"/>
                          <w:spacing w:before="53"/>
                          <w:rPr>
                            <w:b/>
                            <w:sz w:val="18"/>
                          </w:rPr>
                        </w:pPr>
                        <w:r>
                          <w:rPr>
                            <w:b/>
                            <w:color w:val="0000D3"/>
                            <w:sz w:val="18"/>
                          </w:rPr>
                          <w:t>CASH   FLOWS   FROM   FINANCING ACTIVITIES:</w:t>
                        </w:r>
                      </w:p>
                    </w:tc>
                    <w:tc>
                      <w:tcPr>
                        <w:tcW w:w="2150" w:type="dxa"/>
                      </w:tcPr>
                      <w:p>
                        <w:pPr/>
                      </w:p>
                    </w:tc>
                    <w:tc>
                      <w:tcPr>
                        <w:tcW w:w="1660" w:type="dxa"/>
                      </w:tcPr>
                      <w:p>
                        <w:pPr/>
                      </w:p>
                    </w:tc>
                    <w:tc>
                      <w:tcPr>
                        <w:tcW w:w="1513" w:type="dxa"/>
                      </w:tcPr>
                      <w:p>
                        <w:pPr/>
                      </w:p>
                    </w:tc>
                  </w:tr>
                  <w:tr>
                    <w:trPr>
                      <w:trHeight w:val="220" w:hRule="exact"/>
                    </w:trPr>
                    <w:tc>
                      <w:tcPr>
                        <w:tcW w:w="4850" w:type="dxa"/>
                      </w:tcPr>
                      <w:p>
                        <w:pPr>
                          <w:pStyle w:val="TableParagraph"/>
                          <w:spacing w:before="10"/>
                          <w:ind w:left="134"/>
                          <w:rPr>
                            <w:sz w:val="18"/>
                          </w:rPr>
                        </w:pPr>
                        <w:r>
                          <w:rPr>
                            <w:w w:val="110"/>
                            <w:sz w:val="18"/>
                          </w:rPr>
                          <w:t>Issuance of long-term debt</w:t>
                        </w:r>
                      </w:p>
                    </w:tc>
                    <w:tc>
                      <w:tcPr>
                        <w:tcW w:w="3810" w:type="dxa"/>
                        <w:gridSpan w:val="2"/>
                      </w:tcPr>
                      <w:p>
                        <w:pPr>
                          <w:pStyle w:val="TableParagraph"/>
                          <w:tabs>
                            <w:tab w:pos="3130" w:val="left" w:leader="none"/>
                          </w:tabs>
                          <w:spacing w:before="10"/>
                          <w:ind w:left="1410"/>
                          <w:rPr>
                            <w:sz w:val="18"/>
                          </w:rPr>
                        </w:pPr>
                        <w:r>
                          <w:rPr>
                            <w:b/>
                            <w:color w:val="0000D3"/>
                            <w:w w:val="115"/>
                            <w:sz w:val="18"/>
                          </w:rPr>
                          <w:t>-</w:t>
                          <w:tab/>
                        </w:r>
                        <w:r>
                          <w:rPr>
                            <w:w w:val="115"/>
                            <w:sz w:val="18"/>
                          </w:rPr>
                          <w:t>385</w:t>
                        </w:r>
                      </w:p>
                    </w:tc>
                    <w:tc>
                      <w:tcPr>
                        <w:tcW w:w="1513" w:type="dxa"/>
                      </w:tcPr>
                      <w:p>
                        <w:pPr>
                          <w:pStyle w:val="TableParagraph"/>
                          <w:spacing w:before="10"/>
                          <w:ind w:left="978"/>
                          <w:rPr>
                            <w:sz w:val="18"/>
                          </w:rPr>
                        </w:pPr>
                        <w:r>
                          <w:rPr>
                            <w:w w:val="120"/>
                            <w:sz w:val="18"/>
                          </w:rPr>
                          <w:t>614</w:t>
                        </w:r>
                      </w:p>
                    </w:tc>
                  </w:tr>
                  <w:tr>
                    <w:trPr>
                      <w:trHeight w:val="220" w:hRule="exact"/>
                    </w:trPr>
                    <w:tc>
                      <w:tcPr>
                        <w:tcW w:w="4850" w:type="dxa"/>
                      </w:tcPr>
                      <w:p>
                        <w:pPr>
                          <w:pStyle w:val="TableParagraph"/>
                          <w:spacing w:line="199" w:lineRule="exact"/>
                          <w:ind w:left="176"/>
                          <w:rPr>
                            <w:sz w:val="18"/>
                          </w:rPr>
                        </w:pPr>
                        <w:r>
                          <w:rPr>
                            <w:w w:val="110"/>
                            <w:sz w:val="18"/>
                          </w:rPr>
                          <w:t>Proceeds  from  revolving  credit facility</w:t>
                        </w:r>
                      </w:p>
                    </w:tc>
                    <w:tc>
                      <w:tcPr>
                        <w:tcW w:w="3810" w:type="dxa"/>
                        <w:gridSpan w:val="2"/>
                      </w:tcPr>
                      <w:p>
                        <w:pPr>
                          <w:pStyle w:val="TableParagraph"/>
                          <w:tabs>
                            <w:tab w:pos="3150" w:val="left" w:leader="none"/>
                          </w:tabs>
                          <w:spacing w:line="199" w:lineRule="exact"/>
                          <w:ind w:left="1410"/>
                          <w:rPr>
                            <w:sz w:val="18"/>
                          </w:rPr>
                        </w:pPr>
                        <w:r>
                          <w:rPr>
                            <w:b/>
                            <w:color w:val="0000D3"/>
                            <w:w w:val="115"/>
                            <w:sz w:val="18"/>
                          </w:rPr>
                          <w:t>-</w:t>
                          <w:tab/>
                        </w:r>
                        <w:r>
                          <w:rPr>
                            <w:w w:val="115"/>
                            <w:sz w:val="18"/>
                          </w:rPr>
                          <w:t>-</w:t>
                        </w:r>
                      </w:p>
                    </w:tc>
                    <w:tc>
                      <w:tcPr>
                        <w:tcW w:w="1513" w:type="dxa"/>
                      </w:tcPr>
                      <w:p>
                        <w:pPr>
                          <w:pStyle w:val="TableParagraph"/>
                          <w:spacing w:line="199" w:lineRule="exact"/>
                          <w:ind w:left="978"/>
                          <w:rPr>
                            <w:sz w:val="18"/>
                          </w:rPr>
                        </w:pPr>
                        <w:r>
                          <w:rPr>
                            <w:w w:val="120"/>
                            <w:sz w:val="18"/>
                          </w:rPr>
                          <w:t>475</w:t>
                        </w:r>
                      </w:p>
                    </w:tc>
                  </w:tr>
                  <w:tr>
                    <w:trPr>
                      <w:trHeight w:val="220" w:hRule="exact"/>
                    </w:trPr>
                    <w:tc>
                      <w:tcPr>
                        <w:tcW w:w="4850" w:type="dxa"/>
                      </w:tcPr>
                      <w:p>
                        <w:pPr>
                          <w:pStyle w:val="TableParagraph"/>
                          <w:spacing w:line="199" w:lineRule="exact"/>
                          <w:ind w:left="154"/>
                          <w:rPr>
                            <w:sz w:val="18"/>
                          </w:rPr>
                        </w:pPr>
                        <w:r>
                          <w:rPr>
                            <w:w w:val="115"/>
                            <w:sz w:val="18"/>
                          </w:rPr>
                          <w:t>Proceeds from trust arrangement</w:t>
                        </w:r>
                      </w:p>
                    </w:tc>
                    <w:tc>
                      <w:tcPr>
                        <w:tcW w:w="3810" w:type="dxa"/>
                        <w:gridSpan w:val="2"/>
                      </w:tcPr>
                      <w:p>
                        <w:pPr>
                          <w:pStyle w:val="TableParagraph"/>
                          <w:tabs>
                            <w:tab w:pos="3130" w:val="left" w:leader="none"/>
                          </w:tabs>
                          <w:spacing w:line="199" w:lineRule="exact"/>
                          <w:ind w:left="1410"/>
                          <w:rPr>
                            <w:sz w:val="18"/>
                          </w:rPr>
                        </w:pPr>
                        <w:r>
                          <w:rPr>
                            <w:b/>
                            <w:color w:val="0000D3"/>
                            <w:w w:val="115"/>
                            <w:sz w:val="18"/>
                          </w:rPr>
                          <w:t>-</w:t>
                          <w:tab/>
                        </w:r>
                        <w:r>
                          <w:rPr>
                            <w:w w:val="115"/>
                            <w:sz w:val="18"/>
                          </w:rPr>
                          <w:t>119</w:t>
                        </w:r>
                      </w:p>
                    </w:tc>
                    <w:tc>
                      <w:tcPr>
                        <w:tcW w:w="1513" w:type="dxa"/>
                      </w:tcPr>
                      <w:p>
                        <w:pPr>
                          <w:pStyle w:val="TableParagraph"/>
                          <w:spacing w:line="199" w:lineRule="exact"/>
                          <w:ind w:left="980"/>
                          <w:rPr>
                            <w:sz w:val="18"/>
                          </w:rPr>
                        </w:pPr>
                        <w:r>
                          <w:rPr>
                            <w:w w:val="120"/>
                            <w:sz w:val="18"/>
                          </w:rPr>
                          <w:t>266</w:t>
                        </w:r>
                      </w:p>
                    </w:tc>
                  </w:tr>
                  <w:tr>
                    <w:trPr>
                      <w:trHeight w:val="238" w:hRule="exact"/>
                    </w:trPr>
                    <w:tc>
                      <w:tcPr>
                        <w:tcW w:w="4850" w:type="dxa"/>
                      </w:tcPr>
                      <w:p>
                        <w:pPr>
                          <w:pStyle w:val="TableParagraph"/>
                          <w:spacing w:line="199" w:lineRule="exact"/>
                          <w:ind w:left="139"/>
                          <w:rPr>
                            <w:sz w:val="18"/>
                          </w:rPr>
                        </w:pPr>
                        <w:r>
                          <w:rPr>
                            <w:w w:val="105"/>
                            <w:sz w:val="18"/>
                          </w:rPr>
                          <w:t>Proceeds  from Employee stock  plans</w:t>
                        </w:r>
                      </w:p>
                    </w:tc>
                    <w:tc>
                      <w:tcPr>
                        <w:tcW w:w="3810" w:type="dxa"/>
                        <w:gridSpan w:val="2"/>
                      </w:tcPr>
                      <w:p>
                        <w:pPr>
                          <w:pStyle w:val="TableParagraph"/>
                          <w:tabs>
                            <w:tab w:pos="3250" w:val="left" w:leader="none"/>
                          </w:tabs>
                          <w:spacing w:line="199" w:lineRule="exact"/>
                          <w:ind w:left="1530"/>
                          <w:rPr>
                            <w:sz w:val="18"/>
                          </w:rPr>
                        </w:pPr>
                        <w:r>
                          <w:rPr>
                            <w:b/>
                            <w:color w:val="0000D3"/>
                            <w:w w:val="120"/>
                            <w:sz w:val="18"/>
                          </w:rPr>
                          <w:t>9</w:t>
                        </w:r>
                        <w:r>
                          <w:rPr>
                            <w:b/>
                            <w:color w:val="0000D3"/>
                            <w:spacing w:val="-21"/>
                            <w:w w:val="120"/>
                            <w:sz w:val="18"/>
                          </w:rPr>
                          <w:t> </w:t>
                        </w:r>
                        <w:r>
                          <w:rPr>
                            <w:b/>
                            <w:color w:val="0000D3"/>
                            <w:w w:val="120"/>
                            <w:sz w:val="18"/>
                          </w:rPr>
                          <w:t>3</w:t>
                          <w:tab/>
                        </w:r>
                        <w:r>
                          <w:rPr>
                            <w:w w:val="120"/>
                            <w:sz w:val="18"/>
                          </w:rPr>
                          <w:t>57</w:t>
                        </w:r>
                      </w:p>
                    </w:tc>
                    <w:tc>
                      <w:tcPr>
                        <w:tcW w:w="1513" w:type="dxa"/>
                      </w:tcPr>
                      <w:p>
                        <w:pPr>
                          <w:pStyle w:val="TableParagraph"/>
                          <w:spacing w:line="199" w:lineRule="exact"/>
                          <w:ind w:right="170"/>
                          <w:jc w:val="right"/>
                          <w:rPr>
                            <w:sz w:val="18"/>
                          </w:rPr>
                        </w:pPr>
                        <w:r>
                          <w:rPr>
                            <w:w w:val="115"/>
                            <w:sz w:val="18"/>
                          </w:rPr>
                          <w:t>44</w:t>
                        </w:r>
                      </w:p>
                    </w:tc>
                  </w:tr>
                  <w:tr>
                    <w:trPr>
                      <w:trHeight w:val="202" w:hRule="exact"/>
                    </w:trPr>
                    <w:tc>
                      <w:tcPr>
                        <w:tcW w:w="4850" w:type="dxa"/>
                      </w:tcPr>
                      <w:p>
                        <w:pPr>
                          <w:pStyle w:val="TableParagraph"/>
                          <w:spacing w:line="181" w:lineRule="exact"/>
                          <w:ind w:left="135"/>
                          <w:rPr>
                            <w:sz w:val="18"/>
                          </w:rPr>
                        </w:pPr>
                        <w:r>
                          <w:rPr>
                            <w:w w:val="110"/>
                            <w:sz w:val="18"/>
                          </w:rPr>
                          <w:t>Payments of long-term debt and  capital</w:t>
                        </w:r>
                      </w:p>
                    </w:tc>
                    <w:tc>
                      <w:tcPr>
                        <w:tcW w:w="2150" w:type="dxa"/>
                      </w:tcPr>
                      <w:p>
                        <w:pPr/>
                      </w:p>
                    </w:tc>
                    <w:tc>
                      <w:tcPr>
                        <w:tcW w:w="1660" w:type="dxa"/>
                      </w:tcPr>
                      <w:p>
                        <w:pPr/>
                      </w:p>
                    </w:tc>
                    <w:tc>
                      <w:tcPr>
                        <w:tcW w:w="1513" w:type="dxa"/>
                      </w:tcPr>
                      <w:p>
                        <w:pPr/>
                      </w:p>
                    </w:tc>
                  </w:tr>
                  <w:tr>
                    <w:trPr>
                      <w:trHeight w:val="220" w:hRule="exact"/>
                    </w:trPr>
                    <w:tc>
                      <w:tcPr>
                        <w:tcW w:w="4850" w:type="dxa"/>
                      </w:tcPr>
                      <w:p>
                        <w:pPr>
                          <w:pStyle w:val="TableParagraph"/>
                          <w:spacing w:before="10"/>
                          <w:ind w:left="263"/>
                          <w:rPr>
                            <w:sz w:val="18"/>
                          </w:rPr>
                        </w:pPr>
                        <w:r>
                          <w:rPr>
                            <w:w w:val="105"/>
                            <w:sz w:val="18"/>
                          </w:rPr>
                          <w:t>lease obligations</w:t>
                        </w:r>
                      </w:p>
                    </w:tc>
                    <w:tc>
                      <w:tcPr>
                        <w:tcW w:w="2150" w:type="dxa"/>
                      </w:tcPr>
                      <w:p>
                        <w:pPr>
                          <w:pStyle w:val="TableParagraph"/>
                          <w:spacing w:before="10"/>
                          <w:ind w:right="237"/>
                          <w:jc w:val="right"/>
                          <w:rPr>
                            <w:b/>
                            <w:sz w:val="18"/>
                          </w:rPr>
                        </w:pPr>
                        <w:r>
                          <w:rPr>
                            <w:b/>
                            <w:color w:val="0000D3"/>
                            <w:w w:val="130"/>
                            <w:sz w:val="18"/>
                          </w:rPr>
                          <w:t>(</w:t>
                        </w:r>
                        <w:r>
                          <w:rPr>
                            <w:b/>
                            <w:color w:val="0000D3"/>
                            <w:spacing w:val="-54"/>
                            <w:w w:val="130"/>
                            <w:sz w:val="18"/>
                          </w:rPr>
                          <w:t> </w:t>
                        </w:r>
                        <w:r>
                          <w:rPr>
                            <w:b/>
                            <w:color w:val="0000D3"/>
                            <w:spacing w:val="16"/>
                            <w:w w:val="130"/>
                            <w:sz w:val="18"/>
                          </w:rPr>
                          <w:t>130</w:t>
                        </w:r>
                        <w:r>
                          <w:rPr>
                            <w:b/>
                            <w:color w:val="0000D3"/>
                            <w:spacing w:val="-54"/>
                            <w:w w:val="130"/>
                            <w:sz w:val="18"/>
                          </w:rPr>
                          <w:t> </w:t>
                        </w:r>
                        <w:r>
                          <w:rPr>
                            <w:b/>
                            <w:color w:val="0000D3"/>
                            <w:w w:val="130"/>
                            <w:sz w:val="18"/>
                          </w:rPr>
                          <w:t>)</w:t>
                        </w:r>
                      </w:p>
                    </w:tc>
                    <w:tc>
                      <w:tcPr>
                        <w:tcW w:w="1660" w:type="dxa"/>
                      </w:tcPr>
                      <w:p>
                        <w:pPr>
                          <w:pStyle w:val="TableParagraph"/>
                          <w:spacing w:before="10"/>
                          <w:ind w:right="236"/>
                          <w:jc w:val="right"/>
                          <w:rPr>
                            <w:sz w:val="18"/>
                          </w:rPr>
                        </w:pPr>
                        <w:r>
                          <w:rPr>
                            <w:w w:val="125"/>
                            <w:sz w:val="18"/>
                          </w:rPr>
                          <w:t>(65)</w:t>
                        </w:r>
                      </w:p>
                    </w:tc>
                    <w:tc>
                      <w:tcPr>
                        <w:tcW w:w="1513" w:type="dxa"/>
                      </w:tcPr>
                      <w:p>
                        <w:pPr>
                          <w:pStyle w:val="TableParagraph"/>
                          <w:spacing w:before="10"/>
                          <w:ind w:left="900"/>
                          <w:rPr>
                            <w:sz w:val="18"/>
                          </w:rPr>
                        </w:pPr>
                        <w:r>
                          <w:rPr>
                            <w:w w:val="125"/>
                            <w:sz w:val="18"/>
                          </w:rPr>
                          <w:t>(111)</w:t>
                        </w:r>
                      </w:p>
                    </w:tc>
                  </w:tr>
                  <w:tr>
                    <w:trPr>
                      <w:trHeight w:val="220" w:hRule="exact"/>
                    </w:trPr>
                    <w:tc>
                      <w:tcPr>
                        <w:tcW w:w="4850" w:type="dxa"/>
                      </w:tcPr>
                      <w:p>
                        <w:pPr>
                          <w:pStyle w:val="TableParagraph"/>
                          <w:spacing w:line="199" w:lineRule="exact"/>
                          <w:ind w:left="147"/>
                          <w:rPr>
                            <w:sz w:val="18"/>
                          </w:rPr>
                        </w:pPr>
                        <w:r>
                          <w:rPr>
                            <w:w w:val="115"/>
                            <w:sz w:val="18"/>
                          </w:rPr>
                          <w:t>Payments of trust arrangement</w:t>
                        </w:r>
                      </w:p>
                    </w:tc>
                    <w:tc>
                      <w:tcPr>
                        <w:tcW w:w="2150" w:type="dxa"/>
                      </w:tcPr>
                      <w:p>
                        <w:pPr>
                          <w:pStyle w:val="TableParagraph"/>
                          <w:spacing w:line="199" w:lineRule="exact"/>
                          <w:ind w:left="1410"/>
                          <w:rPr>
                            <w:b/>
                            <w:sz w:val="18"/>
                          </w:rPr>
                        </w:pPr>
                        <w:r>
                          <w:rPr>
                            <w:b/>
                            <w:color w:val="0000D3"/>
                            <w:w w:val="113"/>
                            <w:sz w:val="18"/>
                          </w:rPr>
                          <w:t>-</w:t>
                        </w:r>
                      </w:p>
                    </w:tc>
                    <w:tc>
                      <w:tcPr>
                        <w:tcW w:w="1660" w:type="dxa"/>
                      </w:tcPr>
                      <w:p>
                        <w:pPr>
                          <w:pStyle w:val="TableParagraph"/>
                          <w:spacing w:line="199" w:lineRule="exact"/>
                          <w:ind w:right="236"/>
                          <w:jc w:val="right"/>
                          <w:rPr>
                            <w:sz w:val="18"/>
                          </w:rPr>
                        </w:pPr>
                        <w:r>
                          <w:rPr>
                            <w:w w:val="125"/>
                            <w:sz w:val="18"/>
                          </w:rPr>
                          <w:t>(385)</w:t>
                        </w:r>
                      </w:p>
                    </w:tc>
                    <w:tc>
                      <w:tcPr>
                        <w:tcW w:w="1513" w:type="dxa"/>
                      </w:tcPr>
                      <w:p>
                        <w:pPr>
                          <w:pStyle w:val="TableParagraph"/>
                          <w:spacing w:line="199" w:lineRule="exact"/>
                          <w:ind w:left="1000"/>
                          <w:rPr>
                            <w:sz w:val="18"/>
                          </w:rPr>
                        </w:pPr>
                        <w:r>
                          <w:rPr>
                            <w:w w:val="113"/>
                            <w:sz w:val="18"/>
                          </w:rPr>
                          <w:t>-</w:t>
                        </w:r>
                      </w:p>
                    </w:tc>
                  </w:tr>
                  <w:tr>
                    <w:trPr>
                      <w:trHeight w:val="220" w:hRule="exact"/>
                    </w:trPr>
                    <w:tc>
                      <w:tcPr>
                        <w:tcW w:w="4850" w:type="dxa"/>
                      </w:tcPr>
                      <w:p>
                        <w:pPr>
                          <w:pStyle w:val="TableParagraph"/>
                          <w:spacing w:line="199" w:lineRule="exact"/>
                          <w:ind w:left="169"/>
                          <w:rPr>
                            <w:sz w:val="18"/>
                          </w:rPr>
                        </w:pPr>
                        <w:r>
                          <w:rPr>
                            <w:w w:val="115"/>
                            <w:sz w:val="18"/>
                          </w:rPr>
                          <w:t>Payment of revolving credit  facility</w:t>
                        </w:r>
                      </w:p>
                    </w:tc>
                    <w:tc>
                      <w:tcPr>
                        <w:tcW w:w="2150" w:type="dxa"/>
                      </w:tcPr>
                      <w:p>
                        <w:pPr>
                          <w:pStyle w:val="TableParagraph"/>
                          <w:spacing w:line="199" w:lineRule="exact"/>
                          <w:ind w:left="1410"/>
                          <w:rPr>
                            <w:b/>
                            <w:sz w:val="18"/>
                          </w:rPr>
                        </w:pPr>
                        <w:r>
                          <w:rPr>
                            <w:b/>
                            <w:color w:val="0000D3"/>
                            <w:w w:val="113"/>
                            <w:sz w:val="18"/>
                          </w:rPr>
                          <w:t>-</w:t>
                        </w:r>
                      </w:p>
                    </w:tc>
                    <w:tc>
                      <w:tcPr>
                        <w:tcW w:w="1660" w:type="dxa"/>
                      </w:tcPr>
                      <w:p>
                        <w:pPr>
                          <w:pStyle w:val="TableParagraph"/>
                          <w:spacing w:line="199" w:lineRule="exact"/>
                          <w:ind w:right="236"/>
                          <w:jc w:val="right"/>
                          <w:rPr>
                            <w:sz w:val="18"/>
                          </w:rPr>
                        </w:pPr>
                        <w:r>
                          <w:rPr>
                            <w:w w:val="125"/>
                            <w:sz w:val="18"/>
                          </w:rPr>
                          <w:t>(475)</w:t>
                        </w:r>
                      </w:p>
                    </w:tc>
                    <w:tc>
                      <w:tcPr>
                        <w:tcW w:w="1513" w:type="dxa"/>
                      </w:tcPr>
                      <w:p>
                        <w:pPr>
                          <w:pStyle w:val="TableParagraph"/>
                          <w:spacing w:line="199" w:lineRule="exact"/>
                          <w:ind w:left="1000"/>
                          <w:rPr>
                            <w:sz w:val="18"/>
                          </w:rPr>
                        </w:pPr>
                        <w:r>
                          <w:rPr>
                            <w:w w:val="113"/>
                            <w:sz w:val="18"/>
                          </w:rPr>
                          <w:t>-</w:t>
                        </w:r>
                      </w:p>
                    </w:tc>
                  </w:tr>
                  <w:tr>
                    <w:trPr>
                      <w:trHeight w:val="238" w:hRule="exact"/>
                    </w:trPr>
                    <w:tc>
                      <w:tcPr>
                        <w:tcW w:w="4850" w:type="dxa"/>
                      </w:tcPr>
                      <w:p>
                        <w:pPr>
                          <w:pStyle w:val="TableParagraph"/>
                          <w:spacing w:line="199" w:lineRule="exact"/>
                          <w:ind w:left="138"/>
                          <w:rPr>
                            <w:sz w:val="18"/>
                          </w:rPr>
                        </w:pPr>
                        <w:r>
                          <w:rPr>
                            <w:w w:val="105"/>
                            <w:sz w:val="18"/>
                          </w:rPr>
                          <w:t>Payments  of  cash dividends</w:t>
                        </w:r>
                      </w:p>
                    </w:tc>
                    <w:tc>
                      <w:tcPr>
                        <w:tcW w:w="2150" w:type="dxa"/>
                      </w:tcPr>
                      <w:p>
                        <w:pPr>
                          <w:pStyle w:val="TableParagraph"/>
                          <w:spacing w:line="199" w:lineRule="exact"/>
                          <w:ind w:right="237"/>
                          <w:jc w:val="right"/>
                          <w:rPr>
                            <w:b/>
                            <w:sz w:val="18"/>
                          </w:rPr>
                        </w:pPr>
                        <w:r>
                          <w:rPr>
                            <w:b/>
                            <w:color w:val="0000D3"/>
                            <w:w w:val="130"/>
                            <w:sz w:val="18"/>
                          </w:rPr>
                          <w:t>( </w:t>
                        </w:r>
                        <w:r>
                          <w:rPr>
                            <w:b/>
                            <w:color w:val="0000D3"/>
                            <w:spacing w:val="13"/>
                            <w:w w:val="130"/>
                            <w:sz w:val="18"/>
                          </w:rPr>
                          <w:t>14</w:t>
                        </w:r>
                        <w:r>
                          <w:rPr>
                            <w:b/>
                            <w:color w:val="0000D3"/>
                            <w:spacing w:val="-47"/>
                            <w:w w:val="130"/>
                            <w:sz w:val="18"/>
                          </w:rPr>
                          <w:t> </w:t>
                        </w:r>
                        <w:r>
                          <w:rPr>
                            <w:b/>
                            <w:color w:val="0000D3"/>
                            <w:w w:val="130"/>
                            <w:sz w:val="18"/>
                          </w:rPr>
                          <w:t>)</w:t>
                        </w:r>
                      </w:p>
                    </w:tc>
                    <w:tc>
                      <w:tcPr>
                        <w:tcW w:w="1660" w:type="dxa"/>
                      </w:tcPr>
                      <w:p>
                        <w:pPr>
                          <w:pStyle w:val="TableParagraph"/>
                          <w:spacing w:line="199" w:lineRule="exact"/>
                          <w:ind w:right="236"/>
                          <w:jc w:val="right"/>
                          <w:rPr>
                            <w:sz w:val="18"/>
                          </w:rPr>
                        </w:pPr>
                        <w:r>
                          <w:rPr>
                            <w:w w:val="125"/>
                            <w:sz w:val="18"/>
                          </w:rPr>
                          <w:t>(14)</w:t>
                        </w:r>
                      </w:p>
                    </w:tc>
                    <w:tc>
                      <w:tcPr>
                        <w:tcW w:w="1513" w:type="dxa"/>
                      </w:tcPr>
                      <w:p>
                        <w:pPr>
                          <w:pStyle w:val="TableParagraph"/>
                          <w:spacing w:line="199" w:lineRule="exact"/>
                          <w:ind w:right="89"/>
                          <w:jc w:val="right"/>
                          <w:rPr>
                            <w:sz w:val="18"/>
                          </w:rPr>
                        </w:pPr>
                        <w:r>
                          <w:rPr>
                            <w:w w:val="125"/>
                            <w:sz w:val="18"/>
                          </w:rPr>
                          <w:t>(13)</w:t>
                        </w:r>
                      </w:p>
                    </w:tc>
                  </w:tr>
                </w:tbl>
                <w:p>
                  <w:pPr>
                    <w:pStyle w:val="BodyText"/>
                  </w:pPr>
                </w:p>
              </w:txbxContent>
            </v:textbox>
            <w10:wrap type="none"/>
          </v:shape>
        </w:pict>
      </w:r>
      <w:r>
        <w:rPr>
          <w:rFonts w:ascii="Arial"/>
          <w:w w:val="105"/>
          <w:sz w:val="18"/>
        </w:rPr>
        <w:t>Changes in certain assets and    liabilities:</w:t>
      </w: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spacing w:before="7"/>
        <w:rPr>
          <w:rFonts w:ascii="Arial"/>
          <w:sz w:val="26"/>
        </w:rPr>
      </w:pPr>
    </w:p>
    <w:p>
      <w:pPr>
        <w:tabs>
          <w:tab w:pos="5635" w:val="left" w:leader="none"/>
          <w:tab w:pos="6395" w:val="left" w:leader="none"/>
          <w:tab w:pos="6635" w:val="left" w:leader="none"/>
          <w:tab w:pos="7295" w:val="left" w:leader="none"/>
          <w:tab w:pos="8015" w:val="left" w:leader="none"/>
          <w:tab w:pos="8255" w:val="left" w:leader="none"/>
          <w:tab w:pos="8955" w:val="left" w:leader="none"/>
          <w:tab w:pos="9556" w:val="left" w:leader="none"/>
          <w:tab w:pos="9916" w:val="left" w:leader="none"/>
        </w:tabs>
        <w:spacing w:line="324" w:lineRule="auto" w:before="0"/>
        <w:ind w:left="652" w:right="142" w:hanging="403"/>
        <w:jc w:val="left"/>
        <w:rPr>
          <w:rFonts w:ascii="Arial"/>
          <w:sz w:val="18"/>
        </w:rPr>
      </w:pPr>
      <w:r>
        <w:rPr>
          <w:rFonts w:ascii="Arial"/>
          <w:w w:val="120"/>
          <w:sz w:val="18"/>
        </w:rPr>
        <w:t>Other,</w:t>
      </w:r>
      <w:r>
        <w:rPr>
          <w:rFonts w:ascii="Arial"/>
          <w:spacing w:val="-20"/>
          <w:w w:val="120"/>
          <w:sz w:val="18"/>
        </w:rPr>
        <w:t> </w:t>
      </w:r>
      <w:r>
        <w:rPr>
          <w:rFonts w:ascii="Arial"/>
          <w:w w:val="120"/>
          <w:sz w:val="18"/>
        </w:rPr>
        <w:t>net</w:t>
        <w:tab/>
      </w:r>
      <w:r>
        <w:rPr>
          <w:rFonts w:ascii="Arial"/>
          <w:b/>
          <w:color w:val="0000D3"/>
          <w:w w:val="120"/>
          <w:sz w:val="18"/>
          <w:u w:val="single" w:color="000000"/>
        </w:rPr>
        <w:t> </w:t>
        <w:tab/>
        <w:tab/>
        <w:t>3</w:t>
      </w:r>
      <w:r>
        <w:rPr>
          <w:rFonts w:ascii="Arial"/>
          <w:b/>
          <w:color w:val="0000D3"/>
          <w:w w:val="120"/>
          <w:sz w:val="18"/>
        </w:rPr>
        <w:tab/>
      </w:r>
      <w:r>
        <w:rPr>
          <w:rFonts w:ascii="Arial"/>
          <w:w w:val="120"/>
          <w:sz w:val="18"/>
          <w:u w:val="single"/>
        </w:rPr>
        <w:t> </w:t>
        <w:tab/>
        <w:tab/>
        <w:t>(4)</w:t>
      </w:r>
      <w:r>
        <w:rPr>
          <w:rFonts w:ascii="Arial"/>
          <w:w w:val="120"/>
          <w:sz w:val="18"/>
        </w:rPr>
        <w:tab/>
      </w:r>
      <w:r>
        <w:rPr>
          <w:rFonts w:ascii="Arial"/>
          <w:w w:val="120"/>
          <w:sz w:val="18"/>
          <w:u w:val="single"/>
        </w:rPr>
        <w:t> </w:t>
        <w:tab/>
        <w:tab/>
        <w:t>(5) </w:t>
      </w:r>
      <w:r>
        <w:rPr>
          <w:rFonts w:ascii="Arial"/>
          <w:w w:val="120"/>
          <w:sz w:val="18"/>
        </w:rPr>
        <w:t>Net</w:t>
      </w:r>
      <w:r>
        <w:rPr>
          <w:rFonts w:ascii="Arial"/>
          <w:spacing w:val="-38"/>
          <w:w w:val="120"/>
          <w:sz w:val="18"/>
        </w:rPr>
        <w:t> </w:t>
      </w:r>
      <w:r>
        <w:rPr>
          <w:rFonts w:ascii="Arial"/>
          <w:w w:val="120"/>
          <w:sz w:val="18"/>
        </w:rPr>
        <w:t>cash</w:t>
      </w:r>
      <w:r>
        <w:rPr>
          <w:rFonts w:ascii="Arial"/>
          <w:spacing w:val="-38"/>
          <w:w w:val="120"/>
          <w:sz w:val="18"/>
        </w:rPr>
        <w:t> </w:t>
      </w:r>
      <w:r>
        <w:rPr>
          <w:rFonts w:ascii="Arial"/>
          <w:w w:val="120"/>
          <w:sz w:val="18"/>
        </w:rPr>
        <w:t>provided</w:t>
      </w:r>
      <w:r>
        <w:rPr>
          <w:rFonts w:ascii="Arial"/>
          <w:spacing w:val="-38"/>
          <w:w w:val="120"/>
          <w:sz w:val="18"/>
        </w:rPr>
        <w:t> </w:t>
      </w:r>
      <w:r>
        <w:rPr>
          <w:rFonts w:ascii="Arial"/>
          <w:w w:val="120"/>
          <w:sz w:val="18"/>
        </w:rPr>
        <w:t>by</w:t>
      </w:r>
      <w:r>
        <w:rPr>
          <w:rFonts w:ascii="Arial"/>
          <w:spacing w:val="-38"/>
          <w:w w:val="120"/>
          <w:sz w:val="18"/>
        </w:rPr>
        <w:t> </w:t>
      </w:r>
      <w:r>
        <w:rPr>
          <w:rFonts w:ascii="Arial"/>
          <w:w w:val="120"/>
          <w:sz w:val="18"/>
        </w:rPr>
        <w:t>(used</w:t>
      </w:r>
      <w:r>
        <w:rPr>
          <w:rFonts w:ascii="Arial"/>
          <w:spacing w:val="-38"/>
          <w:w w:val="120"/>
          <w:sz w:val="18"/>
        </w:rPr>
        <w:t> </w:t>
      </w:r>
      <w:r>
        <w:rPr>
          <w:rFonts w:ascii="Arial"/>
          <w:w w:val="120"/>
          <w:sz w:val="18"/>
        </w:rPr>
        <w:t>in)</w:t>
      </w:r>
      <w:r>
        <w:rPr>
          <w:rFonts w:ascii="Arial"/>
          <w:spacing w:val="-38"/>
          <w:w w:val="120"/>
          <w:sz w:val="18"/>
        </w:rPr>
        <w:t> </w:t>
      </w:r>
      <w:r>
        <w:rPr>
          <w:rFonts w:ascii="Arial"/>
          <w:w w:val="120"/>
          <w:sz w:val="18"/>
        </w:rPr>
        <w:t>financing</w:t>
      </w:r>
      <w:r>
        <w:rPr>
          <w:rFonts w:ascii="Arial"/>
          <w:spacing w:val="-38"/>
          <w:w w:val="120"/>
          <w:sz w:val="18"/>
        </w:rPr>
        <w:t> </w:t>
      </w:r>
      <w:r>
        <w:rPr>
          <w:rFonts w:ascii="Arial"/>
          <w:w w:val="120"/>
          <w:sz w:val="18"/>
        </w:rPr>
        <w:t>activities</w:t>
        <w:tab/>
      </w:r>
      <w:r>
        <w:rPr>
          <w:rFonts w:ascii="Arial"/>
          <w:b/>
          <w:color w:val="0000D3"/>
          <w:w w:val="120"/>
          <w:sz w:val="18"/>
          <w:u w:val="single" w:color="000000"/>
        </w:rPr>
        <w:t> </w:t>
        <w:tab/>
        <w:t>(</w:t>
      </w:r>
      <w:r>
        <w:rPr>
          <w:rFonts w:ascii="Arial"/>
          <w:b/>
          <w:color w:val="0000D3"/>
          <w:spacing w:val="-26"/>
          <w:w w:val="120"/>
          <w:sz w:val="18"/>
          <w:u w:val="single" w:color="000000"/>
        </w:rPr>
        <w:t> </w:t>
      </w:r>
      <w:r>
        <w:rPr>
          <w:rFonts w:ascii="Arial"/>
          <w:b/>
          <w:color w:val="0000D3"/>
          <w:spacing w:val="13"/>
          <w:w w:val="120"/>
          <w:sz w:val="18"/>
          <w:u w:val="single" w:color="000000"/>
        </w:rPr>
        <w:t>48</w:t>
      </w:r>
      <w:r>
        <w:rPr>
          <w:rFonts w:ascii="Arial"/>
          <w:b/>
          <w:color w:val="0000D3"/>
          <w:spacing w:val="-26"/>
          <w:w w:val="120"/>
          <w:sz w:val="18"/>
          <w:u w:val="single" w:color="000000"/>
        </w:rPr>
        <w:t> </w:t>
      </w:r>
      <w:r>
        <w:rPr>
          <w:rFonts w:ascii="Arial"/>
          <w:b/>
          <w:color w:val="0000D3"/>
          <w:w w:val="120"/>
          <w:sz w:val="18"/>
          <w:u w:val="single" w:color="000000"/>
        </w:rPr>
        <w:t>)</w:t>
      </w:r>
      <w:r>
        <w:rPr>
          <w:rFonts w:ascii="Arial"/>
          <w:b/>
          <w:color w:val="0000D3"/>
          <w:w w:val="120"/>
          <w:sz w:val="18"/>
        </w:rPr>
        <w:tab/>
      </w:r>
      <w:r>
        <w:rPr>
          <w:rFonts w:ascii="Arial"/>
          <w:w w:val="120"/>
          <w:sz w:val="18"/>
          <w:u w:val="single"/>
        </w:rPr>
        <w:t> </w:t>
        <w:tab/>
        <w:t>(382)</w:t>
      </w:r>
      <w:r>
        <w:rPr>
          <w:rFonts w:ascii="Arial"/>
          <w:w w:val="120"/>
          <w:sz w:val="18"/>
        </w:rPr>
        <w:tab/>
      </w:r>
      <w:r>
        <w:rPr>
          <w:rFonts w:ascii="Arial"/>
          <w:w w:val="120"/>
          <w:sz w:val="18"/>
          <w:u w:val="single"/>
        </w:rPr>
        <w:t> </w:t>
        <w:tab/>
      </w:r>
      <w:r>
        <w:rPr>
          <w:rFonts w:ascii="Arial"/>
          <w:spacing w:val="4"/>
          <w:w w:val="120"/>
          <w:sz w:val="18"/>
          <w:u w:val="single"/>
        </w:rPr>
        <w:t>1,270</w:t>
      </w:r>
      <w:r>
        <w:rPr>
          <w:rFonts w:ascii="Arial"/>
          <w:spacing w:val="-11"/>
          <w:sz w:val="18"/>
          <w:u w:val="single"/>
        </w:rPr>
        <w:t> </w:t>
      </w:r>
    </w:p>
    <w:p>
      <w:pPr>
        <w:spacing w:before="162"/>
        <w:ind w:left="115" w:right="0" w:firstLine="0"/>
        <w:jc w:val="left"/>
        <w:rPr>
          <w:rFonts w:ascii="Arial"/>
          <w:b/>
          <w:sz w:val="18"/>
        </w:rPr>
      </w:pPr>
      <w:r>
        <w:rPr>
          <w:rFonts w:ascii="Arial"/>
          <w:b/>
          <w:color w:val="0000D3"/>
          <w:sz w:val="18"/>
        </w:rPr>
        <w:t>NET  INCREASE  (DECREASE)  IN   CASH</w:t>
      </w:r>
    </w:p>
    <w:p>
      <w:pPr>
        <w:tabs>
          <w:tab w:pos="6495" w:val="left" w:leader="none"/>
          <w:tab w:pos="8015" w:val="left" w:leader="none"/>
          <w:tab w:pos="9556" w:val="left" w:leader="none"/>
        </w:tabs>
        <w:spacing w:line="254" w:lineRule="auto" w:before="12"/>
        <w:ind w:left="116" w:right="281" w:firstLine="283"/>
        <w:jc w:val="left"/>
        <w:rPr>
          <w:rFonts w:ascii="Arial"/>
          <w:b/>
          <w:sz w:val="18"/>
        </w:rPr>
      </w:pPr>
      <w:r>
        <w:rPr>
          <w:rFonts w:ascii="Arial"/>
          <w:b/>
          <w:color w:val="0000D3"/>
          <w:spacing w:val="4"/>
          <w:w w:val="105"/>
          <w:sz w:val="18"/>
        </w:rPr>
        <w:t>AND</w:t>
      </w:r>
      <w:r>
        <w:rPr>
          <w:rFonts w:ascii="Arial"/>
          <w:b/>
          <w:color w:val="0000D3"/>
          <w:spacing w:val="23"/>
          <w:w w:val="105"/>
          <w:sz w:val="18"/>
        </w:rPr>
        <w:t> </w:t>
      </w:r>
      <w:r>
        <w:rPr>
          <w:rFonts w:ascii="Arial"/>
          <w:b/>
          <w:color w:val="0000D3"/>
          <w:spacing w:val="5"/>
          <w:w w:val="105"/>
          <w:sz w:val="18"/>
        </w:rPr>
        <w:t>CASH</w:t>
      </w:r>
      <w:r>
        <w:rPr>
          <w:rFonts w:ascii="Arial"/>
          <w:b/>
          <w:color w:val="0000D3"/>
          <w:spacing w:val="23"/>
          <w:w w:val="105"/>
          <w:sz w:val="18"/>
        </w:rPr>
        <w:t> </w:t>
      </w:r>
      <w:r>
        <w:rPr>
          <w:rFonts w:ascii="Arial"/>
          <w:b/>
          <w:color w:val="0000D3"/>
          <w:spacing w:val="6"/>
          <w:w w:val="105"/>
          <w:sz w:val="18"/>
        </w:rPr>
        <w:t>EQUIVALENTS</w:t>
        <w:tab/>
      </w:r>
      <w:r>
        <w:rPr>
          <w:rFonts w:ascii="Arial"/>
          <w:b/>
          <w:color w:val="0000D3"/>
          <w:w w:val="105"/>
          <w:sz w:val="18"/>
        </w:rPr>
        <w:t>5</w:t>
      </w:r>
      <w:r>
        <w:rPr>
          <w:rFonts w:ascii="Arial"/>
          <w:b/>
          <w:color w:val="0000D3"/>
          <w:spacing w:val="-5"/>
          <w:w w:val="105"/>
          <w:sz w:val="18"/>
        </w:rPr>
        <w:t> </w:t>
      </w:r>
      <w:r>
        <w:rPr>
          <w:rFonts w:ascii="Arial"/>
          <w:b/>
          <w:color w:val="0000D3"/>
          <w:w w:val="105"/>
          <w:sz w:val="18"/>
        </w:rPr>
        <w:t>0</w:t>
        <w:tab/>
      </w:r>
      <w:r>
        <w:rPr>
          <w:rFonts w:ascii="Arial"/>
          <w:w w:val="105"/>
          <w:sz w:val="18"/>
        </w:rPr>
        <w:t>(465)</w:t>
        <w:tab/>
      </w:r>
      <w:r>
        <w:rPr>
          <w:rFonts w:ascii="Arial"/>
          <w:spacing w:val="4"/>
          <w:w w:val="105"/>
          <w:sz w:val="18"/>
        </w:rPr>
        <w:t>1,757 </w:t>
      </w:r>
      <w:r>
        <w:rPr>
          <w:rFonts w:ascii="Arial"/>
          <w:b/>
          <w:color w:val="0000D3"/>
          <w:spacing w:val="6"/>
          <w:w w:val="105"/>
          <w:sz w:val="18"/>
        </w:rPr>
        <w:t>CASH  AND  CASH  </w:t>
      </w:r>
      <w:r>
        <w:rPr>
          <w:rFonts w:ascii="Arial"/>
          <w:b/>
          <w:color w:val="0000D3"/>
          <w:spacing w:val="8"/>
          <w:w w:val="105"/>
          <w:sz w:val="18"/>
        </w:rPr>
        <w:t>EQUIVALENTS</w:t>
      </w:r>
      <w:r>
        <w:rPr>
          <w:rFonts w:ascii="Arial"/>
          <w:b/>
          <w:color w:val="0000D3"/>
          <w:spacing w:val="14"/>
          <w:w w:val="105"/>
          <w:sz w:val="18"/>
        </w:rPr>
        <w:t> </w:t>
      </w:r>
      <w:r>
        <w:rPr>
          <w:rFonts w:ascii="Arial"/>
          <w:b/>
          <w:color w:val="0000D3"/>
          <w:spacing w:val="4"/>
          <w:w w:val="105"/>
          <w:sz w:val="18"/>
        </w:rPr>
        <w:t>AT</w:t>
      </w:r>
    </w:p>
    <w:p>
      <w:pPr>
        <w:tabs>
          <w:tab w:pos="5635" w:val="left" w:leader="none"/>
          <w:tab w:pos="6115" w:val="left" w:leader="none"/>
          <w:tab w:pos="7295" w:val="left" w:leader="none"/>
          <w:tab w:pos="7895" w:val="left" w:leader="none"/>
          <w:tab w:pos="8955" w:val="left" w:leader="none"/>
          <w:tab w:pos="9756" w:val="left" w:leader="none"/>
        </w:tabs>
        <w:spacing w:line="254" w:lineRule="auto" w:before="0"/>
        <w:ind w:left="116" w:right="142" w:firstLine="280"/>
        <w:jc w:val="left"/>
        <w:rPr>
          <w:rFonts w:ascii="Arial"/>
          <w:b/>
          <w:sz w:val="18"/>
        </w:rPr>
      </w:pPr>
      <w:r>
        <w:rPr>
          <w:rFonts w:ascii="Arial"/>
          <w:b/>
          <w:color w:val="0000D3"/>
          <w:spacing w:val="6"/>
          <w:sz w:val="18"/>
        </w:rPr>
        <w:t>BEGINNING</w:t>
      </w:r>
      <w:r>
        <w:rPr>
          <w:rFonts w:ascii="Arial"/>
          <w:b/>
          <w:color w:val="0000D3"/>
          <w:spacing w:val="33"/>
          <w:sz w:val="18"/>
        </w:rPr>
        <w:t> </w:t>
      </w:r>
      <w:r>
        <w:rPr>
          <w:rFonts w:ascii="Arial"/>
          <w:b/>
          <w:color w:val="0000D3"/>
          <w:spacing w:val="3"/>
          <w:sz w:val="18"/>
        </w:rPr>
        <w:t>OF</w:t>
      </w:r>
      <w:r>
        <w:rPr>
          <w:rFonts w:ascii="Arial"/>
          <w:b/>
          <w:color w:val="0000D3"/>
          <w:spacing w:val="34"/>
          <w:sz w:val="18"/>
        </w:rPr>
        <w:t> </w:t>
      </w:r>
      <w:r>
        <w:rPr>
          <w:rFonts w:ascii="Arial"/>
          <w:b/>
          <w:color w:val="0000D3"/>
          <w:spacing w:val="5"/>
          <w:sz w:val="18"/>
        </w:rPr>
        <w:t>PERIOD</w:t>
        <w:tab/>
      </w:r>
      <w:r>
        <w:rPr>
          <w:rFonts w:ascii="Arial"/>
          <w:b/>
          <w:color w:val="0000D3"/>
          <w:spacing w:val="5"/>
          <w:sz w:val="18"/>
          <w:u w:val="single" w:color="000000"/>
        </w:rPr>
        <w:t> </w:t>
        <w:tab/>
      </w:r>
      <w:r>
        <w:rPr>
          <w:rFonts w:ascii="Arial"/>
          <w:b/>
          <w:color w:val="0000D3"/>
          <w:sz w:val="18"/>
          <w:u w:val="single" w:color="000000"/>
        </w:rPr>
        <w:t>1 , 8</w:t>
      </w:r>
      <w:r>
        <w:rPr>
          <w:rFonts w:ascii="Arial"/>
          <w:b/>
          <w:color w:val="0000D3"/>
          <w:spacing w:val="-23"/>
          <w:sz w:val="18"/>
          <w:u w:val="single" w:color="000000"/>
        </w:rPr>
        <w:t> </w:t>
      </w:r>
      <w:r>
        <w:rPr>
          <w:rFonts w:ascii="Arial"/>
          <w:b/>
          <w:color w:val="0000D3"/>
          <w:sz w:val="18"/>
          <w:u w:val="single" w:color="000000"/>
        </w:rPr>
        <w:t>1</w:t>
      </w:r>
      <w:r>
        <w:rPr>
          <w:rFonts w:ascii="Arial"/>
          <w:b/>
          <w:color w:val="0000D3"/>
          <w:spacing w:val="-8"/>
          <w:sz w:val="18"/>
          <w:u w:val="single" w:color="000000"/>
        </w:rPr>
        <w:t> </w:t>
      </w:r>
      <w:r>
        <w:rPr>
          <w:rFonts w:ascii="Arial"/>
          <w:b/>
          <w:color w:val="0000D3"/>
          <w:sz w:val="18"/>
          <w:u w:val="single" w:color="000000"/>
        </w:rPr>
        <w:t>5</w:t>
      </w:r>
      <w:r>
        <w:rPr>
          <w:rFonts w:ascii="Arial"/>
          <w:b/>
          <w:color w:val="0000D3"/>
          <w:sz w:val="18"/>
        </w:rPr>
        <w:tab/>
      </w:r>
      <w:r>
        <w:rPr>
          <w:rFonts w:ascii="Arial"/>
          <w:sz w:val="18"/>
          <w:u w:val="single"/>
        </w:rPr>
        <w:t> </w:t>
        <w:tab/>
      </w:r>
      <w:r>
        <w:rPr>
          <w:rFonts w:ascii="Arial"/>
          <w:spacing w:val="4"/>
          <w:sz w:val="18"/>
          <w:u w:val="single"/>
        </w:rPr>
        <w:t>2,280</w:t>
      </w:r>
      <w:r>
        <w:rPr>
          <w:rFonts w:ascii="Arial"/>
          <w:spacing w:val="4"/>
          <w:sz w:val="18"/>
        </w:rPr>
        <w:tab/>
      </w:r>
      <w:r>
        <w:rPr>
          <w:rFonts w:ascii="Arial"/>
          <w:spacing w:val="4"/>
          <w:sz w:val="18"/>
          <w:u w:val="single"/>
        </w:rPr>
        <w:t> </w:t>
        <w:tab/>
      </w:r>
      <w:r>
        <w:rPr>
          <w:rFonts w:ascii="Arial"/>
          <w:sz w:val="18"/>
          <w:u w:val="single"/>
        </w:rPr>
        <w:t>523 </w:t>
      </w:r>
      <w:r>
        <w:rPr>
          <w:rFonts w:ascii="Arial"/>
          <w:b/>
          <w:color w:val="0000D3"/>
          <w:spacing w:val="6"/>
          <w:sz w:val="18"/>
        </w:rPr>
        <w:t>CASH </w:t>
      </w:r>
      <w:r>
        <w:rPr>
          <w:rFonts w:ascii="Arial"/>
          <w:b/>
          <w:color w:val="0000D3"/>
          <w:spacing w:val="62"/>
          <w:sz w:val="18"/>
        </w:rPr>
        <w:t> </w:t>
      </w:r>
      <w:r>
        <w:rPr>
          <w:rFonts w:ascii="Arial"/>
          <w:b/>
          <w:color w:val="0000D3"/>
          <w:spacing w:val="6"/>
          <w:sz w:val="18"/>
        </w:rPr>
        <w:t>AND </w:t>
      </w:r>
      <w:r>
        <w:rPr>
          <w:rFonts w:ascii="Arial"/>
          <w:b/>
          <w:color w:val="0000D3"/>
          <w:spacing w:val="62"/>
          <w:sz w:val="18"/>
        </w:rPr>
        <w:t> </w:t>
      </w:r>
      <w:r>
        <w:rPr>
          <w:rFonts w:ascii="Arial"/>
          <w:b/>
          <w:color w:val="0000D3"/>
          <w:spacing w:val="6"/>
          <w:sz w:val="18"/>
        </w:rPr>
        <w:t>CASH </w:t>
      </w:r>
      <w:r>
        <w:rPr>
          <w:rFonts w:ascii="Arial"/>
          <w:b/>
          <w:color w:val="0000D3"/>
          <w:spacing w:val="62"/>
          <w:sz w:val="18"/>
        </w:rPr>
        <w:t> </w:t>
      </w:r>
      <w:r>
        <w:rPr>
          <w:rFonts w:ascii="Arial"/>
          <w:b/>
          <w:color w:val="0000D3"/>
          <w:spacing w:val="8"/>
          <w:sz w:val="18"/>
        </w:rPr>
        <w:t>EQUIVALENTS</w:t>
      </w:r>
      <w:r>
        <w:rPr>
          <w:rFonts w:ascii="Arial"/>
          <w:b/>
          <w:color w:val="0000D3"/>
          <w:spacing w:val="10"/>
          <w:sz w:val="18"/>
        </w:rPr>
        <w:t> </w:t>
      </w:r>
      <w:r>
        <w:rPr>
          <w:rFonts w:ascii="Arial"/>
          <w:b/>
          <w:color w:val="0000D3"/>
          <w:spacing w:val="4"/>
          <w:sz w:val="18"/>
        </w:rPr>
        <w:t>AT</w:t>
      </w:r>
    </w:p>
    <w:p>
      <w:pPr>
        <w:spacing w:after="0" w:line="254" w:lineRule="auto"/>
        <w:jc w:val="left"/>
        <w:rPr>
          <w:rFonts w:ascii="Arial"/>
          <w:sz w:val="18"/>
        </w:rPr>
        <w:sectPr>
          <w:type w:val="continuous"/>
          <w:pgSz w:w="12240" w:h="15840"/>
          <w:pgMar w:top="320" w:bottom="280" w:left="1240" w:right="600"/>
        </w:sectPr>
      </w:pPr>
    </w:p>
    <w:p>
      <w:pPr>
        <w:spacing w:before="0"/>
        <w:ind w:left="354" w:right="0" w:firstLine="0"/>
        <w:jc w:val="left"/>
        <w:rPr>
          <w:rFonts w:ascii="Arial"/>
          <w:b/>
          <w:sz w:val="18"/>
        </w:rPr>
      </w:pPr>
      <w:r>
        <w:rPr>
          <w:rFonts w:ascii="Arial"/>
          <w:b/>
          <w:color w:val="0000D3"/>
          <w:sz w:val="18"/>
        </w:rPr>
        <w:t>END OF PERIOD</w:t>
      </w:r>
    </w:p>
    <w:p>
      <w:pPr>
        <w:pStyle w:val="BodyText"/>
        <w:spacing w:before="7"/>
        <w:rPr>
          <w:rFonts w:ascii="Arial"/>
          <w:b/>
          <w:sz w:val="23"/>
        </w:rPr>
      </w:pPr>
    </w:p>
    <w:p>
      <w:pPr>
        <w:tabs>
          <w:tab w:pos="843" w:val="left" w:leader="none"/>
          <w:tab w:pos="2083" w:val="left" w:leader="none"/>
        </w:tabs>
        <w:spacing w:before="1"/>
        <w:ind w:left="116" w:right="0" w:firstLine="0"/>
        <w:jc w:val="left"/>
        <w:rPr>
          <w:rFonts w:ascii="Arial"/>
          <w:b/>
          <w:sz w:val="18"/>
        </w:rPr>
      </w:pPr>
      <w:r>
        <w:rPr>
          <w:rFonts w:ascii="Arial"/>
          <w:b/>
          <w:color w:val="0000D3"/>
          <w:spacing w:val="9"/>
          <w:sz w:val="18"/>
        </w:rPr>
        <w:t>CASH</w:t>
        <w:tab/>
      </w:r>
      <w:r>
        <w:rPr>
          <w:rFonts w:ascii="Arial"/>
          <w:b/>
          <w:color w:val="0000D3"/>
          <w:spacing w:val="10"/>
          <w:sz w:val="18"/>
        </w:rPr>
        <w:t>PAYMENTS</w:t>
        <w:tab/>
      </w:r>
      <w:r>
        <w:rPr>
          <w:rFonts w:ascii="Arial"/>
          <w:b/>
          <w:color w:val="0000D3"/>
          <w:spacing w:val="9"/>
          <w:w w:val="90"/>
          <w:sz w:val="18"/>
        </w:rPr>
        <w:t>FOR:</w:t>
      </w:r>
    </w:p>
    <w:p>
      <w:pPr>
        <w:spacing w:before="0"/>
        <w:ind w:left="116" w:right="0" w:firstLine="0"/>
        <w:jc w:val="left"/>
        <w:rPr>
          <w:rFonts w:ascii="Arial"/>
          <w:b/>
          <w:sz w:val="18"/>
        </w:rPr>
      </w:pPr>
      <w:r>
        <w:rPr/>
        <w:br w:type="column"/>
      </w:r>
      <w:r>
        <w:rPr>
          <w:rFonts w:ascii="Arial"/>
          <w:b/>
          <w:color w:val="0000D3"/>
          <w:w w:val="120"/>
          <w:sz w:val="18"/>
          <w:u w:val="thick" w:color="000000"/>
        </w:rPr>
        <w:t> </w:t>
      </w:r>
      <w:r>
        <w:rPr>
          <w:rFonts w:ascii="Arial"/>
          <w:b/>
          <w:color w:val="0000D3"/>
          <w:sz w:val="18"/>
          <w:u w:val="thick" w:color="000000"/>
        </w:rPr>
        <w:t>  </w:t>
      </w:r>
      <w:r>
        <w:rPr>
          <w:rFonts w:ascii="Arial"/>
          <w:b/>
          <w:color w:val="0000D3"/>
          <w:w w:val="120"/>
          <w:sz w:val="18"/>
          <w:u w:val="thick" w:color="000000"/>
        </w:rPr>
        <w:t>$ 1 , 8 6 5</w:t>
      </w:r>
      <w:r>
        <w:rPr>
          <w:rFonts w:ascii="Arial"/>
          <w:b/>
          <w:color w:val="0000D3"/>
          <w:sz w:val="18"/>
          <w:u w:val="thick" w:color="000000"/>
        </w:rPr>
        <w:t> </w:t>
      </w:r>
    </w:p>
    <w:p>
      <w:pPr>
        <w:tabs>
          <w:tab w:pos="716" w:val="left" w:leader="none"/>
        </w:tabs>
        <w:spacing w:before="0"/>
        <w:ind w:left="116" w:right="0" w:firstLine="0"/>
        <w:jc w:val="left"/>
        <w:rPr>
          <w:rFonts w:ascii="Arial"/>
          <w:sz w:val="18"/>
        </w:rPr>
      </w:pPr>
      <w:r>
        <w:rPr/>
        <w:br w:type="column"/>
      </w:r>
      <w:r>
        <w:rPr>
          <w:rFonts w:ascii="Arial"/>
          <w:w w:val="120"/>
          <w:sz w:val="18"/>
          <w:u w:val="thick"/>
        </w:rPr>
        <w:t> </w:t>
      </w:r>
      <w:r>
        <w:rPr>
          <w:rFonts w:ascii="Arial"/>
          <w:sz w:val="18"/>
          <w:u w:val="thick"/>
        </w:rPr>
        <w:t> </w:t>
      </w:r>
      <w:r>
        <w:rPr>
          <w:rFonts w:ascii="Arial"/>
          <w:spacing w:val="-20"/>
          <w:sz w:val="18"/>
          <w:u w:val="thick"/>
        </w:rPr>
        <w:t> </w:t>
      </w:r>
      <w:r>
        <w:rPr>
          <w:rFonts w:ascii="Arial"/>
          <w:w w:val="120"/>
          <w:sz w:val="18"/>
          <w:u w:val="thick"/>
        </w:rPr>
        <w:t>$</w:t>
        <w:tab/>
      </w:r>
      <w:r>
        <w:rPr>
          <w:rFonts w:ascii="Arial"/>
          <w:spacing w:val="4"/>
          <w:w w:val="120"/>
          <w:sz w:val="18"/>
          <w:u w:val="thick"/>
        </w:rPr>
        <w:t>1,815</w:t>
      </w:r>
      <w:r>
        <w:rPr>
          <w:rFonts w:ascii="Arial"/>
          <w:spacing w:val="-11"/>
          <w:sz w:val="18"/>
          <w:u w:val="thick"/>
        </w:rPr>
        <w:t> </w:t>
      </w:r>
    </w:p>
    <w:p>
      <w:pPr>
        <w:tabs>
          <w:tab w:pos="715" w:val="left" w:leader="none"/>
        </w:tabs>
        <w:spacing w:before="0"/>
        <w:ind w:left="116" w:right="0" w:firstLine="0"/>
        <w:jc w:val="left"/>
        <w:rPr>
          <w:rFonts w:ascii="Arial"/>
          <w:sz w:val="18"/>
        </w:rPr>
      </w:pPr>
      <w:r>
        <w:rPr/>
        <w:br w:type="column"/>
      </w:r>
      <w:r>
        <w:rPr>
          <w:rFonts w:ascii="Arial"/>
          <w:w w:val="120"/>
          <w:sz w:val="18"/>
          <w:u w:val="thick"/>
        </w:rPr>
        <w:t> </w:t>
      </w:r>
      <w:r>
        <w:rPr>
          <w:rFonts w:ascii="Arial"/>
          <w:sz w:val="18"/>
          <w:u w:val="thick"/>
        </w:rPr>
        <w:t> </w:t>
      </w:r>
      <w:r>
        <w:rPr>
          <w:rFonts w:ascii="Arial"/>
          <w:spacing w:val="-20"/>
          <w:sz w:val="18"/>
          <w:u w:val="thick"/>
        </w:rPr>
        <w:t> </w:t>
      </w:r>
      <w:r>
        <w:rPr>
          <w:rFonts w:ascii="Arial"/>
          <w:w w:val="120"/>
          <w:sz w:val="18"/>
          <w:u w:val="thick"/>
        </w:rPr>
        <w:t>$</w:t>
        <w:tab/>
      </w:r>
      <w:r>
        <w:rPr>
          <w:rFonts w:ascii="Arial"/>
          <w:spacing w:val="4"/>
          <w:w w:val="120"/>
          <w:sz w:val="18"/>
          <w:u w:val="thick"/>
        </w:rPr>
        <w:t>2,280</w:t>
      </w:r>
      <w:r>
        <w:rPr>
          <w:rFonts w:ascii="Arial"/>
          <w:spacing w:val="-11"/>
          <w:sz w:val="18"/>
          <w:u w:val="thick"/>
        </w:rPr>
        <w:t> </w:t>
      </w:r>
    </w:p>
    <w:p>
      <w:pPr>
        <w:spacing w:after="0"/>
        <w:jc w:val="left"/>
        <w:rPr>
          <w:rFonts w:ascii="Arial"/>
          <w:sz w:val="18"/>
        </w:rPr>
        <w:sectPr>
          <w:type w:val="continuous"/>
          <w:pgSz w:w="12240" w:h="15840"/>
          <w:pgMar w:top="320" w:bottom="280" w:left="1240" w:right="600"/>
          <w:cols w:num="4" w:equalWidth="0">
            <w:col w:w="2517" w:space="3003"/>
            <w:col w:w="1417" w:space="243"/>
            <w:col w:w="1417" w:space="243"/>
            <w:col w:w="1560"/>
          </w:cols>
        </w:sectPr>
      </w:pPr>
    </w:p>
    <w:p>
      <w:pPr>
        <w:pStyle w:val="BodyText"/>
        <w:spacing w:before="7"/>
        <w:rPr>
          <w:rFonts w:ascii="Arial"/>
          <w:sz w:val="3"/>
        </w:rPr>
      </w:pPr>
    </w:p>
    <w:tbl>
      <w:tblPr>
        <w:tblW w:w="0" w:type="auto"/>
        <w:jc w:val="left"/>
        <w:tblInd w:w="218"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348"/>
        <w:gridCol w:w="2540"/>
        <w:gridCol w:w="1670"/>
        <w:gridCol w:w="1372"/>
      </w:tblGrid>
      <w:tr>
        <w:trPr>
          <w:trHeight w:val="258" w:hRule="exact"/>
        </w:trPr>
        <w:tc>
          <w:tcPr>
            <w:tcW w:w="4348" w:type="dxa"/>
          </w:tcPr>
          <w:p>
            <w:pPr>
              <w:pStyle w:val="TableParagraph"/>
              <w:spacing w:before="10"/>
              <w:ind w:left="35"/>
              <w:rPr>
                <w:sz w:val="18"/>
              </w:rPr>
            </w:pPr>
            <w:r>
              <w:rPr>
                <w:w w:val="110"/>
                <w:sz w:val="18"/>
              </w:rPr>
              <w:t>Interest, net of amount  capitalized</w:t>
            </w:r>
          </w:p>
        </w:tc>
        <w:tc>
          <w:tcPr>
            <w:tcW w:w="2540" w:type="dxa"/>
          </w:tcPr>
          <w:p>
            <w:pPr>
              <w:pStyle w:val="TableParagraph"/>
              <w:tabs>
                <w:tab w:pos="699" w:val="left" w:leader="none"/>
              </w:tabs>
              <w:spacing w:before="10"/>
              <w:ind w:right="327"/>
              <w:jc w:val="right"/>
              <w:rPr>
                <w:b/>
                <w:sz w:val="18"/>
              </w:rPr>
            </w:pPr>
            <w:r>
              <w:rPr>
                <w:b/>
                <w:color w:val="0000D3"/>
                <w:w w:val="120"/>
                <w:sz w:val="18"/>
              </w:rPr>
              <w:t>$</w:t>
              <w:tab/>
              <w:t>6</w:t>
            </w:r>
            <w:r>
              <w:rPr>
                <w:b/>
                <w:color w:val="0000D3"/>
                <w:spacing w:val="-21"/>
                <w:w w:val="120"/>
                <w:sz w:val="18"/>
              </w:rPr>
              <w:t> </w:t>
            </w:r>
            <w:r>
              <w:rPr>
                <w:b/>
                <w:color w:val="0000D3"/>
                <w:w w:val="120"/>
                <w:sz w:val="18"/>
              </w:rPr>
              <w:t>2</w:t>
            </w:r>
          </w:p>
        </w:tc>
        <w:tc>
          <w:tcPr>
            <w:tcW w:w="1670" w:type="dxa"/>
          </w:tcPr>
          <w:p>
            <w:pPr>
              <w:pStyle w:val="TableParagraph"/>
              <w:tabs>
                <w:tab w:pos="790" w:val="left" w:leader="none"/>
              </w:tabs>
              <w:spacing w:before="10"/>
              <w:ind w:left="10"/>
              <w:jc w:val="center"/>
              <w:rPr>
                <w:sz w:val="18"/>
              </w:rPr>
            </w:pPr>
            <w:r>
              <w:rPr>
                <w:w w:val="120"/>
                <w:sz w:val="18"/>
              </w:rPr>
              <w:t>$</w:t>
              <w:tab/>
              <w:t>80</w:t>
            </w:r>
          </w:p>
        </w:tc>
        <w:tc>
          <w:tcPr>
            <w:tcW w:w="1372" w:type="dxa"/>
          </w:tcPr>
          <w:p>
            <w:pPr>
              <w:pStyle w:val="TableParagraph"/>
              <w:tabs>
                <w:tab w:pos="778" w:val="left" w:leader="none"/>
              </w:tabs>
              <w:spacing w:before="10"/>
              <w:ind w:right="30"/>
              <w:jc w:val="right"/>
              <w:rPr>
                <w:sz w:val="18"/>
              </w:rPr>
            </w:pPr>
            <w:r>
              <w:rPr>
                <w:w w:val="120"/>
                <w:sz w:val="18"/>
              </w:rPr>
              <w:t>$</w:t>
              <w:tab/>
            </w:r>
            <w:r>
              <w:rPr>
                <w:w w:val="115"/>
                <w:sz w:val="18"/>
              </w:rPr>
              <w:t>48</w:t>
            </w:r>
          </w:p>
        </w:tc>
      </w:tr>
      <w:tr>
        <w:trPr>
          <w:trHeight w:val="258" w:hRule="exact"/>
        </w:trPr>
        <w:tc>
          <w:tcPr>
            <w:tcW w:w="4348" w:type="dxa"/>
          </w:tcPr>
          <w:p>
            <w:pPr>
              <w:pStyle w:val="TableParagraph"/>
              <w:spacing w:before="12"/>
              <w:ind w:left="32"/>
              <w:rPr>
                <w:sz w:val="18"/>
              </w:rPr>
            </w:pPr>
            <w:r>
              <w:rPr>
                <w:w w:val="105"/>
                <w:sz w:val="18"/>
              </w:rPr>
              <w:t>Income taxes</w:t>
            </w:r>
          </w:p>
        </w:tc>
        <w:tc>
          <w:tcPr>
            <w:tcW w:w="2540" w:type="dxa"/>
          </w:tcPr>
          <w:p>
            <w:pPr>
              <w:pStyle w:val="TableParagraph"/>
              <w:tabs>
                <w:tab w:pos="699" w:val="left" w:leader="none"/>
              </w:tabs>
              <w:spacing w:before="12"/>
              <w:ind w:right="327"/>
              <w:jc w:val="right"/>
              <w:rPr>
                <w:b/>
                <w:sz w:val="18"/>
              </w:rPr>
            </w:pPr>
            <w:r>
              <w:rPr>
                <w:b/>
                <w:color w:val="0000D3"/>
                <w:w w:val="120"/>
                <w:sz w:val="18"/>
              </w:rPr>
              <w:t>$</w:t>
              <w:tab/>
              <w:t>5</w:t>
            </w:r>
            <w:r>
              <w:rPr>
                <w:b/>
                <w:color w:val="0000D3"/>
                <w:spacing w:val="-21"/>
                <w:w w:val="120"/>
                <w:sz w:val="18"/>
              </w:rPr>
              <w:t> </w:t>
            </w:r>
            <w:r>
              <w:rPr>
                <w:b/>
                <w:color w:val="0000D3"/>
                <w:w w:val="120"/>
                <w:sz w:val="18"/>
              </w:rPr>
              <w:t>1</w:t>
            </w:r>
          </w:p>
        </w:tc>
        <w:tc>
          <w:tcPr>
            <w:tcW w:w="1670" w:type="dxa"/>
          </w:tcPr>
          <w:p>
            <w:pPr>
              <w:pStyle w:val="TableParagraph"/>
              <w:tabs>
                <w:tab w:pos="909" w:val="left" w:leader="none"/>
              </w:tabs>
              <w:spacing w:before="12"/>
              <w:ind w:left="9"/>
              <w:jc w:val="center"/>
              <w:rPr>
                <w:sz w:val="18"/>
              </w:rPr>
            </w:pPr>
            <w:r>
              <w:rPr>
                <w:w w:val="120"/>
                <w:sz w:val="18"/>
              </w:rPr>
              <w:t>$</w:t>
              <w:tab/>
              <w:t>3</w:t>
            </w:r>
          </w:p>
        </w:tc>
        <w:tc>
          <w:tcPr>
            <w:tcW w:w="1372" w:type="dxa"/>
          </w:tcPr>
          <w:p>
            <w:pPr>
              <w:pStyle w:val="TableParagraph"/>
              <w:tabs>
                <w:tab w:pos="778" w:val="left" w:leader="none"/>
              </w:tabs>
              <w:spacing w:before="12"/>
              <w:ind w:right="32"/>
              <w:jc w:val="right"/>
              <w:rPr>
                <w:sz w:val="18"/>
              </w:rPr>
            </w:pPr>
            <w:r>
              <w:rPr>
                <w:w w:val="120"/>
                <w:sz w:val="18"/>
              </w:rPr>
              <w:t>$</w:t>
              <w:tab/>
            </w:r>
            <w:r>
              <w:rPr>
                <w:w w:val="115"/>
                <w:sz w:val="18"/>
              </w:rPr>
              <w:t>66</w:t>
            </w:r>
          </w:p>
        </w:tc>
      </w:tr>
    </w:tbl>
    <w:p>
      <w:pPr>
        <w:pStyle w:val="BodyText"/>
        <w:rPr>
          <w:rFonts w:ascii="Arial"/>
          <w:sz w:val="20"/>
        </w:rPr>
      </w:pPr>
    </w:p>
    <w:p>
      <w:pPr>
        <w:pStyle w:val="BodyText"/>
        <w:spacing w:before="10"/>
        <w:rPr>
          <w:rFonts w:ascii="Arial"/>
          <w:sz w:val="16"/>
        </w:rPr>
      </w:pPr>
    </w:p>
    <w:p>
      <w:pPr>
        <w:spacing w:before="110"/>
        <w:ind w:left="116" w:right="0" w:firstLine="0"/>
        <w:jc w:val="left"/>
        <w:rPr>
          <w:rFonts w:ascii="Arial"/>
          <w:sz w:val="18"/>
        </w:rPr>
      </w:pPr>
      <w:r>
        <w:rPr>
          <w:rFonts w:ascii="Arial"/>
          <w:w w:val="105"/>
          <w:sz w:val="18"/>
        </w:rPr>
        <w:t>See accompanying notes.</w:t>
      </w:r>
    </w:p>
    <w:p>
      <w:pPr>
        <w:spacing w:after="0"/>
        <w:jc w:val="left"/>
        <w:rPr>
          <w:rFonts w:ascii="Arial"/>
          <w:sz w:val="18"/>
        </w:rPr>
        <w:sectPr>
          <w:type w:val="continuous"/>
          <w:pgSz w:w="12240" w:h="15840"/>
          <w:pgMar w:top="320" w:bottom="280" w:left="1240" w:right="600"/>
        </w:sectPr>
      </w:pPr>
    </w:p>
    <w:p>
      <w:pPr>
        <w:pStyle w:val="Heading2"/>
        <w:spacing w:line="229" w:lineRule="exact" w:before="100"/>
        <w:jc w:val="both"/>
      </w:pPr>
      <w:bookmarkStart w:name="Notes to the Financial Statements" w:id="40"/>
      <w:bookmarkEnd w:id="40"/>
      <w:r>
        <w:rPr>
          <w:b w:val="0"/>
        </w:rPr>
      </w:r>
      <w:bookmarkStart w:name="Significant Accounting Policies" w:id="41"/>
      <w:bookmarkEnd w:id="41"/>
      <w:r>
        <w:rPr>
          <w:b w:val="0"/>
        </w:rPr>
      </w:r>
      <w:r>
        <w:rPr>
          <w:w w:val="105"/>
        </w:rPr>
        <w:t>NOTES TO CONSOLIDATED FINANCIAL STATEMENTS</w:t>
      </w:r>
    </w:p>
    <w:p>
      <w:pPr>
        <w:pStyle w:val="BodyText"/>
        <w:spacing w:line="229" w:lineRule="exact"/>
        <w:ind w:left="115"/>
        <w:jc w:val="both"/>
      </w:pPr>
      <w:r>
        <w:rPr>
          <w:w w:val="105"/>
        </w:rPr>
        <w:t>DECEMBER 31, 2003</w:t>
      </w:r>
    </w:p>
    <w:p>
      <w:pPr>
        <w:pStyle w:val="Heading2"/>
        <w:numPr>
          <w:ilvl w:val="0"/>
          <w:numId w:val="5"/>
        </w:numPr>
        <w:tabs>
          <w:tab w:pos="323" w:val="left" w:leader="none"/>
        </w:tabs>
        <w:spacing w:line="240" w:lineRule="auto" w:before="200" w:after="0"/>
        <w:ind w:left="322" w:right="0" w:hanging="206"/>
        <w:jc w:val="both"/>
      </w:pPr>
      <w:r>
        <w:rPr>
          <w:color w:val="0000FF"/>
          <w:spacing w:val="-6"/>
          <w:w w:val="105"/>
        </w:rPr>
        <w:t>SUMMARY</w:t>
      </w:r>
      <w:r>
        <w:rPr>
          <w:color w:val="0000FF"/>
          <w:spacing w:val="-35"/>
          <w:w w:val="105"/>
        </w:rPr>
        <w:t> </w:t>
      </w:r>
      <w:r>
        <w:rPr>
          <w:color w:val="0000FF"/>
          <w:w w:val="105"/>
        </w:rPr>
        <w:t>OF</w:t>
      </w:r>
      <w:r>
        <w:rPr>
          <w:color w:val="0000FF"/>
          <w:spacing w:val="-37"/>
          <w:w w:val="105"/>
        </w:rPr>
        <w:t> </w:t>
      </w:r>
      <w:r>
        <w:rPr>
          <w:color w:val="0000FF"/>
          <w:spacing w:val="-4"/>
          <w:w w:val="105"/>
        </w:rPr>
        <w:t>SIGNIFICANT</w:t>
      </w:r>
      <w:r>
        <w:rPr>
          <w:color w:val="0000FF"/>
          <w:spacing w:val="-34"/>
          <w:w w:val="105"/>
        </w:rPr>
        <w:t> </w:t>
      </w:r>
      <w:r>
        <w:rPr>
          <w:color w:val="0000FF"/>
          <w:spacing w:val="-5"/>
          <w:w w:val="105"/>
        </w:rPr>
        <w:t>ACCOUNTING</w:t>
      </w:r>
      <w:r>
        <w:rPr>
          <w:color w:val="0000FF"/>
          <w:spacing w:val="-34"/>
          <w:w w:val="105"/>
        </w:rPr>
        <w:t> </w:t>
      </w:r>
      <w:r>
        <w:rPr>
          <w:color w:val="0000FF"/>
          <w:spacing w:val="-3"/>
          <w:w w:val="105"/>
        </w:rPr>
        <w:t>POLICIES</w:t>
      </w:r>
    </w:p>
    <w:p>
      <w:pPr>
        <w:pStyle w:val="BodyText"/>
        <w:spacing w:line="218" w:lineRule="auto" w:before="217"/>
        <w:ind w:left="116" w:right="109"/>
        <w:jc w:val="both"/>
      </w:pPr>
      <w:r>
        <w:rPr>
          <w:color w:val="0000FF"/>
          <w:spacing w:val="-3"/>
          <w:w w:val="105"/>
        </w:rPr>
        <w:t>BASIS </w:t>
      </w:r>
      <w:r>
        <w:rPr>
          <w:color w:val="0000FF"/>
          <w:w w:val="105"/>
        </w:rPr>
        <w:t>OF </w:t>
      </w:r>
      <w:r>
        <w:rPr>
          <w:color w:val="0000FF"/>
          <w:spacing w:val="-5"/>
          <w:w w:val="105"/>
        </w:rPr>
        <w:t>PRESENTATION </w:t>
      </w:r>
      <w:r>
        <w:rPr>
          <w:w w:val="105"/>
        </w:rPr>
        <w:t>Southwest </w:t>
      </w:r>
      <w:r>
        <w:rPr>
          <w:spacing w:val="-3"/>
          <w:w w:val="105"/>
        </w:rPr>
        <w:t>Airlines </w:t>
      </w:r>
      <w:r>
        <w:rPr>
          <w:w w:val="105"/>
        </w:rPr>
        <w:t>Co. (Southwest) is a </w:t>
      </w:r>
      <w:r>
        <w:rPr>
          <w:spacing w:val="-3"/>
          <w:w w:val="105"/>
        </w:rPr>
        <w:t>major </w:t>
      </w:r>
      <w:r>
        <w:rPr>
          <w:w w:val="105"/>
        </w:rPr>
        <w:t>domestic airline that provides predominantly shorthaul, high-frequency, point-to-point, </w:t>
      </w:r>
      <w:r>
        <w:rPr>
          <w:spacing w:val="-3"/>
          <w:w w:val="105"/>
        </w:rPr>
        <w:t>low-fare service. </w:t>
      </w:r>
      <w:r>
        <w:rPr>
          <w:spacing w:val="-4"/>
          <w:w w:val="105"/>
        </w:rPr>
        <w:t>The </w:t>
      </w:r>
      <w:r>
        <w:rPr>
          <w:w w:val="105"/>
        </w:rPr>
        <w:t>Consolidated Financial </w:t>
      </w:r>
      <w:r>
        <w:rPr>
          <w:spacing w:val="-3"/>
          <w:w w:val="105"/>
        </w:rPr>
        <w:t>Statements</w:t>
      </w:r>
      <w:r>
        <w:rPr>
          <w:spacing w:val="-8"/>
          <w:w w:val="105"/>
        </w:rPr>
        <w:t> </w:t>
      </w:r>
      <w:r>
        <w:rPr>
          <w:w w:val="105"/>
        </w:rPr>
        <w:t>include</w:t>
      </w:r>
      <w:r>
        <w:rPr>
          <w:spacing w:val="-13"/>
          <w:w w:val="105"/>
        </w:rPr>
        <w:t> </w:t>
      </w:r>
      <w:r>
        <w:rPr>
          <w:w w:val="105"/>
        </w:rPr>
        <w:t>the</w:t>
      </w:r>
      <w:r>
        <w:rPr>
          <w:spacing w:val="-13"/>
          <w:w w:val="105"/>
        </w:rPr>
        <w:t> </w:t>
      </w:r>
      <w:r>
        <w:rPr>
          <w:spacing w:val="-3"/>
          <w:w w:val="105"/>
        </w:rPr>
        <w:t>accounts</w:t>
      </w:r>
      <w:r>
        <w:rPr>
          <w:spacing w:val="-12"/>
          <w:w w:val="105"/>
        </w:rPr>
        <w:t> </w:t>
      </w:r>
      <w:r>
        <w:rPr>
          <w:w w:val="105"/>
        </w:rPr>
        <w:t>of</w:t>
      </w:r>
      <w:r>
        <w:rPr>
          <w:spacing w:val="-10"/>
          <w:w w:val="105"/>
        </w:rPr>
        <w:t> </w:t>
      </w:r>
      <w:r>
        <w:rPr>
          <w:spacing w:val="-3"/>
          <w:w w:val="105"/>
        </w:rPr>
        <w:t>Southwest</w:t>
      </w:r>
      <w:r>
        <w:rPr>
          <w:spacing w:val="-12"/>
          <w:w w:val="105"/>
        </w:rPr>
        <w:t> </w:t>
      </w:r>
      <w:r>
        <w:rPr>
          <w:w w:val="105"/>
        </w:rPr>
        <w:t>and</w:t>
      </w:r>
      <w:r>
        <w:rPr>
          <w:spacing w:val="-15"/>
          <w:w w:val="105"/>
        </w:rPr>
        <w:t> </w:t>
      </w:r>
      <w:r>
        <w:rPr>
          <w:w w:val="105"/>
        </w:rPr>
        <w:t>its</w:t>
      </w:r>
      <w:r>
        <w:rPr>
          <w:spacing w:val="-12"/>
          <w:w w:val="105"/>
        </w:rPr>
        <w:t> </w:t>
      </w:r>
      <w:r>
        <w:rPr>
          <w:w w:val="105"/>
        </w:rPr>
        <w:t>wholly</w:t>
      </w:r>
      <w:r>
        <w:rPr>
          <w:spacing w:val="-8"/>
          <w:w w:val="105"/>
        </w:rPr>
        <w:t> </w:t>
      </w:r>
      <w:r>
        <w:rPr>
          <w:spacing w:val="-3"/>
          <w:w w:val="105"/>
        </w:rPr>
        <w:t>owned</w:t>
      </w:r>
      <w:r>
        <w:rPr>
          <w:spacing w:val="-12"/>
          <w:w w:val="105"/>
        </w:rPr>
        <w:t> </w:t>
      </w:r>
      <w:r>
        <w:rPr>
          <w:w w:val="105"/>
        </w:rPr>
        <w:t>subsidiaries</w:t>
      </w:r>
      <w:r>
        <w:rPr>
          <w:spacing w:val="-12"/>
          <w:w w:val="105"/>
        </w:rPr>
        <w:t> </w:t>
      </w:r>
      <w:r>
        <w:rPr>
          <w:w w:val="105"/>
        </w:rPr>
        <w:t>(the</w:t>
      </w:r>
      <w:r>
        <w:rPr>
          <w:spacing w:val="-13"/>
          <w:w w:val="105"/>
        </w:rPr>
        <w:t> </w:t>
      </w:r>
      <w:r>
        <w:rPr>
          <w:w w:val="105"/>
        </w:rPr>
        <w:t>Company).</w:t>
      </w:r>
      <w:r>
        <w:rPr>
          <w:spacing w:val="32"/>
          <w:w w:val="105"/>
        </w:rPr>
        <w:t> </w:t>
      </w:r>
      <w:r>
        <w:rPr>
          <w:spacing w:val="-4"/>
          <w:w w:val="105"/>
        </w:rPr>
        <w:t>All</w:t>
      </w:r>
      <w:r>
        <w:rPr>
          <w:spacing w:val="-12"/>
          <w:w w:val="105"/>
        </w:rPr>
        <w:t> </w:t>
      </w:r>
      <w:r>
        <w:rPr>
          <w:w w:val="105"/>
        </w:rPr>
        <w:t>significant intercompany balances and transactions have been eliminated. The preparation of financial statements in conformity</w:t>
      </w:r>
      <w:r>
        <w:rPr>
          <w:spacing w:val="-14"/>
          <w:w w:val="105"/>
        </w:rPr>
        <w:t> </w:t>
      </w:r>
      <w:r>
        <w:rPr>
          <w:spacing w:val="-3"/>
          <w:w w:val="105"/>
        </w:rPr>
        <w:t>with</w:t>
      </w:r>
      <w:r>
        <w:rPr>
          <w:spacing w:val="-10"/>
          <w:w w:val="105"/>
        </w:rPr>
        <w:t> </w:t>
      </w:r>
      <w:r>
        <w:rPr>
          <w:w w:val="105"/>
        </w:rPr>
        <w:t>accounting</w:t>
      </w:r>
      <w:r>
        <w:rPr>
          <w:spacing w:val="-14"/>
          <w:w w:val="105"/>
        </w:rPr>
        <w:t> </w:t>
      </w:r>
      <w:r>
        <w:rPr>
          <w:w w:val="105"/>
        </w:rPr>
        <w:t>principles</w:t>
      </w:r>
      <w:r>
        <w:rPr>
          <w:spacing w:val="-14"/>
          <w:w w:val="105"/>
        </w:rPr>
        <w:t> </w:t>
      </w:r>
      <w:r>
        <w:rPr>
          <w:w w:val="105"/>
        </w:rPr>
        <w:t>generally</w:t>
      </w:r>
      <w:r>
        <w:rPr>
          <w:spacing w:val="-10"/>
          <w:w w:val="105"/>
        </w:rPr>
        <w:t> </w:t>
      </w:r>
      <w:r>
        <w:rPr>
          <w:w w:val="105"/>
        </w:rPr>
        <w:t>accepted</w:t>
      </w:r>
      <w:r>
        <w:rPr>
          <w:spacing w:val="-17"/>
          <w:w w:val="105"/>
        </w:rPr>
        <w:t> </w:t>
      </w:r>
      <w:r>
        <w:rPr>
          <w:w w:val="105"/>
        </w:rPr>
        <w:t>in</w:t>
      </w:r>
      <w:r>
        <w:rPr>
          <w:spacing w:val="-10"/>
          <w:w w:val="105"/>
        </w:rPr>
        <w:t> </w:t>
      </w:r>
      <w:r>
        <w:rPr>
          <w:w w:val="105"/>
        </w:rPr>
        <w:t>the</w:t>
      </w:r>
      <w:r>
        <w:rPr>
          <w:spacing w:val="-12"/>
          <w:w w:val="105"/>
        </w:rPr>
        <w:t> </w:t>
      </w:r>
      <w:r>
        <w:rPr>
          <w:spacing w:val="-2"/>
          <w:w w:val="105"/>
        </w:rPr>
        <w:t>United</w:t>
      </w:r>
      <w:r>
        <w:rPr>
          <w:spacing w:val="-14"/>
          <w:w w:val="105"/>
        </w:rPr>
        <w:t> </w:t>
      </w:r>
      <w:r>
        <w:rPr>
          <w:w w:val="105"/>
        </w:rPr>
        <w:t>States</w:t>
      </w:r>
      <w:r>
        <w:rPr>
          <w:spacing w:val="-14"/>
          <w:w w:val="105"/>
        </w:rPr>
        <w:t> </w:t>
      </w:r>
      <w:r>
        <w:rPr>
          <w:spacing w:val="-4"/>
          <w:w w:val="105"/>
        </w:rPr>
        <w:t>(GAAP)</w:t>
      </w:r>
      <w:r>
        <w:rPr>
          <w:spacing w:val="-12"/>
          <w:w w:val="105"/>
        </w:rPr>
        <w:t> </w:t>
      </w:r>
      <w:r>
        <w:rPr>
          <w:w w:val="105"/>
        </w:rPr>
        <w:t>requires</w:t>
      </w:r>
      <w:r>
        <w:rPr>
          <w:spacing w:val="-17"/>
          <w:w w:val="105"/>
        </w:rPr>
        <w:t> </w:t>
      </w:r>
      <w:r>
        <w:rPr>
          <w:w w:val="105"/>
        </w:rPr>
        <w:t>management</w:t>
      </w:r>
      <w:r>
        <w:rPr>
          <w:spacing w:val="-14"/>
          <w:w w:val="105"/>
        </w:rPr>
        <w:t> </w:t>
      </w:r>
      <w:r>
        <w:rPr>
          <w:w w:val="105"/>
        </w:rPr>
        <w:t>to make</w:t>
      </w:r>
      <w:r>
        <w:rPr>
          <w:spacing w:val="-9"/>
          <w:w w:val="105"/>
        </w:rPr>
        <w:t> </w:t>
      </w:r>
      <w:r>
        <w:rPr>
          <w:w w:val="105"/>
        </w:rPr>
        <w:t>estimates</w:t>
      </w:r>
      <w:r>
        <w:rPr>
          <w:spacing w:val="-10"/>
          <w:w w:val="105"/>
        </w:rPr>
        <w:t> </w:t>
      </w:r>
      <w:r>
        <w:rPr>
          <w:spacing w:val="-3"/>
          <w:w w:val="105"/>
        </w:rPr>
        <w:t>and</w:t>
      </w:r>
      <w:r>
        <w:rPr>
          <w:spacing w:val="-7"/>
          <w:w w:val="105"/>
        </w:rPr>
        <w:t> </w:t>
      </w:r>
      <w:r>
        <w:rPr>
          <w:w w:val="105"/>
        </w:rPr>
        <w:t>assumptions</w:t>
      </w:r>
      <w:r>
        <w:rPr>
          <w:spacing w:val="-10"/>
          <w:w w:val="105"/>
        </w:rPr>
        <w:t> </w:t>
      </w:r>
      <w:r>
        <w:rPr>
          <w:w w:val="105"/>
        </w:rPr>
        <w:t>that</w:t>
      </w:r>
      <w:r>
        <w:rPr>
          <w:spacing w:val="-7"/>
          <w:w w:val="105"/>
        </w:rPr>
        <w:t> </w:t>
      </w:r>
      <w:r>
        <w:rPr>
          <w:spacing w:val="-4"/>
          <w:w w:val="105"/>
        </w:rPr>
        <w:t>affect</w:t>
      </w:r>
      <w:r>
        <w:rPr>
          <w:spacing w:val="-10"/>
          <w:w w:val="105"/>
        </w:rPr>
        <w:t> </w:t>
      </w:r>
      <w:r>
        <w:rPr>
          <w:w w:val="105"/>
        </w:rPr>
        <w:t>the</w:t>
      </w:r>
      <w:r>
        <w:rPr>
          <w:spacing w:val="-9"/>
          <w:w w:val="105"/>
        </w:rPr>
        <w:t> </w:t>
      </w:r>
      <w:r>
        <w:rPr>
          <w:w w:val="105"/>
        </w:rPr>
        <w:t>amounts</w:t>
      </w:r>
      <w:r>
        <w:rPr>
          <w:spacing w:val="-7"/>
          <w:w w:val="105"/>
        </w:rPr>
        <w:t> </w:t>
      </w:r>
      <w:r>
        <w:rPr>
          <w:spacing w:val="-3"/>
          <w:w w:val="105"/>
        </w:rPr>
        <w:t>reported</w:t>
      </w:r>
      <w:r>
        <w:rPr>
          <w:spacing w:val="-10"/>
          <w:w w:val="105"/>
        </w:rPr>
        <w:t> </w:t>
      </w:r>
      <w:r>
        <w:rPr>
          <w:w w:val="105"/>
        </w:rPr>
        <w:t>in</w:t>
      </w:r>
      <w:r>
        <w:rPr>
          <w:spacing w:val="-7"/>
          <w:w w:val="105"/>
        </w:rPr>
        <w:t> </w:t>
      </w:r>
      <w:r>
        <w:rPr>
          <w:w w:val="105"/>
        </w:rPr>
        <w:t>the</w:t>
      </w:r>
      <w:r>
        <w:rPr>
          <w:spacing w:val="-12"/>
          <w:w w:val="105"/>
        </w:rPr>
        <w:t> </w:t>
      </w:r>
      <w:r>
        <w:rPr>
          <w:w w:val="105"/>
        </w:rPr>
        <w:t>financial</w:t>
      </w:r>
      <w:r>
        <w:rPr>
          <w:spacing w:val="-10"/>
          <w:w w:val="105"/>
        </w:rPr>
        <w:t> </w:t>
      </w:r>
      <w:r>
        <w:rPr>
          <w:w w:val="105"/>
        </w:rPr>
        <w:t>statements</w:t>
      </w:r>
      <w:r>
        <w:rPr>
          <w:spacing w:val="-10"/>
          <w:w w:val="105"/>
        </w:rPr>
        <w:t> </w:t>
      </w:r>
      <w:r>
        <w:rPr>
          <w:spacing w:val="-3"/>
          <w:w w:val="105"/>
        </w:rPr>
        <w:t>and</w:t>
      </w:r>
      <w:r>
        <w:rPr>
          <w:spacing w:val="-7"/>
          <w:w w:val="105"/>
        </w:rPr>
        <w:t> </w:t>
      </w:r>
      <w:r>
        <w:rPr>
          <w:w w:val="105"/>
        </w:rPr>
        <w:t>accompanying notes. </w:t>
      </w:r>
      <w:r>
        <w:rPr>
          <w:spacing w:val="-3"/>
          <w:w w:val="105"/>
        </w:rPr>
        <w:t>Actual</w:t>
      </w:r>
      <w:r>
        <w:rPr>
          <w:spacing w:val="-27"/>
          <w:w w:val="105"/>
        </w:rPr>
        <w:t> </w:t>
      </w:r>
      <w:r>
        <w:rPr>
          <w:w w:val="105"/>
        </w:rPr>
        <w:t>results</w:t>
      </w:r>
      <w:r>
        <w:rPr>
          <w:spacing w:val="-27"/>
          <w:w w:val="105"/>
        </w:rPr>
        <w:t> </w:t>
      </w:r>
      <w:r>
        <w:rPr>
          <w:w w:val="105"/>
        </w:rPr>
        <w:t>could</w:t>
      </w:r>
      <w:r>
        <w:rPr>
          <w:spacing w:val="-27"/>
          <w:w w:val="105"/>
        </w:rPr>
        <w:t> </w:t>
      </w:r>
      <w:r>
        <w:rPr>
          <w:w w:val="105"/>
        </w:rPr>
        <w:t>differ</w:t>
      </w:r>
      <w:r>
        <w:rPr>
          <w:spacing w:val="-28"/>
          <w:w w:val="105"/>
        </w:rPr>
        <w:t> </w:t>
      </w:r>
      <w:r>
        <w:rPr>
          <w:w w:val="105"/>
        </w:rPr>
        <w:t>from</w:t>
      </w:r>
      <w:r>
        <w:rPr>
          <w:spacing w:val="-31"/>
          <w:w w:val="105"/>
        </w:rPr>
        <w:t> </w:t>
      </w:r>
      <w:r>
        <w:rPr>
          <w:w w:val="105"/>
        </w:rPr>
        <w:t>these</w:t>
      </w:r>
      <w:r>
        <w:rPr>
          <w:spacing w:val="-28"/>
          <w:w w:val="105"/>
        </w:rPr>
        <w:t> </w:t>
      </w:r>
      <w:r>
        <w:rPr>
          <w:w w:val="105"/>
        </w:rPr>
        <w:t>estimates.</w:t>
      </w:r>
    </w:p>
    <w:p>
      <w:pPr>
        <w:pStyle w:val="BodyText"/>
        <w:spacing w:line="220" w:lineRule="exact" w:before="218"/>
        <w:ind w:left="116" w:right="107"/>
        <w:jc w:val="both"/>
      </w:pPr>
      <w:r>
        <w:rPr>
          <w:color w:val="0000FF"/>
          <w:spacing w:val="-4"/>
          <w:w w:val="105"/>
        </w:rPr>
        <w:t>CASH</w:t>
      </w:r>
      <w:r>
        <w:rPr>
          <w:color w:val="0000FF"/>
          <w:spacing w:val="-13"/>
          <w:w w:val="105"/>
        </w:rPr>
        <w:t> </w:t>
      </w:r>
      <w:r>
        <w:rPr>
          <w:color w:val="0000FF"/>
          <w:spacing w:val="-4"/>
          <w:w w:val="105"/>
        </w:rPr>
        <w:t>AND</w:t>
      </w:r>
      <w:r>
        <w:rPr>
          <w:color w:val="0000FF"/>
          <w:spacing w:val="-13"/>
          <w:w w:val="105"/>
        </w:rPr>
        <w:t> </w:t>
      </w:r>
      <w:r>
        <w:rPr>
          <w:color w:val="0000FF"/>
          <w:spacing w:val="-3"/>
          <w:w w:val="105"/>
        </w:rPr>
        <w:t>CASH</w:t>
      </w:r>
      <w:r>
        <w:rPr>
          <w:color w:val="0000FF"/>
          <w:spacing w:val="-13"/>
          <w:w w:val="105"/>
        </w:rPr>
        <w:t> </w:t>
      </w:r>
      <w:r>
        <w:rPr>
          <w:color w:val="0000FF"/>
          <w:spacing w:val="-6"/>
          <w:w w:val="105"/>
        </w:rPr>
        <w:t>EQUIVALENTS</w:t>
      </w:r>
      <w:r>
        <w:rPr>
          <w:color w:val="0000FF"/>
          <w:spacing w:val="38"/>
          <w:w w:val="105"/>
        </w:rPr>
        <w:t> </w:t>
      </w:r>
      <w:r>
        <w:rPr>
          <w:w w:val="105"/>
        </w:rPr>
        <w:t>Cash</w:t>
      </w:r>
      <w:r>
        <w:rPr>
          <w:spacing w:val="-9"/>
          <w:w w:val="105"/>
        </w:rPr>
        <w:t> </w:t>
      </w:r>
      <w:r>
        <w:rPr>
          <w:w w:val="105"/>
        </w:rPr>
        <w:t>in</w:t>
      </w:r>
      <w:r>
        <w:rPr>
          <w:spacing w:val="-5"/>
          <w:w w:val="105"/>
        </w:rPr>
        <w:t> </w:t>
      </w:r>
      <w:r>
        <w:rPr>
          <w:w w:val="105"/>
        </w:rPr>
        <w:t>excess</w:t>
      </w:r>
      <w:r>
        <w:rPr>
          <w:spacing w:val="-9"/>
          <w:w w:val="105"/>
        </w:rPr>
        <w:t> </w:t>
      </w:r>
      <w:r>
        <w:rPr>
          <w:w w:val="105"/>
        </w:rPr>
        <w:t>of</w:t>
      </w:r>
      <w:r>
        <w:rPr>
          <w:spacing w:val="-8"/>
          <w:w w:val="105"/>
        </w:rPr>
        <w:t> </w:t>
      </w:r>
      <w:r>
        <w:rPr>
          <w:w w:val="105"/>
        </w:rPr>
        <w:t>that</w:t>
      </w:r>
      <w:r>
        <w:rPr>
          <w:spacing w:val="-5"/>
          <w:w w:val="105"/>
        </w:rPr>
        <w:t> </w:t>
      </w:r>
      <w:r>
        <w:rPr>
          <w:spacing w:val="-3"/>
          <w:w w:val="105"/>
        </w:rPr>
        <w:t>necessary</w:t>
      </w:r>
      <w:r>
        <w:rPr>
          <w:spacing w:val="-13"/>
          <w:w w:val="105"/>
        </w:rPr>
        <w:t> </w:t>
      </w:r>
      <w:r>
        <w:rPr>
          <w:w w:val="105"/>
        </w:rPr>
        <w:t>for</w:t>
      </w:r>
      <w:r>
        <w:rPr>
          <w:spacing w:val="-8"/>
          <w:w w:val="105"/>
        </w:rPr>
        <w:t> </w:t>
      </w:r>
      <w:r>
        <w:rPr>
          <w:w w:val="105"/>
        </w:rPr>
        <w:t>operating</w:t>
      </w:r>
      <w:r>
        <w:rPr>
          <w:spacing w:val="-9"/>
          <w:w w:val="105"/>
        </w:rPr>
        <w:t> </w:t>
      </w:r>
      <w:r>
        <w:rPr>
          <w:spacing w:val="-3"/>
          <w:w w:val="105"/>
        </w:rPr>
        <w:t>requirements</w:t>
      </w:r>
      <w:r>
        <w:rPr>
          <w:spacing w:val="-5"/>
          <w:w w:val="105"/>
        </w:rPr>
        <w:t> </w:t>
      </w:r>
      <w:r>
        <w:rPr>
          <w:w w:val="105"/>
        </w:rPr>
        <w:t>is</w:t>
      </w:r>
      <w:r>
        <w:rPr>
          <w:spacing w:val="-9"/>
          <w:w w:val="105"/>
        </w:rPr>
        <w:t> </w:t>
      </w:r>
      <w:r>
        <w:rPr>
          <w:w w:val="105"/>
        </w:rPr>
        <w:t>invested</w:t>
      </w:r>
      <w:r>
        <w:rPr>
          <w:spacing w:val="-5"/>
          <w:w w:val="105"/>
        </w:rPr>
        <w:t> </w:t>
      </w:r>
      <w:r>
        <w:rPr>
          <w:w w:val="105"/>
        </w:rPr>
        <w:t>in short-term,</w:t>
      </w:r>
      <w:r>
        <w:rPr>
          <w:spacing w:val="-26"/>
          <w:w w:val="105"/>
        </w:rPr>
        <w:t> </w:t>
      </w:r>
      <w:r>
        <w:rPr>
          <w:w w:val="105"/>
        </w:rPr>
        <w:t>highly</w:t>
      </w:r>
      <w:r>
        <w:rPr>
          <w:spacing w:val="-22"/>
          <w:w w:val="105"/>
        </w:rPr>
        <w:t> </w:t>
      </w:r>
      <w:r>
        <w:rPr>
          <w:w w:val="105"/>
        </w:rPr>
        <w:t>liquid,</w:t>
      </w:r>
      <w:r>
        <w:rPr>
          <w:spacing w:val="-24"/>
          <w:w w:val="105"/>
        </w:rPr>
        <w:t> </w:t>
      </w:r>
      <w:r>
        <w:rPr>
          <w:w w:val="105"/>
        </w:rPr>
        <w:t>income-producing</w:t>
      </w:r>
      <w:r>
        <w:rPr>
          <w:spacing w:val="-22"/>
          <w:w w:val="105"/>
        </w:rPr>
        <w:t> </w:t>
      </w:r>
      <w:r>
        <w:rPr>
          <w:w w:val="105"/>
        </w:rPr>
        <w:t>investments.</w:t>
      </w:r>
      <w:r>
        <w:rPr>
          <w:spacing w:val="-26"/>
          <w:w w:val="105"/>
        </w:rPr>
        <w:t> </w:t>
      </w:r>
      <w:r>
        <w:rPr>
          <w:w w:val="105"/>
        </w:rPr>
        <w:t>Investments</w:t>
      </w:r>
      <w:r>
        <w:rPr>
          <w:spacing w:val="-25"/>
          <w:w w:val="105"/>
        </w:rPr>
        <w:t> </w:t>
      </w:r>
      <w:r>
        <w:rPr>
          <w:spacing w:val="-3"/>
          <w:w w:val="105"/>
        </w:rPr>
        <w:t>with</w:t>
      </w:r>
      <w:r>
        <w:rPr>
          <w:spacing w:val="-22"/>
          <w:w w:val="105"/>
        </w:rPr>
        <w:t> </w:t>
      </w:r>
      <w:r>
        <w:rPr>
          <w:w w:val="105"/>
        </w:rPr>
        <w:t>maturities</w:t>
      </w:r>
      <w:r>
        <w:rPr>
          <w:spacing w:val="-22"/>
          <w:w w:val="105"/>
        </w:rPr>
        <w:t> </w:t>
      </w:r>
      <w:r>
        <w:rPr>
          <w:w w:val="105"/>
        </w:rPr>
        <w:t>of</w:t>
      </w:r>
      <w:r>
        <w:rPr>
          <w:spacing w:val="-23"/>
          <w:w w:val="105"/>
        </w:rPr>
        <w:t> </w:t>
      </w:r>
      <w:r>
        <w:rPr>
          <w:w w:val="105"/>
        </w:rPr>
        <w:t>three</w:t>
      </w:r>
      <w:r>
        <w:rPr>
          <w:spacing w:val="-26"/>
          <w:w w:val="105"/>
        </w:rPr>
        <w:t> </w:t>
      </w:r>
      <w:r>
        <w:rPr>
          <w:w w:val="105"/>
        </w:rPr>
        <w:t>months</w:t>
      </w:r>
      <w:r>
        <w:rPr>
          <w:spacing w:val="-25"/>
          <w:w w:val="105"/>
        </w:rPr>
        <w:t> </w:t>
      </w:r>
      <w:r>
        <w:rPr>
          <w:w w:val="105"/>
        </w:rPr>
        <w:t>or</w:t>
      </w:r>
      <w:r>
        <w:rPr>
          <w:spacing w:val="-23"/>
          <w:w w:val="105"/>
        </w:rPr>
        <w:t> </w:t>
      </w:r>
      <w:r>
        <w:rPr>
          <w:w w:val="105"/>
        </w:rPr>
        <w:t>less</w:t>
      </w:r>
      <w:r>
        <w:rPr>
          <w:spacing w:val="-22"/>
          <w:w w:val="105"/>
        </w:rPr>
        <w:t> </w:t>
      </w:r>
      <w:r>
        <w:rPr>
          <w:w w:val="105"/>
        </w:rPr>
        <w:t>are classified</w:t>
      </w:r>
      <w:r>
        <w:rPr>
          <w:spacing w:val="-4"/>
          <w:w w:val="105"/>
        </w:rPr>
        <w:t> </w:t>
      </w:r>
      <w:r>
        <w:rPr>
          <w:w w:val="105"/>
        </w:rPr>
        <w:t>as</w:t>
      </w:r>
      <w:r>
        <w:rPr>
          <w:spacing w:val="-7"/>
          <w:w w:val="105"/>
        </w:rPr>
        <w:t> </w:t>
      </w:r>
      <w:r>
        <w:rPr>
          <w:w w:val="105"/>
        </w:rPr>
        <w:t>cash</w:t>
      </w:r>
      <w:r>
        <w:rPr>
          <w:spacing w:val="-1"/>
          <w:w w:val="105"/>
        </w:rPr>
        <w:t> </w:t>
      </w:r>
      <w:r>
        <w:rPr>
          <w:w w:val="105"/>
        </w:rPr>
        <w:t>and</w:t>
      </w:r>
      <w:r>
        <w:rPr>
          <w:spacing w:val="-4"/>
          <w:w w:val="105"/>
        </w:rPr>
        <w:t> </w:t>
      </w:r>
      <w:r>
        <w:rPr>
          <w:w w:val="105"/>
        </w:rPr>
        <w:t>cash</w:t>
      </w:r>
      <w:r>
        <w:rPr>
          <w:spacing w:val="-4"/>
          <w:w w:val="105"/>
        </w:rPr>
        <w:t> </w:t>
      </w:r>
      <w:r>
        <w:rPr>
          <w:w w:val="105"/>
        </w:rPr>
        <w:t>equivalents,</w:t>
      </w:r>
      <w:r>
        <w:rPr>
          <w:spacing w:val="-10"/>
          <w:w w:val="105"/>
        </w:rPr>
        <w:t> </w:t>
      </w:r>
      <w:r>
        <w:rPr>
          <w:w w:val="105"/>
        </w:rPr>
        <w:t>which</w:t>
      </w:r>
      <w:r>
        <w:rPr>
          <w:spacing w:val="-1"/>
          <w:w w:val="105"/>
        </w:rPr>
        <w:t> </w:t>
      </w:r>
      <w:r>
        <w:rPr>
          <w:w w:val="105"/>
        </w:rPr>
        <w:t>primarily</w:t>
      </w:r>
      <w:r>
        <w:rPr>
          <w:spacing w:val="-7"/>
          <w:w w:val="105"/>
        </w:rPr>
        <w:t> </w:t>
      </w:r>
      <w:r>
        <w:rPr>
          <w:w w:val="105"/>
        </w:rPr>
        <w:t>consist</w:t>
      </w:r>
      <w:r>
        <w:rPr>
          <w:spacing w:val="-7"/>
          <w:w w:val="105"/>
        </w:rPr>
        <w:t> </w:t>
      </w:r>
      <w:r>
        <w:rPr>
          <w:w w:val="105"/>
        </w:rPr>
        <w:t>of</w:t>
      </w:r>
      <w:r>
        <w:rPr>
          <w:spacing w:val="-2"/>
          <w:w w:val="105"/>
        </w:rPr>
        <w:t> </w:t>
      </w:r>
      <w:r>
        <w:rPr>
          <w:spacing w:val="-3"/>
          <w:w w:val="105"/>
        </w:rPr>
        <w:t>certificates</w:t>
      </w:r>
      <w:r>
        <w:rPr>
          <w:spacing w:val="-7"/>
          <w:w w:val="105"/>
        </w:rPr>
        <w:t> </w:t>
      </w:r>
      <w:r>
        <w:rPr>
          <w:w w:val="105"/>
        </w:rPr>
        <w:t>of</w:t>
      </w:r>
      <w:r>
        <w:rPr>
          <w:spacing w:val="-6"/>
          <w:w w:val="105"/>
        </w:rPr>
        <w:t> </w:t>
      </w:r>
      <w:r>
        <w:rPr>
          <w:w w:val="105"/>
        </w:rPr>
        <w:t>deposit,</w:t>
      </w:r>
      <w:r>
        <w:rPr>
          <w:spacing w:val="-7"/>
          <w:w w:val="105"/>
        </w:rPr>
        <w:t> </w:t>
      </w:r>
      <w:r>
        <w:rPr>
          <w:spacing w:val="-3"/>
          <w:w w:val="105"/>
        </w:rPr>
        <w:t>money</w:t>
      </w:r>
      <w:r>
        <w:rPr>
          <w:spacing w:val="-1"/>
          <w:w w:val="105"/>
        </w:rPr>
        <w:t> </w:t>
      </w:r>
      <w:r>
        <w:rPr>
          <w:spacing w:val="-3"/>
          <w:w w:val="105"/>
        </w:rPr>
        <w:t>market</w:t>
      </w:r>
      <w:r>
        <w:rPr>
          <w:spacing w:val="-4"/>
          <w:w w:val="105"/>
        </w:rPr>
        <w:t> </w:t>
      </w:r>
      <w:r>
        <w:rPr>
          <w:w w:val="105"/>
        </w:rPr>
        <w:t>funds, and</w:t>
      </w:r>
      <w:r>
        <w:rPr>
          <w:spacing w:val="-9"/>
          <w:w w:val="105"/>
        </w:rPr>
        <w:t> </w:t>
      </w:r>
      <w:r>
        <w:rPr>
          <w:w w:val="105"/>
        </w:rPr>
        <w:t>investment</w:t>
      </w:r>
      <w:r>
        <w:rPr>
          <w:spacing w:val="-6"/>
          <w:w w:val="105"/>
        </w:rPr>
        <w:t> </w:t>
      </w:r>
      <w:r>
        <w:rPr>
          <w:spacing w:val="-3"/>
          <w:w w:val="105"/>
        </w:rPr>
        <w:t>grade</w:t>
      </w:r>
      <w:r>
        <w:rPr>
          <w:spacing w:val="-11"/>
          <w:w w:val="105"/>
        </w:rPr>
        <w:t> </w:t>
      </w:r>
      <w:r>
        <w:rPr>
          <w:spacing w:val="-3"/>
          <w:w w:val="105"/>
        </w:rPr>
        <w:t>commercial</w:t>
      </w:r>
      <w:r>
        <w:rPr>
          <w:spacing w:val="-6"/>
          <w:w w:val="105"/>
        </w:rPr>
        <w:t> </w:t>
      </w:r>
      <w:r>
        <w:rPr>
          <w:w w:val="105"/>
        </w:rPr>
        <w:t>paper</w:t>
      </w:r>
      <w:r>
        <w:rPr>
          <w:spacing w:val="-11"/>
          <w:w w:val="105"/>
        </w:rPr>
        <w:t> </w:t>
      </w:r>
      <w:r>
        <w:rPr>
          <w:w w:val="105"/>
        </w:rPr>
        <w:t>issued</w:t>
      </w:r>
      <w:r>
        <w:rPr>
          <w:spacing w:val="-9"/>
          <w:w w:val="105"/>
        </w:rPr>
        <w:t> </w:t>
      </w:r>
      <w:r>
        <w:rPr>
          <w:w w:val="105"/>
        </w:rPr>
        <w:t>by</w:t>
      </w:r>
      <w:r>
        <w:rPr>
          <w:spacing w:val="-6"/>
          <w:w w:val="105"/>
        </w:rPr>
        <w:t> </w:t>
      </w:r>
      <w:r>
        <w:rPr>
          <w:w w:val="105"/>
        </w:rPr>
        <w:t>major</w:t>
      </w:r>
      <w:r>
        <w:rPr>
          <w:spacing w:val="-14"/>
          <w:w w:val="105"/>
        </w:rPr>
        <w:t> </w:t>
      </w:r>
      <w:r>
        <w:rPr>
          <w:w w:val="105"/>
        </w:rPr>
        <w:t>corporations</w:t>
      </w:r>
      <w:r>
        <w:rPr>
          <w:spacing w:val="-6"/>
          <w:w w:val="105"/>
        </w:rPr>
        <w:t> </w:t>
      </w:r>
      <w:r>
        <w:rPr>
          <w:w w:val="105"/>
        </w:rPr>
        <w:t>and</w:t>
      </w:r>
      <w:r>
        <w:rPr>
          <w:spacing w:val="-9"/>
          <w:w w:val="105"/>
        </w:rPr>
        <w:t> </w:t>
      </w:r>
      <w:r>
        <w:rPr>
          <w:w w:val="105"/>
        </w:rPr>
        <w:t>financial</w:t>
      </w:r>
      <w:r>
        <w:rPr>
          <w:spacing w:val="-9"/>
          <w:w w:val="105"/>
        </w:rPr>
        <w:t> </w:t>
      </w:r>
      <w:r>
        <w:rPr>
          <w:w w:val="105"/>
        </w:rPr>
        <w:t>institutions.</w:t>
      </w:r>
      <w:r>
        <w:rPr>
          <w:spacing w:val="37"/>
          <w:w w:val="105"/>
        </w:rPr>
        <w:t> </w:t>
      </w:r>
      <w:r>
        <w:rPr>
          <w:w w:val="105"/>
        </w:rPr>
        <w:t>Cash</w:t>
      </w:r>
      <w:r>
        <w:rPr>
          <w:spacing w:val="-9"/>
          <w:w w:val="105"/>
        </w:rPr>
        <w:t> </w:t>
      </w:r>
      <w:r>
        <w:rPr>
          <w:w w:val="105"/>
        </w:rPr>
        <w:t>and</w:t>
      </w:r>
      <w:r>
        <w:rPr>
          <w:spacing w:val="-9"/>
          <w:w w:val="105"/>
        </w:rPr>
        <w:t> </w:t>
      </w:r>
      <w:r>
        <w:rPr>
          <w:w w:val="105"/>
        </w:rPr>
        <w:t>cash equivalents</w:t>
      </w:r>
      <w:r>
        <w:rPr>
          <w:spacing w:val="-28"/>
          <w:w w:val="105"/>
        </w:rPr>
        <w:t> </w:t>
      </w:r>
      <w:r>
        <w:rPr>
          <w:spacing w:val="-4"/>
          <w:w w:val="105"/>
        </w:rPr>
        <w:t>are</w:t>
      </w:r>
      <w:r>
        <w:rPr>
          <w:spacing w:val="-29"/>
          <w:w w:val="105"/>
        </w:rPr>
        <w:t> </w:t>
      </w:r>
      <w:r>
        <w:rPr>
          <w:w w:val="105"/>
        </w:rPr>
        <w:t>stated</w:t>
      </w:r>
      <w:r>
        <w:rPr>
          <w:spacing w:val="-28"/>
          <w:w w:val="105"/>
        </w:rPr>
        <w:t> </w:t>
      </w:r>
      <w:r>
        <w:rPr>
          <w:spacing w:val="-3"/>
          <w:w w:val="105"/>
        </w:rPr>
        <w:t>at</w:t>
      </w:r>
      <w:r>
        <w:rPr>
          <w:spacing w:val="-28"/>
          <w:w w:val="105"/>
        </w:rPr>
        <w:t> </w:t>
      </w:r>
      <w:r>
        <w:rPr>
          <w:w w:val="105"/>
        </w:rPr>
        <w:t>cost,</w:t>
      </w:r>
      <w:r>
        <w:rPr>
          <w:spacing w:val="-30"/>
          <w:w w:val="105"/>
        </w:rPr>
        <w:t> </w:t>
      </w:r>
      <w:r>
        <w:rPr>
          <w:w w:val="105"/>
        </w:rPr>
        <w:t>which</w:t>
      </w:r>
      <w:r>
        <w:rPr>
          <w:spacing w:val="-31"/>
          <w:w w:val="105"/>
        </w:rPr>
        <w:t> </w:t>
      </w:r>
      <w:r>
        <w:rPr>
          <w:w w:val="105"/>
        </w:rPr>
        <w:t>approximates</w:t>
      </w:r>
      <w:r>
        <w:rPr>
          <w:spacing w:val="-28"/>
          <w:w w:val="105"/>
        </w:rPr>
        <w:t> </w:t>
      </w:r>
      <w:r>
        <w:rPr>
          <w:spacing w:val="-3"/>
          <w:w w:val="105"/>
        </w:rPr>
        <w:t>market</w:t>
      </w:r>
      <w:r>
        <w:rPr>
          <w:spacing w:val="-28"/>
          <w:w w:val="105"/>
        </w:rPr>
        <w:t> </w:t>
      </w:r>
      <w:r>
        <w:rPr>
          <w:w w:val="105"/>
        </w:rPr>
        <w:t>value.</w:t>
      </w:r>
    </w:p>
    <w:p>
      <w:pPr>
        <w:pStyle w:val="BodyText"/>
        <w:spacing w:line="220" w:lineRule="exact" w:before="216"/>
        <w:ind w:left="116" w:right="108"/>
        <w:jc w:val="both"/>
      </w:pPr>
      <w:r>
        <w:rPr>
          <w:color w:val="0000FF"/>
          <w:spacing w:val="-5"/>
          <w:w w:val="105"/>
        </w:rPr>
        <w:t>INVENTORIES</w:t>
      </w:r>
      <w:r>
        <w:rPr>
          <w:color w:val="0000FF"/>
          <w:spacing w:val="24"/>
          <w:w w:val="105"/>
        </w:rPr>
        <w:t> </w:t>
      </w:r>
      <w:r>
        <w:rPr>
          <w:w w:val="105"/>
        </w:rPr>
        <w:t>Inventories</w:t>
      </w:r>
      <w:r>
        <w:rPr>
          <w:spacing w:val="-16"/>
          <w:w w:val="105"/>
        </w:rPr>
        <w:t> </w:t>
      </w:r>
      <w:r>
        <w:rPr>
          <w:w w:val="105"/>
        </w:rPr>
        <w:t>of</w:t>
      </w:r>
      <w:r>
        <w:rPr>
          <w:spacing w:val="-14"/>
          <w:w w:val="105"/>
        </w:rPr>
        <w:t> </w:t>
      </w:r>
      <w:r>
        <w:rPr>
          <w:w w:val="105"/>
        </w:rPr>
        <w:t>flight</w:t>
      </w:r>
      <w:r>
        <w:rPr>
          <w:spacing w:val="-19"/>
          <w:w w:val="105"/>
        </w:rPr>
        <w:t> </w:t>
      </w:r>
      <w:r>
        <w:rPr>
          <w:w w:val="105"/>
        </w:rPr>
        <w:t>equipment</w:t>
      </w:r>
      <w:r>
        <w:rPr>
          <w:spacing w:val="-12"/>
          <w:w w:val="105"/>
        </w:rPr>
        <w:t> </w:t>
      </w:r>
      <w:r>
        <w:rPr>
          <w:w w:val="105"/>
        </w:rPr>
        <w:t>expendable</w:t>
      </w:r>
      <w:r>
        <w:rPr>
          <w:spacing w:val="-17"/>
          <w:w w:val="105"/>
        </w:rPr>
        <w:t> </w:t>
      </w:r>
      <w:r>
        <w:rPr>
          <w:w w:val="105"/>
        </w:rPr>
        <w:t>parts,</w:t>
      </w:r>
      <w:r>
        <w:rPr>
          <w:spacing w:val="-15"/>
          <w:w w:val="105"/>
        </w:rPr>
        <w:t> </w:t>
      </w:r>
      <w:r>
        <w:rPr>
          <w:spacing w:val="-3"/>
          <w:w w:val="105"/>
        </w:rPr>
        <w:t>materials,</w:t>
      </w:r>
      <w:r>
        <w:rPr>
          <w:spacing w:val="-18"/>
          <w:w w:val="105"/>
        </w:rPr>
        <w:t> </w:t>
      </w:r>
      <w:r>
        <w:rPr>
          <w:w w:val="105"/>
        </w:rPr>
        <w:t>and</w:t>
      </w:r>
      <w:r>
        <w:rPr>
          <w:spacing w:val="-16"/>
          <w:w w:val="105"/>
        </w:rPr>
        <w:t> </w:t>
      </w:r>
      <w:r>
        <w:rPr>
          <w:w w:val="105"/>
        </w:rPr>
        <w:t>supplies</w:t>
      </w:r>
      <w:r>
        <w:rPr>
          <w:spacing w:val="-16"/>
          <w:w w:val="105"/>
        </w:rPr>
        <w:t> </w:t>
      </w:r>
      <w:r>
        <w:rPr>
          <w:w w:val="105"/>
        </w:rPr>
        <w:t>are</w:t>
      </w:r>
      <w:r>
        <w:rPr>
          <w:spacing w:val="-17"/>
          <w:w w:val="105"/>
        </w:rPr>
        <w:t> </w:t>
      </w:r>
      <w:r>
        <w:rPr>
          <w:w w:val="105"/>
        </w:rPr>
        <w:t>carried</w:t>
      </w:r>
      <w:r>
        <w:rPr>
          <w:spacing w:val="-19"/>
          <w:w w:val="105"/>
        </w:rPr>
        <w:t> </w:t>
      </w:r>
      <w:r>
        <w:rPr>
          <w:w w:val="105"/>
        </w:rPr>
        <w:t>at</w:t>
      </w:r>
      <w:r>
        <w:rPr>
          <w:spacing w:val="-16"/>
          <w:w w:val="105"/>
        </w:rPr>
        <w:t> </w:t>
      </w:r>
      <w:r>
        <w:rPr>
          <w:w w:val="105"/>
        </w:rPr>
        <w:t>average cost.</w:t>
      </w:r>
      <w:r>
        <w:rPr>
          <w:spacing w:val="-27"/>
          <w:w w:val="105"/>
        </w:rPr>
        <w:t> </w:t>
      </w:r>
      <w:r>
        <w:rPr>
          <w:w w:val="105"/>
        </w:rPr>
        <w:t>These</w:t>
      </w:r>
      <w:r>
        <w:rPr>
          <w:spacing w:val="-23"/>
          <w:w w:val="105"/>
        </w:rPr>
        <w:t> </w:t>
      </w:r>
      <w:r>
        <w:rPr>
          <w:spacing w:val="-3"/>
          <w:w w:val="105"/>
        </w:rPr>
        <w:t>items</w:t>
      </w:r>
      <w:r>
        <w:rPr>
          <w:spacing w:val="-21"/>
          <w:w w:val="105"/>
        </w:rPr>
        <w:t> </w:t>
      </w:r>
      <w:r>
        <w:rPr>
          <w:w w:val="105"/>
        </w:rPr>
        <w:t>are</w:t>
      </w:r>
      <w:r>
        <w:rPr>
          <w:spacing w:val="-26"/>
          <w:w w:val="105"/>
        </w:rPr>
        <w:t> </w:t>
      </w:r>
      <w:r>
        <w:rPr>
          <w:w w:val="105"/>
        </w:rPr>
        <w:t>generally</w:t>
      </w:r>
      <w:r>
        <w:rPr>
          <w:spacing w:val="-21"/>
          <w:w w:val="105"/>
        </w:rPr>
        <w:t> </w:t>
      </w:r>
      <w:r>
        <w:rPr>
          <w:spacing w:val="-3"/>
          <w:w w:val="105"/>
        </w:rPr>
        <w:t>charged</w:t>
      </w:r>
      <w:r>
        <w:rPr>
          <w:spacing w:val="-21"/>
          <w:w w:val="105"/>
        </w:rPr>
        <w:t> </w:t>
      </w:r>
      <w:r>
        <w:rPr>
          <w:w w:val="105"/>
        </w:rPr>
        <w:t>to</w:t>
      </w:r>
      <w:r>
        <w:rPr>
          <w:spacing w:val="-21"/>
          <w:w w:val="105"/>
        </w:rPr>
        <w:t> </w:t>
      </w:r>
      <w:r>
        <w:rPr>
          <w:w w:val="105"/>
        </w:rPr>
        <w:t>expense</w:t>
      </w:r>
      <w:r>
        <w:rPr>
          <w:spacing w:val="-23"/>
          <w:w w:val="105"/>
        </w:rPr>
        <w:t> </w:t>
      </w:r>
      <w:r>
        <w:rPr>
          <w:spacing w:val="-3"/>
          <w:w w:val="105"/>
        </w:rPr>
        <w:t>when</w:t>
      </w:r>
      <w:r>
        <w:rPr>
          <w:spacing w:val="-21"/>
          <w:w w:val="105"/>
        </w:rPr>
        <w:t> </w:t>
      </w:r>
      <w:r>
        <w:rPr>
          <w:w w:val="105"/>
        </w:rPr>
        <w:t>issued</w:t>
      </w:r>
      <w:r>
        <w:rPr>
          <w:spacing w:val="-21"/>
          <w:w w:val="105"/>
        </w:rPr>
        <w:t> </w:t>
      </w:r>
      <w:r>
        <w:rPr>
          <w:spacing w:val="-3"/>
          <w:w w:val="105"/>
        </w:rPr>
        <w:t>for</w:t>
      </w:r>
      <w:r>
        <w:rPr>
          <w:spacing w:val="-23"/>
          <w:w w:val="105"/>
        </w:rPr>
        <w:t> </w:t>
      </w:r>
      <w:r>
        <w:rPr>
          <w:spacing w:val="-3"/>
          <w:w w:val="105"/>
        </w:rPr>
        <w:t>use.</w:t>
      </w:r>
    </w:p>
    <w:p>
      <w:pPr>
        <w:pStyle w:val="BodyText"/>
        <w:spacing w:line="218" w:lineRule="auto" w:before="219"/>
        <w:ind w:left="116" w:right="106"/>
        <w:jc w:val="both"/>
      </w:pPr>
      <w:r>
        <w:rPr>
          <w:color w:val="0000FF"/>
          <w:spacing w:val="-4"/>
          <w:w w:val="105"/>
        </w:rPr>
        <w:t>PROPERTY AND </w:t>
      </w:r>
      <w:r>
        <w:rPr>
          <w:color w:val="0000FF"/>
          <w:spacing w:val="-5"/>
          <w:w w:val="105"/>
        </w:rPr>
        <w:t>EQUIPMENT </w:t>
      </w:r>
      <w:r>
        <w:rPr>
          <w:spacing w:val="-3"/>
          <w:w w:val="105"/>
        </w:rPr>
        <w:t>Depreciation </w:t>
      </w:r>
      <w:r>
        <w:rPr>
          <w:w w:val="105"/>
        </w:rPr>
        <w:t>is provided by the straight-line method to estimated </w:t>
      </w:r>
      <w:r>
        <w:rPr>
          <w:spacing w:val="-3"/>
          <w:w w:val="105"/>
        </w:rPr>
        <w:t>residual </w:t>
      </w:r>
      <w:r>
        <w:rPr>
          <w:w w:val="105"/>
        </w:rPr>
        <w:t>values over periods generally ranging from 20 to 25 </w:t>
      </w:r>
      <w:r>
        <w:rPr>
          <w:spacing w:val="-3"/>
          <w:w w:val="105"/>
        </w:rPr>
        <w:t>years </w:t>
      </w:r>
      <w:r>
        <w:rPr>
          <w:w w:val="105"/>
        </w:rPr>
        <w:t>for flight equipment </w:t>
      </w:r>
      <w:r>
        <w:rPr>
          <w:spacing w:val="-3"/>
          <w:w w:val="105"/>
        </w:rPr>
        <w:t>and </w:t>
      </w:r>
      <w:r>
        <w:rPr>
          <w:w w:val="105"/>
        </w:rPr>
        <w:t>5 to 30 years for ground property</w:t>
      </w:r>
      <w:r>
        <w:rPr>
          <w:spacing w:val="-20"/>
          <w:w w:val="105"/>
        </w:rPr>
        <w:t> </w:t>
      </w:r>
      <w:r>
        <w:rPr>
          <w:w w:val="105"/>
        </w:rPr>
        <w:t>and</w:t>
      </w:r>
      <w:r>
        <w:rPr>
          <w:spacing w:val="-13"/>
          <w:w w:val="105"/>
        </w:rPr>
        <w:t> </w:t>
      </w:r>
      <w:r>
        <w:rPr>
          <w:w w:val="105"/>
        </w:rPr>
        <w:t>equipment</w:t>
      </w:r>
      <w:r>
        <w:rPr>
          <w:spacing w:val="-13"/>
          <w:w w:val="105"/>
        </w:rPr>
        <w:t> </w:t>
      </w:r>
      <w:r>
        <w:rPr>
          <w:w w:val="105"/>
        </w:rPr>
        <w:t>once</w:t>
      </w:r>
      <w:r>
        <w:rPr>
          <w:spacing w:val="-14"/>
          <w:w w:val="105"/>
        </w:rPr>
        <w:t> </w:t>
      </w:r>
      <w:r>
        <w:rPr>
          <w:w w:val="105"/>
        </w:rPr>
        <w:t>the</w:t>
      </w:r>
      <w:r>
        <w:rPr>
          <w:spacing w:val="-18"/>
          <w:w w:val="105"/>
        </w:rPr>
        <w:t> </w:t>
      </w:r>
      <w:r>
        <w:rPr>
          <w:w w:val="105"/>
        </w:rPr>
        <w:t>asset</w:t>
      </w:r>
      <w:r>
        <w:rPr>
          <w:spacing w:val="-16"/>
          <w:w w:val="105"/>
        </w:rPr>
        <w:t> </w:t>
      </w:r>
      <w:r>
        <w:rPr>
          <w:w w:val="105"/>
        </w:rPr>
        <w:t>is</w:t>
      </w:r>
      <w:r>
        <w:rPr>
          <w:spacing w:val="-16"/>
          <w:w w:val="105"/>
        </w:rPr>
        <w:t> </w:t>
      </w:r>
      <w:r>
        <w:rPr>
          <w:w w:val="105"/>
        </w:rPr>
        <w:t>placed</w:t>
      </w:r>
      <w:r>
        <w:rPr>
          <w:spacing w:val="-13"/>
          <w:w w:val="105"/>
        </w:rPr>
        <w:t> </w:t>
      </w:r>
      <w:r>
        <w:rPr>
          <w:w w:val="105"/>
        </w:rPr>
        <w:t>in</w:t>
      </w:r>
      <w:r>
        <w:rPr>
          <w:spacing w:val="-16"/>
          <w:w w:val="105"/>
        </w:rPr>
        <w:t> </w:t>
      </w:r>
      <w:r>
        <w:rPr>
          <w:w w:val="105"/>
        </w:rPr>
        <w:t>service.</w:t>
      </w:r>
      <w:r>
        <w:rPr>
          <w:spacing w:val="27"/>
          <w:w w:val="105"/>
        </w:rPr>
        <w:t> </w:t>
      </w:r>
      <w:r>
        <w:rPr>
          <w:spacing w:val="-3"/>
          <w:w w:val="105"/>
        </w:rPr>
        <w:t>Residual</w:t>
      </w:r>
      <w:r>
        <w:rPr>
          <w:spacing w:val="-13"/>
          <w:w w:val="105"/>
        </w:rPr>
        <w:t> </w:t>
      </w:r>
      <w:r>
        <w:rPr>
          <w:w w:val="105"/>
        </w:rPr>
        <w:t>values</w:t>
      </w:r>
      <w:r>
        <w:rPr>
          <w:spacing w:val="-16"/>
          <w:w w:val="105"/>
        </w:rPr>
        <w:t> </w:t>
      </w:r>
      <w:r>
        <w:rPr>
          <w:w w:val="105"/>
        </w:rPr>
        <w:t>estimated</w:t>
      </w:r>
      <w:r>
        <w:rPr>
          <w:spacing w:val="-13"/>
          <w:w w:val="105"/>
        </w:rPr>
        <w:t> </w:t>
      </w:r>
      <w:r>
        <w:rPr>
          <w:spacing w:val="-3"/>
          <w:w w:val="105"/>
        </w:rPr>
        <w:t>for</w:t>
      </w:r>
      <w:r>
        <w:rPr>
          <w:spacing w:val="-14"/>
          <w:w w:val="105"/>
        </w:rPr>
        <w:t> </w:t>
      </w:r>
      <w:r>
        <w:rPr>
          <w:spacing w:val="-3"/>
          <w:w w:val="105"/>
        </w:rPr>
        <w:t>aircraft</w:t>
      </w:r>
      <w:r>
        <w:rPr>
          <w:spacing w:val="-16"/>
          <w:w w:val="105"/>
        </w:rPr>
        <w:t> </w:t>
      </w:r>
      <w:r>
        <w:rPr>
          <w:w w:val="105"/>
        </w:rPr>
        <w:t>are</w:t>
      </w:r>
      <w:r>
        <w:rPr>
          <w:spacing w:val="-18"/>
          <w:w w:val="105"/>
        </w:rPr>
        <w:t> </w:t>
      </w:r>
      <w:r>
        <w:rPr>
          <w:w w:val="105"/>
        </w:rPr>
        <w:t>15</w:t>
      </w:r>
      <w:r>
        <w:rPr>
          <w:spacing w:val="-13"/>
          <w:w w:val="105"/>
        </w:rPr>
        <w:t> </w:t>
      </w:r>
      <w:r>
        <w:rPr>
          <w:w w:val="105"/>
        </w:rPr>
        <w:t>percent, except</w:t>
      </w:r>
      <w:r>
        <w:rPr>
          <w:spacing w:val="-9"/>
          <w:w w:val="105"/>
        </w:rPr>
        <w:t> </w:t>
      </w:r>
      <w:r>
        <w:rPr>
          <w:spacing w:val="-3"/>
          <w:w w:val="105"/>
        </w:rPr>
        <w:t>for</w:t>
      </w:r>
      <w:r>
        <w:rPr>
          <w:spacing w:val="-14"/>
          <w:w w:val="105"/>
        </w:rPr>
        <w:t> </w:t>
      </w:r>
      <w:r>
        <w:rPr>
          <w:w w:val="105"/>
        </w:rPr>
        <w:t>737-200</w:t>
      </w:r>
      <w:r>
        <w:rPr>
          <w:spacing w:val="-9"/>
          <w:w w:val="105"/>
        </w:rPr>
        <w:t> </w:t>
      </w:r>
      <w:r>
        <w:rPr>
          <w:spacing w:val="-3"/>
          <w:w w:val="105"/>
        </w:rPr>
        <w:t>aircraft,</w:t>
      </w:r>
      <w:r>
        <w:rPr>
          <w:spacing w:val="-15"/>
          <w:w w:val="105"/>
        </w:rPr>
        <w:t> </w:t>
      </w:r>
      <w:r>
        <w:rPr>
          <w:spacing w:val="-3"/>
          <w:w w:val="105"/>
        </w:rPr>
        <w:t>which</w:t>
      </w:r>
      <w:r>
        <w:rPr>
          <w:spacing w:val="-9"/>
          <w:w w:val="105"/>
        </w:rPr>
        <w:t> </w:t>
      </w:r>
      <w:r>
        <w:rPr>
          <w:spacing w:val="-3"/>
          <w:w w:val="105"/>
        </w:rPr>
        <w:t>will</w:t>
      </w:r>
      <w:r>
        <w:rPr>
          <w:spacing w:val="-9"/>
          <w:w w:val="105"/>
        </w:rPr>
        <w:t> </w:t>
      </w:r>
      <w:r>
        <w:rPr>
          <w:w w:val="105"/>
        </w:rPr>
        <w:t>be</w:t>
      </w:r>
      <w:r>
        <w:rPr>
          <w:spacing w:val="-14"/>
          <w:w w:val="105"/>
        </w:rPr>
        <w:t> </w:t>
      </w:r>
      <w:r>
        <w:rPr>
          <w:spacing w:val="-3"/>
          <w:w w:val="105"/>
        </w:rPr>
        <w:t>retired</w:t>
      </w:r>
      <w:r>
        <w:rPr>
          <w:spacing w:val="-9"/>
          <w:w w:val="105"/>
        </w:rPr>
        <w:t> </w:t>
      </w:r>
      <w:r>
        <w:rPr>
          <w:w w:val="105"/>
        </w:rPr>
        <w:t>from</w:t>
      </w:r>
      <w:r>
        <w:rPr>
          <w:spacing w:val="-10"/>
          <w:w w:val="105"/>
        </w:rPr>
        <w:t> </w:t>
      </w:r>
      <w:r>
        <w:rPr>
          <w:w w:val="105"/>
        </w:rPr>
        <w:t>the</w:t>
      </w:r>
      <w:r>
        <w:rPr>
          <w:spacing w:val="-14"/>
          <w:w w:val="105"/>
        </w:rPr>
        <w:t> </w:t>
      </w:r>
      <w:r>
        <w:rPr>
          <w:w w:val="105"/>
        </w:rPr>
        <w:t>Company’s</w:t>
      </w:r>
      <w:r>
        <w:rPr>
          <w:spacing w:val="-13"/>
          <w:w w:val="105"/>
        </w:rPr>
        <w:t> </w:t>
      </w:r>
      <w:r>
        <w:rPr>
          <w:w w:val="105"/>
        </w:rPr>
        <w:t>fleet</w:t>
      </w:r>
      <w:r>
        <w:rPr>
          <w:spacing w:val="-9"/>
          <w:w w:val="105"/>
        </w:rPr>
        <w:t> </w:t>
      </w:r>
      <w:r>
        <w:rPr>
          <w:w w:val="105"/>
        </w:rPr>
        <w:t>by</w:t>
      </w:r>
      <w:r>
        <w:rPr>
          <w:spacing w:val="-13"/>
          <w:w w:val="105"/>
        </w:rPr>
        <w:t> </w:t>
      </w:r>
      <w:r>
        <w:rPr>
          <w:w w:val="105"/>
        </w:rPr>
        <w:t>the</w:t>
      </w:r>
      <w:r>
        <w:rPr>
          <w:spacing w:val="-10"/>
          <w:w w:val="105"/>
        </w:rPr>
        <w:t> </w:t>
      </w:r>
      <w:r>
        <w:rPr>
          <w:w w:val="105"/>
        </w:rPr>
        <w:t>end</w:t>
      </w:r>
      <w:r>
        <w:rPr>
          <w:spacing w:val="-9"/>
          <w:w w:val="105"/>
        </w:rPr>
        <w:t> </w:t>
      </w:r>
      <w:r>
        <w:rPr>
          <w:w w:val="105"/>
        </w:rPr>
        <w:t>of</w:t>
      </w:r>
      <w:r>
        <w:rPr>
          <w:spacing w:val="-14"/>
          <w:w w:val="105"/>
        </w:rPr>
        <w:t> </w:t>
      </w:r>
      <w:r>
        <w:rPr>
          <w:spacing w:val="-3"/>
          <w:w w:val="105"/>
        </w:rPr>
        <w:t>first</w:t>
      </w:r>
      <w:r>
        <w:rPr>
          <w:spacing w:val="-9"/>
          <w:w w:val="105"/>
        </w:rPr>
        <w:t> </w:t>
      </w:r>
      <w:r>
        <w:rPr>
          <w:w w:val="105"/>
        </w:rPr>
        <w:t>quarter</w:t>
      </w:r>
      <w:r>
        <w:rPr>
          <w:spacing w:val="-10"/>
          <w:w w:val="105"/>
        </w:rPr>
        <w:t> </w:t>
      </w:r>
      <w:r>
        <w:rPr>
          <w:w w:val="105"/>
        </w:rPr>
        <w:t>2005.</w:t>
      </w:r>
      <w:r>
        <w:rPr>
          <w:spacing w:val="30"/>
          <w:w w:val="105"/>
        </w:rPr>
        <w:t> </w:t>
      </w:r>
      <w:r>
        <w:rPr>
          <w:spacing w:val="-4"/>
          <w:w w:val="105"/>
        </w:rPr>
        <w:t>The </w:t>
      </w:r>
      <w:r>
        <w:rPr>
          <w:w w:val="105"/>
        </w:rPr>
        <w:t>estimated </w:t>
      </w:r>
      <w:r>
        <w:rPr>
          <w:spacing w:val="-3"/>
          <w:w w:val="105"/>
        </w:rPr>
        <w:t>residual </w:t>
      </w:r>
      <w:r>
        <w:rPr>
          <w:w w:val="105"/>
        </w:rPr>
        <w:t>value for these </w:t>
      </w:r>
      <w:r>
        <w:rPr>
          <w:spacing w:val="-3"/>
          <w:w w:val="105"/>
        </w:rPr>
        <w:t>aircraft </w:t>
      </w:r>
      <w:r>
        <w:rPr>
          <w:w w:val="105"/>
        </w:rPr>
        <w:t>is </w:t>
      </w:r>
      <w:r>
        <w:rPr>
          <w:spacing w:val="-4"/>
          <w:w w:val="105"/>
        </w:rPr>
        <w:t>two </w:t>
      </w:r>
      <w:r>
        <w:rPr>
          <w:w w:val="105"/>
        </w:rPr>
        <w:t>percent, </w:t>
      </w:r>
      <w:r>
        <w:rPr>
          <w:spacing w:val="-3"/>
          <w:w w:val="105"/>
        </w:rPr>
        <w:t>based </w:t>
      </w:r>
      <w:r>
        <w:rPr>
          <w:w w:val="105"/>
        </w:rPr>
        <w:t>on </w:t>
      </w:r>
      <w:r>
        <w:rPr>
          <w:spacing w:val="-3"/>
          <w:w w:val="105"/>
        </w:rPr>
        <w:t>current market </w:t>
      </w:r>
      <w:r>
        <w:rPr>
          <w:w w:val="105"/>
        </w:rPr>
        <w:t>values. Residual value percentages</w:t>
      </w:r>
      <w:r>
        <w:rPr>
          <w:spacing w:val="-13"/>
          <w:w w:val="105"/>
        </w:rPr>
        <w:t> </w:t>
      </w:r>
      <w:r>
        <w:rPr>
          <w:spacing w:val="-3"/>
          <w:w w:val="105"/>
        </w:rPr>
        <w:t>for</w:t>
      </w:r>
      <w:r>
        <w:rPr>
          <w:spacing w:val="-18"/>
          <w:w w:val="105"/>
        </w:rPr>
        <w:t> </w:t>
      </w:r>
      <w:r>
        <w:rPr>
          <w:w w:val="105"/>
        </w:rPr>
        <w:t>ground</w:t>
      </w:r>
      <w:r>
        <w:rPr>
          <w:spacing w:val="-13"/>
          <w:w w:val="105"/>
        </w:rPr>
        <w:t> </w:t>
      </w:r>
      <w:r>
        <w:rPr>
          <w:spacing w:val="-3"/>
          <w:w w:val="105"/>
        </w:rPr>
        <w:t>property</w:t>
      </w:r>
      <w:r>
        <w:rPr>
          <w:spacing w:val="-13"/>
          <w:w w:val="105"/>
        </w:rPr>
        <w:t> </w:t>
      </w:r>
      <w:r>
        <w:rPr>
          <w:w w:val="105"/>
        </w:rPr>
        <w:t>and</w:t>
      </w:r>
      <w:r>
        <w:rPr>
          <w:spacing w:val="-16"/>
          <w:w w:val="105"/>
        </w:rPr>
        <w:t> </w:t>
      </w:r>
      <w:r>
        <w:rPr>
          <w:w w:val="105"/>
        </w:rPr>
        <w:t>equipment</w:t>
      </w:r>
      <w:r>
        <w:rPr>
          <w:spacing w:val="-16"/>
          <w:w w:val="105"/>
        </w:rPr>
        <w:t> </w:t>
      </w:r>
      <w:r>
        <w:rPr>
          <w:w w:val="105"/>
        </w:rPr>
        <w:t>range</w:t>
      </w:r>
      <w:r>
        <w:rPr>
          <w:spacing w:val="-14"/>
          <w:w w:val="105"/>
        </w:rPr>
        <w:t> </w:t>
      </w:r>
      <w:r>
        <w:rPr>
          <w:w w:val="105"/>
        </w:rPr>
        <w:t>from</w:t>
      </w:r>
      <w:r>
        <w:rPr>
          <w:spacing w:val="-21"/>
          <w:w w:val="105"/>
        </w:rPr>
        <w:t> </w:t>
      </w:r>
      <w:r>
        <w:rPr>
          <w:w w:val="105"/>
        </w:rPr>
        <w:t>zero</w:t>
      </w:r>
      <w:r>
        <w:rPr>
          <w:spacing w:val="-16"/>
          <w:w w:val="105"/>
        </w:rPr>
        <w:t> </w:t>
      </w:r>
      <w:r>
        <w:rPr>
          <w:w w:val="105"/>
        </w:rPr>
        <w:t>to</w:t>
      </w:r>
      <w:r>
        <w:rPr>
          <w:spacing w:val="-20"/>
          <w:w w:val="105"/>
        </w:rPr>
        <w:t> </w:t>
      </w:r>
      <w:r>
        <w:rPr>
          <w:w w:val="105"/>
        </w:rPr>
        <w:t>10</w:t>
      </w:r>
      <w:r>
        <w:rPr>
          <w:spacing w:val="-13"/>
          <w:w w:val="105"/>
        </w:rPr>
        <w:t> </w:t>
      </w:r>
      <w:r>
        <w:rPr>
          <w:spacing w:val="-3"/>
          <w:w w:val="105"/>
        </w:rPr>
        <w:t>percent.</w:t>
      </w:r>
      <w:r>
        <w:rPr>
          <w:spacing w:val="23"/>
          <w:w w:val="105"/>
        </w:rPr>
        <w:t> </w:t>
      </w:r>
      <w:r>
        <w:rPr>
          <w:w w:val="105"/>
        </w:rPr>
        <w:t>Property</w:t>
      </w:r>
      <w:r>
        <w:rPr>
          <w:spacing w:val="-13"/>
          <w:w w:val="105"/>
        </w:rPr>
        <w:t> </w:t>
      </w:r>
      <w:r>
        <w:rPr>
          <w:w w:val="105"/>
        </w:rPr>
        <w:t>under</w:t>
      </w:r>
      <w:r>
        <w:rPr>
          <w:spacing w:val="-14"/>
          <w:w w:val="105"/>
        </w:rPr>
        <w:t> </w:t>
      </w:r>
      <w:r>
        <w:rPr>
          <w:w w:val="105"/>
        </w:rPr>
        <w:t>capital</w:t>
      </w:r>
      <w:r>
        <w:rPr>
          <w:spacing w:val="-16"/>
          <w:w w:val="105"/>
        </w:rPr>
        <w:t> </w:t>
      </w:r>
      <w:r>
        <w:rPr>
          <w:w w:val="105"/>
        </w:rPr>
        <w:t>leases</w:t>
      </w:r>
      <w:r>
        <w:rPr>
          <w:spacing w:val="-13"/>
          <w:w w:val="105"/>
        </w:rPr>
        <w:t> </w:t>
      </w:r>
      <w:r>
        <w:rPr>
          <w:spacing w:val="-3"/>
          <w:w w:val="105"/>
        </w:rPr>
        <w:t>and related </w:t>
      </w:r>
      <w:r>
        <w:rPr>
          <w:w w:val="105"/>
        </w:rPr>
        <w:t>obligations </w:t>
      </w:r>
      <w:r>
        <w:rPr>
          <w:spacing w:val="-4"/>
          <w:w w:val="105"/>
        </w:rPr>
        <w:t>are </w:t>
      </w:r>
      <w:r>
        <w:rPr>
          <w:w w:val="105"/>
        </w:rPr>
        <w:t>recorded at </w:t>
      </w:r>
      <w:r>
        <w:rPr>
          <w:spacing w:val="-3"/>
          <w:w w:val="105"/>
        </w:rPr>
        <w:t>an </w:t>
      </w:r>
      <w:r>
        <w:rPr>
          <w:w w:val="105"/>
        </w:rPr>
        <w:t>amount equal to the present value of </w:t>
      </w:r>
      <w:r>
        <w:rPr>
          <w:spacing w:val="-3"/>
          <w:w w:val="105"/>
        </w:rPr>
        <w:t>future </w:t>
      </w:r>
      <w:r>
        <w:rPr>
          <w:w w:val="105"/>
        </w:rPr>
        <w:t>minimum lease payments computed</w:t>
      </w:r>
      <w:r>
        <w:rPr>
          <w:spacing w:val="-21"/>
          <w:w w:val="105"/>
        </w:rPr>
        <w:t> </w:t>
      </w:r>
      <w:r>
        <w:rPr>
          <w:w w:val="105"/>
        </w:rPr>
        <w:t>on</w:t>
      </w:r>
      <w:r>
        <w:rPr>
          <w:spacing w:val="-17"/>
          <w:w w:val="105"/>
        </w:rPr>
        <w:t> </w:t>
      </w:r>
      <w:r>
        <w:rPr>
          <w:w w:val="105"/>
        </w:rPr>
        <w:t>the</w:t>
      </w:r>
      <w:r>
        <w:rPr>
          <w:spacing w:val="-15"/>
          <w:w w:val="105"/>
        </w:rPr>
        <w:t> </w:t>
      </w:r>
      <w:r>
        <w:rPr>
          <w:w w:val="105"/>
        </w:rPr>
        <w:t>basis</w:t>
      </w:r>
      <w:r>
        <w:rPr>
          <w:spacing w:val="-21"/>
          <w:w w:val="105"/>
        </w:rPr>
        <w:t> </w:t>
      </w:r>
      <w:r>
        <w:rPr>
          <w:w w:val="105"/>
        </w:rPr>
        <w:t>of</w:t>
      </w:r>
      <w:r>
        <w:rPr>
          <w:spacing w:val="-22"/>
          <w:w w:val="105"/>
        </w:rPr>
        <w:t> </w:t>
      </w:r>
      <w:r>
        <w:rPr>
          <w:w w:val="105"/>
        </w:rPr>
        <w:t>the</w:t>
      </w:r>
      <w:r>
        <w:rPr>
          <w:spacing w:val="-19"/>
          <w:w w:val="105"/>
        </w:rPr>
        <w:t> </w:t>
      </w:r>
      <w:r>
        <w:rPr>
          <w:w w:val="105"/>
        </w:rPr>
        <w:t>Company’s</w:t>
      </w:r>
      <w:r>
        <w:rPr>
          <w:spacing w:val="-14"/>
          <w:w w:val="105"/>
        </w:rPr>
        <w:t> </w:t>
      </w:r>
      <w:r>
        <w:rPr>
          <w:spacing w:val="-3"/>
          <w:w w:val="105"/>
        </w:rPr>
        <w:t>incremental</w:t>
      </w:r>
      <w:r>
        <w:rPr>
          <w:spacing w:val="-17"/>
          <w:w w:val="105"/>
        </w:rPr>
        <w:t> </w:t>
      </w:r>
      <w:r>
        <w:rPr>
          <w:w w:val="105"/>
        </w:rPr>
        <w:t>borrowing</w:t>
      </w:r>
      <w:r>
        <w:rPr>
          <w:spacing w:val="-17"/>
          <w:w w:val="105"/>
        </w:rPr>
        <w:t> </w:t>
      </w:r>
      <w:r>
        <w:rPr>
          <w:w w:val="105"/>
        </w:rPr>
        <w:t>rate</w:t>
      </w:r>
      <w:r>
        <w:rPr>
          <w:spacing w:val="-19"/>
          <w:w w:val="105"/>
        </w:rPr>
        <w:t> </w:t>
      </w:r>
      <w:r>
        <w:rPr>
          <w:w w:val="105"/>
        </w:rPr>
        <w:t>or,</w:t>
      </w:r>
      <w:r>
        <w:rPr>
          <w:spacing w:val="-20"/>
          <w:w w:val="105"/>
        </w:rPr>
        <w:t> </w:t>
      </w:r>
      <w:r>
        <w:rPr>
          <w:spacing w:val="-3"/>
          <w:w w:val="105"/>
        </w:rPr>
        <w:t>when</w:t>
      </w:r>
      <w:r>
        <w:rPr>
          <w:spacing w:val="-17"/>
          <w:w w:val="105"/>
        </w:rPr>
        <w:t> </w:t>
      </w:r>
      <w:r>
        <w:rPr>
          <w:w w:val="105"/>
        </w:rPr>
        <w:t>known,</w:t>
      </w:r>
      <w:r>
        <w:rPr>
          <w:spacing w:val="-20"/>
          <w:w w:val="105"/>
        </w:rPr>
        <w:t> </w:t>
      </w:r>
      <w:r>
        <w:rPr>
          <w:w w:val="105"/>
        </w:rPr>
        <w:t>the</w:t>
      </w:r>
      <w:r>
        <w:rPr>
          <w:spacing w:val="-22"/>
          <w:w w:val="105"/>
        </w:rPr>
        <w:t> </w:t>
      </w:r>
      <w:r>
        <w:rPr>
          <w:w w:val="105"/>
        </w:rPr>
        <w:t>interest</w:t>
      </w:r>
      <w:r>
        <w:rPr>
          <w:spacing w:val="-14"/>
          <w:w w:val="105"/>
        </w:rPr>
        <w:t> </w:t>
      </w:r>
      <w:r>
        <w:rPr>
          <w:w w:val="105"/>
        </w:rPr>
        <w:t>rate</w:t>
      </w:r>
      <w:r>
        <w:rPr>
          <w:spacing w:val="-19"/>
          <w:w w:val="105"/>
        </w:rPr>
        <w:t> </w:t>
      </w:r>
      <w:r>
        <w:rPr>
          <w:w w:val="105"/>
        </w:rPr>
        <w:t>implicit</w:t>
      </w:r>
      <w:r>
        <w:rPr>
          <w:spacing w:val="-17"/>
          <w:w w:val="105"/>
        </w:rPr>
        <w:t> </w:t>
      </w:r>
      <w:r>
        <w:rPr>
          <w:spacing w:val="-3"/>
          <w:w w:val="105"/>
        </w:rPr>
        <w:t>in </w:t>
      </w:r>
      <w:r>
        <w:rPr>
          <w:w w:val="105"/>
        </w:rPr>
        <w:t>the </w:t>
      </w:r>
      <w:r>
        <w:rPr>
          <w:spacing w:val="-3"/>
          <w:w w:val="105"/>
        </w:rPr>
        <w:t>lease. Amortization </w:t>
      </w:r>
      <w:r>
        <w:rPr>
          <w:w w:val="105"/>
        </w:rPr>
        <w:t>of </w:t>
      </w:r>
      <w:r>
        <w:rPr>
          <w:spacing w:val="-3"/>
          <w:w w:val="105"/>
        </w:rPr>
        <w:t>property </w:t>
      </w:r>
      <w:r>
        <w:rPr>
          <w:w w:val="105"/>
        </w:rPr>
        <w:t>under capital leases is on a straight-line basis over the </w:t>
      </w:r>
      <w:r>
        <w:rPr>
          <w:spacing w:val="-3"/>
          <w:w w:val="105"/>
        </w:rPr>
        <w:t>lease </w:t>
      </w:r>
      <w:r>
        <w:rPr>
          <w:w w:val="105"/>
        </w:rPr>
        <w:t>term and is </w:t>
      </w:r>
      <w:r>
        <w:rPr/>
        <w:t>included in depreciation</w:t>
      </w:r>
      <w:r>
        <w:rPr>
          <w:spacing w:val="15"/>
        </w:rPr>
        <w:t> </w:t>
      </w:r>
      <w:r>
        <w:rPr/>
        <w:t>expense.</w:t>
      </w:r>
    </w:p>
    <w:p>
      <w:pPr>
        <w:pStyle w:val="BodyText"/>
        <w:spacing w:line="218" w:lineRule="auto" w:before="221"/>
        <w:ind w:left="116" w:right="106"/>
        <w:jc w:val="both"/>
      </w:pPr>
      <w:r>
        <w:rPr>
          <w:w w:val="105"/>
        </w:rPr>
        <w:t>In estimating the lives and expected residual values of its aircraft, the Company has primarily relied upon</w:t>
      </w:r>
      <w:r>
        <w:rPr>
          <w:spacing w:val="55"/>
          <w:w w:val="105"/>
        </w:rPr>
        <w:t> </w:t>
      </w:r>
      <w:r>
        <w:rPr>
          <w:spacing w:val="5"/>
          <w:w w:val="105"/>
        </w:rPr>
        <w:t>actual experience </w:t>
      </w:r>
      <w:r>
        <w:rPr>
          <w:spacing w:val="3"/>
          <w:w w:val="105"/>
        </w:rPr>
        <w:t>with </w:t>
      </w:r>
      <w:r>
        <w:rPr>
          <w:spacing w:val="4"/>
          <w:w w:val="105"/>
        </w:rPr>
        <w:t>the </w:t>
      </w:r>
      <w:r>
        <w:rPr>
          <w:spacing w:val="3"/>
          <w:w w:val="105"/>
        </w:rPr>
        <w:t>same or </w:t>
      </w:r>
      <w:r>
        <w:rPr>
          <w:spacing w:val="4"/>
          <w:w w:val="105"/>
        </w:rPr>
        <w:t>similar </w:t>
      </w:r>
      <w:r>
        <w:rPr>
          <w:spacing w:val="5"/>
          <w:w w:val="105"/>
        </w:rPr>
        <w:t>aircraft </w:t>
      </w:r>
      <w:r>
        <w:rPr>
          <w:spacing w:val="4"/>
          <w:w w:val="105"/>
        </w:rPr>
        <w:t>types and </w:t>
      </w:r>
      <w:r>
        <w:rPr>
          <w:spacing w:val="5"/>
          <w:w w:val="105"/>
        </w:rPr>
        <w:t>recommendations </w:t>
      </w:r>
      <w:r>
        <w:rPr>
          <w:spacing w:val="4"/>
          <w:w w:val="105"/>
        </w:rPr>
        <w:t>from </w:t>
      </w:r>
      <w:r>
        <w:rPr>
          <w:spacing w:val="5"/>
          <w:w w:val="105"/>
        </w:rPr>
        <w:t>Boeing, </w:t>
      </w:r>
      <w:r>
        <w:rPr>
          <w:spacing w:val="6"/>
          <w:w w:val="105"/>
        </w:rPr>
        <w:t>the </w:t>
      </w:r>
      <w:r>
        <w:rPr>
          <w:w w:val="105"/>
        </w:rPr>
        <w:t>manufacturer of the Company’s aircraft. Subsequent revisions to these estimates, which can be significant, could be caused by changes to the Company’s maintenance program, changes in utilization of the aircraft</w:t>
      </w:r>
      <w:r>
        <w:rPr>
          <w:spacing w:val="55"/>
          <w:w w:val="105"/>
        </w:rPr>
        <w:t> </w:t>
      </w:r>
      <w:r>
        <w:rPr>
          <w:w w:val="105"/>
        </w:rPr>
        <w:t>(actual flight hours or cycles during a given period of time), governmental regulations on aging aircraft, changing market prices of new and used aircraft of the same or similar types, etc. The Company evaluates its </w:t>
      </w:r>
      <w:r>
        <w:rPr>
          <w:spacing w:val="4"/>
          <w:w w:val="105"/>
        </w:rPr>
        <w:t>estimates </w:t>
      </w:r>
      <w:r>
        <w:rPr>
          <w:spacing w:val="3"/>
          <w:w w:val="105"/>
        </w:rPr>
        <w:t>and </w:t>
      </w:r>
      <w:r>
        <w:rPr>
          <w:spacing w:val="4"/>
          <w:w w:val="105"/>
        </w:rPr>
        <w:t>assumptions </w:t>
      </w:r>
      <w:r>
        <w:rPr>
          <w:spacing w:val="3"/>
          <w:w w:val="105"/>
        </w:rPr>
        <w:t>each </w:t>
      </w:r>
      <w:r>
        <w:rPr>
          <w:spacing w:val="4"/>
          <w:w w:val="105"/>
        </w:rPr>
        <w:t>reporting period </w:t>
      </w:r>
      <w:r>
        <w:rPr>
          <w:spacing w:val="3"/>
          <w:w w:val="105"/>
        </w:rPr>
        <w:t>and, when </w:t>
      </w:r>
      <w:r>
        <w:rPr>
          <w:spacing w:val="4"/>
          <w:w w:val="105"/>
        </w:rPr>
        <w:t>warranted, adjusts these estimates </w:t>
      </w:r>
      <w:r>
        <w:rPr>
          <w:spacing w:val="5"/>
          <w:w w:val="105"/>
        </w:rPr>
        <w:t>and </w:t>
      </w:r>
      <w:r>
        <w:rPr>
          <w:w w:val="105"/>
        </w:rPr>
        <w:t>assumptions. Generally, these adjustments are accounted for on a prospective basis through </w:t>
      </w:r>
      <w:r>
        <w:rPr>
          <w:spacing w:val="2"/>
          <w:w w:val="105"/>
        </w:rPr>
        <w:t>depreciation </w:t>
      </w:r>
      <w:r>
        <w:rPr>
          <w:w w:val="105"/>
        </w:rPr>
        <w:t>expense, as required by GAAP.</w:t>
      </w:r>
    </w:p>
    <w:p>
      <w:pPr>
        <w:pStyle w:val="BodyText"/>
        <w:spacing w:line="218" w:lineRule="auto" w:before="216"/>
        <w:ind w:left="115" w:right="107"/>
        <w:jc w:val="both"/>
      </w:pPr>
      <w:r>
        <w:rPr>
          <w:w w:val="105"/>
        </w:rPr>
        <w:t>When appropriate, the Company evaluates its long-lived assets used in operations for impairment. Impairment losses would be recorded when events and circumstances indicate that an asset might be impaired and the undiscounted cash flows to be generated by that asset are less than the carrying amounts of the asset. Factors that would indicate potential impairment include, but are not limited to, significant decreases in the market value of the long-lived asset(s), a significant change in the long-lived asset’s physical condition, operating or cash flow losses associated with the use of the long-lived asset, etc. While the airline industry as a whole has experienced many of these indicators, Southwest has continued to operate all of its aircraft and continues to experience positive cash flow.</w:t>
      </w:r>
    </w:p>
    <w:p>
      <w:pPr>
        <w:pStyle w:val="BodyText"/>
        <w:spacing w:line="218" w:lineRule="auto" w:before="221"/>
        <w:ind w:left="115" w:right="107"/>
        <w:jc w:val="both"/>
      </w:pPr>
      <w:r>
        <w:rPr>
          <w:color w:val="0000FF"/>
          <w:spacing w:val="-4"/>
          <w:w w:val="105"/>
        </w:rPr>
        <w:t>AIRCRAFT AND </w:t>
      </w:r>
      <w:r>
        <w:rPr>
          <w:color w:val="0000FF"/>
          <w:spacing w:val="-5"/>
          <w:w w:val="105"/>
        </w:rPr>
        <w:t>ENGINE MAINTENANCE </w:t>
      </w:r>
      <w:r>
        <w:rPr>
          <w:spacing w:val="-2"/>
          <w:w w:val="105"/>
        </w:rPr>
        <w:t>The </w:t>
      </w:r>
      <w:r>
        <w:rPr>
          <w:w w:val="105"/>
        </w:rPr>
        <w:t>cost of scheduled engine inspections and </w:t>
      </w:r>
      <w:r>
        <w:rPr>
          <w:spacing w:val="-3"/>
          <w:w w:val="105"/>
        </w:rPr>
        <w:t>repairs and </w:t>
      </w:r>
      <w:r>
        <w:rPr>
          <w:w w:val="105"/>
        </w:rPr>
        <w:t>routine maintenance costs for </w:t>
      </w:r>
      <w:r>
        <w:rPr>
          <w:spacing w:val="-3"/>
          <w:w w:val="105"/>
        </w:rPr>
        <w:t>aircraft and </w:t>
      </w:r>
      <w:r>
        <w:rPr>
          <w:w w:val="105"/>
        </w:rPr>
        <w:t>engines are </w:t>
      </w:r>
      <w:r>
        <w:rPr>
          <w:spacing w:val="-3"/>
          <w:w w:val="105"/>
        </w:rPr>
        <w:t>charged </w:t>
      </w:r>
      <w:r>
        <w:rPr>
          <w:w w:val="105"/>
        </w:rPr>
        <w:t>to maintenance expense as incurred. Scheduled </w:t>
      </w:r>
      <w:r>
        <w:rPr>
          <w:spacing w:val="-3"/>
          <w:w w:val="105"/>
        </w:rPr>
        <w:t>airframe </w:t>
      </w:r>
      <w:r>
        <w:rPr>
          <w:w w:val="105"/>
        </w:rPr>
        <w:t>inspections and repairs, </w:t>
      </w:r>
      <w:r>
        <w:rPr>
          <w:spacing w:val="-3"/>
          <w:w w:val="105"/>
        </w:rPr>
        <w:t>known as </w:t>
      </w:r>
      <w:r>
        <w:rPr>
          <w:w w:val="105"/>
        </w:rPr>
        <w:t>D checks, are generally </w:t>
      </w:r>
      <w:r>
        <w:rPr>
          <w:spacing w:val="-3"/>
          <w:w w:val="105"/>
        </w:rPr>
        <w:t>performed every </w:t>
      </w:r>
      <w:r>
        <w:rPr>
          <w:w w:val="105"/>
        </w:rPr>
        <w:t>ten years. Costs </w:t>
      </w:r>
      <w:r>
        <w:rPr>
          <w:spacing w:val="-3"/>
          <w:w w:val="105"/>
        </w:rPr>
        <w:t>related </w:t>
      </w:r>
      <w:r>
        <w:rPr>
          <w:w w:val="105"/>
        </w:rPr>
        <w:t>to D</w:t>
      </w:r>
      <w:r>
        <w:rPr>
          <w:spacing w:val="-8"/>
          <w:w w:val="105"/>
        </w:rPr>
        <w:t> </w:t>
      </w:r>
      <w:r>
        <w:rPr>
          <w:w w:val="105"/>
        </w:rPr>
        <w:t>checks</w:t>
      </w:r>
      <w:r>
        <w:rPr>
          <w:spacing w:val="-8"/>
          <w:w w:val="105"/>
        </w:rPr>
        <w:t> </w:t>
      </w:r>
      <w:r>
        <w:rPr>
          <w:w w:val="105"/>
        </w:rPr>
        <w:t>are</w:t>
      </w:r>
      <w:r>
        <w:rPr>
          <w:spacing w:val="-9"/>
          <w:w w:val="105"/>
        </w:rPr>
        <w:t> </w:t>
      </w:r>
      <w:r>
        <w:rPr>
          <w:w w:val="105"/>
        </w:rPr>
        <w:t>capitalized</w:t>
      </w:r>
      <w:r>
        <w:rPr>
          <w:spacing w:val="-8"/>
          <w:w w:val="105"/>
        </w:rPr>
        <w:t> </w:t>
      </w:r>
      <w:r>
        <w:rPr>
          <w:w w:val="105"/>
        </w:rPr>
        <w:t>and</w:t>
      </w:r>
      <w:r>
        <w:rPr>
          <w:spacing w:val="-8"/>
          <w:w w:val="105"/>
        </w:rPr>
        <w:t> </w:t>
      </w:r>
      <w:r>
        <w:rPr>
          <w:spacing w:val="-3"/>
          <w:w w:val="105"/>
        </w:rPr>
        <w:t>amortized</w:t>
      </w:r>
      <w:r>
        <w:rPr>
          <w:spacing w:val="-4"/>
          <w:w w:val="105"/>
        </w:rPr>
        <w:t> </w:t>
      </w:r>
      <w:r>
        <w:rPr>
          <w:w w:val="105"/>
        </w:rPr>
        <w:t>over</w:t>
      </w:r>
      <w:r>
        <w:rPr>
          <w:spacing w:val="-6"/>
          <w:w w:val="105"/>
        </w:rPr>
        <w:t> </w:t>
      </w:r>
      <w:r>
        <w:rPr>
          <w:w w:val="105"/>
        </w:rPr>
        <w:t>the</w:t>
      </w:r>
      <w:r>
        <w:rPr>
          <w:spacing w:val="-9"/>
          <w:w w:val="105"/>
        </w:rPr>
        <w:t> </w:t>
      </w:r>
      <w:r>
        <w:rPr>
          <w:w w:val="105"/>
        </w:rPr>
        <w:t>estimated</w:t>
      </w:r>
      <w:r>
        <w:rPr>
          <w:spacing w:val="-4"/>
          <w:w w:val="105"/>
        </w:rPr>
        <w:t> </w:t>
      </w:r>
      <w:r>
        <w:rPr>
          <w:w w:val="105"/>
        </w:rPr>
        <w:t>period</w:t>
      </w:r>
      <w:r>
        <w:rPr>
          <w:spacing w:val="-8"/>
          <w:w w:val="105"/>
        </w:rPr>
        <w:t> </w:t>
      </w:r>
      <w:r>
        <w:rPr>
          <w:w w:val="105"/>
        </w:rPr>
        <w:t>benefited,</w:t>
      </w:r>
      <w:r>
        <w:rPr>
          <w:spacing w:val="-11"/>
          <w:w w:val="105"/>
        </w:rPr>
        <w:t> </w:t>
      </w:r>
      <w:r>
        <w:rPr>
          <w:w w:val="105"/>
        </w:rPr>
        <w:t>presently</w:t>
      </w:r>
      <w:r>
        <w:rPr>
          <w:spacing w:val="-8"/>
          <w:w w:val="105"/>
        </w:rPr>
        <w:t> </w:t>
      </w:r>
      <w:r>
        <w:rPr>
          <w:w w:val="105"/>
        </w:rPr>
        <w:t>the</w:t>
      </w:r>
      <w:r>
        <w:rPr>
          <w:spacing w:val="-9"/>
          <w:w w:val="105"/>
        </w:rPr>
        <w:t> </w:t>
      </w:r>
      <w:r>
        <w:rPr>
          <w:spacing w:val="-3"/>
          <w:w w:val="105"/>
        </w:rPr>
        <w:t>least</w:t>
      </w:r>
      <w:r>
        <w:rPr>
          <w:spacing w:val="-4"/>
          <w:w w:val="105"/>
        </w:rPr>
        <w:t> </w:t>
      </w:r>
      <w:r>
        <w:rPr>
          <w:w w:val="105"/>
        </w:rPr>
        <w:t>of</w:t>
      </w:r>
      <w:r>
        <w:rPr>
          <w:spacing w:val="-6"/>
          <w:w w:val="105"/>
        </w:rPr>
        <w:t> </w:t>
      </w:r>
      <w:r>
        <w:rPr>
          <w:w w:val="105"/>
        </w:rPr>
        <w:t>ten</w:t>
      </w:r>
      <w:r>
        <w:rPr>
          <w:spacing w:val="-8"/>
          <w:w w:val="105"/>
        </w:rPr>
        <w:t> </w:t>
      </w:r>
      <w:r>
        <w:rPr>
          <w:w w:val="105"/>
        </w:rPr>
        <w:t>years,</w:t>
      </w:r>
      <w:r>
        <w:rPr>
          <w:spacing w:val="-11"/>
          <w:w w:val="105"/>
        </w:rPr>
        <w:t> </w:t>
      </w:r>
      <w:r>
        <w:rPr>
          <w:w w:val="105"/>
        </w:rPr>
        <w:t>the time until the next D check, or the remaining life of the </w:t>
      </w:r>
      <w:r>
        <w:rPr>
          <w:spacing w:val="-3"/>
          <w:w w:val="105"/>
        </w:rPr>
        <w:t>aircraft. </w:t>
      </w:r>
      <w:r>
        <w:rPr>
          <w:w w:val="105"/>
        </w:rPr>
        <w:t>Modifications that significantly enhance the operating </w:t>
      </w:r>
      <w:r>
        <w:rPr>
          <w:spacing w:val="-3"/>
          <w:w w:val="105"/>
        </w:rPr>
        <w:t>performance </w:t>
      </w:r>
      <w:r>
        <w:rPr>
          <w:w w:val="105"/>
        </w:rPr>
        <w:t>or extend the </w:t>
      </w:r>
      <w:r>
        <w:rPr>
          <w:spacing w:val="-3"/>
          <w:w w:val="105"/>
        </w:rPr>
        <w:t>useful </w:t>
      </w:r>
      <w:r>
        <w:rPr>
          <w:w w:val="105"/>
        </w:rPr>
        <w:t>lives of </w:t>
      </w:r>
      <w:r>
        <w:rPr>
          <w:spacing w:val="-3"/>
          <w:w w:val="105"/>
        </w:rPr>
        <w:t>aircraft </w:t>
      </w:r>
      <w:r>
        <w:rPr>
          <w:w w:val="105"/>
        </w:rPr>
        <w:t>or engines are </w:t>
      </w:r>
      <w:r>
        <w:rPr>
          <w:spacing w:val="-3"/>
          <w:w w:val="105"/>
        </w:rPr>
        <w:t>capitalized </w:t>
      </w:r>
      <w:r>
        <w:rPr>
          <w:w w:val="105"/>
        </w:rPr>
        <w:t>and </w:t>
      </w:r>
      <w:r>
        <w:rPr>
          <w:spacing w:val="-3"/>
          <w:w w:val="105"/>
        </w:rPr>
        <w:t>amortized </w:t>
      </w:r>
      <w:r>
        <w:rPr>
          <w:w w:val="105"/>
        </w:rPr>
        <w:t>over the remaining</w:t>
      </w:r>
      <w:r>
        <w:rPr>
          <w:spacing w:val="-28"/>
          <w:w w:val="105"/>
        </w:rPr>
        <w:t> </w:t>
      </w:r>
      <w:r>
        <w:rPr>
          <w:w w:val="105"/>
        </w:rPr>
        <w:t>life</w:t>
      </w:r>
      <w:r>
        <w:rPr>
          <w:spacing w:val="-29"/>
          <w:w w:val="105"/>
        </w:rPr>
        <w:t> </w:t>
      </w:r>
      <w:r>
        <w:rPr>
          <w:w w:val="105"/>
        </w:rPr>
        <w:t>of</w:t>
      </w:r>
      <w:r>
        <w:rPr>
          <w:spacing w:val="-29"/>
          <w:w w:val="105"/>
        </w:rPr>
        <w:t> </w:t>
      </w:r>
      <w:r>
        <w:rPr>
          <w:w w:val="105"/>
        </w:rPr>
        <w:t>the</w:t>
      </w:r>
      <w:r>
        <w:rPr>
          <w:spacing w:val="-32"/>
          <w:w w:val="105"/>
        </w:rPr>
        <w:t> </w:t>
      </w:r>
      <w:r>
        <w:rPr>
          <w:w w:val="105"/>
        </w:rPr>
        <w:t>asset.</w:t>
      </w:r>
    </w:p>
    <w:p>
      <w:pPr>
        <w:pStyle w:val="BodyText"/>
        <w:spacing w:line="216" w:lineRule="auto" w:before="223"/>
        <w:ind w:left="115" w:right="107"/>
        <w:jc w:val="both"/>
      </w:pPr>
      <w:r>
        <w:rPr>
          <w:w w:val="105"/>
        </w:rPr>
        <w:t>In 2003, the Accounting Standards Executive Committee of the American Institute of Certified Public Accountants issued a Draft Statement of Position entitled "Accounting for Certain Costs and Activities Related to Property, Plant, and Equipment" (Draft SOP).         Among other items, the Draft SOP, as written,</w:t>
      </w:r>
    </w:p>
    <w:p>
      <w:pPr>
        <w:spacing w:after="0" w:line="216" w:lineRule="auto"/>
        <w:jc w:val="both"/>
        <w:sectPr>
          <w:pgSz w:w="12240" w:h="15840"/>
          <w:pgMar w:top="1120" w:bottom="280" w:left="1180" w:right="1180"/>
        </w:sectPr>
      </w:pPr>
    </w:p>
    <w:p>
      <w:pPr>
        <w:pStyle w:val="BodyText"/>
        <w:spacing w:line="220" w:lineRule="exact" w:before="117"/>
        <w:ind w:left="115" w:right="111"/>
        <w:jc w:val="both"/>
      </w:pPr>
      <w:r>
        <w:rPr>
          <w:w w:val="105"/>
        </w:rPr>
        <w:t>would require that all D checks be expensed as incurred beginning in 2005. See Recent Accounting Developments for further information.</w:t>
      </w:r>
    </w:p>
    <w:p>
      <w:pPr>
        <w:pStyle w:val="BodyText"/>
        <w:spacing w:line="218" w:lineRule="auto" w:before="219"/>
        <w:ind w:left="115" w:right="106"/>
        <w:jc w:val="both"/>
      </w:pPr>
      <w:r>
        <w:rPr>
          <w:color w:val="0000FF"/>
          <w:spacing w:val="-5"/>
          <w:w w:val="105"/>
        </w:rPr>
        <w:t>REVENUE RECOGNITION  </w:t>
      </w:r>
      <w:r>
        <w:rPr>
          <w:w w:val="105"/>
        </w:rPr>
        <w:t>Tickets sold are initially deferred as “Air traffic liability”.  Passenger revenue  is recognized when transportation is provided. “Air traffic liability” primarily represents tickets sold </w:t>
      </w:r>
      <w:r>
        <w:rPr>
          <w:spacing w:val="2"/>
          <w:w w:val="105"/>
        </w:rPr>
        <w:t>for </w:t>
      </w:r>
      <w:r>
        <w:rPr>
          <w:w w:val="105"/>
        </w:rPr>
        <w:t>future travel dates and estimated refunds and exchanges of tickets sold for past travel dates. The majority of the Company’s tickets sold are nonrefundable. Tickets that are sold but not flown on the travel date can be reused for another flight, up to a year from the date of sale, or refunded (if the ticket is refundable). A small percentage of tickets (or partial tickets) expire unused. The Company estimates the amount of future refunds and exchanges, net of forfeitures for all unused tickets once the flight date has passed. These estimates are based on historical experience over many years. The Company and members of the airline industry have consistently applied this accounting method to estimate revenue from forfeited tickets at the date travel is</w:t>
      </w:r>
      <w:r>
        <w:rPr>
          <w:spacing w:val="55"/>
          <w:w w:val="105"/>
        </w:rPr>
        <w:t> </w:t>
      </w:r>
      <w:r>
        <w:rPr>
          <w:w w:val="105"/>
        </w:rPr>
        <w:t>provided. Estimated future refunds and exchanges included in the air traffic liability account are constantly </w:t>
      </w:r>
      <w:r>
        <w:rPr>
          <w:spacing w:val="2"/>
          <w:w w:val="105"/>
        </w:rPr>
        <w:t>evaluated based </w:t>
      </w:r>
      <w:r>
        <w:rPr>
          <w:w w:val="105"/>
        </w:rPr>
        <w:t>on </w:t>
      </w:r>
      <w:r>
        <w:rPr>
          <w:spacing w:val="2"/>
          <w:w w:val="105"/>
        </w:rPr>
        <w:t>subsequent refund </w:t>
      </w:r>
      <w:r>
        <w:rPr>
          <w:w w:val="105"/>
        </w:rPr>
        <w:t>and </w:t>
      </w:r>
      <w:r>
        <w:rPr>
          <w:spacing w:val="2"/>
          <w:w w:val="105"/>
        </w:rPr>
        <w:t>exchange activity </w:t>
      </w:r>
      <w:r>
        <w:rPr>
          <w:w w:val="105"/>
        </w:rPr>
        <w:t>to </w:t>
      </w:r>
      <w:r>
        <w:rPr>
          <w:spacing w:val="2"/>
          <w:w w:val="105"/>
        </w:rPr>
        <w:t>validate </w:t>
      </w:r>
      <w:r>
        <w:rPr>
          <w:w w:val="105"/>
        </w:rPr>
        <w:t>the </w:t>
      </w:r>
      <w:r>
        <w:rPr>
          <w:spacing w:val="2"/>
          <w:w w:val="105"/>
        </w:rPr>
        <w:t>accuracy </w:t>
      </w:r>
      <w:r>
        <w:rPr>
          <w:w w:val="105"/>
        </w:rPr>
        <w:t>of the </w:t>
      </w:r>
      <w:r>
        <w:rPr>
          <w:spacing w:val="3"/>
          <w:w w:val="105"/>
        </w:rPr>
        <w:t>Company’s </w:t>
      </w:r>
      <w:r>
        <w:rPr>
          <w:w w:val="105"/>
        </w:rPr>
        <w:t>revenue</w:t>
      </w:r>
      <w:r>
        <w:rPr>
          <w:spacing w:val="-17"/>
          <w:w w:val="105"/>
        </w:rPr>
        <w:t> </w:t>
      </w:r>
      <w:r>
        <w:rPr>
          <w:w w:val="105"/>
        </w:rPr>
        <w:t>recognition</w:t>
      </w:r>
      <w:r>
        <w:rPr>
          <w:spacing w:val="-17"/>
          <w:w w:val="105"/>
        </w:rPr>
        <w:t> </w:t>
      </w:r>
      <w:r>
        <w:rPr>
          <w:w w:val="105"/>
        </w:rPr>
        <w:t>method</w:t>
      </w:r>
      <w:r>
        <w:rPr>
          <w:spacing w:val="-17"/>
          <w:w w:val="105"/>
        </w:rPr>
        <w:t> </w:t>
      </w:r>
      <w:r>
        <w:rPr>
          <w:w w:val="105"/>
        </w:rPr>
        <w:t>with</w:t>
      </w:r>
      <w:r>
        <w:rPr>
          <w:spacing w:val="-17"/>
          <w:w w:val="105"/>
        </w:rPr>
        <w:t> </w:t>
      </w:r>
      <w:r>
        <w:rPr>
          <w:w w:val="105"/>
        </w:rPr>
        <w:t>respect</w:t>
      </w:r>
      <w:r>
        <w:rPr>
          <w:spacing w:val="-17"/>
          <w:w w:val="105"/>
        </w:rPr>
        <w:t> </w:t>
      </w:r>
      <w:r>
        <w:rPr>
          <w:w w:val="105"/>
        </w:rPr>
        <w:t>to</w:t>
      </w:r>
      <w:r>
        <w:rPr>
          <w:spacing w:val="-17"/>
          <w:w w:val="105"/>
        </w:rPr>
        <w:t> </w:t>
      </w:r>
      <w:r>
        <w:rPr>
          <w:w w:val="105"/>
        </w:rPr>
        <w:t>forfeited</w:t>
      </w:r>
      <w:r>
        <w:rPr>
          <w:spacing w:val="-17"/>
          <w:w w:val="105"/>
        </w:rPr>
        <w:t> </w:t>
      </w:r>
      <w:r>
        <w:rPr>
          <w:w w:val="105"/>
        </w:rPr>
        <w:t>tickets.</w:t>
      </w:r>
    </w:p>
    <w:p>
      <w:pPr>
        <w:pStyle w:val="BodyText"/>
        <w:spacing w:line="218" w:lineRule="auto" w:before="216"/>
        <w:ind w:left="115" w:right="106"/>
        <w:jc w:val="both"/>
      </w:pPr>
      <w:r>
        <w:rPr>
          <w:w w:val="105"/>
        </w:rPr>
        <w:t>Events and circumstances outside of historical fare sale activity or historical Customer travel patterns </w:t>
      </w:r>
      <w:r>
        <w:rPr>
          <w:spacing w:val="2"/>
          <w:w w:val="105"/>
        </w:rPr>
        <w:t>can </w:t>
      </w:r>
      <w:r>
        <w:rPr>
          <w:w w:val="105"/>
        </w:rPr>
        <w:t>result in actual refunds, exchanges or forfeited tickets differing significantly from estimates; however, these </w:t>
      </w:r>
      <w:r>
        <w:rPr>
          <w:spacing w:val="3"/>
          <w:w w:val="105"/>
        </w:rPr>
        <w:t>differences have historically </w:t>
      </w:r>
      <w:r>
        <w:rPr>
          <w:spacing w:val="2"/>
          <w:w w:val="105"/>
        </w:rPr>
        <w:t>not </w:t>
      </w:r>
      <w:r>
        <w:rPr>
          <w:spacing w:val="3"/>
          <w:w w:val="105"/>
        </w:rPr>
        <w:t>been material. Additional factors that </w:t>
      </w:r>
      <w:r>
        <w:rPr>
          <w:spacing w:val="2"/>
          <w:w w:val="105"/>
        </w:rPr>
        <w:t>may </w:t>
      </w:r>
      <w:r>
        <w:rPr>
          <w:spacing w:val="3"/>
          <w:w w:val="105"/>
        </w:rPr>
        <w:t>affect estimated </w:t>
      </w:r>
      <w:r>
        <w:rPr>
          <w:spacing w:val="4"/>
          <w:w w:val="105"/>
        </w:rPr>
        <w:t>refunds, </w:t>
      </w:r>
      <w:r>
        <w:rPr>
          <w:w w:val="105"/>
        </w:rPr>
        <w:t>exchanges, and forfeitures include, but may not be limited to, the Company’s refund and exchange policy,  the mix of refundable and nonrefundable fares, and fare sale activity. The Company’s estimation techniques </w:t>
      </w:r>
      <w:r>
        <w:rPr>
          <w:spacing w:val="3"/>
          <w:w w:val="105"/>
        </w:rPr>
        <w:t>have been consistently applied from year </w:t>
      </w:r>
      <w:r>
        <w:rPr>
          <w:w w:val="105"/>
        </w:rPr>
        <w:t>to </w:t>
      </w:r>
      <w:r>
        <w:rPr>
          <w:spacing w:val="3"/>
          <w:w w:val="105"/>
        </w:rPr>
        <w:t>year; however, </w:t>
      </w:r>
      <w:r>
        <w:rPr>
          <w:w w:val="105"/>
        </w:rPr>
        <w:t>as </w:t>
      </w:r>
      <w:r>
        <w:rPr>
          <w:spacing w:val="3"/>
          <w:w w:val="105"/>
        </w:rPr>
        <w:t>with </w:t>
      </w:r>
      <w:r>
        <w:rPr>
          <w:spacing w:val="2"/>
          <w:w w:val="105"/>
        </w:rPr>
        <w:t>any </w:t>
      </w:r>
      <w:r>
        <w:rPr>
          <w:spacing w:val="3"/>
          <w:w w:val="105"/>
        </w:rPr>
        <w:t>estimates, actual refund </w:t>
      </w:r>
      <w:r>
        <w:rPr>
          <w:spacing w:val="4"/>
          <w:w w:val="105"/>
        </w:rPr>
        <w:t>and </w:t>
      </w:r>
      <w:r>
        <w:rPr>
          <w:w w:val="105"/>
        </w:rPr>
        <w:t>exchange</w:t>
      </w:r>
      <w:r>
        <w:rPr>
          <w:spacing w:val="-17"/>
          <w:w w:val="105"/>
        </w:rPr>
        <w:t> </w:t>
      </w:r>
      <w:r>
        <w:rPr>
          <w:w w:val="105"/>
        </w:rPr>
        <w:t>activity</w:t>
      </w:r>
      <w:r>
        <w:rPr>
          <w:spacing w:val="-17"/>
          <w:w w:val="105"/>
        </w:rPr>
        <w:t> </w:t>
      </w:r>
      <w:r>
        <w:rPr>
          <w:w w:val="105"/>
        </w:rPr>
        <w:t>may</w:t>
      </w:r>
      <w:r>
        <w:rPr>
          <w:spacing w:val="-17"/>
          <w:w w:val="105"/>
        </w:rPr>
        <w:t> </w:t>
      </w:r>
      <w:r>
        <w:rPr>
          <w:w w:val="105"/>
        </w:rPr>
        <w:t>vary</w:t>
      </w:r>
      <w:r>
        <w:rPr>
          <w:spacing w:val="-17"/>
          <w:w w:val="105"/>
        </w:rPr>
        <w:t> </w:t>
      </w:r>
      <w:r>
        <w:rPr>
          <w:w w:val="105"/>
        </w:rPr>
        <w:t>from</w:t>
      </w:r>
      <w:r>
        <w:rPr>
          <w:spacing w:val="-17"/>
          <w:w w:val="105"/>
        </w:rPr>
        <w:t> </w:t>
      </w:r>
      <w:r>
        <w:rPr>
          <w:w w:val="105"/>
        </w:rPr>
        <w:t>estimated</w:t>
      </w:r>
      <w:r>
        <w:rPr>
          <w:spacing w:val="-17"/>
          <w:w w:val="105"/>
        </w:rPr>
        <w:t> </w:t>
      </w:r>
      <w:r>
        <w:rPr>
          <w:w w:val="105"/>
        </w:rPr>
        <w:t>amounts.</w:t>
      </w:r>
    </w:p>
    <w:p>
      <w:pPr>
        <w:pStyle w:val="BodyText"/>
        <w:spacing w:line="218" w:lineRule="auto" w:before="221"/>
        <w:ind w:left="115" w:right="108"/>
        <w:jc w:val="both"/>
      </w:pPr>
      <w:r>
        <w:rPr>
          <w:w w:val="105"/>
        </w:rPr>
        <w:t>Subsequent to third quarter 2001 and through second quarter 2002, the Company experienced a higher than historical mix of discount, nonrefundable ticket sales. The Company also experienced changes in Customer travel patterns resulting from various factors, including new airport security measures, concerns about further terrorist attacks, and an uncertain economy. Consequently, the Company recorded $36 million in additional passenger revenue in second quarter 2002 as Customers required fewer refunds and exchanges, resulting in more forfeited tickets. During 2003, refund, exchange, and forfeiture activity returned to more historic, pre- September 11, 2001, patterns.</w:t>
      </w:r>
    </w:p>
    <w:p>
      <w:pPr>
        <w:pStyle w:val="BodyText"/>
        <w:spacing w:line="259" w:lineRule="auto" w:before="247"/>
        <w:ind w:left="115" w:right="106"/>
        <w:jc w:val="both"/>
      </w:pPr>
      <w:r>
        <w:rPr>
          <w:color w:val="0000FF"/>
          <w:w w:val="105"/>
        </w:rPr>
        <w:t>FREQUENT FLYER PROGRAM </w:t>
      </w:r>
      <w:r>
        <w:rPr>
          <w:w w:val="105"/>
        </w:rPr>
        <w:t>The Company accrues the estimated incremental cost of providing free travel for awards earned under its Rapid Rewards frequent flyer program. The Company also sells frequent flyer credits and related services to companies participating in its Rapid Rewards frequent flyer program.</w:t>
      </w:r>
      <w:r>
        <w:rPr>
          <w:spacing w:val="55"/>
          <w:w w:val="105"/>
        </w:rPr>
        <w:t> </w:t>
      </w:r>
      <w:r>
        <w:rPr>
          <w:w w:val="105"/>
        </w:rPr>
        <w:t>Funds received from the sale of flight segment credits and associated with future travel are deferred </w:t>
      </w:r>
      <w:r>
        <w:rPr>
          <w:spacing w:val="2"/>
          <w:w w:val="105"/>
        </w:rPr>
        <w:t>and recognized </w:t>
      </w:r>
      <w:r>
        <w:rPr>
          <w:w w:val="105"/>
        </w:rPr>
        <w:t>as </w:t>
      </w:r>
      <w:r>
        <w:rPr>
          <w:spacing w:val="2"/>
          <w:w w:val="105"/>
        </w:rPr>
        <w:t>“Passenger revenue” when </w:t>
      </w:r>
      <w:r>
        <w:rPr>
          <w:w w:val="105"/>
        </w:rPr>
        <w:t>the </w:t>
      </w:r>
      <w:r>
        <w:rPr>
          <w:spacing w:val="2"/>
          <w:w w:val="105"/>
        </w:rPr>
        <w:t>ultimate free travel awards </w:t>
      </w:r>
      <w:r>
        <w:rPr>
          <w:w w:val="105"/>
        </w:rPr>
        <w:t>are </w:t>
      </w:r>
      <w:r>
        <w:rPr>
          <w:spacing w:val="2"/>
          <w:w w:val="105"/>
        </w:rPr>
        <w:t>flown </w:t>
      </w:r>
      <w:r>
        <w:rPr>
          <w:w w:val="105"/>
        </w:rPr>
        <w:t>or the </w:t>
      </w:r>
      <w:r>
        <w:rPr>
          <w:spacing w:val="2"/>
          <w:w w:val="105"/>
        </w:rPr>
        <w:t>credits </w:t>
      </w:r>
      <w:r>
        <w:rPr>
          <w:spacing w:val="3"/>
          <w:w w:val="105"/>
        </w:rPr>
        <w:t>expire </w:t>
      </w:r>
      <w:r>
        <w:rPr>
          <w:w w:val="105"/>
        </w:rPr>
        <w:t>unused.</w:t>
      </w:r>
    </w:p>
    <w:p>
      <w:pPr>
        <w:pStyle w:val="BodyText"/>
        <w:spacing w:line="220" w:lineRule="exact" w:before="196"/>
        <w:ind w:left="115" w:right="115"/>
        <w:jc w:val="both"/>
      </w:pPr>
      <w:r>
        <w:rPr>
          <w:color w:val="0000FF"/>
          <w:spacing w:val="-5"/>
          <w:w w:val="105"/>
        </w:rPr>
        <w:t>ADVERTISING</w:t>
      </w:r>
      <w:r>
        <w:rPr>
          <w:color w:val="0000FF"/>
          <w:spacing w:val="23"/>
          <w:w w:val="105"/>
        </w:rPr>
        <w:t> </w:t>
      </w:r>
      <w:r>
        <w:rPr>
          <w:spacing w:val="-2"/>
          <w:w w:val="105"/>
        </w:rPr>
        <w:t>The</w:t>
      </w:r>
      <w:r>
        <w:rPr>
          <w:spacing w:val="-19"/>
          <w:w w:val="105"/>
        </w:rPr>
        <w:t> </w:t>
      </w:r>
      <w:r>
        <w:rPr>
          <w:w w:val="105"/>
        </w:rPr>
        <w:t>Company</w:t>
      </w:r>
      <w:r>
        <w:rPr>
          <w:spacing w:val="-21"/>
          <w:w w:val="105"/>
        </w:rPr>
        <w:t> </w:t>
      </w:r>
      <w:r>
        <w:rPr>
          <w:w w:val="105"/>
        </w:rPr>
        <w:t>expenses</w:t>
      </w:r>
      <w:r>
        <w:rPr>
          <w:spacing w:val="-14"/>
          <w:w w:val="105"/>
        </w:rPr>
        <w:t> </w:t>
      </w:r>
      <w:r>
        <w:rPr>
          <w:w w:val="105"/>
        </w:rPr>
        <w:t>the</w:t>
      </w:r>
      <w:r>
        <w:rPr>
          <w:spacing w:val="-15"/>
          <w:w w:val="105"/>
        </w:rPr>
        <w:t> </w:t>
      </w:r>
      <w:r>
        <w:rPr>
          <w:w w:val="105"/>
        </w:rPr>
        <w:t>costs</w:t>
      </w:r>
      <w:r>
        <w:rPr>
          <w:spacing w:val="-17"/>
          <w:w w:val="105"/>
        </w:rPr>
        <w:t> </w:t>
      </w:r>
      <w:r>
        <w:rPr>
          <w:w w:val="105"/>
        </w:rPr>
        <w:t>of</w:t>
      </w:r>
      <w:r>
        <w:rPr>
          <w:spacing w:val="-15"/>
          <w:w w:val="105"/>
        </w:rPr>
        <w:t> </w:t>
      </w:r>
      <w:r>
        <w:rPr>
          <w:w w:val="105"/>
        </w:rPr>
        <w:t>advertising</w:t>
      </w:r>
      <w:r>
        <w:rPr>
          <w:spacing w:val="-14"/>
          <w:w w:val="105"/>
        </w:rPr>
        <w:t> </w:t>
      </w:r>
      <w:r>
        <w:rPr>
          <w:spacing w:val="-3"/>
          <w:w w:val="105"/>
        </w:rPr>
        <w:t>as</w:t>
      </w:r>
      <w:r>
        <w:rPr>
          <w:spacing w:val="-14"/>
          <w:w w:val="105"/>
        </w:rPr>
        <w:t> </w:t>
      </w:r>
      <w:r>
        <w:rPr>
          <w:w w:val="105"/>
        </w:rPr>
        <w:t>incurred.</w:t>
      </w:r>
      <w:r>
        <w:rPr>
          <w:spacing w:val="21"/>
          <w:w w:val="105"/>
        </w:rPr>
        <w:t> </w:t>
      </w:r>
      <w:r>
        <w:rPr>
          <w:w w:val="105"/>
        </w:rPr>
        <w:t>Advertising</w:t>
      </w:r>
      <w:r>
        <w:rPr>
          <w:spacing w:val="-14"/>
          <w:w w:val="105"/>
        </w:rPr>
        <w:t> </w:t>
      </w:r>
      <w:r>
        <w:rPr>
          <w:w w:val="105"/>
        </w:rPr>
        <w:t>expense</w:t>
      </w:r>
      <w:r>
        <w:rPr>
          <w:spacing w:val="-15"/>
          <w:w w:val="105"/>
        </w:rPr>
        <w:t> </w:t>
      </w:r>
      <w:r>
        <w:rPr>
          <w:w w:val="105"/>
        </w:rPr>
        <w:t>for</w:t>
      </w:r>
      <w:r>
        <w:rPr>
          <w:spacing w:val="-19"/>
          <w:w w:val="105"/>
        </w:rPr>
        <w:t> </w:t>
      </w:r>
      <w:r>
        <w:rPr>
          <w:w w:val="105"/>
        </w:rPr>
        <w:t>the</w:t>
      </w:r>
      <w:r>
        <w:rPr>
          <w:spacing w:val="-15"/>
          <w:w w:val="105"/>
        </w:rPr>
        <w:t> </w:t>
      </w:r>
      <w:r>
        <w:rPr>
          <w:spacing w:val="-3"/>
          <w:w w:val="105"/>
        </w:rPr>
        <w:t>years </w:t>
      </w:r>
      <w:r>
        <w:rPr>
          <w:w w:val="105"/>
        </w:rPr>
        <w:t>ended</w:t>
      </w:r>
      <w:r>
        <w:rPr>
          <w:spacing w:val="-25"/>
          <w:w w:val="105"/>
        </w:rPr>
        <w:t> </w:t>
      </w:r>
      <w:r>
        <w:rPr>
          <w:spacing w:val="-3"/>
          <w:w w:val="105"/>
        </w:rPr>
        <w:t>December</w:t>
      </w:r>
      <w:r>
        <w:rPr>
          <w:spacing w:val="-23"/>
          <w:w w:val="105"/>
        </w:rPr>
        <w:t> </w:t>
      </w:r>
      <w:r>
        <w:rPr>
          <w:w w:val="105"/>
        </w:rPr>
        <w:t>31,</w:t>
      </w:r>
      <w:r>
        <w:rPr>
          <w:spacing w:val="-24"/>
          <w:w w:val="105"/>
        </w:rPr>
        <w:t> </w:t>
      </w:r>
      <w:r>
        <w:rPr>
          <w:w w:val="105"/>
        </w:rPr>
        <w:t>2003,</w:t>
      </w:r>
      <w:r>
        <w:rPr>
          <w:spacing w:val="-27"/>
          <w:w w:val="105"/>
        </w:rPr>
        <w:t> </w:t>
      </w:r>
      <w:r>
        <w:rPr>
          <w:w w:val="105"/>
        </w:rPr>
        <w:t>2002,</w:t>
      </w:r>
      <w:r>
        <w:rPr>
          <w:spacing w:val="-24"/>
          <w:w w:val="105"/>
        </w:rPr>
        <w:t> </w:t>
      </w:r>
      <w:r>
        <w:rPr>
          <w:spacing w:val="-3"/>
          <w:w w:val="105"/>
        </w:rPr>
        <w:t>and</w:t>
      </w:r>
      <w:r>
        <w:rPr>
          <w:spacing w:val="-22"/>
          <w:w w:val="105"/>
        </w:rPr>
        <w:t> </w:t>
      </w:r>
      <w:r>
        <w:rPr>
          <w:w w:val="105"/>
        </w:rPr>
        <w:t>2001</w:t>
      </w:r>
      <w:r>
        <w:rPr>
          <w:spacing w:val="-22"/>
          <w:w w:val="105"/>
        </w:rPr>
        <w:t> </w:t>
      </w:r>
      <w:r>
        <w:rPr>
          <w:spacing w:val="-3"/>
          <w:w w:val="105"/>
        </w:rPr>
        <w:t>was</w:t>
      </w:r>
      <w:r>
        <w:rPr>
          <w:spacing w:val="-22"/>
          <w:w w:val="105"/>
        </w:rPr>
        <w:t> </w:t>
      </w:r>
      <w:r>
        <w:rPr>
          <w:w w:val="105"/>
        </w:rPr>
        <w:t>$155</w:t>
      </w:r>
      <w:r>
        <w:rPr>
          <w:spacing w:val="-25"/>
          <w:w w:val="105"/>
        </w:rPr>
        <w:t> </w:t>
      </w:r>
      <w:r>
        <w:rPr>
          <w:w w:val="105"/>
        </w:rPr>
        <w:t>million,</w:t>
      </w:r>
      <w:r>
        <w:rPr>
          <w:spacing w:val="-24"/>
          <w:w w:val="105"/>
        </w:rPr>
        <w:t> </w:t>
      </w:r>
      <w:r>
        <w:rPr>
          <w:w w:val="105"/>
        </w:rPr>
        <w:t>$156</w:t>
      </w:r>
      <w:r>
        <w:rPr>
          <w:spacing w:val="-22"/>
          <w:w w:val="105"/>
        </w:rPr>
        <w:t> </w:t>
      </w:r>
      <w:r>
        <w:rPr>
          <w:w w:val="105"/>
        </w:rPr>
        <w:t>million,</w:t>
      </w:r>
      <w:r>
        <w:rPr>
          <w:spacing w:val="-24"/>
          <w:w w:val="105"/>
        </w:rPr>
        <w:t> </w:t>
      </w:r>
      <w:r>
        <w:rPr>
          <w:w w:val="105"/>
        </w:rPr>
        <w:t>and</w:t>
      </w:r>
      <w:r>
        <w:rPr>
          <w:spacing w:val="-22"/>
          <w:w w:val="105"/>
        </w:rPr>
        <w:t> </w:t>
      </w:r>
      <w:r>
        <w:rPr>
          <w:w w:val="105"/>
        </w:rPr>
        <w:t>$148</w:t>
      </w:r>
      <w:r>
        <w:rPr>
          <w:spacing w:val="-25"/>
          <w:w w:val="105"/>
        </w:rPr>
        <w:t> </w:t>
      </w:r>
      <w:r>
        <w:rPr>
          <w:w w:val="105"/>
        </w:rPr>
        <w:t>million,</w:t>
      </w:r>
      <w:r>
        <w:rPr>
          <w:spacing w:val="-24"/>
          <w:w w:val="105"/>
        </w:rPr>
        <w:t> </w:t>
      </w:r>
      <w:r>
        <w:rPr>
          <w:spacing w:val="-3"/>
          <w:w w:val="105"/>
        </w:rPr>
        <w:t>respectively.</w:t>
      </w:r>
    </w:p>
    <w:p>
      <w:pPr>
        <w:pStyle w:val="BodyText"/>
        <w:tabs>
          <w:tab w:pos="5155" w:val="left" w:leader="none"/>
        </w:tabs>
        <w:spacing w:line="218" w:lineRule="auto" w:before="214"/>
        <w:ind w:left="115" w:right="108"/>
        <w:jc w:val="both"/>
      </w:pPr>
      <w:r>
        <w:rPr>
          <w:color w:val="0000FF"/>
          <w:spacing w:val="-5"/>
          <w:w w:val="105"/>
        </w:rPr>
        <w:t>STOCK-BASED</w:t>
      </w:r>
      <w:r>
        <w:rPr>
          <w:color w:val="0000FF"/>
          <w:spacing w:val="-25"/>
          <w:w w:val="105"/>
        </w:rPr>
        <w:t> </w:t>
      </w:r>
      <w:r>
        <w:rPr>
          <w:color w:val="0000FF"/>
          <w:spacing w:val="-6"/>
          <w:w w:val="105"/>
        </w:rPr>
        <w:t>EMPLOYEE</w:t>
      </w:r>
      <w:r>
        <w:rPr>
          <w:color w:val="0000FF"/>
          <w:spacing w:val="-25"/>
          <w:w w:val="105"/>
        </w:rPr>
        <w:t> </w:t>
      </w:r>
      <w:r>
        <w:rPr>
          <w:color w:val="0000FF"/>
          <w:spacing w:val="-5"/>
          <w:w w:val="105"/>
        </w:rPr>
        <w:t>COMPENSATION</w:t>
        <w:tab/>
      </w:r>
      <w:r>
        <w:rPr>
          <w:w w:val="105"/>
        </w:rPr>
        <w:t>The Company has stock-based </w:t>
      </w:r>
      <w:r>
        <w:rPr>
          <w:spacing w:val="28"/>
          <w:w w:val="105"/>
        </w:rPr>
        <w:t> </w:t>
      </w:r>
      <w:r>
        <w:rPr>
          <w:w w:val="105"/>
        </w:rPr>
        <w:t>compensation</w:t>
      </w:r>
      <w:r>
        <w:rPr>
          <w:spacing w:val="15"/>
          <w:w w:val="105"/>
        </w:rPr>
        <w:t> </w:t>
      </w:r>
      <w:r>
        <w:rPr>
          <w:w w:val="105"/>
        </w:rPr>
        <w:t>plans</w:t>
      </w:r>
      <w:r>
        <w:rPr>
          <w:spacing w:val="2"/>
          <w:w w:val="102"/>
        </w:rPr>
        <w:t> </w:t>
      </w:r>
      <w:r>
        <w:rPr>
          <w:w w:val="105"/>
        </w:rPr>
        <w:t>covering the majority of its Employee groups, including a plan covering the Company's Board of Directors and plans </w:t>
      </w:r>
      <w:r>
        <w:rPr>
          <w:spacing w:val="-3"/>
          <w:w w:val="105"/>
        </w:rPr>
        <w:t>related </w:t>
      </w:r>
      <w:r>
        <w:rPr>
          <w:w w:val="105"/>
        </w:rPr>
        <w:t>to employment contracts </w:t>
      </w:r>
      <w:r>
        <w:rPr>
          <w:spacing w:val="-3"/>
          <w:w w:val="105"/>
        </w:rPr>
        <w:t>with certain </w:t>
      </w:r>
      <w:r>
        <w:rPr>
          <w:spacing w:val="-2"/>
          <w:w w:val="105"/>
        </w:rPr>
        <w:t>Executive </w:t>
      </w:r>
      <w:r>
        <w:rPr>
          <w:spacing w:val="-4"/>
          <w:w w:val="105"/>
        </w:rPr>
        <w:t>Officers </w:t>
      </w:r>
      <w:r>
        <w:rPr>
          <w:w w:val="105"/>
        </w:rPr>
        <w:t>of the </w:t>
      </w:r>
      <w:r>
        <w:rPr>
          <w:spacing w:val="-3"/>
          <w:w w:val="105"/>
        </w:rPr>
        <w:t>Company. </w:t>
      </w:r>
      <w:r>
        <w:rPr>
          <w:w w:val="105"/>
        </w:rPr>
        <w:t>The Company accounts</w:t>
      </w:r>
      <w:r>
        <w:rPr>
          <w:spacing w:val="-16"/>
          <w:w w:val="105"/>
        </w:rPr>
        <w:t> </w:t>
      </w:r>
      <w:r>
        <w:rPr>
          <w:w w:val="105"/>
        </w:rPr>
        <w:t>for</w:t>
      </w:r>
      <w:r>
        <w:rPr>
          <w:spacing w:val="-17"/>
          <w:w w:val="105"/>
        </w:rPr>
        <w:t> </w:t>
      </w:r>
      <w:r>
        <w:rPr>
          <w:w w:val="105"/>
        </w:rPr>
        <w:t>stock-based</w:t>
      </w:r>
      <w:r>
        <w:rPr>
          <w:spacing w:val="-16"/>
          <w:w w:val="105"/>
        </w:rPr>
        <w:t> </w:t>
      </w:r>
      <w:r>
        <w:rPr>
          <w:w w:val="105"/>
        </w:rPr>
        <w:t>compensation</w:t>
      </w:r>
      <w:r>
        <w:rPr>
          <w:spacing w:val="-16"/>
          <w:w w:val="105"/>
        </w:rPr>
        <w:t> </w:t>
      </w:r>
      <w:r>
        <w:rPr>
          <w:w w:val="105"/>
        </w:rPr>
        <w:t>utilizing</w:t>
      </w:r>
      <w:r>
        <w:rPr>
          <w:spacing w:val="-13"/>
          <w:w w:val="105"/>
        </w:rPr>
        <w:t> </w:t>
      </w:r>
      <w:r>
        <w:rPr>
          <w:w w:val="105"/>
        </w:rPr>
        <w:t>the</w:t>
      </w:r>
      <w:r>
        <w:rPr>
          <w:spacing w:val="-17"/>
          <w:w w:val="105"/>
        </w:rPr>
        <w:t> </w:t>
      </w:r>
      <w:r>
        <w:rPr>
          <w:w w:val="105"/>
        </w:rPr>
        <w:t>intrinsic</w:t>
      </w:r>
      <w:r>
        <w:rPr>
          <w:spacing w:val="-17"/>
          <w:w w:val="105"/>
        </w:rPr>
        <w:t> </w:t>
      </w:r>
      <w:r>
        <w:rPr>
          <w:w w:val="105"/>
        </w:rPr>
        <w:t>value</w:t>
      </w:r>
      <w:r>
        <w:rPr>
          <w:spacing w:val="-14"/>
          <w:w w:val="105"/>
        </w:rPr>
        <w:t> </w:t>
      </w:r>
      <w:r>
        <w:rPr>
          <w:spacing w:val="-3"/>
          <w:w w:val="105"/>
        </w:rPr>
        <w:t>method</w:t>
      </w:r>
      <w:r>
        <w:rPr>
          <w:spacing w:val="-16"/>
          <w:w w:val="105"/>
        </w:rPr>
        <w:t> </w:t>
      </w:r>
      <w:r>
        <w:rPr>
          <w:w w:val="105"/>
        </w:rPr>
        <w:t>in</w:t>
      </w:r>
      <w:r>
        <w:rPr>
          <w:spacing w:val="-16"/>
          <w:w w:val="105"/>
        </w:rPr>
        <w:t> </w:t>
      </w:r>
      <w:r>
        <w:rPr>
          <w:w w:val="105"/>
        </w:rPr>
        <w:t>accordance</w:t>
      </w:r>
      <w:r>
        <w:rPr>
          <w:spacing w:val="-17"/>
          <w:w w:val="105"/>
        </w:rPr>
        <w:t> </w:t>
      </w:r>
      <w:r>
        <w:rPr>
          <w:w w:val="105"/>
        </w:rPr>
        <w:t>with</w:t>
      </w:r>
      <w:r>
        <w:rPr>
          <w:spacing w:val="-16"/>
          <w:w w:val="105"/>
        </w:rPr>
        <w:t> </w:t>
      </w:r>
      <w:r>
        <w:rPr>
          <w:w w:val="105"/>
        </w:rPr>
        <w:t>the</w:t>
      </w:r>
      <w:r>
        <w:rPr>
          <w:spacing w:val="-17"/>
          <w:w w:val="105"/>
        </w:rPr>
        <w:t> </w:t>
      </w:r>
      <w:r>
        <w:rPr>
          <w:w w:val="105"/>
        </w:rPr>
        <w:t>provisions</w:t>
      </w:r>
      <w:r>
        <w:rPr>
          <w:spacing w:val="-13"/>
          <w:w w:val="105"/>
        </w:rPr>
        <w:t> </w:t>
      </w:r>
      <w:r>
        <w:rPr>
          <w:w w:val="105"/>
        </w:rPr>
        <w:t>of </w:t>
      </w:r>
      <w:r>
        <w:rPr>
          <w:spacing w:val="-3"/>
          <w:w w:val="105"/>
        </w:rPr>
        <w:t>Accounting </w:t>
      </w:r>
      <w:r>
        <w:rPr>
          <w:w w:val="105"/>
        </w:rPr>
        <w:t>Principles Board Opinion </w:t>
      </w:r>
      <w:r>
        <w:rPr>
          <w:spacing w:val="-4"/>
          <w:w w:val="105"/>
        </w:rPr>
        <w:t>No. </w:t>
      </w:r>
      <w:r>
        <w:rPr>
          <w:w w:val="105"/>
        </w:rPr>
        <w:t>25 </w:t>
      </w:r>
      <w:r>
        <w:rPr>
          <w:spacing w:val="-4"/>
          <w:w w:val="105"/>
        </w:rPr>
        <w:t>(APB </w:t>
      </w:r>
      <w:r>
        <w:rPr>
          <w:w w:val="105"/>
        </w:rPr>
        <w:t>25), </w:t>
      </w:r>
      <w:r>
        <w:rPr>
          <w:spacing w:val="-3"/>
          <w:w w:val="105"/>
        </w:rPr>
        <w:t>"Accounting </w:t>
      </w:r>
      <w:r>
        <w:rPr>
          <w:w w:val="105"/>
        </w:rPr>
        <w:t>for </w:t>
      </w:r>
      <w:r>
        <w:rPr>
          <w:spacing w:val="-3"/>
          <w:w w:val="105"/>
        </w:rPr>
        <w:t>Stock </w:t>
      </w:r>
      <w:r>
        <w:rPr>
          <w:w w:val="105"/>
        </w:rPr>
        <w:t>Issued to </w:t>
      </w:r>
      <w:r>
        <w:rPr>
          <w:spacing w:val="-3"/>
          <w:w w:val="105"/>
        </w:rPr>
        <w:t>Employees" </w:t>
      </w:r>
      <w:r>
        <w:rPr>
          <w:w w:val="105"/>
        </w:rPr>
        <w:t>and </w:t>
      </w:r>
      <w:r>
        <w:rPr>
          <w:spacing w:val="-3"/>
          <w:w w:val="105"/>
        </w:rPr>
        <w:t>related </w:t>
      </w:r>
      <w:r>
        <w:rPr>
          <w:w w:val="105"/>
        </w:rPr>
        <w:t>Interpretations. Accordingly, no compensation expense is recognized for fixed option plans because the exercise prices of Employee stock options equal or exceed the market prices of the underlying stock on the</w:t>
      </w:r>
      <w:r>
        <w:rPr>
          <w:spacing w:val="-12"/>
          <w:w w:val="105"/>
        </w:rPr>
        <w:t> </w:t>
      </w:r>
      <w:r>
        <w:rPr>
          <w:w w:val="105"/>
        </w:rPr>
        <w:t>dates</w:t>
      </w:r>
      <w:r>
        <w:rPr>
          <w:spacing w:val="-12"/>
          <w:w w:val="105"/>
        </w:rPr>
        <w:t> </w:t>
      </w:r>
      <w:r>
        <w:rPr>
          <w:w w:val="105"/>
        </w:rPr>
        <w:t>of</w:t>
      </w:r>
      <w:r>
        <w:rPr>
          <w:spacing w:val="-12"/>
          <w:w w:val="105"/>
        </w:rPr>
        <w:t> </w:t>
      </w:r>
      <w:r>
        <w:rPr>
          <w:w w:val="105"/>
        </w:rPr>
        <w:t>grant.</w:t>
      </w:r>
      <w:r>
        <w:rPr>
          <w:spacing w:val="31"/>
          <w:w w:val="105"/>
        </w:rPr>
        <w:t> </w:t>
      </w:r>
      <w:r>
        <w:rPr>
          <w:w w:val="105"/>
        </w:rPr>
        <w:t>Compensation</w:t>
      </w:r>
      <w:r>
        <w:rPr>
          <w:spacing w:val="-12"/>
          <w:w w:val="105"/>
        </w:rPr>
        <w:t> </w:t>
      </w:r>
      <w:r>
        <w:rPr>
          <w:w w:val="105"/>
        </w:rPr>
        <w:t>expense</w:t>
      </w:r>
      <w:r>
        <w:rPr>
          <w:spacing w:val="-12"/>
          <w:w w:val="105"/>
        </w:rPr>
        <w:t> </w:t>
      </w:r>
      <w:r>
        <w:rPr>
          <w:w w:val="105"/>
        </w:rPr>
        <w:t>for</w:t>
      </w:r>
      <w:r>
        <w:rPr>
          <w:spacing w:val="-12"/>
          <w:w w:val="105"/>
        </w:rPr>
        <w:t> </w:t>
      </w:r>
      <w:r>
        <w:rPr>
          <w:w w:val="105"/>
        </w:rPr>
        <w:t>other</w:t>
      </w:r>
      <w:r>
        <w:rPr>
          <w:spacing w:val="-12"/>
          <w:w w:val="105"/>
        </w:rPr>
        <w:t> </w:t>
      </w:r>
      <w:r>
        <w:rPr>
          <w:w w:val="105"/>
        </w:rPr>
        <w:t>stock</w:t>
      </w:r>
      <w:r>
        <w:rPr>
          <w:spacing w:val="-12"/>
          <w:w w:val="105"/>
        </w:rPr>
        <w:t> </w:t>
      </w:r>
      <w:r>
        <w:rPr>
          <w:w w:val="105"/>
        </w:rPr>
        <w:t>options</w:t>
      </w:r>
      <w:r>
        <w:rPr>
          <w:spacing w:val="-12"/>
          <w:w w:val="105"/>
        </w:rPr>
        <w:t> </w:t>
      </w:r>
      <w:r>
        <w:rPr>
          <w:w w:val="105"/>
        </w:rPr>
        <w:t>is</w:t>
      </w:r>
      <w:r>
        <w:rPr>
          <w:spacing w:val="-12"/>
          <w:w w:val="105"/>
        </w:rPr>
        <w:t> </w:t>
      </w:r>
      <w:r>
        <w:rPr>
          <w:w w:val="105"/>
        </w:rPr>
        <w:t>not</w:t>
      </w:r>
      <w:r>
        <w:rPr>
          <w:spacing w:val="-12"/>
          <w:w w:val="105"/>
        </w:rPr>
        <w:t> </w:t>
      </w:r>
      <w:r>
        <w:rPr>
          <w:w w:val="105"/>
        </w:rPr>
        <w:t>material.</w:t>
      </w:r>
    </w:p>
    <w:p>
      <w:pPr>
        <w:pStyle w:val="BodyText"/>
        <w:spacing w:line="220" w:lineRule="exact" w:before="224"/>
        <w:ind w:left="115" w:right="111"/>
        <w:jc w:val="both"/>
      </w:pPr>
      <w:r>
        <w:rPr>
          <w:w w:val="105"/>
        </w:rPr>
        <w:t>The following table represents the effect on net income and earnings per share if the Company had applied the fair value based method and recognition provisions of Statement of Financial Accounting Standards (SFAS) No. 123, “Accounting for Stock-Based Compensation”, to stock-based Employee compensation:</w:t>
      </w:r>
    </w:p>
    <w:p>
      <w:pPr>
        <w:spacing w:after="0" w:line="220" w:lineRule="exact"/>
        <w:jc w:val="both"/>
        <w:sectPr>
          <w:pgSz w:w="12240" w:h="15840"/>
          <w:pgMar w:top="1080" w:bottom="280" w:left="1180" w:right="1180"/>
        </w:sectPr>
      </w:pPr>
    </w:p>
    <w:p>
      <w:pPr>
        <w:pStyle w:val="BodyText"/>
        <w:spacing w:before="2"/>
        <w:rPr>
          <w:sz w:val="4"/>
        </w:rPr>
      </w:pPr>
    </w:p>
    <w:p>
      <w:pPr>
        <w:pStyle w:val="BodyText"/>
        <w:spacing w:line="21" w:lineRule="exact"/>
        <w:ind w:left="115"/>
        <w:rPr>
          <w:sz w:val="2"/>
        </w:rPr>
      </w:pPr>
      <w:r>
        <w:rPr>
          <w:sz w:val="2"/>
        </w:rPr>
        <w:pict>
          <v:group style="width:464.7pt;height:1.1pt;mso-position-horizontal-relative:char;mso-position-vertical-relative:line" coordorigin="0,0" coordsize="9294,22">
            <v:line style="position:absolute" from="9284,2" to="10,2" stroked="true" strokeweight=".12pt" strokecolor="#000000">
              <v:stroke dashstyle="solid"/>
            </v:line>
            <v:line style="position:absolute" from="10,11" to="9284,11" stroked="true" strokeweight=".96002pt" strokecolor="#000000">
              <v:stroke dashstyle="solid"/>
            </v:line>
          </v:group>
        </w:pict>
      </w:r>
      <w:r>
        <w:rPr>
          <w:sz w:val="2"/>
        </w:rPr>
      </w:r>
    </w:p>
    <w:p>
      <w:pPr>
        <w:tabs>
          <w:tab w:pos="5092" w:val="left" w:leader="none"/>
          <w:tab w:pos="6771" w:val="left" w:leader="none"/>
          <w:tab w:pos="8451" w:val="left" w:leader="none"/>
        </w:tabs>
        <w:spacing w:before="19" w:after="9"/>
        <w:ind w:left="156" w:right="0" w:firstLine="0"/>
        <w:jc w:val="both"/>
        <w:rPr>
          <w:rFonts w:ascii="Arial"/>
          <w:b/>
          <w:sz w:val="22"/>
        </w:rPr>
      </w:pPr>
      <w:r>
        <w:rPr>
          <w:rFonts w:ascii="Arial"/>
          <w:w w:val="110"/>
          <w:sz w:val="16"/>
        </w:rPr>
        <w:t>(In millions, except per</w:t>
      </w:r>
      <w:r>
        <w:rPr>
          <w:rFonts w:ascii="Arial"/>
          <w:spacing w:val="2"/>
          <w:w w:val="110"/>
          <w:sz w:val="16"/>
        </w:rPr>
        <w:t> </w:t>
      </w:r>
      <w:r>
        <w:rPr>
          <w:rFonts w:ascii="Arial"/>
          <w:w w:val="110"/>
          <w:sz w:val="16"/>
        </w:rPr>
        <w:t>share amounts)</w:t>
        <w:tab/>
      </w:r>
      <w:r>
        <w:rPr>
          <w:rFonts w:ascii="Arial"/>
          <w:b/>
          <w:spacing w:val="2"/>
          <w:w w:val="110"/>
          <w:sz w:val="22"/>
        </w:rPr>
        <w:t>2003</w:t>
        <w:tab/>
        <w:t>2002</w:t>
        <w:tab/>
        <w:t>2001</w:t>
      </w:r>
    </w:p>
    <w:p>
      <w:pPr>
        <w:pStyle w:val="BodyText"/>
        <w:spacing w:line="21" w:lineRule="exact"/>
        <w:ind w:left="115"/>
        <w:rPr>
          <w:rFonts w:ascii="Arial"/>
          <w:sz w:val="2"/>
        </w:rPr>
      </w:pPr>
      <w:r>
        <w:rPr>
          <w:rFonts w:ascii="Arial"/>
          <w:sz w:val="2"/>
        </w:rPr>
        <w:pict>
          <v:group style="width:464.7pt;height:1.1pt;mso-position-horizontal-relative:char;mso-position-vertical-relative:line" coordorigin="0,0" coordsize="9294,22">
            <v:line style="position:absolute" from="9284,2" to="10,2" stroked="true" strokeweight=".12pt" strokecolor="#000000">
              <v:stroke dashstyle="solid"/>
            </v:line>
            <v:line style="position:absolute" from="10,11" to="9284,11" stroked="true" strokeweight=".95996pt" strokecolor="#000000">
              <v:stroke dashstyle="solid"/>
            </v:line>
          </v:group>
        </w:pict>
      </w:r>
      <w:r>
        <w:rPr>
          <w:rFonts w:ascii="Arial"/>
          <w:sz w:val="2"/>
        </w:rPr>
      </w:r>
    </w:p>
    <w:p>
      <w:pPr>
        <w:pStyle w:val="BodyText"/>
        <w:spacing w:before="7"/>
        <w:rPr>
          <w:rFonts w:ascii="Arial"/>
          <w:b/>
          <w:sz w:val="14"/>
        </w:rPr>
      </w:pPr>
    </w:p>
    <w:tbl>
      <w:tblPr>
        <w:tblW w:w="0" w:type="auto"/>
        <w:jc w:val="left"/>
        <w:tblInd w:w="131"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536"/>
        <w:gridCol w:w="1555"/>
        <w:gridCol w:w="1680"/>
        <w:gridCol w:w="1525"/>
      </w:tblGrid>
      <w:tr>
        <w:trPr>
          <w:trHeight w:val="1316" w:hRule="exact"/>
        </w:trPr>
        <w:tc>
          <w:tcPr>
            <w:tcW w:w="6091" w:type="dxa"/>
            <w:gridSpan w:val="2"/>
          </w:tcPr>
          <w:p>
            <w:pPr>
              <w:pStyle w:val="TableParagraph"/>
              <w:tabs>
                <w:tab w:pos="4625" w:val="left" w:leader="none"/>
                <w:tab w:pos="5904" w:val="right" w:leader="none"/>
              </w:tabs>
              <w:spacing w:before="13"/>
              <w:ind w:left="32"/>
              <w:rPr>
                <w:sz w:val="22"/>
              </w:rPr>
            </w:pPr>
            <w:r>
              <w:rPr>
                <w:w w:val="115"/>
                <w:sz w:val="22"/>
              </w:rPr>
              <w:t>Net income,</w:t>
            </w:r>
            <w:r>
              <w:rPr>
                <w:spacing w:val="-49"/>
                <w:w w:val="115"/>
                <w:sz w:val="22"/>
              </w:rPr>
              <w:t> </w:t>
            </w:r>
            <w:r>
              <w:rPr>
                <w:w w:val="115"/>
                <w:sz w:val="22"/>
              </w:rPr>
              <w:t>as</w:t>
            </w:r>
            <w:r>
              <w:rPr>
                <w:spacing w:val="-25"/>
                <w:w w:val="115"/>
                <w:sz w:val="22"/>
              </w:rPr>
              <w:t> </w:t>
            </w:r>
            <w:r>
              <w:rPr>
                <w:w w:val="115"/>
                <w:sz w:val="22"/>
              </w:rPr>
              <w:t>reported</w:t>
              <w:tab/>
            </w:r>
            <w:r>
              <w:rPr>
                <w:color w:val="0000FF"/>
                <w:w w:val="115"/>
                <w:sz w:val="22"/>
              </w:rPr>
              <w:t>$</w:t>
              <w:tab/>
              <w:t>442</w:t>
            </w:r>
          </w:p>
          <w:p>
            <w:pPr>
              <w:pStyle w:val="TableParagraph"/>
              <w:spacing w:line="316" w:lineRule="auto" w:before="80"/>
              <w:ind w:left="253" w:right="1507" w:hanging="221"/>
              <w:rPr>
                <w:sz w:val="22"/>
              </w:rPr>
            </w:pPr>
            <w:r>
              <w:rPr>
                <w:w w:val="110"/>
                <w:sz w:val="22"/>
              </w:rPr>
              <w:t>Add:</w:t>
            </w:r>
            <w:r>
              <w:rPr>
                <w:spacing w:val="-32"/>
                <w:w w:val="110"/>
                <w:sz w:val="22"/>
              </w:rPr>
              <w:t> </w:t>
            </w:r>
            <w:r>
              <w:rPr>
                <w:w w:val="110"/>
                <w:sz w:val="22"/>
              </w:rPr>
              <w:t>Stock-based</w:t>
            </w:r>
            <w:r>
              <w:rPr>
                <w:spacing w:val="-32"/>
                <w:w w:val="110"/>
                <w:sz w:val="22"/>
              </w:rPr>
              <w:t> </w:t>
            </w:r>
            <w:r>
              <w:rPr>
                <w:w w:val="110"/>
                <w:sz w:val="22"/>
              </w:rPr>
              <w:t>Employee</w:t>
            </w:r>
            <w:r>
              <w:rPr>
                <w:spacing w:val="-32"/>
                <w:w w:val="110"/>
                <w:sz w:val="22"/>
              </w:rPr>
              <w:t> </w:t>
            </w:r>
            <w:r>
              <w:rPr>
                <w:w w:val="110"/>
                <w:sz w:val="22"/>
              </w:rPr>
              <w:t>compensation expense</w:t>
            </w:r>
            <w:r>
              <w:rPr>
                <w:spacing w:val="-17"/>
                <w:w w:val="110"/>
                <w:sz w:val="22"/>
              </w:rPr>
              <w:t> </w:t>
            </w:r>
            <w:r>
              <w:rPr>
                <w:w w:val="110"/>
                <w:sz w:val="22"/>
              </w:rPr>
              <w:t>included</w:t>
            </w:r>
            <w:r>
              <w:rPr>
                <w:spacing w:val="-17"/>
                <w:w w:val="110"/>
                <w:sz w:val="22"/>
              </w:rPr>
              <w:t> </w:t>
            </w:r>
            <w:r>
              <w:rPr>
                <w:w w:val="110"/>
                <w:sz w:val="22"/>
              </w:rPr>
              <w:t>in</w:t>
            </w:r>
            <w:r>
              <w:rPr>
                <w:spacing w:val="-16"/>
                <w:w w:val="110"/>
                <w:sz w:val="22"/>
              </w:rPr>
              <w:t> </w:t>
            </w:r>
            <w:r>
              <w:rPr>
                <w:w w:val="110"/>
                <w:sz w:val="22"/>
              </w:rPr>
              <w:t>reported</w:t>
            </w:r>
            <w:r>
              <w:rPr>
                <w:spacing w:val="-15"/>
                <w:w w:val="110"/>
                <w:sz w:val="22"/>
              </w:rPr>
              <w:t> </w:t>
            </w:r>
            <w:r>
              <w:rPr>
                <w:w w:val="110"/>
                <w:sz w:val="22"/>
              </w:rPr>
              <w:t>income,</w:t>
            </w:r>
          </w:p>
          <w:p>
            <w:pPr>
              <w:pStyle w:val="TableParagraph"/>
              <w:tabs>
                <w:tab w:pos="5249" w:val="left" w:leader="none"/>
              </w:tabs>
              <w:spacing w:before="2"/>
              <w:ind w:right="248"/>
              <w:jc w:val="center"/>
              <w:rPr>
                <w:sz w:val="22"/>
              </w:rPr>
            </w:pPr>
            <w:r>
              <w:rPr>
                <w:w w:val="115"/>
                <w:sz w:val="22"/>
              </w:rPr>
              <w:t>net of related tax</w:t>
            </w:r>
            <w:r>
              <w:rPr>
                <w:spacing w:val="-1"/>
                <w:w w:val="115"/>
                <w:sz w:val="22"/>
              </w:rPr>
              <w:t> </w:t>
            </w:r>
            <w:r>
              <w:rPr>
                <w:w w:val="115"/>
                <w:sz w:val="22"/>
              </w:rPr>
              <w:t>effects</w:t>
              <w:tab/>
            </w:r>
            <w:r>
              <w:rPr>
                <w:color w:val="0000FF"/>
                <w:w w:val="115"/>
                <w:sz w:val="22"/>
              </w:rPr>
              <w:t>-</w:t>
            </w:r>
          </w:p>
        </w:tc>
        <w:tc>
          <w:tcPr>
            <w:tcW w:w="1680" w:type="dxa"/>
          </w:tcPr>
          <w:p>
            <w:pPr>
              <w:pStyle w:val="TableParagraph"/>
              <w:tabs>
                <w:tab w:pos="1050" w:val="left" w:leader="none"/>
              </w:tabs>
              <w:spacing w:before="13"/>
              <w:ind w:left="213"/>
              <w:rPr>
                <w:sz w:val="22"/>
              </w:rPr>
            </w:pPr>
            <w:r>
              <w:rPr>
                <w:w w:val="120"/>
                <w:sz w:val="22"/>
              </w:rPr>
              <w:t>$</w:t>
              <w:tab/>
              <w:t>241</w:t>
            </w:r>
          </w:p>
          <w:p>
            <w:pPr>
              <w:pStyle w:val="TableParagraph"/>
              <w:rPr>
                <w:b/>
                <w:sz w:val="32"/>
              </w:rPr>
            </w:pPr>
          </w:p>
          <w:p>
            <w:pPr>
              <w:pStyle w:val="TableParagraph"/>
              <w:spacing w:before="11"/>
              <w:rPr>
                <w:b/>
                <w:sz w:val="32"/>
              </w:rPr>
            </w:pPr>
          </w:p>
          <w:p>
            <w:pPr>
              <w:pStyle w:val="TableParagraph"/>
              <w:ind w:left="1091"/>
              <w:rPr>
                <w:sz w:val="22"/>
              </w:rPr>
            </w:pPr>
            <w:r>
              <w:rPr>
                <w:w w:val="114"/>
                <w:sz w:val="22"/>
              </w:rPr>
              <w:t>-</w:t>
            </w:r>
          </w:p>
        </w:tc>
        <w:tc>
          <w:tcPr>
            <w:tcW w:w="1525" w:type="dxa"/>
          </w:tcPr>
          <w:p>
            <w:pPr>
              <w:pStyle w:val="TableParagraph"/>
              <w:tabs>
                <w:tab w:pos="1050" w:val="left" w:leader="none"/>
              </w:tabs>
              <w:spacing w:before="13"/>
              <w:ind w:left="213"/>
              <w:rPr>
                <w:sz w:val="22"/>
              </w:rPr>
            </w:pPr>
            <w:r>
              <w:rPr>
                <w:w w:val="120"/>
                <w:sz w:val="22"/>
              </w:rPr>
              <w:t>$</w:t>
              <w:tab/>
              <w:t>511</w:t>
            </w:r>
          </w:p>
          <w:p>
            <w:pPr>
              <w:pStyle w:val="TableParagraph"/>
              <w:rPr>
                <w:b/>
                <w:sz w:val="32"/>
              </w:rPr>
            </w:pPr>
          </w:p>
          <w:p>
            <w:pPr>
              <w:pStyle w:val="TableParagraph"/>
              <w:spacing w:before="11"/>
              <w:rPr>
                <w:b/>
                <w:sz w:val="32"/>
              </w:rPr>
            </w:pPr>
          </w:p>
          <w:p>
            <w:pPr>
              <w:pStyle w:val="TableParagraph"/>
              <w:ind w:right="348"/>
              <w:jc w:val="right"/>
              <w:rPr>
                <w:sz w:val="22"/>
              </w:rPr>
            </w:pPr>
            <w:r>
              <w:rPr>
                <w:w w:val="114"/>
                <w:sz w:val="22"/>
              </w:rPr>
              <w:t>-</w:t>
            </w:r>
          </w:p>
        </w:tc>
      </w:tr>
      <w:tr>
        <w:trPr>
          <w:trHeight w:val="1001" w:hRule="exact"/>
        </w:trPr>
        <w:tc>
          <w:tcPr>
            <w:tcW w:w="6091" w:type="dxa"/>
            <w:gridSpan w:val="2"/>
          </w:tcPr>
          <w:p>
            <w:pPr>
              <w:pStyle w:val="TableParagraph"/>
              <w:spacing w:line="316" w:lineRule="auto" w:before="32"/>
              <w:ind w:left="180" w:right="1438" w:hanging="148"/>
              <w:rPr>
                <w:sz w:val="22"/>
              </w:rPr>
            </w:pPr>
            <w:r>
              <w:rPr>
                <w:w w:val="110"/>
                <w:sz w:val="22"/>
              </w:rPr>
              <w:t>Deduct: Total stock-based Employee compensation expense determined under fair value based methods for all awards,</w:t>
            </w:r>
          </w:p>
        </w:tc>
        <w:tc>
          <w:tcPr>
            <w:tcW w:w="1680" w:type="dxa"/>
          </w:tcPr>
          <w:p>
            <w:pPr/>
          </w:p>
        </w:tc>
        <w:tc>
          <w:tcPr>
            <w:tcW w:w="1525" w:type="dxa"/>
          </w:tcPr>
          <w:p>
            <w:pPr/>
          </w:p>
        </w:tc>
      </w:tr>
      <w:tr>
        <w:trPr>
          <w:trHeight w:val="405" w:hRule="exact"/>
        </w:trPr>
        <w:tc>
          <w:tcPr>
            <w:tcW w:w="4536" w:type="dxa"/>
          </w:tcPr>
          <w:p>
            <w:pPr>
              <w:pStyle w:val="TableParagraph"/>
              <w:spacing w:before="13"/>
              <w:ind w:left="180"/>
              <w:rPr>
                <w:sz w:val="22"/>
              </w:rPr>
            </w:pPr>
            <w:r>
              <w:rPr>
                <w:w w:val="115"/>
                <w:sz w:val="22"/>
              </w:rPr>
              <w:t>net of related tax effects</w:t>
            </w:r>
          </w:p>
        </w:tc>
        <w:tc>
          <w:tcPr>
            <w:tcW w:w="1555" w:type="dxa"/>
          </w:tcPr>
          <w:p>
            <w:pPr>
              <w:pStyle w:val="TableParagraph"/>
              <w:tabs>
                <w:tab w:pos="962" w:val="left" w:leader="none"/>
              </w:tabs>
              <w:spacing w:before="13"/>
              <w:ind w:left="-24"/>
              <w:rPr>
                <w:sz w:val="22"/>
              </w:rPr>
            </w:pPr>
            <w:r>
              <w:rPr>
                <w:color w:val="0000FF"/>
                <w:w w:val="120"/>
                <w:sz w:val="22"/>
                <w:u w:val="thick" w:color="000000"/>
              </w:rPr>
              <w:t> </w:t>
            </w:r>
            <w:r>
              <w:rPr>
                <w:color w:val="0000FF"/>
                <w:sz w:val="22"/>
                <w:u w:val="thick" w:color="000000"/>
              </w:rPr>
              <w:tab/>
            </w:r>
            <w:r>
              <w:rPr>
                <w:color w:val="0000FF"/>
                <w:w w:val="125"/>
                <w:sz w:val="22"/>
                <w:u w:val="thick" w:color="000000"/>
              </w:rPr>
              <w:t>(57</w:t>
            </w:r>
            <w:r>
              <w:rPr>
                <w:color w:val="0000FF"/>
                <w:w w:val="125"/>
                <w:sz w:val="22"/>
              </w:rPr>
              <w:t>)</w:t>
            </w:r>
          </w:p>
        </w:tc>
        <w:tc>
          <w:tcPr>
            <w:tcW w:w="1680" w:type="dxa"/>
          </w:tcPr>
          <w:p>
            <w:pPr>
              <w:pStyle w:val="TableParagraph"/>
              <w:tabs>
                <w:tab w:pos="1086" w:val="left" w:leader="none"/>
              </w:tabs>
              <w:spacing w:before="13"/>
              <w:ind w:left="100"/>
              <w:rPr>
                <w:sz w:val="22"/>
              </w:rPr>
            </w:pPr>
            <w:r>
              <w:rPr>
                <w:w w:val="120"/>
                <w:sz w:val="22"/>
                <w:u w:val="thick"/>
              </w:rPr>
              <w:t> </w:t>
            </w:r>
            <w:r>
              <w:rPr>
                <w:sz w:val="22"/>
                <w:u w:val="thick"/>
              </w:rPr>
              <w:tab/>
            </w:r>
            <w:r>
              <w:rPr>
                <w:w w:val="125"/>
                <w:sz w:val="22"/>
                <w:u w:val="thick"/>
              </w:rPr>
              <w:t>(53</w:t>
            </w:r>
            <w:r>
              <w:rPr>
                <w:w w:val="125"/>
                <w:sz w:val="22"/>
              </w:rPr>
              <w:t>)</w:t>
            </w:r>
          </w:p>
        </w:tc>
        <w:tc>
          <w:tcPr>
            <w:tcW w:w="1525" w:type="dxa"/>
          </w:tcPr>
          <w:p>
            <w:pPr>
              <w:pStyle w:val="TableParagraph"/>
              <w:tabs>
                <w:tab w:pos="985" w:val="left" w:leader="none"/>
              </w:tabs>
              <w:spacing w:before="13"/>
              <w:ind w:right="43"/>
              <w:jc w:val="right"/>
              <w:rPr>
                <w:sz w:val="22"/>
              </w:rPr>
            </w:pPr>
            <w:r>
              <w:rPr>
                <w:w w:val="120"/>
                <w:sz w:val="22"/>
                <w:u w:val="thick"/>
              </w:rPr>
              <w:t> </w:t>
            </w:r>
            <w:r>
              <w:rPr>
                <w:sz w:val="22"/>
                <w:u w:val="thick"/>
              </w:rPr>
              <w:tab/>
            </w:r>
            <w:r>
              <w:rPr>
                <w:w w:val="120"/>
                <w:sz w:val="22"/>
                <w:u w:val="thick"/>
              </w:rPr>
              <w:t>(25</w:t>
            </w:r>
          </w:p>
        </w:tc>
      </w:tr>
      <w:tr>
        <w:trPr>
          <w:trHeight w:val="469" w:hRule="exact"/>
        </w:trPr>
        <w:tc>
          <w:tcPr>
            <w:tcW w:w="4536" w:type="dxa"/>
          </w:tcPr>
          <w:p>
            <w:pPr>
              <w:pStyle w:val="TableParagraph"/>
              <w:spacing w:before="85"/>
              <w:ind w:left="32"/>
              <w:rPr>
                <w:sz w:val="22"/>
              </w:rPr>
            </w:pPr>
            <w:r>
              <w:rPr>
                <w:w w:val="110"/>
                <w:sz w:val="22"/>
              </w:rPr>
              <w:t>Pro forma net income</w:t>
            </w:r>
          </w:p>
        </w:tc>
        <w:tc>
          <w:tcPr>
            <w:tcW w:w="1555" w:type="dxa"/>
          </w:tcPr>
          <w:p>
            <w:pPr>
              <w:pStyle w:val="TableParagraph"/>
              <w:tabs>
                <w:tab w:pos="926" w:val="left" w:leader="none"/>
              </w:tabs>
              <w:spacing w:before="85"/>
              <w:ind w:left="-24"/>
              <w:rPr>
                <w:sz w:val="22"/>
              </w:rPr>
            </w:pPr>
            <w:r>
              <w:rPr>
                <w:color w:val="0000FF"/>
                <w:w w:val="120"/>
                <w:sz w:val="22"/>
                <w:u w:val="thick" w:color="000000"/>
              </w:rPr>
              <w:t> </w:t>
            </w:r>
            <w:r>
              <w:rPr>
                <w:color w:val="0000FF"/>
                <w:spacing w:val="-22"/>
                <w:sz w:val="22"/>
                <w:u w:val="thick" w:color="000000"/>
              </w:rPr>
              <w:t> </w:t>
            </w:r>
            <w:r>
              <w:rPr>
                <w:color w:val="0000FF"/>
                <w:w w:val="120"/>
                <w:sz w:val="22"/>
                <w:u w:val="thick" w:color="000000"/>
              </w:rPr>
              <w:t>$</w:t>
              <w:tab/>
              <w:t>385</w:t>
            </w:r>
          </w:p>
        </w:tc>
        <w:tc>
          <w:tcPr>
            <w:tcW w:w="1680" w:type="dxa"/>
          </w:tcPr>
          <w:p>
            <w:pPr>
              <w:pStyle w:val="TableParagraph"/>
              <w:tabs>
                <w:tab w:pos="1050" w:val="left" w:leader="none"/>
              </w:tabs>
              <w:spacing w:before="85"/>
              <w:ind w:left="100"/>
              <w:rPr>
                <w:sz w:val="22"/>
              </w:rPr>
            </w:pPr>
            <w:r>
              <w:rPr>
                <w:w w:val="120"/>
                <w:sz w:val="22"/>
                <w:u w:val="thick"/>
              </w:rPr>
              <w:t> </w:t>
            </w:r>
            <w:r>
              <w:rPr>
                <w:spacing w:val="-22"/>
                <w:sz w:val="22"/>
                <w:u w:val="thick"/>
              </w:rPr>
              <w:t> </w:t>
            </w:r>
            <w:r>
              <w:rPr>
                <w:w w:val="120"/>
                <w:sz w:val="22"/>
                <w:u w:val="thick"/>
              </w:rPr>
              <w:t>$</w:t>
              <w:tab/>
              <w:t>188</w:t>
            </w:r>
          </w:p>
        </w:tc>
        <w:tc>
          <w:tcPr>
            <w:tcW w:w="1525" w:type="dxa"/>
          </w:tcPr>
          <w:p>
            <w:pPr>
              <w:pStyle w:val="TableParagraph"/>
              <w:tabs>
                <w:tab w:pos="949" w:val="left" w:leader="none"/>
              </w:tabs>
              <w:spacing w:before="85"/>
              <w:ind w:right="30"/>
              <w:jc w:val="right"/>
              <w:rPr>
                <w:sz w:val="22"/>
              </w:rPr>
            </w:pPr>
            <w:r>
              <w:rPr>
                <w:w w:val="120"/>
                <w:sz w:val="22"/>
                <w:u w:val="thick"/>
              </w:rPr>
              <w:t> </w:t>
            </w:r>
            <w:r>
              <w:rPr>
                <w:spacing w:val="-22"/>
                <w:sz w:val="22"/>
                <w:u w:val="thick"/>
              </w:rPr>
              <w:t> </w:t>
            </w:r>
            <w:r>
              <w:rPr>
                <w:w w:val="120"/>
                <w:sz w:val="22"/>
                <w:u w:val="thick"/>
              </w:rPr>
              <w:t>$</w:t>
              <w:tab/>
              <w:t>486</w:t>
            </w:r>
          </w:p>
        </w:tc>
      </w:tr>
      <w:tr>
        <w:trPr>
          <w:trHeight w:val="407" w:hRule="exact"/>
        </w:trPr>
        <w:tc>
          <w:tcPr>
            <w:tcW w:w="4536" w:type="dxa"/>
          </w:tcPr>
          <w:p>
            <w:pPr>
              <w:pStyle w:val="TableParagraph"/>
              <w:spacing w:before="96"/>
              <w:ind w:left="32"/>
              <w:rPr>
                <w:sz w:val="22"/>
              </w:rPr>
            </w:pPr>
            <w:r>
              <w:rPr>
                <w:w w:val="110"/>
                <w:sz w:val="22"/>
              </w:rPr>
              <w:t>Net income per share</w:t>
            </w:r>
          </w:p>
        </w:tc>
        <w:tc>
          <w:tcPr>
            <w:tcW w:w="1555" w:type="dxa"/>
          </w:tcPr>
          <w:p>
            <w:pPr/>
          </w:p>
        </w:tc>
        <w:tc>
          <w:tcPr>
            <w:tcW w:w="1680" w:type="dxa"/>
          </w:tcPr>
          <w:p>
            <w:pPr/>
          </w:p>
        </w:tc>
        <w:tc>
          <w:tcPr>
            <w:tcW w:w="1525" w:type="dxa"/>
          </w:tcPr>
          <w:p>
            <w:pPr/>
          </w:p>
        </w:tc>
      </w:tr>
      <w:tr>
        <w:trPr>
          <w:trHeight w:val="334" w:hRule="exact"/>
        </w:trPr>
        <w:tc>
          <w:tcPr>
            <w:tcW w:w="4536" w:type="dxa"/>
          </w:tcPr>
          <w:p>
            <w:pPr>
              <w:pStyle w:val="TableParagraph"/>
              <w:spacing w:before="23"/>
              <w:ind w:left="180"/>
              <w:rPr>
                <w:sz w:val="22"/>
              </w:rPr>
            </w:pPr>
            <w:r>
              <w:rPr>
                <w:w w:val="105"/>
                <w:sz w:val="22"/>
              </w:rPr>
              <w:t>Basic, as</w:t>
            </w:r>
            <w:r>
              <w:rPr>
                <w:spacing w:val="53"/>
                <w:w w:val="105"/>
                <w:sz w:val="22"/>
              </w:rPr>
              <w:t> </w:t>
            </w:r>
            <w:r>
              <w:rPr>
                <w:w w:val="105"/>
                <w:sz w:val="22"/>
              </w:rPr>
              <w:t>reported</w:t>
            </w:r>
          </w:p>
        </w:tc>
        <w:tc>
          <w:tcPr>
            <w:tcW w:w="1555" w:type="dxa"/>
          </w:tcPr>
          <w:p>
            <w:pPr>
              <w:pStyle w:val="TableParagraph"/>
              <w:tabs>
                <w:tab w:pos="981" w:val="left" w:leader="none"/>
              </w:tabs>
              <w:spacing w:before="23"/>
              <w:ind w:left="89"/>
              <w:rPr>
                <w:sz w:val="22"/>
              </w:rPr>
            </w:pPr>
            <w:r>
              <w:rPr>
                <w:color w:val="0000FF"/>
                <w:w w:val="120"/>
                <w:sz w:val="22"/>
              </w:rPr>
              <w:t>$</w:t>
              <w:tab/>
              <w:t>.56</w:t>
            </w:r>
          </w:p>
        </w:tc>
        <w:tc>
          <w:tcPr>
            <w:tcW w:w="1680" w:type="dxa"/>
          </w:tcPr>
          <w:p>
            <w:pPr>
              <w:pStyle w:val="TableParagraph"/>
              <w:tabs>
                <w:tab w:pos="1105" w:val="left" w:leader="none"/>
              </w:tabs>
              <w:spacing w:before="23"/>
              <w:ind w:left="213"/>
              <w:rPr>
                <w:sz w:val="22"/>
              </w:rPr>
            </w:pPr>
            <w:r>
              <w:rPr>
                <w:w w:val="120"/>
                <w:sz w:val="22"/>
              </w:rPr>
              <w:t>$</w:t>
              <w:tab/>
              <w:t>.31</w:t>
            </w:r>
          </w:p>
        </w:tc>
        <w:tc>
          <w:tcPr>
            <w:tcW w:w="1525" w:type="dxa"/>
          </w:tcPr>
          <w:p>
            <w:pPr>
              <w:pStyle w:val="TableParagraph"/>
              <w:tabs>
                <w:tab w:pos="892" w:val="left" w:leader="none"/>
              </w:tabs>
              <w:spacing w:before="23"/>
              <w:ind w:right="56"/>
              <w:jc w:val="right"/>
              <w:rPr>
                <w:sz w:val="22"/>
              </w:rPr>
            </w:pPr>
            <w:r>
              <w:rPr>
                <w:w w:val="120"/>
                <w:sz w:val="22"/>
              </w:rPr>
              <w:t>$</w:t>
              <w:tab/>
            </w:r>
            <w:r>
              <w:rPr>
                <w:spacing w:val="-2"/>
                <w:w w:val="115"/>
                <w:sz w:val="22"/>
              </w:rPr>
              <w:t>.67</w:t>
            </w:r>
          </w:p>
        </w:tc>
      </w:tr>
      <w:tr>
        <w:trPr>
          <w:trHeight w:val="428" w:hRule="exact"/>
        </w:trPr>
        <w:tc>
          <w:tcPr>
            <w:tcW w:w="4536" w:type="dxa"/>
          </w:tcPr>
          <w:p>
            <w:pPr>
              <w:pStyle w:val="TableParagraph"/>
              <w:spacing w:before="23"/>
              <w:ind w:left="180"/>
              <w:rPr>
                <w:sz w:val="22"/>
              </w:rPr>
            </w:pPr>
            <w:r>
              <w:rPr>
                <w:w w:val="110"/>
                <w:sz w:val="22"/>
              </w:rPr>
              <w:t>Basic, pro forma</w:t>
            </w:r>
          </w:p>
        </w:tc>
        <w:tc>
          <w:tcPr>
            <w:tcW w:w="1555" w:type="dxa"/>
          </w:tcPr>
          <w:p>
            <w:pPr>
              <w:pStyle w:val="TableParagraph"/>
              <w:tabs>
                <w:tab w:pos="981" w:val="left" w:leader="none"/>
              </w:tabs>
              <w:spacing w:before="23"/>
              <w:ind w:left="89"/>
              <w:rPr>
                <w:sz w:val="22"/>
              </w:rPr>
            </w:pPr>
            <w:r>
              <w:rPr>
                <w:color w:val="0000FF"/>
                <w:w w:val="120"/>
                <w:sz w:val="22"/>
              </w:rPr>
              <w:t>$</w:t>
              <w:tab/>
              <w:t>.49</w:t>
            </w:r>
          </w:p>
        </w:tc>
        <w:tc>
          <w:tcPr>
            <w:tcW w:w="1680" w:type="dxa"/>
          </w:tcPr>
          <w:p>
            <w:pPr>
              <w:pStyle w:val="TableParagraph"/>
              <w:tabs>
                <w:tab w:pos="1105" w:val="left" w:leader="none"/>
              </w:tabs>
              <w:spacing w:before="23"/>
              <w:ind w:left="213"/>
              <w:rPr>
                <w:sz w:val="22"/>
              </w:rPr>
            </w:pPr>
            <w:r>
              <w:rPr>
                <w:w w:val="120"/>
                <w:sz w:val="22"/>
              </w:rPr>
              <w:t>$</w:t>
              <w:tab/>
              <w:t>.24</w:t>
            </w:r>
          </w:p>
        </w:tc>
        <w:tc>
          <w:tcPr>
            <w:tcW w:w="1525" w:type="dxa"/>
          </w:tcPr>
          <w:p>
            <w:pPr>
              <w:pStyle w:val="TableParagraph"/>
              <w:tabs>
                <w:tab w:pos="892" w:val="left" w:leader="none"/>
              </w:tabs>
              <w:spacing w:before="23"/>
              <w:ind w:right="56"/>
              <w:jc w:val="right"/>
              <w:rPr>
                <w:sz w:val="22"/>
              </w:rPr>
            </w:pPr>
            <w:r>
              <w:rPr>
                <w:w w:val="120"/>
                <w:sz w:val="22"/>
              </w:rPr>
              <w:t>$</w:t>
              <w:tab/>
            </w:r>
            <w:r>
              <w:rPr>
                <w:spacing w:val="-2"/>
                <w:w w:val="115"/>
                <w:sz w:val="22"/>
              </w:rPr>
              <w:t>.64</w:t>
            </w:r>
          </w:p>
        </w:tc>
      </w:tr>
      <w:tr>
        <w:trPr>
          <w:trHeight w:val="428" w:hRule="exact"/>
        </w:trPr>
        <w:tc>
          <w:tcPr>
            <w:tcW w:w="4536" w:type="dxa"/>
          </w:tcPr>
          <w:p>
            <w:pPr>
              <w:pStyle w:val="TableParagraph"/>
              <w:spacing w:before="118"/>
              <w:ind w:left="180"/>
              <w:rPr>
                <w:sz w:val="22"/>
              </w:rPr>
            </w:pPr>
            <w:r>
              <w:rPr>
                <w:w w:val="110"/>
                <w:sz w:val="22"/>
              </w:rPr>
              <w:t>Diluted, as reported</w:t>
            </w:r>
          </w:p>
        </w:tc>
        <w:tc>
          <w:tcPr>
            <w:tcW w:w="1555" w:type="dxa"/>
          </w:tcPr>
          <w:p>
            <w:pPr>
              <w:pStyle w:val="TableParagraph"/>
              <w:tabs>
                <w:tab w:pos="981" w:val="left" w:leader="none"/>
              </w:tabs>
              <w:spacing w:before="118"/>
              <w:ind w:left="89"/>
              <w:rPr>
                <w:sz w:val="22"/>
              </w:rPr>
            </w:pPr>
            <w:r>
              <w:rPr>
                <w:color w:val="0000FF"/>
                <w:w w:val="120"/>
                <w:sz w:val="22"/>
              </w:rPr>
              <w:t>$</w:t>
              <w:tab/>
              <w:t>.54</w:t>
            </w:r>
          </w:p>
        </w:tc>
        <w:tc>
          <w:tcPr>
            <w:tcW w:w="1680" w:type="dxa"/>
          </w:tcPr>
          <w:p>
            <w:pPr>
              <w:pStyle w:val="TableParagraph"/>
              <w:tabs>
                <w:tab w:pos="1105" w:val="left" w:leader="none"/>
              </w:tabs>
              <w:spacing w:before="118"/>
              <w:ind w:left="213"/>
              <w:rPr>
                <w:sz w:val="22"/>
              </w:rPr>
            </w:pPr>
            <w:r>
              <w:rPr>
                <w:w w:val="120"/>
                <w:sz w:val="22"/>
              </w:rPr>
              <w:t>$</w:t>
              <w:tab/>
              <w:t>.30</w:t>
            </w:r>
          </w:p>
        </w:tc>
        <w:tc>
          <w:tcPr>
            <w:tcW w:w="1525" w:type="dxa"/>
          </w:tcPr>
          <w:p>
            <w:pPr>
              <w:pStyle w:val="TableParagraph"/>
              <w:tabs>
                <w:tab w:pos="892" w:val="left" w:leader="none"/>
              </w:tabs>
              <w:spacing w:before="118"/>
              <w:ind w:right="56"/>
              <w:jc w:val="right"/>
              <w:rPr>
                <w:sz w:val="22"/>
              </w:rPr>
            </w:pPr>
            <w:r>
              <w:rPr>
                <w:w w:val="120"/>
                <w:sz w:val="22"/>
              </w:rPr>
              <w:t>$</w:t>
              <w:tab/>
            </w:r>
            <w:r>
              <w:rPr>
                <w:spacing w:val="-2"/>
                <w:w w:val="115"/>
                <w:sz w:val="22"/>
              </w:rPr>
              <w:t>.63</w:t>
            </w:r>
          </w:p>
        </w:tc>
      </w:tr>
      <w:tr>
        <w:trPr>
          <w:trHeight w:val="324" w:hRule="exact"/>
        </w:trPr>
        <w:tc>
          <w:tcPr>
            <w:tcW w:w="4536" w:type="dxa"/>
          </w:tcPr>
          <w:p>
            <w:pPr>
              <w:pStyle w:val="TableParagraph"/>
              <w:spacing w:before="23"/>
              <w:ind w:left="180"/>
              <w:rPr>
                <w:sz w:val="22"/>
              </w:rPr>
            </w:pPr>
            <w:r>
              <w:rPr>
                <w:w w:val="110"/>
                <w:sz w:val="22"/>
              </w:rPr>
              <w:t>Diluted, pro forma</w:t>
            </w:r>
          </w:p>
        </w:tc>
        <w:tc>
          <w:tcPr>
            <w:tcW w:w="1555" w:type="dxa"/>
          </w:tcPr>
          <w:p>
            <w:pPr>
              <w:pStyle w:val="TableParagraph"/>
              <w:tabs>
                <w:tab w:pos="981" w:val="left" w:leader="none"/>
              </w:tabs>
              <w:spacing w:before="23"/>
              <w:ind w:left="89"/>
              <w:rPr>
                <w:sz w:val="22"/>
              </w:rPr>
            </w:pPr>
            <w:r>
              <w:rPr>
                <w:color w:val="0000FF"/>
                <w:w w:val="120"/>
                <w:sz w:val="22"/>
              </w:rPr>
              <w:t>$</w:t>
              <w:tab/>
              <w:t>.48</w:t>
            </w:r>
          </w:p>
        </w:tc>
        <w:tc>
          <w:tcPr>
            <w:tcW w:w="1680" w:type="dxa"/>
          </w:tcPr>
          <w:p>
            <w:pPr>
              <w:pStyle w:val="TableParagraph"/>
              <w:tabs>
                <w:tab w:pos="1105" w:val="left" w:leader="none"/>
              </w:tabs>
              <w:spacing w:before="23"/>
              <w:ind w:left="213"/>
              <w:rPr>
                <w:sz w:val="22"/>
              </w:rPr>
            </w:pPr>
            <w:r>
              <w:rPr>
                <w:w w:val="120"/>
                <w:sz w:val="22"/>
              </w:rPr>
              <w:t>$</w:t>
              <w:tab/>
              <w:t>.23</w:t>
            </w:r>
          </w:p>
        </w:tc>
        <w:tc>
          <w:tcPr>
            <w:tcW w:w="1525" w:type="dxa"/>
          </w:tcPr>
          <w:p>
            <w:pPr>
              <w:pStyle w:val="TableParagraph"/>
              <w:tabs>
                <w:tab w:pos="892" w:val="left" w:leader="none"/>
              </w:tabs>
              <w:spacing w:before="23"/>
              <w:ind w:right="56"/>
              <w:jc w:val="right"/>
              <w:rPr>
                <w:sz w:val="22"/>
              </w:rPr>
            </w:pPr>
            <w:r>
              <w:rPr>
                <w:w w:val="120"/>
                <w:sz w:val="22"/>
              </w:rPr>
              <w:t>$</w:t>
              <w:tab/>
            </w:r>
            <w:r>
              <w:rPr>
                <w:spacing w:val="-2"/>
                <w:w w:val="115"/>
                <w:sz w:val="22"/>
              </w:rPr>
              <w:t>.61</w:t>
            </w:r>
          </w:p>
        </w:tc>
      </w:tr>
    </w:tbl>
    <w:p>
      <w:pPr>
        <w:pStyle w:val="BodyText"/>
        <w:spacing w:line="220" w:lineRule="exact" w:before="182"/>
        <w:ind w:left="115" w:right="107"/>
        <w:jc w:val="both"/>
      </w:pPr>
      <w:r>
        <w:rPr>
          <w:w w:val="105"/>
        </w:rPr>
        <w:t>As required, the pro forma disclosures above include options granted since January 1, 1995. Consequently, the</w:t>
      </w:r>
      <w:r>
        <w:rPr>
          <w:spacing w:val="-5"/>
          <w:w w:val="105"/>
        </w:rPr>
        <w:t> </w:t>
      </w:r>
      <w:r>
        <w:rPr>
          <w:w w:val="105"/>
        </w:rPr>
        <w:t>effects</w:t>
      </w:r>
      <w:r>
        <w:rPr>
          <w:spacing w:val="-5"/>
          <w:w w:val="105"/>
        </w:rPr>
        <w:t> </w:t>
      </w:r>
      <w:r>
        <w:rPr>
          <w:w w:val="105"/>
        </w:rPr>
        <w:t>of</w:t>
      </w:r>
      <w:r>
        <w:rPr>
          <w:spacing w:val="-4"/>
          <w:w w:val="105"/>
        </w:rPr>
        <w:t> </w:t>
      </w:r>
      <w:r>
        <w:rPr>
          <w:w w:val="105"/>
        </w:rPr>
        <w:t>applying</w:t>
      </w:r>
      <w:r>
        <w:rPr>
          <w:spacing w:val="-5"/>
          <w:w w:val="105"/>
        </w:rPr>
        <w:t> </w:t>
      </w:r>
      <w:r>
        <w:rPr>
          <w:w w:val="105"/>
        </w:rPr>
        <w:t>SFAS</w:t>
      </w:r>
      <w:r>
        <w:rPr>
          <w:spacing w:val="-4"/>
          <w:w w:val="105"/>
        </w:rPr>
        <w:t> </w:t>
      </w:r>
      <w:r>
        <w:rPr>
          <w:w w:val="105"/>
        </w:rPr>
        <w:t>123</w:t>
      </w:r>
      <w:r>
        <w:rPr>
          <w:spacing w:val="-4"/>
          <w:w w:val="105"/>
        </w:rPr>
        <w:t> </w:t>
      </w:r>
      <w:r>
        <w:rPr>
          <w:w w:val="105"/>
        </w:rPr>
        <w:t>for</w:t>
      </w:r>
      <w:r>
        <w:rPr>
          <w:spacing w:val="-4"/>
          <w:w w:val="105"/>
        </w:rPr>
        <w:t> </w:t>
      </w:r>
      <w:r>
        <w:rPr>
          <w:w w:val="105"/>
        </w:rPr>
        <w:t>providing</w:t>
      </w:r>
      <w:r>
        <w:rPr>
          <w:spacing w:val="-4"/>
          <w:w w:val="105"/>
        </w:rPr>
        <w:t> </w:t>
      </w:r>
      <w:r>
        <w:rPr>
          <w:w w:val="105"/>
        </w:rPr>
        <w:t>pro</w:t>
      </w:r>
      <w:r>
        <w:rPr>
          <w:spacing w:val="-4"/>
          <w:w w:val="105"/>
        </w:rPr>
        <w:t> </w:t>
      </w:r>
      <w:r>
        <w:rPr>
          <w:w w:val="105"/>
        </w:rPr>
        <w:t>forma</w:t>
      </w:r>
      <w:r>
        <w:rPr>
          <w:spacing w:val="-4"/>
          <w:w w:val="105"/>
        </w:rPr>
        <w:t> </w:t>
      </w:r>
      <w:r>
        <w:rPr>
          <w:w w:val="105"/>
        </w:rPr>
        <w:t>disclosures</w:t>
      </w:r>
      <w:r>
        <w:rPr>
          <w:spacing w:val="-4"/>
          <w:w w:val="105"/>
        </w:rPr>
        <w:t> </w:t>
      </w:r>
      <w:r>
        <w:rPr>
          <w:w w:val="105"/>
        </w:rPr>
        <w:t>may</w:t>
      </w:r>
      <w:r>
        <w:rPr>
          <w:spacing w:val="-5"/>
          <w:w w:val="105"/>
        </w:rPr>
        <w:t> </w:t>
      </w:r>
      <w:r>
        <w:rPr>
          <w:w w:val="105"/>
        </w:rPr>
        <w:t>not</w:t>
      </w:r>
      <w:r>
        <w:rPr>
          <w:spacing w:val="-4"/>
          <w:w w:val="105"/>
        </w:rPr>
        <w:t> </w:t>
      </w:r>
      <w:r>
        <w:rPr>
          <w:w w:val="105"/>
        </w:rPr>
        <w:t>be</w:t>
      </w:r>
      <w:r>
        <w:rPr>
          <w:spacing w:val="-4"/>
          <w:w w:val="105"/>
        </w:rPr>
        <w:t> </w:t>
      </w:r>
      <w:r>
        <w:rPr>
          <w:w w:val="105"/>
        </w:rPr>
        <w:t>representative</w:t>
      </w:r>
      <w:r>
        <w:rPr>
          <w:spacing w:val="-4"/>
          <w:w w:val="105"/>
        </w:rPr>
        <w:t> </w:t>
      </w:r>
      <w:r>
        <w:rPr>
          <w:w w:val="105"/>
        </w:rPr>
        <w:t>of</w:t>
      </w:r>
      <w:r>
        <w:rPr>
          <w:spacing w:val="-4"/>
          <w:w w:val="105"/>
        </w:rPr>
        <w:t> </w:t>
      </w:r>
      <w:r>
        <w:rPr>
          <w:w w:val="105"/>
        </w:rPr>
        <w:t>the</w:t>
      </w:r>
      <w:r>
        <w:rPr>
          <w:spacing w:val="-5"/>
          <w:w w:val="105"/>
        </w:rPr>
        <w:t> </w:t>
      </w:r>
      <w:r>
        <w:rPr>
          <w:w w:val="105"/>
        </w:rPr>
        <w:t>effects on </w:t>
      </w:r>
      <w:r>
        <w:rPr>
          <w:spacing w:val="3"/>
          <w:w w:val="105"/>
        </w:rPr>
        <w:t>reported </w:t>
      </w:r>
      <w:r>
        <w:rPr>
          <w:spacing w:val="2"/>
          <w:w w:val="105"/>
        </w:rPr>
        <w:t>net </w:t>
      </w:r>
      <w:r>
        <w:rPr>
          <w:spacing w:val="3"/>
          <w:w w:val="105"/>
        </w:rPr>
        <w:t>income </w:t>
      </w:r>
      <w:r>
        <w:rPr>
          <w:spacing w:val="2"/>
          <w:w w:val="105"/>
        </w:rPr>
        <w:t>for </w:t>
      </w:r>
      <w:r>
        <w:rPr>
          <w:spacing w:val="3"/>
          <w:w w:val="105"/>
        </w:rPr>
        <w:t>future years until </w:t>
      </w:r>
      <w:r>
        <w:rPr>
          <w:spacing w:val="2"/>
          <w:w w:val="105"/>
        </w:rPr>
        <w:t>all </w:t>
      </w:r>
      <w:r>
        <w:rPr>
          <w:spacing w:val="3"/>
          <w:w w:val="105"/>
        </w:rPr>
        <w:t>options outstanding </w:t>
      </w:r>
      <w:r>
        <w:rPr>
          <w:spacing w:val="2"/>
          <w:w w:val="105"/>
        </w:rPr>
        <w:t>are </w:t>
      </w:r>
      <w:r>
        <w:rPr>
          <w:spacing w:val="3"/>
          <w:w w:val="105"/>
        </w:rPr>
        <w:t>included </w:t>
      </w:r>
      <w:r>
        <w:rPr>
          <w:w w:val="105"/>
        </w:rPr>
        <w:t>in </w:t>
      </w:r>
      <w:r>
        <w:rPr>
          <w:spacing w:val="2"/>
          <w:w w:val="105"/>
        </w:rPr>
        <w:t>the pro </w:t>
      </w:r>
      <w:r>
        <w:rPr>
          <w:spacing w:val="4"/>
          <w:w w:val="105"/>
        </w:rPr>
        <w:t>forma </w:t>
      </w:r>
      <w:r>
        <w:rPr>
          <w:w w:val="105"/>
        </w:rPr>
        <w:t>disclosures. For purposes of pro forma disclosures, the estimated fair value of stock-based </w:t>
      </w:r>
      <w:r>
        <w:rPr>
          <w:spacing w:val="2"/>
          <w:w w:val="105"/>
        </w:rPr>
        <w:t>compensation </w:t>
      </w:r>
      <w:r>
        <w:rPr>
          <w:w w:val="105"/>
        </w:rPr>
        <w:t>plans and other options is amortized to expense primarily over the vesting period. See Note 13 for further discussion</w:t>
      </w:r>
      <w:r>
        <w:rPr>
          <w:spacing w:val="-23"/>
          <w:w w:val="105"/>
        </w:rPr>
        <w:t> </w:t>
      </w:r>
      <w:r>
        <w:rPr>
          <w:w w:val="105"/>
        </w:rPr>
        <w:t>of</w:t>
      </w:r>
      <w:r>
        <w:rPr>
          <w:spacing w:val="-23"/>
          <w:w w:val="105"/>
        </w:rPr>
        <w:t> </w:t>
      </w:r>
      <w:r>
        <w:rPr>
          <w:w w:val="105"/>
        </w:rPr>
        <w:t>the</w:t>
      </w:r>
      <w:r>
        <w:rPr>
          <w:spacing w:val="-23"/>
          <w:w w:val="105"/>
        </w:rPr>
        <w:t> </w:t>
      </w:r>
      <w:r>
        <w:rPr>
          <w:w w:val="105"/>
        </w:rPr>
        <w:t>Company’s</w:t>
      </w:r>
      <w:r>
        <w:rPr>
          <w:spacing w:val="-23"/>
          <w:w w:val="105"/>
        </w:rPr>
        <w:t> </w:t>
      </w:r>
      <w:r>
        <w:rPr>
          <w:w w:val="105"/>
        </w:rPr>
        <w:t>stock-based</w:t>
      </w:r>
      <w:r>
        <w:rPr>
          <w:spacing w:val="-22"/>
          <w:w w:val="105"/>
        </w:rPr>
        <w:t> </w:t>
      </w:r>
      <w:r>
        <w:rPr>
          <w:w w:val="105"/>
        </w:rPr>
        <w:t>Employee</w:t>
      </w:r>
      <w:r>
        <w:rPr>
          <w:spacing w:val="-23"/>
          <w:w w:val="105"/>
        </w:rPr>
        <w:t> </w:t>
      </w:r>
      <w:r>
        <w:rPr>
          <w:w w:val="105"/>
        </w:rPr>
        <w:t>compensation.</w:t>
      </w:r>
    </w:p>
    <w:p>
      <w:pPr>
        <w:pStyle w:val="BodyText"/>
        <w:spacing w:line="218" w:lineRule="auto" w:before="213"/>
        <w:ind w:left="115" w:right="105"/>
        <w:jc w:val="both"/>
      </w:pPr>
      <w:r>
        <w:rPr>
          <w:w w:val="105"/>
        </w:rPr>
        <w:t>In December 2002, the FASB issued SFAS No. 148, “Accounting for Stock-Based Compensation-Transition and Disclosure”. SFAS No. 148 amends the transition and disclosure provisions of SFAS No. 123. Among other items, SFAS 148 allows companies adopting SFAS 123 to utilize one of three alternative transition</w:t>
      </w:r>
      <w:r>
        <w:rPr>
          <w:spacing w:val="55"/>
          <w:w w:val="105"/>
        </w:rPr>
        <w:t> </w:t>
      </w:r>
      <w:r>
        <w:rPr>
          <w:w w:val="105"/>
        </w:rPr>
        <w:t>methods, one of which was a “prospective method”, as defined, that was only available if adopted </w:t>
      </w:r>
      <w:r>
        <w:rPr>
          <w:spacing w:val="2"/>
          <w:w w:val="105"/>
        </w:rPr>
        <w:t>during </w:t>
      </w:r>
      <w:r>
        <w:rPr>
          <w:w w:val="105"/>
        </w:rPr>
        <w:t>2003. To date, the Company has not adopted SFAS 123 utilizing any of the transition methods of SFAS 148. The </w:t>
      </w:r>
      <w:r>
        <w:rPr>
          <w:spacing w:val="2"/>
          <w:w w:val="105"/>
        </w:rPr>
        <w:t>FASB currently </w:t>
      </w:r>
      <w:r>
        <w:rPr>
          <w:w w:val="105"/>
        </w:rPr>
        <w:t>is </w:t>
      </w:r>
      <w:r>
        <w:rPr>
          <w:spacing w:val="2"/>
          <w:w w:val="105"/>
        </w:rPr>
        <w:t>working </w:t>
      </w:r>
      <w:r>
        <w:rPr>
          <w:w w:val="105"/>
        </w:rPr>
        <w:t>on a </w:t>
      </w:r>
      <w:r>
        <w:rPr>
          <w:spacing w:val="2"/>
          <w:w w:val="105"/>
        </w:rPr>
        <w:t>project </w:t>
      </w:r>
      <w:r>
        <w:rPr>
          <w:w w:val="105"/>
        </w:rPr>
        <w:t>to </w:t>
      </w:r>
      <w:r>
        <w:rPr>
          <w:spacing w:val="2"/>
          <w:w w:val="105"/>
        </w:rPr>
        <w:t>develop </w:t>
      </w:r>
      <w:r>
        <w:rPr>
          <w:w w:val="105"/>
        </w:rPr>
        <w:t>a new </w:t>
      </w:r>
      <w:r>
        <w:rPr>
          <w:spacing w:val="2"/>
          <w:w w:val="105"/>
        </w:rPr>
        <w:t>standard </w:t>
      </w:r>
      <w:r>
        <w:rPr>
          <w:w w:val="105"/>
        </w:rPr>
        <w:t>for </w:t>
      </w:r>
      <w:r>
        <w:rPr>
          <w:spacing w:val="2"/>
          <w:w w:val="105"/>
        </w:rPr>
        <w:t>accounting </w:t>
      </w:r>
      <w:r>
        <w:rPr>
          <w:w w:val="105"/>
        </w:rPr>
        <w:t>for </w:t>
      </w:r>
      <w:r>
        <w:rPr>
          <w:spacing w:val="3"/>
          <w:w w:val="105"/>
        </w:rPr>
        <w:t>stock-based </w:t>
      </w:r>
      <w:r>
        <w:rPr>
          <w:w w:val="105"/>
        </w:rPr>
        <w:t>compensation. Tentative decisions by the FASB indicate that expensing of stock options will be required beginning January 1, 2005. The FASB expects to issue an exposure draft, which will be subject to public comment, in first quarter 2004 and issue its final standard in the second half of 2004. See Note 13 for further information on the Company’s stock-based compensation plans.</w:t>
      </w:r>
    </w:p>
    <w:p>
      <w:pPr>
        <w:pStyle w:val="BodyText"/>
        <w:spacing w:line="218" w:lineRule="auto" w:before="216"/>
        <w:ind w:left="115" w:right="110"/>
        <w:jc w:val="both"/>
      </w:pPr>
      <w:r>
        <w:rPr>
          <w:color w:val="0000FF"/>
          <w:spacing w:val="-5"/>
          <w:w w:val="105"/>
        </w:rPr>
        <w:t>FINANCIAL DERIVATIVE INSTRUMENTS </w:t>
      </w:r>
      <w:r>
        <w:rPr>
          <w:spacing w:val="-4"/>
          <w:w w:val="105"/>
        </w:rPr>
        <w:t>On </w:t>
      </w:r>
      <w:r>
        <w:rPr>
          <w:w w:val="105"/>
        </w:rPr>
        <w:t>January 1, 2001, the Company adopted </w:t>
      </w:r>
      <w:r>
        <w:rPr>
          <w:spacing w:val="-3"/>
          <w:w w:val="105"/>
        </w:rPr>
        <w:t>Statement </w:t>
      </w:r>
      <w:r>
        <w:rPr>
          <w:w w:val="105"/>
        </w:rPr>
        <w:t>of Financial </w:t>
      </w:r>
      <w:r>
        <w:rPr>
          <w:spacing w:val="-3"/>
          <w:w w:val="105"/>
        </w:rPr>
        <w:t>Accounting </w:t>
      </w:r>
      <w:r>
        <w:rPr>
          <w:w w:val="105"/>
        </w:rPr>
        <w:t>Standards </w:t>
      </w:r>
      <w:r>
        <w:rPr>
          <w:spacing w:val="-4"/>
          <w:w w:val="105"/>
        </w:rPr>
        <w:t>No. </w:t>
      </w:r>
      <w:r>
        <w:rPr>
          <w:w w:val="105"/>
        </w:rPr>
        <w:t>133 </w:t>
      </w:r>
      <w:r>
        <w:rPr>
          <w:spacing w:val="-4"/>
          <w:w w:val="105"/>
        </w:rPr>
        <w:t>(SFAS </w:t>
      </w:r>
      <w:r>
        <w:rPr>
          <w:w w:val="105"/>
        </w:rPr>
        <w:t>133), </w:t>
      </w:r>
      <w:r>
        <w:rPr>
          <w:spacing w:val="-3"/>
          <w:w w:val="105"/>
        </w:rPr>
        <w:t>"Accounting for </w:t>
      </w:r>
      <w:r>
        <w:rPr>
          <w:w w:val="105"/>
        </w:rPr>
        <w:t>Derivative Instruments and Hedging </w:t>
      </w:r>
      <w:r>
        <w:rPr>
          <w:spacing w:val="-3"/>
          <w:w w:val="105"/>
        </w:rPr>
        <w:t>Activities",</w:t>
      </w:r>
      <w:r>
        <w:rPr>
          <w:spacing w:val="-9"/>
          <w:w w:val="105"/>
        </w:rPr>
        <w:t> </w:t>
      </w:r>
      <w:r>
        <w:rPr>
          <w:spacing w:val="-3"/>
          <w:w w:val="105"/>
        </w:rPr>
        <w:t>as</w:t>
      </w:r>
      <w:r>
        <w:rPr>
          <w:spacing w:val="-10"/>
          <w:w w:val="105"/>
        </w:rPr>
        <w:t> </w:t>
      </w:r>
      <w:r>
        <w:rPr>
          <w:w w:val="105"/>
        </w:rPr>
        <w:t>amended,</w:t>
      </w:r>
      <w:r>
        <w:rPr>
          <w:spacing w:val="-13"/>
          <w:w w:val="105"/>
        </w:rPr>
        <w:t> </w:t>
      </w:r>
      <w:r>
        <w:rPr>
          <w:w w:val="105"/>
        </w:rPr>
        <w:t>which</w:t>
      </w:r>
      <w:r>
        <w:rPr>
          <w:spacing w:val="-13"/>
          <w:w w:val="105"/>
        </w:rPr>
        <w:t> </w:t>
      </w:r>
      <w:r>
        <w:rPr>
          <w:w w:val="105"/>
        </w:rPr>
        <w:t>governs</w:t>
      </w:r>
      <w:r>
        <w:rPr>
          <w:spacing w:val="-13"/>
          <w:w w:val="105"/>
        </w:rPr>
        <w:t> </w:t>
      </w:r>
      <w:r>
        <w:rPr>
          <w:w w:val="105"/>
        </w:rPr>
        <w:t>the</w:t>
      </w:r>
      <w:r>
        <w:rPr>
          <w:spacing w:val="-8"/>
          <w:w w:val="105"/>
        </w:rPr>
        <w:t> </w:t>
      </w:r>
      <w:r>
        <w:rPr>
          <w:spacing w:val="-3"/>
          <w:w w:val="105"/>
        </w:rPr>
        <w:t>way</w:t>
      </w:r>
      <w:r>
        <w:rPr>
          <w:spacing w:val="-13"/>
          <w:w w:val="105"/>
        </w:rPr>
        <w:t> </w:t>
      </w:r>
      <w:r>
        <w:rPr>
          <w:w w:val="105"/>
        </w:rPr>
        <w:t>it</w:t>
      </w:r>
      <w:r>
        <w:rPr>
          <w:spacing w:val="-10"/>
          <w:w w:val="105"/>
        </w:rPr>
        <w:t> </w:t>
      </w:r>
      <w:r>
        <w:rPr>
          <w:w w:val="105"/>
        </w:rPr>
        <w:t>accounts</w:t>
      </w:r>
      <w:r>
        <w:rPr>
          <w:spacing w:val="-10"/>
          <w:w w:val="105"/>
        </w:rPr>
        <w:t> </w:t>
      </w:r>
      <w:r>
        <w:rPr>
          <w:w w:val="105"/>
        </w:rPr>
        <w:t>for</w:t>
      </w:r>
      <w:r>
        <w:rPr>
          <w:spacing w:val="-12"/>
          <w:w w:val="105"/>
        </w:rPr>
        <w:t> </w:t>
      </w:r>
      <w:r>
        <w:rPr>
          <w:w w:val="105"/>
        </w:rPr>
        <w:t>financial</w:t>
      </w:r>
      <w:r>
        <w:rPr>
          <w:spacing w:val="-10"/>
          <w:w w:val="105"/>
        </w:rPr>
        <w:t> </w:t>
      </w:r>
      <w:r>
        <w:rPr>
          <w:w w:val="105"/>
        </w:rPr>
        <w:t>derivative</w:t>
      </w:r>
      <w:r>
        <w:rPr>
          <w:spacing w:val="-8"/>
          <w:w w:val="105"/>
        </w:rPr>
        <w:t> </w:t>
      </w:r>
      <w:r>
        <w:rPr>
          <w:w w:val="105"/>
        </w:rPr>
        <w:t>instruments.</w:t>
      </w:r>
      <w:r>
        <w:rPr>
          <w:spacing w:val="35"/>
          <w:w w:val="105"/>
        </w:rPr>
        <w:t> </w:t>
      </w:r>
      <w:r>
        <w:rPr>
          <w:w w:val="105"/>
        </w:rPr>
        <w:t>The</w:t>
      </w:r>
      <w:r>
        <w:rPr>
          <w:spacing w:val="-11"/>
          <w:w w:val="105"/>
        </w:rPr>
        <w:t> </w:t>
      </w:r>
      <w:r>
        <w:rPr>
          <w:w w:val="105"/>
        </w:rPr>
        <w:t>Company utilizes various derivative instruments, including both crude oil and heating oil-based derivatives, to hedge a portion</w:t>
      </w:r>
      <w:r>
        <w:rPr>
          <w:spacing w:val="-14"/>
          <w:w w:val="105"/>
        </w:rPr>
        <w:t> </w:t>
      </w:r>
      <w:r>
        <w:rPr>
          <w:w w:val="105"/>
        </w:rPr>
        <w:t>of</w:t>
      </w:r>
      <w:r>
        <w:rPr>
          <w:spacing w:val="-15"/>
          <w:w w:val="105"/>
        </w:rPr>
        <w:t> </w:t>
      </w:r>
      <w:r>
        <w:rPr>
          <w:w w:val="105"/>
        </w:rPr>
        <w:t>its</w:t>
      </w:r>
      <w:r>
        <w:rPr>
          <w:spacing w:val="-10"/>
          <w:w w:val="105"/>
        </w:rPr>
        <w:t> </w:t>
      </w:r>
      <w:r>
        <w:rPr>
          <w:w w:val="105"/>
        </w:rPr>
        <w:t>exposure</w:t>
      </w:r>
      <w:r>
        <w:rPr>
          <w:spacing w:val="-15"/>
          <w:w w:val="105"/>
        </w:rPr>
        <w:t> </w:t>
      </w:r>
      <w:r>
        <w:rPr>
          <w:w w:val="105"/>
        </w:rPr>
        <w:t>to</w:t>
      </w:r>
      <w:r>
        <w:rPr>
          <w:spacing w:val="-14"/>
          <w:w w:val="105"/>
        </w:rPr>
        <w:t> </w:t>
      </w:r>
      <w:r>
        <w:rPr>
          <w:w w:val="105"/>
        </w:rPr>
        <w:t>jet</w:t>
      </w:r>
      <w:r>
        <w:rPr>
          <w:spacing w:val="-14"/>
          <w:w w:val="105"/>
        </w:rPr>
        <w:t> </w:t>
      </w:r>
      <w:r>
        <w:rPr>
          <w:w w:val="105"/>
        </w:rPr>
        <w:t>fuel</w:t>
      </w:r>
      <w:r>
        <w:rPr>
          <w:spacing w:val="-14"/>
          <w:w w:val="105"/>
        </w:rPr>
        <w:t> </w:t>
      </w:r>
      <w:r>
        <w:rPr>
          <w:spacing w:val="-3"/>
          <w:w w:val="105"/>
        </w:rPr>
        <w:t>price</w:t>
      </w:r>
      <w:r>
        <w:rPr>
          <w:spacing w:val="-15"/>
          <w:w w:val="105"/>
        </w:rPr>
        <w:t> </w:t>
      </w:r>
      <w:r>
        <w:rPr>
          <w:spacing w:val="-3"/>
          <w:w w:val="105"/>
        </w:rPr>
        <w:t>increases.</w:t>
      </w:r>
      <w:r>
        <w:rPr>
          <w:spacing w:val="28"/>
          <w:w w:val="105"/>
        </w:rPr>
        <w:t> </w:t>
      </w:r>
      <w:r>
        <w:rPr>
          <w:w w:val="105"/>
        </w:rPr>
        <w:t>These</w:t>
      </w:r>
      <w:r>
        <w:rPr>
          <w:spacing w:val="-15"/>
          <w:w w:val="105"/>
        </w:rPr>
        <w:t> </w:t>
      </w:r>
      <w:r>
        <w:rPr>
          <w:w w:val="105"/>
        </w:rPr>
        <w:t>instruments</w:t>
      </w:r>
      <w:r>
        <w:rPr>
          <w:spacing w:val="-14"/>
          <w:w w:val="105"/>
        </w:rPr>
        <w:t> </w:t>
      </w:r>
      <w:r>
        <w:rPr>
          <w:w w:val="105"/>
        </w:rPr>
        <w:t>consist</w:t>
      </w:r>
      <w:r>
        <w:rPr>
          <w:spacing w:val="-14"/>
          <w:w w:val="105"/>
        </w:rPr>
        <w:t> </w:t>
      </w:r>
      <w:r>
        <w:rPr>
          <w:w w:val="105"/>
        </w:rPr>
        <w:t>primarily</w:t>
      </w:r>
      <w:r>
        <w:rPr>
          <w:spacing w:val="-14"/>
          <w:w w:val="105"/>
        </w:rPr>
        <w:t> </w:t>
      </w:r>
      <w:r>
        <w:rPr>
          <w:w w:val="105"/>
        </w:rPr>
        <w:t>of</w:t>
      </w:r>
      <w:r>
        <w:rPr>
          <w:spacing w:val="-12"/>
          <w:w w:val="105"/>
        </w:rPr>
        <w:t> </w:t>
      </w:r>
      <w:r>
        <w:rPr>
          <w:w w:val="105"/>
        </w:rPr>
        <w:t>purchased</w:t>
      </w:r>
      <w:r>
        <w:rPr>
          <w:spacing w:val="-14"/>
          <w:w w:val="105"/>
        </w:rPr>
        <w:t> </w:t>
      </w:r>
      <w:r>
        <w:rPr>
          <w:w w:val="105"/>
        </w:rPr>
        <w:t>call</w:t>
      </w:r>
      <w:r>
        <w:rPr>
          <w:spacing w:val="-14"/>
          <w:w w:val="105"/>
        </w:rPr>
        <w:t> </w:t>
      </w:r>
      <w:r>
        <w:rPr>
          <w:w w:val="105"/>
        </w:rPr>
        <w:t>options, collar </w:t>
      </w:r>
      <w:r>
        <w:rPr>
          <w:spacing w:val="-3"/>
          <w:w w:val="105"/>
        </w:rPr>
        <w:t>structures, </w:t>
      </w:r>
      <w:r>
        <w:rPr>
          <w:w w:val="105"/>
        </w:rPr>
        <w:t>and </w:t>
      </w:r>
      <w:r>
        <w:rPr>
          <w:spacing w:val="-3"/>
          <w:w w:val="105"/>
        </w:rPr>
        <w:t>fixed price swap </w:t>
      </w:r>
      <w:r>
        <w:rPr>
          <w:w w:val="105"/>
        </w:rPr>
        <w:t>agreements. </w:t>
      </w:r>
      <w:r>
        <w:rPr>
          <w:spacing w:val="-2"/>
          <w:w w:val="105"/>
        </w:rPr>
        <w:t>The </w:t>
      </w:r>
      <w:r>
        <w:rPr>
          <w:w w:val="105"/>
        </w:rPr>
        <w:t>Company has also </w:t>
      </w:r>
      <w:r>
        <w:rPr>
          <w:spacing w:val="-3"/>
          <w:w w:val="105"/>
        </w:rPr>
        <w:t>entered </w:t>
      </w:r>
      <w:r>
        <w:rPr>
          <w:w w:val="105"/>
        </w:rPr>
        <w:t>into </w:t>
      </w:r>
      <w:r>
        <w:rPr>
          <w:spacing w:val="-3"/>
          <w:w w:val="105"/>
        </w:rPr>
        <w:t>interest </w:t>
      </w:r>
      <w:r>
        <w:rPr>
          <w:w w:val="105"/>
        </w:rPr>
        <w:t>rate </w:t>
      </w:r>
      <w:r>
        <w:rPr>
          <w:spacing w:val="-4"/>
          <w:w w:val="105"/>
        </w:rPr>
        <w:t>swap </w:t>
      </w:r>
      <w:r>
        <w:rPr>
          <w:spacing w:val="-3"/>
          <w:w w:val="105"/>
        </w:rPr>
        <w:t>agreements</w:t>
      </w:r>
      <w:r>
        <w:rPr>
          <w:spacing w:val="-19"/>
          <w:w w:val="105"/>
        </w:rPr>
        <w:t> </w:t>
      </w:r>
      <w:r>
        <w:rPr>
          <w:w w:val="105"/>
        </w:rPr>
        <w:t>to</w:t>
      </w:r>
      <w:r>
        <w:rPr>
          <w:spacing w:val="-22"/>
          <w:w w:val="105"/>
        </w:rPr>
        <w:t> </w:t>
      </w:r>
      <w:r>
        <w:rPr>
          <w:w w:val="105"/>
        </w:rPr>
        <w:t>convert</w:t>
      </w:r>
      <w:r>
        <w:rPr>
          <w:spacing w:val="-22"/>
          <w:w w:val="105"/>
        </w:rPr>
        <w:t> </w:t>
      </w:r>
      <w:r>
        <w:rPr>
          <w:w w:val="105"/>
        </w:rPr>
        <w:t>a</w:t>
      </w:r>
      <w:r>
        <w:rPr>
          <w:spacing w:val="-21"/>
          <w:w w:val="105"/>
        </w:rPr>
        <w:t> </w:t>
      </w:r>
      <w:r>
        <w:rPr>
          <w:w w:val="105"/>
        </w:rPr>
        <w:t>portion</w:t>
      </w:r>
      <w:r>
        <w:rPr>
          <w:spacing w:val="-19"/>
          <w:w w:val="105"/>
        </w:rPr>
        <w:t> </w:t>
      </w:r>
      <w:r>
        <w:rPr>
          <w:w w:val="105"/>
        </w:rPr>
        <w:t>of</w:t>
      </w:r>
      <w:r>
        <w:rPr>
          <w:spacing w:val="-21"/>
          <w:w w:val="105"/>
        </w:rPr>
        <w:t> </w:t>
      </w:r>
      <w:r>
        <w:rPr>
          <w:w w:val="105"/>
        </w:rPr>
        <w:t>its</w:t>
      </w:r>
      <w:r>
        <w:rPr>
          <w:spacing w:val="-19"/>
          <w:w w:val="105"/>
        </w:rPr>
        <w:t> </w:t>
      </w:r>
      <w:r>
        <w:rPr>
          <w:spacing w:val="-3"/>
          <w:w w:val="105"/>
        </w:rPr>
        <w:t>fixed-rate</w:t>
      </w:r>
      <w:r>
        <w:rPr>
          <w:spacing w:val="-21"/>
          <w:w w:val="105"/>
        </w:rPr>
        <w:t> </w:t>
      </w:r>
      <w:r>
        <w:rPr>
          <w:w w:val="105"/>
        </w:rPr>
        <w:t>debt</w:t>
      </w:r>
      <w:r>
        <w:rPr>
          <w:spacing w:val="-19"/>
          <w:w w:val="105"/>
        </w:rPr>
        <w:t> </w:t>
      </w:r>
      <w:r>
        <w:rPr>
          <w:w w:val="105"/>
        </w:rPr>
        <w:t>to</w:t>
      </w:r>
      <w:r>
        <w:rPr>
          <w:spacing w:val="-19"/>
          <w:w w:val="105"/>
        </w:rPr>
        <w:t> </w:t>
      </w:r>
      <w:r>
        <w:rPr>
          <w:w w:val="105"/>
        </w:rPr>
        <w:t>floating</w:t>
      </w:r>
      <w:r>
        <w:rPr>
          <w:spacing w:val="-19"/>
          <w:w w:val="105"/>
        </w:rPr>
        <w:t> </w:t>
      </w:r>
      <w:r>
        <w:rPr>
          <w:spacing w:val="-3"/>
          <w:w w:val="105"/>
        </w:rPr>
        <w:t>rates.</w:t>
      </w:r>
    </w:p>
    <w:p>
      <w:pPr>
        <w:pStyle w:val="BodyText"/>
        <w:spacing w:line="259" w:lineRule="auto" w:before="247"/>
        <w:ind w:left="115" w:right="109"/>
        <w:jc w:val="both"/>
      </w:pPr>
      <w:r>
        <w:rPr>
          <w:w w:val="105"/>
        </w:rPr>
        <w:t>Since the majority of the Company’s financial derivative instruments are not traded on a market exchange, the Company estimates their fair values. Depending on the type of instrument, the values are determined by the use of present value methods or standard option value models with assumptions about commodity prices based on those observed in underlying markets. Also, since there is not a reliable forward market for jet fuel, the Company must estimate the future prices of jet fuel in order to measure the effectiveness of the hedging instruments in offsetting changes to those prices, as required by SFAS 133. Forward jet fuel prices are estimated through the observation of similar commodity futures prices (such as crude oil and heating oil) and adjusted based on historical variations to those like commodities. See Notes 2 and 10 for further information on SFAS 133 and financial derivative instruments.</w:t>
      </w:r>
    </w:p>
    <w:p>
      <w:pPr>
        <w:spacing w:after="0" w:line="259" w:lineRule="auto"/>
        <w:jc w:val="both"/>
        <w:sectPr>
          <w:pgSz w:w="12240" w:h="15840"/>
          <w:pgMar w:top="1160" w:bottom="280" w:left="1180" w:right="1180"/>
        </w:sectPr>
      </w:pPr>
    </w:p>
    <w:p>
      <w:pPr>
        <w:pStyle w:val="BodyText"/>
        <w:spacing w:line="218" w:lineRule="auto" w:before="115"/>
        <w:ind w:left="115" w:right="106"/>
        <w:jc w:val="both"/>
      </w:pPr>
      <w:bookmarkStart w:name="Accounting Changes" w:id="42"/>
      <w:bookmarkEnd w:id="42"/>
      <w:r>
        <w:rPr/>
      </w:r>
      <w:r>
        <w:rPr>
          <w:color w:val="0000FF"/>
          <w:w w:val="105"/>
        </w:rPr>
        <w:t>RECENT ACCOUNTING DEVELOPMENTS </w:t>
      </w:r>
      <w:r>
        <w:rPr>
          <w:w w:val="105"/>
        </w:rPr>
        <w:t>In fourth quarter 2003, the Accounting Standards Executive Committee of the American Institute of Certified Public Accountants released a Draft Statement of Position entitled "Accounting for Certain Costs and Activities Related to Property, Plant, and Equipment" (Draft SOP). The Draft SOP, which is expected to be issued in its final form in first quarter 2004, would become effective for the Company January 1, 2005. The primary areas of applicability of the Draft SOP to the Company are in the areas of planned major maintenance activities (D checks) and component accounting.</w:t>
      </w:r>
    </w:p>
    <w:p>
      <w:pPr>
        <w:pStyle w:val="BodyText"/>
        <w:spacing w:line="218" w:lineRule="auto" w:before="221"/>
        <w:ind w:left="115" w:right="106"/>
        <w:jc w:val="both"/>
      </w:pPr>
      <w:r>
        <w:rPr>
          <w:w w:val="105"/>
        </w:rPr>
        <w:t>As discussed in “Aircraft and Engine Maintenance”, the Company currently capitalizes costs </w:t>
      </w:r>
      <w:r>
        <w:rPr>
          <w:spacing w:val="-3"/>
          <w:w w:val="105"/>
        </w:rPr>
        <w:t>related </w:t>
      </w:r>
      <w:r>
        <w:rPr>
          <w:w w:val="105"/>
        </w:rPr>
        <w:t>to D checks </w:t>
      </w:r>
      <w:r>
        <w:rPr>
          <w:spacing w:val="-3"/>
          <w:w w:val="105"/>
        </w:rPr>
        <w:t>and amortizes </w:t>
      </w:r>
      <w:r>
        <w:rPr>
          <w:w w:val="105"/>
        </w:rPr>
        <w:t>those costs over the estimated </w:t>
      </w:r>
      <w:r>
        <w:rPr>
          <w:spacing w:val="-3"/>
          <w:w w:val="105"/>
        </w:rPr>
        <w:t>period </w:t>
      </w:r>
      <w:r>
        <w:rPr>
          <w:w w:val="105"/>
        </w:rPr>
        <w:t>benefited, presently the </w:t>
      </w:r>
      <w:r>
        <w:rPr>
          <w:spacing w:val="-3"/>
          <w:w w:val="105"/>
        </w:rPr>
        <w:t>least </w:t>
      </w:r>
      <w:r>
        <w:rPr>
          <w:w w:val="105"/>
        </w:rPr>
        <w:t>of ten years, the time until the next D check, or the remaining life of the </w:t>
      </w:r>
      <w:r>
        <w:rPr>
          <w:spacing w:val="-3"/>
          <w:w w:val="105"/>
        </w:rPr>
        <w:t>aircraft. In </w:t>
      </w:r>
      <w:r>
        <w:rPr>
          <w:w w:val="105"/>
        </w:rPr>
        <w:t>the </w:t>
      </w:r>
      <w:r>
        <w:rPr>
          <w:spacing w:val="-4"/>
          <w:w w:val="105"/>
        </w:rPr>
        <w:t>Draft SOP, </w:t>
      </w:r>
      <w:r>
        <w:rPr>
          <w:w w:val="105"/>
        </w:rPr>
        <w:t>D </w:t>
      </w:r>
      <w:r>
        <w:rPr>
          <w:spacing w:val="-3"/>
          <w:w w:val="105"/>
        </w:rPr>
        <w:t>checks </w:t>
      </w:r>
      <w:r>
        <w:rPr>
          <w:w w:val="105"/>
        </w:rPr>
        <w:t>would be considered a planned major maintenance activity and, </w:t>
      </w:r>
      <w:r>
        <w:rPr>
          <w:spacing w:val="-3"/>
          <w:w w:val="105"/>
        </w:rPr>
        <w:t>as </w:t>
      </w:r>
      <w:r>
        <w:rPr>
          <w:w w:val="105"/>
        </w:rPr>
        <w:t>such, would be </w:t>
      </w:r>
      <w:r>
        <w:rPr>
          <w:spacing w:val="-3"/>
          <w:w w:val="105"/>
        </w:rPr>
        <w:t>expensed </w:t>
      </w:r>
      <w:r>
        <w:rPr>
          <w:w w:val="105"/>
        </w:rPr>
        <w:t>as incurred. </w:t>
      </w:r>
      <w:r>
        <w:rPr>
          <w:spacing w:val="-2"/>
          <w:w w:val="105"/>
        </w:rPr>
        <w:t>During </w:t>
      </w:r>
      <w:r>
        <w:rPr>
          <w:w w:val="105"/>
        </w:rPr>
        <w:t>2003, the Company recorded</w:t>
      </w:r>
      <w:r>
        <w:rPr>
          <w:spacing w:val="-14"/>
          <w:w w:val="105"/>
        </w:rPr>
        <w:t> </w:t>
      </w:r>
      <w:r>
        <w:rPr>
          <w:w w:val="105"/>
        </w:rPr>
        <w:t>$49</w:t>
      </w:r>
      <w:r>
        <w:rPr>
          <w:spacing w:val="-14"/>
          <w:w w:val="105"/>
        </w:rPr>
        <w:t> </w:t>
      </w:r>
      <w:r>
        <w:rPr>
          <w:w w:val="105"/>
        </w:rPr>
        <w:t>million</w:t>
      </w:r>
      <w:r>
        <w:rPr>
          <w:spacing w:val="-14"/>
          <w:w w:val="105"/>
        </w:rPr>
        <w:t> </w:t>
      </w:r>
      <w:r>
        <w:rPr>
          <w:w w:val="105"/>
        </w:rPr>
        <w:t>in</w:t>
      </w:r>
      <w:r>
        <w:rPr>
          <w:spacing w:val="-11"/>
          <w:w w:val="105"/>
        </w:rPr>
        <w:t> </w:t>
      </w:r>
      <w:r>
        <w:rPr>
          <w:spacing w:val="-3"/>
          <w:w w:val="105"/>
        </w:rPr>
        <w:t>“Depreciation</w:t>
      </w:r>
      <w:r>
        <w:rPr>
          <w:spacing w:val="-18"/>
          <w:w w:val="105"/>
        </w:rPr>
        <w:t> </w:t>
      </w:r>
      <w:r>
        <w:rPr>
          <w:w w:val="105"/>
        </w:rPr>
        <w:t>expense”</w:t>
      </w:r>
      <w:r>
        <w:rPr>
          <w:spacing w:val="-12"/>
          <w:w w:val="105"/>
        </w:rPr>
        <w:t> </w:t>
      </w:r>
      <w:r>
        <w:rPr>
          <w:spacing w:val="-3"/>
          <w:w w:val="105"/>
        </w:rPr>
        <w:t>related</w:t>
      </w:r>
      <w:r>
        <w:rPr>
          <w:spacing w:val="-14"/>
          <w:w w:val="105"/>
        </w:rPr>
        <w:t> </w:t>
      </w:r>
      <w:r>
        <w:rPr>
          <w:w w:val="105"/>
        </w:rPr>
        <w:t>to</w:t>
      </w:r>
      <w:r>
        <w:rPr>
          <w:spacing w:val="-14"/>
          <w:w w:val="105"/>
        </w:rPr>
        <w:t> </w:t>
      </w:r>
      <w:r>
        <w:rPr>
          <w:w w:val="105"/>
        </w:rPr>
        <w:t>previously</w:t>
      </w:r>
      <w:r>
        <w:rPr>
          <w:spacing w:val="-11"/>
          <w:w w:val="105"/>
        </w:rPr>
        <w:t> </w:t>
      </w:r>
      <w:r>
        <w:rPr>
          <w:w w:val="105"/>
        </w:rPr>
        <w:t>capitalized</w:t>
      </w:r>
      <w:r>
        <w:rPr>
          <w:spacing w:val="-18"/>
          <w:w w:val="105"/>
        </w:rPr>
        <w:t> </w:t>
      </w:r>
      <w:r>
        <w:rPr>
          <w:w w:val="105"/>
        </w:rPr>
        <w:t>D</w:t>
      </w:r>
      <w:r>
        <w:rPr>
          <w:spacing w:val="-18"/>
          <w:w w:val="105"/>
        </w:rPr>
        <w:t> </w:t>
      </w:r>
      <w:r>
        <w:rPr>
          <w:w w:val="105"/>
        </w:rPr>
        <w:t>checks,</w:t>
      </w:r>
      <w:r>
        <w:rPr>
          <w:spacing w:val="-14"/>
          <w:w w:val="105"/>
        </w:rPr>
        <w:t> </w:t>
      </w:r>
      <w:r>
        <w:rPr>
          <w:w w:val="105"/>
        </w:rPr>
        <w:t>compared</w:t>
      </w:r>
      <w:r>
        <w:rPr>
          <w:spacing w:val="-14"/>
          <w:w w:val="105"/>
        </w:rPr>
        <w:t> </w:t>
      </w:r>
      <w:r>
        <w:rPr>
          <w:w w:val="105"/>
        </w:rPr>
        <w:t>to</w:t>
      </w:r>
      <w:r>
        <w:rPr>
          <w:spacing w:val="-11"/>
          <w:w w:val="105"/>
        </w:rPr>
        <w:t> </w:t>
      </w:r>
      <w:r>
        <w:rPr>
          <w:w w:val="105"/>
        </w:rPr>
        <w:t>the</w:t>
      </w:r>
      <w:r>
        <w:rPr>
          <w:spacing w:val="-16"/>
          <w:w w:val="105"/>
        </w:rPr>
        <w:t> </w:t>
      </w:r>
      <w:r>
        <w:rPr>
          <w:w w:val="105"/>
        </w:rPr>
        <w:t>$47 million</w:t>
      </w:r>
      <w:r>
        <w:rPr>
          <w:spacing w:val="-14"/>
          <w:w w:val="105"/>
        </w:rPr>
        <w:t> </w:t>
      </w:r>
      <w:r>
        <w:rPr>
          <w:w w:val="105"/>
        </w:rPr>
        <w:t>in</w:t>
      </w:r>
      <w:r>
        <w:rPr>
          <w:spacing w:val="-17"/>
          <w:w w:val="105"/>
        </w:rPr>
        <w:t> </w:t>
      </w:r>
      <w:r>
        <w:rPr>
          <w:w w:val="105"/>
        </w:rPr>
        <w:t>D</w:t>
      </w:r>
      <w:r>
        <w:rPr>
          <w:spacing w:val="-21"/>
          <w:w w:val="105"/>
        </w:rPr>
        <w:t> </w:t>
      </w:r>
      <w:r>
        <w:rPr>
          <w:spacing w:val="-3"/>
          <w:w w:val="105"/>
        </w:rPr>
        <w:t>check</w:t>
      </w:r>
      <w:r>
        <w:rPr>
          <w:spacing w:val="-17"/>
          <w:w w:val="105"/>
        </w:rPr>
        <w:t> </w:t>
      </w:r>
      <w:r>
        <w:rPr>
          <w:w w:val="105"/>
        </w:rPr>
        <w:t>costs</w:t>
      </w:r>
      <w:r>
        <w:rPr>
          <w:spacing w:val="-17"/>
          <w:w w:val="105"/>
        </w:rPr>
        <w:t> </w:t>
      </w:r>
      <w:r>
        <w:rPr>
          <w:w w:val="105"/>
        </w:rPr>
        <w:t>that</w:t>
      </w:r>
      <w:r>
        <w:rPr>
          <w:spacing w:val="-21"/>
          <w:w w:val="105"/>
        </w:rPr>
        <w:t> </w:t>
      </w:r>
      <w:r>
        <w:rPr>
          <w:spacing w:val="-4"/>
          <w:w w:val="105"/>
        </w:rPr>
        <w:t>were</w:t>
      </w:r>
      <w:r>
        <w:rPr>
          <w:spacing w:val="-18"/>
          <w:w w:val="105"/>
        </w:rPr>
        <w:t> </w:t>
      </w:r>
      <w:r>
        <w:rPr>
          <w:w w:val="105"/>
        </w:rPr>
        <w:t>capitalized</w:t>
      </w:r>
      <w:r>
        <w:rPr>
          <w:spacing w:val="-17"/>
          <w:w w:val="105"/>
        </w:rPr>
        <w:t> </w:t>
      </w:r>
      <w:r>
        <w:rPr>
          <w:w w:val="105"/>
        </w:rPr>
        <w:t>during</w:t>
      </w:r>
      <w:r>
        <w:rPr>
          <w:spacing w:val="-17"/>
          <w:w w:val="105"/>
        </w:rPr>
        <w:t> </w:t>
      </w:r>
      <w:r>
        <w:rPr>
          <w:w w:val="105"/>
        </w:rPr>
        <w:t>2003.</w:t>
      </w:r>
      <w:r>
        <w:rPr>
          <w:spacing w:val="-19"/>
          <w:w w:val="105"/>
        </w:rPr>
        <w:t> </w:t>
      </w:r>
      <w:r>
        <w:rPr>
          <w:spacing w:val="-3"/>
          <w:w w:val="105"/>
        </w:rPr>
        <w:t>These</w:t>
      </w:r>
      <w:r>
        <w:rPr>
          <w:spacing w:val="-18"/>
          <w:w w:val="105"/>
        </w:rPr>
        <w:t> </w:t>
      </w:r>
      <w:r>
        <w:rPr>
          <w:w w:val="105"/>
        </w:rPr>
        <w:t>amounts</w:t>
      </w:r>
      <w:r>
        <w:rPr>
          <w:spacing w:val="-14"/>
          <w:w w:val="105"/>
        </w:rPr>
        <w:t> </w:t>
      </w:r>
      <w:r>
        <w:rPr>
          <w:w w:val="105"/>
        </w:rPr>
        <w:t>are</w:t>
      </w:r>
      <w:r>
        <w:rPr>
          <w:spacing w:val="-22"/>
          <w:w w:val="105"/>
        </w:rPr>
        <w:t> </w:t>
      </w:r>
      <w:r>
        <w:rPr>
          <w:w w:val="105"/>
        </w:rPr>
        <w:t>not</w:t>
      </w:r>
      <w:r>
        <w:rPr>
          <w:spacing w:val="-17"/>
          <w:w w:val="105"/>
        </w:rPr>
        <w:t> </w:t>
      </w:r>
      <w:r>
        <w:rPr>
          <w:w w:val="105"/>
        </w:rPr>
        <w:t>necessarily</w:t>
      </w:r>
      <w:r>
        <w:rPr>
          <w:spacing w:val="-21"/>
          <w:w w:val="105"/>
        </w:rPr>
        <w:t> </w:t>
      </w:r>
      <w:r>
        <w:rPr>
          <w:w w:val="105"/>
        </w:rPr>
        <w:t>indicative</w:t>
      </w:r>
      <w:r>
        <w:rPr>
          <w:spacing w:val="-18"/>
          <w:w w:val="105"/>
        </w:rPr>
        <w:t> </w:t>
      </w:r>
      <w:r>
        <w:rPr>
          <w:w w:val="105"/>
        </w:rPr>
        <w:t>of</w:t>
      </w:r>
      <w:r>
        <w:rPr>
          <w:spacing w:val="-18"/>
          <w:w w:val="105"/>
        </w:rPr>
        <w:t> </w:t>
      </w:r>
      <w:r>
        <w:rPr>
          <w:w w:val="105"/>
        </w:rPr>
        <w:t>those experienced</w:t>
      </w:r>
      <w:r>
        <w:rPr>
          <w:spacing w:val="-16"/>
          <w:w w:val="105"/>
        </w:rPr>
        <w:t> </w:t>
      </w:r>
      <w:r>
        <w:rPr>
          <w:w w:val="105"/>
        </w:rPr>
        <w:t>in</w:t>
      </w:r>
      <w:r>
        <w:rPr>
          <w:spacing w:val="-19"/>
          <w:w w:val="105"/>
        </w:rPr>
        <w:t> </w:t>
      </w:r>
      <w:r>
        <w:rPr>
          <w:w w:val="105"/>
        </w:rPr>
        <w:t>previous</w:t>
      </w:r>
      <w:r>
        <w:rPr>
          <w:spacing w:val="-16"/>
          <w:w w:val="105"/>
        </w:rPr>
        <w:t> </w:t>
      </w:r>
      <w:r>
        <w:rPr>
          <w:w w:val="105"/>
        </w:rPr>
        <w:t>periods</w:t>
      </w:r>
      <w:r>
        <w:rPr>
          <w:spacing w:val="-16"/>
          <w:w w:val="105"/>
        </w:rPr>
        <w:t> </w:t>
      </w:r>
      <w:r>
        <w:rPr>
          <w:w w:val="105"/>
        </w:rPr>
        <w:t>or</w:t>
      </w:r>
      <w:r>
        <w:rPr>
          <w:spacing w:val="-20"/>
          <w:w w:val="105"/>
        </w:rPr>
        <w:t> </w:t>
      </w:r>
      <w:r>
        <w:rPr>
          <w:w w:val="105"/>
        </w:rPr>
        <w:t>to</w:t>
      </w:r>
      <w:r>
        <w:rPr>
          <w:spacing w:val="-19"/>
          <w:w w:val="105"/>
        </w:rPr>
        <w:t> </w:t>
      </w:r>
      <w:r>
        <w:rPr>
          <w:w w:val="105"/>
        </w:rPr>
        <w:t>be</w:t>
      </w:r>
      <w:r>
        <w:rPr>
          <w:spacing w:val="-20"/>
          <w:w w:val="105"/>
        </w:rPr>
        <w:t> </w:t>
      </w:r>
      <w:r>
        <w:rPr>
          <w:w w:val="105"/>
        </w:rPr>
        <w:t>expected</w:t>
      </w:r>
      <w:r>
        <w:rPr>
          <w:spacing w:val="-19"/>
          <w:w w:val="105"/>
        </w:rPr>
        <w:t> </w:t>
      </w:r>
      <w:r>
        <w:rPr>
          <w:w w:val="105"/>
        </w:rPr>
        <w:t>in</w:t>
      </w:r>
      <w:r>
        <w:rPr>
          <w:spacing w:val="-16"/>
          <w:w w:val="105"/>
        </w:rPr>
        <w:t> </w:t>
      </w:r>
      <w:r>
        <w:rPr>
          <w:w w:val="105"/>
        </w:rPr>
        <w:t>future</w:t>
      </w:r>
      <w:r>
        <w:rPr>
          <w:spacing w:val="-17"/>
          <w:w w:val="105"/>
        </w:rPr>
        <w:t> </w:t>
      </w:r>
      <w:r>
        <w:rPr>
          <w:w w:val="105"/>
        </w:rPr>
        <w:t>periods,</w:t>
      </w:r>
      <w:r>
        <w:rPr>
          <w:spacing w:val="-18"/>
          <w:w w:val="105"/>
        </w:rPr>
        <w:t> </w:t>
      </w:r>
      <w:r>
        <w:rPr>
          <w:spacing w:val="-3"/>
          <w:w w:val="105"/>
        </w:rPr>
        <w:t>however,</w:t>
      </w:r>
      <w:r>
        <w:rPr>
          <w:spacing w:val="-24"/>
          <w:w w:val="105"/>
        </w:rPr>
        <w:t> </w:t>
      </w:r>
      <w:r>
        <w:rPr>
          <w:w w:val="105"/>
        </w:rPr>
        <w:t>as</w:t>
      </w:r>
      <w:r>
        <w:rPr>
          <w:spacing w:val="-19"/>
          <w:w w:val="105"/>
        </w:rPr>
        <w:t> </w:t>
      </w:r>
      <w:r>
        <w:rPr>
          <w:w w:val="105"/>
        </w:rPr>
        <w:t>maintenance</w:t>
      </w:r>
      <w:r>
        <w:rPr>
          <w:spacing w:val="-17"/>
          <w:w w:val="105"/>
        </w:rPr>
        <w:t> </w:t>
      </w:r>
      <w:r>
        <w:rPr>
          <w:w w:val="105"/>
        </w:rPr>
        <w:t>schedules</w:t>
      </w:r>
      <w:r>
        <w:rPr>
          <w:spacing w:val="-19"/>
          <w:w w:val="105"/>
        </w:rPr>
        <w:t> </w:t>
      </w:r>
      <w:r>
        <w:rPr>
          <w:spacing w:val="-4"/>
          <w:w w:val="105"/>
        </w:rPr>
        <w:t>can</w:t>
      </w:r>
      <w:r>
        <w:rPr>
          <w:spacing w:val="-16"/>
          <w:w w:val="105"/>
        </w:rPr>
        <w:t> </w:t>
      </w:r>
      <w:r>
        <w:rPr>
          <w:w w:val="105"/>
        </w:rPr>
        <w:t>vary significantly from year to year. </w:t>
      </w:r>
      <w:r>
        <w:rPr>
          <w:spacing w:val="-4"/>
          <w:w w:val="105"/>
        </w:rPr>
        <w:t>As </w:t>
      </w:r>
      <w:r>
        <w:rPr>
          <w:w w:val="105"/>
        </w:rPr>
        <w:t>of </w:t>
      </w:r>
      <w:r>
        <w:rPr>
          <w:spacing w:val="-3"/>
          <w:w w:val="105"/>
        </w:rPr>
        <w:t>December </w:t>
      </w:r>
      <w:r>
        <w:rPr>
          <w:w w:val="105"/>
        </w:rPr>
        <w:t>31, 2003, the Company </w:t>
      </w:r>
      <w:r>
        <w:rPr>
          <w:spacing w:val="-3"/>
          <w:w w:val="105"/>
        </w:rPr>
        <w:t>has </w:t>
      </w:r>
      <w:r>
        <w:rPr>
          <w:w w:val="105"/>
        </w:rPr>
        <w:t>$185 million, net of </w:t>
      </w:r>
      <w:r>
        <w:rPr>
          <w:spacing w:val="-3"/>
          <w:w w:val="105"/>
        </w:rPr>
        <w:t>related </w:t>
      </w:r>
      <w:r>
        <w:rPr>
          <w:w w:val="105"/>
        </w:rPr>
        <w:t>accumulated</w:t>
      </w:r>
      <w:r>
        <w:rPr>
          <w:spacing w:val="-12"/>
          <w:w w:val="105"/>
        </w:rPr>
        <w:t> </w:t>
      </w:r>
      <w:r>
        <w:rPr>
          <w:w w:val="105"/>
        </w:rPr>
        <w:t>depreciation,</w:t>
      </w:r>
      <w:r>
        <w:rPr>
          <w:spacing w:val="-18"/>
          <w:w w:val="105"/>
        </w:rPr>
        <w:t> </w:t>
      </w:r>
      <w:r>
        <w:rPr>
          <w:w w:val="105"/>
        </w:rPr>
        <w:t>in</w:t>
      </w:r>
      <w:r>
        <w:rPr>
          <w:spacing w:val="-12"/>
          <w:w w:val="105"/>
        </w:rPr>
        <w:t> </w:t>
      </w:r>
      <w:r>
        <w:rPr>
          <w:w w:val="105"/>
        </w:rPr>
        <w:t>capitalized</w:t>
      </w:r>
      <w:r>
        <w:rPr>
          <w:spacing w:val="-18"/>
          <w:w w:val="105"/>
        </w:rPr>
        <w:t> </w:t>
      </w:r>
      <w:r>
        <w:rPr>
          <w:w w:val="105"/>
        </w:rPr>
        <w:t>D</w:t>
      </w:r>
      <w:r>
        <w:rPr>
          <w:spacing w:val="-15"/>
          <w:w w:val="105"/>
        </w:rPr>
        <w:t> </w:t>
      </w:r>
      <w:r>
        <w:rPr>
          <w:w w:val="105"/>
        </w:rPr>
        <w:t>checks</w:t>
      </w:r>
      <w:r>
        <w:rPr>
          <w:spacing w:val="-15"/>
          <w:w w:val="105"/>
        </w:rPr>
        <w:t> </w:t>
      </w:r>
      <w:r>
        <w:rPr>
          <w:w w:val="105"/>
        </w:rPr>
        <w:t>classified</w:t>
      </w:r>
      <w:r>
        <w:rPr>
          <w:spacing w:val="-15"/>
          <w:w w:val="105"/>
        </w:rPr>
        <w:t> </w:t>
      </w:r>
      <w:r>
        <w:rPr>
          <w:spacing w:val="-3"/>
          <w:w w:val="105"/>
        </w:rPr>
        <w:t>as</w:t>
      </w:r>
      <w:r>
        <w:rPr>
          <w:spacing w:val="-12"/>
          <w:w w:val="105"/>
        </w:rPr>
        <w:t> </w:t>
      </w:r>
      <w:r>
        <w:rPr>
          <w:w w:val="105"/>
        </w:rPr>
        <w:t>“Flight</w:t>
      </w:r>
      <w:r>
        <w:rPr>
          <w:spacing w:val="-15"/>
          <w:w w:val="105"/>
        </w:rPr>
        <w:t> </w:t>
      </w:r>
      <w:r>
        <w:rPr>
          <w:w w:val="105"/>
        </w:rPr>
        <w:t>equipment”</w:t>
      </w:r>
      <w:r>
        <w:rPr>
          <w:spacing w:val="-14"/>
          <w:w w:val="105"/>
        </w:rPr>
        <w:t> </w:t>
      </w:r>
      <w:r>
        <w:rPr>
          <w:w w:val="105"/>
        </w:rPr>
        <w:t>in</w:t>
      </w:r>
      <w:r>
        <w:rPr>
          <w:spacing w:val="-18"/>
          <w:w w:val="105"/>
        </w:rPr>
        <w:t> </w:t>
      </w:r>
      <w:r>
        <w:rPr>
          <w:w w:val="105"/>
        </w:rPr>
        <w:t>the</w:t>
      </w:r>
      <w:r>
        <w:rPr>
          <w:spacing w:val="-14"/>
          <w:w w:val="105"/>
        </w:rPr>
        <w:t> </w:t>
      </w:r>
      <w:r>
        <w:rPr>
          <w:w w:val="105"/>
        </w:rPr>
        <w:t>Consolidated</w:t>
      </w:r>
      <w:r>
        <w:rPr>
          <w:spacing w:val="-15"/>
          <w:w w:val="105"/>
        </w:rPr>
        <w:t> </w:t>
      </w:r>
      <w:r>
        <w:rPr>
          <w:spacing w:val="-3"/>
          <w:w w:val="105"/>
        </w:rPr>
        <w:t>Balance </w:t>
      </w:r>
      <w:r>
        <w:rPr>
          <w:w w:val="105"/>
        </w:rPr>
        <w:t>Sheet.</w:t>
      </w:r>
      <w:r>
        <w:rPr>
          <w:spacing w:val="17"/>
          <w:w w:val="105"/>
        </w:rPr>
        <w:t> </w:t>
      </w:r>
      <w:r>
        <w:rPr>
          <w:spacing w:val="-3"/>
          <w:w w:val="105"/>
        </w:rPr>
        <w:t>Upon</w:t>
      </w:r>
      <w:r>
        <w:rPr>
          <w:spacing w:val="-17"/>
          <w:w w:val="105"/>
        </w:rPr>
        <w:t> </w:t>
      </w:r>
      <w:r>
        <w:rPr>
          <w:w w:val="105"/>
        </w:rPr>
        <w:t>the</w:t>
      </w:r>
      <w:r>
        <w:rPr>
          <w:spacing w:val="-22"/>
          <w:w w:val="105"/>
        </w:rPr>
        <w:t> </w:t>
      </w:r>
      <w:r>
        <w:rPr>
          <w:w w:val="105"/>
        </w:rPr>
        <w:t>expected</w:t>
      </w:r>
      <w:r>
        <w:rPr>
          <w:spacing w:val="-17"/>
          <w:w w:val="105"/>
        </w:rPr>
        <w:t> </w:t>
      </w:r>
      <w:r>
        <w:rPr>
          <w:w w:val="105"/>
        </w:rPr>
        <w:t>adoption</w:t>
      </w:r>
      <w:r>
        <w:rPr>
          <w:spacing w:val="-17"/>
          <w:w w:val="105"/>
        </w:rPr>
        <w:t> </w:t>
      </w:r>
      <w:r>
        <w:rPr>
          <w:w w:val="105"/>
        </w:rPr>
        <w:t>of</w:t>
      </w:r>
      <w:r>
        <w:rPr>
          <w:spacing w:val="-22"/>
          <w:w w:val="105"/>
        </w:rPr>
        <w:t> </w:t>
      </w:r>
      <w:r>
        <w:rPr>
          <w:w w:val="105"/>
        </w:rPr>
        <w:t>the</w:t>
      </w:r>
      <w:r>
        <w:rPr>
          <w:spacing w:val="-19"/>
          <w:w w:val="105"/>
        </w:rPr>
        <w:t> </w:t>
      </w:r>
      <w:r>
        <w:rPr>
          <w:spacing w:val="-4"/>
          <w:w w:val="105"/>
        </w:rPr>
        <w:t>Draft</w:t>
      </w:r>
      <w:r>
        <w:rPr>
          <w:spacing w:val="-17"/>
          <w:w w:val="105"/>
        </w:rPr>
        <w:t> </w:t>
      </w:r>
      <w:r>
        <w:rPr>
          <w:spacing w:val="-3"/>
          <w:w w:val="105"/>
        </w:rPr>
        <w:t>SOP</w:t>
      </w:r>
      <w:r>
        <w:rPr>
          <w:spacing w:val="-19"/>
          <w:w w:val="105"/>
        </w:rPr>
        <w:t> </w:t>
      </w:r>
      <w:r>
        <w:rPr>
          <w:w w:val="105"/>
        </w:rPr>
        <w:t>in</w:t>
      </w:r>
      <w:r>
        <w:rPr>
          <w:spacing w:val="-17"/>
          <w:w w:val="105"/>
        </w:rPr>
        <w:t> </w:t>
      </w:r>
      <w:r>
        <w:rPr>
          <w:w w:val="105"/>
        </w:rPr>
        <w:t>2005,</w:t>
      </w:r>
      <w:r>
        <w:rPr>
          <w:spacing w:val="-19"/>
          <w:w w:val="105"/>
        </w:rPr>
        <w:t> </w:t>
      </w:r>
      <w:r>
        <w:rPr>
          <w:w w:val="105"/>
        </w:rPr>
        <w:t>any</w:t>
      </w:r>
      <w:r>
        <w:rPr>
          <w:spacing w:val="-21"/>
          <w:w w:val="105"/>
        </w:rPr>
        <w:t> </w:t>
      </w:r>
      <w:r>
        <w:rPr>
          <w:w w:val="105"/>
        </w:rPr>
        <w:t>remaining</w:t>
      </w:r>
      <w:r>
        <w:rPr>
          <w:spacing w:val="-17"/>
          <w:w w:val="105"/>
        </w:rPr>
        <w:t> </w:t>
      </w:r>
      <w:r>
        <w:rPr>
          <w:w w:val="105"/>
        </w:rPr>
        <w:t>unamortized</w:t>
      </w:r>
      <w:r>
        <w:rPr>
          <w:spacing w:val="-17"/>
          <w:w w:val="105"/>
        </w:rPr>
        <w:t> </w:t>
      </w:r>
      <w:r>
        <w:rPr>
          <w:w w:val="105"/>
        </w:rPr>
        <w:t>costs</w:t>
      </w:r>
      <w:r>
        <w:rPr>
          <w:spacing w:val="-17"/>
          <w:w w:val="105"/>
        </w:rPr>
        <w:t> </w:t>
      </w:r>
      <w:r>
        <w:rPr>
          <w:w w:val="105"/>
        </w:rPr>
        <w:t>of</w:t>
      </w:r>
      <w:r>
        <w:rPr>
          <w:spacing w:val="-19"/>
          <w:w w:val="105"/>
        </w:rPr>
        <w:t> </w:t>
      </w:r>
      <w:r>
        <w:rPr>
          <w:w w:val="105"/>
        </w:rPr>
        <w:t>planned</w:t>
      </w:r>
      <w:r>
        <w:rPr>
          <w:spacing w:val="-17"/>
          <w:w w:val="105"/>
        </w:rPr>
        <w:t> </w:t>
      </w:r>
      <w:r>
        <w:rPr>
          <w:w w:val="105"/>
        </w:rPr>
        <w:t>major maintenance activities </w:t>
      </w:r>
      <w:r>
        <w:rPr>
          <w:spacing w:val="-3"/>
          <w:w w:val="105"/>
        </w:rPr>
        <w:t>(D </w:t>
      </w:r>
      <w:r>
        <w:rPr>
          <w:w w:val="105"/>
        </w:rPr>
        <w:t>checks) </w:t>
      </w:r>
      <w:r>
        <w:rPr>
          <w:spacing w:val="-3"/>
          <w:w w:val="105"/>
        </w:rPr>
        <w:t>would </w:t>
      </w:r>
      <w:r>
        <w:rPr>
          <w:w w:val="105"/>
        </w:rPr>
        <w:t>be expensed </w:t>
      </w:r>
      <w:r>
        <w:rPr>
          <w:spacing w:val="-3"/>
          <w:w w:val="105"/>
        </w:rPr>
        <w:t>as </w:t>
      </w:r>
      <w:r>
        <w:rPr>
          <w:w w:val="105"/>
        </w:rPr>
        <w:t>a cumulative </w:t>
      </w:r>
      <w:r>
        <w:rPr>
          <w:spacing w:val="-4"/>
          <w:w w:val="105"/>
        </w:rPr>
        <w:t>effect </w:t>
      </w:r>
      <w:r>
        <w:rPr>
          <w:w w:val="105"/>
        </w:rPr>
        <w:t>of accounting change adjustment (charge)</w:t>
      </w:r>
      <w:r>
        <w:rPr>
          <w:spacing w:val="-27"/>
          <w:w w:val="105"/>
        </w:rPr>
        <w:t> </w:t>
      </w:r>
      <w:r>
        <w:rPr>
          <w:w w:val="105"/>
        </w:rPr>
        <w:t>in</w:t>
      </w:r>
      <w:r>
        <w:rPr>
          <w:spacing w:val="-23"/>
          <w:w w:val="105"/>
        </w:rPr>
        <w:t> </w:t>
      </w:r>
      <w:r>
        <w:rPr>
          <w:w w:val="105"/>
        </w:rPr>
        <w:t>the</w:t>
      </w:r>
      <w:r>
        <w:rPr>
          <w:spacing w:val="-24"/>
          <w:w w:val="105"/>
        </w:rPr>
        <w:t> </w:t>
      </w:r>
      <w:r>
        <w:rPr>
          <w:w w:val="105"/>
        </w:rPr>
        <w:t>first</w:t>
      </w:r>
      <w:r>
        <w:rPr>
          <w:spacing w:val="-25"/>
          <w:w w:val="105"/>
        </w:rPr>
        <w:t> </w:t>
      </w:r>
      <w:r>
        <w:rPr>
          <w:w w:val="105"/>
        </w:rPr>
        <w:t>quarter</w:t>
      </w:r>
      <w:r>
        <w:rPr>
          <w:spacing w:val="-27"/>
          <w:w w:val="105"/>
        </w:rPr>
        <w:t> </w:t>
      </w:r>
      <w:r>
        <w:rPr>
          <w:w w:val="105"/>
        </w:rPr>
        <w:t>of</w:t>
      </w:r>
      <w:r>
        <w:rPr>
          <w:spacing w:val="-27"/>
          <w:w w:val="105"/>
        </w:rPr>
        <w:t> </w:t>
      </w:r>
      <w:r>
        <w:rPr>
          <w:w w:val="105"/>
        </w:rPr>
        <w:t>that</w:t>
      </w:r>
      <w:r>
        <w:rPr>
          <w:spacing w:val="-25"/>
          <w:w w:val="105"/>
        </w:rPr>
        <w:t> </w:t>
      </w:r>
      <w:r>
        <w:rPr>
          <w:w w:val="105"/>
        </w:rPr>
        <w:t>year.</w:t>
      </w:r>
    </w:p>
    <w:p>
      <w:pPr>
        <w:pStyle w:val="BodyText"/>
        <w:spacing w:line="218" w:lineRule="auto" w:before="221"/>
        <w:ind w:left="115" w:right="108"/>
        <w:jc w:val="both"/>
      </w:pPr>
      <w:r>
        <w:rPr>
          <w:spacing w:val="-2"/>
          <w:w w:val="105"/>
        </w:rPr>
        <w:t>The</w:t>
      </w:r>
      <w:r>
        <w:rPr>
          <w:spacing w:val="-8"/>
          <w:w w:val="105"/>
        </w:rPr>
        <w:t> </w:t>
      </w:r>
      <w:r>
        <w:rPr>
          <w:spacing w:val="-4"/>
          <w:w w:val="105"/>
        </w:rPr>
        <w:t>Draft</w:t>
      </w:r>
      <w:r>
        <w:rPr>
          <w:spacing w:val="-3"/>
          <w:w w:val="105"/>
        </w:rPr>
        <w:t> SOP</w:t>
      </w:r>
      <w:r>
        <w:rPr>
          <w:spacing w:val="-9"/>
          <w:w w:val="105"/>
        </w:rPr>
        <w:t> </w:t>
      </w:r>
      <w:r>
        <w:rPr>
          <w:w w:val="105"/>
        </w:rPr>
        <w:t>also</w:t>
      </w:r>
      <w:r>
        <w:rPr>
          <w:spacing w:val="-3"/>
          <w:w w:val="105"/>
        </w:rPr>
        <w:t> </w:t>
      </w:r>
      <w:r>
        <w:rPr>
          <w:w w:val="105"/>
        </w:rPr>
        <w:t>requires,</w:t>
      </w:r>
      <w:r>
        <w:rPr>
          <w:spacing w:val="-6"/>
          <w:w w:val="105"/>
        </w:rPr>
        <w:t> </w:t>
      </w:r>
      <w:r>
        <w:rPr>
          <w:spacing w:val="-3"/>
          <w:w w:val="105"/>
        </w:rPr>
        <w:t>among </w:t>
      </w:r>
      <w:r>
        <w:rPr>
          <w:w w:val="105"/>
        </w:rPr>
        <w:t>other</w:t>
      </w:r>
      <w:r>
        <w:rPr>
          <w:spacing w:val="-9"/>
          <w:w w:val="105"/>
        </w:rPr>
        <w:t> </w:t>
      </w:r>
      <w:r>
        <w:rPr>
          <w:w w:val="105"/>
        </w:rPr>
        <w:t>things,</w:t>
      </w:r>
      <w:r>
        <w:rPr>
          <w:spacing w:val="-10"/>
          <w:w w:val="105"/>
        </w:rPr>
        <w:t> </w:t>
      </w:r>
      <w:r>
        <w:rPr>
          <w:w w:val="105"/>
        </w:rPr>
        <w:t>management</w:t>
      </w:r>
      <w:r>
        <w:rPr>
          <w:spacing w:val="-3"/>
          <w:w w:val="105"/>
        </w:rPr>
        <w:t> </w:t>
      </w:r>
      <w:r>
        <w:rPr>
          <w:w w:val="105"/>
        </w:rPr>
        <w:t>to</w:t>
      </w:r>
      <w:r>
        <w:rPr>
          <w:spacing w:val="-3"/>
          <w:w w:val="105"/>
        </w:rPr>
        <w:t> </w:t>
      </w:r>
      <w:r>
        <w:rPr>
          <w:w w:val="105"/>
        </w:rPr>
        <w:t>establish</w:t>
      </w:r>
      <w:r>
        <w:rPr>
          <w:spacing w:val="-7"/>
          <w:w w:val="105"/>
        </w:rPr>
        <w:t> </w:t>
      </w:r>
      <w:r>
        <w:rPr>
          <w:w w:val="105"/>
        </w:rPr>
        <w:t>a</w:t>
      </w:r>
      <w:r>
        <w:rPr>
          <w:spacing w:val="-5"/>
          <w:w w:val="105"/>
        </w:rPr>
        <w:t> </w:t>
      </w:r>
      <w:r>
        <w:rPr>
          <w:w w:val="105"/>
        </w:rPr>
        <w:t>level</w:t>
      </w:r>
      <w:r>
        <w:rPr>
          <w:spacing w:val="-7"/>
          <w:w w:val="105"/>
        </w:rPr>
        <w:t> </w:t>
      </w:r>
      <w:r>
        <w:rPr>
          <w:w w:val="105"/>
        </w:rPr>
        <w:t>of</w:t>
      </w:r>
      <w:r>
        <w:rPr>
          <w:spacing w:val="-5"/>
          <w:w w:val="105"/>
        </w:rPr>
        <w:t> </w:t>
      </w:r>
      <w:r>
        <w:rPr>
          <w:spacing w:val="-3"/>
          <w:w w:val="105"/>
        </w:rPr>
        <w:t>“component”</w:t>
      </w:r>
      <w:r>
        <w:rPr>
          <w:spacing w:val="-5"/>
          <w:w w:val="105"/>
        </w:rPr>
        <w:t> </w:t>
      </w:r>
      <w:r>
        <w:rPr>
          <w:w w:val="105"/>
        </w:rPr>
        <w:t>accounting, </w:t>
      </w:r>
      <w:r>
        <w:rPr>
          <w:spacing w:val="-3"/>
          <w:w w:val="105"/>
        </w:rPr>
        <w:t>as </w:t>
      </w:r>
      <w:r>
        <w:rPr>
          <w:w w:val="105"/>
        </w:rPr>
        <w:t>defined, </w:t>
      </w:r>
      <w:r>
        <w:rPr>
          <w:spacing w:val="-3"/>
          <w:w w:val="105"/>
        </w:rPr>
        <w:t>for </w:t>
      </w:r>
      <w:r>
        <w:rPr>
          <w:w w:val="105"/>
        </w:rPr>
        <w:t>property and equipment. The </w:t>
      </w:r>
      <w:r>
        <w:rPr>
          <w:spacing w:val="-4"/>
          <w:w w:val="105"/>
        </w:rPr>
        <w:t>Draft </w:t>
      </w:r>
      <w:r>
        <w:rPr>
          <w:spacing w:val="-3"/>
          <w:w w:val="105"/>
        </w:rPr>
        <w:t>SOP </w:t>
      </w:r>
      <w:r>
        <w:rPr>
          <w:w w:val="105"/>
        </w:rPr>
        <w:t>defines a component as a tangible part of property or equipment that is accounted </w:t>
      </w:r>
      <w:r>
        <w:rPr>
          <w:spacing w:val="-3"/>
          <w:w w:val="105"/>
        </w:rPr>
        <w:t>for separately </w:t>
      </w:r>
      <w:r>
        <w:rPr>
          <w:w w:val="105"/>
        </w:rPr>
        <w:t>and is </w:t>
      </w:r>
      <w:r>
        <w:rPr>
          <w:spacing w:val="-3"/>
          <w:w w:val="105"/>
        </w:rPr>
        <w:t>expected </w:t>
      </w:r>
      <w:r>
        <w:rPr>
          <w:w w:val="105"/>
        </w:rPr>
        <w:t>to provide benefit for more than one year. </w:t>
      </w:r>
      <w:r>
        <w:rPr>
          <w:spacing w:val="-4"/>
          <w:w w:val="105"/>
        </w:rPr>
        <w:t>Each </w:t>
      </w:r>
      <w:r>
        <w:rPr>
          <w:w w:val="105"/>
        </w:rPr>
        <w:t>component of property and equipment shall be depreciated over its own separate useful life, </w:t>
      </w:r>
      <w:r>
        <w:rPr>
          <w:spacing w:val="-3"/>
          <w:w w:val="105"/>
        </w:rPr>
        <w:t>and </w:t>
      </w:r>
      <w:r>
        <w:rPr>
          <w:w w:val="105"/>
        </w:rPr>
        <w:t>once it </w:t>
      </w:r>
      <w:r>
        <w:rPr>
          <w:spacing w:val="-3"/>
          <w:w w:val="105"/>
        </w:rPr>
        <w:t>is </w:t>
      </w:r>
      <w:r>
        <w:rPr>
          <w:w w:val="105"/>
        </w:rPr>
        <w:t>replaced with a new component, </w:t>
      </w:r>
      <w:r>
        <w:rPr>
          <w:spacing w:val="-3"/>
          <w:w w:val="105"/>
        </w:rPr>
        <w:t>any </w:t>
      </w:r>
      <w:r>
        <w:rPr>
          <w:w w:val="105"/>
        </w:rPr>
        <w:t>remaining value would be </w:t>
      </w:r>
      <w:r>
        <w:rPr>
          <w:spacing w:val="-3"/>
          <w:w w:val="105"/>
        </w:rPr>
        <w:t>written off </w:t>
      </w:r>
      <w:r>
        <w:rPr>
          <w:w w:val="105"/>
        </w:rPr>
        <w:t>to expense in the period of </w:t>
      </w:r>
      <w:r>
        <w:rPr>
          <w:spacing w:val="-3"/>
          <w:w w:val="105"/>
        </w:rPr>
        <w:t>replacement. </w:t>
      </w:r>
      <w:r>
        <w:rPr>
          <w:w w:val="105"/>
        </w:rPr>
        <w:t>Although the </w:t>
      </w:r>
      <w:r>
        <w:rPr>
          <w:spacing w:val="-3"/>
          <w:w w:val="105"/>
        </w:rPr>
        <w:t>Company </w:t>
      </w:r>
      <w:r>
        <w:rPr>
          <w:w w:val="105"/>
        </w:rPr>
        <w:t>is still studying the </w:t>
      </w:r>
      <w:r>
        <w:rPr>
          <w:spacing w:val="-3"/>
          <w:w w:val="105"/>
        </w:rPr>
        <w:t>Draft </w:t>
      </w:r>
      <w:r>
        <w:rPr>
          <w:spacing w:val="-5"/>
          <w:w w:val="105"/>
        </w:rPr>
        <w:t>SOP </w:t>
      </w:r>
      <w:r>
        <w:rPr>
          <w:w w:val="105"/>
        </w:rPr>
        <w:t>as it relates to component accounting, Southwest does not expect its future results of operation or financial position to be materially </w:t>
      </w:r>
      <w:r>
        <w:rPr>
          <w:spacing w:val="-3"/>
          <w:w w:val="105"/>
        </w:rPr>
        <w:t>affected </w:t>
      </w:r>
      <w:r>
        <w:rPr>
          <w:w w:val="105"/>
        </w:rPr>
        <w:t>by the </w:t>
      </w:r>
      <w:r>
        <w:rPr/>
        <w:t>application of component</w:t>
      </w:r>
      <w:r>
        <w:rPr>
          <w:spacing w:val="18"/>
        </w:rPr>
        <w:t> </w:t>
      </w:r>
      <w:r>
        <w:rPr/>
        <w:t>accounting.</w:t>
      </w:r>
    </w:p>
    <w:p>
      <w:pPr>
        <w:pStyle w:val="BodyText"/>
        <w:spacing w:line="218" w:lineRule="auto" w:before="221"/>
        <w:ind w:left="115" w:right="108"/>
        <w:jc w:val="both"/>
      </w:pPr>
      <w:r>
        <w:rPr>
          <w:spacing w:val="-3"/>
          <w:w w:val="105"/>
        </w:rPr>
        <w:t>In </w:t>
      </w:r>
      <w:r>
        <w:rPr>
          <w:w w:val="105"/>
        </w:rPr>
        <w:t>January 2003, </w:t>
      </w:r>
      <w:r>
        <w:rPr>
          <w:spacing w:val="-3"/>
          <w:w w:val="105"/>
        </w:rPr>
        <w:t>FASB </w:t>
      </w:r>
      <w:r>
        <w:rPr>
          <w:w w:val="105"/>
        </w:rPr>
        <w:t>issued Interpretation </w:t>
      </w:r>
      <w:r>
        <w:rPr>
          <w:spacing w:val="-4"/>
          <w:w w:val="105"/>
        </w:rPr>
        <w:t>No. </w:t>
      </w:r>
      <w:r>
        <w:rPr>
          <w:w w:val="105"/>
        </w:rPr>
        <w:t>46, “Consolidation of </w:t>
      </w:r>
      <w:r>
        <w:rPr>
          <w:spacing w:val="-3"/>
          <w:w w:val="105"/>
        </w:rPr>
        <w:t>Variable Interest </w:t>
      </w:r>
      <w:r>
        <w:rPr>
          <w:w w:val="105"/>
        </w:rPr>
        <w:t>Entities” </w:t>
      </w:r>
      <w:r>
        <w:rPr>
          <w:spacing w:val="-3"/>
          <w:w w:val="105"/>
        </w:rPr>
        <w:t>(FIN 46) </w:t>
      </w:r>
      <w:r>
        <w:rPr>
          <w:w w:val="105"/>
        </w:rPr>
        <w:t>which requires the consolidation of </w:t>
      </w:r>
      <w:r>
        <w:rPr>
          <w:spacing w:val="-3"/>
          <w:w w:val="105"/>
        </w:rPr>
        <w:t>variable </w:t>
      </w:r>
      <w:r>
        <w:rPr>
          <w:w w:val="105"/>
        </w:rPr>
        <w:t>interest entities, </w:t>
      </w:r>
      <w:r>
        <w:rPr>
          <w:spacing w:val="-3"/>
          <w:w w:val="105"/>
        </w:rPr>
        <w:t>as </w:t>
      </w:r>
      <w:r>
        <w:rPr>
          <w:w w:val="105"/>
        </w:rPr>
        <w:t>defined. FIN 46, </w:t>
      </w:r>
      <w:r>
        <w:rPr>
          <w:spacing w:val="-3"/>
          <w:w w:val="105"/>
        </w:rPr>
        <w:t>as </w:t>
      </w:r>
      <w:r>
        <w:rPr>
          <w:w w:val="105"/>
        </w:rPr>
        <w:t>revised, is applicable </w:t>
      </w:r>
      <w:r>
        <w:rPr>
          <w:spacing w:val="-3"/>
          <w:w w:val="105"/>
        </w:rPr>
        <w:t>to </w:t>
      </w:r>
      <w:r>
        <w:rPr>
          <w:w w:val="105"/>
        </w:rPr>
        <w:t>financial</w:t>
      </w:r>
      <w:r>
        <w:rPr>
          <w:spacing w:val="-16"/>
          <w:w w:val="105"/>
        </w:rPr>
        <w:t> </w:t>
      </w:r>
      <w:r>
        <w:rPr>
          <w:w w:val="105"/>
        </w:rPr>
        <w:t>statements</w:t>
      </w:r>
      <w:r>
        <w:rPr>
          <w:spacing w:val="-12"/>
          <w:w w:val="105"/>
        </w:rPr>
        <w:t> </w:t>
      </w:r>
      <w:r>
        <w:rPr>
          <w:w w:val="105"/>
        </w:rPr>
        <w:t>of</w:t>
      </w:r>
      <w:r>
        <w:rPr>
          <w:spacing w:val="-17"/>
          <w:w w:val="105"/>
        </w:rPr>
        <w:t> </w:t>
      </w:r>
      <w:r>
        <w:rPr>
          <w:w w:val="105"/>
        </w:rPr>
        <w:t>companies</w:t>
      </w:r>
      <w:r>
        <w:rPr>
          <w:spacing w:val="-16"/>
          <w:w w:val="105"/>
        </w:rPr>
        <w:t> </w:t>
      </w:r>
      <w:r>
        <w:rPr>
          <w:w w:val="105"/>
        </w:rPr>
        <w:t>that</w:t>
      </w:r>
      <w:r>
        <w:rPr>
          <w:spacing w:val="-12"/>
          <w:w w:val="105"/>
        </w:rPr>
        <w:t> </w:t>
      </w:r>
      <w:r>
        <w:rPr>
          <w:w w:val="105"/>
        </w:rPr>
        <w:t>have</w:t>
      </w:r>
      <w:r>
        <w:rPr>
          <w:spacing w:val="-17"/>
          <w:w w:val="105"/>
        </w:rPr>
        <w:t> </w:t>
      </w:r>
      <w:r>
        <w:rPr>
          <w:w w:val="105"/>
        </w:rPr>
        <w:t>interests</w:t>
      </w:r>
      <w:r>
        <w:rPr>
          <w:spacing w:val="-16"/>
          <w:w w:val="105"/>
        </w:rPr>
        <w:t> </w:t>
      </w:r>
      <w:r>
        <w:rPr>
          <w:w w:val="105"/>
        </w:rPr>
        <w:t>in</w:t>
      </w:r>
      <w:r>
        <w:rPr>
          <w:spacing w:val="-19"/>
          <w:w w:val="105"/>
        </w:rPr>
        <w:t> </w:t>
      </w:r>
      <w:r>
        <w:rPr>
          <w:w w:val="105"/>
        </w:rPr>
        <w:t>“special</w:t>
      </w:r>
      <w:r>
        <w:rPr>
          <w:spacing w:val="-16"/>
          <w:w w:val="105"/>
        </w:rPr>
        <w:t> </w:t>
      </w:r>
      <w:r>
        <w:rPr>
          <w:w w:val="105"/>
        </w:rPr>
        <w:t>purpose</w:t>
      </w:r>
      <w:r>
        <w:rPr>
          <w:spacing w:val="-14"/>
          <w:w w:val="105"/>
        </w:rPr>
        <w:t> </w:t>
      </w:r>
      <w:r>
        <w:rPr>
          <w:w w:val="105"/>
        </w:rPr>
        <w:t>entities”,</w:t>
      </w:r>
      <w:r>
        <w:rPr>
          <w:spacing w:val="-18"/>
          <w:w w:val="105"/>
        </w:rPr>
        <w:t> </w:t>
      </w:r>
      <w:r>
        <w:rPr>
          <w:spacing w:val="-3"/>
          <w:w w:val="105"/>
        </w:rPr>
        <w:t>as</w:t>
      </w:r>
      <w:r>
        <w:rPr>
          <w:spacing w:val="-16"/>
          <w:w w:val="105"/>
        </w:rPr>
        <w:t> </w:t>
      </w:r>
      <w:r>
        <w:rPr>
          <w:w w:val="105"/>
        </w:rPr>
        <w:t>defined,</w:t>
      </w:r>
      <w:r>
        <w:rPr>
          <w:spacing w:val="-18"/>
          <w:w w:val="105"/>
        </w:rPr>
        <w:t> </w:t>
      </w:r>
      <w:r>
        <w:rPr>
          <w:w w:val="105"/>
        </w:rPr>
        <w:t>during</w:t>
      </w:r>
      <w:r>
        <w:rPr>
          <w:spacing w:val="-16"/>
          <w:w w:val="105"/>
        </w:rPr>
        <w:t> </w:t>
      </w:r>
      <w:r>
        <w:rPr>
          <w:w w:val="105"/>
        </w:rPr>
        <w:t>2003.</w:t>
      </w:r>
      <w:r>
        <w:rPr>
          <w:spacing w:val="24"/>
          <w:w w:val="105"/>
        </w:rPr>
        <w:t> </w:t>
      </w:r>
      <w:r>
        <w:rPr>
          <w:spacing w:val="-5"/>
          <w:w w:val="105"/>
        </w:rPr>
        <w:t>FIN </w:t>
      </w:r>
      <w:r>
        <w:rPr>
          <w:w w:val="105"/>
        </w:rPr>
        <w:t>46 is applicable to financial statements of companies that have interests in all other types of entities, in </w:t>
      </w:r>
      <w:r>
        <w:rPr>
          <w:spacing w:val="-3"/>
          <w:w w:val="105"/>
        </w:rPr>
        <w:t>first </w:t>
      </w:r>
      <w:r>
        <w:rPr>
          <w:w w:val="105"/>
        </w:rPr>
        <w:t>quarter 2004. </w:t>
      </w:r>
      <w:r>
        <w:rPr>
          <w:spacing w:val="-4"/>
          <w:w w:val="105"/>
        </w:rPr>
        <w:t>However, </w:t>
      </w:r>
      <w:r>
        <w:rPr>
          <w:w w:val="105"/>
        </w:rPr>
        <w:t>disclosures </w:t>
      </w:r>
      <w:r>
        <w:rPr>
          <w:spacing w:val="-4"/>
          <w:w w:val="105"/>
        </w:rPr>
        <w:t>are </w:t>
      </w:r>
      <w:r>
        <w:rPr>
          <w:w w:val="105"/>
        </w:rPr>
        <w:t>required currently if the Company expects to consolidate any variable interest entities. </w:t>
      </w:r>
      <w:r>
        <w:rPr>
          <w:spacing w:val="-4"/>
          <w:w w:val="105"/>
        </w:rPr>
        <w:t>The </w:t>
      </w:r>
      <w:r>
        <w:rPr>
          <w:w w:val="105"/>
        </w:rPr>
        <w:t>Company does not currently believe that any </w:t>
      </w:r>
      <w:r>
        <w:rPr>
          <w:spacing w:val="-3"/>
          <w:w w:val="105"/>
        </w:rPr>
        <w:t>material </w:t>
      </w:r>
      <w:r>
        <w:rPr>
          <w:w w:val="105"/>
        </w:rPr>
        <w:t>entities </w:t>
      </w:r>
      <w:r>
        <w:rPr>
          <w:spacing w:val="-3"/>
          <w:w w:val="105"/>
        </w:rPr>
        <w:t>will </w:t>
      </w:r>
      <w:r>
        <w:rPr>
          <w:w w:val="105"/>
        </w:rPr>
        <w:t>be consolidated </w:t>
      </w:r>
      <w:r>
        <w:rPr>
          <w:spacing w:val="-3"/>
          <w:w w:val="105"/>
        </w:rPr>
        <w:t>with </w:t>
      </w:r>
      <w:r>
        <w:rPr>
          <w:w w:val="105"/>
        </w:rPr>
        <w:t>Southwest</w:t>
      </w:r>
      <w:r>
        <w:rPr>
          <w:spacing w:val="-21"/>
          <w:w w:val="105"/>
        </w:rPr>
        <w:t> </w:t>
      </w:r>
      <w:r>
        <w:rPr>
          <w:spacing w:val="-3"/>
          <w:w w:val="105"/>
        </w:rPr>
        <w:t>as</w:t>
      </w:r>
      <w:r>
        <w:rPr>
          <w:spacing w:val="-21"/>
          <w:w w:val="105"/>
        </w:rPr>
        <w:t> </w:t>
      </w:r>
      <w:r>
        <w:rPr>
          <w:w w:val="105"/>
        </w:rPr>
        <w:t>a</w:t>
      </w:r>
      <w:r>
        <w:rPr>
          <w:spacing w:val="-22"/>
          <w:w w:val="105"/>
        </w:rPr>
        <w:t> </w:t>
      </w:r>
      <w:r>
        <w:rPr>
          <w:w w:val="105"/>
        </w:rPr>
        <w:t>result</w:t>
      </w:r>
      <w:r>
        <w:rPr>
          <w:spacing w:val="-23"/>
          <w:w w:val="105"/>
        </w:rPr>
        <w:t> </w:t>
      </w:r>
      <w:r>
        <w:rPr>
          <w:w w:val="105"/>
        </w:rPr>
        <w:t>of</w:t>
      </w:r>
      <w:r>
        <w:rPr>
          <w:spacing w:val="-26"/>
          <w:w w:val="105"/>
        </w:rPr>
        <w:t> </w:t>
      </w:r>
      <w:r>
        <w:rPr>
          <w:w w:val="105"/>
        </w:rPr>
        <w:t>FIN</w:t>
      </w:r>
      <w:r>
        <w:rPr>
          <w:spacing w:val="-23"/>
          <w:w w:val="105"/>
        </w:rPr>
        <w:t> </w:t>
      </w:r>
      <w:r>
        <w:rPr>
          <w:w w:val="105"/>
        </w:rPr>
        <w:t>46.</w:t>
      </w:r>
    </w:p>
    <w:p>
      <w:pPr>
        <w:pStyle w:val="Heading2"/>
        <w:numPr>
          <w:ilvl w:val="0"/>
          <w:numId w:val="5"/>
        </w:numPr>
        <w:tabs>
          <w:tab w:pos="323" w:val="left" w:leader="none"/>
        </w:tabs>
        <w:spacing w:line="240" w:lineRule="auto" w:before="203" w:after="0"/>
        <w:ind w:left="322" w:right="0" w:hanging="206"/>
        <w:jc w:val="both"/>
      </w:pPr>
      <w:r>
        <w:rPr>
          <w:color w:val="0000FF"/>
          <w:spacing w:val="-5"/>
        </w:rPr>
        <w:t>ACCOUNTING </w:t>
      </w:r>
      <w:r>
        <w:rPr>
          <w:color w:val="0000FF"/>
          <w:spacing w:val="24"/>
        </w:rPr>
        <w:t> </w:t>
      </w:r>
      <w:r>
        <w:rPr>
          <w:color w:val="0000FF"/>
          <w:spacing w:val="-4"/>
        </w:rPr>
        <w:t>CHANGES</w:t>
      </w:r>
    </w:p>
    <w:p>
      <w:pPr>
        <w:pStyle w:val="BodyText"/>
        <w:spacing w:line="218" w:lineRule="auto" w:before="212"/>
        <w:ind w:left="115" w:right="105"/>
        <w:jc w:val="both"/>
      </w:pPr>
      <w:r>
        <w:rPr>
          <w:spacing w:val="-3"/>
          <w:w w:val="105"/>
        </w:rPr>
        <w:t>Effective </w:t>
      </w:r>
      <w:r>
        <w:rPr>
          <w:w w:val="105"/>
        </w:rPr>
        <w:t>January 1, 2001, the Company adopted </w:t>
      </w:r>
      <w:r>
        <w:rPr>
          <w:spacing w:val="-4"/>
          <w:w w:val="105"/>
        </w:rPr>
        <w:t>SFAS </w:t>
      </w:r>
      <w:r>
        <w:rPr>
          <w:w w:val="105"/>
        </w:rPr>
        <w:t>133. </w:t>
      </w:r>
      <w:r>
        <w:rPr>
          <w:spacing w:val="-4"/>
          <w:w w:val="105"/>
        </w:rPr>
        <w:t>SFAS </w:t>
      </w:r>
      <w:r>
        <w:rPr>
          <w:w w:val="105"/>
        </w:rPr>
        <w:t>133 requires the Company to </w:t>
      </w:r>
      <w:r>
        <w:rPr>
          <w:spacing w:val="-3"/>
          <w:w w:val="105"/>
        </w:rPr>
        <w:t>record </w:t>
      </w:r>
      <w:r>
        <w:rPr>
          <w:w w:val="105"/>
        </w:rPr>
        <w:t>all financial</w:t>
      </w:r>
      <w:r>
        <w:rPr>
          <w:spacing w:val="-8"/>
          <w:w w:val="105"/>
        </w:rPr>
        <w:t> </w:t>
      </w:r>
      <w:r>
        <w:rPr>
          <w:w w:val="105"/>
        </w:rPr>
        <w:t>derivative</w:t>
      </w:r>
      <w:r>
        <w:rPr>
          <w:spacing w:val="-9"/>
          <w:w w:val="105"/>
        </w:rPr>
        <w:t> </w:t>
      </w:r>
      <w:r>
        <w:rPr>
          <w:w w:val="105"/>
        </w:rPr>
        <w:t>instruments</w:t>
      </w:r>
      <w:r>
        <w:rPr>
          <w:spacing w:val="-11"/>
          <w:w w:val="105"/>
        </w:rPr>
        <w:t> </w:t>
      </w:r>
      <w:r>
        <w:rPr>
          <w:w w:val="105"/>
        </w:rPr>
        <w:t>on</w:t>
      </w:r>
      <w:r>
        <w:rPr>
          <w:spacing w:val="-8"/>
          <w:w w:val="105"/>
        </w:rPr>
        <w:t> </w:t>
      </w:r>
      <w:r>
        <w:rPr>
          <w:w w:val="105"/>
        </w:rPr>
        <w:t>its</w:t>
      </w:r>
      <w:r>
        <w:rPr>
          <w:spacing w:val="-4"/>
          <w:w w:val="105"/>
        </w:rPr>
        <w:t> </w:t>
      </w:r>
      <w:r>
        <w:rPr>
          <w:w w:val="105"/>
        </w:rPr>
        <w:t>balance</w:t>
      </w:r>
      <w:r>
        <w:rPr>
          <w:spacing w:val="-9"/>
          <w:w w:val="105"/>
        </w:rPr>
        <w:t> </w:t>
      </w:r>
      <w:r>
        <w:rPr>
          <w:w w:val="105"/>
        </w:rPr>
        <w:t>sheet</w:t>
      </w:r>
      <w:r>
        <w:rPr>
          <w:spacing w:val="-11"/>
          <w:w w:val="105"/>
        </w:rPr>
        <w:t> </w:t>
      </w:r>
      <w:r>
        <w:rPr>
          <w:w w:val="105"/>
        </w:rPr>
        <w:t>at</w:t>
      </w:r>
      <w:r>
        <w:rPr>
          <w:spacing w:val="-11"/>
          <w:w w:val="105"/>
        </w:rPr>
        <w:t> </w:t>
      </w:r>
      <w:r>
        <w:rPr>
          <w:w w:val="105"/>
        </w:rPr>
        <w:t>fair</w:t>
      </w:r>
      <w:r>
        <w:rPr>
          <w:spacing w:val="-13"/>
          <w:w w:val="105"/>
        </w:rPr>
        <w:t> </w:t>
      </w:r>
      <w:r>
        <w:rPr>
          <w:w w:val="105"/>
        </w:rPr>
        <w:t>value.</w:t>
      </w:r>
      <w:r>
        <w:rPr>
          <w:spacing w:val="40"/>
          <w:w w:val="105"/>
        </w:rPr>
        <w:t> </w:t>
      </w:r>
      <w:r>
        <w:rPr>
          <w:spacing w:val="-3"/>
          <w:w w:val="105"/>
        </w:rPr>
        <w:t>Derivatives</w:t>
      </w:r>
      <w:r>
        <w:rPr>
          <w:spacing w:val="-8"/>
          <w:w w:val="105"/>
        </w:rPr>
        <w:t> </w:t>
      </w:r>
      <w:r>
        <w:rPr>
          <w:w w:val="105"/>
        </w:rPr>
        <w:t>that</w:t>
      </w:r>
      <w:r>
        <w:rPr>
          <w:spacing w:val="-8"/>
          <w:w w:val="105"/>
        </w:rPr>
        <w:t> </w:t>
      </w:r>
      <w:r>
        <w:rPr>
          <w:spacing w:val="-4"/>
          <w:w w:val="105"/>
        </w:rPr>
        <w:t>are</w:t>
      </w:r>
      <w:r>
        <w:rPr>
          <w:spacing w:val="-9"/>
          <w:w w:val="105"/>
        </w:rPr>
        <w:t> </w:t>
      </w:r>
      <w:r>
        <w:rPr>
          <w:w w:val="105"/>
        </w:rPr>
        <w:t>not</w:t>
      </w:r>
      <w:r>
        <w:rPr>
          <w:spacing w:val="-4"/>
          <w:w w:val="105"/>
        </w:rPr>
        <w:t> </w:t>
      </w:r>
      <w:r>
        <w:rPr>
          <w:w w:val="105"/>
        </w:rPr>
        <w:t>designated</w:t>
      </w:r>
      <w:r>
        <w:rPr>
          <w:spacing w:val="-8"/>
          <w:w w:val="105"/>
        </w:rPr>
        <w:t> </w:t>
      </w:r>
      <w:r>
        <w:rPr>
          <w:spacing w:val="-3"/>
          <w:w w:val="105"/>
        </w:rPr>
        <w:t>as</w:t>
      </w:r>
      <w:r>
        <w:rPr>
          <w:spacing w:val="-8"/>
          <w:w w:val="105"/>
        </w:rPr>
        <w:t> </w:t>
      </w:r>
      <w:r>
        <w:rPr>
          <w:w w:val="105"/>
        </w:rPr>
        <w:t>hedges must</w:t>
      </w:r>
      <w:r>
        <w:rPr>
          <w:spacing w:val="-11"/>
          <w:w w:val="105"/>
        </w:rPr>
        <w:t> </w:t>
      </w:r>
      <w:r>
        <w:rPr>
          <w:w w:val="105"/>
        </w:rPr>
        <w:t>be</w:t>
      </w:r>
      <w:r>
        <w:rPr>
          <w:spacing w:val="-9"/>
          <w:w w:val="105"/>
        </w:rPr>
        <w:t> </w:t>
      </w:r>
      <w:r>
        <w:rPr>
          <w:w w:val="105"/>
        </w:rPr>
        <w:t>adjusted</w:t>
      </w:r>
      <w:r>
        <w:rPr>
          <w:spacing w:val="-15"/>
          <w:w w:val="105"/>
        </w:rPr>
        <w:t> </w:t>
      </w:r>
      <w:r>
        <w:rPr>
          <w:w w:val="105"/>
        </w:rPr>
        <w:t>to</w:t>
      </w:r>
      <w:r>
        <w:rPr>
          <w:spacing w:val="-11"/>
          <w:w w:val="105"/>
        </w:rPr>
        <w:t> </w:t>
      </w:r>
      <w:r>
        <w:rPr>
          <w:w w:val="105"/>
        </w:rPr>
        <w:t>fair</w:t>
      </w:r>
      <w:r>
        <w:rPr>
          <w:spacing w:val="-16"/>
          <w:w w:val="105"/>
        </w:rPr>
        <w:t> </w:t>
      </w:r>
      <w:r>
        <w:rPr>
          <w:w w:val="105"/>
        </w:rPr>
        <w:t>value</w:t>
      </w:r>
      <w:r>
        <w:rPr>
          <w:spacing w:val="-9"/>
          <w:w w:val="105"/>
        </w:rPr>
        <w:t> </w:t>
      </w:r>
      <w:r>
        <w:rPr>
          <w:w w:val="105"/>
        </w:rPr>
        <w:t>through</w:t>
      </w:r>
      <w:r>
        <w:rPr>
          <w:spacing w:val="-11"/>
          <w:w w:val="105"/>
        </w:rPr>
        <w:t> </w:t>
      </w:r>
      <w:r>
        <w:rPr>
          <w:w w:val="105"/>
        </w:rPr>
        <w:t>income.</w:t>
      </w:r>
      <w:r>
        <w:rPr>
          <w:spacing w:val="30"/>
          <w:w w:val="105"/>
        </w:rPr>
        <w:t> </w:t>
      </w:r>
      <w:r>
        <w:rPr>
          <w:spacing w:val="-3"/>
          <w:w w:val="105"/>
        </w:rPr>
        <w:t>If</w:t>
      </w:r>
      <w:r>
        <w:rPr>
          <w:spacing w:val="-9"/>
          <w:w w:val="105"/>
        </w:rPr>
        <w:t> </w:t>
      </w:r>
      <w:r>
        <w:rPr>
          <w:w w:val="105"/>
        </w:rPr>
        <w:t>a</w:t>
      </w:r>
      <w:r>
        <w:rPr>
          <w:spacing w:val="-13"/>
          <w:w w:val="105"/>
        </w:rPr>
        <w:t> </w:t>
      </w:r>
      <w:r>
        <w:rPr>
          <w:w w:val="105"/>
        </w:rPr>
        <w:t>derivative</w:t>
      </w:r>
      <w:r>
        <w:rPr>
          <w:spacing w:val="-13"/>
          <w:w w:val="105"/>
        </w:rPr>
        <w:t> </w:t>
      </w:r>
      <w:r>
        <w:rPr>
          <w:w w:val="105"/>
        </w:rPr>
        <w:t>is</w:t>
      </w:r>
      <w:r>
        <w:rPr>
          <w:spacing w:val="-11"/>
          <w:w w:val="105"/>
        </w:rPr>
        <w:t> </w:t>
      </w:r>
      <w:r>
        <w:rPr>
          <w:w w:val="105"/>
        </w:rPr>
        <w:t>designated</w:t>
      </w:r>
      <w:r>
        <w:rPr>
          <w:spacing w:val="-11"/>
          <w:w w:val="105"/>
        </w:rPr>
        <w:t> </w:t>
      </w:r>
      <w:r>
        <w:rPr>
          <w:w w:val="105"/>
        </w:rPr>
        <w:t>as</w:t>
      </w:r>
      <w:r>
        <w:rPr>
          <w:spacing w:val="-15"/>
          <w:w w:val="105"/>
        </w:rPr>
        <w:t> </w:t>
      </w:r>
      <w:r>
        <w:rPr>
          <w:w w:val="105"/>
        </w:rPr>
        <w:t>a</w:t>
      </w:r>
      <w:r>
        <w:rPr>
          <w:spacing w:val="-13"/>
          <w:w w:val="105"/>
        </w:rPr>
        <w:t> </w:t>
      </w:r>
      <w:r>
        <w:rPr>
          <w:w w:val="105"/>
        </w:rPr>
        <w:t>hedge,</w:t>
      </w:r>
      <w:r>
        <w:rPr>
          <w:spacing w:val="-14"/>
          <w:w w:val="105"/>
        </w:rPr>
        <w:t> </w:t>
      </w:r>
      <w:r>
        <w:rPr>
          <w:w w:val="105"/>
        </w:rPr>
        <w:t>depending</w:t>
      </w:r>
      <w:r>
        <w:rPr>
          <w:spacing w:val="-7"/>
          <w:w w:val="105"/>
        </w:rPr>
        <w:t> </w:t>
      </w:r>
      <w:r>
        <w:rPr>
          <w:w w:val="105"/>
        </w:rPr>
        <w:t>on</w:t>
      </w:r>
      <w:r>
        <w:rPr>
          <w:spacing w:val="-11"/>
          <w:w w:val="105"/>
        </w:rPr>
        <w:t> </w:t>
      </w:r>
      <w:r>
        <w:rPr>
          <w:w w:val="105"/>
        </w:rPr>
        <w:t>the</w:t>
      </w:r>
      <w:r>
        <w:rPr>
          <w:spacing w:val="-13"/>
          <w:w w:val="105"/>
        </w:rPr>
        <w:t> </w:t>
      </w:r>
      <w:r>
        <w:rPr>
          <w:w w:val="105"/>
        </w:rPr>
        <w:t>nature of</w:t>
      </w:r>
      <w:r>
        <w:rPr>
          <w:spacing w:val="-3"/>
          <w:w w:val="105"/>
        </w:rPr>
        <w:t> </w:t>
      </w:r>
      <w:r>
        <w:rPr>
          <w:w w:val="105"/>
        </w:rPr>
        <w:t>the</w:t>
      </w:r>
      <w:r>
        <w:rPr>
          <w:spacing w:val="-7"/>
          <w:w w:val="105"/>
        </w:rPr>
        <w:t> </w:t>
      </w:r>
      <w:r>
        <w:rPr>
          <w:w w:val="105"/>
        </w:rPr>
        <w:t>hedge,</w:t>
      </w:r>
      <w:r>
        <w:rPr>
          <w:spacing w:val="-8"/>
          <w:w w:val="105"/>
        </w:rPr>
        <w:t> </w:t>
      </w:r>
      <w:r>
        <w:rPr>
          <w:w w:val="105"/>
        </w:rPr>
        <w:t>changes</w:t>
      </w:r>
      <w:r>
        <w:rPr>
          <w:spacing w:val="-5"/>
          <w:w w:val="105"/>
        </w:rPr>
        <w:t> </w:t>
      </w:r>
      <w:r>
        <w:rPr>
          <w:w w:val="105"/>
        </w:rPr>
        <w:t>in</w:t>
      </w:r>
      <w:r>
        <w:rPr>
          <w:spacing w:val="-9"/>
          <w:w w:val="105"/>
        </w:rPr>
        <w:t> </w:t>
      </w:r>
      <w:r>
        <w:rPr>
          <w:w w:val="105"/>
        </w:rPr>
        <w:t>its</w:t>
      </w:r>
      <w:r>
        <w:rPr>
          <w:spacing w:val="-1"/>
          <w:w w:val="105"/>
        </w:rPr>
        <w:t> </w:t>
      </w:r>
      <w:r>
        <w:rPr>
          <w:w w:val="105"/>
        </w:rPr>
        <w:t>fair</w:t>
      </w:r>
      <w:r>
        <w:rPr>
          <w:spacing w:val="-3"/>
          <w:w w:val="105"/>
        </w:rPr>
        <w:t> </w:t>
      </w:r>
      <w:r>
        <w:rPr>
          <w:w w:val="105"/>
        </w:rPr>
        <w:t>value</w:t>
      </w:r>
      <w:r>
        <w:rPr>
          <w:spacing w:val="-7"/>
          <w:w w:val="105"/>
        </w:rPr>
        <w:t> </w:t>
      </w:r>
      <w:r>
        <w:rPr>
          <w:w w:val="105"/>
        </w:rPr>
        <w:t>that</w:t>
      </w:r>
      <w:r>
        <w:rPr>
          <w:spacing w:val="-1"/>
          <w:w w:val="105"/>
        </w:rPr>
        <w:t> </w:t>
      </w:r>
      <w:r>
        <w:rPr>
          <w:w w:val="105"/>
        </w:rPr>
        <w:t>are</w:t>
      </w:r>
      <w:r>
        <w:rPr>
          <w:spacing w:val="-7"/>
          <w:w w:val="105"/>
        </w:rPr>
        <w:t> </w:t>
      </w:r>
      <w:r>
        <w:rPr>
          <w:w w:val="105"/>
        </w:rPr>
        <w:t>considered</w:t>
      </w:r>
      <w:r>
        <w:rPr>
          <w:spacing w:val="-5"/>
          <w:w w:val="105"/>
        </w:rPr>
        <w:t> </w:t>
      </w:r>
      <w:r>
        <w:rPr>
          <w:w w:val="105"/>
        </w:rPr>
        <w:t>to</w:t>
      </w:r>
      <w:r>
        <w:rPr>
          <w:spacing w:val="-1"/>
          <w:w w:val="105"/>
        </w:rPr>
        <w:t> </w:t>
      </w:r>
      <w:r>
        <w:rPr>
          <w:w w:val="105"/>
        </w:rPr>
        <w:t>be</w:t>
      </w:r>
      <w:r>
        <w:rPr>
          <w:spacing w:val="-7"/>
          <w:w w:val="105"/>
        </w:rPr>
        <w:t> </w:t>
      </w:r>
      <w:r>
        <w:rPr>
          <w:spacing w:val="-3"/>
          <w:w w:val="105"/>
        </w:rPr>
        <w:t>effective,</w:t>
      </w:r>
      <w:r>
        <w:rPr>
          <w:spacing w:val="-4"/>
          <w:w w:val="105"/>
        </w:rPr>
        <w:t> </w:t>
      </w:r>
      <w:r>
        <w:rPr>
          <w:spacing w:val="-3"/>
          <w:w w:val="105"/>
        </w:rPr>
        <w:t>as</w:t>
      </w:r>
      <w:r>
        <w:rPr>
          <w:spacing w:val="-1"/>
          <w:w w:val="105"/>
        </w:rPr>
        <w:t> </w:t>
      </w:r>
      <w:r>
        <w:rPr>
          <w:w w:val="105"/>
        </w:rPr>
        <w:t>defined,</w:t>
      </w:r>
      <w:r>
        <w:rPr>
          <w:spacing w:val="-12"/>
          <w:w w:val="105"/>
        </w:rPr>
        <w:t> </w:t>
      </w:r>
      <w:r>
        <w:rPr>
          <w:w w:val="105"/>
        </w:rPr>
        <w:t>either</w:t>
      </w:r>
      <w:r>
        <w:rPr>
          <w:spacing w:val="-3"/>
          <w:w w:val="105"/>
        </w:rPr>
        <w:t> </w:t>
      </w:r>
      <w:r>
        <w:rPr>
          <w:w w:val="105"/>
        </w:rPr>
        <w:t>offset</w:t>
      </w:r>
      <w:r>
        <w:rPr>
          <w:spacing w:val="-1"/>
          <w:w w:val="105"/>
        </w:rPr>
        <w:t> </w:t>
      </w:r>
      <w:r>
        <w:rPr>
          <w:w w:val="105"/>
        </w:rPr>
        <w:t>the</w:t>
      </w:r>
      <w:r>
        <w:rPr>
          <w:spacing w:val="-7"/>
          <w:w w:val="105"/>
        </w:rPr>
        <w:t> </w:t>
      </w:r>
      <w:r>
        <w:rPr>
          <w:w w:val="105"/>
        </w:rPr>
        <w:t>change</w:t>
      </w:r>
      <w:r>
        <w:rPr>
          <w:spacing w:val="-3"/>
          <w:w w:val="105"/>
        </w:rPr>
        <w:t> </w:t>
      </w:r>
      <w:r>
        <w:rPr>
          <w:w w:val="105"/>
        </w:rPr>
        <w:t>in fair value of the hedged assets, liabilities, or firm commitments through </w:t>
      </w:r>
      <w:r>
        <w:rPr>
          <w:spacing w:val="-3"/>
          <w:w w:val="105"/>
        </w:rPr>
        <w:t>earnings </w:t>
      </w:r>
      <w:r>
        <w:rPr>
          <w:w w:val="105"/>
        </w:rPr>
        <w:t>or are </w:t>
      </w:r>
      <w:r>
        <w:rPr>
          <w:spacing w:val="-3"/>
          <w:w w:val="105"/>
        </w:rPr>
        <w:t>recorded </w:t>
      </w:r>
      <w:r>
        <w:rPr>
          <w:w w:val="105"/>
        </w:rPr>
        <w:t>in </w:t>
      </w:r>
      <w:r>
        <w:rPr>
          <w:spacing w:val="-3"/>
          <w:w w:val="105"/>
        </w:rPr>
        <w:t>"Accumulated</w:t>
      </w:r>
      <w:r>
        <w:rPr>
          <w:spacing w:val="-14"/>
          <w:w w:val="105"/>
        </w:rPr>
        <w:t> </w:t>
      </w:r>
      <w:r>
        <w:rPr>
          <w:w w:val="105"/>
        </w:rPr>
        <w:t>other</w:t>
      </w:r>
      <w:r>
        <w:rPr>
          <w:spacing w:val="-16"/>
          <w:w w:val="105"/>
        </w:rPr>
        <w:t> </w:t>
      </w:r>
      <w:r>
        <w:rPr>
          <w:w w:val="105"/>
        </w:rPr>
        <w:t>comprehensive</w:t>
      </w:r>
      <w:r>
        <w:rPr>
          <w:spacing w:val="-16"/>
          <w:w w:val="105"/>
        </w:rPr>
        <w:t> </w:t>
      </w:r>
      <w:r>
        <w:rPr>
          <w:w w:val="105"/>
        </w:rPr>
        <w:t>income</w:t>
      </w:r>
      <w:r>
        <w:rPr>
          <w:spacing w:val="-16"/>
          <w:w w:val="105"/>
        </w:rPr>
        <w:t> </w:t>
      </w:r>
      <w:r>
        <w:rPr>
          <w:w w:val="105"/>
        </w:rPr>
        <w:t>(loss)"</w:t>
      </w:r>
      <w:r>
        <w:rPr>
          <w:spacing w:val="-17"/>
          <w:w w:val="105"/>
        </w:rPr>
        <w:t> </w:t>
      </w:r>
      <w:r>
        <w:rPr>
          <w:w w:val="105"/>
        </w:rPr>
        <w:t>until</w:t>
      </w:r>
      <w:r>
        <w:rPr>
          <w:spacing w:val="-18"/>
          <w:w w:val="105"/>
        </w:rPr>
        <w:t> </w:t>
      </w:r>
      <w:r>
        <w:rPr>
          <w:w w:val="105"/>
        </w:rPr>
        <w:t>the</w:t>
      </w:r>
      <w:r>
        <w:rPr>
          <w:spacing w:val="-12"/>
          <w:w w:val="105"/>
        </w:rPr>
        <w:t> </w:t>
      </w:r>
      <w:r>
        <w:rPr>
          <w:w w:val="105"/>
        </w:rPr>
        <w:t>hedged</w:t>
      </w:r>
      <w:r>
        <w:rPr>
          <w:spacing w:val="-18"/>
          <w:w w:val="105"/>
        </w:rPr>
        <w:t> </w:t>
      </w:r>
      <w:r>
        <w:rPr>
          <w:w w:val="105"/>
        </w:rPr>
        <w:t>item</w:t>
      </w:r>
      <w:r>
        <w:rPr>
          <w:spacing w:val="-19"/>
          <w:w w:val="105"/>
        </w:rPr>
        <w:t> </w:t>
      </w:r>
      <w:r>
        <w:rPr>
          <w:w w:val="105"/>
        </w:rPr>
        <w:t>is</w:t>
      </w:r>
      <w:r>
        <w:rPr>
          <w:spacing w:val="-14"/>
          <w:w w:val="105"/>
        </w:rPr>
        <w:t> </w:t>
      </w:r>
      <w:r>
        <w:rPr>
          <w:w w:val="105"/>
        </w:rPr>
        <w:t>recorded</w:t>
      </w:r>
      <w:r>
        <w:rPr>
          <w:spacing w:val="-14"/>
          <w:w w:val="105"/>
        </w:rPr>
        <w:t> </w:t>
      </w:r>
      <w:r>
        <w:rPr>
          <w:w w:val="105"/>
        </w:rPr>
        <w:t>in</w:t>
      </w:r>
      <w:r>
        <w:rPr>
          <w:spacing w:val="-14"/>
          <w:w w:val="105"/>
        </w:rPr>
        <w:t> </w:t>
      </w:r>
      <w:r>
        <w:rPr>
          <w:w w:val="105"/>
        </w:rPr>
        <w:t>earnings.</w:t>
      </w:r>
      <w:r>
        <w:rPr>
          <w:spacing w:val="-17"/>
          <w:w w:val="105"/>
        </w:rPr>
        <w:t> </w:t>
      </w:r>
      <w:r>
        <w:rPr>
          <w:spacing w:val="-4"/>
          <w:w w:val="105"/>
        </w:rPr>
        <w:t>Any</w:t>
      </w:r>
      <w:r>
        <w:rPr>
          <w:spacing w:val="-11"/>
          <w:w w:val="105"/>
        </w:rPr>
        <w:t> </w:t>
      </w:r>
      <w:r>
        <w:rPr>
          <w:w w:val="105"/>
        </w:rPr>
        <w:t>portion</w:t>
      </w:r>
      <w:r>
        <w:rPr>
          <w:spacing w:val="-14"/>
          <w:w w:val="105"/>
        </w:rPr>
        <w:t> </w:t>
      </w:r>
      <w:r>
        <w:rPr>
          <w:w w:val="105"/>
        </w:rPr>
        <w:t>of a change in a derivative's fair value that is considered to be </w:t>
      </w:r>
      <w:r>
        <w:rPr>
          <w:spacing w:val="-3"/>
          <w:w w:val="105"/>
        </w:rPr>
        <w:t>ineffective, as defined, </w:t>
      </w:r>
      <w:r>
        <w:rPr>
          <w:w w:val="105"/>
        </w:rPr>
        <w:t>is recorded </w:t>
      </w:r>
      <w:r>
        <w:rPr>
          <w:spacing w:val="-3"/>
          <w:w w:val="105"/>
        </w:rPr>
        <w:t>immediately </w:t>
      </w:r>
      <w:r>
        <w:rPr>
          <w:w w:val="105"/>
        </w:rPr>
        <w:t>in </w:t>
      </w:r>
      <w:r>
        <w:rPr>
          <w:spacing w:val="-3"/>
          <w:w w:val="105"/>
        </w:rPr>
        <w:t>"Other </w:t>
      </w:r>
      <w:r>
        <w:rPr>
          <w:w w:val="105"/>
        </w:rPr>
        <w:t>(gains) losses, net" in the Consolidated </w:t>
      </w:r>
      <w:r>
        <w:rPr>
          <w:spacing w:val="-3"/>
          <w:w w:val="105"/>
        </w:rPr>
        <w:t>Statement </w:t>
      </w:r>
      <w:r>
        <w:rPr>
          <w:w w:val="105"/>
        </w:rPr>
        <w:t>of </w:t>
      </w:r>
      <w:r>
        <w:rPr>
          <w:spacing w:val="-3"/>
          <w:w w:val="105"/>
        </w:rPr>
        <w:t>Income. </w:t>
      </w:r>
      <w:r>
        <w:rPr>
          <w:w w:val="105"/>
        </w:rPr>
        <w:t>Any portion of a change in a </w:t>
      </w:r>
      <w:r>
        <w:rPr>
          <w:spacing w:val="-2"/>
          <w:w w:val="105"/>
        </w:rPr>
        <w:t>derivative's </w:t>
      </w:r>
      <w:r>
        <w:rPr>
          <w:w w:val="105"/>
        </w:rPr>
        <w:t>fair value that the Company </w:t>
      </w:r>
      <w:r>
        <w:rPr>
          <w:spacing w:val="-3"/>
          <w:w w:val="105"/>
        </w:rPr>
        <w:t>elects </w:t>
      </w:r>
      <w:r>
        <w:rPr>
          <w:w w:val="105"/>
        </w:rPr>
        <w:t>to exclude from its </w:t>
      </w:r>
      <w:r>
        <w:rPr>
          <w:spacing w:val="-3"/>
          <w:w w:val="105"/>
        </w:rPr>
        <w:t>measurement </w:t>
      </w:r>
      <w:r>
        <w:rPr>
          <w:w w:val="105"/>
        </w:rPr>
        <w:t>of effectiveness is </w:t>
      </w:r>
      <w:r>
        <w:rPr>
          <w:spacing w:val="-3"/>
          <w:w w:val="105"/>
        </w:rPr>
        <w:t>required </w:t>
      </w:r>
      <w:r>
        <w:rPr>
          <w:w w:val="105"/>
        </w:rPr>
        <w:t>to be </w:t>
      </w:r>
      <w:r>
        <w:rPr>
          <w:spacing w:val="-3"/>
          <w:w w:val="105"/>
        </w:rPr>
        <w:t>recorded </w:t>
      </w:r>
      <w:r>
        <w:rPr/>
        <w:t>immediately in</w:t>
      </w:r>
      <w:r>
        <w:rPr>
          <w:spacing w:val="12"/>
        </w:rPr>
        <w:t> </w:t>
      </w:r>
      <w:r>
        <w:rPr/>
        <w:t>earnings.</w:t>
      </w:r>
    </w:p>
    <w:p>
      <w:pPr>
        <w:pStyle w:val="BodyText"/>
        <w:spacing w:line="218" w:lineRule="auto" w:before="221"/>
        <w:ind w:left="115" w:right="106"/>
        <w:jc w:val="both"/>
      </w:pPr>
      <w:r>
        <w:rPr>
          <w:spacing w:val="2"/>
          <w:w w:val="105"/>
        </w:rPr>
        <w:t>Under </w:t>
      </w:r>
      <w:r>
        <w:rPr>
          <w:w w:val="105"/>
        </w:rPr>
        <w:t>the </w:t>
      </w:r>
      <w:r>
        <w:rPr>
          <w:spacing w:val="2"/>
          <w:w w:val="105"/>
        </w:rPr>
        <w:t>rules established </w:t>
      </w:r>
      <w:r>
        <w:rPr>
          <w:w w:val="105"/>
        </w:rPr>
        <w:t>by </w:t>
      </w:r>
      <w:r>
        <w:rPr>
          <w:spacing w:val="2"/>
          <w:w w:val="105"/>
        </w:rPr>
        <w:t>SFAS 133, </w:t>
      </w:r>
      <w:r>
        <w:rPr>
          <w:w w:val="105"/>
        </w:rPr>
        <w:t>the </w:t>
      </w:r>
      <w:r>
        <w:rPr>
          <w:spacing w:val="2"/>
          <w:w w:val="105"/>
        </w:rPr>
        <w:t>Company </w:t>
      </w:r>
      <w:r>
        <w:rPr>
          <w:w w:val="105"/>
        </w:rPr>
        <w:t>has </w:t>
      </w:r>
      <w:r>
        <w:rPr>
          <w:spacing w:val="2"/>
          <w:w w:val="105"/>
        </w:rPr>
        <w:t>alternatives </w:t>
      </w:r>
      <w:r>
        <w:rPr>
          <w:w w:val="105"/>
        </w:rPr>
        <w:t>in </w:t>
      </w:r>
      <w:r>
        <w:rPr>
          <w:spacing w:val="2"/>
          <w:w w:val="105"/>
        </w:rPr>
        <w:t>accounting </w:t>
      </w:r>
      <w:r>
        <w:rPr>
          <w:w w:val="105"/>
        </w:rPr>
        <w:t>for its </w:t>
      </w:r>
      <w:r>
        <w:rPr>
          <w:spacing w:val="3"/>
          <w:w w:val="105"/>
        </w:rPr>
        <w:t>financial </w:t>
      </w:r>
      <w:r>
        <w:rPr>
          <w:w w:val="105"/>
        </w:rPr>
        <w:t>derivative instruments.  The Company primarily uses financial derivative instruments to hedge its exposure  to jet fuel price increases and accounts for these derivatives as cash flow hedges, as defined. In accordance with SFAS 133, the Company must comply with detailed rules and strict documentation requirements prior to beginning hedge accounting. As required by SFAS 133, the Company assesses the effectiveness of each  of its individual hedges on a quarterly basis. The Company also examines the effectiveness of its </w:t>
      </w:r>
      <w:r>
        <w:rPr>
          <w:spacing w:val="2"/>
          <w:w w:val="105"/>
        </w:rPr>
        <w:t>entire </w:t>
      </w:r>
      <w:r>
        <w:rPr>
          <w:w w:val="105"/>
        </w:rPr>
        <w:t>hedging program on a quarterly basis utilizing statistical analysis. This analysis involves utilizing regression and other statistical analyses that compare changes in the price of jet fuel to changes in the prices of </w:t>
      </w:r>
      <w:r>
        <w:rPr>
          <w:spacing w:val="2"/>
          <w:w w:val="105"/>
        </w:rPr>
        <w:t>the </w:t>
      </w:r>
      <w:r>
        <w:rPr>
          <w:w w:val="105"/>
        </w:rPr>
        <w:t>commodities</w:t>
      </w:r>
      <w:r>
        <w:rPr>
          <w:spacing w:val="-14"/>
          <w:w w:val="105"/>
        </w:rPr>
        <w:t> </w:t>
      </w:r>
      <w:r>
        <w:rPr>
          <w:w w:val="105"/>
        </w:rPr>
        <w:t>used</w:t>
      </w:r>
      <w:r>
        <w:rPr>
          <w:spacing w:val="-14"/>
          <w:w w:val="105"/>
        </w:rPr>
        <w:t> </w:t>
      </w:r>
      <w:r>
        <w:rPr>
          <w:w w:val="105"/>
        </w:rPr>
        <w:t>for</w:t>
      </w:r>
      <w:r>
        <w:rPr>
          <w:spacing w:val="-14"/>
          <w:w w:val="105"/>
        </w:rPr>
        <w:t> </w:t>
      </w:r>
      <w:r>
        <w:rPr>
          <w:w w:val="105"/>
        </w:rPr>
        <w:t>hedging</w:t>
      </w:r>
      <w:r>
        <w:rPr>
          <w:spacing w:val="-14"/>
          <w:w w:val="105"/>
        </w:rPr>
        <w:t> </w:t>
      </w:r>
      <w:r>
        <w:rPr>
          <w:w w:val="105"/>
        </w:rPr>
        <w:t>purposes</w:t>
      </w:r>
      <w:r>
        <w:rPr>
          <w:spacing w:val="-14"/>
          <w:w w:val="105"/>
        </w:rPr>
        <w:t> </w:t>
      </w:r>
      <w:r>
        <w:rPr>
          <w:w w:val="105"/>
        </w:rPr>
        <w:t>(crude</w:t>
      </w:r>
      <w:r>
        <w:rPr>
          <w:spacing w:val="-14"/>
          <w:w w:val="105"/>
        </w:rPr>
        <w:t> </w:t>
      </w:r>
      <w:r>
        <w:rPr>
          <w:w w:val="105"/>
        </w:rPr>
        <w:t>oil</w:t>
      </w:r>
      <w:r>
        <w:rPr>
          <w:spacing w:val="-14"/>
          <w:w w:val="105"/>
        </w:rPr>
        <w:t> </w:t>
      </w:r>
      <w:r>
        <w:rPr>
          <w:w w:val="105"/>
        </w:rPr>
        <w:t>and</w:t>
      </w:r>
      <w:r>
        <w:rPr>
          <w:spacing w:val="-14"/>
          <w:w w:val="105"/>
        </w:rPr>
        <w:t> </w:t>
      </w:r>
      <w:r>
        <w:rPr>
          <w:w w:val="105"/>
        </w:rPr>
        <w:t>heating</w:t>
      </w:r>
      <w:r>
        <w:rPr>
          <w:spacing w:val="-14"/>
          <w:w w:val="105"/>
        </w:rPr>
        <w:t> </w:t>
      </w:r>
      <w:r>
        <w:rPr>
          <w:w w:val="105"/>
        </w:rPr>
        <w:t>oil).</w:t>
      </w:r>
    </w:p>
    <w:p>
      <w:pPr>
        <w:pStyle w:val="BodyText"/>
        <w:spacing w:line="222" w:lineRule="exact" w:before="222"/>
        <w:ind w:left="115" w:right="108"/>
        <w:jc w:val="both"/>
      </w:pPr>
      <w:r>
        <w:rPr>
          <w:spacing w:val="-3"/>
          <w:w w:val="105"/>
        </w:rPr>
        <w:t>Upon </w:t>
      </w:r>
      <w:r>
        <w:rPr>
          <w:w w:val="105"/>
        </w:rPr>
        <w:t>adoption of </w:t>
      </w:r>
      <w:r>
        <w:rPr>
          <w:spacing w:val="-3"/>
          <w:w w:val="105"/>
        </w:rPr>
        <w:t>SFAS </w:t>
      </w:r>
      <w:r>
        <w:rPr>
          <w:w w:val="105"/>
        </w:rPr>
        <w:t>133, the Company </w:t>
      </w:r>
      <w:r>
        <w:rPr>
          <w:spacing w:val="-3"/>
          <w:w w:val="105"/>
        </w:rPr>
        <w:t>recorded </w:t>
      </w:r>
      <w:r>
        <w:rPr>
          <w:w w:val="105"/>
        </w:rPr>
        <w:t>the fair value of its fuel derivative instruments in the Consolidated</w:t>
      </w:r>
      <w:r>
        <w:rPr>
          <w:spacing w:val="-13"/>
          <w:w w:val="105"/>
        </w:rPr>
        <w:t> </w:t>
      </w:r>
      <w:r>
        <w:rPr>
          <w:spacing w:val="-3"/>
          <w:w w:val="105"/>
        </w:rPr>
        <w:t>Balance</w:t>
      </w:r>
      <w:r>
        <w:rPr>
          <w:spacing w:val="-18"/>
          <w:w w:val="105"/>
        </w:rPr>
        <w:t> </w:t>
      </w:r>
      <w:r>
        <w:rPr>
          <w:spacing w:val="-3"/>
          <w:w w:val="105"/>
        </w:rPr>
        <w:t>Sheet</w:t>
      </w:r>
      <w:r>
        <w:rPr>
          <w:spacing w:val="-16"/>
          <w:w w:val="105"/>
        </w:rPr>
        <w:t> </w:t>
      </w:r>
      <w:r>
        <w:rPr>
          <w:w w:val="105"/>
        </w:rPr>
        <w:t>and</w:t>
      </w:r>
      <w:r>
        <w:rPr>
          <w:spacing w:val="-16"/>
          <w:w w:val="105"/>
        </w:rPr>
        <w:t> </w:t>
      </w:r>
      <w:r>
        <w:rPr>
          <w:w w:val="105"/>
        </w:rPr>
        <w:t>a</w:t>
      </w:r>
      <w:r>
        <w:rPr>
          <w:spacing w:val="-18"/>
          <w:w w:val="105"/>
        </w:rPr>
        <w:t> </w:t>
      </w:r>
      <w:r>
        <w:rPr>
          <w:spacing w:val="-3"/>
          <w:w w:val="105"/>
        </w:rPr>
        <w:t>deferred</w:t>
      </w:r>
      <w:r>
        <w:rPr>
          <w:spacing w:val="-16"/>
          <w:w w:val="105"/>
        </w:rPr>
        <w:t> </w:t>
      </w:r>
      <w:r>
        <w:rPr>
          <w:w w:val="105"/>
        </w:rPr>
        <w:t>gain</w:t>
      </w:r>
      <w:r>
        <w:rPr>
          <w:spacing w:val="-16"/>
          <w:w w:val="105"/>
        </w:rPr>
        <w:t> </w:t>
      </w:r>
      <w:r>
        <w:rPr>
          <w:w w:val="105"/>
        </w:rPr>
        <w:t>of</w:t>
      </w:r>
      <w:r>
        <w:rPr>
          <w:spacing w:val="-18"/>
          <w:w w:val="105"/>
        </w:rPr>
        <w:t> </w:t>
      </w:r>
      <w:r>
        <w:rPr>
          <w:w w:val="105"/>
        </w:rPr>
        <w:t>$46</w:t>
      </w:r>
      <w:r>
        <w:rPr>
          <w:spacing w:val="-20"/>
          <w:w w:val="105"/>
        </w:rPr>
        <w:t> </w:t>
      </w:r>
      <w:r>
        <w:rPr>
          <w:w w:val="105"/>
        </w:rPr>
        <w:t>million,</w:t>
      </w:r>
      <w:r>
        <w:rPr>
          <w:spacing w:val="-16"/>
          <w:w w:val="105"/>
        </w:rPr>
        <w:t> </w:t>
      </w:r>
      <w:r>
        <w:rPr>
          <w:spacing w:val="-3"/>
          <w:w w:val="105"/>
        </w:rPr>
        <w:t>net</w:t>
      </w:r>
      <w:r>
        <w:rPr>
          <w:spacing w:val="-16"/>
          <w:w w:val="105"/>
        </w:rPr>
        <w:t> </w:t>
      </w:r>
      <w:r>
        <w:rPr>
          <w:w w:val="105"/>
        </w:rPr>
        <w:t>of</w:t>
      </w:r>
      <w:r>
        <w:rPr>
          <w:spacing w:val="-21"/>
          <w:w w:val="105"/>
        </w:rPr>
        <w:t> </w:t>
      </w:r>
      <w:r>
        <w:rPr>
          <w:w w:val="105"/>
        </w:rPr>
        <w:t>tax,</w:t>
      </w:r>
      <w:r>
        <w:rPr>
          <w:spacing w:val="-18"/>
          <w:w w:val="105"/>
        </w:rPr>
        <w:t> </w:t>
      </w:r>
      <w:r>
        <w:rPr>
          <w:w w:val="105"/>
        </w:rPr>
        <w:t>in</w:t>
      </w:r>
      <w:r>
        <w:rPr>
          <w:spacing w:val="-16"/>
          <w:w w:val="105"/>
        </w:rPr>
        <w:t> </w:t>
      </w:r>
      <w:r>
        <w:rPr>
          <w:spacing w:val="-3"/>
          <w:w w:val="105"/>
        </w:rPr>
        <w:t>"Accumulated</w:t>
      </w:r>
      <w:r>
        <w:rPr>
          <w:spacing w:val="-16"/>
          <w:w w:val="105"/>
        </w:rPr>
        <w:t> </w:t>
      </w:r>
      <w:r>
        <w:rPr>
          <w:w w:val="105"/>
        </w:rPr>
        <w:t>other</w:t>
      </w:r>
      <w:r>
        <w:rPr>
          <w:spacing w:val="-21"/>
          <w:w w:val="105"/>
        </w:rPr>
        <w:t> </w:t>
      </w:r>
      <w:r>
        <w:rPr>
          <w:w w:val="105"/>
        </w:rPr>
        <w:t>comprehensive</w:t>
      </w:r>
    </w:p>
    <w:p>
      <w:pPr>
        <w:spacing w:after="0" w:line="222" w:lineRule="exact"/>
        <w:jc w:val="both"/>
        <w:sectPr>
          <w:pgSz w:w="12240" w:h="15840"/>
          <w:pgMar w:top="1300" w:bottom="280" w:left="1180" w:right="1180"/>
        </w:sectPr>
      </w:pPr>
    </w:p>
    <w:p>
      <w:pPr>
        <w:pStyle w:val="BodyText"/>
        <w:spacing w:line="218" w:lineRule="auto" w:before="114"/>
        <w:ind w:left="115" w:right="108"/>
        <w:jc w:val="both"/>
      </w:pPr>
      <w:bookmarkStart w:name="Federal Grants and Special Charges" w:id="43"/>
      <w:bookmarkEnd w:id="43"/>
      <w:r>
        <w:rPr/>
      </w:r>
      <w:r>
        <w:rPr>
          <w:w w:val="105"/>
        </w:rPr>
        <w:t>income </w:t>
      </w:r>
      <w:r>
        <w:rPr>
          <w:spacing w:val="-3"/>
          <w:w w:val="105"/>
        </w:rPr>
        <w:t>(loss)". </w:t>
      </w:r>
      <w:r>
        <w:rPr>
          <w:w w:val="105"/>
        </w:rPr>
        <w:t>See </w:t>
      </w:r>
      <w:r>
        <w:rPr>
          <w:spacing w:val="-3"/>
          <w:w w:val="105"/>
        </w:rPr>
        <w:t>Note </w:t>
      </w:r>
      <w:r>
        <w:rPr>
          <w:w w:val="105"/>
        </w:rPr>
        <w:t>11 for further information on </w:t>
      </w:r>
      <w:r>
        <w:rPr>
          <w:spacing w:val="-3"/>
          <w:w w:val="105"/>
        </w:rPr>
        <w:t>Accumulated </w:t>
      </w:r>
      <w:r>
        <w:rPr>
          <w:w w:val="105"/>
        </w:rPr>
        <w:t>other comprehensive income (loss). </w:t>
      </w:r>
      <w:r>
        <w:rPr>
          <w:spacing w:val="-2"/>
          <w:w w:val="105"/>
        </w:rPr>
        <w:t>During </w:t>
      </w:r>
      <w:r>
        <w:rPr>
          <w:w w:val="105"/>
        </w:rPr>
        <w:t>2003, 2002, and 2001, the Company recognized $16 million in additional income, $5 million in additional income, and $8 million in expense, respectively, in </w:t>
      </w:r>
      <w:r>
        <w:rPr>
          <w:spacing w:val="-3"/>
          <w:w w:val="105"/>
        </w:rPr>
        <w:t>"Other </w:t>
      </w:r>
      <w:r>
        <w:rPr>
          <w:w w:val="105"/>
        </w:rPr>
        <w:t>(gains) losses, net", </w:t>
      </w:r>
      <w:r>
        <w:rPr>
          <w:spacing w:val="-3"/>
          <w:w w:val="105"/>
        </w:rPr>
        <w:t>related </w:t>
      </w:r>
      <w:r>
        <w:rPr>
          <w:w w:val="105"/>
        </w:rPr>
        <w:t>to </w:t>
      </w:r>
      <w:r>
        <w:rPr>
          <w:spacing w:val="-3"/>
          <w:w w:val="105"/>
        </w:rPr>
        <w:t>the ineffectiveness </w:t>
      </w:r>
      <w:r>
        <w:rPr>
          <w:w w:val="105"/>
        </w:rPr>
        <w:t>of its hedges. </w:t>
      </w:r>
      <w:r>
        <w:rPr>
          <w:spacing w:val="-2"/>
          <w:w w:val="105"/>
        </w:rPr>
        <w:t>During </w:t>
      </w:r>
      <w:r>
        <w:rPr>
          <w:w w:val="105"/>
        </w:rPr>
        <w:t>2003, 2002, and 2001, the Company recognized approximately $29 million, $26 million, and $18 million, respectively, of net </w:t>
      </w:r>
      <w:r>
        <w:rPr>
          <w:spacing w:val="-3"/>
          <w:w w:val="105"/>
        </w:rPr>
        <w:t>expense, related </w:t>
      </w:r>
      <w:r>
        <w:rPr>
          <w:w w:val="105"/>
        </w:rPr>
        <w:t>to amounts excluded from the </w:t>
      </w:r>
      <w:r>
        <w:rPr>
          <w:spacing w:val="-2"/>
          <w:w w:val="105"/>
        </w:rPr>
        <w:t>Company's </w:t>
      </w:r>
      <w:r>
        <w:rPr>
          <w:spacing w:val="-3"/>
          <w:w w:val="105"/>
        </w:rPr>
        <w:t>measurements </w:t>
      </w:r>
      <w:r>
        <w:rPr>
          <w:w w:val="105"/>
        </w:rPr>
        <w:t>of hedge effectiveness, in </w:t>
      </w:r>
      <w:r>
        <w:rPr>
          <w:spacing w:val="-3"/>
          <w:w w:val="105"/>
        </w:rPr>
        <w:t>"Other </w:t>
      </w:r>
      <w:r>
        <w:rPr>
          <w:w w:val="105"/>
        </w:rPr>
        <w:t>(gains) losses, net". </w:t>
      </w:r>
      <w:r>
        <w:rPr>
          <w:spacing w:val="-2"/>
          <w:w w:val="105"/>
        </w:rPr>
        <w:t>The </w:t>
      </w:r>
      <w:r>
        <w:rPr>
          <w:w w:val="105"/>
        </w:rPr>
        <w:t>2001 adoption of </w:t>
      </w:r>
      <w:r>
        <w:rPr>
          <w:spacing w:val="-4"/>
          <w:w w:val="105"/>
        </w:rPr>
        <w:t>SFAS </w:t>
      </w:r>
      <w:r>
        <w:rPr>
          <w:w w:val="105"/>
        </w:rPr>
        <w:t>133</w:t>
      </w:r>
      <w:r>
        <w:rPr>
          <w:spacing w:val="-5"/>
          <w:w w:val="105"/>
        </w:rPr>
        <w:t> </w:t>
      </w:r>
      <w:r>
        <w:rPr>
          <w:spacing w:val="-3"/>
          <w:w w:val="105"/>
        </w:rPr>
        <w:t>has</w:t>
      </w:r>
      <w:r>
        <w:rPr>
          <w:spacing w:val="-1"/>
          <w:w w:val="105"/>
        </w:rPr>
        <w:t> </w:t>
      </w:r>
      <w:r>
        <w:rPr>
          <w:w w:val="105"/>
        </w:rPr>
        <w:t>resulted</w:t>
      </w:r>
      <w:r>
        <w:rPr>
          <w:spacing w:val="-9"/>
          <w:w w:val="105"/>
        </w:rPr>
        <w:t> </w:t>
      </w:r>
      <w:r>
        <w:rPr>
          <w:w w:val="105"/>
        </w:rPr>
        <w:t>in</w:t>
      </w:r>
      <w:r>
        <w:rPr>
          <w:spacing w:val="-1"/>
          <w:w w:val="105"/>
        </w:rPr>
        <w:t> </w:t>
      </w:r>
      <w:r>
        <w:rPr>
          <w:w w:val="105"/>
        </w:rPr>
        <w:t>more</w:t>
      </w:r>
      <w:r>
        <w:rPr>
          <w:spacing w:val="-10"/>
          <w:w w:val="105"/>
        </w:rPr>
        <w:t> </w:t>
      </w:r>
      <w:r>
        <w:rPr>
          <w:w w:val="105"/>
        </w:rPr>
        <w:t>volatility</w:t>
      </w:r>
      <w:r>
        <w:rPr>
          <w:spacing w:val="-1"/>
          <w:w w:val="105"/>
        </w:rPr>
        <w:t> </w:t>
      </w:r>
      <w:r>
        <w:rPr>
          <w:w w:val="105"/>
        </w:rPr>
        <w:t>in</w:t>
      </w:r>
      <w:r>
        <w:rPr>
          <w:spacing w:val="-5"/>
          <w:w w:val="105"/>
        </w:rPr>
        <w:t> </w:t>
      </w:r>
      <w:r>
        <w:rPr>
          <w:w w:val="105"/>
        </w:rPr>
        <w:t>the</w:t>
      </w:r>
      <w:r>
        <w:rPr>
          <w:spacing w:val="-3"/>
          <w:w w:val="105"/>
        </w:rPr>
        <w:t> Company's</w:t>
      </w:r>
      <w:r>
        <w:rPr>
          <w:spacing w:val="-5"/>
          <w:w w:val="105"/>
        </w:rPr>
        <w:t> </w:t>
      </w:r>
      <w:r>
        <w:rPr>
          <w:w w:val="105"/>
        </w:rPr>
        <w:t>financial</w:t>
      </w:r>
      <w:r>
        <w:rPr>
          <w:spacing w:val="-1"/>
          <w:w w:val="105"/>
        </w:rPr>
        <w:t> </w:t>
      </w:r>
      <w:r>
        <w:rPr>
          <w:w w:val="105"/>
        </w:rPr>
        <w:t>statements</w:t>
      </w:r>
      <w:r>
        <w:rPr>
          <w:spacing w:val="-5"/>
          <w:w w:val="105"/>
        </w:rPr>
        <w:t> </w:t>
      </w:r>
      <w:r>
        <w:rPr>
          <w:w w:val="105"/>
        </w:rPr>
        <w:t>than</w:t>
      </w:r>
      <w:r>
        <w:rPr>
          <w:spacing w:val="-1"/>
          <w:w w:val="105"/>
        </w:rPr>
        <w:t> </w:t>
      </w:r>
      <w:r>
        <w:rPr>
          <w:w w:val="105"/>
        </w:rPr>
        <w:t>in</w:t>
      </w:r>
      <w:r>
        <w:rPr>
          <w:spacing w:val="-5"/>
          <w:w w:val="105"/>
        </w:rPr>
        <w:t> </w:t>
      </w:r>
      <w:r>
        <w:rPr>
          <w:w w:val="105"/>
        </w:rPr>
        <w:t>the</w:t>
      </w:r>
      <w:r>
        <w:rPr>
          <w:spacing w:val="-6"/>
          <w:w w:val="105"/>
        </w:rPr>
        <w:t> </w:t>
      </w:r>
      <w:r>
        <w:rPr>
          <w:w w:val="105"/>
        </w:rPr>
        <w:t>past</w:t>
      </w:r>
      <w:r>
        <w:rPr>
          <w:spacing w:val="-5"/>
          <w:w w:val="105"/>
        </w:rPr>
        <w:t> </w:t>
      </w:r>
      <w:r>
        <w:rPr>
          <w:w w:val="105"/>
        </w:rPr>
        <w:t>due</w:t>
      </w:r>
      <w:r>
        <w:rPr>
          <w:spacing w:val="-3"/>
          <w:w w:val="105"/>
        </w:rPr>
        <w:t> </w:t>
      </w:r>
      <w:r>
        <w:rPr>
          <w:w w:val="105"/>
        </w:rPr>
        <w:t>to</w:t>
      </w:r>
      <w:r>
        <w:rPr>
          <w:spacing w:val="-5"/>
          <w:w w:val="105"/>
        </w:rPr>
        <w:t> </w:t>
      </w:r>
      <w:r>
        <w:rPr>
          <w:w w:val="105"/>
        </w:rPr>
        <w:t>the</w:t>
      </w:r>
      <w:r>
        <w:rPr>
          <w:spacing w:val="-6"/>
          <w:w w:val="105"/>
        </w:rPr>
        <w:t> </w:t>
      </w:r>
      <w:r>
        <w:rPr>
          <w:w w:val="105"/>
        </w:rPr>
        <w:t>changes</w:t>
      </w:r>
      <w:r>
        <w:rPr>
          <w:spacing w:val="-9"/>
          <w:w w:val="105"/>
        </w:rPr>
        <w:t> </w:t>
      </w:r>
      <w:r>
        <w:rPr>
          <w:w w:val="105"/>
        </w:rPr>
        <w:t>in </w:t>
      </w:r>
      <w:r>
        <w:rPr>
          <w:spacing w:val="-3"/>
          <w:w w:val="105"/>
        </w:rPr>
        <w:t>market</w:t>
      </w:r>
      <w:r>
        <w:rPr>
          <w:spacing w:val="-14"/>
          <w:w w:val="105"/>
        </w:rPr>
        <w:t> </w:t>
      </w:r>
      <w:r>
        <w:rPr>
          <w:w w:val="105"/>
        </w:rPr>
        <w:t>values</w:t>
      </w:r>
      <w:r>
        <w:rPr>
          <w:spacing w:val="-21"/>
          <w:w w:val="105"/>
        </w:rPr>
        <w:t> </w:t>
      </w:r>
      <w:r>
        <w:rPr>
          <w:w w:val="105"/>
        </w:rPr>
        <w:t>of</w:t>
      </w:r>
      <w:r>
        <w:rPr>
          <w:spacing w:val="-19"/>
          <w:w w:val="105"/>
        </w:rPr>
        <w:t> </w:t>
      </w:r>
      <w:r>
        <w:rPr>
          <w:w w:val="105"/>
        </w:rPr>
        <w:t>its</w:t>
      </w:r>
      <w:r>
        <w:rPr>
          <w:spacing w:val="-17"/>
          <w:w w:val="105"/>
        </w:rPr>
        <w:t> </w:t>
      </w:r>
      <w:r>
        <w:rPr>
          <w:w w:val="105"/>
        </w:rPr>
        <w:t>derivative</w:t>
      </w:r>
      <w:r>
        <w:rPr>
          <w:spacing w:val="-19"/>
          <w:w w:val="105"/>
        </w:rPr>
        <w:t> </w:t>
      </w:r>
      <w:r>
        <w:rPr>
          <w:w w:val="105"/>
        </w:rPr>
        <w:t>instruments</w:t>
      </w:r>
      <w:r>
        <w:rPr>
          <w:spacing w:val="-14"/>
          <w:w w:val="105"/>
        </w:rPr>
        <w:t> </w:t>
      </w:r>
      <w:r>
        <w:rPr>
          <w:spacing w:val="-3"/>
          <w:w w:val="105"/>
        </w:rPr>
        <w:t>and</w:t>
      </w:r>
      <w:r>
        <w:rPr>
          <w:spacing w:val="-17"/>
          <w:w w:val="105"/>
        </w:rPr>
        <w:t> </w:t>
      </w:r>
      <w:r>
        <w:rPr>
          <w:w w:val="105"/>
        </w:rPr>
        <w:t>some</w:t>
      </w:r>
      <w:r>
        <w:rPr>
          <w:spacing w:val="-19"/>
          <w:w w:val="105"/>
        </w:rPr>
        <w:t> </w:t>
      </w:r>
      <w:r>
        <w:rPr>
          <w:spacing w:val="-3"/>
          <w:w w:val="105"/>
        </w:rPr>
        <w:t>ineffectiveness</w:t>
      </w:r>
      <w:r>
        <w:rPr>
          <w:spacing w:val="-14"/>
          <w:w w:val="105"/>
        </w:rPr>
        <w:t> </w:t>
      </w:r>
      <w:r>
        <w:rPr>
          <w:w w:val="105"/>
        </w:rPr>
        <w:t>that</w:t>
      </w:r>
      <w:r>
        <w:rPr>
          <w:spacing w:val="-17"/>
          <w:w w:val="105"/>
        </w:rPr>
        <w:t> </w:t>
      </w:r>
      <w:r>
        <w:rPr>
          <w:w w:val="105"/>
        </w:rPr>
        <w:t>has</w:t>
      </w:r>
      <w:r>
        <w:rPr>
          <w:spacing w:val="-21"/>
          <w:w w:val="105"/>
        </w:rPr>
        <w:t> </w:t>
      </w:r>
      <w:r>
        <w:rPr>
          <w:w w:val="105"/>
        </w:rPr>
        <w:t>been</w:t>
      </w:r>
      <w:r>
        <w:rPr>
          <w:spacing w:val="-14"/>
          <w:w w:val="105"/>
        </w:rPr>
        <w:t> </w:t>
      </w:r>
      <w:r>
        <w:rPr>
          <w:w w:val="105"/>
        </w:rPr>
        <w:t>experienced</w:t>
      </w:r>
      <w:r>
        <w:rPr>
          <w:spacing w:val="-17"/>
          <w:w w:val="105"/>
        </w:rPr>
        <w:t> </w:t>
      </w:r>
      <w:r>
        <w:rPr>
          <w:w w:val="105"/>
        </w:rPr>
        <w:t>in</w:t>
      </w:r>
      <w:r>
        <w:rPr>
          <w:spacing w:val="-17"/>
          <w:w w:val="105"/>
        </w:rPr>
        <w:t> </w:t>
      </w:r>
      <w:r>
        <w:rPr>
          <w:w w:val="105"/>
        </w:rPr>
        <w:t>its</w:t>
      </w:r>
      <w:r>
        <w:rPr>
          <w:spacing w:val="-17"/>
          <w:w w:val="105"/>
        </w:rPr>
        <w:t> </w:t>
      </w:r>
      <w:r>
        <w:rPr>
          <w:w w:val="105"/>
        </w:rPr>
        <w:t>fuel</w:t>
      </w:r>
      <w:r>
        <w:rPr>
          <w:spacing w:val="-17"/>
          <w:w w:val="105"/>
        </w:rPr>
        <w:t> </w:t>
      </w:r>
      <w:r>
        <w:rPr>
          <w:w w:val="105"/>
        </w:rPr>
        <w:t>hedges. See</w:t>
      </w:r>
      <w:r>
        <w:rPr>
          <w:spacing w:val="-28"/>
          <w:w w:val="105"/>
        </w:rPr>
        <w:t> </w:t>
      </w:r>
      <w:r>
        <w:rPr>
          <w:spacing w:val="-3"/>
          <w:w w:val="105"/>
        </w:rPr>
        <w:t>Note</w:t>
      </w:r>
      <w:r>
        <w:rPr>
          <w:spacing w:val="-31"/>
          <w:w w:val="105"/>
        </w:rPr>
        <w:t> </w:t>
      </w:r>
      <w:r>
        <w:rPr>
          <w:w w:val="105"/>
        </w:rPr>
        <w:t>10</w:t>
      </w:r>
      <w:r>
        <w:rPr>
          <w:spacing w:val="-27"/>
          <w:w w:val="105"/>
        </w:rPr>
        <w:t> </w:t>
      </w:r>
      <w:r>
        <w:rPr>
          <w:spacing w:val="-3"/>
          <w:w w:val="105"/>
        </w:rPr>
        <w:t>for</w:t>
      </w:r>
      <w:r>
        <w:rPr>
          <w:spacing w:val="-28"/>
          <w:w w:val="105"/>
        </w:rPr>
        <w:t> </w:t>
      </w:r>
      <w:r>
        <w:rPr>
          <w:w w:val="105"/>
        </w:rPr>
        <w:t>further</w:t>
      </w:r>
      <w:r>
        <w:rPr>
          <w:spacing w:val="-28"/>
          <w:w w:val="105"/>
        </w:rPr>
        <w:t> </w:t>
      </w:r>
      <w:r>
        <w:rPr>
          <w:w w:val="105"/>
        </w:rPr>
        <w:t>information</w:t>
      </w:r>
      <w:r>
        <w:rPr>
          <w:spacing w:val="-27"/>
          <w:w w:val="105"/>
        </w:rPr>
        <w:t> </w:t>
      </w:r>
      <w:r>
        <w:rPr>
          <w:w w:val="105"/>
        </w:rPr>
        <w:t>on</w:t>
      </w:r>
      <w:r>
        <w:rPr>
          <w:spacing w:val="-27"/>
          <w:w w:val="105"/>
        </w:rPr>
        <w:t> </w:t>
      </w:r>
      <w:r>
        <w:rPr>
          <w:w w:val="105"/>
        </w:rPr>
        <w:t>the</w:t>
      </w:r>
      <w:r>
        <w:rPr>
          <w:spacing w:val="-28"/>
          <w:w w:val="105"/>
        </w:rPr>
        <w:t> </w:t>
      </w:r>
      <w:r>
        <w:rPr>
          <w:spacing w:val="-3"/>
          <w:w w:val="105"/>
        </w:rPr>
        <w:t>Company's</w:t>
      </w:r>
      <w:r>
        <w:rPr>
          <w:spacing w:val="-27"/>
          <w:w w:val="105"/>
        </w:rPr>
        <w:t> </w:t>
      </w:r>
      <w:r>
        <w:rPr>
          <w:w w:val="105"/>
        </w:rPr>
        <w:t>derivative</w:t>
      </w:r>
      <w:r>
        <w:rPr>
          <w:spacing w:val="-28"/>
          <w:w w:val="105"/>
        </w:rPr>
        <w:t> </w:t>
      </w:r>
      <w:r>
        <w:rPr>
          <w:w w:val="105"/>
        </w:rPr>
        <w:t>instruments.</w:t>
      </w:r>
    </w:p>
    <w:p>
      <w:pPr>
        <w:pStyle w:val="Heading2"/>
        <w:numPr>
          <w:ilvl w:val="0"/>
          <w:numId w:val="5"/>
        </w:numPr>
        <w:tabs>
          <w:tab w:pos="323" w:val="left" w:leader="none"/>
        </w:tabs>
        <w:spacing w:line="240" w:lineRule="auto" w:before="199" w:after="0"/>
        <w:ind w:left="322" w:right="0" w:hanging="206"/>
        <w:jc w:val="both"/>
      </w:pPr>
      <w:r>
        <w:rPr>
          <w:color w:val="0000FF"/>
          <w:spacing w:val="-5"/>
          <w:w w:val="105"/>
        </w:rPr>
        <w:t>FEDERAL</w:t>
      </w:r>
      <w:r>
        <w:rPr>
          <w:color w:val="0000FF"/>
          <w:spacing w:val="-27"/>
          <w:w w:val="105"/>
        </w:rPr>
        <w:t> </w:t>
      </w:r>
      <w:r>
        <w:rPr>
          <w:color w:val="0000FF"/>
          <w:spacing w:val="-4"/>
          <w:w w:val="105"/>
        </w:rPr>
        <w:t>GRANTS</w:t>
      </w:r>
      <w:r>
        <w:rPr>
          <w:color w:val="0000FF"/>
          <w:spacing w:val="-27"/>
          <w:w w:val="105"/>
        </w:rPr>
        <w:t> </w:t>
      </w:r>
      <w:r>
        <w:rPr>
          <w:color w:val="0000FF"/>
          <w:spacing w:val="-4"/>
          <w:w w:val="105"/>
        </w:rPr>
        <w:t>AND</w:t>
      </w:r>
      <w:r>
        <w:rPr>
          <w:color w:val="0000FF"/>
          <w:spacing w:val="-32"/>
          <w:w w:val="105"/>
        </w:rPr>
        <w:t> </w:t>
      </w:r>
      <w:r>
        <w:rPr>
          <w:color w:val="0000FF"/>
          <w:spacing w:val="-4"/>
          <w:w w:val="105"/>
        </w:rPr>
        <w:t>SPECIAL</w:t>
      </w:r>
      <w:r>
        <w:rPr>
          <w:color w:val="0000FF"/>
          <w:spacing w:val="-30"/>
          <w:w w:val="105"/>
        </w:rPr>
        <w:t> </w:t>
      </w:r>
      <w:r>
        <w:rPr>
          <w:color w:val="0000FF"/>
          <w:spacing w:val="-4"/>
          <w:w w:val="105"/>
        </w:rPr>
        <w:t>CHARGES</w:t>
      </w:r>
      <w:r>
        <w:rPr>
          <w:color w:val="0000FF"/>
          <w:spacing w:val="-30"/>
          <w:w w:val="105"/>
        </w:rPr>
        <w:t> </w:t>
      </w:r>
      <w:r>
        <w:rPr>
          <w:color w:val="0000FF"/>
          <w:spacing w:val="-4"/>
          <w:w w:val="105"/>
        </w:rPr>
        <w:t>RELATED</w:t>
      </w:r>
      <w:r>
        <w:rPr>
          <w:color w:val="0000FF"/>
          <w:spacing w:val="-32"/>
          <w:w w:val="105"/>
        </w:rPr>
        <w:t> </w:t>
      </w:r>
      <w:r>
        <w:rPr>
          <w:color w:val="0000FF"/>
          <w:w w:val="105"/>
        </w:rPr>
        <w:t>TO</w:t>
      </w:r>
      <w:r>
        <w:rPr>
          <w:color w:val="0000FF"/>
          <w:spacing w:val="-30"/>
          <w:w w:val="105"/>
        </w:rPr>
        <w:t> </w:t>
      </w:r>
      <w:r>
        <w:rPr>
          <w:color w:val="0000FF"/>
          <w:spacing w:val="-4"/>
          <w:w w:val="105"/>
        </w:rPr>
        <w:t>TERRORIST</w:t>
      </w:r>
      <w:r>
        <w:rPr>
          <w:color w:val="0000FF"/>
          <w:spacing w:val="-27"/>
          <w:w w:val="105"/>
        </w:rPr>
        <w:t> </w:t>
      </w:r>
      <w:r>
        <w:rPr>
          <w:color w:val="0000FF"/>
          <w:spacing w:val="-5"/>
          <w:w w:val="105"/>
        </w:rPr>
        <w:t>ATTACKS</w:t>
      </w:r>
    </w:p>
    <w:p>
      <w:pPr>
        <w:pStyle w:val="BodyText"/>
        <w:spacing w:line="218" w:lineRule="auto" w:before="217"/>
        <w:ind w:left="115" w:right="107"/>
        <w:jc w:val="both"/>
      </w:pPr>
      <w:r>
        <w:rPr>
          <w:spacing w:val="-4"/>
          <w:w w:val="105"/>
        </w:rPr>
        <w:t>On </w:t>
      </w:r>
      <w:r>
        <w:rPr>
          <w:spacing w:val="-3"/>
          <w:w w:val="105"/>
        </w:rPr>
        <w:t>September </w:t>
      </w:r>
      <w:r>
        <w:rPr>
          <w:w w:val="105"/>
        </w:rPr>
        <w:t>11, 2001, terrorists </w:t>
      </w:r>
      <w:r>
        <w:rPr>
          <w:spacing w:val="-3"/>
          <w:w w:val="105"/>
        </w:rPr>
        <w:t>hijacked </w:t>
      </w:r>
      <w:r>
        <w:rPr>
          <w:w w:val="105"/>
        </w:rPr>
        <w:t>and used </w:t>
      </w:r>
      <w:r>
        <w:rPr>
          <w:spacing w:val="-4"/>
          <w:w w:val="105"/>
        </w:rPr>
        <w:t>two </w:t>
      </w:r>
      <w:r>
        <w:rPr>
          <w:spacing w:val="-3"/>
          <w:w w:val="105"/>
        </w:rPr>
        <w:t>American </w:t>
      </w:r>
      <w:r>
        <w:rPr>
          <w:w w:val="105"/>
        </w:rPr>
        <w:t>Airlines, Inc. </w:t>
      </w:r>
      <w:r>
        <w:rPr>
          <w:spacing w:val="-3"/>
          <w:w w:val="105"/>
        </w:rPr>
        <w:t>aircraft </w:t>
      </w:r>
      <w:r>
        <w:rPr>
          <w:w w:val="105"/>
        </w:rPr>
        <w:t>and two United </w:t>
      </w:r>
      <w:r>
        <w:rPr>
          <w:spacing w:val="-2"/>
          <w:w w:val="105"/>
        </w:rPr>
        <w:t>Air Lines, </w:t>
      </w:r>
      <w:r>
        <w:rPr>
          <w:w w:val="105"/>
        </w:rPr>
        <w:t>Inc. </w:t>
      </w:r>
      <w:r>
        <w:rPr>
          <w:spacing w:val="-3"/>
          <w:w w:val="105"/>
        </w:rPr>
        <w:t>aircraft </w:t>
      </w:r>
      <w:r>
        <w:rPr>
          <w:w w:val="105"/>
        </w:rPr>
        <w:t>in terrorist attacks on the United States </w:t>
      </w:r>
      <w:r>
        <w:rPr>
          <w:spacing w:val="-3"/>
          <w:w w:val="105"/>
        </w:rPr>
        <w:t>(terrorist </w:t>
      </w:r>
      <w:r>
        <w:rPr>
          <w:w w:val="105"/>
        </w:rPr>
        <w:t>attacks). As a result of these </w:t>
      </w:r>
      <w:r>
        <w:rPr>
          <w:spacing w:val="2"/>
          <w:w w:val="105"/>
        </w:rPr>
        <w:t>terrorist </w:t>
      </w:r>
      <w:r>
        <w:rPr>
          <w:w w:val="105"/>
        </w:rPr>
        <w:t>attacks, the Federal Aviation Administration (FAA) immediately suspended all commercial airline flights. From September 11 until the Company resumed flight operations on September 14, Southwest cancelled</w:t>
      </w:r>
      <w:r>
        <w:rPr>
          <w:spacing w:val="55"/>
          <w:w w:val="105"/>
        </w:rPr>
        <w:t> </w:t>
      </w:r>
      <w:r>
        <w:rPr>
          <w:w w:val="105"/>
        </w:rPr>
        <w:t>approximately 9,000 flights.</w:t>
      </w:r>
    </w:p>
    <w:p>
      <w:pPr>
        <w:pStyle w:val="BodyText"/>
        <w:spacing w:line="218" w:lineRule="auto" w:before="221"/>
        <w:ind w:left="115" w:right="104"/>
        <w:jc w:val="both"/>
      </w:pPr>
      <w:r>
        <w:rPr>
          <w:w w:val="105"/>
        </w:rPr>
        <w:t>On September 22, 2001, President Bush signed into law the Air Transportation Safety and System Stabilization Act (Stabilization Act). The Stabilization Act provided for up to $5 billion in cash grants to qualifying U.S. airlines and freight carriers to compensate for direct and incremental losses, as defined in the Stabilization Act, from September 11, 2001, through December 31, 2001, associated with the terrorist attacks. Each airline's total eligible grant was determined based on that airline's percentage of available seat miles (ASMs) during August 2001 to total eligible carriers' ASMs for August 2001, less an amount set aside for eligible carriers for whom the use of an ASM formula would result in an insufficient representation of their share of direct and incremental losses.</w:t>
      </w:r>
    </w:p>
    <w:p>
      <w:pPr>
        <w:pStyle w:val="BodyText"/>
        <w:spacing w:line="218" w:lineRule="auto" w:before="221"/>
        <w:ind w:left="115" w:right="107"/>
        <w:jc w:val="both"/>
      </w:pPr>
      <w:r>
        <w:rPr>
          <w:w w:val="105"/>
        </w:rPr>
        <w:t>In 2001, the Department of Transportation (DOT) made a determination of the amount of eligible direct and incremental losses incurred by Southwest, and the Company was allotted 100 percent of its eligible grants, </w:t>
      </w:r>
      <w:r>
        <w:rPr>
          <w:spacing w:val="2"/>
          <w:w w:val="105"/>
        </w:rPr>
        <w:t>totaling $283 million. </w:t>
      </w:r>
      <w:r>
        <w:rPr>
          <w:w w:val="105"/>
        </w:rPr>
        <w:t>The </w:t>
      </w:r>
      <w:r>
        <w:rPr>
          <w:spacing w:val="2"/>
          <w:w w:val="105"/>
        </w:rPr>
        <w:t>Company recognized $235 million </w:t>
      </w:r>
      <w:r>
        <w:rPr>
          <w:w w:val="105"/>
        </w:rPr>
        <w:t>in </w:t>
      </w:r>
      <w:r>
        <w:rPr>
          <w:spacing w:val="2"/>
          <w:w w:val="105"/>
        </w:rPr>
        <w:t>"Other gains" from grants under </w:t>
      </w:r>
      <w:r>
        <w:rPr>
          <w:spacing w:val="3"/>
          <w:w w:val="105"/>
        </w:rPr>
        <w:t>the </w:t>
      </w:r>
      <w:r>
        <w:rPr>
          <w:w w:val="105"/>
        </w:rPr>
        <w:t>Stabilization Act during the second half of 2001 and recognized an additional $48 million as "Other gains" from grants under the Stabilization Act in third quarter 2002 coincident with the receipt of its final payment. Representatives of the DOT or other governmental agencies may perform additional audit and/or review(s)  of the Company's previously submitted final application. While the Stabilization Act is subject to significant </w:t>
      </w:r>
      <w:r>
        <w:rPr>
          <w:spacing w:val="2"/>
          <w:w w:val="105"/>
        </w:rPr>
        <w:t>interpretation </w:t>
      </w:r>
      <w:r>
        <w:rPr>
          <w:w w:val="105"/>
        </w:rPr>
        <w:t>as to </w:t>
      </w:r>
      <w:r>
        <w:rPr>
          <w:spacing w:val="2"/>
          <w:w w:val="105"/>
        </w:rPr>
        <w:t>what constitutes direct </w:t>
      </w:r>
      <w:r>
        <w:rPr>
          <w:w w:val="105"/>
        </w:rPr>
        <w:t>and </w:t>
      </w:r>
      <w:r>
        <w:rPr>
          <w:spacing w:val="2"/>
          <w:w w:val="105"/>
        </w:rPr>
        <w:t>incremental losses, management believes </w:t>
      </w:r>
      <w:r>
        <w:rPr>
          <w:w w:val="105"/>
        </w:rPr>
        <w:t>the </w:t>
      </w:r>
      <w:r>
        <w:rPr>
          <w:spacing w:val="3"/>
          <w:w w:val="105"/>
        </w:rPr>
        <w:t>Company’s </w:t>
      </w:r>
      <w:r>
        <w:rPr>
          <w:spacing w:val="2"/>
          <w:w w:val="105"/>
        </w:rPr>
        <w:t>eligible direct </w:t>
      </w:r>
      <w:r>
        <w:rPr>
          <w:w w:val="105"/>
        </w:rPr>
        <w:t>and </w:t>
      </w:r>
      <w:r>
        <w:rPr>
          <w:spacing w:val="2"/>
          <w:w w:val="105"/>
        </w:rPr>
        <w:t>incremental losses </w:t>
      </w:r>
      <w:r>
        <w:rPr>
          <w:w w:val="105"/>
        </w:rPr>
        <w:t>are </w:t>
      </w:r>
      <w:r>
        <w:rPr>
          <w:spacing w:val="2"/>
          <w:w w:val="105"/>
        </w:rPr>
        <w:t>sufficient </w:t>
      </w:r>
      <w:r>
        <w:rPr>
          <w:w w:val="105"/>
        </w:rPr>
        <w:t>to </w:t>
      </w:r>
      <w:r>
        <w:rPr>
          <w:spacing w:val="2"/>
          <w:w w:val="105"/>
        </w:rPr>
        <w:t>retain </w:t>
      </w:r>
      <w:r>
        <w:rPr>
          <w:w w:val="105"/>
        </w:rPr>
        <w:t>100 </w:t>
      </w:r>
      <w:r>
        <w:rPr>
          <w:spacing w:val="2"/>
          <w:w w:val="105"/>
        </w:rPr>
        <w:t>percent </w:t>
      </w:r>
      <w:r>
        <w:rPr>
          <w:w w:val="105"/>
        </w:rPr>
        <w:t>of its </w:t>
      </w:r>
      <w:r>
        <w:rPr>
          <w:spacing w:val="2"/>
          <w:w w:val="105"/>
        </w:rPr>
        <w:t>eligible grant </w:t>
      </w:r>
      <w:r>
        <w:rPr>
          <w:spacing w:val="3"/>
          <w:w w:val="105"/>
        </w:rPr>
        <w:t>following </w:t>
      </w:r>
      <w:r>
        <w:rPr>
          <w:w w:val="105"/>
        </w:rPr>
        <w:t>additional</w:t>
      </w:r>
      <w:r>
        <w:rPr>
          <w:spacing w:val="-16"/>
          <w:w w:val="105"/>
        </w:rPr>
        <w:t> </w:t>
      </w:r>
      <w:r>
        <w:rPr>
          <w:w w:val="105"/>
        </w:rPr>
        <w:t>audits</w:t>
      </w:r>
      <w:r>
        <w:rPr>
          <w:spacing w:val="-16"/>
          <w:w w:val="105"/>
        </w:rPr>
        <w:t> </w:t>
      </w:r>
      <w:r>
        <w:rPr>
          <w:w w:val="105"/>
        </w:rPr>
        <w:t>or</w:t>
      </w:r>
      <w:r>
        <w:rPr>
          <w:spacing w:val="-16"/>
          <w:w w:val="105"/>
        </w:rPr>
        <w:t> </w:t>
      </w:r>
      <w:r>
        <w:rPr>
          <w:w w:val="105"/>
        </w:rPr>
        <w:t>reviews,</w:t>
      </w:r>
      <w:r>
        <w:rPr>
          <w:spacing w:val="-16"/>
          <w:w w:val="105"/>
        </w:rPr>
        <w:t> </w:t>
      </w:r>
      <w:r>
        <w:rPr>
          <w:w w:val="105"/>
        </w:rPr>
        <w:t>should</w:t>
      </w:r>
      <w:r>
        <w:rPr>
          <w:spacing w:val="-16"/>
          <w:w w:val="105"/>
        </w:rPr>
        <w:t> </w:t>
      </w:r>
      <w:r>
        <w:rPr>
          <w:w w:val="105"/>
        </w:rPr>
        <w:t>they</w:t>
      </w:r>
      <w:r>
        <w:rPr>
          <w:spacing w:val="-16"/>
          <w:w w:val="105"/>
        </w:rPr>
        <w:t> </w:t>
      </w:r>
      <w:r>
        <w:rPr>
          <w:w w:val="105"/>
        </w:rPr>
        <w:t>occur.</w:t>
      </w:r>
    </w:p>
    <w:p>
      <w:pPr>
        <w:pStyle w:val="BodyText"/>
        <w:spacing w:line="218" w:lineRule="auto" w:before="221"/>
        <w:ind w:left="115" w:right="106"/>
        <w:jc w:val="both"/>
      </w:pPr>
      <w:r>
        <w:rPr>
          <w:w w:val="105"/>
        </w:rPr>
        <w:t>The Company recorded total special charges of $48 million in 2001 arising from the terrorist attacks, which included a $30 million reduction in "Passenger revenue." Following the terrorist events of September 11, 2001, and the subsequent temporary shutdown of U.S. air space, Southwest temporarily suspended its normal refund policy in order to provide the highest Service to the Company’s Customers, including refunding nonrefundable tickets upon Customer request. As a result, the Company’s refunds during September 2001 and through December 2001 were far above historical refund levels and in excess of the Company’s contractual obligations. Refunds are recorded as a reduction in “Air traffic liability.” Based on these unusually high refunds, the Company estimated that approximately $30 million of these refunds related to revenue previously recognized for estimated forfeited tickets. As a result, the Company reduced third quarter 2001 “Passenger revenue” by $30 million and restored “Air traffic liability” accordingly. Total special charges also included $13 million in "Other operating expenses", primarily related to write-downs of various assets due to impairment. Other miscellaneous charges totaling approximately $5 million were also included in "Other (gains) losses, net."</w:t>
      </w:r>
    </w:p>
    <w:p>
      <w:pPr>
        <w:pStyle w:val="BodyText"/>
        <w:spacing w:line="218" w:lineRule="auto" w:before="217"/>
        <w:ind w:left="115" w:right="106"/>
        <w:jc w:val="both"/>
      </w:pPr>
      <w:r>
        <w:rPr>
          <w:w w:val="105"/>
        </w:rPr>
        <w:t>On April 16, 2003, as a result of the United States war with Iraq, the Emergency Wartime Supplemental Appropriations Act (Wartime Act) was signed into law. Among other items, the legislation included a $2.3 billion government grant for airlines. Southwest received $271 million as its proportional share of the grant during second quarter 2003. This amount is included in “Other (gains) losses” in the accompanying Consolidated Income Statement for 2003. Also as part of the Wartime Act, the Company received approximately $5 million as a reimbursement for the direct cost of reinforcing cockpit doors on all of the Company’s aircraft. The Company accounted for this reimbursement as a reduction of capitalized property and equipment.</w:t>
      </w:r>
    </w:p>
    <w:p>
      <w:pPr>
        <w:spacing w:after="0" w:line="218" w:lineRule="auto"/>
        <w:jc w:val="both"/>
        <w:sectPr>
          <w:pgSz w:w="12240" w:h="15840"/>
          <w:pgMar w:top="1080" w:bottom="280" w:left="1180" w:right="1180"/>
        </w:sectPr>
      </w:pPr>
    </w:p>
    <w:p>
      <w:pPr>
        <w:pStyle w:val="Heading2"/>
        <w:numPr>
          <w:ilvl w:val="0"/>
          <w:numId w:val="5"/>
        </w:numPr>
        <w:tabs>
          <w:tab w:pos="323" w:val="left" w:leader="none"/>
        </w:tabs>
        <w:spacing w:line="240" w:lineRule="auto" w:before="96" w:after="0"/>
        <w:ind w:left="322" w:right="0" w:hanging="206"/>
        <w:jc w:val="both"/>
      </w:pPr>
      <w:bookmarkStart w:name="Commitments" w:id="44"/>
      <w:bookmarkEnd w:id="44"/>
      <w:r>
        <w:rPr>
          <w:b w:val="0"/>
        </w:rPr>
      </w:r>
      <w:bookmarkStart w:name="Accrued Liabilities" w:id="45"/>
      <w:bookmarkEnd w:id="45"/>
      <w:r>
        <w:rPr>
          <w:b w:val="0"/>
        </w:rPr>
      </w:r>
      <w:bookmarkStart w:name="Short-Term Borrowings" w:id="46"/>
      <w:bookmarkEnd w:id="46"/>
      <w:r>
        <w:rPr>
          <w:b w:val="0"/>
        </w:rPr>
      </w:r>
      <w:bookmarkStart w:name="Short-Term Borrowings" w:id="47"/>
      <w:bookmarkEnd w:id="47"/>
      <w:r>
        <w:rPr>
          <w:color w:val="0000FF"/>
          <w:spacing w:val="-4"/>
          <w:w w:val="105"/>
        </w:rPr>
        <w:t>C</w:t>
      </w:r>
      <w:r>
        <w:rPr>
          <w:color w:val="0000FF"/>
          <w:spacing w:val="-4"/>
          <w:w w:val="105"/>
        </w:rPr>
        <w:t>OMMITMENTS</w:t>
      </w:r>
    </w:p>
    <w:p>
      <w:pPr>
        <w:pStyle w:val="BodyText"/>
        <w:spacing w:line="218" w:lineRule="auto" w:before="217"/>
        <w:ind w:left="115" w:right="107"/>
        <w:jc w:val="both"/>
      </w:pPr>
      <w:r>
        <w:rPr>
          <w:spacing w:val="-2"/>
          <w:w w:val="105"/>
        </w:rPr>
        <w:t>The Company's </w:t>
      </w:r>
      <w:r>
        <w:rPr>
          <w:w w:val="105"/>
        </w:rPr>
        <w:t>contractual </w:t>
      </w:r>
      <w:r>
        <w:rPr>
          <w:spacing w:val="-3"/>
          <w:w w:val="105"/>
        </w:rPr>
        <w:t>purchase </w:t>
      </w:r>
      <w:r>
        <w:rPr>
          <w:w w:val="105"/>
        </w:rPr>
        <w:t>commitments consist primarily of scheduled </w:t>
      </w:r>
      <w:r>
        <w:rPr>
          <w:spacing w:val="-3"/>
          <w:w w:val="105"/>
        </w:rPr>
        <w:t>aircraft </w:t>
      </w:r>
      <w:r>
        <w:rPr>
          <w:w w:val="105"/>
        </w:rPr>
        <w:t>acquisitions from Boeing.</w:t>
      </w:r>
      <w:r>
        <w:rPr>
          <w:spacing w:val="27"/>
          <w:w w:val="105"/>
        </w:rPr>
        <w:t> </w:t>
      </w:r>
      <w:r>
        <w:rPr>
          <w:w w:val="105"/>
        </w:rPr>
        <w:t>The</w:t>
      </w:r>
      <w:r>
        <w:rPr>
          <w:spacing w:val="-15"/>
          <w:w w:val="105"/>
        </w:rPr>
        <w:t> </w:t>
      </w:r>
      <w:r>
        <w:rPr>
          <w:w w:val="105"/>
        </w:rPr>
        <w:t>Company</w:t>
      </w:r>
      <w:r>
        <w:rPr>
          <w:spacing w:val="-11"/>
          <w:w w:val="105"/>
        </w:rPr>
        <w:t> </w:t>
      </w:r>
      <w:r>
        <w:rPr>
          <w:spacing w:val="-3"/>
          <w:w w:val="105"/>
        </w:rPr>
        <w:t>has</w:t>
      </w:r>
      <w:r>
        <w:rPr>
          <w:spacing w:val="-11"/>
          <w:w w:val="105"/>
        </w:rPr>
        <w:t> </w:t>
      </w:r>
      <w:r>
        <w:rPr>
          <w:w w:val="105"/>
        </w:rPr>
        <w:t>contractual</w:t>
      </w:r>
      <w:r>
        <w:rPr>
          <w:spacing w:val="-14"/>
          <w:w w:val="105"/>
        </w:rPr>
        <w:t> </w:t>
      </w:r>
      <w:r>
        <w:rPr>
          <w:spacing w:val="-3"/>
          <w:w w:val="105"/>
        </w:rPr>
        <w:t>purchase</w:t>
      </w:r>
      <w:r>
        <w:rPr>
          <w:spacing w:val="-12"/>
          <w:w w:val="105"/>
        </w:rPr>
        <w:t> </w:t>
      </w:r>
      <w:r>
        <w:rPr>
          <w:w w:val="105"/>
        </w:rPr>
        <w:t>commitments</w:t>
      </w:r>
      <w:r>
        <w:rPr>
          <w:spacing w:val="-14"/>
          <w:w w:val="105"/>
        </w:rPr>
        <w:t> </w:t>
      </w:r>
      <w:r>
        <w:rPr>
          <w:spacing w:val="-3"/>
          <w:w w:val="105"/>
        </w:rPr>
        <w:t>with</w:t>
      </w:r>
      <w:r>
        <w:rPr>
          <w:spacing w:val="-14"/>
          <w:w w:val="105"/>
        </w:rPr>
        <w:t> </w:t>
      </w:r>
      <w:r>
        <w:rPr>
          <w:w w:val="105"/>
        </w:rPr>
        <w:t>Boeing</w:t>
      </w:r>
      <w:r>
        <w:rPr>
          <w:spacing w:val="-14"/>
          <w:w w:val="105"/>
        </w:rPr>
        <w:t> </w:t>
      </w:r>
      <w:r>
        <w:rPr>
          <w:w w:val="105"/>
        </w:rPr>
        <w:t>for</w:t>
      </w:r>
      <w:r>
        <w:rPr>
          <w:spacing w:val="-13"/>
          <w:w w:val="105"/>
        </w:rPr>
        <w:t> </w:t>
      </w:r>
      <w:r>
        <w:rPr>
          <w:w w:val="105"/>
        </w:rPr>
        <w:t>46</w:t>
      </w:r>
      <w:r>
        <w:rPr>
          <w:spacing w:val="-14"/>
          <w:w w:val="105"/>
        </w:rPr>
        <w:t> </w:t>
      </w:r>
      <w:r>
        <w:rPr>
          <w:w w:val="105"/>
        </w:rPr>
        <w:t>737-700</w:t>
      </w:r>
      <w:r>
        <w:rPr>
          <w:spacing w:val="-11"/>
          <w:w w:val="105"/>
        </w:rPr>
        <w:t> </w:t>
      </w:r>
      <w:r>
        <w:rPr>
          <w:spacing w:val="-3"/>
          <w:w w:val="105"/>
        </w:rPr>
        <w:t>aircraft</w:t>
      </w:r>
      <w:r>
        <w:rPr>
          <w:spacing w:val="-14"/>
          <w:w w:val="105"/>
        </w:rPr>
        <w:t> </w:t>
      </w:r>
      <w:r>
        <w:rPr>
          <w:w w:val="105"/>
        </w:rPr>
        <w:t>deliveries</w:t>
      </w:r>
      <w:r>
        <w:rPr>
          <w:spacing w:val="-11"/>
          <w:w w:val="105"/>
        </w:rPr>
        <w:t> </w:t>
      </w:r>
      <w:r>
        <w:rPr>
          <w:w w:val="105"/>
        </w:rPr>
        <w:t>in 2004</w:t>
      </w:r>
      <w:r>
        <w:rPr>
          <w:spacing w:val="-5"/>
          <w:w w:val="105"/>
        </w:rPr>
        <w:t> </w:t>
      </w:r>
      <w:r>
        <w:rPr>
          <w:w w:val="105"/>
        </w:rPr>
        <w:t>(plus</w:t>
      </w:r>
      <w:r>
        <w:rPr>
          <w:spacing w:val="-2"/>
          <w:w w:val="105"/>
        </w:rPr>
        <w:t> </w:t>
      </w:r>
      <w:r>
        <w:rPr>
          <w:w w:val="105"/>
        </w:rPr>
        <w:t>one</w:t>
      </w:r>
      <w:r>
        <w:rPr>
          <w:spacing w:val="-3"/>
          <w:w w:val="105"/>
        </w:rPr>
        <w:t> </w:t>
      </w:r>
      <w:r>
        <w:rPr>
          <w:w w:val="105"/>
        </w:rPr>
        <w:t>leased</w:t>
      </w:r>
      <w:r>
        <w:rPr>
          <w:spacing w:val="-9"/>
          <w:w w:val="105"/>
        </w:rPr>
        <w:t> </w:t>
      </w:r>
      <w:r>
        <w:rPr>
          <w:spacing w:val="-3"/>
          <w:w w:val="105"/>
        </w:rPr>
        <w:t>aircraft</w:t>
      </w:r>
      <w:r>
        <w:rPr>
          <w:spacing w:val="-1"/>
          <w:w w:val="105"/>
        </w:rPr>
        <w:t> </w:t>
      </w:r>
      <w:r>
        <w:rPr>
          <w:w w:val="105"/>
        </w:rPr>
        <w:t>to</w:t>
      </w:r>
      <w:r>
        <w:rPr>
          <w:spacing w:val="-1"/>
          <w:w w:val="105"/>
        </w:rPr>
        <w:t> </w:t>
      </w:r>
      <w:r>
        <w:rPr>
          <w:w w:val="105"/>
        </w:rPr>
        <w:t>be</w:t>
      </w:r>
      <w:r>
        <w:rPr>
          <w:spacing w:val="-6"/>
          <w:w w:val="105"/>
        </w:rPr>
        <w:t> </w:t>
      </w:r>
      <w:r>
        <w:rPr>
          <w:w w:val="105"/>
        </w:rPr>
        <w:t>delivered</w:t>
      </w:r>
      <w:r>
        <w:rPr>
          <w:spacing w:val="-1"/>
          <w:w w:val="105"/>
        </w:rPr>
        <w:t> </w:t>
      </w:r>
      <w:r>
        <w:rPr>
          <w:spacing w:val="-3"/>
          <w:w w:val="105"/>
        </w:rPr>
        <w:t>new</w:t>
      </w:r>
      <w:r>
        <w:rPr>
          <w:spacing w:val="-5"/>
          <w:w w:val="105"/>
        </w:rPr>
        <w:t> </w:t>
      </w:r>
      <w:r>
        <w:rPr>
          <w:w w:val="105"/>
        </w:rPr>
        <w:t>from</w:t>
      </w:r>
      <w:r>
        <w:rPr>
          <w:spacing w:val="-7"/>
          <w:w w:val="105"/>
        </w:rPr>
        <w:t> </w:t>
      </w:r>
      <w:r>
        <w:rPr>
          <w:w w:val="105"/>
        </w:rPr>
        <w:t>a</w:t>
      </w:r>
      <w:r>
        <w:rPr>
          <w:spacing w:val="-3"/>
          <w:w w:val="105"/>
        </w:rPr>
        <w:t> </w:t>
      </w:r>
      <w:r>
        <w:rPr>
          <w:w w:val="105"/>
        </w:rPr>
        <w:t>third</w:t>
      </w:r>
      <w:r>
        <w:rPr>
          <w:spacing w:val="-1"/>
          <w:w w:val="105"/>
        </w:rPr>
        <w:t> </w:t>
      </w:r>
      <w:r>
        <w:rPr>
          <w:w w:val="105"/>
        </w:rPr>
        <w:t>party),</w:t>
      </w:r>
      <w:r>
        <w:rPr>
          <w:spacing w:val="-8"/>
          <w:w w:val="105"/>
        </w:rPr>
        <w:t> </w:t>
      </w:r>
      <w:r>
        <w:rPr>
          <w:w w:val="105"/>
        </w:rPr>
        <w:t>28</w:t>
      </w:r>
      <w:r>
        <w:rPr>
          <w:spacing w:val="-1"/>
          <w:w w:val="105"/>
        </w:rPr>
        <w:t> </w:t>
      </w:r>
      <w:r>
        <w:rPr>
          <w:w w:val="105"/>
        </w:rPr>
        <w:t>scheduled</w:t>
      </w:r>
      <w:r>
        <w:rPr>
          <w:spacing w:val="-1"/>
          <w:w w:val="105"/>
        </w:rPr>
        <w:t> </w:t>
      </w:r>
      <w:r>
        <w:rPr>
          <w:w w:val="105"/>
        </w:rPr>
        <w:t>for</w:t>
      </w:r>
      <w:r>
        <w:rPr>
          <w:spacing w:val="-10"/>
          <w:w w:val="105"/>
        </w:rPr>
        <w:t> </w:t>
      </w:r>
      <w:r>
        <w:rPr>
          <w:w w:val="105"/>
        </w:rPr>
        <w:t>delivery</w:t>
      </w:r>
      <w:r>
        <w:rPr>
          <w:spacing w:val="-1"/>
          <w:w w:val="105"/>
        </w:rPr>
        <w:t> </w:t>
      </w:r>
      <w:r>
        <w:rPr>
          <w:w w:val="105"/>
        </w:rPr>
        <w:t>in</w:t>
      </w:r>
      <w:r>
        <w:rPr>
          <w:spacing w:val="-1"/>
          <w:w w:val="105"/>
        </w:rPr>
        <w:t> </w:t>
      </w:r>
      <w:r>
        <w:rPr>
          <w:w w:val="105"/>
        </w:rPr>
        <w:t>2005,</w:t>
      </w:r>
      <w:r>
        <w:rPr>
          <w:spacing w:val="-8"/>
          <w:w w:val="105"/>
        </w:rPr>
        <w:t> </w:t>
      </w:r>
      <w:r>
        <w:rPr>
          <w:w w:val="105"/>
        </w:rPr>
        <w:t>22</w:t>
      </w:r>
      <w:r>
        <w:rPr>
          <w:spacing w:val="-5"/>
          <w:w w:val="105"/>
        </w:rPr>
        <w:t> </w:t>
      </w:r>
      <w:r>
        <w:rPr>
          <w:w w:val="105"/>
        </w:rPr>
        <w:t>in 2006, 25 in 2007, and 6 in 2008. </w:t>
      </w:r>
      <w:r>
        <w:rPr>
          <w:spacing w:val="-3"/>
          <w:w w:val="105"/>
        </w:rPr>
        <w:t>In </w:t>
      </w:r>
      <w:r>
        <w:rPr>
          <w:w w:val="105"/>
        </w:rPr>
        <w:t>addition, the </w:t>
      </w:r>
      <w:r>
        <w:rPr>
          <w:spacing w:val="-3"/>
          <w:w w:val="105"/>
        </w:rPr>
        <w:t>Company </w:t>
      </w:r>
      <w:r>
        <w:rPr>
          <w:w w:val="105"/>
        </w:rPr>
        <w:t>has options to </w:t>
      </w:r>
      <w:r>
        <w:rPr>
          <w:spacing w:val="-3"/>
          <w:w w:val="105"/>
        </w:rPr>
        <w:t>purchase </w:t>
      </w:r>
      <w:r>
        <w:rPr>
          <w:w w:val="105"/>
        </w:rPr>
        <w:t>up to 52 737-700s during 2005-2008</w:t>
      </w:r>
      <w:r>
        <w:rPr>
          <w:spacing w:val="-12"/>
          <w:w w:val="105"/>
        </w:rPr>
        <w:t> </w:t>
      </w:r>
      <w:r>
        <w:rPr>
          <w:w w:val="105"/>
        </w:rPr>
        <w:t>and</w:t>
      </w:r>
      <w:r>
        <w:rPr>
          <w:spacing w:val="-19"/>
          <w:w w:val="105"/>
        </w:rPr>
        <w:t> </w:t>
      </w:r>
      <w:r>
        <w:rPr>
          <w:w w:val="105"/>
        </w:rPr>
        <w:t>purchase</w:t>
      </w:r>
      <w:r>
        <w:rPr>
          <w:spacing w:val="-17"/>
          <w:w w:val="105"/>
        </w:rPr>
        <w:t> </w:t>
      </w:r>
      <w:r>
        <w:rPr>
          <w:w w:val="105"/>
        </w:rPr>
        <w:t>rights</w:t>
      </w:r>
      <w:r>
        <w:rPr>
          <w:spacing w:val="-15"/>
          <w:w w:val="105"/>
        </w:rPr>
        <w:t> </w:t>
      </w:r>
      <w:r>
        <w:rPr>
          <w:w w:val="105"/>
        </w:rPr>
        <w:t>for</w:t>
      </w:r>
      <w:r>
        <w:rPr>
          <w:spacing w:val="-17"/>
          <w:w w:val="105"/>
        </w:rPr>
        <w:t> </w:t>
      </w:r>
      <w:r>
        <w:rPr>
          <w:spacing w:val="-3"/>
          <w:w w:val="105"/>
        </w:rPr>
        <w:t>an</w:t>
      </w:r>
      <w:r>
        <w:rPr>
          <w:spacing w:val="-15"/>
          <w:w w:val="105"/>
        </w:rPr>
        <w:t> </w:t>
      </w:r>
      <w:r>
        <w:rPr>
          <w:w w:val="105"/>
        </w:rPr>
        <w:t>additional</w:t>
      </w:r>
      <w:r>
        <w:rPr>
          <w:spacing w:val="-12"/>
          <w:w w:val="105"/>
        </w:rPr>
        <w:t> </w:t>
      </w:r>
      <w:r>
        <w:rPr>
          <w:w w:val="105"/>
        </w:rPr>
        <w:t>217</w:t>
      </w:r>
      <w:r>
        <w:rPr>
          <w:spacing w:val="-15"/>
          <w:w w:val="105"/>
        </w:rPr>
        <w:t> </w:t>
      </w:r>
      <w:r>
        <w:rPr>
          <w:w w:val="105"/>
        </w:rPr>
        <w:t>737-700s</w:t>
      </w:r>
      <w:r>
        <w:rPr>
          <w:spacing w:val="-12"/>
          <w:w w:val="105"/>
        </w:rPr>
        <w:t> </w:t>
      </w:r>
      <w:r>
        <w:rPr>
          <w:w w:val="105"/>
        </w:rPr>
        <w:t>during</w:t>
      </w:r>
      <w:r>
        <w:rPr>
          <w:spacing w:val="-15"/>
          <w:w w:val="105"/>
        </w:rPr>
        <w:t> </w:t>
      </w:r>
      <w:r>
        <w:rPr>
          <w:w w:val="105"/>
        </w:rPr>
        <w:t>2007-2012.</w:t>
      </w:r>
      <w:r>
        <w:rPr>
          <w:spacing w:val="-21"/>
          <w:w w:val="105"/>
        </w:rPr>
        <w:t> </w:t>
      </w:r>
      <w:r>
        <w:rPr>
          <w:w w:val="105"/>
        </w:rPr>
        <w:t>The</w:t>
      </w:r>
      <w:r>
        <w:rPr>
          <w:spacing w:val="-13"/>
          <w:w w:val="105"/>
        </w:rPr>
        <w:t> </w:t>
      </w:r>
      <w:r>
        <w:rPr>
          <w:w w:val="105"/>
        </w:rPr>
        <w:t>Company</w:t>
      </w:r>
      <w:r>
        <w:rPr>
          <w:spacing w:val="-15"/>
          <w:w w:val="105"/>
        </w:rPr>
        <w:t> </w:t>
      </w:r>
      <w:r>
        <w:rPr>
          <w:w w:val="105"/>
        </w:rPr>
        <w:t>has</w:t>
      </w:r>
      <w:r>
        <w:rPr>
          <w:spacing w:val="-15"/>
          <w:w w:val="105"/>
        </w:rPr>
        <w:t> </w:t>
      </w:r>
      <w:r>
        <w:rPr>
          <w:w w:val="105"/>
        </w:rPr>
        <w:t>the</w:t>
      </w:r>
      <w:r>
        <w:rPr>
          <w:spacing w:val="-17"/>
          <w:w w:val="105"/>
        </w:rPr>
        <w:t> </w:t>
      </w:r>
      <w:r>
        <w:rPr>
          <w:w w:val="105"/>
        </w:rPr>
        <w:t>option, which</w:t>
      </w:r>
      <w:r>
        <w:rPr>
          <w:spacing w:val="-13"/>
          <w:w w:val="105"/>
        </w:rPr>
        <w:t> </w:t>
      </w:r>
      <w:r>
        <w:rPr>
          <w:w w:val="105"/>
        </w:rPr>
        <w:t>must</w:t>
      </w:r>
      <w:r>
        <w:rPr>
          <w:spacing w:val="-5"/>
          <w:w w:val="105"/>
        </w:rPr>
        <w:t> </w:t>
      </w:r>
      <w:r>
        <w:rPr>
          <w:w w:val="105"/>
        </w:rPr>
        <w:t>be</w:t>
      </w:r>
      <w:r>
        <w:rPr>
          <w:spacing w:val="-11"/>
          <w:w w:val="105"/>
        </w:rPr>
        <w:t> </w:t>
      </w:r>
      <w:r>
        <w:rPr>
          <w:spacing w:val="-3"/>
          <w:w w:val="105"/>
        </w:rPr>
        <w:t>exercised</w:t>
      </w:r>
      <w:r>
        <w:rPr>
          <w:spacing w:val="-5"/>
          <w:w w:val="105"/>
        </w:rPr>
        <w:t> </w:t>
      </w:r>
      <w:r>
        <w:rPr>
          <w:w w:val="105"/>
        </w:rPr>
        <w:t>two</w:t>
      </w:r>
      <w:r>
        <w:rPr>
          <w:spacing w:val="-5"/>
          <w:w w:val="105"/>
        </w:rPr>
        <w:t> </w:t>
      </w:r>
      <w:r>
        <w:rPr>
          <w:spacing w:val="-3"/>
          <w:w w:val="105"/>
        </w:rPr>
        <w:t>years</w:t>
      </w:r>
      <w:r>
        <w:rPr>
          <w:spacing w:val="-9"/>
          <w:w w:val="105"/>
        </w:rPr>
        <w:t> </w:t>
      </w:r>
      <w:r>
        <w:rPr>
          <w:w w:val="105"/>
        </w:rPr>
        <w:t>prior</w:t>
      </w:r>
      <w:r>
        <w:rPr>
          <w:spacing w:val="-8"/>
          <w:w w:val="105"/>
        </w:rPr>
        <w:t> </w:t>
      </w:r>
      <w:r>
        <w:rPr>
          <w:w w:val="105"/>
        </w:rPr>
        <w:t>to</w:t>
      </w:r>
      <w:r>
        <w:rPr>
          <w:spacing w:val="-5"/>
          <w:w w:val="105"/>
        </w:rPr>
        <w:t> </w:t>
      </w:r>
      <w:r>
        <w:rPr>
          <w:w w:val="105"/>
        </w:rPr>
        <w:t>the</w:t>
      </w:r>
      <w:r>
        <w:rPr>
          <w:spacing w:val="-7"/>
          <w:w w:val="105"/>
        </w:rPr>
        <w:t> </w:t>
      </w:r>
      <w:r>
        <w:rPr>
          <w:spacing w:val="-3"/>
          <w:w w:val="105"/>
        </w:rPr>
        <w:t>contractual</w:t>
      </w:r>
      <w:r>
        <w:rPr>
          <w:spacing w:val="-9"/>
          <w:w w:val="105"/>
        </w:rPr>
        <w:t> </w:t>
      </w:r>
      <w:r>
        <w:rPr>
          <w:w w:val="105"/>
        </w:rPr>
        <w:t>delivery</w:t>
      </w:r>
      <w:r>
        <w:rPr>
          <w:spacing w:val="-5"/>
          <w:w w:val="105"/>
        </w:rPr>
        <w:t> </w:t>
      </w:r>
      <w:r>
        <w:rPr>
          <w:spacing w:val="-3"/>
          <w:w w:val="105"/>
        </w:rPr>
        <w:t>date,</w:t>
      </w:r>
      <w:r>
        <w:rPr>
          <w:spacing w:val="-8"/>
          <w:w w:val="105"/>
        </w:rPr>
        <w:t> </w:t>
      </w:r>
      <w:r>
        <w:rPr>
          <w:w w:val="105"/>
        </w:rPr>
        <w:t>to</w:t>
      </w:r>
      <w:r>
        <w:rPr>
          <w:spacing w:val="-5"/>
          <w:w w:val="105"/>
        </w:rPr>
        <w:t> </w:t>
      </w:r>
      <w:r>
        <w:rPr>
          <w:w w:val="105"/>
        </w:rPr>
        <w:t>substitute</w:t>
      </w:r>
      <w:r>
        <w:rPr>
          <w:spacing w:val="-7"/>
          <w:w w:val="105"/>
        </w:rPr>
        <w:t> </w:t>
      </w:r>
      <w:r>
        <w:rPr>
          <w:w w:val="105"/>
        </w:rPr>
        <w:t>737-600s</w:t>
      </w:r>
      <w:r>
        <w:rPr>
          <w:spacing w:val="-13"/>
          <w:w w:val="105"/>
        </w:rPr>
        <w:t> </w:t>
      </w:r>
      <w:r>
        <w:rPr>
          <w:w w:val="105"/>
        </w:rPr>
        <w:t>or</w:t>
      </w:r>
      <w:r>
        <w:rPr>
          <w:spacing w:val="-8"/>
          <w:w w:val="105"/>
        </w:rPr>
        <w:t> </w:t>
      </w:r>
      <w:r>
        <w:rPr>
          <w:w w:val="105"/>
        </w:rPr>
        <w:t>737-800s</w:t>
      </w:r>
      <w:r>
        <w:rPr>
          <w:spacing w:val="-5"/>
          <w:w w:val="105"/>
        </w:rPr>
        <w:t> </w:t>
      </w:r>
      <w:r>
        <w:rPr>
          <w:w w:val="105"/>
        </w:rPr>
        <w:t>for the</w:t>
      </w:r>
      <w:r>
        <w:rPr>
          <w:spacing w:val="-17"/>
          <w:w w:val="105"/>
        </w:rPr>
        <w:t> </w:t>
      </w:r>
      <w:r>
        <w:rPr>
          <w:w w:val="105"/>
        </w:rPr>
        <w:t>737-700s.</w:t>
      </w:r>
      <w:r>
        <w:rPr>
          <w:spacing w:val="18"/>
          <w:w w:val="105"/>
        </w:rPr>
        <w:t> </w:t>
      </w:r>
      <w:r>
        <w:rPr>
          <w:spacing w:val="-4"/>
          <w:w w:val="105"/>
        </w:rPr>
        <w:t>As</w:t>
      </w:r>
      <w:r>
        <w:rPr>
          <w:spacing w:val="-15"/>
          <w:w w:val="105"/>
        </w:rPr>
        <w:t> </w:t>
      </w:r>
      <w:r>
        <w:rPr>
          <w:w w:val="105"/>
        </w:rPr>
        <w:t>of</w:t>
      </w:r>
      <w:r>
        <w:rPr>
          <w:spacing w:val="-17"/>
          <w:w w:val="105"/>
        </w:rPr>
        <w:t> </w:t>
      </w:r>
      <w:r>
        <w:rPr>
          <w:spacing w:val="-3"/>
          <w:w w:val="105"/>
        </w:rPr>
        <w:t>December</w:t>
      </w:r>
      <w:r>
        <w:rPr>
          <w:spacing w:val="-23"/>
          <w:w w:val="105"/>
        </w:rPr>
        <w:t> </w:t>
      </w:r>
      <w:r>
        <w:rPr>
          <w:w w:val="105"/>
        </w:rPr>
        <w:t>31,</w:t>
      </w:r>
      <w:r>
        <w:rPr>
          <w:spacing w:val="-18"/>
          <w:w w:val="105"/>
        </w:rPr>
        <w:t> </w:t>
      </w:r>
      <w:r>
        <w:rPr>
          <w:w w:val="105"/>
        </w:rPr>
        <w:t>2003,</w:t>
      </w:r>
      <w:r>
        <w:rPr>
          <w:spacing w:val="-18"/>
          <w:w w:val="105"/>
        </w:rPr>
        <w:t> </w:t>
      </w:r>
      <w:r>
        <w:rPr>
          <w:w w:val="105"/>
        </w:rPr>
        <w:t>aggregate</w:t>
      </w:r>
      <w:r>
        <w:rPr>
          <w:spacing w:val="-20"/>
          <w:w w:val="105"/>
        </w:rPr>
        <w:t> </w:t>
      </w:r>
      <w:r>
        <w:rPr>
          <w:w w:val="105"/>
        </w:rPr>
        <w:t>funding</w:t>
      </w:r>
      <w:r>
        <w:rPr>
          <w:spacing w:val="-15"/>
          <w:w w:val="105"/>
        </w:rPr>
        <w:t> </w:t>
      </w:r>
      <w:r>
        <w:rPr>
          <w:w w:val="105"/>
        </w:rPr>
        <w:t>needed</w:t>
      </w:r>
      <w:r>
        <w:rPr>
          <w:spacing w:val="-15"/>
          <w:w w:val="105"/>
        </w:rPr>
        <w:t> </w:t>
      </w:r>
      <w:r>
        <w:rPr>
          <w:spacing w:val="-3"/>
          <w:w w:val="105"/>
        </w:rPr>
        <w:t>for</w:t>
      </w:r>
      <w:r>
        <w:rPr>
          <w:spacing w:val="-20"/>
          <w:w w:val="105"/>
        </w:rPr>
        <w:t> </w:t>
      </w:r>
      <w:r>
        <w:rPr>
          <w:w w:val="105"/>
        </w:rPr>
        <w:t>firm</w:t>
      </w:r>
      <w:r>
        <w:rPr>
          <w:spacing w:val="-17"/>
          <w:w w:val="105"/>
        </w:rPr>
        <w:t> </w:t>
      </w:r>
      <w:r>
        <w:rPr>
          <w:w w:val="105"/>
        </w:rPr>
        <w:t>commitments</w:t>
      </w:r>
      <w:r>
        <w:rPr>
          <w:spacing w:val="-19"/>
          <w:w w:val="105"/>
        </w:rPr>
        <w:t> </w:t>
      </w:r>
      <w:r>
        <w:rPr>
          <w:w w:val="105"/>
        </w:rPr>
        <w:t>is</w:t>
      </w:r>
      <w:r>
        <w:rPr>
          <w:spacing w:val="-19"/>
          <w:w w:val="105"/>
        </w:rPr>
        <w:t> </w:t>
      </w:r>
      <w:r>
        <w:rPr>
          <w:w w:val="105"/>
        </w:rPr>
        <w:t>approximately</w:t>
      </w:r>
      <w:r>
        <w:rPr>
          <w:spacing w:val="-15"/>
          <w:w w:val="105"/>
        </w:rPr>
        <w:t> </w:t>
      </w:r>
      <w:r>
        <w:rPr>
          <w:w w:val="105"/>
        </w:rPr>
        <w:t>$3.2 billion, subject to adjustments for inflation, due as follows: $1.2 billion in 2004, $776 million in 2005, $645 million</w:t>
      </w:r>
      <w:r>
        <w:rPr>
          <w:spacing w:val="-20"/>
          <w:w w:val="105"/>
        </w:rPr>
        <w:t> </w:t>
      </w:r>
      <w:r>
        <w:rPr>
          <w:w w:val="105"/>
        </w:rPr>
        <w:t>in</w:t>
      </w:r>
      <w:r>
        <w:rPr>
          <w:spacing w:val="-20"/>
          <w:w w:val="105"/>
        </w:rPr>
        <w:t> </w:t>
      </w:r>
      <w:r>
        <w:rPr>
          <w:w w:val="105"/>
        </w:rPr>
        <w:t>2006,</w:t>
      </w:r>
      <w:r>
        <w:rPr>
          <w:spacing w:val="-25"/>
          <w:w w:val="105"/>
        </w:rPr>
        <w:t> </w:t>
      </w:r>
      <w:r>
        <w:rPr>
          <w:w w:val="105"/>
        </w:rPr>
        <w:t>$524</w:t>
      </w:r>
      <w:r>
        <w:rPr>
          <w:spacing w:val="-23"/>
          <w:w w:val="105"/>
        </w:rPr>
        <w:t> </w:t>
      </w:r>
      <w:r>
        <w:rPr>
          <w:w w:val="105"/>
        </w:rPr>
        <w:t>million</w:t>
      </w:r>
      <w:r>
        <w:rPr>
          <w:spacing w:val="-20"/>
          <w:w w:val="105"/>
        </w:rPr>
        <w:t> </w:t>
      </w:r>
      <w:r>
        <w:rPr>
          <w:w w:val="105"/>
        </w:rPr>
        <w:t>in</w:t>
      </w:r>
      <w:r>
        <w:rPr>
          <w:spacing w:val="-20"/>
          <w:w w:val="105"/>
        </w:rPr>
        <w:t> </w:t>
      </w:r>
      <w:r>
        <w:rPr>
          <w:w w:val="105"/>
        </w:rPr>
        <w:t>2007,</w:t>
      </w:r>
      <w:r>
        <w:rPr>
          <w:spacing w:val="-25"/>
          <w:w w:val="105"/>
        </w:rPr>
        <w:t> </w:t>
      </w:r>
      <w:r>
        <w:rPr>
          <w:w w:val="105"/>
        </w:rPr>
        <w:t>and</w:t>
      </w:r>
      <w:r>
        <w:rPr>
          <w:spacing w:val="-20"/>
          <w:w w:val="105"/>
        </w:rPr>
        <w:t> </w:t>
      </w:r>
      <w:r>
        <w:rPr>
          <w:w w:val="105"/>
        </w:rPr>
        <w:t>$95</w:t>
      </w:r>
      <w:r>
        <w:rPr>
          <w:spacing w:val="-23"/>
          <w:w w:val="105"/>
        </w:rPr>
        <w:t> </w:t>
      </w:r>
      <w:r>
        <w:rPr>
          <w:w w:val="105"/>
        </w:rPr>
        <w:t>million</w:t>
      </w:r>
      <w:r>
        <w:rPr>
          <w:spacing w:val="-23"/>
          <w:w w:val="105"/>
        </w:rPr>
        <w:t> </w:t>
      </w:r>
      <w:r>
        <w:rPr>
          <w:w w:val="105"/>
        </w:rPr>
        <w:t>in</w:t>
      </w:r>
      <w:r>
        <w:rPr>
          <w:spacing w:val="-23"/>
          <w:w w:val="105"/>
        </w:rPr>
        <w:t> </w:t>
      </w:r>
      <w:r>
        <w:rPr>
          <w:w w:val="105"/>
        </w:rPr>
        <w:t>2008.</w:t>
      </w:r>
    </w:p>
    <w:p>
      <w:pPr>
        <w:pStyle w:val="BodyText"/>
        <w:spacing w:line="218" w:lineRule="auto" w:before="222"/>
        <w:ind w:left="115" w:right="106"/>
        <w:jc w:val="both"/>
      </w:pPr>
      <w:r>
        <w:rPr>
          <w:spacing w:val="-3"/>
          <w:w w:val="105"/>
        </w:rPr>
        <w:t>In November</w:t>
      </w:r>
      <w:r>
        <w:rPr>
          <w:spacing w:val="-9"/>
          <w:w w:val="105"/>
        </w:rPr>
        <w:t> </w:t>
      </w:r>
      <w:r>
        <w:rPr>
          <w:w w:val="105"/>
        </w:rPr>
        <w:t>2001,</w:t>
      </w:r>
      <w:r>
        <w:rPr>
          <w:spacing w:val="-6"/>
          <w:w w:val="105"/>
        </w:rPr>
        <w:t> </w:t>
      </w:r>
      <w:r>
        <w:rPr>
          <w:w w:val="105"/>
        </w:rPr>
        <w:t>in</w:t>
      </w:r>
      <w:r>
        <w:rPr>
          <w:spacing w:val="-3"/>
          <w:w w:val="105"/>
        </w:rPr>
        <w:t> </w:t>
      </w:r>
      <w:r>
        <w:rPr>
          <w:w w:val="105"/>
        </w:rPr>
        <w:t>response</w:t>
      </w:r>
      <w:r>
        <w:rPr>
          <w:spacing w:val="-9"/>
          <w:w w:val="105"/>
        </w:rPr>
        <w:t> </w:t>
      </w:r>
      <w:r>
        <w:rPr>
          <w:w w:val="105"/>
        </w:rPr>
        <w:t>to</w:t>
      </w:r>
      <w:r>
        <w:rPr>
          <w:spacing w:val="-11"/>
          <w:w w:val="105"/>
        </w:rPr>
        <w:t> </w:t>
      </w:r>
      <w:r>
        <w:rPr>
          <w:spacing w:val="-3"/>
          <w:w w:val="105"/>
        </w:rPr>
        <w:t>decreased </w:t>
      </w:r>
      <w:r>
        <w:rPr>
          <w:w w:val="105"/>
        </w:rPr>
        <w:t>demand</w:t>
      </w:r>
      <w:r>
        <w:rPr>
          <w:spacing w:val="-3"/>
          <w:w w:val="105"/>
        </w:rPr>
        <w:t> </w:t>
      </w:r>
      <w:r>
        <w:rPr>
          <w:w w:val="105"/>
        </w:rPr>
        <w:t>for</w:t>
      </w:r>
      <w:r>
        <w:rPr>
          <w:spacing w:val="-9"/>
          <w:w w:val="105"/>
        </w:rPr>
        <w:t> </w:t>
      </w:r>
      <w:r>
        <w:rPr>
          <w:w w:val="105"/>
        </w:rPr>
        <w:t>air</w:t>
      </w:r>
      <w:r>
        <w:rPr>
          <w:spacing w:val="-9"/>
          <w:w w:val="105"/>
        </w:rPr>
        <w:t> </w:t>
      </w:r>
      <w:r>
        <w:rPr>
          <w:w w:val="105"/>
        </w:rPr>
        <w:t>travel</w:t>
      </w:r>
      <w:r>
        <w:rPr>
          <w:spacing w:val="-7"/>
          <w:w w:val="105"/>
        </w:rPr>
        <w:t> </w:t>
      </w:r>
      <w:r>
        <w:rPr>
          <w:w w:val="105"/>
        </w:rPr>
        <w:t>following</w:t>
      </w:r>
      <w:r>
        <w:rPr>
          <w:spacing w:val="-3"/>
          <w:w w:val="105"/>
        </w:rPr>
        <w:t> </w:t>
      </w:r>
      <w:r>
        <w:rPr>
          <w:w w:val="105"/>
        </w:rPr>
        <w:t>the</w:t>
      </w:r>
      <w:r>
        <w:rPr>
          <w:spacing w:val="-6"/>
          <w:w w:val="105"/>
        </w:rPr>
        <w:t> </w:t>
      </w:r>
      <w:r>
        <w:rPr>
          <w:w w:val="105"/>
        </w:rPr>
        <w:t>terrorist</w:t>
      </w:r>
      <w:r>
        <w:rPr>
          <w:spacing w:val="-11"/>
          <w:w w:val="105"/>
        </w:rPr>
        <w:t> </w:t>
      </w:r>
      <w:r>
        <w:rPr>
          <w:w w:val="105"/>
        </w:rPr>
        <w:t>attacks,</w:t>
      </w:r>
      <w:r>
        <w:rPr>
          <w:spacing w:val="-6"/>
          <w:w w:val="105"/>
        </w:rPr>
        <w:t> </w:t>
      </w:r>
      <w:r>
        <w:rPr>
          <w:w w:val="105"/>
        </w:rPr>
        <w:t>the</w:t>
      </w:r>
      <w:r>
        <w:rPr>
          <w:spacing w:val="-9"/>
          <w:w w:val="105"/>
        </w:rPr>
        <w:t> </w:t>
      </w:r>
      <w:r>
        <w:rPr>
          <w:w w:val="105"/>
        </w:rPr>
        <w:t>Company modified</w:t>
      </w:r>
      <w:r>
        <w:rPr>
          <w:spacing w:val="-5"/>
          <w:w w:val="105"/>
        </w:rPr>
        <w:t> </w:t>
      </w:r>
      <w:r>
        <w:rPr>
          <w:w w:val="105"/>
        </w:rPr>
        <w:t>its</w:t>
      </w:r>
      <w:r>
        <w:rPr>
          <w:spacing w:val="-2"/>
          <w:w w:val="105"/>
        </w:rPr>
        <w:t> </w:t>
      </w:r>
      <w:r>
        <w:rPr>
          <w:w w:val="105"/>
        </w:rPr>
        <w:t>schedule</w:t>
      </w:r>
      <w:r>
        <w:rPr>
          <w:spacing w:val="-7"/>
          <w:w w:val="105"/>
        </w:rPr>
        <w:t> </w:t>
      </w:r>
      <w:r>
        <w:rPr>
          <w:w w:val="105"/>
        </w:rPr>
        <w:t>for</w:t>
      </w:r>
      <w:r>
        <w:rPr>
          <w:spacing w:val="-3"/>
          <w:w w:val="105"/>
        </w:rPr>
        <w:t> </w:t>
      </w:r>
      <w:r>
        <w:rPr>
          <w:w w:val="105"/>
        </w:rPr>
        <w:t>future</w:t>
      </w:r>
      <w:r>
        <w:rPr>
          <w:spacing w:val="-7"/>
          <w:w w:val="105"/>
        </w:rPr>
        <w:t> </w:t>
      </w:r>
      <w:r>
        <w:rPr>
          <w:spacing w:val="-3"/>
          <w:w w:val="105"/>
        </w:rPr>
        <w:t>aircraft</w:t>
      </w:r>
      <w:r>
        <w:rPr>
          <w:spacing w:val="-1"/>
          <w:w w:val="105"/>
        </w:rPr>
        <w:t> </w:t>
      </w:r>
      <w:r>
        <w:rPr>
          <w:w w:val="105"/>
        </w:rPr>
        <w:t>deliveries</w:t>
      </w:r>
      <w:r>
        <w:rPr>
          <w:spacing w:val="-2"/>
          <w:w w:val="105"/>
        </w:rPr>
        <w:t> </w:t>
      </w:r>
      <w:r>
        <w:rPr>
          <w:w w:val="105"/>
        </w:rPr>
        <w:t>to</w:t>
      </w:r>
      <w:r>
        <w:rPr>
          <w:spacing w:val="-1"/>
          <w:w w:val="105"/>
        </w:rPr>
        <w:t> </w:t>
      </w:r>
      <w:r>
        <w:rPr>
          <w:w w:val="105"/>
        </w:rPr>
        <w:t>defer</w:t>
      </w:r>
      <w:r>
        <w:rPr>
          <w:spacing w:val="-7"/>
          <w:w w:val="105"/>
        </w:rPr>
        <w:t> </w:t>
      </w:r>
      <w:r>
        <w:rPr>
          <w:w w:val="105"/>
        </w:rPr>
        <w:t>the</w:t>
      </w:r>
      <w:r>
        <w:rPr>
          <w:spacing w:val="-3"/>
          <w:w w:val="105"/>
        </w:rPr>
        <w:t> </w:t>
      </w:r>
      <w:r>
        <w:rPr>
          <w:w w:val="105"/>
        </w:rPr>
        <w:t>acquisition</w:t>
      </w:r>
      <w:r>
        <w:rPr>
          <w:spacing w:val="-5"/>
          <w:w w:val="105"/>
        </w:rPr>
        <w:t> </w:t>
      </w:r>
      <w:r>
        <w:rPr>
          <w:w w:val="105"/>
        </w:rPr>
        <w:t>of</w:t>
      </w:r>
      <w:r>
        <w:rPr>
          <w:spacing w:val="-7"/>
          <w:w w:val="105"/>
        </w:rPr>
        <w:t> </w:t>
      </w:r>
      <w:r>
        <w:rPr>
          <w:w w:val="105"/>
        </w:rPr>
        <w:t>19</w:t>
      </w:r>
      <w:r>
        <w:rPr>
          <w:spacing w:val="-1"/>
          <w:w w:val="105"/>
        </w:rPr>
        <w:t> </w:t>
      </w:r>
      <w:r>
        <w:rPr>
          <w:spacing w:val="-3"/>
          <w:w w:val="105"/>
        </w:rPr>
        <w:t>new</w:t>
      </w:r>
      <w:r>
        <w:rPr>
          <w:spacing w:val="-5"/>
          <w:w w:val="105"/>
        </w:rPr>
        <w:t> </w:t>
      </w:r>
      <w:r>
        <w:rPr>
          <w:w w:val="105"/>
        </w:rPr>
        <w:t>737-700</w:t>
      </w:r>
      <w:r>
        <w:rPr>
          <w:spacing w:val="-1"/>
          <w:w w:val="105"/>
        </w:rPr>
        <w:t> </w:t>
      </w:r>
      <w:r>
        <w:rPr>
          <w:spacing w:val="-3"/>
          <w:w w:val="105"/>
        </w:rPr>
        <w:t>aircraft</w:t>
      </w:r>
      <w:r>
        <w:rPr>
          <w:spacing w:val="-5"/>
          <w:w w:val="105"/>
        </w:rPr>
        <w:t> </w:t>
      </w:r>
      <w:r>
        <w:rPr>
          <w:w w:val="105"/>
        </w:rPr>
        <w:t>that</w:t>
      </w:r>
      <w:r>
        <w:rPr>
          <w:spacing w:val="-5"/>
          <w:w w:val="105"/>
        </w:rPr>
        <w:t> </w:t>
      </w:r>
      <w:r>
        <w:rPr>
          <w:spacing w:val="-4"/>
          <w:w w:val="105"/>
        </w:rPr>
        <w:t>were </w:t>
      </w:r>
      <w:r>
        <w:rPr>
          <w:w w:val="105"/>
        </w:rPr>
        <w:t>either </w:t>
      </w:r>
      <w:r>
        <w:rPr>
          <w:spacing w:val="-3"/>
          <w:w w:val="105"/>
        </w:rPr>
        <w:t>already </w:t>
      </w:r>
      <w:r>
        <w:rPr>
          <w:w w:val="105"/>
        </w:rPr>
        <w:t>in production </w:t>
      </w:r>
      <w:r>
        <w:rPr>
          <w:spacing w:val="-3"/>
          <w:w w:val="105"/>
        </w:rPr>
        <w:t>at </w:t>
      </w:r>
      <w:r>
        <w:rPr>
          <w:w w:val="105"/>
        </w:rPr>
        <w:t>Boeing or </w:t>
      </w:r>
      <w:r>
        <w:rPr>
          <w:spacing w:val="-4"/>
          <w:w w:val="105"/>
        </w:rPr>
        <w:t>were </w:t>
      </w:r>
      <w:r>
        <w:rPr>
          <w:w w:val="105"/>
        </w:rPr>
        <w:t>scheduled to be built through </w:t>
      </w:r>
      <w:r>
        <w:rPr>
          <w:spacing w:val="-3"/>
          <w:w w:val="105"/>
        </w:rPr>
        <w:t>April </w:t>
      </w:r>
      <w:r>
        <w:rPr>
          <w:w w:val="105"/>
        </w:rPr>
        <w:t>2002. </w:t>
      </w:r>
      <w:r>
        <w:rPr>
          <w:spacing w:val="-2"/>
          <w:w w:val="105"/>
        </w:rPr>
        <w:t>The </w:t>
      </w:r>
      <w:r>
        <w:rPr>
          <w:w w:val="105"/>
        </w:rPr>
        <w:t>Company accomplished</w:t>
      </w:r>
      <w:r>
        <w:rPr>
          <w:spacing w:val="-7"/>
          <w:w w:val="105"/>
        </w:rPr>
        <w:t> </w:t>
      </w:r>
      <w:r>
        <w:rPr>
          <w:w w:val="105"/>
        </w:rPr>
        <w:t>this</w:t>
      </w:r>
      <w:r>
        <w:rPr>
          <w:spacing w:val="-7"/>
          <w:w w:val="105"/>
        </w:rPr>
        <w:t> </w:t>
      </w:r>
      <w:r>
        <w:rPr>
          <w:w w:val="105"/>
        </w:rPr>
        <w:t>by</w:t>
      </w:r>
      <w:r>
        <w:rPr>
          <w:spacing w:val="-7"/>
          <w:w w:val="105"/>
        </w:rPr>
        <w:t> </w:t>
      </w:r>
      <w:r>
        <w:rPr>
          <w:w w:val="105"/>
        </w:rPr>
        <w:t>entering</w:t>
      </w:r>
      <w:r>
        <w:rPr>
          <w:spacing w:val="-11"/>
          <w:w w:val="105"/>
        </w:rPr>
        <w:t> </w:t>
      </w:r>
      <w:r>
        <w:rPr>
          <w:w w:val="105"/>
        </w:rPr>
        <w:t>into</w:t>
      </w:r>
      <w:r>
        <w:rPr>
          <w:spacing w:val="-7"/>
          <w:w w:val="105"/>
        </w:rPr>
        <w:t> </w:t>
      </w:r>
      <w:r>
        <w:rPr>
          <w:w w:val="105"/>
        </w:rPr>
        <w:t>a</w:t>
      </w:r>
      <w:r>
        <w:rPr>
          <w:spacing w:val="-9"/>
          <w:w w:val="105"/>
        </w:rPr>
        <w:t> </w:t>
      </w:r>
      <w:r>
        <w:rPr>
          <w:w w:val="105"/>
        </w:rPr>
        <w:t>trust</w:t>
      </w:r>
      <w:r>
        <w:rPr>
          <w:spacing w:val="-7"/>
          <w:w w:val="105"/>
        </w:rPr>
        <w:t> </w:t>
      </w:r>
      <w:r>
        <w:rPr>
          <w:spacing w:val="-3"/>
          <w:w w:val="105"/>
        </w:rPr>
        <w:t>arrangement</w:t>
      </w:r>
      <w:r>
        <w:rPr>
          <w:spacing w:val="-7"/>
          <w:w w:val="105"/>
        </w:rPr>
        <w:t> </w:t>
      </w:r>
      <w:r>
        <w:rPr>
          <w:spacing w:val="-3"/>
          <w:w w:val="105"/>
        </w:rPr>
        <w:t>with</w:t>
      </w:r>
      <w:r>
        <w:rPr>
          <w:spacing w:val="-7"/>
          <w:w w:val="105"/>
        </w:rPr>
        <w:t> </w:t>
      </w:r>
      <w:r>
        <w:rPr>
          <w:w w:val="105"/>
        </w:rPr>
        <w:t>a</w:t>
      </w:r>
      <w:r>
        <w:rPr>
          <w:spacing w:val="-13"/>
          <w:w w:val="105"/>
        </w:rPr>
        <w:t> </w:t>
      </w:r>
      <w:r>
        <w:rPr>
          <w:w w:val="105"/>
        </w:rPr>
        <w:t>special</w:t>
      </w:r>
      <w:r>
        <w:rPr>
          <w:spacing w:val="-11"/>
          <w:w w:val="105"/>
        </w:rPr>
        <w:t> </w:t>
      </w:r>
      <w:r>
        <w:rPr>
          <w:w w:val="105"/>
        </w:rPr>
        <w:t>purpose</w:t>
      </w:r>
      <w:r>
        <w:rPr>
          <w:spacing w:val="-13"/>
          <w:w w:val="105"/>
        </w:rPr>
        <w:t> </w:t>
      </w:r>
      <w:r>
        <w:rPr>
          <w:w w:val="105"/>
        </w:rPr>
        <w:t>entity</w:t>
      </w:r>
      <w:r>
        <w:rPr>
          <w:spacing w:val="-7"/>
          <w:w w:val="105"/>
        </w:rPr>
        <w:t> </w:t>
      </w:r>
      <w:r>
        <w:rPr>
          <w:w w:val="105"/>
        </w:rPr>
        <w:t>(the</w:t>
      </w:r>
      <w:r>
        <w:rPr>
          <w:spacing w:val="-9"/>
          <w:w w:val="105"/>
        </w:rPr>
        <w:t> </w:t>
      </w:r>
      <w:r>
        <w:rPr>
          <w:w w:val="105"/>
        </w:rPr>
        <w:t>Trust)</w:t>
      </w:r>
      <w:r>
        <w:rPr>
          <w:spacing w:val="-13"/>
          <w:w w:val="105"/>
        </w:rPr>
        <w:t> </w:t>
      </w:r>
      <w:r>
        <w:rPr>
          <w:w w:val="105"/>
        </w:rPr>
        <w:t>and</w:t>
      </w:r>
      <w:r>
        <w:rPr>
          <w:spacing w:val="-7"/>
          <w:w w:val="105"/>
        </w:rPr>
        <w:t> </w:t>
      </w:r>
      <w:r>
        <w:rPr>
          <w:w w:val="105"/>
        </w:rPr>
        <w:t>assigned</w:t>
      </w:r>
      <w:r>
        <w:rPr>
          <w:spacing w:val="-11"/>
          <w:w w:val="105"/>
        </w:rPr>
        <w:t> </w:t>
      </w:r>
      <w:r>
        <w:rPr>
          <w:w w:val="105"/>
        </w:rPr>
        <w:t>its purchase </w:t>
      </w:r>
      <w:r>
        <w:rPr>
          <w:spacing w:val="-3"/>
          <w:w w:val="105"/>
        </w:rPr>
        <w:t>agreement with </w:t>
      </w:r>
      <w:r>
        <w:rPr>
          <w:w w:val="105"/>
        </w:rPr>
        <w:t>Boeing to the Trust </w:t>
      </w:r>
      <w:r>
        <w:rPr>
          <w:spacing w:val="-3"/>
          <w:w w:val="105"/>
        </w:rPr>
        <w:t>with </w:t>
      </w:r>
      <w:r>
        <w:rPr>
          <w:w w:val="105"/>
        </w:rPr>
        <w:t>respect to the 19 </w:t>
      </w:r>
      <w:r>
        <w:rPr>
          <w:spacing w:val="-3"/>
          <w:w w:val="105"/>
        </w:rPr>
        <w:t>aircraft </w:t>
      </w:r>
      <w:r>
        <w:rPr>
          <w:w w:val="105"/>
        </w:rPr>
        <w:t>originally scheduled for delivery </w:t>
      </w:r>
      <w:r>
        <w:rPr>
          <w:spacing w:val="-3"/>
          <w:w w:val="105"/>
        </w:rPr>
        <w:t>between September </w:t>
      </w:r>
      <w:r>
        <w:rPr>
          <w:w w:val="105"/>
        </w:rPr>
        <w:t>2001 </w:t>
      </w:r>
      <w:r>
        <w:rPr>
          <w:spacing w:val="-3"/>
          <w:w w:val="105"/>
        </w:rPr>
        <w:t>and </w:t>
      </w:r>
      <w:r>
        <w:rPr>
          <w:w w:val="105"/>
        </w:rPr>
        <w:t>April 2002. Southwest subsequently </w:t>
      </w:r>
      <w:r>
        <w:rPr>
          <w:spacing w:val="-3"/>
          <w:w w:val="105"/>
        </w:rPr>
        <w:t>entered </w:t>
      </w:r>
      <w:r>
        <w:rPr>
          <w:w w:val="105"/>
        </w:rPr>
        <w:t>into a purchase </w:t>
      </w:r>
      <w:r>
        <w:rPr>
          <w:spacing w:val="-3"/>
          <w:w w:val="105"/>
        </w:rPr>
        <w:t>agreement </w:t>
      </w:r>
      <w:r>
        <w:rPr>
          <w:w w:val="105"/>
        </w:rPr>
        <w:t>with the Trust to purchase the </w:t>
      </w:r>
      <w:r>
        <w:rPr>
          <w:spacing w:val="-3"/>
          <w:w w:val="105"/>
        </w:rPr>
        <w:t>aircraft at </w:t>
      </w:r>
      <w:r>
        <w:rPr>
          <w:w w:val="105"/>
        </w:rPr>
        <w:t>new delivery </w:t>
      </w:r>
      <w:r>
        <w:rPr>
          <w:spacing w:val="-3"/>
          <w:w w:val="105"/>
        </w:rPr>
        <w:t>dates </w:t>
      </w:r>
      <w:r>
        <w:rPr>
          <w:w w:val="105"/>
        </w:rPr>
        <w:t>from January 2002 to </w:t>
      </w:r>
      <w:r>
        <w:rPr>
          <w:spacing w:val="-3"/>
          <w:w w:val="105"/>
        </w:rPr>
        <w:t>April </w:t>
      </w:r>
      <w:r>
        <w:rPr>
          <w:w w:val="105"/>
        </w:rPr>
        <w:t>2003. </w:t>
      </w:r>
      <w:r>
        <w:rPr>
          <w:spacing w:val="-4"/>
          <w:w w:val="105"/>
        </w:rPr>
        <w:t>The </w:t>
      </w:r>
      <w:r>
        <w:rPr>
          <w:w w:val="105"/>
        </w:rPr>
        <w:t>Trust </w:t>
      </w:r>
      <w:r>
        <w:rPr>
          <w:spacing w:val="-3"/>
          <w:w w:val="105"/>
        </w:rPr>
        <w:t>was formed to </w:t>
      </w:r>
      <w:r>
        <w:rPr>
          <w:w w:val="105"/>
        </w:rPr>
        <w:t>facilitate the financing of the Company’s </w:t>
      </w:r>
      <w:r>
        <w:rPr>
          <w:spacing w:val="-3"/>
          <w:w w:val="105"/>
        </w:rPr>
        <w:t>near-term aircraft </w:t>
      </w:r>
      <w:r>
        <w:rPr>
          <w:w w:val="105"/>
        </w:rPr>
        <w:t>purchase obligations </w:t>
      </w:r>
      <w:r>
        <w:rPr>
          <w:spacing w:val="-3"/>
          <w:w w:val="105"/>
        </w:rPr>
        <w:t>with </w:t>
      </w:r>
      <w:r>
        <w:rPr>
          <w:w w:val="105"/>
        </w:rPr>
        <w:t>Boeing. </w:t>
      </w:r>
      <w:r>
        <w:rPr>
          <w:spacing w:val="-2"/>
          <w:w w:val="105"/>
        </w:rPr>
        <w:t>The </w:t>
      </w:r>
      <w:r>
        <w:rPr>
          <w:spacing w:val="-3"/>
          <w:w w:val="105"/>
        </w:rPr>
        <w:t>Trust </w:t>
      </w:r>
      <w:r>
        <w:rPr>
          <w:w w:val="105"/>
        </w:rPr>
        <w:t>purchased</w:t>
      </w:r>
      <w:r>
        <w:rPr>
          <w:spacing w:val="-14"/>
          <w:w w:val="105"/>
        </w:rPr>
        <w:t> </w:t>
      </w:r>
      <w:r>
        <w:rPr>
          <w:w w:val="105"/>
        </w:rPr>
        <w:t>11</w:t>
      </w:r>
      <w:r>
        <w:rPr>
          <w:spacing w:val="-10"/>
          <w:w w:val="105"/>
        </w:rPr>
        <w:t> </w:t>
      </w:r>
      <w:r>
        <w:rPr>
          <w:w w:val="105"/>
        </w:rPr>
        <w:t>of</w:t>
      </w:r>
      <w:r>
        <w:rPr>
          <w:spacing w:val="-15"/>
          <w:w w:val="105"/>
        </w:rPr>
        <w:t> </w:t>
      </w:r>
      <w:r>
        <w:rPr>
          <w:w w:val="105"/>
        </w:rPr>
        <w:t>the</w:t>
      </w:r>
      <w:r>
        <w:rPr>
          <w:spacing w:val="-11"/>
          <w:w w:val="105"/>
        </w:rPr>
        <w:t> </w:t>
      </w:r>
      <w:r>
        <w:rPr>
          <w:spacing w:val="-3"/>
          <w:w w:val="105"/>
        </w:rPr>
        <w:t>aircraft</w:t>
      </w:r>
      <w:r>
        <w:rPr>
          <w:spacing w:val="-14"/>
          <w:w w:val="105"/>
        </w:rPr>
        <w:t> </w:t>
      </w:r>
      <w:r>
        <w:rPr>
          <w:w w:val="105"/>
        </w:rPr>
        <w:t>in</w:t>
      </w:r>
      <w:r>
        <w:rPr>
          <w:spacing w:val="-14"/>
          <w:w w:val="105"/>
        </w:rPr>
        <w:t> </w:t>
      </w:r>
      <w:r>
        <w:rPr>
          <w:w w:val="105"/>
        </w:rPr>
        <w:t>2001</w:t>
      </w:r>
      <w:r>
        <w:rPr>
          <w:spacing w:val="-10"/>
          <w:w w:val="105"/>
        </w:rPr>
        <w:t> </w:t>
      </w:r>
      <w:r>
        <w:rPr>
          <w:w w:val="105"/>
        </w:rPr>
        <w:t>and</w:t>
      </w:r>
      <w:r>
        <w:rPr>
          <w:spacing w:val="-17"/>
          <w:w w:val="105"/>
        </w:rPr>
        <w:t> </w:t>
      </w:r>
      <w:r>
        <w:rPr>
          <w:w w:val="105"/>
        </w:rPr>
        <w:t>eight</w:t>
      </w:r>
      <w:r>
        <w:rPr>
          <w:spacing w:val="-10"/>
          <w:w w:val="105"/>
        </w:rPr>
        <w:t> </w:t>
      </w:r>
      <w:r>
        <w:rPr>
          <w:spacing w:val="-3"/>
          <w:w w:val="105"/>
        </w:rPr>
        <w:t>aircraft</w:t>
      </w:r>
      <w:r>
        <w:rPr>
          <w:spacing w:val="-14"/>
          <w:w w:val="105"/>
        </w:rPr>
        <w:t> </w:t>
      </w:r>
      <w:r>
        <w:rPr>
          <w:w w:val="105"/>
        </w:rPr>
        <w:t>in</w:t>
      </w:r>
      <w:r>
        <w:rPr>
          <w:spacing w:val="-10"/>
          <w:w w:val="105"/>
        </w:rPr>
        <w:t> </w:t>
      </w:r>
      <w:r>
        <w:rPr>
          <w:w w:val="105"/>
        </w:rPr>
        <w:t>2002.</w:t>
      </w:r>
      <w:r>
        <w:rPr>
          <w:spacing w:val="-20"/>
          <w:w w:val="105"/>
        </w:rPr>
        <w:t> </w:t>
      </w:r>
      <w:r>
        <w:rPr>
          <w:w w:val="105"/>
        </w:rPr>
        <w:t>For</w:t>
      </w:r>
      <w:r>
        <w:rPr>
          <w:spacing w:val="-15"/>
          <w:w w:val="105"/>
        </w:rPr>
        <w:t> </w:t>
      </w:r>
      <w:r>
        <w:rPr>
          <w:w w:val="105"/>
        </w:rPr>
        <w:t>these</w:t>
      </w:r>
      <w:r>
        <w:rPr>
          <w:spacing w:val="-11"/>
          <w:w w:val="105"/>
        </w:rPr>
        <w:t> </w:t>
      </w:r>
      <w:r>
        <w:rPr>
          <w:w w:val="105"/>
        </w:rPr>
        <w:t>19</w:t>
      </w:r>
      <w:r>
        <w:rPr>
          <w:spacing w:val="-17"/>
          <w:w w:val="105"/>
        </w:rPr>
        <w:t> </w:t>
      </w:r>
      <w:r>
        <w:rPr>
          <w:w w:val="105"/>
        </w:rPr>
        <w:t>Trust</w:t>
      </w:r>
      <w:r>
        <w:rPr>
          <w:spacing w:val="-10"/>
          <w:w w:val="105"/>
        </w:rPr>
        <w:t> </w:t>
      </w:r>
      <w:r>
        <w:rPr>
          <w:spacing w:val="-3"/>
          <w:w w:val="105"/>
        </w:rPr>
        <w:t>aircraft,</w:t>
      </w:r>
      <w:r>
        <w:rPr>
          <w:spacing w:val="-20"/>
          <w:w w:val="105"/>
        </w:rPr>
        <w:t> </w:t>
      </w:r>
      <w:r>
        <w:rPr>
          <w:w w:val="105"/>
        </w:rPr>
        <w:t>the</w:t>
      </w:r>
      <w:r>
        <w:rPr>
          <w:spacing w:val="-11"/>
          <w:w w:val="105"/>
        </w:rPr>
        <w:t> </w:t>
      </w:r>
      <w:r>
        <w:rPr>
          <w:w w:val="105"/>
        </w:rPr>
        <w:t>Company</w:t>
      </w:r>
      <w:r>
        <w:rPr>
          <w:spacing w:val="-14"/>
          <w:w w:val="105"/>
        </w:rPr>
        <w:t> </w:t>
      </w:r>
      <w:r>
        <w:rPr>
          <w:spacing w:val="-3"/>
          <w:w w:val="105"/>
        </w:rPr>
        <w:t>recorded </w:t>
      </w:r>
      <w:r>
        <w:rPr>
          <w:w w:val="105"/>
        </w:rPr>
        <w:t>the associated assets ("Flight </w:t>
      </w:r>
      <w:r>
        <w:rPr>
          <w:spacing w:val="-3"/>
          <w:w w:val="105"/>
        </w:rPr>
        <w:t>equipment") </w:t>
      </w:r>
      <w:r>
        <w:rPr>
          <w:w w:val="105"/>
        </w:rPr>
        <w:t>and liabilities </w:t>
      </w:r>
      <w:r>
        <w:rPr>
          <w:spacing w:val="-3"/>
          <w:w w:val="105"/>
        </w:rPr>
        <w:t>("Aircraft </w:t>
      </w:r>
      <w:r>
        <w:rPr>
          <w:w w:val="105"/>
        </w:rPr>
        <w:t>purchase obligations") in its financial statements</w:t>
      </w:r>
      <w:r>
        <w:rPr>
          <w:spacing w:val="-16"/>
          <w:w w:val="105"/>
        </w:rPr>
        <w:t> </w:t>
      </w:r>
      <w:r>
        <w:rPr>
          <w:w w:val="105"/>
        </w:rPr>
        <w:t>as</w:t>
      </w:r>
      <w:r>
        <w:rPr>
          <w:spacing w:val="-19"/>
          <w:w w:val="105"/>
        </w:rPr>
        <w:t> </w:t>
      </w:r>
      <w:r>
        <w:rPr>
          <w:w w:val="105"/>
        </w:rPr>
        <w:t>the</w:t>
      </w:r>
      <w:r>
        <w:rPr>
          <w:spacing w:val="-17"/>
          <w:w w:val="105"/>
        </w:rPr>
        <w:t> </w:t>
      </w:r>
      <w:r>
        <w:rPr>
          <w:spacing w:val="-3"/>
          <w:w w:val="105"/>
        </w:rPr>
        <w:t>aircraft</w:t>
      </w:r>
      <w:r>
        <w:rPr>
          <w:spacing w:val="-16"/>
          <w:w w:val="105"/>
        </w:rPr>
        <w:t> </w:t>
      </w:r>
      <w:r>
        <w:rPr>
          <w:spacing w:val="-4"/>
          <w:w w:val="105"/>
        </w:rPr>
        <w:t>were</w:t>
      </w:r>
      <w:r>
        <w:rPr>
          <w:spacing w:val="-17"/>
          <w:w w:val="105"/>
        </w:rPr>
        <w:t> </w:t>
      </w:r>
      <w:r>
        <w:rPr>
          <w:w w:val="105"/>
        </w:rPr>
        <w:t>completed</w:t>
      </w:r>
      <w:r>
        <w:rPr>
          <w:spacing w:val="-12"/>
          <w:w w:val="105"/>
        </w:rPr>
        <w:t> </w:t>
      </w:r>
      <w:r>
        <w:rPr>
          <w:w w:val="105"/>
        </w:rPr>
        <w:t>by</w:t>
      </w:r>
      <w:r>
        <w:rPr>
          <w:spacing w:val="-16"/>
          <w:w w:val="105"/>
        </w:rPr>
        <w:t> </w:t>
      </w:r>
      <w:r>
        <w:rPr>
          <w:w w:val="105"/>
        </w:rPr>
        <w:t>Boeing</w:t>
      </w:r>
      <w:r>
        <w:rPr>
          <w:spacing w:val="-16"/>
          <w:w w:val="105"/>
        </w:rPr>
        <w:t> </w:t>
      </w:r>
      <w:r>
        <w:rPr>
          <w:spacing w:val="-3"/>
          <w:w w:val="105"/>
        </w:rPr>
        <w:t>and</w:t>
      </w:r>
      <w:r>
        <w:rPr>
          <w:spacing w:val="-16"/>
          <w:w w:val="105"/>
        </w:rPr>
        <w:t> </w:t>
      </w:r>
      <w:r>
        <w:rPr>
          <w:w w:val="105"/>
        </w:rPr>
        <w:t>delivered</w:t>
      </w:r>
      <w:r>
        <w:rPr>
          <w:spacing w:val="-16"/>
          <w:w w:val="105"/>
        </w:rPr>
        <w:t> </w:t>
      </w:r>
      <w:r>
        <w:rPr>
          <w:w w:val="105"/>
        </w:rPr>
        <w:t>to</w:t>
      </w:r>
      <w:r>
        <w:rPr>
          <w:spacing w:val="-16"/>
          <w:w w:val="105"/>
        </w:rPr>
        <w:t> </w:t>
      </w:r>
      <w:r>
        <w:rPr>
          <w:w w:val="105"/>
        </w:rPr>
        <w:t>the</w:t>
      </w:r>
      <w:r>
        <w:rPr>
          <w:spacing w:val="-21"/>
          <w:w w:val="105"/>
        </w:rPr>
        <w:t> </w:t>
      </w:r>
      <w:r>
        <w:rPr>
          <w:spacing w:val="-2"/>
          <w:w w:val="105"/>
        </w:rPr>
        <w:t>Trust.</w:t>
      </w:r>
      <w:r>
        <w:rPr>
          <w:spacing w:val="21"/>
          <w:w w:val="105"/>
        </w:rPr>
        <w:t> </w:t>
      </w:r>
      <w:r>
        <w:rPr>
          <w:w w:val="105"/>
        </w:rPr>
        <w:t>In</w:t>
      </w:r>
      <w:r>
        <w:rPr>
          <w:spacing w:val="-16"/>
          <w:w w:val="105"/>
        </w:rPr>
        <w:t> </w:t>
      </w:r>
      <w:r>
        <w:rPr>
          <w:w w:val="105"/>
        </w:rPr>
        <w:t>the</w:t>
      </w:r>
      <w:r>
        <w:rPr>
          <w:spacing w:val="-17"/>
          <w:w w:val="105"/>
        </w:rPr>
        <w:t> </w:t>
      </w:r>
      <w:r>
        <w:rPr>
          <w:w w:val="105"/>
        </w:rPr>
        <w:t>Consolidated</w:t>
      </w:r>
      <w:r>
        <w:rPr>
          <w:spacing w:val="-16"/>
          <w:w w:val="105"/>
        </w:rPr>
        <w:t> </w:t>
      </w:r>
      <w:r>
        <w:rPr>
          <w:spacing w:val="-3"/>
          <w:w w:val="105"/>
        </w:rPr>
        <w:t>Statement</w:t>
      </w:r>
      <w:r>
        <w:rPr>
          <w:spacing w:val="-16"/>
          <w:w w:val="105"/>
        </w:rPr>
        <w:t> </w:t>
      </w:r>
      <w:r>
        <w:rPr>
          <w:w w:val="105"/>
        </w:rPr>
        <w:t>of Cash Flows, the </w:t>
      </w:r>
      <w:r>
        <w:rPr>
          <w:spacing w:val="-3"/>
          <w:w w:val="105"/>
        </w:rPr>
        <w:t>Trust’s receipt </w:t>
      </w:r>
      <w:r>
        <w:rPr>
          <w:w w:val="105"/>
        </w:rPr>
        <w:t>of these </w:t>
      </w:r>
      <w:r>
        <w:rPr>
          <w:spacing w:val="-3"/>
          <w:w w:val="105"/>
        </w:rPr>
        <w:t>aircraft was </w:t>
      </w:r>
      <w:r>
        <w:rPr>
          <w:w w:val="105"/>
        </w:rPr>
        <w:t>recorded </w:t>
      </w:r>
      <w:r>
        <w:rPr>
          <w:spacing w:val="-3"/>
          <w:w w:val="105"/>
        </w:rPr>
        <w:t>as “Purchases </w:t>
      </w:r>
      <w:r>
        <w:rPr>
          <w:w w:val="105"/>
        </w:rPr>
        <w:t>of property and equipment” and </w:t>
      </w:r>
      <w:r>
        <w:rPr>
          <w:spacing w:val="-3"/>
          <w:w w:val="105"/>
        </w:rPr>
        <w:t>“Proceeds </w:t>
      </w:r>
      <w:r>
        <w:rPr>
          <w:w w:val="105"/>
        </w:rPr>
        <w:t>from trust </w:t>
      </w:r>
      <w:r>
        <w:rPr>
          <w:spacing w:val="-3"/>
          <w:w w:val="105"/>
        </w:rPr>
        <w:t>arrangement.” During </w:t>
      </w:r>
      <w:r>
        <w:rPr>
          <w:w w:val="105"/>
        </w:rPr>
        <w:t>2002, the Company </w:t>
      </w:r>
      <w:r>
        <w:rPr>
          <w:spacing w:val="-3"/>
          <w:w w:val="105"/>
        </w:rPr>
        <w:t>accelerated </w:t>
      </w:r>
      <w:r>
        <w:rPr>
          <w:w w:val="105"/>
        </w:rPr>
        <w:t>the deliveries from the Trust </w:t>
      </w:r>
      <w:r>
        <w:rPr>
          <w:spacing w:val="-3"/>
          <w:w w:val="105"/>
        </w:rPr>
        <w:t>and </w:t>
      </w:r>
      <w:r>
        <w:rPr>
          <w:w w:val="105"/>
        </w:rPr>
        <w:t>accepted</w:t>
      </w:r>
      <w:r>
        <w:rPr>
          <w:spacing w:val="-9"/>
          <w:w w:val="105"/>
        </w:rPr>
        <w:t> </w:t>
      </w:r>
      <w:r>
        <w:rPr>
          <w:w w:val="105"/>
        </w:rPr>
        <w:t>delivery</w:t>
      </w:r>
      <w:r>
        <w:rPr>
          <w:spacing w:val="-5"/>
          <w:w w:val="105"/>
        </w:rPr>
        <w:t> </w:t>
      </w:r>
      <w:r>
        <w:rPr>
          <w:w w:val="105"/>
        </w:rPr>
        <w:t>of</w:t>
      </w:r>
      <w:r>
        <w:rPr>
          <w:spacing w:val="-10"/>
          <w:w w:val="105"/>
        </w:rPr>
        <w:t> </w:t>
      </w:r>
      <w:r>
        <w:rPr>
          <w:w w:val="105"/>
        </w:rPr>
        <w:t>all</w:t>
      </w:r>
      <w:r>
        <w:rPr>
          <w:spacing w:val="-9"/>
          <w:w w:val="105"/>
        </w:rPr>
        <w:t> </w:t>
      </w:r>
      <w:r>
        <w:rPr>
          <w:w w:val="105"/>
        </w:rPr>
        <w:t>19</w:t>
      </w:r>
      <w:r>
        <w:rPr>
          <w:spacing w:val="-5"/>
          <w:w w:val="105"/>
        </w:rPr>
        <w:t> </w:t>
      </w:r>
      <w:r>
        <w:rPr>
          <w:spacing w:val="-3"/>
          <w:w w:val="105"/>
        </w:rPr>
        <w:t>aircraft,</w:t>
      </w:r>
      <w:r>
        <w:rPr>
          <w:spacing w:val="-12"/>
          <w:w w:val="105"/>
        </w:rPr>
        <w:t> </w:t>
      </w:r>
      <w:r>
        <w:rPr>
          <w:w w:val="105"/>
        </w:rPr>
        <w:t>thereby</w:t>
      </w:r>
      <w:r>
        <w:rPr>
          <w:spacing w:val="-13"/>
          <w:w w:val="105"/>
        </w:rPr>
        <w:t> </w:t>
      </w:r>
      <w:r>
        <w:rPr>
          <w:w w:val="105"/>
        </w:rPr>
        <w:t>terminating</w:t>
      </w:r>
      <w:r>
        <w:rPr>
          <w:spacing w:val="-5"/>
          <w:w w:val="105"/>
        </w:rPr>
        <w:t> </w:t>
      </w:r>
      <w:r>
        <w:rPr>
          <w:w w:val="105"/>
        </w:rPr>
        <w:t>the</w:t>
      </w:r>
      <w:r>
        <w:rPr>
          <w:spacing w:val="-10"/>
          <w:w w:val="105"/>
        </w:rPr>
        <w:t> </w:t>
      </w:r>
      <w:r>
        <w:rPr>
          <w:spacing w:val="-2"/>
          <w:w w:val="105"/>
        </w:rPr>
        <w:t>Trust.</w:t>
      </w:r>
      <w:r>
        <w:rPr>
          <w:spacing w:val="37"/>
          <w:w w:val="105"/>
        </w:rPr>
        <w:t> </w:t>
      </w:r>
      <w:r>
        <w:rPr>
          <w:w w:val="105"/>
        </w:rPr>
        <w:t>The</w:t>
      </w:r>
      <w:r>
        <w:rPr>
          <w:spacing w:val="-6"/>
          <w:w w:val="105"/>
        </w:rPr>
        <w:t> </w:t>
      </w:r>
      <w:r>
        <w:rPr>
          <w:spacing w:val="-3"/>
          <w:w w:val="105"/>
        </w:rPr>
        <w:t>receipt</w:t>
      </w:r>
      <w:r>
        <w:rPr>
          <w:spacing w:val="-5"/>
          <w:w w:val="105"/>
        </w:rPr>
        <w:t> </w:t>
      </w:r>
      <w:r>
        <w:rPr>
          <w:w w:val="105"/>
        </w:rPr>
        <w:t>of</w:t>
      </w:r>
      <w:r>
        <w:rPr>
          <w:spacing w:val="-10"/>
          <w:w w:val="105"/>
        </w:rPr>
        <w:t> </w:t>
      </w:r>
      <w:r>
        <w:rPr>
          <w:w w:val="105"/>
        </w:rPr>
        <w:t>the</w:t>
      </w:r>
      <w:r>
        <w:rPr>
          <w:spacing w:val="-10"/>
          <w:w w:val="105"/>
        </w:rPr>
        <w:t> </w:t>
      </w:r>
      <w:r>
        <w:rPr>
          <w:spacing w:val="-3"/>
          <w:w w:val="105"/>
        </w:rPr>
        <w:t>aircraft</w:t>
      </w:r>
      <w:r>
        <w:rPr>
          <w:spacing w:val="-5"/>
          <w:w w:val="105"/>
        </w:rPr>
        <w:t> </w:t>
      </w:r>
      <w:r>
        <w:rPr>
          <w:w w:val="105"/>
        </w:rPr>
        <w:t>from</w:t>
      </w:r>
      <w:r>
        <w:rPr>
          <w:spacing w:val="-7"/>
          <w:w w:val="105"/>
        </w:rPr>
        <w:t> </w:t>
      </w:r>
      <w:r>
        <w:rPr>
          <w:w w:val="105"/>
        </w:rPr>
        <w:t>the</w:t>
      </w:r>
      <w:r>
        <w:rPr>
          <w:spacing w:val="-10"/>
          <w:w w:val="105"/>
        </w:rPr>
        <w:t> </w:t>
      </w:r>
      <w:r>
        <w:rPr>
          <w:w w:val="105"/>
        </w:rPr>
        <w:t>Trust</w:t>
      </w:r>
      <w:r>
        <w:rPr>
          <w:spacing w:val="-9"/>
          <w:w w:val="105"/>
        </w:rPr>
        <w:t> </w:t>
      </w:r>
      <w:r>
        <w:rPr>
          <w:spacing w:val="-3"/>
          <w:w w:val="105"/>
        </w:rPr>
        <w:t>was reflected </w:t>
      </w:r>
      <w:r>
        <w:rPr>
          <w:w w:val="105"/>
        </w:rPr>
        <w:t>in the Consolidated </w:t>
      </w:r>
      <w:r>
        <w:rPr>
          <w:spacing w:val="-3"/>
          <w:w w:val="105"/>
        </w:rPr>
        <w:t>Statement </w:t>
      </w:r>
      <w:r>
        <w:rPr>
          <w:w w:val="105"/>
        </w:rPr>
        <w:t>of </w:t>
      </w:r>
      <w:r>
        <w:rPr>
          <w:spacing w:val="-3"/>
          <w:w w:val="105"/>
        </w:rPr>
        <w:t>Cash </w:t>
      </w:r>
      <w:r>
        <w:rPr>
          <w:w w:val="105"/>
        </w:rPr>
        <w:t>Flows as </w:t>
      </w:r>
      <w:r>
        <w:rPr>
          <w:spacing w:val="-3"/>
          <w:w w:val="105"/>
        </w:rPr>
        <w:t>“Payments </w:t>
      </w:r>
      <w:r>
        <w:rPr>
          <w:w w:val="105"/>
        </w:rPr>
        <w:t>of trust </w:t>
      </w:r>
      <w:r>
        <w:rPr>
          <w:spacing w:val="-3"/>
          <w:w w:val="105"/>
        </w:rPr>
        <w:t>arrangement”. </w:t>
      </w:r>
      <w:r>
        <w:rPr>
          <w:w w:val="105"/>
        </w:rPr>
        <w:t>The cost of financing</w:t>
      </w:r>
      <w:r>
        <w:rPr>
          <w:spacing w:val="-33"/>
          <w:w w:val="105"/>
        </w:rPr>
        <w:t> </w:t>
      </w:r>
      <w:r>
        <w:rPr>
          <w:w w:val="105"/>
        </w:rPr>
        <w:t>these</w:t>
      </w:r>
      <w:r>
        <w:rPr>
          <w:spacing w:val="-34"/>
          <w:w w:val="105"/>
        </w:rPr>
        <w:t> </w:t>
      </w:r>
      <w:r>
        <w:rPr>
          <w:spacing w:val="-3"/>
          <w:w w:val="105"/>
        </w:rPr>
        <w:t>aircraft</w:t>
      </w:r>
      <w:r>
        <w:rPr>
          <w:spacing w:val="-35"/>
          <w:w w:val="105"/>
        </w:rPr>
        <w:t> </w:t>
      </w:r>
      <w:r>
        <w:rPr>
          <w:w w:val="105"/>
        </w:rPr>
        <w:t>obligations,</w:t>
      </w:r>
      <w:r>
        <w:rPr>
          <w:spacing w:val="-37"/>
          <w:w w:val="105"/>
        </w:rPr>
        <w:t> </w:t>
      </w:r>
      <w:r>
        <w:rPr>
          <w:w w:val="105"/>
        </w:rPr>
        <w:t>approximately</w:t>
      </w:r>
      <w:r>
        <w:rPr>
          <w:spacing w:val="-33"/>
          <w:w w:val="105"/>
        </w:rPr>
        <w:t> </w:t>
      </w:r>
      <w:r>
        <w:rPr>
          <w:w w:val="105"/>
        </w:rPr>
        <w:t>$5</w:t>
      </w:r>
      <w:r>
        <w:rPr>
          <w:spacing w:val="-33"/>
          <w:w w:val="105"/>
        </w:rPr>
        <w:t> </w:t>
      </w:r>
      <w:r>
        <w:rPr>
          <w:w w:val="105"/>
        </w:rPr>
        <w:t>million,</w:t>
      </w:r>
      <w:r>
        <w:rPr>
          <w:spacing w:val="-35"/>
          <w:w w:val="105"/>
        </w:rPr>
        <w:t> </w:t>
      </w:r>
      <w:r>
        <w:rPr>
          <w:spacing w:val="-3"/>
          <w:w w:val="105"/>
        </w:rPr>
        <w:t>was</w:t>
      </w:r>
      <w:r>
        <w:rPr>
          <w:spacing w:val="-33"/>
          <w:w w:val="105"/>
        </w:rPr>
        <w:t> </w:t>
      </w:r>
      <w:r>
        <w:rPr>
          <w:w w:val="105"/>
        </w:rPr>
        <w:t>expensed.</w:t>
      </w:r>
    </w:p>
    <w:p>
      <w:pPr>
        <w:pStyle w:val="Heading2"/>
        <w:numPr>
          <w:ilvl w:val="0"/>
          <w:numId w:val="5"/>
        </w:numPr>
        <w:tabs>
          <w:tab w:pos="323" w:val="left" w:leader="none"/>
        </w:tabs>
        <w:spacing w:line="240" w:lineRule="auto" w:before="199" w:after="0"/>
        <w:ind w:left="322" w:right="0" w:hanging="207"/>
        <w:jc w:val="both"/>
      </w:pPr>
      <w:r>
        <w:rPr/>
        <w:pict>
          <v:line style="position:absolute;mso-position-horizontal-relative:page;mso-position-vertical-relative:paragraph;z-index:-232216" from="64.320000pt,33.918476pt" to="532.320pt,33.918476pt" stroked="true" strokeweight=".48004pt" strokecolor="#000000">
            <v:stroke dashstyle="solid"/>
            <w10:wrap type="none"/>
          </v:line>
        </w:pict>
      </w:r>
      <w:r>
        <w:rPr/>
        <w:pict>
          <v:line style="position:absolute;mso-position-horizontal-relative:page;mso-position-vertical-relative:paragraph;z-index:-232192" from="64.320000pt,48.318504pt" to="532.320pt,48.318504pt" stroked="true" strokeweight=".47998pt" strokecolor="#000000">
            <v:stroke dashstyle="solid"/>
            <w10:wrap type="none"/>
          </v:line>
        </w:pict>
      </w:r>
      <w:r>
        <w:rPr>
          <w:color w:val="0000FF"/>
          <w:spacing w:val="-5"/>
        </w:rPr>
        <w:t>ACCRUED </w:t>
      </w:r>
      <w:r>
        <w:rPr>
          <w:color w:val="0000FF"/>
          <w:spacing w:val="18"/>
        </w:rPr>
        <w:t> </w:t>
      </w:r>
      <w:r>
        <w:rPr>
          <w:color w:val="0000FF"/>
          <w:spacing w:val="-3"/>
        </w:rPr>
        <w:t>LIABILITIES</w:t>
      </w:r>
    </w:p>
    <w:p>
      <w:pPr>
        <w:pStyle w:val="BodyText"/>
        <w:spacing w:before="3"/>
        <w:rPr>
          <w:b/>
          <w:sz w:val="16"/>
        </w:rPr>
      </w:pPr>
    </w:p>
    <w:tbl>
      <w:tblPr>
        <w:tblW w:w="0" w:type="auto"/>
        <w:jc w:val="left"/>
        <w:tblInd w:w="13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322"/>
        <w:gridCol w:w="2161"/>
        <w:gridCol w:w="1060"/>
        <w:gridCol w:w="1777"/>
        <w:gridCol w:w="780"/>
      </w:tblGrid>
      <w:tr>
        <w:trPr>
          <w:trHeight w:val="297" w:hRule="exact"/>
        </w:trPr>
        <w:tc>
          <w:tcPr>
            <w:tcW w:w="3322" w:type="dxa"/>
          </w:tcPr>
          <w:p>
            <w:pPr>
              <w:pStyle w:val="TableParagraph"/>
              <w:spacing w:before="21"/>
              <w:ind w:left="92"/>
              <w:rPr>
                <w:rFonts w:ascii="Times New Roman"/>
                <w:sz w:val="21"/>
              </w:rPr>
            </w:pPr>
            <w:r>
              <w:rPr>
                <w:rFonts w:ascii="Times New Roman"/>
                <w:sz w:val="21"/>
              </w:rPr>
              <w:t>(In millions)</w:t>
            </w:r>
          </w:p>
        </w:tc>
        <w:tc>
          <w:tcPr>
            <w:tcW w:w="2161" w:type="dxa"/>
          </w:tcPr>
          <w:p>
            <w:pPr>
              <w:pStyle w:val="TableParagraph"/>
              <w:spacing w:before="21"/>
              <w:ind w:right="161"/>
              <w:jc w:val="right"/>
              <w:rPr>
                <w:rFonts w:ascii="Times New Roman"/>
                <w:b/>
                <w:sz w:val="21"/>
              </w:rPr>
            </w:pPr>
            <w:r>
              <w:rPr>
                <w:rFonts w:ascii="Times New Roman"/>
                <w:b/>
                <w:sz w:val="21"/>
              </w:rPr>
              <w:t>2003</w:t>
            </w:r>
          </w:p>
        </w:tc>
        <w:tc>
          <w:tcPr>
            <w:tcW w:w="1060" w:type="dxa"/>
          </w:tcPr>
          <w:p>
            <w:pPr/>
          </w:p>
        </w:tc>
        <w:tc>
          <w:tcPr>
            <w:tcW w:w="1777" w:type="dxa"/>
          </w:tcPr>
          <w:p>
            <w:pPr>
              <w:pStyle w:val="TableParagraph"/>
              <w:spacing w:before="21"/>
              <w:ind w:right="161"/>
              <w:jc w:val="right"/>
              <w:rPr>
                <w:rFonts w:ascii="Times New Roman"/>
                <w:sz w:val="21"/>
              </w:rPr>
            </w:pPr>
            <w:r>
              <w:rPr>
                <w:rFonts w:ascii="Times New Roman"/>
                <w:sz w:val="21"/>
              </w:rPr>
              <w:t>2002</w:t>
            </w:r>
          </w:p>
        </w:tc>
        <w:tc>
          <w:tcPr>
            <w:tcW w:w="780" w:type="dxa"/>
          </w:tcPr>
          <w:p>
            <w:pPr/>
          </w:p>
        </w:tc>
      </w:tr>
      <w:tr>
        <w:trPr>
          <w:trHeight w:val="286" w:hRule="exact"/>
        </w:trPr>
        <w:tc>
          <w:tcPr>
            <w:tcW w:w="3322" w:type="dxa"/>
          </w:tcPr>
          <w:p>
            <w:pPr>
              <w:pStyle w:val="TableParagraph"/>
              <w:spacing w:before="12"/>
              <w:ind w:left="92"/>
              <w:rPr>
                <w:rFonts w:ascii="Times New Roman"/>
                <w:sz w:val="21"/>
              </w:rPr>
            </w:pPr>
            <w:r>
              <w:rPr>
                <w:rFonts w:ascii="Times New Roman"/>
                <w:w w:val="105"/>
                <w:sz w:val="21"/>
              </w:rPr>
              <w:t>Retirement plans (Note 14)</w:t>
            </w:r>
          </w:p>
        </w:tc>
        <w:tc>
          <w:tcPr>
            <w:tcW w:w="2161" w:type="dxa"/>
          </w:tcPr>
          <w:p>
            <w:pPr>
              <w:pStyle w:val="TableParagraph"/>
              <w:spacing w:before="12"/>
              <w:ind w:right="196"/>
              <w:jc w:val="center"/>
              <w:rPr>
                <w:rFonts w:ascii="Times New Roman"/>
                <w:b/>
                <w:sz w:val="21"/>
              </w:rPr>
            </w:pPr>
            <w:r>
              <w:rPr>
                <w:rFonts w:ascii="Times New Roman"/>
                <w:b/>
                <w:w w:val="102"/>
                <w:sz w:val="21"/>
              </w:rPr>
              <w:t>$</w:t>
            </w:r>
          </w:p>
        </w:tc>
        <w:tc>
          <w:tcPr>
            <w:tcW w:w="1060" w:type="dxa"/>
          </w:tcPr>
          <w:p>
            <w:pPr>
              <w:pStyle w:val="TableParagraph"/>
              <w:spacing w:before="12"/>
              <w:ind w:left="167"/>
              <w:rPr>
                <w:rFonts w:ascii="Times New Roman"/>
                <w:b/>
                <w:sz w:val="21"/>
              </w:rPr>
            </w:pPr>
            <w:r>
              <w:rPr>
                <w:rFonts w:ascii="Times New Roman"/>
                <w:b/>
                <w:w w:val="105"/>
                <w:sz w:val="21"/>
              </w:rPr>
              <w:t>126</w:t>
            </w:r>
          </w:p>
        </w:tc>
        <w:tc>
          <w:tcPr>
            <w:tcW w:w="1777" w:type="dxa"/>
          </w:tcPr>
          <w:p>
            <w:pPr>
              <w:pStyle w:val="TableParagraph"/>
              <w:spacing w:before="12"/>
              <w:ind w:left="567"/>
              <w:rPr>
                <w:rFonts w:ascii="Times New Roman"/>
                <w:sz w:val="21"/>
              </w:rPr>
            </w:pPr>
            <w:r>
              <w:rPr>
                <w:rFonts w:ascii="Times New Roman"/>
                <w:w w:val="102"/>
                <w:sz w:val="21"/>
              </w:rPr>
              <w:t>$</w:t>
            </w:r>
          </w:p>
        </w:tc>
        <w:tc>
          <w:tcPr>
            <w:tcW w:w="780" w:type="dxa"/>
          </w:tcPr>
          <w:p>
            <w:pPr>
              <w:pStyle w:val="TableParagraph"/>
              <w:spacing w:before="12"/>
              <w:ind w:right="320"/>
              <w:jc w:val="right"/>
              <w:rPr>
                <w:rFonts w:ascii="Times New Roman"/>
                <w:sz w:val="21"/>
              </w:rPr>
            </w:pPr>
            <w:r>
              <w:rPr>
                <w:rFonts w:ascii="Times New Roman"/>
                <w:sz w:val="21"/>
              </w:rPr>
              <w:t>71</w:t>
            </w:r>
          </w:p>
        </w:tc>
      </w:tr>
      <w:tr>
        <w:trPr>
          <w:trHeight w:val="281" w:hRule="exact"/>
        </w:trPr>
        <w:tc>
          <w:tcPr>
            <w:tcW w:w="3322" w:type="dxa"/>
          </w:tcPr>
          <w:p>
            <w:pPr>
              <w:pStyle w:val="TableParagraph"/>
              <w:spacing w:before="9"/>
              <w:ind w:left="92"/>
              <w:rPr>
                <w:rFonts w:ascii="Times New Roman"/>
                <w:sz w:val="21"/>
              </w:rPr>
            </w:pPr>
            <w:r>
              <w:rPr>
                <w:rFonts w:ascii="Times New Roman"/>
                <w:sz w:val="21"/>
              </w:rPr>
              <w:t>Aircraft rentals</w:t>
            </w:r>
          </w:p>
        </w:tc>
        <w:tc>
          <w:tcPr>
            <w:tcW w:w="2161" w:type="dxa"/>
          </w:tcPr>
          <w:p>
            <w:pPr/>
          </w:p>
        </w:tc>
        <w:tc>
          <w:tcPr>
            <w:tcW w:w="1060" w:type="dxa"/>
          </w:tcPr>
          <w:p>
            <w:pPr>
              <w:pStyle w:val="TableParagraph"/>
              <w:spacing w:before="9"/>
              <w:ind w:left="163"/>
              <w:rPr>
                <w:rFonts w:ascii="Times New Roman"/>
                <w:b/>
                <w:sz w:val="21"/>
              </w:rPr>
            </w:pPr>
            <w:r>
              <w:rPr>
                <w:rFonts w:ascii="Times New Roman"/>
                <w:b/>
                <w:w w:val="105"/>
                <w:sz w:val="21"/>
              </w:rPr>
              <w:t>114</w:t>
            </w:r>
          </w:p>
        </w:tc>
        <w:tc>
          <w:tcPr>
            <w:tcW w:w="1777" w:type="dxa"/>
          </w:tcPr>
          <w:p>
            <w:pPr/>
          </w:p>
        </w:tc>
        <w:tc>
          <w:tcPr>
            <w:tcW w:w="780" w:type="dxa"/>
          </w:tcPr>
          <w:p>
            <w:pPr>
              <w:pStyle w:val="TableParagraph"/>
              <w:spacing w:before="9"/>
              <w:ind w:right="296"/>
              <w:jc w:val="right"/>
              <w:rPr>
                <w:rFonts w:ascii="Times New Roman"/>
                <w:sz w:val="21"/>
              </w:rPr>
            </w:pPr>
            <w:r>
              <w:rPr>
                <w:rFonts w:ascii="Times New Roman"/>
                <w:sz w:val="21"/>
              </w:rPr>
              <w:t>121</w:t>
            </w:r>
          </w:p>
        </w:tc>
      </w:tr>
      <w:tr>
        <w:trPr>
          <w:trHeight w:val="278" w:hRule="exact"/>
        </w:trPr>
        <w:tc>
          <w:tcPr>
            <w:tcW w:w="3322" w:type="dxa"/>
          </w:tcPr>
          <w:p>
            <w:pPr>
              <w:pStyle w:val="TableParagraph"/>
              <w:spacing w:before="7"/>
              <w:ind w:left="92"/>
              <w:rPr>
                <w:rFonts w:ascii="Times New Roman"/>
                <w:sz w:val="21"/>
              </w:rPr>
            </w:pPr>
            <w:r>
              <w:rPr>
                <w:rFonts w:ascii="Times New Roman"/>
                <w:w w:val="105"/>
                <w:sz w:val="21"/>
              </w:rPr>
              <w:t>Vacation pay</w:t>
            </w:r>
          </w:p>
        </w:tc>
        <w:tc>
          <w:tcPr>
            <w:tcW w:w="2161" w:type="dxa"/>
          </w:tcPr>
          <w:p>
            <w:pPr/>
          </w:p>
        </w:tc>
        <w:tc>
          <w:tcPr>
            <w:tcW w:w="1060" w:type="dxa"/>
          </w:tcPr>
          <w:p>
            <w:pPr>
              <w:pStyle w:val="TableParagraph"/>
              <w:spacing w:before="7"/>
              <w:ind w:left="163"/>
              <w:rPr>
                <w:rFonts w:ascii="Times New Roman"/>
                <w:b/>
                <w:sz w:val="21"/>
              </w:rPr>
            </w:pPr>
            <w:r>
              <w:rPr>
                <w:rFonts w:ascii="Times New Roman"/>
                <w:b/>
                <w:w w:val="105"/>
                <w:sz w:val="21"/>
              </w:rPr>
              <w:t>109</w:t>
            </w:r>
          </w:p>
        </w:tc>
        <w:tc>
          <w:tcPr>
            <w:tcW w:w="1777" w:type="dxa"/>
          </w:tcPr>
          <w:p>
            <w:pPr/>
          </w:p>
        </w:tc>
        <w:tc>
          <w:tcPr>
            <w:tcW w:w="780" w:type="dxa"/>
          </w:tcPr>
          <w:p>
            <w:pPr>
              <w:pStyle w:val="TableParagraph"/>
              <w:spacing w:before="7"/>
              <w:ind w:right="324"/>
              <w:jc w:val="right"/>
              <w:rPr>
                <w:rFonts w:ascii="Times New Roman"/>
                <w:sz w:val="21"/>
              </w:rPr>
            </w:pPr>
            <w:r>
              <w:rPr>
                <w:rFonts w:ascii="Times New Roman"/>
                <w:sz w:val="21"/>
              </w:rPr>
              <w:t>96</w:t>
            </w:r>
          </w:p>
        </w:tc>
      </w:tr>
      <w:tr>
        <w:trPr>
          <w:trHeight w:val="293" w:hRule="exact"/>
        </w:trPr>
        <w:tc>
          <w:tcPr>
            <w:tcW w:w="3322" w:type="dxa"/>
          </w:tcPr>
          <w:p>
            <w:pPr>
              <w:pStyle w:val="TableParagraph"/>
              <w:spacing w:before="7"/>
              <w:ind w:left="92"/>
              <w:rPr>
                <w:rFonts w:ascii="Times New Roman"/>
                <w:sz w:val="21"/>
              </w:rPr>
            </w:pPr>
            <w:r>
              <w:rPr>
                <w:rFonts w:ascii="Times New Roman"/>
                <w:w w:val="105"/>
                <w:sz w:val="21"/>
              </w:rPr>
              <w:t>Advances and deposits</w:t>
            </w:r>
          </w:p>
        </w:tc>
        <w:tc>
          <w:tcPr>
            <w:tcW w:w="2161" w:type="dxa"/>
          </w:tcPr>
          <w:p>
            <w:pPr/>
          </w:p>
        </w:tc>
        <w:tc>
          <w:tcPr>
            <w:tcW w:w="1060" w:type="dxa"/>
          </w:tcPr>
          <w:p>
            <w:pPr>
              <w:pStyle w:val="TableParagraph"/>
              <w:spacing w:before="7"/>
              <w:ind w:left="163"/>
              <w:rPr>
                <w:rFonts w:ascii="Times New Roman"/>
                <w:b/>
                <w:sz w:val="21"/>
              </w:rPr>
            </w:pPr>
            <w:r>
              <w:rPr>
                <w:rFonts w:ascii="Times New Roman"/>
                <w:b/>
                <w:w w:val="105"/>
                <w:sz w:val="21"/>
              </w:rPr>
              <w:t>121</w:t>
            </w:r>
          </w:p>
        </w:tc>
        <w:tc>
          <w:tcPr>
            <w:tcW w:w="1777" w:type="dxa"/>
          </w:tcPr>
          <w:p>
            <w:pPr/>
          </w:p>
        </w:tc>
        <w:tc>
          <w:tcPr>
            <w:tcW w:w="780" w:type="dxa"/>
          </w:tcPr>
          <w:p>
            <w:pPr>
              <w:pStyle w:val="TableParagraph"/>
              <w:spacing w:before="7"/>
              <w:ind w:right="324"/>
              <w:jc w:val="right"/>
              <w:rPr>
                <w:rFonts w:ascii="Times New Roman"/>
                <w:sz w:val="21"/>
              </w:rPr>
            </w:pPr>
            <w:r>
              <w:rPr>
                <w:rFonts w:ascii="Times New Roman"/>
                <w:sz w:val="21"/>
              </w:rPr>
              <w:t>80</w:t>
            </w:r>
          </w:p>
        </w:tc>
      </w:tr>
    </w:tbl>
    <w:p>
      <w:pPr>
        <w:tabs>
          <w:tab w:pos="3883" w:val="left" w:leader="none"/>
          <w:tab w:pos="5779" w:val="left" w:leader="none"/>
          <w:tab w:pos="6605" w:val="left" w:leader="none"/>
          <w:tab w:pos="8616" w:val="left" w:leader="none"/>
          <w:tab w:pos="9394" w:val="left" w:leader="none"/>
        </w:tabs>
        <w:spacing w:before="2"/>
        <w:ind w:left="226" w:right="0" w:firstLine="0"/>
        <w:jc w:val="left"/>
        <w:rPr>
          <w:sz w:val="21"/>
        </w:rPr>
      </w:pPr>
      <w:r>
        <w:rPr>
          <w:w w:val="105"/>
          <w:sz w:val="21"/>
        </w:rPr>
        <w:t>Other</w:t>
        <w:tab/>
      </w:r>
      <w:r>
        <w:rPr>
          <w:b/>
          <w:w w:val="105"/>
          <w:sz w:val="21"/>
          <w:u w:val="single"/>
        </w:rPr>
        <w:t> </w:t>
        <w:tab/>
        <w:t>180</w:t>
        <w:tab/>
      </w:r>
      <w:r>
        <w:rPr>
          <w:w w:val="105"/>
          <w:sz w:val="21"/>
          <w:u w:val="single"/>
        </w:rPr>
        <w:t> </w:t>
        <w:tab/>
        <w:t>161</w:t>
      </w:r>
      <w:r>
        <w:rPr>
          <w:sz w:val="21"/>
          <w:u w:val="single"/>
        </w:rPr>
        <w:tab/>
      </w:r>
    </w:p>
    <w:p>
      <w:pPr>
        <w:tabs>
          <w:tab w:pos="5784" w:val="left" w:leader="none"/>
          <w:tab w:pos="7215" w:val="left" w:leader="none"/>
          <w:tab w:pos="8616" w:val="left" w:leader="none"/>
        </w:tabs>
        <w:spacing w:before="36"/>
        <w:ind w:left="4383" w:right="0" w:firstLine="0"/>
        <w:jc w:val="left"/>
        <w:rPr>
          <w:sz w:val="21"/>
        </w:rPr>
      </w:pPr>
      <w:r>
        <w:rPr/>
        <w:pict>
          <v:line style="position:absolute;mso-position-horizontal-relative:page;mso-position-vertical-relative:paragraph;z-index:6136;mso-wrap-distance-left:0;mso-wrap-distance-right:0" from="253.199997pt,17.482729pt" to="389.279997pt,17.482729pt" stroked="true" strokeweight="2.16pt" strokecolor="#000000">
            <v:stroke dashstyle="solid"/>
            <w10:wrap type="topAndBottom"/>
          </v:line>
        </w:pict>
      </w:r>
      <w:r>
        <w:rPr/>
        <w:pict>
          <v:line style="position:absolute;mso-position-horizontal-relative:page;mso-position-vertical-relative:paragraph;z-index:6160;mso-wrap-distance-left:0;mso-wrap-distance-right:0" from="397.200012pt,17.482729pt" to="528.720012pt,17.482729pt" stroked="true" strokeweight="2.16pt" strokecolor="#000000">
            <v:stroke dashstyle="solid"/>
            <w10:wrap type="topAndBottom"/>
          </v:line>
        </w:pict>
      </w:r>
      <w:r>
        <w:rPr>
          <w:b/>
          <w:w w:val="105"/>
          <w:sz w:val="21"/>
        </w:rPr>
        <w:t>$</w:t>
        <w:tab/>
        <w:t>650</w:t>
        <w:tab/>
      </w:r>
      <w:r>
        <w:rPr>
          <w:w w:val="105"/>
          <w:sz w:val="21"/>
        </w:rPr>
        <w:t>$</w:t>
        <w:tab/>
        <w:t>529</w:t>
      </w:r>
    </w:p>
    <w:p>
      <w:pPr>
        <w:pStyle w:val="Heading2"/>
        <w:numPr>
          <w:ilvl w:val="0"/>
          <w:numId w:val="5"/>
        </w:numPr>
        <w:tabs>
          <w:tab w:pos="323" w:val="left" w:leader="none"/>
        </w:tabs>
        <w:spacing w:line="240" w:lineRule="auto" w:before="177" w:after="0"/>
        <w:ind w:left="322" w:right="0" w:hanging="206"/>
        <w:jc w:val="both"/>
      </w:pPr>
      <w:r>
        <w:rPr>
          <w:color w:val="0000FF"/>
          <w:spacing w:val="-4"/>
        </w:rPr>
        <w:t>SHORT-TERM </w:t>
      </w:r>
      <w:r>
        <w:rPr>
          <w:color w:val="0000FF"/>
          <w:spacing w:val="37"/>
        </w:rPr>
        <w:t> </w:t>
      </w:r>
      <w:r>
        <w:rPr>
          <w:color w:val="0000FF"/>
          <w:spacing w:val="-4"/>
        </w:rPr>
        <w:t>BORROWINGS</w:t>
      </w:r>
    </w:p>
    <w:p>
      <w:pPr>
        <w:pStyle w:val="BodyText"/>
        <w:spacing w:line="218" w:lineRule="auto" w:before="217"/>
        <w:ind w:left="115" w:right="107"/>
        <w:jc w:val="both"/>
      </w:pPr>
      <w:r>
        <w:rPr>
          <w:w w:val="105"/>
        </w:rPr>
        <w:t>Following</w:t>
      </w:r>
      <w:r>
        <w:rPr>
          <w:spacing w:val="-10"/>
          <w:w w:val="105"/>
        </w:rPr>
        <w:t> </w:t>
      </w:r>
      <w:r>
        <w:rPr>
          <w:w w:val="105"/>
        </w:rPr>
        <w:t>the</w:t>
      </w:r>
      <w:r>
        <w:rPr>
          <w:spacing w:val="-15"/>
          <w:w w:val="105"/>
        </w:rPr>
        <w:t> </w:t>
      </w:r>
      <w:r>
        <w:rPr>
          <w:w w:val="105"/>
        </w:rPr>
        <w:t>terrorist</w:t>
      </w:r>
      <w:r>
        <w:rPr>
          <w:spacing w:val="-13"/>
          <w:w w:val="105"/>
        </w:rPr>
        <w:t> </w:t>
      </w:r>
      <w:r>
        <w:rPr>
          <w:w w:val="105"/>
        </w:rPr>
        <w:t>attacks</w:t>
      </w:r>
      <w:r>
        <w:rPr>
          <w:spacing w:val="-10"/>
          <w:w w:val="105"/>
        </w:rPr>
        <w:t> </w:t>
      </w:r>
      <w:r>
        <w:rPr>
          <w:w w:val="105"/>
        </w:rPr>
        <w:t>in</w:t>
      </w:r>
      <w:r>
        <w:rPr>
          <w:spacing w:val="-10"/>
          <w:w w:val="105"/>
        </w:rPr>
        <w:t> </w:t>
      </w:r>
      <w:r>
        <w:rPr>
          <w:spacing w:val="-3"/>
          <w:w w:val="105"/>
        </w:rPr>
        <w:t>September</w:t>
      </w:r>
      <w:r>
        <w:rPr>
          <w:spacing w:val="-12"/>
          <w:w w:val="105"/>
        </w:rPr>
        <w:t> </w:t>
      </w:r>
      <w:r>
        <w:rPr>
          <w:w w:val="105"/>
        </w:rPr>
        <w:t>2001,</w:t>
      </w:r>
      <w:r>
        <w:rPr>
          <w:spacing w:val="-13"/>
          <w:w w:val="105"/>
        </w:rPr>
        <w:t> </w:t>
      </w:r>
      <w:r>
        <w:rPr>
          <w:w w:val="105"/>
        </w:rPr>
        <w:t>the</w:t>
      </w:r>
      <w:r>
        <w:rPr>
          <w:spacing w:val="-11"/>
          <w:w w:val="105"/>
        </w:rPr>
        <w:t> </w:t>
      </w:r>
      <w:r>
        <w:rPr>
          <w:w w:val="105"/>
        </w:rPr>
        <w:t>Company</w:t>
      </w:r>
      <w:r>
        <w:rPr>
          <w:spacing w:val="-10"/>
          <w:w w:val="105"/>
        </w:rPr>
        <w:t> </w:t>
      </w:r>
      <w:r>
        <w:rPr>
          <w:spacing w:val="-3"/>
          <w:w w:val="105"/>
        </w:rPr>
        <w:t>borrowed</w:t>
      </w:r>
      <w:r>
        <w:rPr>
          <w:spacing w:val="-10"/>
          <w:w w:val="105"/>
        </w:rPr>
        <w:t> </w:t>
      </w:r>
      <w:r>
        <w:rPr>
          <w:w w:val="105"/>
        </w:rPr>
        <w:t>the</w:t>
      </w:r>
      <w:r>
        <w:rPr>
          <w:spacing w:val="-15"/>
          <w:w w:val="105"/>
        </w:rPr>
        <w:t> </w:t>
      </w:r>
      <w:r>
        <w:rPr>
          <w:w w:val="105"/>
        </w:rPr>
        <w:t>full</w:t>
      </w:r>
      <w:r>
        <w:rPr>
          <w:spacing w:val="-13"/>
          <w:w w:val="105"/>
        </w:rPr>
        <w:t> </w:t>
      </w:r>
      <w:r>
        <w:rPr>
          <w:w w:val="105"/>
        </w:rPr>
        <w:t>$475</w:t>
      </w:r>
      <w:r>
        <w:rPr>
          <w:spacing w:val="-13"/>
          <w:w w:val="105"/>
        </w:rPr>
        <w:t> </w:t>
      </w:r>
      <w:r>
        <w:rPr>
          <w:w w:val="105"/>
        </w:rPr>
        <w:t>million</w:t>
      </w:r>
      <w:r>
        <w:rPr>
          <w:spacing w:val="-13"/>
          <w:w w:val="105"/>
        </w:rPr>
        <w:t> </w:t>
      </w:r>
      <w:r>
        <w:rPr>
          <w:w w:val="105"/>
        </w:rPr>
        <w:t>available</w:t>
      </w:r>
      <w:r>
        <w:rPr>
          <w:spacing w:val="-11"/>
          <w:w w:val="105"/>
        </w:rPr>
        <w:t> </w:t>
      </w:r>
      <w:r>
        <w:rPr>
          <w:w w:val="105"/>
        </w:rPr>
        <w:t>under its unsecured revolving credit line </w:t>
      </w:r>
      <w:r>
        <w:rPr>
          <w:spacing w:val="-3"/>
          <w:w w:val="105"/>
        </w:rPr>
        <w:t>with </w:t>
      </w:r>
      <w:r>
        <w:rPr>
          <w:w w:val="105"/>
        </w:rPr>
        <w:t>a group of </w:t>
      </w:r>
      <w:r>
        <w:rPr>
          <w:spacing w:val="-2"/>
          <w:w w:val="105"/>
        </w:rPr>
        <w:t>banks. </w:t>
      </w:r>
      <w:r>
        <w:rPr>
          <w:spacing w:val="-3"/>
          <w:w w:val="105"/>
        </w:rPr>
        <w:t>Borrowings </w:t>
      </w:r>
      <w:r>
        <w:rPr>
          <w:w w:val="105"/>
        </w:rPr>
        <w:t>under the credit line bore </w:t>
      </w:r>
      <w:r>
        <w:rPr>
          <w:spacing w:val="-3"/>
          <w:w w:val="105"/>
        </w:rPr>
        <w:t>interest </w:t>
      </w:r>
      <w:r>
        <w:rPr>
          <w:w w:val="105"/>
        </w:rPr>
        <w:t>at six- month </w:t>
      </w:r>
      <w:r>
        <w:rPr>
          <w:spacing w:val="-4"/>
          <w:w w:val="105"/>
        </w:rPr>
        <w:t>LIBOR </w:t>
      </w:r>
      <w:r>
        <w:rPr>
          <w:w w:val="105"/>
        </w:rPr>
        <w:t>plus 15.5 basis points. </w:t>
      </w:r>
      <w:r>
        <w:rPr>
          <w:spacing w:val="-2"/>
          <w:w w:val="105"/>
        </w:rPr>
        <w:t>The </w:t>
      </w:r>
      <w:r>
        <w:rPr>
          <w:w w:val="105"/>
        </w:rPr>
        <w:t>Company repaid this unsecured revolving credit line in full, plus </w:t>
      </w:r>
      <w:r>
        <w:rPr>
          <w:spacing w:val="-3"/>
          <w:w w:val="105"/>
        </w:rPr>
        <w:t>accrued</w:t>
      </w:r>
      <w:r>
        <w:rPr>
          <w:spacing w:val="-21"/>
          <w:w w:val="105"/>
        </w:rPr>
        <w:t> </w:t>
      </w:r>
      <w:r>
        <w:rPr>
          <w:w w:val="105"/>
        </w:rPr>
        <w:t>interest,</w:t>
      </w:r>
      <w:r>
        <w:rPr>
          <w:spacing w:val="-23"/>
          <w:w w:val="105"/>
        </w:rPr>
        <w:t> </w:t>
      </w:r>
      <w:r>
        <w:rPr>
          <w:w w:val="105"/>
        </w:rPr>
        <w:t>in</w:t>
      </w:r>
      <w:r>
        <w:rPr>
          <w:spacing w:val="-21"/>
          <w:w w:val="105"/>
        </w:rPr>
        <w:t> </w:t>
      </w:r>
      <w:r>
        <w:rPr>
          <w:spacing w:val="-3"/>
          <w:w w:val="105"/>
        </w:rPr>
        <w:t>March</w:t>
      </w:r>
      <w:r>
        <w:rPr>
          <w:spacing w:val="-21"/>
          <w:w w:val="105"/>
        </w:rPr>
        <w:t> </w:t>
      </w:r>
      <w:r>
        <w:rPr>
          <w:w w:val="105"/>
        </w:rPr>
        <w:t>2002.</w:t>
      </w:r>
      <w:r>
        <w:rPr>
          <w:spacing w:val="10"/>
          <w:w w:val="105"/>
        </w:rPr>
        <w:t> </w:t>
      </w:r>
      <w:r>
        <w:rPr>
          <w:spacing w:val="-3"/>
          <w:w w:val="105"/>
        </w:rPr>
        <w:t>This</w:t>
      </w:r>
      <w:r>
        <w:rPr>
          <w:spacing w:val="-21"/>
          <w:w w:val="105"/>
        </w:rPr>
        <w:t> </w:t>
      </w:r>
      <w:r>
        <w:rPr>
          <w:w w:val="105"/>
        </w:rPr>
        <w:t>credit</w:t>
      </w:r>
      <w:r>
        <w:rPr>
          <w:spacing w:val="-24"/>
          <w:w w:val="105"/>
        </w:rPr>
        <w:t> </w:t>
      </w:r>
      <w:r>
        <w:rPr>
          <w:w w:val="105"/>
        </w:rPr>
        <w:t>facility</w:t>
      </w:r>
      <w:r>
        <w:rPr>
          <w:spacing w:val="-21"/>
          <w:w w:val="105"/>
        </w:rPr>
        <w:t> </w:t>
      </w:r>
      <w:r>
        <w:rPr>
          <w:spacing w:val="-5"/>
          <w:w w:val="105"/>
        </w:rPr>
        <w:t>was</w:t>
      </w:r>
      <w:r>
        <w:rPr>
          <w:spacing w:val="-21"/>
          <w:w w:val="105"/>
        </w:rPr>
        <w:t> </w:t>
      </w:r>
      <w:r>
        <w:rPr>
          <w:w w:val="105"/>
        </w:rPr>
        <w:t>replaced</w:t>
      </w:r>
      <w:r>
        <w:rPr>
          <w:spacing w:val="-21"/>
          <w:w w:val="105"/>
        </w:rPr>
        <w:t> </w:t>
      </w:r>
      <w:r>
        <w:rPr>
          <w:w w:val="105"/>
        </w:rPr>
        <w:t>in</w:t>
      </w:r>
      <w:r>
        <w:rPr>
          <w:spacing w:val="-21"/>
          <w:w w:val="105"/>
        </w:rPr>
        <w:t> </w:t>
      </w:r>
      <w:r>
        <w:rPr>
          <w:spacing w:val="-3"/>
          <w:w w:val="105"/>
        </w:rPr>
        <w:t>April</w:t>
      </w:r>
      <w:r>
        <w:rPr>
          <w:spacing w:val="-21"/>
          <w:w w:val="105"/>
        </w:rPr>
        <w:t> </w:t>
      </w:r>
      <w:r>
        <w:rPr>
          <w:w w:val="105"/>
        </w:rPr>
        <w:t>2002.</w:t>
      </w:r>
    </w:p>
    <w:p>
      <w:pPr>
        <w:pStyle w:val="BodyText"/>
        <w:spacing w:line="218" w:lineRule="auto" w:before="222"/>
        <w:ind w:left="115" w:right="107"/>
        <w:jc w:val="both"/>
      </w:pPr>
      <w:r>
        <w:rPr>
          <w:spacing w:val="-3"/>
          <w:w w:val="105"/>
        </w:rPr>
        <w:t>In</w:t>
      </w:r>
      <w:r>
        <w:rPr>
          <w:spacing w:val="-6"/>
          <w:w w:val="105"/>
        </w:rPr>
        <w:t> </w:t>
      </w:r>
      <w:r>
        <w:rPr>
          <w:w w:val="105"/>
        </w:rPr>
        <w:t>April</w:t>
      </w:r>
      <w:r>
        <w:rPr>
          <w:spacing w:val="-6"/>
          <w:w w:val="105"/>
        </w:rPr>
        <w:t> </w:t>
      </w:r>
      <w:r>
        <w:rPr>
          <w:w w:val="105"/>
        </w:rPr>
        <w:t>2002,</w:t>
      </w:r>
      <w:r>
        <w:rPr>
          <w:spacing w:val="-9"/>
          <w:w w:val="105"/>
        </w:rPr>
        <w:t> </w:t>
      </w:r>
      <w:r>
        <w:rPr>
          <w:w w:val="105"/>
        </w:rPr>
        <w:t>the</w:t>
      </w:r>
      <w:r>
        <w:rPr>
          <w:spacing w:val="-4"/>
          <w:w w:val="105"/>
        </w:rPr>
        <w:t> </w:t>
      </w:r>
      <w:r>
        <w:rPr>
          <w:spacing w:val="-3"/>
          <w:w w:val="105"/>
        </w:rPr>
        <w:t>Company</w:t>
      </w:r>
      <w:r>
        <w:rPr>
          <w:spacing w:val="-6"/>
          <w:w w:val="105"/>
        </w:rPr>
        <w:t> </w:t>
      </w:r>
      <w:r>
        <w:rPr>
          <w:spacing w:val="-3"/>
          <w:w w:val="105"/>
        </w:rPr>
        <w:t>entered</w:t>
      </w:r>
      <w:r>
        <w:rPr>
          <w:spacing w:val="-2"/>
          <w:w w:val="105"/>
        </w:rPr>
        <w:t> </w:t>
      </w:r>
      <w:r>
        <w:rPr>
          <w:w w:val="105"/>
        </w:rPr>
        <w:t>into</w:t>
      </w:r>
      <w:r>
        <w:rPr>
          <w:spacing w:val="-6"/>
          <w:w w:val="105"/>
        </w:rPr>
        <w:t> </w:t>
      </w:r>
      <w:r>
        <w:rPr>
          <w:w w:val="105"/>
        </w:rPr>
        <w:t>two</w:t>
      </w:r>
      <w:r>
        <w:rPr>
          <w:spacing w:val="-3"/>
          <w:w w:val="105"/>
        </w:rPr>
        <w:t> </w:t>
      </w:r>
      <w:r>
        <w:rPr>
          <w:w w:val="105"/>
        </w:rPr>
        <w:t>unsecured</w:t>
      </w:r>
      <w:r>
        <w:rPr>
          <w:spacing w:val="-10"/>
          <w:w w:val="105"/>
        </w:rPr>
        <w:t> </w:t>
      </w:r>
      <w:r>
        <w:rPr>
          <w:w w:val="105"/>
        </w:rPr>
        <w:t>revolving</w:t>
      </w:r>
      <w:r>
        <w:rPr>
          <w:spacing w:val="-2"/>
          <w:w w:val="105"/>
        </w:rPr>
        <w:t> </w:t>
      </w:r>
      <w:r>
        <w:rPr>
          <w:w w:val="105"/>
        </w:rPr>
        <w:t>credit</w:t>
      </w:r>
      <w:r>
        <w:rPr>
          <w:spacing w:val="-6"/>
          <w:w w:val="105"/>
        </w:rPr>
        <w:t> </w:t>
      </w:r>
      <w:r>
        <w:rPr>
          <w:w w:val="105"/>
        </w:rPr>
        <w:t>facilities</w:t>
      </w:r>
      <w:r>
        <w:rPr>
          <w:spacing w:val="-2"/>
          <w:w w:val="105"/>
        </w:rPr>
        <w:t> </w:t>
      </w:r>
      <w:r>
        <w:rPr>
          <w:w w:val="105"/>
        </w:rPr>
        <w:t>from</w:t>
      </w:r>
      <w:r>
        <w:rPr>
          <w:spacing w:val="-8"/>
          <w:w w:val="105"/>
        </w:rPr>
        <w:t> </w:t>
      </w:r>
      <w:r>
        <w:rPr>
          <w:spacing w:val="-3"/>
          <w:w w:val="105"/>
        </w:rPr>
        <w:t>which</w:t>
      </w:r>
      <w:r>
        <w:rPr>
          <w:spacing w:val="-2"/>
          <w:w w:val="105"/>
        </w:rPr>
        <w:t> </w:t>
      </w:r>
      <w:r>
        <w:rPr>
          <w:w w:val="105"/>
        </w:rPr>
        <w:t>it</w:t>
      </w:r>
      <w:r>
        <w:rPr>
          <w:spacing w:val="-6"/>
          <w:w w:val="105"/>
        </w:rPr>
        <w:t> </w:t>
      </w:r>
      <w:r>
        <w:rPr>
          <w:w w:val="105"/>
        </w:rPr>
        <w:t>can</w:t>
      </w:r>
      <w:r>
        <w:rPr>
          <w:spacing w:val="-2"/>
          <w:w w:val="105"/>
        </w:rPr>
        <w:t> </w:t>
      </w:r>
      <w:r>
        <w:rPr>
          <w:spacing w:val="-3"/>
          <w:w w:val="105"/>
        </w:rPr>
        <w:t>borrow</w:t>
      </w:r>
      <w:r>
        <w:rPr>
          <w:spacing w:val="-10"/>
          <w:w w:val="105"/>
        </w:rPr>
        <w:t> </w:t>
      </w:r>
      <w:r>
        <w:rPr>
          <w:w w:val="105"/>
        </w:rPr>
        <w:t>up to $575 million from a group of banks. </w:t>
      </w:r>
      <w:r>
        <w:rPr>
          <w:spacing w:val="-2"/>
          <w:w w:val="105"/>
        </w:rPr>
        <w:t>One </w:t>
      </w:r>
      <w:r>
        <w:rPr>
          <w:w w:val="105"/>
        </w:rPr>
        <w:t>of the facilities, </w:t>
      </w:r>
      <w:r>
        <w:rPr>
          <w:spacing w:val="-3"/>
          <w:w w:val="105"/>
        </w:rPr>
        <w:t>for </w:t>
      </w:r>
      <w:r>
        <w:rPr>
          <w:w w:val="105"/>
        </w:rPr>
        <w:t>half of the total amount, </w:t>
      </w:r>
      <w:r>
        <w:rPr>
          <w:spacing w:val="-3"/>
          <w:w w:val="105"/>
        </w:rPr>
        <w:t>was renewed </w:t>
      </w:r>
      <w:r>
        <w:rPr>
          <w:w w:val="105"/>
        </w:rPr>
        <w:t>for </w:t>
      </w:r>
      <w:r>
        <w:rPr>
          <w:spacing w:val="-3"/>
          <w:w w:val="105"/>
        </w:rPr>
        <w:t>an </w:t>
      </w:r>
      <w:r>
        <w:rPr>
          <w:w w:val="105"/>
        </w:rPr>
        <w:t>additional year during </w:t>
      </w:r>
      <w:r>
        <w:rPr>
          <w:spacing w:val="-3"/>
          <w:w w:val="105"/>
        </w:rPr>
        <w:t>April </w:t>
      </w:r>
      <w:r>
        <w:rPr>
          <w:w w:val="105"/>
        </w:rPr>
        <w:t>2003. </w:t>
      </w:r>
      <w:r>
        <w:rPr>
          <w:spacing w:val="-3"/>
          <w:w w:val="105"/>
        </w:rPr>
        <w:t>This </w:t>
      </w:r>
      <w:r>
        <w:rPr>
          <w:w w:val="105"/>
        </w:rPr>
        <w:t>facility now expires in April 2004. The other facility, for half of the amount, expires in April 2005. At the Company’s option, interest on the facilities can be calculated on one of several different bases. For most borrowings, Southwest would anticipate choosing a floating rate based  upon LIBOR. If fully drawn, the spread over LIBOR would be 75 basis points for both facilities given Southwest’s credit ratings at December 31, 2003. The Company expects that it will be able to renew </w:t>
      </w:r>
      <w:r>
        <w:rPr>
          <w:spacing w:val="2"/>
          <w:w w:val="105"/>
        </w:rPr>
        <w:t>the </w:t>
      </w:r>
      <w:r>
        <w:rPr>
          <w:w w:val="105"/>
        </w:rPr>
        <w:t>expiring 364-day facility for an additional 364-day period at reasonable terms. If the Company is unable to renew, the Company’s available credit facility will be reduced. As of December 31, 2003 and December 31, 2002,</w:t>
      </w:r>
      <w:r>
        <w:rPr>
          <w:spacing w:val="-16"/>
          <w:w w:val="105"/>
        </w:rPr>
        <w:t> </w:t>
      </w:r>
      <w:r>
        <w:rPr>
          <w:w w:val="105"/>
        </w:rPr>
        <w:t>there</w:t>
      </w:r>
      <w:r>
        <w:rPr>
          <w:spacing w:val="-16"/>
          <w:w w:val="105"/>
        </w:rPr>
        <w:t> </w:t>
      </w:r>
      <w:r>
        <w:rPr>
          <w:w w:val="105"/>
        </w:rPr>
        <w:t>were</w:t>
      </w:r>
      <w:r>
        <w:rPr>
          <w:spacing w:val="-16"/>
          <w:w w:val="105"/>
        </w:rPr>
        <w:t> </w:t>
      </w:r>
      <w:r>
        <w:rPr>
          <w:w w:val="105"/>
        </w:rPr>
        <w:t>no</w:t>
      </w:r>
      <w:r>
        <w:rPr>
          <w:spacing w:val="-16"/>
          <w:w w:val="105"/>
        </w:rPr>
        <w:t> </w:t>
      </w:r>
      <w:r>
        <w:rPr>
          <w:w w:val="105"/>
        </w:rPr>
        <w:t>outstanding</w:t>
      </w:r>
      <w:r>
        <w:rPr>
          <w:spacing w:val="-16"/>
          <w:w w:val="105"/>
        </w:rPr>
        <w:t> </w:t>
      </w:r>
      <w:r>
        <w:rPr>
          <w:w w:val="105"/>
        </w:rPr>
        <w:t>amounts</w:t>
      </w:r>
      <w:r>
        <w:rPr>
          <w:spacing w:val="-16"/>
          <w:w w:val="105"/>
        </w:rPr>
        <w:t> </w:t>
      </w:r>
      <w:r>
        <w:rPr>
          <w:w w:val="105"/>
        </w:rPr>
        <w:t>borrowed</w:t>
      </w:r>
      <w:r>
        <w:rPr>
          <w:spacing w:val="-16"/>
          <w:w w:val="105"/>
        </w:rPr>
        <w:t> </w:t>
      </w:r>
      <w:r>
        <w:rPr>
          <w:w w:val="105"/>
        </w:rPr>
        <w:t>under</w:t>
      </w:r>
      <w:r>
        <w:rPr>
          <w:spacing w:val="-16"/>
          <w:w w:val="105"/>
        </w:rPr>
        <w:t> </w:t>
      </w:r>
      <w:r>
        <w:rPr>
          <w:w w:val="105"/>
        </w:rPr>
        <w:t>either</w:t>
      </w:r>
      <w:r>
        <w:rPr>
          <w:spacing w:val="-16"/>
          <w:w w:val="105"/>
        </w:rPr>
        <w:t> </w:t>
      </w:r>
      <w:r>
        <w:rPr>
          <w:w w:val="105"/>
        </w:rPr>
        <w:t>facility.</w:t>
      </w:r>
    </w:p>
    <w:p>
      <w:pPr>
        <w:spacing w:after="0" w:line="218" w:lineRule="auto"/>
        <w:jc w:val="both"/>
        <w:sectPr>
          <w:pgSz w:w="12240" w:h="15840"/>
          <w:pgMar w:top="1080" w:bottom="280" w:left="1180" w:right="1180"/>
        </w:sectPr>
      </w:pPr>
    </w:p>
    <w:p>
      <w:pPr>
        <w:pStyle w:val="Heading2"/>
        <w:numPr>
          <w:ilvl w:val="0"/>
          <w:numId w:val="5"/>
        </w:numPr>
        <w:tabs>
          <w:tab w:pos="323" w:val="left" w:leader="none"/>
        </w:tabs>
        <w:spacing w:line="240" w:lineRule="auto" w:before="96" w:after="0"/>
        <w:ind w:left="322" w:right="0" w:hanging="206"/>
        <w:jc w:val="both"/>
      </w:pPr>
      <w:bookmarkStart w:name="Long-Term Debt" w:id="48"/>
      <w:bookmarkEnd w:id="48"/>
      <w:r>
        <w:rPr>
          <w:b w:val="0"/>
        </w:rPr>
      </w:r>
      <w:bookmarkStart w:name="Long-Term Debt" w:id="49"/>
      <w:bookmarkEnd w:id="49"/>
      <w:r>
        <w:rPr>
          <w:color w:val="0000FF"/>
          <w:spacing w:val="-4"/>
        </w:rPr>
        <w:t>L</w:t>
      </w:r>
      <w:r>
        <w:rPr>
          <w:color w:val="0000FF"/>
          <w:spacing w:val="-4"/>
        </w:rPr>
        <w:t>ONG-TERM </w:t>
      </w:r>
      <w:r>
        <w:rPr>
          <w:color w:val="0000FF"/>
          <w:spacing w:val="3"/>
        </w:rPr>
        <w:t> </w:t>
      </w:r>
      <w:r>
        <w:rPr>
          <w:color w:val="0000FF"/>
          <w:spacing w:val="-4"/>
        </w:rPr>
        <w:t>DEBT</w:t>
      </w:r>
    </w:p>
    <w:p>
      <w:pPr>
        <w:pStyle w:val="BodyText"/>
        <w:spacing w:before="9"/>
        <w:rPr>
          <w:b/>
          <w:sz w:val="16"/>
        </w:rPr>
      </w:pPr>
      <w:r>
        <w:rPr/>
        <w:pict>
          <v:line style="position:absolute;mso-position-horizontal-relative:page;mso-position-vertical-relative:paragraph;z-index:6232;mso-wrap-distance-left:0;mso-wrap-distance-right:0" from="77.760002pt,11.851475pt" to="523.440002pt,11.851475pt" stroked="true" strokeweight=".47998pt" strokecolor="#000000">
            <v:stroke dashstyle="solid"/>
            <w10:wrap type="topAndBottom"/>
          </v:line>
        </w:pict>
      </w:r>
    </w:p>
    <w:p>
      <w:pPr>
        <w:tabs>
          <w:tab w:pos="5837" w:val="left" w:leader="none"/>
          <w:tab w:pos="8131" w:val="left" w:leader="none"/>
        </w:tabs>
        <w:spacing w:before="0"/>
        <w:ind w:left="495" w:right="0" w:firstLine="0"/>
        <w:jc w:val="left"/>
        <w:rPr>
          <w:sz w:val="21"/>
        </w:rPr>
      </w:pPr>
      <w:r>
        <w:rPr>
          <w:spacing w:val="-3"/>
          <w:w w:val="105"/>
          <w:sz w:val="17"/>
        </w:rPr>
        <w:t>(In</w:t>
      </w:r>
      <w:r>
        <w:rPr>
          <w:spacing w:val="-4"/>
          <w:w w:val="105"/>
          <w:sz w:val="17"/>
        </w:rPr>
        <w:t> millions)</w:t>
        <w:tab/>
      </w:r>
      <w:r>
        <w:rPr>
          <w:b/>
          <w:w w:val="105"/>
          <w:position w:val="1"/>
          <w:sz w:val="21"/>
        </w:rPr>
        <w:t>2003</w:t>
        <w:tab/>
      </w:r>
      <w:r>
        <w:rPr>
          <w:w w:val="105"/>
          <w:position w:val="1"/>
          <w:sz w:val="21"/>
        </w:rPr>
        <w:t>2002</w:t>
      </w:r>
    </w:p>
    <w:p>
      <w:pPr>
        <w:pStyle w:val="BodyText"/>
        <w:tabs>
          <w:tab w:pos="5083" w:val="left" w:leader="none"/>
          <w:tab w:pos="6687" w:val="left" w:leader="none"/>
          <w:tab w:pos="7512" w:val="left" w:leader="none"/>
          <w:tab w:pos="8765" w:val="left" w:leader="none"/>
        </w:tabs>
        <w:spacing w:before="45"/>
        <w:ind w:left="495"/>
      </w:pPr>
      <w:r>
        <w:rPr/>
        <w:pict>
          <v:line style="position:absolute;mso-position-horizontal-relative:page;mso-position-vertical-relative:paragraph;z-index:-232096" from="77.760002pt,3.652799pt" to="523.440002pt,3.652799pt" stroked="true" strokeweight=".47992pt" strokecolor="#000000">
            <v:stroke dashstyle="solid"/>
            <w10:wrap type="none"/>
          </v:line>
        </w:pict>
      </w:r>
      <w:r>
        <w:rPr>
          <w:w w:val="105"/>
        </w:rPr>
        <w:t>8 3/4% </w:t>
      </w:r>
      <w:r>
        <w:rPr>
          <w:spacing w:val="-3"/>
          <w:w w:val="105"/>
        </w:rPr>
        <w:t>Notes</w:t>
      </w:r>
      <w:r>
        <w:rPr>
          <w:spacing w:val="-40"/>
          <w:w w:val="105"/>
        </w:rPr>
        <w:t> </w:t>
      </w:r>
      <w:r>
        <w:rPr>
          <w:w w:val="105"/>
        </w:rPr>
        <w:t>due</w:t>
      </w:r>
      <w:r>
        <w:rPr>
          <w:spacing w:val="-19"/>
          <w:w w:val="105"/>
        </w:rPr>
        <w:t> </w:t>
      </w:r>
      <w:r>
        <w:rPr>
          <w:w w:val="105"/>
        </w:rPr>
        <w:t>2003</w:t>
        <w:tab/>
      </w:r>
      <w:r>
        <w:rPr>
          <w:b/>
          <w:w w:val="105"/>
        </w:rPr>
        <w:t>$</w:t>
        <w:tab/>
        <w:t>-</w:t>
        <w:tab/>
      </w:r>
      <w:r>
        <w:rPr>
          <w:w w:val="105"/>
        </w:rPr>
        <w:t>$</w:t>
        <w:tab/>
        <w:t>100</w:t>
      </w:r>
    </w:p>
    <w:p>
      <w:pPr>
        <w:pStyle w:val="BodyText"/>
        <w:tabs>
          <w:tab w:pos="6706" w:val="left" w:leader="none"/>
          <w:tab w:pos="8866" w:val="left" w:leader="none"/>
        </w:tabs>
        <w:spacing w:before="60"/>
        <w:ind w:left="495"/>
      </w:pPr>
      <w:r>
        <w:rPr>
          <w:spacing w:val="-3"/>
          <w:w w:val="105"/>
        </w:rPr>
        <w:t>Aircraft</w:t>
      </w:r>
      <w:r>
        <w:rPr>
          <w:spacing w:val="-23"/>
          <w:w w:val="105"/>
        </w:rPr>
        <w:t> </w:t>
      </w:r>
      <w:r>
        <w:rPr>
          <w:w w:val="105"/>
        </w:rPr>
        <w:t>Secured</w:t>
      </w:r>
      <w:r>
        <w:rPr>
          <w:spacing w:val="-23"/>
          <w:w w:val="105"/>
        </w:rPr>
        <w:t> </w:t>
      </w:r>
      <w:r>
        <w:rPr>
          <w:w w:val="105"/>
        </w:rPr>
        <w:t>Notes</w:t>
      </w:r>
      <w:r>
        <w:rPr>
          <w:spacing w:val="-20"/>
          <w:w w:val="105"/>
        </w:rPr>
        <w:t> </w:t>
      </w:r>
      <w:r>
        <w:rPr>
          <w:w w:val="105"/>
        </w:rPr>
        <w:t>due</w:t>
      </w:r>
      <w:r>
        <w:rPr>
          <w:spacing w:val="-21"/>
          <w:w w:val="105"/>
        </w:rPr>
        <w:t> </w:t>
      </w:r>
      <w:r>
        <w:rPr>
          <w:w w:val="105"/>
        </w:rPr>
        <w:t>2004</w:t>
        <w:tab/>
      </w:r>
      <w:r>
        <w:rPr>
          <w:b/>
          <w:w w:val="105"/>
        </w:rPr>
        <w:t>175</w:t>
      </w:r>
      <w:r>
        <w:rPr>
          <w:w w:val="105"/>
        </w:rPr>
        <w:tab/>
        <w:t>175</w:t>
      </w:r>
    </w:p>
    <w:p>
      <w:pPr>
        <w:pStyle w:val="BodyText"/>
        <w:tabs>
          <w:tab w:pos="6706" w:val="left" w:leader="none"/>
          <w:tab w:pos="8866" w:val="left" w:leader="none"/>
        </w:tabs>
        <w:spacing w:before="55"/>
        <w:ind w:left="495"/>
      </w:pPr>
      <w:r>
        <w:rPr>
          <w:w w:val="105"/>
        </w:rPr>
        <w:t>8% Notes</w:t>
      </w:r>
      <w:r>
        <w:rPr>
          <w:spacing w:val="-37"/>
          <w:w w:val="105"/>
        </w:rPr>
        <w:t> </w:t>
      </w:r>
      <w:r>
        <w:rPr>
          <w:w w:val="105"/>
        </w:rPr>
        <w:t>due</w:t>
      </w:r>
      <w:r>
        <w:rPr>
          <w:spacing w:val="-17"/>
          <w:w w:val="105"/>
        </w:rPr>
        <w:t> </w:t>
      </w:r>
      <w:r>
        <w:rPr>
          <w:w w:val="105"/>
        </w:rPr>
        <w:t>2005</w:t>
        <w:tab/>
      </w:r>
      <w:r>
        <w:rPr>
          <w:b/>
          <w:w w:val="105"/>
        </w:rPr>
        <w:t>100</w:t>
      </w:r>
      <w:r>
        <w:rPr>
          <w:w w:val="105"/>
        </w:rPr>
        <w:tab/>
        <w:t>100</w:t>
      </w:r>
    </w:p>
    <w:p>
      <w:pPr>
        <w:pStyle w:val="BodyText"/>
        <w:tabs>
          <w:tab w:pos="6706" w:val="left" w:leader="none"/>
          <w:tab w:pos="8866" w:val="left" w:leader="none"/>
        </w:tabs>
        <w:spacing w:before="60"/>
        <w:ind w:left="495"/>
      </w:pPr>
      <w:r>
        <w:rPr>
          <w:w w:val="105"/>
        </w:rPr>
        <w:t>Pass</w:t>
      </w:r>
      <w:r>
        <w:rPr>
          <w:spacing w:val="-18"/>
          <w:w w:val="105"/>
        </w:rPr>
        <w:t> </w:t>
      </w:r>
      <w:r>
        <w:rPr>
          <w:w w:val="105"/>
        </w:rPr>
        <w:t>through</w:t>
      </w:r>
      <w:r>
        <w:rPr>
          <w:spacing w:val="-18"/>
          <w:w w:val="105"/>
        </w:rPr>
        <w:t> </w:t>
      </w:r>
      <w:r>
        <w:rPr>
          <w:spacing w:val="-3"/>
          <w:w w:val="105"/>
        </w:rPr>
        <w:t>Certificates</w:t>
        <w:tab/>
      </w:r>
      <w:r>
        <w:rPr>
          <w:b/>
          <w:w w:val="105"/>
        </w:rPr>
        <w:t>564</w:t>
      </w:r>
      <w:r>
        <w:rPr>
          <w:w w:val="105"/>
        </w:rPr>
        <w:tab/>
        <w:t>586</w:t>
      </w:r>
    </w:p>
    <w:p>
      <w:pPr>
        <w:pStyle w:val="BodyText"/>
        <w:tabs>
          <w:tab w:pos="6706" w:val="left" w:leader="none"/>
          <w:tab w:pos="8866" w:val="left" w:leader="none"/>
        </w:tabs>
        <w:spacing w:before="56"/>
        <w:ind w:left="495"/>
      </w:pPr>
      <w:r>
        <w:rPr>
          <w:w w:val="105"/>
        </w:rPr>
        <w:t>7 7/8% </w:t>
      </w:r>
      <w:r>
        <w:rPr>
          <w:spacing w:val="-3"/>
          <w:w w:val="105"/>
        </w:rPr>
        <w:t>Notes</w:t>
      </w:r>
      <w:r>
        <w:rPr>
          <w:spacing w:val="-40"/>
          <w:w w:val="105"/>
        </w:rPr>
        <w:t> </w:t>
      </w:r>
      <w:r>
        <w:rPr>
          <w:w w:val="105"/>
        </w:rPr>
        <w:t>due</w:t>
      </w:r>
      <w:r>
        <w:rPr>
          <w:spacing w:val="-19"/>
          <w:w w:val="105"/>
        </w:rPr>
        <w:t> </w:t>
      </w:r>
      <w:r>
        <w:rPr>
          <w:w w:val="105"/>
        </w:rPr>
        <w:t>2007</w:t>
        <w:tab/>
      </w:r>
      <w:r>
        <w:rPr>
          <w:b/>
          <w:w w:val="105"/>
        </w:rPr>
        <w:t>100</w:t>
      </w:r>
      <w:r>
        <w:rPr>
          <w:w w:val="105"/>
        </w:rPr>
        <w:tab/>
        <w:t>100</w:t>
      </w:r>
    </w:p>
    <w:p>
      <w:pPr>
        <w:pStyle w:val="BodyText"/>
        <w:tabs>
          <w:tab w:pos="6811" w:val="left" w:leader="none"/>
          <w:tab w:pos="8971" w:val="left" w:leader="none"/>
        </w:tabs>
        <w:spacing w:before="61"/>
        <w:ind w:left="495"/>
      </w:pPr>
      <w:r>
        <w:rPr>
          <w:spacing w:val="-3"/>
          <w:w w:val="105"/>
        </w:rPr>
        <w:t>French</w:t>
      </w:r>
      <w:r>
        <w:rPr>
          <w:spacing w:val="-16"/>
          <w:w w:val="105"/>
        </w:rPr>
        <w:t> </w:t>
      </w:r>
      <w:r>
        <w:rPr>
          <w:w w:val="105"/>
        </w:rPr>
        <w:t>Credit</w:t>
      </w:r>
      <w:r>
        <w:rPr>
          <w:spacing w:val="-19"/>
          <w:w w:val="105"/>
        </w:rPr>
        <w:t> </w:t>
      </w:r>
      <w:r>
        <w:rPr>
          <w:spacing w:val="-3"/>
          <w:w w:val="105"/>
        </w:rPr>
        <w:t>Agreements</w:t>
        <w:tab/>
      </w:r>
      <w:r>
        <w:rPr>
          <w:b/>
          <w:spacing w:val="-3"/>
          <w:w w:val="105"/>
        </w:rPr>
        <w:t>47</w:t>
      </w:r>
      <w:r>
        <w:rPr>
          <w:spacing w:val="-3"/>
          <w:w w:val="105"/>
        </w:rPr>
        <w:tab/>
        <w:t>50</w:t>
      </w:r>
    </w:p>
    <w:p>
      <w:pPr>
        <w:pStyle w:val="BodyText"/>
        <w:tabs>
          <w:tab w:pos="6706" w:val="left" w:leader="none"/>
          <w:tab w:pos="8866" w:val="left" w:leader="none"/>
        </w:tabs>
        <w:spacing w:before="56"/>
        <w:ind w:left="495"/>
      </w:pPr>
      <w:r>
        <w:rPr>
          <w:w w:val="105"/>
        </w:rPr>
        <w:t>6 1/2% </w:t>
      </w:r>
      <w:r>
        <w:rPr>
          <w:spacing w:val="-3"/>
          <w:w w:val="105"/>
        </w:rPr>
        <w:t>Notes</w:t>
      </w:r>
      <w:r>
        <w:rPr>
          <w:spacing w:val="-40"/>
          <w:w w:val="105"/>
        </w:rPr>
        <w:t> </w:t>
      </w:r>
      <w:r>
        <w:rPr>
          <w:w w:val="105"/>
        </w:rPr>
        <w:t>due</w:t>
      </w:r>
      <w:r>
        <w:rPr>
          <w:spacing w:val="-19"/>
          <w:w w:val="105"/>
        </w:rPr>
        <w:t> </w:t>
      </w:r>
      <w:r>
        <w:rPr>
          <w:w w:val="105"/>
        </w:rPr>
        <w:t>2012</w:t>
        <w:tab/>
      </w:r>
      <w:r>
        <w:rPr>
          <w:b/>
          <w:w w:val="105"/>
        </w:rPr>
        <w:t>371</w:t>
      </w:r>
      <w:r>
        <w:rPr>
          <w:w w:val="105"/>
        </w:rPr>
        <w:tab/>
        <w:t>385</w:t>
      </w:r>
    </w:p>
    <w:p>
      <w:pPr>
        <w:pStyle w:val="BodyText"/>
        <w:tabs>
          <w:tab w:pos="6706" w:val="left" w:leader="none"/>
          <w:tab w:pos="8866" w:val="left" w:leader="none"/>
        </w:tabs>
        <w:spacing w:before="60"/>
        <w:ind w:left="495"/>
      </w:pPr>
      <w:r>
        <w:rPr>
          <w:w w:val="105"/>
        </w:rPr>
        <w:t>7 3/8%</w:t>
      </w:r>
      <w:r>
        <w:rPr>
          <w:spacing w:val="-43"/>
          <w:w w:val="105"/>
        </w:rPr>
        <w:t> </w:t>
      </w:r>
      <w:r>
        <w:rPr>
          <w:spacing w:val="-3"/>
          <w:w w:val="105"/>
        </w:rPr>
        <w:t>Debentures </w:t>
      </w:r>
      <w:r>
        <w:rPr>
          <w:w w:val="105"/>
        </w:rPr>
        <w:t>due</w:t>
      </w:r>
      <w:r>
        <w:rPr>
          <w:spacing w:val="-20"/>
          <w:w w:val="105"/>
        </w:rPr>
        <w:t> </w:t>
      </w:r>
      <w:r>
        <w:rPr>
          <w:w w:val="105"/>
        </w:rPr>
        <w:t>2027</w:t>
        <w:tab/>
      </w:r>
      <w:r>
        <w:rPr>
          <w:b/>
          <w:w w:val="105"/>
        </w:rPr>
        <w:t>100</w:t>
      </w:r>
      <w:r>
        <w:rPr>
          <w:w w:val="105"/>
        </w:rPr>
        <w:tab/>
        <w:t>100</w:t>
      </w:r>
    </w:p>
    <w:p>
      <w:pPr>
        <w:pStyle w:val="BodyText"/>
        <w:tabs>
          <w:tab w:pos="6811" w:val="left" w:leader="none"/>
          <w:tab w:pos="8866" w:val="left" w:leader="none"/>
        </w:tabs>
        <w:spacing w:before="55"/>
        <w:ind w:left="495"/>
      </w:pPr>
      <w:r>
        <w:rPr>
          <w:w w:val="105"/>
        </w:rPr>
        <w:t>Capital leases</w:t>
      </w:r>
      <w:r>
        <w:rPr>
          <w:spacing w:val="-36"/>
          <w:w w:val="105"/>
        </w:rPr>
        <w:t> </w:t>
      </w:r>
      <w:r>
        <w:rPr>
          <w:spacing w:val="-3"/>
          <w:w w:val="105"/>
        </w:rPr>
        <w:t>(Note</w:t>
      </w:r>
      <w:r>
        <w:rPr>
          <w:spacing w:val="-20"/>
          <w:w w:val="105"/>
        </w:rPr>
        <w:t> </w:t>
      </w:r>
      <w:r>
        <w:rPr>
          <w:w w:val="105"/>
        </w:rPr>
        <w:t>8)</w:t>
        <w:tab/>
      </w:r>
      <w:r>
        <w:rPr>
          <w:b/>
          <w:spacing w:val="-3"/>
          <w:w w:val="105"/>
        </w:rPr>
        <w:t>91</w:t>
      </w:r>
      <w:r>
        <w:rPr>
          <w:spacing w:val="-3"/>
          <w:w w:val="105"/>
        </w:rPr>
        <w:tab/>
      </w:r>
      <w:r>
        <w:rPr>
          <w:w w:val="105"/>
        </w:rPr>
        <w:t>100</w:t>
      </w:r>
    </w:p>
    <w:p>
      <w:pPr>
        <w:tabs>
          <w:tab w:pos="8707" w:val="left" w:leader="none"/>
        </w:tabs>
        <w:spacing w:before="70"/>
        <w:ind w:left="6547" w:right="0" w:firstLine="0"/>
        <w:jc w:val="left"/>
        <w:rPr>
          <w:sz w:val="21"/>
        </w:rPr>
      </w:pPr>
      <w:r>
        <w:rPr/>
        <w:pict>
          <v:line style="position:absolute;mso-position-horizontal-relative:page;mso-position-vertical-relative:paragraph;z-index:-232072" from="307.440002pt,4.901176pt" to="415.440002pt,4.901176pt" stroked="true" strokeweight=".48004pt" strokecolor="#000000">
            <v:stroke dashstyle="solid"/>
            <w10:wrap type="none"/>
          </v:line>
        </w:pict>
      </w:r>
      <w:r>
        <w:rPr/>
        <w:pict>
          <v:line style="position:absolute;mso-position-horizontal-relative:page;mso-position-vertical-relative:paragraph;z-index:-232048" from="428.880005pt,4.901176pt" to="523.440005pt,4.901176pt" stroked="true" strokeweight=".48004pt" strokecolor="#000000">
            <v:stroke dashstyle="solid"/>
            <w10:wrap type="none"/>
          </v:line>
        </w:pict>
      </w:r>
      <w:r>
        <w:rPr>
          <w:b/>
          <w:w w:val="105"/>
          <w:sz w:val="21"/>
        </w:rPr>
        <w:t>1,548</w:t>
        <w:tab/>
      </w:r>
      <w:r>
        <w:rPr>
          <w:w w:val="105"/>
          <w:sz w:val="21"/>
        </w:rPr>
        <w:t>1,696</w:t>
      </w:r>
    </w:p>
    <w:p>
      <w:pPr>
        <w:pStyle w:val="BodyText"/>
        <w:tabs>
          <w:tab w:pos="6706" w:val="left" w:leader="none"/>
          <w:tab w:pos="8866" w:val="left" w:leader="none"/>
        </w:tabs>
        <w:spacing w:before="56"/>
        <w:ind w:left="495"/>
      </w:pPr>
      <w:r>
        <w:rPr>
          <w:spacing w:val="-3"/>
          <w:w w:val="105"/>
        </w:rPr>
        <w:t>Less</w:t>
      </w:r>
      <w:r>
        <w:rPr>
          <w:spacing w:val="-18"/>
          <w:w w:val="105"/>
        </w:rPr>
        <w:t> </w:t>
      </w:r>
      <w:r>
        <w:rPr>
          <w:spacing w:val="-3"/>
          <w:w w:val="105"/>
        </w:rPr>
        <w:t>current</w:t>
      </w:r>
      <w:r>
        <w:rPr>
          <w:spacing w:val="-18"/>
          <w:w w:val="105"/>
        </w:rPr>
        <w:t> </w:t>
      </w:r>
      <w:r>
        <w:rPr>
          <w:w w:val="105"/>
        </w:rPr>
        <w:t>maturities</w:t>
        <w:tab/>
      </w:r>
      <w:r>
        <w:rPr>
          <w:b/>
          <w:w w:val="105"/>
        </w:rPr>
        <w:t>206</w:t>
      </w:r>
      <w:r>
        <w:rPr>
          <w:w w:val="105"/>
        </w:rPr>
        <w:tab/>
        <w:t>131</w:t>
      </w:r>
    </w:p>
    <w:p>
      <w:pPr>
        <w:pStyle w:val="BodyText"/>
        <w:tabs>
          <w:tab w:pos="6811" w:val="left" w:leader="none"/>
          <w:tab w:pos="8971" w:val="left" w:leader="none"/>
        </w:tabs>
        <w:spacing w:before="61"/>
        <w:ind w:left="495"/>
      </w:pPr>
      <w:r>
        <w:rPr/>
        <w:pict>
          <v:group style="position:absolute;margin-left:307.190002pt;margin-top:19.562702pt;width:108.5pt;height:1.5pt;mso-position-horizontal-relative:page;mso-position-vertical-relative:paragraph;z-index:6256;mso-wrap-distance-left:0;mso-wrap-distance-right:0" coordorigin="6144,391" coordsize="2170,30">
            <v:line style="position:absolute" from="6149,396" to="8309,396" stroked="true" strokeweight=".48004pt" strokecolor="#000000">
              <v:stroke dashstyle="solid"/>
            </v:line>
            <v:line style="position:absolute" from="6149,415" to="8309,415" stroked="true" strokeweight=".48004pt" strokecolor="#000000">
              <v:stroke dashstyle="solid"/>
            </v:line>
            <w10:wrap type="topAndBottom"/>
          </v:group>
        </w:pict>
      </w:r>
      <w:r>
        <w:rPr/>
        <w:pict>
          <v:group style="position:absolute;margin-left:428.630005pt;margin-top:19.562702pt;width:95.1pt;height:1.5pt;mso-position-horizontal-relative:page;mso-position-vertical-relative:paragraph;z-index:6280;mso-wrap-distance-left:0;mso-wrap-distance-right:0" coordorigin="8573,391" coordsize="1902,30">
            <v:line style="position:absolute" from="8578,396" to="10469,396" stroked="true" strokeweight=".48004pt" strokecolor="#000000">
              <v:stroke dashstyle="solid"/>
            </v:line>
            <v:line style="position:absolute" from="8578,415" to="10469,415" stroked="true" strokeweight=".48004pt" strokecolor="#000000">
              <v:stroke dashstyle="solid"/>
            </v:line>
            <w10:wrap type="topAndBottom"/>
          </v:group>
        </w:pict>
      </w:r>
      <w:r>
        <w:rPr>
          <w:spacing w:val="-3"/>
          <w:w w:val="105"/>
        </w:rPr>
        <w:t>Less</w:t>
      </w:r>
      <w:r>
        <w:rPr>
          <w:spacing w:val="-19"/>
          <w:w w:val="105"/>
        </w:rPr>
        <w:t> </w:t>
      </w:r>
      <w:r>
        <w:rPr>
          <w:w w:val="105"/>
        </w:rPr>
        <w:t>debt</w:t>
      </w:r>
      <w:r>
        <w:rPr>
          <w:spacing w:val="-19"/>
          <w:w w:val="105"/>
        </w:rPr>
        <w:t> </w:t>
      </w:r>
      <w:r>
        <w:rPr>
          <w:w w:val="105"/>
        </w:rPr>
        <w:t>discount</w:t>
      </w:r>
      <w:r>
        <w:rPr>
          <w:spacing w:val="-19"/>
          <w:w w:val="105"/>
        </w:rPr>
        <w:t> </w:t>
      </w:r>
      <w:r>
        <w:rPr>
          <w:w w:val="105"/>
        </w:rPr>
        <w:t>and</w:t>
      </w:r>
      <w:r>
        <w:rPr>
          <w:spacing w:val="-19"/>
          <w:w w:val="105"/>
        </w:rPr>
        <w:t> </w:t>
      </w:r>
      <w:r>
        <w:rPr>
          <w:w w:val="105"/>
        </w:rPr>
        <w:t>issue</w:t>
      </w:r>
      <w:r>
        <w:rPr>
          <w:spacing w:val="-20"/>
          <w:w w:val="105"/>
        </w:rPr>
        <w:t> </w:t>
      </w:r>
      <w:r>
        <w:rPr>
          <w:w w:val="105"/>
        </w:rPr>
        <w:t>costs</w:t>
        <w:tab/>
      </w:r>
      <w:r>
        <w:rPr>
          <w:b/>
          <w:spacing w:val="-3"/>
          <w:w w:val="105"/>
        </w:rPr>
        <w:t>10</w:t>
      </w:r>
      <w:r>
        <w:rPr>
          <w:spacing w:val="-3"/>
          <w:w w:val="105"/>
        </w:rPr>
        <w:tab/>
        <w:t>12</w:t>
      </w:r>
    </w:p>
    <w:p>
      <w:pPr>
        <w:pStyle w:val="Heading2"/>
        <w:tabs>
          <w:tab w:pos="6485" w:val="left" w:leader="none"/>
          <w:tab w:pos="7512" w:val="left" w:leader="none"/>
          <w:tab w:pos="8616" w:val="left" w:leader="none"/>
        </w:tabs>
        <w:ind w:left="5083"/>
      </w:pPr>
      <w:r>
        <w:rPr>
          <w:w w:val="105"/>
        </w:rPr>
        <w:t>$</w:t>
        <w:tab/>
        <w:t>1,332</w:t>
        <w:tab/>
        <w:t>$</w:t>
        <w:tab/>
        <w:t>1,553</w:t>
      </w:r>
    </w:p>
    <w:p>
      <w:pPr>
        <w:pStyle w:val="BodyText"/>
        <w:spacing w:line="220" w:lineRule="exact" w:before="239"/>
        <w:ind w:left="115" w:right="110"/>
        <w:jc w:val="both"/>
      </w:pPr>
      <w:r>
        <w:rPr>
          <w:w w:val="105"/>
        </w:rPr>
        <w:t>In October 2003, the Company redeemed $100 million of senior unsecured 8 3/4% Notes originally issued in 1991.</w:t>
      </w:r>
    </w:p>
    <w:p>
      <w:pPr>
        <w:pStyle w:val="BodyText"/>
        <w:spacing w:line="220" w:lineRule="exact" w:before="216"/>
        <w:ind w:left="115" w:right="110"/>
        <w:jc w:val="both"/>
      </w:pPr>
      <w:r>
        <w:rPr>
          <w:spacing w:val="-4"/>
          <w:w w:val="105"/>
        </w:rPr>
        <w:t>On </w:t>
      </w:r>
      <w:r>
        <w:rPr>
          <w:spacing w:val="-3"/>
          <w:w w:val="105"/>
        </w:rPr>
        <w:t>March </w:t>
      </w:r>
      <w:r>
        <w:rPr>
          <w:w w:val="105"/>
        </w:rPr>
        <w:t>1, 2002, the Company issued $385 million senior unsecured Notes (Notes) due </w:t>
      </w:r>
      <w:r>
        <w:rPr>
          <w:spacing w:val="-3"/>
          <w:w w:val="105"/>
        </w:rPr>
        <w:t>March </w:t>
      </w:r>
      <w:r>
        <w:rPr>
          <w:w w:val="105"/>
        </w:rPr>
        <w:t>1,</w:t>
      </w:r>
      <w:r>
        <w:rPr>
          <w:spacing w:val="-40"/>
          <w:w w:val="105"/>
        </w:rPr>
        <w:t> </w:t>
      </w:r>
      <w:r>
        <w:rPr>
          <w:w w:val="105"/>
        </w:rPr>
        <w:t>2012. The Notes bear interest at 6.5 percent, payable semi-annually beginning on September 1, 2002. Southwest used the net proceeds from the issuance of the Notes, approximately $380 million, for general corporate purposes, including the repayment of the Company’s credit facility in March 2002. See Note 6. During 2003, </w:t>
      </w:r>
      <w:r>
        <w:rPr>
          <w:spacing w:val="2"/>
          <w:w w:val="105"/>
        </w:rPr>
        <w:t>the Company entered into </w:t>
      </w:r>
      <w:r>
        <w:rPr>
          <w:w w:val="105"/>
        </w:rPr>
        <w:t>an </w:t>
      </w:r>
      <w:r>
        <w:rPr>
          <w:spacing w:val="2"/>
          <w:w w:val="105"/>
        </w:rPr>
        <w:t>interest </w:t>
      </w:r>
      <w:r>
        <w:rPr>
          <w:w w:val="105"/>
        </w:rPr>
        <w:t>rate swap </w:t>
      </w:r>
      <w:r>
        <w:rPr>
          <w:spacing w:val="2"/>
          <w:w w:val="105"/>
        </w:rPr>
        <w:t>agreement </w:t>
      </w:r>
      <w:r>
        <w:rPr>
          <w:w w:val="105"/>
        </w:rPr>
        <w:t>relating to </w:t>
      </w:r>
      <w:r>
        <w:rPr>
          <w:spacing w:val="2"/>
          <w:w w:val="105"/>
        </w:rPr>
        <w:t>these </w:t>
      </w:r>
      <w:r>
        <w:rPr>
          <w:w w:val="105"/>
        </w:rPr>
        <w:t>Notes. See Note 10 for further information.</w:t>
      </w:r>
    </w:p>
    <w:p>
      <w:pPr>
        <w:pStyle w:val="BodyText"/>
        <w:spacing w:line="218" w:lineRule="auto" w:before="213"/>
        <w:ind w:left="115" w:right="109"/>
        <w:jc w:val="both"/>
      </w:pPr>
      <w:r>
        <w:rPr>
          <w:spacing w:val="-4"/>
          <w:w w:val="105"/>
        </w:rPr>
        <w:t>On </w:t>
      </w:r>
      <w:r>
        <w:rPr>
          <w:spacing w:val="-3"/>
          <w:w w:val="105"/>
        </w:rPr>
        <w:t>October </w:t>
      </w:r>
      <w:r>
        <w:rPr>
          <w:w w:val="105"/>
        </w:rPr>
        <w:t>30, 2001, the Company issued $614 million Pass </w:t>
      </w:r>
      <w:r>
        <w:rPr>
          <w:spacing w:val="-3"/>
          <w:w w:val="105"/>
        </w:rPr>
        <w:t>Through Certificates </w:t>
      </w:r>
      <w:r>
        <w:rPr>
          <w:w w:val="105"/>
        </w:rPr>
        <w:t>consisting of $150 million 5.1%</w:t>
      </w:r>
      <w:r>
        <w:rPr>
          <w:spacing w:val="-14"/>
          <w:w w:val="105"/>
        </w:rPr>
        <w:t> </w:t>
      </w:r>
      <w:r>
        <w:rPr>
          <w:spacing w:val="-3"/>
          <w:w w:val="105"/>
        </w:rPr>
        <w:t>Class</w:t>
      </w:r>
      <w:r>
        <w:rPr>
          <w:spacing w:val="-10"/>
          <w:w w:val="105"/>
        </w:rPr>
        <w:t> </w:t>
      </w:r>
      <w:r>
        <w:rPr>
          <w:spacing w:val="-3"/>
          <w:w w:val="105"/>
        </w:rPr>
        <w:t>A-1</w:t>
      </w:r>
      <w:r>
        <w:rPr>
          <w:spacing w:val="-10"/>
          <w:w w:val="105"/>
        </w:rPr>
        <w:t> </w:t>
      </w:r>
      <w:r>
        <w:rPr>
          <w:spacing w:val="-3"/>
          <w:w w:val="105"/>
        </w:rPr>
        <w:t>certificates,</w:t>
      </w:r>
      <w:r>
        <w:rPr>
          <w:spacing w:val="-16"/>
          <w:w w:val="105"/>
        </w:rPr>
        <w:t> </w:t>
      </w:r>
      <w:r>
        <w:rPr>
          <w:w w:val="105"/>
        </w:rPr>
        <w:t>$375</w:t>
      </w:r>
      <w:r>
        <w:rPr>
          <w:spacing w:val="-10"/>
          <w:w w:val="105"/>
        </w:rPr>
        <w:t> </w:t>
      </w:r>
      <w:r>
        <w:rPr>
          <w:w w:val="105"/>
        </w:rPr>
        <w:t>million</w:t>
      </w:r>
      <w:r>
        <w:rPr>
          <w:spacing w:val="-10"/>
          <w:w w:val="105"/>
        </w:rPr>
        <w:t> </w:t>
      </w:r>
      <w:r>
        <w:rPr>
          <w:w w:val="105"/>
        </w:rPr>
        <w:t>5.5%</w:t>
      </w:r>
      <w:r>
        <w:rPr>
          <w:spacing w:val="-14"/>
          <w:w w:val="105"/>
        </w:rPr>
        <w:t> </w:t>
      </w:r>
      <w:r>
        <w:rPr>
          <w:spacing w:val="-3"/>
          <w:w w:val="105"/>
        </w:rPr>
        <w:t>Class</w:t>
      </w:r>
      <w:r>
        <w:rPr>
          <w:spacing w:val="-10"/>
          <w:w w:val="105"/>
        </w:rPr>
        <w:t> </w:t>
      </w:r>
      <w:r>
        <w:rPr>
          <w:spacing w:val="-3"/>
          <w:w w:val="105"/>
        </w:rPr>
        <w:t>A-2</w:t>
      </w:r>
      <w:r>
        <w:rPr>
          <w:spacing w:val="-18"/>
          <w:w w:val="105"/>
        </w:rPr>
        <w:t> </w:t>
      </w:r>
      <w:r>
        <w:rPr>
          <w:w w:val="105"/>
        </w:rPr>
        <w:t>certificates,</w:t>
      </w:r>
      <w:r>
        <w:rPr>
          <w:spacing w:val="-13"/>
          <w:w w:val="105"/>
        </w:rPr>
        <w:t> </w:t>
      </w:r>
      <w:r>
        <w:rPr>
          <w:spacing w:val="-3"/>
          <w:w w:val="105"/>
        </w:rPr>
        <w:t>and</w:t>
      </w:r>
      <w:r>
        <w:rPr>
          <w:spacing w:val="-10"/>
          <w:w w:val="105"/>
        </w:rPr>
        <w:t> </w:t>
      </w:r>
      <w:r>
        <w:rPr>
          <w:w w:val="105"/>
        </w:rPr>
        <w:t>$89</w:t>
      </w:r>
      <w:r>
        <w:rPr>
          <w:spacing w:val="-10"/>
          <w:w w:val="105"/>
        </w:rPr>
        <w:t> </w:t>
      </w:r>
      <w:r>
        <w:rPr>
          <w:w w:val="105"/>
        </w:rPr>
        <w:t>million</w:t>
      </w:r>
      <w:r>
        <w:rPr>
          <w:spacing w:val="-10"/>
          <w:w w:val="105"/>
        </w:rPr>
        <w:t> </w:t>
      </w:r>
      <w:r>
        <w:rPr>
          <w:w w:val="105"/>
        </w:rPr>
        <w:t>6.1%</w:t>
      </w:r>
      <w:r>
        <w:rPr>
          <w:spacing w:val="-17"/>
          <w:w w:val="105"/>
        </w:rPr>
        <w:t> </w:t>
      </w:r>
      <w:r>
        <w:rPr>
          <w:spacing w:val="-3"/>
          <w:w w:val="105"/>
        </w:rPr>
        <w:t>Class</w:t>
      </w:r>
      <w:r>
        <w:rPr>
          <w:spacing w:val="-10"/>
          <w:w w:val="105"/>
        </w:rPr>
        <w:t> </w:t>
      </w:r>
      <w:r>
        <w:rPr>
          <w:w w:val="105"/>
        </w:rPr>
        <w:t>B</w:t>
      </w:r>
      <w:r>
        <w:rPr>
          <w:spacing w:val="-12"/>
          <w:w w:val="105"/>
        </w:rPr>
        <w:t> </w:t>
      </w:r>
      <w:r>
        <w:rPr>
          <w:spacing w:val="-3"/>
          <w:w w:val="105"/>
        </w:rPr>
        <w:t>certificates. </w:t>
      </w:r>
      <w:r>
        <w:rPr>
          <w:w w:val="105"/>
        </w:rPr>
        <w:t>A separate trust was established for each class of certificates. The trusts used the proceeds from the sale of certificates to acquire equipment notes, which were issued by Southwest on a full recourse basis. Payments on the equipment notes held in each trust will be passed through to the holders of certificates of such trust. The </w:t>
      </w:r>
      <w:r>
        <w:rPr>
          <w:spacing w:val="2"/>
          <w:w w:val="105"/>
        </w:rPr>
        <w:t>equipment notes were issued </w:t>
      </w:r>
      <w:r>
        <w:rPr>
          <w:w w:val="105"/>
        </w:rPr>
        <w:t>for </w:t>
      </w:r>
      <w:r>
        <w:rPr>
          <w:spacing w:val="2"/>
          <w:w w:val="105"/>
        </w:rPr>
        <w:t>each </w:t>
      </w:r>
      <w:r>
        <w:rPr>
          <w:w w:val="105"/>
        </w:rPr>
        <w:t>of 29 </w:t>
      </w:r>
      <w:r>
        <w:rPr>
          <w:spacing w:val="2"/>
          <w:w w:val="105"/>
        </w:rPr>
        <w:t>Boeing 737-700 aircraft owned </w:t>
      </w:r>
      <w:r>
        <w:rPr>
          <w:w w:val="105"/>
        </w:rPr>
        <w:t>by </w:t>
      </w:r>
      <w:r>
        <w:rPr>
          <w:spacing w:val="2"/>
          <w:w w:val="105"/>
        </w:rPr>
        <w:t>Southwest </w:t>
      </w:r>
      <w:r>
        <w:rPr>
          <w:w w:val="105"/>
        </w:rPr>
        <w:t>and </w:t>
      </w:r>
      <w:r>
        <w:rPr>
          <w:spacing w:val="3"/>
          <w:w w:val="105"/>
        </w:rPr>
        <w:t>are </w:t>
      </w:r>
      <w:r>
        <w:rPr>
          <w:w w:val="105"/>
        </w:rPr>
        <w:t>secured by a mortgage on such aircraft. Interest on the equipment notes held for the certificates is payable semiannually, beginning May 1, 2002. Beginning May 1, 2002, principal payments on the equipment notes held for the Class A-1 certificates are due semiannually until the balance of the certificates mature on May 1, 2006.  The entire principal of the equipment notes for the Class A-2 and Class B certificates are scheduled  for payment on November 1, 2006. During 2003, the Company entered into an interest rate swap agreement relating</w:t>
      </w:r>
      <w:r>
        <w:rPr>
          <w:spacing w:val="-13"/>
          <w:w w:val="105"/>
        </w:rPr>
        <w:t> </w:t>
      </w:r>
      <w:r>
        <w:rPr>
          <w:w w:val="105"/>
        </w:rPr>
        <w:t>to</w:t>
      </w:r>
      <w:r>
        <w:rPr>
          <w:spacing w:val="-13"/>
          <w:w w:val="105"/>
        </w:rPr>
        <w:t> </w:t>
      </w:r>
      <w:r>
        <w:rPr>
          <w:w w:val="105"/>
        </w:rPr>
        <w:t>the</w:t>
      </w:r>
      <w:r>
        <w:rPr>
          <w:spacing w:val="-14"/>
          <w:w w:val="105"/>
        </w:rPr>
        <w:t> </w:t>
      </w:r>
      <w:r>
        <w:rPr>
          <w:w w:val="105"/>
        </w:rPr>
        <w:t>$375</w:t>
      </w:r>
      <w:r>
        <w:rPr>
          <w:spacing w:val="-16"/>
          <w:w w:val="105"/>
        </w:rPr>
        <w:t> </w:t>
      </w:r>
      <w:r>
        <w:rPr>
          <w:w w:val="105"/>
        </w:rPr>
        <w:t>million</w:t>
      </w:r>
      <w:r>
        <w:rPr>
          <w:spacing w:val="-16"/>
          <w:w w:val="105"/>
        </w:rPr>
        <w:t> </w:t>
      </w:r>
      <w:r>
        <w:rPr>
          <w:w w:val="105"/>
        </w:rPr>
        <w:t>5.5%</w:t>
      </w:r>
      <w:r>
        <w:rPr>
          <w:spacing w:val="-19"/>
          <w:w w:val="105"/>
        </w:rPr>
        <w:t> </w:t>
      </w:r>
      <w:r>
        <w:rPr>
          <w:spacing w:val="-3"/>
          <w:w w:val="105"/>
        </w:rPr>
        <w:t>Class</w:t>
      </w:r>
      <w:r>
        <w:rPr>
          <w:spacing w:val="-16"/>
          <w:w w:val="105"/>
        </w:rPr>
        <w:t> </w:t>
      </w:r>
      <w:r>
        <w:rPr>
          <w:spacing w:val="-3"/>
          <w:w w:val="105"/>
        </w:rPr>
        <w:t>A-2</w:t>
      </w:r>
      <w:r>
        <w:rPr>
          <w:spacing w:val="-16"/>
          <w:w w:val="105"/>
        </w:rPr>
        <w:t> </w:t>
      </w:r>
      <w:r>
        <w:rPr>
          <w:spacing w:val="-3"/>
          <w:w w:val="105"/>
        </w:rPr>
        <w:t>certificates.</w:t>
      </w:r>
      <w:r>
        <w:rPr>
          <w:spacing w:val="30"/>
          <w:w w:val="105"/>
        </w:rPr>
        <w:t> </w:t>
      </w:r>
      <w:r>
        <w:rPr>
          <w:w w:val="105"/>
        </w:rPr>
        <w:t>See</w:t>
      </w:r>
      <w:r>
        <w:rPr>
          <w:spacing w:val="-13"/>
          <w:w w:val="105"/>
        </w:rPr>
        <w:t> </w:t>
      </w:r>
      <w:r>
        <w:rPr>
          <w:w w:val="105"/>
        </w:rPr>
        <w:t>Note</w:t>
      </w:r>
      <w:r>
        <w:rPr>
          <w:spacing w:val="-13"/>
          <w:w w:val="105"/>
        </w:rPr>
        <w:t> </w:t>
      </w:r>
      <w:r>
        <w:rPr>
          <w:w w:val="105"/>
        </w:rPr>
        <w:t>10</w:t>
      </w:r>
      <w:r>
        <w:rPr>
          <w:spacing w:val="-13"/>
          <w:w w:val="105"/>
        </w:rPr>
        <w:t> </w:t>
      </w:r>
      <w:r>
        <w:rPr>
          <w:w w:val="105"/>
        </w:rPr>
        <w:t>for</w:t>
      </w:r>
      <w:r>
        <w:rPr>
          <w:spacing w:val="-13"/>
          <w:w w:val="105"/>
        </w:rPr>
        <w:t> </w:t>
      </w:r>
      <w:r>
        <w:rPr>
          <w:w w:val="105"/>
        </w:rPr>
        <w:t>further</w:t>
      </w:r>
      <w:r>
        <w:rPr>
          <w:spacing w:val="-13"/>
          <w:w w:val="105"/>
        </w:rPr>
        <w:t> </w:t>
      </w:r>
      <w:r>
        <w:rPr>
          <w:w w:val="105"/>
        </w:rPr>
        <w:t>information.</w:t>
      </w:r>
    </w:p>
    <w:p>
      <w:pPr>
        <w:pStyle w:val="BodyText"/>
        <w:spacing w:line="218" w:lineRule="auto" w:before="221"/>
        <w:ind w:left="115" w:right="108"/>
        <w:jc w:val="both"/>
      </w:pPr>
      <w:r>
        <w:rPr>
          <w:spacing w:val="-3"/>
          <w:w w:val="105"/>
        </w:rPr>
        <w:t>In</w:t>
      </w:r>
      <w:r>
        <w:rPr>
          <w:spacing w:val="-16"/>
          <w:w w:val="105"/>
        </w:rPr>
        <w:t> </w:t>
      </w:r>
      <w:r>
        <w:rPr>
          <w:w w:val="105"/>
        </w:rPr>
        <w:t>fourth</w:t>
      </w:r>
      <w:r>
        <w:rPr>
          <w:spacing w:val="-12"/>
          <w:w w:val="105"/>
        </w:rPr>
        <w:t> </w:t>
      </w:r>
      <w:r>
        <w:rPr>
          <w:w w:val="105"/>
        </w:rPr>
        <w:t>quarter</w:t>
      </w:r>
      <w:r>
        <w:rPr>
          <w:spacing w:val="-17"/>
          <w:w w:val="105"/>
        </w:rPr>
        <w:t> </w:t>
      </w:r>
      <w:r>
        <w:rPr>
          <w:w w:val="105"/>
        </w:rPr>
        <w:t>1999,</w:t>
      </w:r>
      <w:r>
        <w:rPr>
          <w:spacing w:val="-15"/>
          <w:w w:val="105"/>
        </w:rPr>
        <w:t> </w:t>
      </w:r>
      <w:r>
        <w:rPr>
          <w:w w:val="105"/>
        </w:rPr>
        <w:t>the</w:t>
      </w:r>
      <w:r>
        <w:rPr>
          <w:spacing w:val="-17"/>
          <w:w w:val="105"/>
        </w:rPr>
        <w:t> </w:t>
      </w:r>
      <w:r>
        <w:rPr>
          <w:w w:val="105"/>
        </w:rPr>
        <w:t>Company</w:t>
      </w:r>
      <w:r>
        <w:rPr>
          <w:spacing w:val="-12"/>
          <w:w w:val="105"/>
        </w:rPr>
        <w:t> </w:t>
      </w:r>
      <w:r>
        <w:rPr>
          <w:w w:val="105"/>
        </w:rPr>
        <w:t>issued</w:t>
      </w:r>
      <w:r>
        <w:rPr>
          <w:spacing w:val="-16"/>
          <w:w w:val="105"/>
        </w:rPr>
        <w:t> </w:t>
      </w:r>
      <w:r>
        <w:rPr>
          <w:w w:val="105"/>
        </w:rPr>
        <w:t>$200</w:t>
      </w:r>
      <w:r>
        <w:rPr>
          <w:spacing w:val="-12"/>
          <w:w w:val="105"/>
        </w:rPr>
        <w:t> </w:t>
      </w:r>
      <w:r>
        <w:rPr>
          <w:w w:val="105"/>
        </w:rPr>
        <w:t>million</w:t>
      </w:r>
      <w:r>
        <w:rPr>
          <w:spacing w:val="-16"/>
          <w:w w:val="105"/>
        </w:rPr>
        <w:t> </w:t>
      </w:r>
      <w:r>
        <w:rPr>
          <w:w w:val="105"/>
        </w:rPr>
        <w:t>of</w:t>
      </w:r>
      <w:r>
        <w:rPr>
          <w:spacing w:val="-14"/>
          <w:w w:val="105"/>
        </w:rPr>
        <w:t> </w:t>
      </w:r>
      <w:r>
        <w:rPr>
          <w:w w:val="105"/>
        </w:rPr>
        <w:t>floating</w:t>
      </w:r>
      <w:r>
        <w:rPr>
          <w:spacing w:val="-16"/>
          <w:w w:val="105"/>
        </w:rPr>
        <w:t> </w:t>
      </w:r>
      <w:r>
        <w:rPr>
          <w:w w:val="105"/>
        </w:rPr>
        <w:t>rate</w:t>
      </w:r>
      <w:r>
        <w:rPr>
          <w:spacing w:val="-17"/>
          <w:w w:val="105"/>
        </w:rPr>
        <w:t> </w:t>
      </w:r>
      <w:r>
        <w:rPr>
          <w:spacing w:val="-3"/>
          <w:w w:val="105"/>
        </w:rPr>
        <w:t>Aircraft</w:t>
      </w:r>
      <w:r>
        <w:rPr>
          <w:spacing w:val="-16"/>
          <w:w w:val="105"/>
        </w:rPr>
        <w:t> </w:t>
      </w:r>
      <w:r>
        <w:rPr>
          <w:spacing w:val="-3"/>
          <w:w w:val="105"/>
        </w:rPr>
        <w:t>Secured</w:t>
      </w:r>
      <w:r>
        <w:rPr>
          <w:spacing w:val="-12"/>
          <w:w w:val="105"/>
        </w:rPr>
        <w:t> </w:t>
      </w:r>
      <w:r>
        <w:rPr>
          <w:spacing w:val="-3"/>
          <w:w w:val="105"/>
        </w:rPr>
        <w:t>Notes</w:t>
      </w:r>
      <w:r>
        <w:rPr>
          <w:spacing w:val="-16"/>
          <w:w w:val="105"/>
        </w:rPr>
        <w:t> </w:t>
      </w:r>
      <w:r>
        <w:rPr>
          <w:w w:val="105"/>
        </w:rPr>
        <w:t>(the</w:t>
      </w:r>
      <w:r>
        <w:rPr>
          <w:spacing w:val="-14"/>
          <w:w w:val="105"/>
        </w:rPr>
        <w:t> </w:t>
      </w:r>
      <w:r>
        <w:rPr>
          <w:spacing w:val="-3"/>
          <w:w w:val="105"/>
        </w:rPr>
        <w:t>Notes),</w:t>
      </w:r>
      <w:r>
        <w:rPr>
          <w:spacing w:val="-18"/>
          <w:w w:val="105"/>
        </w:rPr>
        <w:t> </w:t>
      </w:r>
      <w:r>
        <w:rPr>
          <w:w w:val="105"/>
        </w:rPr>
        <w:t>due </w:t>
      </w:r>
      <w:r>
        <w:rPr>
          <w:spacing w:val="-3"/>
          <w:w w:val="105"/>
        </w:rPr>
        <w:t>November</w:t>
      </w:r>
      <w:r>
        <w:rPr>
          <w:spacing w:val="-10"/>
          <w:w w:val="105"/>
        </w:rPr>
        <w:t> </w:t>
      </w:r>
      <w:r>
        <w:rPr>
          <w:w w:val="105"/>
        </w:rPr>
        <w:t>2004.</w:t>
      </w:r>
      <w:r>
        <w:rPr>
          <w:spacing w:val="35"/>
          <w:w w:val="105"/>
        </w:rPr>
        <w:t> </w:t>
      </w:r>
      <w:r>
        <w:rPr>
          <w:spacing w:val="-2"/>
          <w:w w:val="105"/>
        </w:rPr>
        <w:t>The</w:t>
      </w:r>
      <w:r>
        <w:rPr>
          <w:spacing w:val="-10"/>
          <w:w w:val="105"/>
        </w:rPr>
        <w:t> </w:t>
      </w:r>
      <w:r>
        <w:rPr>
          <w:spacing w:val="-3"/>
          <w:w w:val="105"/>
        </w:rPr>
        <w:t>Notes</w:t>
      </w:r>
      <w:r>
        <w:rPr>
          <w:spacing w:val="-4"/>
          <w:w w:val="105"/>
        </w:rPr>
        <w:t> </w:t>
      </w:r>
      <w:r>
        <w:rPr>
          <w:w w:val="105"/>
        </w:rPr>
        <w:t>are</w:t>
      </w:r>
      <w:r>
        <w:rPr>
          <w:spacing w:val="-14"/>
          <w:w w:val="105"/>
        </w:rPr>
        <w:t> </w:t>
      </w:r>
      <w:r>
        <w:rPr>
          <w:w w:val="105"/>
        </w:rPr>
        <w:t>funded</w:t>
      </w:r>
      <w:r>
        <w:rPr>
          <w:spacing w:val="-8"/>
          <w:w w:val="105"/>
        </w:rPr>
        <w:t> </w:t>
      </w:r>
      <w:r>
        <w:rPr>
          <w:w w:val="105"/>
        </w:rPr>
        <w:t>by</w:t>
      </w:r>
      <w:r>
        <w:rPr>
          <w:spacing w:val="-8"/>
          <w:w w:val="105"/>
        </w:rPr>
        <w:t> </w:t>
      </w:r>
      <w:r>
        <w:rPr>
          <w:w w:val="105"/>
        </w:rPr>
        <w:t>a</w:t>
      </w:r>
      <w:r>
        <w:rPr>
          <w:spacing w:val="-6"/>
          <w:w w:val="105"/>
        </w:rPr>
        <w:t> </w:t>
      </w:r>
      <w:r>
        <w:rPr>
          <w:w w:val="105"/>
        </w:rPr>
        <w:t>bank</w:t>
      </w:r>
      <w:r>
        <w:rPr>
          <w:spacing w:val="-8"/>
          <w:w w:val="105"/>
        </w:rPr>
        <w:t> </w:t>
      </w:r>
      <w:r>
        <w:rPr>
          <w:w w:val="105"/>
        </w:rPr>
        <w:t>through</w:t>
      </w:r>
      <w:r>
        <w:rPr>
          <w:spacing w:val="-8"/>
          <w:w w:val="105"/>
        </w:rPr>
        <w:t> </w:t>
      </w:r>
      <w:r>
        <w:rPr>
          <w:w w:val="105"/>
        </w:rPr>
        <w:t>a</w:t>
      </w:r>
      <w:r>
        <w:rPr>
          <w:spacing w:val="-14"/>
          <w:w w:val="105"/>
        </w:rPr>
        <w:t> </w:t>
      </w:r>
      <w:r>
        <w:rPr>
          <w:spacing w:val="-3"/>
          <w:w w:val="105"/>
        </w:rPr>
        <w:t>commercial</w:t>
      </w:r>
      <w:r>
        <w:rPr>
          <w:spacing w:val="-4"/>
          <w:w w:val="105"/>
        </w:rPr>
        <w:t> </w:t>
      </w:r>
      <w:r>
        <w:rPr>
          <w:spacing w:val="-3"/>
          <w:w w:val="105"/>
        </w:rPr>
        <w:t>paper</w:t>
      </w:r>
      <w:r>
        <w:rPr>
          <w:spacing w:val="-10"/>
          <w:w w:val="105"/>
        </w:rPr>
        <w:t> </w:t>
      </w:r>
      <w:r>
        <w:rPr>
          <w:w w:val="105"/>
        </w:rPr>
        <w:t>conduit</w:t>
      </w:r>
      <w:r>
        <w:rPr>
          <w:spacing w:val="-8"/>
          <w:w w:val="105"/>
        </w:rPr>
        <w:t> </w:t>
      </w:r>
      <w:r>
        <w:rPr>
          <w:w w:val="105"/>
        </w:rPr>
        <w:t>program</w:t>
      </w:r>
      <w:r>
        <w:rPr>
          <w:spacing w:val="-10"/>
          <w:w w:val="105"/>
        </w:rPr>
        <w:t> </w:t>
      </w:r>
      <w:r>
        <w:rPr>
          <w:w w:val="105"/>
        </w:rPr>
        <w:t>and</w:t>
      </w:r>
      <w:r>
        <w:rPr>
          <w:spacing w:val="-8"/>
          <w:w w:val="105"/>
        </w:rPr>
        <w:t> </w:t>
      </w:r>
      <w:r>
        <w:rPr>
          <w:w w:val="105"/>
        </w:rPr>
        <w:t>are</w:t>
      </w:r>
      <w:r>
        <w:rPr>
          <w:spacing w:val="-10"/>
          <w:w w:val="105"/>
        </w:rPr>
        <w:t> </w:t>
      </w:r>
      <w:r>
        <w:rPr>
          <w:spacing w:val="-3"/>
          <w:w w:val="105"/>
        </w:rPr>
        <w:t>secured </w:t>
      </w:r>
      <w:r>
        <w:rPr>
          <w:w w:val="105"/>
        </w:rPr>
        <w:t>by eight </w:t>
      </w:r>
      <w:r>
        <w:rPr>
          <w:spacing w:val="-3"/>
          <w:w w:val="105"/>
        </w:rPr>
        <w:t>aircraft. Interest rates </w:t>
      </w:r>
      <w:r>
        <w:rPr>
          <w:w w:val="105"/>
        </w:rPr>
        <w:t>on the </w:t>
      </w:r>
      <w:r>
        <w:rPr>
          <w:spacing w:val="-3"/>
          <w:w w:val="105"/>
        </w:rPr>
        <w:t>Notes </w:t>
      </w:r>
      <w:r>
        <w:rPr>
          <w:w w:val="105"/>
        </w:rPr>
        <w:t>are </w:t>
      </w:r>
      <w:r>
        <w:rPr>
          <w:spacing w:val="-3"/>
          <w:w w:val="105"/>
        </w:rPr>
        <w:t>based </w:t>
      </w:r>
      <w:r>
        <w:rPr>
          <w:w w:val="105"/>
        </w:rPr>
        <w:t>on the conduit's actual </w:t>
      </w:r>
      <w:r>
        <w:rPr>
          <w:spacing w:val="-3"/>
          <w:w w:val="105"/>
        </w:rPr>
        <w:t>commercial paper </w:t>
      </w:r>
      <w:r>
        <w:rPr>
          <w:w w:val="105"/>
        </w:rPr>
        <w:t>rate, plus fees, for </w:t>
      </w:r>
      <w:r>
        <w:rPr>
          <w:spacing w:val="-3"/>
          <w:w w:val="105"/>
        </w:rPr>
        <w:t>each </w:t>
      </w:r>
      <w:r>
        <w:rPr>
          <w:w w:val="105"/>
        </w:rPr>
        <w:t>period and </w:t>
      </w:r>
      <w:r>
        <w:rPr>
          <w:spacing w:val="-4"/>
          <w:w w:val="105"/>
        </w:rPr>
        <w:t>are </w:t>
      </w:r>
      <w:r>
        <w:rPr>
          <w:w w:val="105"/>
        </w:rPr>
        <w:t>expected to </w:t>
      </w:r>
      <w:r>
        <w:rPr>
          <w:spacing w:val="-3"/>
          <w:w w:val="105"/>
        </w:rPr>
        <w:t>average </w:t>
      </w:r>
      <w:r>
        <w:rPr>
          <w:w w:val="105"/>
        </w:rPr>
        <w:t>approximately </w:t>
      </w:r>
      <w:r>
        <w:rPr>
          <w:spacing w:val="-5"/>
          <w:w w:val="105"/>
        </w:rPr>
        <w:t>LIBOR </w:t>
      </w:r>
      <w:r>
        <w:rPr>
          <w:w w:val="105"/>
        </w:rPr>
        <w:t>plus 36 basis points over the term of the </w:t>
      </w:r>
      <w:r>
        <w:rPr>
          <w:spacing w:val="-2"/>
          <w:w w:val="105"/>
        </w:rPr>
        <w:t>Notes.</w:t>
      </w:r>
      <w:r>
        <w:rPr>
          <w:spacing w:val="32"/>
          <w:w w:val="105"/>
        </w:rPr>
        <w:t> </w:t>
      </w:r>
      <w:r>
        <w:rPr>
          <w:w w:val="105"/>
        </w:rPr>
        <w:t>Interest</w:t>
      </w:r>
      <w:r>
        <w:rPr>
          <w:spacing w:val="-10"/>
          <w:w w:val="105"/>
        </w:rPr>
        <w:t> </w:t>
      </w:r>
      <w:r>
        <w:rPr>
          <w:w w:val="105"/>
        </w:rPr>
        <w:t>is</w:t>
      </w:r>
      <w:r>
        <w:rPr>
          <w:spacing w:val="-10"/>
          <w:w w:val="105"/>
        </w:rPr>
        <w:t> </w:t>
      </w:r>
      <w:r>
        <w:rPr>
          <w:w w:val="105"/>
        </w:rPr>
        <w:t>payable</w:t>
      </w:r>
      <w:r>
        <w:rPr>
          <w:spacing w:val="-7"/>
          <w:w w:val="105"/>
        </w:rPr>
        <w:t> </w:t>
      </w:r>
      <w:r>
        <w:rPr>
          <w:w w:val="105"/>
        </w:rPr>
        <w:t>monthly</w:t>
      </w:r>
      <w:r>
        <w:rPr>
          <w:spacing w:val="-10"/>
          <w:w w:val="105"/>
        </w:rPr>
        <w:t> </w:t>
      </w:r>
      <w:r>
        <w:rPr>
          <w:spacing w:val="-3"/>
          <w:w w:val="105"/>
        </w:rPr>
        <w:t>and</w:t>
      </w:r>
      <w:r>
        <w:rPr>
          <w:spacing w:val="-6"/>
          <w:w w:val="105"/>
        </w:rPr>
        <w:t> </w:t>
      </w:r>
      <w:r>
        <w:rPr>
          <w:w w:val="105"/>
        </w:rPr>
        <w:t>the</w:t>
      </w:r>
      <w:r>
        <w:rPr>
          <w:spacing w:val="-11"/>
          <w:w w:val="105"/>
        </w:rPr>
        <w:t> </w:t>
      </w:r>
      <w:r>
        <w:rPr>
          <w:w w:val="105"/>
        </w:rPr>
        <w:t>Company</w:t>
      </w:r>
      <w:r>
        <w:rPr>
          <w:spacing w:val="-10"/>
          <w:w w:val="105"/>
        </w:rPr>
        <w:t> </w:t>
      </w:r>
      <w:r>
        <w:rPr>
          <w:spacing w:val="-4"/>
          <w:w w:val="105"/>
        </w:rPr>
        <w:t>can</w:t>
      </w:r>
      <w:r>
        <w:rPr>
          <w:spacing w:val="-6"/>
          <w:w w:val="105"/>
        </w:rPr>
        <w:t> </w:t>
      </w:r>
      <w:r>
        <w:rPr>
          <w:w w:val="105"/>
        </w:rPr>
        <w:t>prepay</w:t>
      </w:r>
      <w:r>
        <w:rPr>
          <w:spacing w:val="-10"/>
          <w:w w:val="105"/>
        </w:rPr>
        <w:t> </w:t>
      </w:r>
      <w:r>
        <w:rPr>
          <w:w w:val="105"/>
        </w:rPr>
        <w:t>the</w:t>
      </w:r>
      <w:r>
        <w:rPr>
          <w:spacing w:val="-7"/>
          <w:w w:val="105"/>
        </w:rPr>
        <w:t> </w:t>
      </w:r>
      <w:r>
        <w:rPr>
          <w:w w:val="105"/>
        </w:rPr>
        <w:t>Notes</w:t>
      </w:r>
      <w:r>
        <w:rPr>
          <w:spacing w:val="-14"/>
          <w:w w:val="105"/>
        </w:rPr>
        <w:t> </w:t>
      </w:r>
      <w:r>
        <w:rPr>
          <w:w w:val="105"/>
        </w:rPr>
        <w:t>in</w:t>
      </w:r>
      <w:r>
        <w:rPr>
          <w:spacing w:val="-10"/>
          <w:w w:val="105"/>
        </w:rPr>
        <w:t> </w:t>
      </w:r>
      <w:r>
        <w:rPr>
          <w:spacing w:val="-3"/>
          <w:w w:val="105"/>
        </w:rPr>
        <w:t>whole</w:t>
      </w:r>
      <w:r>
        <w:rPr>
          <w:spacing w:val="-7"/>
          <w:w w:val="105"/>
        </w:rPr>
        <w:t> </w:t>
      </w:r>
      <w:r>
        <w:rPr>
          <w:w w:val="105"/>
        </w:rPr>
        <w:t>or</w:t>
      </w:r>
      <w:r>
        <w:rPr>
          <w:spacing w:val="-11"/>
          <w:w w:val="105"/>
        </w:rPr>
        <w:t> </w:t>
      </w:r>
      <w:r>
        <w:rPr>
          <w:w w:val="105"/>
        </w:rPr>
        <w:t>in</w:t>
      </w:r>
      <w:r>
        <w:rPr>
          <w:spacing w:val="-6"/>
          <w:w w:val="105"/>
        </w:rPr>
        <w:t> </w:t>
      </w:r>
      <w:r>
        <w:rPr>
          <w:w w:val="105"/>
        </w:rPr>
        <w:t>part</w:t>
      </w:r>
      <w:r>
        <w:rPr>
          <w:spacing w:val="-10"/>
          <w:w w:val="105"/>
        </w:rPr>
        <w:t> </w:t>
      </w:r>
      <w:r>
        <w:rPr>
          <w:w w:val="105"/>
        </w:rPr>
        <w:t>prior</w:t>
      </w:r>
      <w:r>
        <w:rPr>
          <w:spacing w:val="-8"/>
          <w:w w:val="105"/>
        </w:rPr>
        <w:t> </w:t>
      </w:r>
      <w:r>
        <w:rPr>
          <w:w w:val="105"/>
        </w:rPr>
        <w:t>to</w:t>
      </w:r>
      <w:r>
        <w:rPr>
          <w:spacing w:val="-14"/>
          <w:w w:val="105"/>
        </w:rPr>
        <w:t> </w:t>
      </w:r>
      <w:r>
        <w:rPr>
          <w:w w:val="105"/>
        </w:rPr>
        <w:t>maturity. </w:t>
      </w:r>
      <w:r>
        <w:rPr>
          <w:spacing w:val="-2"/>
          <w:w w:val="105"/>
        </w:rPr>
        <w:t>The</w:t>
      </w:r>
      <w:r>
        <w:rPr>
          <w:spacing w:val="-26"/>
          <w:w w:val="105"/>
        </w:rPr>
        <w:t> </w:t>
      </w:r>
      <w:r>
        <w:rPr>
          <w:w w:val="105"/>
        </w:rPr>
        <w:t>Company</w:t>
      </w:r>
      <w:r>
        <w:rPr>
          <w:spacing w:val="-24"/>
          <w:w w:val="105"/>
        </w:rPr>
        <w:t> </w:t>
      </w:r>
      <w:r>
        <w:rPr>
          <w:w w:val="105"/>
        </w:rPr>
        <w:t>prepaid</w:t>
      </w:r>
      <w:r>
        <w:rPr>
          <w:spacing w:val="-24"/>
          <w:w w:val="105"/>
        </w:rPr>
        <w:t> </w:t>
      </w:r>
      <w:r>
        <w:rPr>
          <w:w w:val="105"/>
        </w:rPr>
        <w:t>$25</w:t>
      </w:r>
      <w:r>
        <w:rPr>
          <w:spacing w:val="-24"/>
          <w:w w:val="105"/>
        </w:rPr>
        <w:t> </w:t>
      </w:r>
      <w:r>
        <w:rPr>
          <w:w w:val="105"/>
        </w:rPr>
        <w:t>million</w:t>
      </w:r>
      <w:r>
        <w:rPr>
          <w:spacing w:val="-24"/>
          <w:w w:val="105"/>
        </w:rPr>
        <w:t> </w:t>
      </w:r>
      <w:r>
        <w:rPr>
          <w:w w:val="105"/>
        </w:rPr>
        <w:t>of</w:t>
      </w:r>
      <w:r>
        <w:rPr>
          <w:spacing w:val="-26"/>
          <w:w w:val="105"/>
        </w:rPr>
        <w:t> </w:t>
      </w:r>
      <w:r>
        <w:rPr>
          <w:w w:val="105"/>
        </w:rPr>
        <w:t>the</w:t>
      </w:r>
      <w:r>
        <w:rPr>
          <w:spacing w:val="-26"/>
          <w:w w:val="105"/>
        </w:rPr>
        <w:t> </w:t>
      </w:r>
      <w:r>
        <w:rPr>
          <w:spacing w:val="-3"/>
          <w:w w:val="105"/>
        </w:rPr>
        <w:t>Notes</w:t>
      </w:r>
      <w:r>
        <w:rPr>
          <w:spacing w:val="-24"/>
          <w:w w:val="105"/>
        </w:rPr>
        <w:t> </w:t>
      </w:r>
      <w:r>
        <w:rPr>
          <w:w w:val="105"/>
        </w:rPr>
        <w:t>during</w:t>
      </w:r>
      <w:r>
        <w:rPr>
          <w:spacing w:val="-24"/>
          <w:w w:val="105"/>
        </w:rPr>
        <w:t> </w:t>
      </w:r>
      <w:r>
        <w:rPr>
          <w:w w:val="105"/>
        </w:rPr>
        <w:t>2002.</w:t>
      </w:r>
    </w:p>
    <w:p>
      <w:pPr>
        <w:pStyle w:val="BodyText"/>
        <w:spacing w:line="218" w:lineRule="auto" w:before="221"/>
        <w:ind w:left="115" w:right="108"/>
        <w:jc w:val="both"/>
      </w:pPr>
      <w:r>
        <w:rPr>
          <w:spacing w:val="-3"/>
          <w:w w:val="105"/>
        </w:rPr>
        <w:t>Also </w:t>
      </w:r>
      <w:r>
        <w:rPr>
          <w:w w:val="105"/>
        </w:rPr>
        <w:t>in fourth quarter 1999, the Company entered into </w:t>
      </w:r>
      <w:r>
        <w:rPr>
          <w:spacing w:val="-2"/>
          <w:w w:val="105"/>
        </w:rPr>
        <w:t>two </w:t>
      </w:r>
      <w:r>
        <w:rPr>
          <w:w w:val="105"/>
        </w:rPr>
        <w:t>identical 13-year floating rate financing arrangements, whereby it effectively </w:t>
      </w:r>
      <w:r>
        <w:rPr>
          <w:spacing w:val="-3"/>
          <w:w w:val="105"/>
        </w:rPr>
        <w:t>borrowed </w:t>
      </w:r>
      <w:r>
        <w:rPr>
          <w:w w:val="105"/>
        </w:rPr>
        <w:t>a total of $56 million from </w:t>
      </w:r>
      <w:r>
        <w:rPr>
          <w:spacing w:val="-3"/>
          <w:w w:val="105"/>
        </w:rPr>
        <w:t>French </w:t>
      </w:r>
      <w:r>
        <w:rPr>
          <w:w w:val="105"/>
        </w:rPr>
        <w:t>banking partnerships. For presentation</w:t>
      </w:r>
      <w:r>
        <w:rPr>
          <w:spacing w:val="-21"/>
          <w:w w:val="105"/>
        </w:rPr>
        <w:t> </w:t>
      </w:r>
      <w:r>
        <w:rPr>
          <w:w w:val="105"/>
        </w:rPr>
        <w:t>purposes,</w:t>
      </w:r>
      <w:r>
        <w:rPr>
          <w:spacing w:val="-23"/>
          <w:w w:val="105"/>
        </w:rPr>
        <w:t> </w:t>
      </w:r>
      <w:r>
        <w:rPr>
          <w:w w:val="105"/>
        </w:rPr>
        <w:t>the</w:t>
      </w:r>
      <w:r>
        <w:rPr>
          <w:spacing w:val="-26"/>
          <w:w w:val="105"/>
        </w:rPr>
        <w:t> </w:t>
      </w:r>
      <w:r>
        <w:rPr>
          <w:spacing w:val="-3"/>
          <w:w w:val="105"/>
        </w:rPr>
        <w:t>Company</w:t>
      </w:r>
      <w:r>
        <w:rPr>
          <w:spacing w:val="-21"/>
          <w:w w:val="105"/>
        </w:rPr>
        <w:t> </w:t>
      </w:r>
      <w:r>
        <w:rPr>
          <w:w w:val="105"/>
        </w:rPr>
        <w:t>has</w:t>
      </w:r>
      <w:r>
        <w:rPr>
          <w:spacing w:val="-21"/>
          <w:w w:val="105"/>
        </w:rPr>
        <w:t> </w:t>
      </w:r>
      <w:r>
        <w:rPr>
          <w:w w:val="105"/>
        </w:rPr>
        <w:t>classified</w:t>
      </w:r>
      <w:r>
        <w:rPr>
          <w:spacing w:val="-21"/>
          <w:w w:val="105"/>
        </w:rPr>
        <w:t> </w:t>
      </w:r>
      <w:r>
        <w:rPr>
          <w:w w:val="105"/>
        </w:rPr>
        <w:t>these</w:t>
      </w:r>
      <w:r>
        <w:rPr>
          <w:spacing w:val="-23"/>
          <w:w w:val="105"/>
        </w:rPr>
        <w:t> </w:t>
      </w:r>
      <w:r>
        <w:rPr>
          <w:w w:val="105"/>
        </w:rPr>
        <w:t>identical</w:t>
      </w:r>
      <w:r>
        <w:rPr>
          <w:spacing w:val="-21"/>
          <w:w w:val="105"/>
        </w:rPr>
        <w:t> </w:t>
      </w:r>
      <w:r>
        <w:rPr>
          <w:spacing w:val="-3"/>
          <w:w w:val="105"/>
        </w:rPr>
        <w:t>borrowings</w:t>
      </w:r>
      <w:r>
        <w:rPr>
          <w:spacing w:val="-21"/>
          <w:w w:val="105"/>
        </w:rPr>
        <w:t> </w:t>
      </w:r>
      <w:r>
        <w:rPr>
          <w:spacing w:val="-3"/>
          <w:w w:val="105"/>
        </w:rPr>
        <w:t>as</w:t>
      </w:r>
      <w:r>
        <w:rPr>
          <w:spacing w:val="-21"/>
          <w:w w:val="105"/>
        </w:rPr>
        <w:t> </w:t>
      </w:r>
      <w:r>
        <w:rPr>
          <w:w w:val="105"/>
        </w:rPr>
        <w:t>one</w:t>
      </w:r>
      <w:r>
        <w:rPr>
          <w:spacing w:val="-23"/>
          <w:w w:val="105"/>
        </w:rPr>
        <w:t> </w:t>
      </w:r>
      <w:r>
        <w:rPr>
          <w:w w:val="105"/>
        </w:rPr>
        <w:t>$56</w:t>
      </w:r>
      <w:r>
        <w:rPr>
          <w:spacing w:val="-21"/>
          <w:w w:val="105"/>
        </w:rPr>
        <w:t> </w:t>
      </w:r>
      <w:r>
        <w:rPr>
          <w:w w:val="105"/>
        </w:rPr>
        <w:t>million</w:t>
      </w:r>
      <w:r>
        <w:rPr>
          <w:spacing w:val="-21"/>
          <w:w w:val="105"/>
        </w:rPr>
        <w:t> </w:t>
      </w:r>
      <w:r>
        <w:rPr>
          <w:w w:val="105"/>
        </w:rPr>
        <w:t>transaction.</w:t>
      </w:r>
      <w:r>
        <w:rPr>
          <w:spacing w:val="-23"/>
          <w:w w:val="105"/>
        </w:rPr>
        <w:t> </w:t>
      </w:r>
      <w:r>
        <w:rPr>
          <w:spacing w:val="-2"/>
          <w:w w:val="105"/>
        </w:rPr>
        <w:t>The </w:t>
      </w:r>
      <w:r>
        <w:rPr>
          <w:spacing w:val="-3"/>
          <w:w w:val="105"/>
        </w:rPr>
        <w:t>effective</w:t>
      </w:r>
      <w:r>
        <w:rPr>
          <w:spacing w:val="-10"/>
          <w:w w:val="105"/>
        </w:rPr>
        <w:t> </w:t>
      </w:r>
      <w:r>
        <w:rPr>
          <w:w w:val="105"/>
        </w:rPr>
        <w:t>rate</w:t>
      </w:r>
      <w:r>
        <w:rPr>
          <w:spacing w:val="-10"/>
          <w:w w:val="105"/>
        </w:rPr>
        <w:t> </w:t>
      </w:r>
      <w:r>
        <w:rPr>
          <w:w w:val="105"/>
        </w:rPr>
        <w:t>of</w:t>
      </w:r>
      <w:r>
        <w:rPr>
          <w:spacing w:val="-10"/>
          <w:w w:val="105"/>
        </w:rPr>
        <w:t> </w:t>
      </w:r>
      <w:r>
        <w:rPr>
          <w:spacing w:val="-3"/>
          <w:w w:val="105"/>
        </w:rPr>
        <w:t>interest</w:t>
      </w:r>
      <w:r>
        <w:rPr>
          <w:spacing w:val="-8"/>
          <w:w w:val="105"/>
        </w:rPr>
        <w:t> </w:t>
      </w:r>
      <w:r>
        <w:rPr>
          <w:w w:val="105"/>
        </w:rPr>
        <w:t>over</w:t>
      </w:r>
      <w:r>
        <w:rPr>
          <w:spacing w:val="-7"/>
          <w:w w:val="105"/>
        </w:rPr>
        <w:t> </w:t>
      </w:r>
      <w:r>
        <w:rPr>
          <w:w w:val="105"/>
        </w:rPr>
        <w:t>the</w:t>
      </w:r>
      <w:r>
        <w:rPr>
          <w:spacing w:val="-10"/>
          <w:w w:val="105"/>
        </w:rPr>
        <w:t> </w:t>
      </w:r>
      <w:r>
        <w:rPr>
          <w:w w:val="105"/>
        </w:rPr>
        <w:t>13-year</w:t>
      </w:r>
      <w:r>
        <w:rPr>
          <w:spacing w:val="-10"/>
          <w:w w:val="105"/>
        </w:rPr>
        <w:t> </w:t>
      </w:r>
      <w:r>
        <w:rPr>
          <w:w w:val="105"/>
        </w:rPr>
        <w:t>term</w:t>
      </w:r>
      <w:r>
        <w:rPr>
          <w:spacing w:val="-14"/>
          <w:w w:val="105"/>
        </w:rPr>
        <w:t> </w:t>
      </w:r>
      <w:r>
        <w:rPr>
          <w:w w:val="105"/>
        </w:rPr>
        <w:t>of</w:t>
      </w:r>
      <w:r>
        <w:rPr>
          <w:spacing w:val="-10"/>
          <w:w w:val="105"/>
        </w:rPr>
        <w:t> </w:t>
      </w:r>
      <w:r>
        <w:rPr>
          <w:w w:val="105"/>
        </w:rPr>
        <w:t>the</w:t>
      </w:r>
      <w:r>
        <w:rPr>
          <w:spacing w:val="-10"/>
          <w:w w:val="105"/>
        </w:rPr>
        <w:t> </w:t>
      </w:r>
      <w:r>
        <w:rPr>
          <w:w w:val="105"/>
        </w:rPr>
        <w:t>loans</w:t>
      </w:r>
      <w:r>
        <w:rPr>
          <w:spacing w:val="-12"/>
          <w:w w:val="105"/>
        </w:rPr>
        <w:t> </w:t>
      </w:r>
      <w:r>
        <w:rPr>
          <w:w w:val="105"/>
        </w:rPr>
        <w:t>is</w:t>
      </w:r>
      <w:r>
        <w:rPr>
          <w:spacing w:val="-12"/>
          <w:w w:val="105"/>
        </w:rPr>
        <w:t> </w:t>
      </w:r>
      <w:r>
        <w:rPr>
          <w:spacing w:val="-4"/>
          <w:w w:val="105"/>
        </w:rPr>
        <w:t>LIBOR</w:t>
      </w:r>
      <w:r>
        <w:rPr>
          <w:spacing w:val="-10"/>
          <w:w w:val="105"/>
        </w:rPr>
        <w:t> </w:t>
      </w:r>
      <w:r>
        <w:rPr>
          <w:w w:val="105"/>
        </w:rPr>
        <w:t>plus</w:t>
      </w:r>
      <w:r>
        <w:rPr>
          <w:spacing w:val="-8"/>
          <w:w w:val="105"/>
        </w:rPr>
        <w:t> </w:t>
      </w:r>
      <w:r>
        <w:rPr>
          <w:w w:val="105"/>
        </w:rPr>
        <w:t>32</w:t>
      </w:r>
      <w:r>
        <w:rPr>
          <w:spacing w:val="-4"/>
          <w:w w:val="105"/>
        </w:rPr>
        <w:t> </w:t>
      </w:r>
      <w:r>
        <w:rPr>
          <w:w w:val="105"/>
        </w:rPr>
        <w:t>basis</w:t>
      </w:r>
      <w:r>
        <w:rPr>
          <w:spacing w:val="-8"/>
          <w:w w:val="105"/>
        </w:rPr>
        <w:t> </w:t>
      </w:r>
      <w:r>
        <w:rPr>
          <w:w w:val="105"/>
        </w:rPr>
        <w:t>points.</w:t>
      </w:r>
      <w:r>
        <w:rPr>
          <w:spacing w:val="35"/>
          <w:w w:val="105"/>
        </w:rPr>
        <w:t> </w:t>
      </w:r>
      <w:r>
        <w:rPr>
          <w:w w:val="105"/>
        </w:rPr>
        <w:t>Principal</w:t>
      </w:r>
      <w:r>
        <w:rPr>
          <w:spacing w:val="-8"/>
          <w:w w:val="105"/>
        </w:rPr>
        <w:t> </w:t>
      </w:r>
      <w:r>
        <w:rPr>
          <w:w w:val="105"/>
        </w:rPr>
        <w:t>and</w:t>
      </w:r>
      <w:r>
        <w:rPr>
          <w:spacing w:val="-8"/>
          <w:w w:val="105"/>
        </w:rPr>
        <w:t> </w:t>
      </w:r>
      <w:r>
        <w:rPr>
          <w:spacing w:val="-3"/>
          <w:w w:val="105"/>
        </w:rPr>
        <w:t>interest </w:t>
      </w:r>
      <w:r>
        <w:rPr>
          <w:w w:val="105"/>
        </w:rPr>
        <w:t>are</w:t>
      </w:r>
      <w:r>
        <w:rPr>
          <w:spacing w:val="-4"/>
          <w:w w:val="105"/>
        </w:rPr>
        <w:t> </w:t>
      </w:r>
      <w:r>
        <w:rPr>
          <w:w w:val="105"/>
        </w:rPr>
        <w:t>payable</w:t>
      </w:r>
      <w:r>
        <w:rPr>
          <w:spacing w:val="-4"/>
          <w:w w:val="105"/>
        </w:rPr>
        <w:t> </w:t>
      </w:r>
      <w:r>
        <w:rPr>
          <w:w w:val="105"/>
        </w:rPr>
        <w:t>semi-annually</w:t>
      </w:r>
      <w:r>
        <w:rPr>
          <w:spacing w:val="-1"/>
          <w:w w:val="105"/>
        </w:rPr>
        <w:t> </w:t>
      </w:r>
      <w:r>
        <w:rPr>
          <w:w w:val="105"/>
        </w:rPr>
        <w:t>on</w:t>
      </w:r>
      <w:r>
        <w:rPr>
          <w:spacing w:val="-1"/>
          <w:w w:val="105"/>
        </w:rPr>
        <w:t> </w:t>
      </w:r>
      <w:r>
        <w:rPr>
          <w:w w:val="105"/>
        </w:rPr>
        <w:t>June</w:t>
      </w:r>
      <w:r>
        <w:rPr>
          <w:spacing w:val="-4"/>
          <w:w w:val="105"/>
        </w:rPr>
        <w:t> </w:t>
      </w:r>
      <w:r>
        <w:rPr>
          <w:w w:val="105"/>
        </w:rPr>
        <w:t>30</w:t>
      </w:r>
      <w:r>
        <w:rPr>
          <w:spacing w:val="-1"/>
          <w:w w:val="105"/>
        </w:rPr>
        <w:t> </w:t>
      </w:r>
      <w:r>
        <w:rPr>
          <w:w w:val="105"/>
        </w:rPr>
        <w:t>and</w:t>
      </w:r>
      <w:r>
        <w:rPr>
          <w:spacing w:val="-5"/>
          <w:w w:val="105"/>
        </w:rPr>
        <w:t> </w:t>
      </w:r>
      <w:r>
        <w:rPr>
          <w:spacing w:val="-3"/>
          <w:w w:val="105"/>
        </w:rPr>
        <w:t>December</w:t>
      </w:r>
      <w:r>
        <w:rPr>
          <w:spacing w:val="-4"/>
          <w:w w:val="105"/>
        </w:rPr>
        <w:t> </w:t>
      </w:r>
      <w:r>
        <w:rPr>
          <w:w w:val="105"/>
        </w:rPr>
        <w:t>31</w:t>
      </w:r>
      <w:r>
        <w:rPr>
          <w:spacing w:val="-1"/>
          <w:w w:val="105"/>
        </w:rPr>
        <w:t> </w:t>
      </w:r>
      <w:r>
        <w:rPr>
          <w:w w:val="105"/>
        </w:rPr>
        <w:t>for</w:t>
      </w:r>
      <w:r>
        <w:rPr>
          <w:spacing w:val="-8"/>
          <w:w w:val="105"/>
        </w:rPr>
        <w:t> </w:t>
      </w:r>
      <w:r>
        <w:rPr>
          <w:w w:val="105"/>
        </w:rPr>
        <w:t>each</w:t>
      </w:r>
      <w:r>
        <w:rPr>
          <w:spacing w:val="-5"/>
          <w:w w:val="105"/>
        </w:rPr>
        <w:t> </w:t>
      </w:r>
      <w:r>
        <w:rPr>
          <w:w w:val="105"/>
        </w:rPr>
        <w:t>of</w:t>
      </w:r>
      <w:r>
        <w:rPr>
          <w:spacing w:val="-8"/>
          <w:w w:val="105"/>
        </w:rPr>
        <w:t> </w:t>
      </w:r>
      <w:r>
        <w:rPr>
          <w:w w:val="105"/>
        </w:rPr>
        <w:t>the</w:t>
      </w:r>
      <w:r>
        <w:rPr>
          <w:spacing w:val="-4"/>
          <w:w w:val="105"/>
        </w:rPr>
        <w:t> </w:t>
      </w:r>
      <w:r>
        <w:rPr>
          <w:w w:val="105"/>
        </w:rPr>
        <w:t>loans</w:t>
      </w:r>
      <w:r>
        <w:rPr>
          <w:spacing w:val="-2"/>
          <w:w w:val="105"/>
        </w:rPr>
        <w:t> </w:t>
      </w:r>
      <w:r>
        <w:rPr>
          <w:w w:val="105"/>
        </w:rPr>
        <w:t>and</w:t>
      </w:r>
      <w:r>
        <w:rPr>
          <w:spacing w:val="-1"/>
          <w:w w:val="105"/>
        </w:rPr>
        <w:t> </w:t>
      </w:r>
      <w:r>
        <w:rPr>
          <w:w w:val="105"/>
        </w:rPr>
        <w:t>the</w:t>
      </w:r>
      <w:r>
        <w:rPr>
          <w:spacing w:val="-4"/>
          <w:w w:val="105"/>
        </w:rPr>
        <w:t> </w:t>
      </w:r>
      <w:r>
        <w:rPr>
          <w:spacing w:val="-3"/>
          <w:w w:val="105"/>
        </w:rPr>
        <w:t>Company</w:t>
      </w:r>
      <w:r>
        <w:rPr>
          <w:spacing w:val="-1"/>
          <w:w w:val="105"/>
        </w:rPr>
        <w:t> </w:t>
      </w:r>
      <w:r>
        <w:rPr>
          <w:w w:val="105"/>
        </w:rPr>
        <w:t>may</w:t>
      </w:r>
      <w:r>
        <w:rPr>
          <w:spacing w:val="-1"/>
          <w:w w:val="105"/>
        </w:rPr>
        <w:t> </w:t>
      </w:r>
      <w:r>
        <w:rPr>
          <w:w w:val="105"/>
        </w:rPr>
        <w:t>terminate the </w:t>
      </w:r>
      <w:r>
        <w:rPr>
          <w:spacing w:val="-3"/>
          <w:w w:val="105"/>
        </w:rPr>
        <w:t>arrangements </w:t>
      </w:r>
      <w:r>
        <w:rPr>
          <w:w w:val="105"/>
        </w:rPr>
        <w:t>in </w:t>
      </w:r>
      <w:r>
        <w:rPr>
          <w:spacing w:val="-3"/>
          <w:w w:val="105"/>
        </w:rPr>
        <w:t>any </w:t>
      </w:r>
      <w:r>
        <w:rPr>
          <w:w w:val="105"/>
        </w:rPr>
        <w:t>year on either of those dates, </w:t>
      </w:r>
      <w:r>
        <w:rPr>
          <w:spacing w:val="-3"/>
          <w:w w:val="105"/>
        </w:rPr>
        <w:t>with certain </w:t>
      </w:r>
      <w:r>
        <w:rPr>
          <w:w w:val="105"/>
        </w:rPr>
        <w:t>conditions. The Company has pledged </w:t>
      </w:r>
      <w:r>
        <w:rPr>
          <w:spacing w:val="-2"/>
          <w:w w:val="105"/>
        </w:rPr>
        <w:t>two </w:t>
      </w:r>
      <w:r>
        <w:rPr>
          <w:spacing w:val="-3"/>
          <w:w w:val="105"/>
        </w:rPr>
        <w:t>aircraft</w:t>
      </w:r>
      <w:r>
        <w:rPr>
          <w:spacing w:val="-25"/>
          <w:w w:val="105"/>
        </w:rPr>
        <w:t> </w:t>
      </w:r>
      <w:r>
        <w:rPr>
          <w:w w:val="105"/>
        </w:rPr>
        <w:t>as</w:t>
      </w:r>
      <w:r>
        <w:rPr>
          <w:spacing w:val="-22"/>
          <w:w w:val="105"/>
        </w:rPr>
        <w:t> </w:t>
      </w:r>
      <w:r>
        <w:rPr>
          <w:spacing w:val="-3"/>
          <w:w w:val="105"/>
        </w:rPr>
        <w:t>collateral</w:t>
      </w:r>
      <w:r>
        <w:rPr>
          <w:spacing w:val="-22"/>
          <w:w w:val="105"/>
        </w:rPr>
        <w:t> </w:t>
      </w:r>
      <w:r>
        <w:rPr>
          <w:spacing w:val="-3"/>
          <w:w w:val="105"/>
        </w:rPr>
        <w:t>for</w:t>
      </w:r>
      <w:r>
        <w:rPr>
          <w:spacing w:val="-23"/>
          <w:w w:val="105"/>
        </w:rPr>
        <w:t> </w:t>
      </w:r>
      <w:r>
        <w:rPr>
          <w:w w:val="105"/>
        </w:rPr>
        <w:t>the</w:t>
      </w:r>
      <w:r>
        <w:rPr>
          <w:spacing w:val="-23"/>
          <w:w w:val="105"/>
        </w:rPr>
        <w:t> </w:t>
      </w:r>
      <w:r>
        <w:rPr>
          <w:w w:val="105"/>
        </w:rPr>
        <w:t>transactions.</w:t>
      </w:r>
    </w:p>
    <w:p>
      <w:pPr>
        <w:pStyle w:val="BodyText"/>
        <w:spacing w:line="216" w:lineRule="exact" w:before="227"/>
        <w:ind w:left="115" w:right="107"/>
        <w:jc w:val="both"/>
      </w:pPr>
      <w:r>
        <w:rPr>
          <w:spacing w:val="-4"/>
          <w:w w:val="105"/>
        </w:rPr>
        <w:t>On</w:t>
      </w:r>
      <w:r>
        <w:rPr>
          <w:spacing w:val="-7"/>
          <w:w w:val="105"/>
        </w:rPr>
        <w:t> </w:t>
      </w:r>
      <w:r>
        <w:rPr>
          <w:spacing w:val="-3"/>
          <w:w w:val="105"/>
        </w:rPr>
        <w:t>February</w:t>
      </w:r>
      <w:r>
        <w:rPr>
          <w:spacing w:val="-7"/>
          <w:w w:val="105"/>
        </w:rPr>
        <w:t> </w:t>
      </w:r>
      <w:r>
        <w:rPr>
          <w:w w:val="105"/>
        </w:rPr>
        <w:t>28,</w:t>
      </w:r>
      <w:r>
        <w:rPr>
          <w:spacing w:val="-6"/>
          <w:w w:val="105"/>
        </w:rPr>
        <w:t> </w:t>
      </w:r>
      <w:r>
        <w:rPr>
          <w:w w:val="105"/>
        </w:rPr>
        <w:t>1997,</w:t>
      </w:r>
      <w:r>
        <w:rPr>
          <w:spacing w:val="-14"/>
          <w:w w:val="105"/>
        </w:rPr>
        <w:t> </w:t>
      </w:r>
      <w:r>
        <w:rPr>
          <w:w w:val="105"/>
        </w:rPr>
        <w:t>the</w:t>
      </w:r>
      <w:r>
        <w:rPr>
          <w:spacing w:val="-8"/>
          <w:w w:val="105"/>
        </w:rPr>
        <w:t> </w:t>
      </w:r>
      <w:r>
        <w:rPr>
          <w:w w:val="105"/>
        </w:rPr>
        <w:t>Company</w:t>
      </w:r>
      <w:r>
        <w:rPr>
          <w:spacing w:val="-3"/>
          <w:w w:val="105"/>
        </w:rPr>
        <w:t> </w:t>
      </w:r>
      <w:r>
        <w:rPr>
          <w:w w:val="105"/>
        </w:rPr>
        <w:t>issued</w:t>
      </w:r>
      <w:r>
        <w:rPr>
          <w:spacing w:val="-10"/>
          <w:w w:val="105"/>
        </w:rPr>
        <w:t> </w:t>
      </w:r>
      <w:r>
        <w:rPr>
          <w:w w:val="105"/>
        </w:rPr>
        <w:t>$100</w:t>
      </w:r>
      <w:r>
        <w:rPr>
          <w:spacing w:val="-7"/>
          <w:w w:val="105"/>
        </w:rPr>
        <w:t> </w:t>
      </w:r>
      <w:r>
        <w:rPr>
          <w:w w:val="105"/>
        </w:rPr>
        <w:t>million</w:t>
      </w:r>
      <w:r>
        <w:rPr>
          <w:spacing w:val="-10"/>
          <w:w w:val="105"/>
        </w:rPr>
        <w:t> </w:t>
      </w:r>
      <w:r>
        <w:rPr>
          <w:w w:val="105"/>
        </w:rPr>
        <w:t>of</w:t>
      </w:r>
      <w:r>
        <w:rPr>
          <w:spacing w:val="-12"/>
          <w:w w:val="105"/>
        </w:rPr>
        <w:t> </w:t>
      </w:r>
      <w:r>
        <w:rPr>
          <w:w w:val="105"/>
        </w:rPr>
        <w:t>senior</w:t>
      </w:r>
      <w:r>
        <w:rPr>
          <w:spacing w:val="-5"/>
          <w:w w:val="105"/>
        </w:rPr>
        <w:t> </w:t>
      </w:r>
      <w:r>
        <w:rPr>
          <w:w w:val="105"/>
        </w:rPr>
        <w:t>unsecured</w:t>
      </w:r>
      <w:r>
        <w:rPr>
          <w:spacing w:val="-7"/>
          <w:w w:val="105"/>
        </w:rPr>
        <w:t> </w:t>
      </w:r>
      <w:r>
        <w:rPr>
          <w:w w:val="105"/>
        </w:rPr>
        <w:t>7</w:t>
      </w:r>
      <w:r>
        <w:rPr>
          <w:spacing w:val="-7"/>
          <w:w w:val="105"/>
        </w:rPr>
        <w:t> </w:t>
      </w:r>
      <w:r>
        <w:rPr>
          <w:w w:val="105"/>
        </w:rPr>
        <w:t>3/8%</w:t>
      </w:r>
      <w:r>
        <w:rPr>
          <w:spacing w:val="-10"/>
          <w:w w:val="105"/>
        </w:rPr>
        <w:t> </w:t>
      </w:r>
      <w:r>
        <w:rPr>
          <w:w w:val="105"/>
        </w:rPr>
        <w:t>Debentures</w:t>
      </w:r>
      <w:r>
        <w:rPr>
          <w:spacing w:val="-7"/>
          <w:w w:val="105"/>
        </w:rPr>
        <w:t> </w:t>
      </w:r>
      <w:r>
        <w:rPr>
          <w:w w:val="105"/>
        </w:rPr>
        <w:t>due</w:t>
      </w:r>
      <w:r>
        <w:rPr>
          <w:spacing w:val="-5"/>
          <w:w w:val="105"/>
        </w:rPr>
        <w:t> </w:t>
      </w:r>
      <w:r>
        <w:rPr>
          <w:w w:val="105"/>
        </w:rPr>
        <w:t>March</w:t>
      </w:r>
      <w:r>
        <w:rPr>
          <w:spacing w:val="-10"/>
          <w:w w:val="105"/>
        </w:rPr>
        <w:t> </w:t>
      </w:r>
      <w:r>
        <w:rPr>
          <w:w w:val="105"/>
        </w:rPr>
        <w:t>1, 2027. </w:t>
      </w:r>
      <w:r>
        <w:rPr>
          <w:spacing w:val="-3"/>
          <w:w w:val="105"/>
        </w:rPr>
        <w:t>Interest </w:t>
      </w:r>
      <w:r>
        <w:rPr>
          <w:w w:val="105"/>
        </w:rPr>
        <w:t>is payable semi-annually on </w:t>
      </w:r>
      <w:r>
        <w:rPr>
          <w:spacing w:val="-3"/>
          <w:w w:val="105"/>
        </w:rPr>
        <w:t>March </w:t>
      </w:r>
      <w:r>
        <w:rPr>
          <w:w w:val="105"/>
        </w:rPr>
        <w:t>1 </w:t>
      </w:r>
      <w:r>
        <w:rPr>
          <w:spacing w:val="-3"/>
          <w:w w:val="105"/>
        </w:rPr>
        <w:t>and September </w:t>
      </w:r>
      <w:r>
        <w:rPr>
          <w:w w:val="105"/>
        </w:rPr>
        <w:t>1. The </w:t>
      </w:r>
      <w:r>
        <w:rPr>
          <w:spacing w:val="-3"/>
          <w:w w:val="105"/>
        </w:rPr>
        <w:t>Debentures </w:t>
      </w:r>
      <w:r>
        <w:rPr>
          <w:w w:val="105"/>
        </w:rPr>
        <w:t>may be </w:t>
      </w:r>
      <w:r>
        <w:rPr>
          <w:spacing w:val="-3"/>
          <w:w w:val="105"/>
        </w:rPr>
        <w:t>redeemed, </w:t>
      </w:r>
      <w:r>
        <w:rPr>
          <w:w w:val="105"/>
        </w:rPr>
        <w:t>at</w:t>
      </w:r>
      <w:r>
        <w:rPr>
          <w:spacing w:val="-20"/>
          <w:w w:val="105"/>
        </w:rPr>
        <w:t> </w:t>
      </w:r>
      <w:r>
        <w:rPr>
          <w:w w:val="105"/>
        </w:rPr>
        <w:t>the</w:t>
      </w:r>
    </w:p>
    <w:p>
      <w:pPr>
        <w:spacing w:after="0" w:line="216" w:lineRule="exact"/>
        <w:jc w:val="both"/>
        <w:sectPr>
          <w:pgSz w:w="12240" w:h="15840"/>
          <w:pgMar w:top="1080" w:bottom="280" w:left="1180" w:right="1180"/>
        </w:sectPr>
      </w:pPr>
    </w:p>
    <w:p>
      <w:pPr>
        <w:pStyle w:val="BodyText"/>
        <w:spacing w:line="218" w:lineRule="auto" w:before="114"/>
        <w:ind w:left="115" w:right="105"/>
        <w:jc w:val="both"/>
      </w:pPr>
      <w:bookmarkStart w:name="Leases" w:id="50"/>
      <w:bookmarkEnd w:id="50"/>
      <w:r>
        <w:rPr/>
      </w:r>
      <w:r>
        <w:rPr>
          <w:w w:val="105"/>
        </w:rPr>
        <w:t>option of the Company, in </w:t>
      </w:r>
      <w:r>
        <w:rPr>
          <w:spacing w:val="-3"/>
          <w:w w:val="105"/>
        </w:rPr>
        <w:t>whole at </w:t>
      </w:r>
      <w:r>
        <w:rPr>
          <w:w w:val="105"/>
        </w:rPr>
        <w:t>any time or in part from time to </w:t>
      </w:r>
      <w:r>
        <w:rPr>
          <w:spacing w:val="-3"/>
          <w:w w:val="105"/>
        </w:rPr>
        <w:t>time, at </w:t>
      </w:r>
      <w:r>
        <w:rPr>
          <w:w w:val="105"/>
        </w:rPr>
        <w:t>a redemption </w:t>
      </w:r>
      <w:r>
        <w:rPr>
          <w:spacing w:val="-3"/>
          <w:w w:val="105"/>
        </w:rPr>
        <w:t>price </w:t>
      </w:r>
      <w:r>
        <w:rPr>
          <w:w w:val="105"/>
        </w:rPr>
        <w:t>equal to the </w:t>
      </w:r>
      <w:r>
        <w:rPr>
          <w:spacing w:val="-3"/>
          <w:w w:val="105"/>
        </w:rPr>
        <w:t>greater </w:t>
      </w:r>
      <w:r>
        <w:rPr>
          <w:w w:val="105"/>
        </w:rPr>
        <w:t>of the principal amount of the </w:t>
      </w:r>
      <w:r>
        <w:rPr>
          <w:spacing w:val="-3"/>
          <w:w w:val="105"/>
        </w:rPr>
        <w:t>Debentures </w:t>
      </w:r>
      <w:r>
        <w:rPr>
          <w:w w:val="105"/>
        </w:rPr>
        <w:t>plus </w:t>
      </w:r>
      <w:r>
        <w:rPr>
          <w:spacing w:val="-3"/>
          <w:w w:val="105"/>
        </w:rPr>
        <w:t>accrued interest at </w:t>
      </w:r>
      <w:r>
        <w:rPr>
          <w:w w:val="105"/>
        </w:rPr>
        <w:t>the date of redemption or the sum </w:t>
      </w:r>
      <w:r>
        <w:rPr>
          <w:spacing w:val="-3"/>
          <w:w w:val="105"/>
        </w:rPr>
        <w:t>of </w:t>
      </w:r>
      <w:r>
        <w:rPr>
          <w:w w:val="105"/>
        </w:rPr>
        <w:t>the</w:t>
      </w:r>
      <w:r>
        <w:rPr>
          <w:spacing w:val="-15"/>
          <w:w w:val="105"/>
        </w:rPr>
        <w:t> </w:t>
      </w:r>
      <w:r>
        <w:rPr>
          <w:w w:val="105"/>
        </w:rPr>
        <w:t>present</w:t>
      </w:r>
      <w:r>
        <w:rPr>
          <w:spacing w:val="-10"/>
          <w:w w:val="105"/>
        </w:rPr>
        <w:t> </w:t>
      </w:r>
      <w:r>
        <w:rPr>
          <w:spacing w:val="-3"/>
          <w:w w:val="105"/>
        </w:rPr>
        <w:t>values</w:t>
      </w:r>
      <w:r>
        <w:rPr>
          <w:spacing w:val="-10"/>
          <w:w w:val="105"/>
        </w:rPr>
        <w:t> </w:t>
      </w:r>
      <w:r>
        <w:rPr>
          <w:w w:val="105"/>
        </w:rPr>
        <w:t>of</w:t>
      </w:r>
      <w:r>
        <w:rPr>
          <w:spacing w:val="-15"/>
          <w:w w:val="105"/>
        </w:rPr>
        <w:t> </w:t>
      </w:r>
      <w:r>
        <w:rPr>
          <w:w w:val="105"/>
        </w:rPr>
        <w:t>the</w:t>
      </w:r>
      <w:r>
        <w:rPr>
          <w:spacing w:val="-11"/>
          <w:w w:val="105"/>
        </w:rPr>
        <w:t> </w:t>
      </w:r>
      <w:r>
        <w:rPr>
          <w:w w:val="105"/>
        </w:rPr>
        <w:t>remaining</w:t>
      </w:r>
      <w:r>
        <w:rPr>
          <w:spacing w:val="-10"/>
          <w:w w:val="105"/>
        </w:rPr>
        <w:t> </w:t>
      </w:r>
      <w:r>
        <w:rPr>
          <w:w w:val="105"/>
        </w:rPr>
        <w:t>scheduled</w:t>
      </w:r>
      <w:r>
        <w:rPr>
          <w:spacing w:val="-17"/>
          <w:w w:val="105"/>
        </w:rPr>
        <w:t> </w:t>
      </w:r>
      <w:r>
        <w:rPr>
          <w:w w:val="105"/>
        </w:rPr>
        <w:t>payments</w:t>
      </w:r>
      <w:r>
        <w:rPr>
          <w:spacing w:val="-10"/>
          <w:w w:val="105"/>
        </w:rPr>
        <w:t> </w:t>
      </w:r>
      <w:r>
        <w:rPr>
          <w:w w:val="105"/>
        </w:rPr>
        <w:t>of</w:t>
      </w:r>
      <w:r>
        <w:rPr>
          <w:spacing w:val="-11"/>
          <w:w w:val="105"/>
        </w:rPr>
        <w:t> </w:t>
      </w:r>
      <w:r>
        <w:rPr>
          <w:w w:val="105"/>
        </w:rPr>
        <w:t>principal</w:t>
      </w:r>
      <w:r>
        <w:rPr>
          <w:spacing w:val="-10"/>
          <w:w w:val="105"/>
        </w:rPr>
        <w:t> </w:t>
      </w:r>
      <w:r>
        <w:rPr>
          <w:spacing w:val="-3"/>
          <w:w w:val="105"/>
        </w:rPr>
        <w:t>and</w:t>
      </w:r>
      <w:r>
        <w:rPr>
          <w:spacing w:val="-10"/>
          <w:w w:val="105"/>
        </w:rPr>
        <w:t> </w:t>
      </w:r>
      <w:r>
        <w:rPr>
          <w:w w:val="105"/>
        </w:rPr>
        <w:t>interest</w:t>
      </w:r>
      <w:r>
        <w:rPr>
          <w:spacing w:val="-14"/>
          <w:w w:val="105"/>
        </w:rPr>
        <w:t> </w:t>
      </w:r>
      <w:r>
        <w:rPr>
          <w:w w:val="105"/>
        </w:rPr>
        <w:t>thereon,</w:t>
      </w:r>
      <w:r>
        <w:rPr>
          <w:spacing w:val="-16"/>
          <w:w w:val="105"/>
        </w:rPr>
        <w:t> </w:t>
      </w:r>
      <w:r>
        <w:rPr>
          <w:w w:val="105"/>
        </w:rPr>
        <w:t>discounted</w:t>
      </w:r>
      <w:r>
        <w:rPr>
          <w:spacing w:val="-10"/>
          <w:w w:val="105"/>
        </w:rPr>
        <w:t> </w:t>
      </w:r>
      <w:r>
        <w:rPr>
          <w:w w:val="105"/>
        </w:rPr>
        <w:t>to</w:t>
      </w:r>
      <w:r>
        <w:rPr>
          <w:spacing w:val="-10"/>
          <w:w w:val="105"/>
        </w:rPr>
        <w:t> </w:t>
      </w:r>
      <w:r>
        <w:rPr>
          <w:w w:val="105"/>
        </w:rPr>
        <w:t>the</w:t>
      </w:r>
      <w:r>
        <w:rPr>
          <w:spacing w:val="-11"/>
          <w:w w:val="105"/>
        </w:rPr>
        <w:t> </w:t>
      </w:r>
      <w:r>
        <w:rPr>
          <w:w w:val="105"/>
        </w:rPr>
        <w:t>date of redemption at the </w:t>
      </w:r>
      <w:r>
        <w:rPr>
          <w:spacing w:val="-3"/>
          <w:w w:val="105"/>
        </w:rPr>
        <w:t>comparable </w:t>
      </w:r>
      <w:r>
        <w:rPr>
          <w:w w:val="105"/>
        </w:rPr>
        <w:t>treasury rate plus 20 basis points, plus accrued interest </w:t>
      </w:r>
      <w:r>
        <w:rPr>
          <w:spacing w:val="-3"/>
          <w:w w:val="105"/>
        </w:rPr>
        <w:t>at </w:t>
      </w:r>
      <w:r>
        <w:rPr>
          <w:w w:val="105"/>
        </w:rPr>
        <w:t>the date of redemption.</w:t>
      </w:r>
    </w:p>
    <w:p>
      <w:pPr>
        <w:pStyle w:val="BodyText"/>
        <w:spacing w:line="220" w:lineRule="exact" w:before="224"/>
        <w:ind w:left="115" w:right="114"/>
        <w:jc w:val="both"/>
      </w:pPr>
      <w:r>
        <w:rPr>
          <w:w w:val="105"/>
        </w:rPr>
        <w:t>During 1995, the Company issued $100 million of senior unsecured 8% Notes due March 1, 2005. Interest is payable semi-annually on March 1 and September 1. The Notes are not redeemable prior to maturity.</w:t>
      </w:r>
    </w:p>
    <w:p>
      <w:pPr>
        <w:pStyle w:val="BodyText"/>
        <w:spacing w:line="216" w:lineRule="exact" w:before="225"/>
        <w:ind w:left="115" w:right="113"/>
        <w:jc w:val="both"/>
      </w:pPr>
      <w:r>
        <w:rPr>
          <w:spacing w:val="-2"/>
          <w:w w:val="105"/>
        </w:rPr>
        <w:t>During </w:t>
      </w:r>
      <w:r>
        <w:rPr>
          <w:w w:val="105"/>
        </w:rPr>
        <w:t>1992, the Company issued $100 million of senior unsecured 7 7/8% Notes due </w:t>
      </w:r>
      <w:r>
        <w:rPr>
          <w:spacing w:val="-3"/>
          <w:w w:val="105"/>
        </w:rPr>
        <w:t>September </w:t>
      </w:r>
      <w:r>
        <w:rPr>
          <w:w w:val="105"/>
        </w:rPr>
        <w:t>1, 2007. Interest</w:t>
      </w:r>
      <w:r>
        <w:rPr>
          <w:spacing w:val="-25"/>
          <w:w w:val="105"/>
        </w:rPr>
        <w:t> </w:t>
      </w:r>
      <w:r>
        <w:rPr>
          <w:w w:val="105"/>
        </w:rPr>
        <w:t>is</w:t>
      </w:r>
      <w:r>
        <w:rPr>
          <w:spacing w:val="-23"/>
          <w:w w:val="105"/>
        </w:rPr>
        <w:t> </w:t>
      </w:r>
      <w:r>
        <w:rPr>
          <w:w w:val="105"/>
        </w:rPr>
        <w:t>payable</w:t>
      </w:r>
      <w:r>
        <w:rPr>
          <w:spacing w:val="-24"/>
          <w:w w:val="105"/>
        </w:rPr>
        <w:t> </w:t>
      </w:r>
      <w:r>
        <w:rPr>
          <w:w w:val="105"/>
        </w:rPr>
        <w:t>semi-annually</w:t>
      </w:r>
      <w:r>
        <w:rPr>
          <w:spacing w:val="-23"/>
          <w:w w:val="105"/>
        </w:rPr>
        <w:t> </w:t>
      </w:r>
      <w:r>
        <w:rPr>
          <w:w w:val="105"/>
        </w:rPr>
        <w:t>on</w:t>
      </w:r>
      <w:r>
        <w:rPr>
          <w:spacing w:val="-23"/>
          <w:w w:val="105"/>
        </w:rPr>
        <w:t> </w:t>
      </w:r>
      <w:r>
        <w:rPr>
          <w:spacing w:val="-3"/>
          <w:w w:val="105"/>
        </w:rPr>
        <w:t>March</w:t>
      </w:r>
      <w:r>
        <w:rPr>
          <w:spacing w:val="-23"/>
          <w:w w:val="105"/>
        </w:rPr>
        <w:t> </w:t>
      </w:r>
      <w:r>
        <w:rPr>
          <w:w w:val="105"/>
        </w:rPr>
        <w:t>1</w:t>
      </w:r>
      <w:r>
        <w:rPr>
          <w:spacing w:val="-23"/>
          <w:w w:val="105"/>
        </w:rPr>
        <w:t> </w:t>
      </w:r>
      <w:r>
        <w:rPr>
          <w:w w:val="105"/>
        </w:rPr>
        <w:t>and</w:t>
      </w:r>
      <w:r>
        <w:rPr>
          <w:spacing w:val="-25"/>
          <w:w w:val="105"/>
        </w:rPr>
        <w:t> </w:t>
      </w:r>
      <w:r>
        <w:rPr>
          <w:spacing w:val="-3"/>
          <w:w w:val="105"/>
        </w:rPr>
        <w:t>September</w:t>
      </w:r>
      <w:r>
        <w:rPr>
          <w:spacing w:val="-24"/>
          <w:w w:val="105"/>
        </w:rPr>
        <w:t> </w:t>
      </w:r>
      <w:r>
        <w:rPr>
          <w:w w:val="105"/>
        </w:rPr>
        <w:t>1.</w:t>
      </w:r>
      <w:r>
        <w:rPr>
          <w:spacing w:val="7"/>
          <w:w w:val="105"/>
        </w:rPr>
        <w:t> </w:t>
      </w:r>
      <w:r>
        <w:rPr>
          <w:spacing w:val="-4"/>
          <w:w w:val="105"/>
        </w:rPr>
        <w:t>The</w:t>
      </w:r>
      <w:r>
        <w:rPr>
          <w:spacing w:val="-24"/>
          <w:w w:val="105"/>
        </w:rPr>
        <w:t> </w:t>
      </w:r>
      <w:r>
        <w:rPr>
          <w:w w:val="105"/>
        </w:rPr>
        <w:t>Notes</w:t>
      </w:r>
      <w:r>
        <w:rPr>
          <w:spacing w:val="-25"/>
          <w:w w:val="105"/>
        </w:rPr>
        <w:t> </w:t>
      </w:r>
      <w:r>
        <w:rPr>
          <w:w w:val="105"/>
        </w:rPr>
        <w:t>are</w:t>
      </w:r>
      <w:r>
        <w:rPr>
          <w:spacing w:val="-24"/>
          <w:w w:val="105"/>
        </w:rPr>
        <w:t> </w:t>
      </w:r>
      <w:r>
        <w:rPr>
          <w:w w:val="105"/>
        </w:rPr>
        <w:t>not</w:t>
      </w:r>
      <w:r>
        <w:rPr>
          <w:spacing w:val="-25"/>
          <w:w w:val="105"/>
        </w:rPr>
        <w:t> </w:t>
      </w:r>
      <w:r>
        <w:rPr>
          <w:w w:val="105"/>
        </w:rPr>
        <w:t>redeemable</w:t>
      </w:r>
      <w:r>
        <w:rPr>
          <w:spacing w:val="-24"/>
          <w:w w:val="105"/>
        </w:rPr>
        <w:t> </w:t>
      </w:r>
      <w:r>
        <w:rPr>
          <w:w w:val="105"/>
        </w:rPr>
        <w:t>prior</w:t>
      </w:r>
      <w:r>
        <w:rPr>
          <w:spacing w:val="-24"/>
          <w:w w:val="105"/>
        </w:rPr>
        <w:t> </w:t>
      </w:r>
      <w:r>
        <w:rPr>
          <w:w w:val="105"/>
        </w:rPr>
        <w:t>to</w:t>
      </w:r>
      <w:r>
        <w:rPr>
          <w:spacing w:val="-23"/>
          <w:w w:val="105"/>
        </w:rPr>
        <w:t> </w:t>
      </w:r>
      <w:r>
        <w:rPr>
          <w:w w:val="105"/>
        </w:rPr>
        <w:t>maturity.</w:t>
      </w:r>
    </w:p>
    <w:p>
      <w:pPr>
        <w:pStyle w:val="BodyText"/>
        <w:spacing w:line="220" w:lineRule="exact" w:before="222"/>
        <w:ind w:left="115" w:right="113"/>
        <w:jc w:val="both"/>
      </w:pPr>
      <w:r>
        <w:rPr>
          <w:spacing w:val="-2"/>
          <w:w w:val="105"/>
        </w:rPr>
        <w:t>The</w:t>
      </w:r>
      <w:r>
        <w:rPr>
          <w:spacing w:val="-4"/>
          <w:w w:val="105"/>
        </w:rPr>
        <w:t> </w:t>
      </w:r>
      <w:r>
        <w:rPr>
          <w:spacing w:val="-3"/>
          <w:w w:val="105"/>
        </w:rPr>
        <w:t>net</w:t>
      </w:r>
      <w:r>
        <w:rPr>
          <w:spacing w:val="-2"/>
          <w:w w:val="105"/>
        </w:rPr>
        <w:t> </w:t>
      </w:r>
      <w:r>
        <w:rPr>
          <w:w w:val="105"/>
        </w:rPr>
        <w:t>book</w:t>
      </w:r>
      <w:r>
        <w:rPr>
          <w:spacing w:val="-6"/>
          <w:w w:val="105"/>
        </w:rPr>
        <w:t> </w:t>
      </w:r>
      <w:r>
        <w:rPr>
          <w:w w:val="105"/>
        </w:rPr>
        <w:t>value</w:t>
      </w:r>
      <w:r>
        <w:rPr>
          <w:spacing w:val="-4"/>
          <w:w w:val="105"/>
        </w:rPr>
        <w:t> </w:t>
      </w:r>
      <w:r>
        <w:rPr>
          <w:w w:val="105"/>
        </w:rPr>
        <w:t>of</w:t>
      </w:r>
      <w:r>
        <w:rPr>
          <w:spacing w:val="-7"/>
          <w:w w:val="105"/>
        </w:rPr>
        <w:t> </w:t>
      </w:r>
      <w:r>
        <w:rPr>
          <w:w w:val="105"/>
        </w:rPr>
        <w:t>the</w:t>
      </w:r>
      <w:r>
        <w:rPr>
          <w:spacing w:val="-4"/>
          <w:w w:val="105"/>
        </w:rPr>
        <w:t> </w:t>
      </w:r>
      <w:r>
        <w:rPr>
          <w:w w:val="105"/>
        </w:rPr>
        <w:t>assets</w:t>
      </w:r>
      <w:r>
        <w:rPr>
          <w:spacing w:val="-6"/>
          <w:w w:val="105"/>
        </w:rPr>
        <w:t> </w:t>
      </w:r>
      <w:r>
        <w:rPr>
          <w:w w:val="105"/>
        </w:rPr>
        <w:t>pledged</w:t>
      </w:r>
      <w:r>
        <w:rPr>
          <w:spacing w:val="-10"/>
          <w:w w:val="105"/>
        </w:rPr>
        <w:t> </w:t>
      </w:r>
      <w:r>
        <w:rPr>
          <w:w w:val="105"/>
        </w:rPr>
        <w:t>as</w:t>
      </w:r>
      <w:r>
        <w:rPr>
          <w:spacing w:val="-2"/>
          <w:w w:val="105"/>
        </w:rPr>
        <w:t> </w:t>
      </w:r>
      <w:r>
        <w:rPr>
          <w:spacing w:val="-3"/>
          <w:w w:val="105"/>
        </w:rPr>
        <w:t>collateral</w:t>
      </w:r>
      <w:r>
        <w:rPr>
          <w:spacing w:val="-2"/>
          <w:w w:val="105"/>
        </w:rPr>
        <w:t> </w:t>
      </w:r>
      <w:r>
        <w:rPr>
          <w:spacing w:val="-3"/>
          <w:w w:val="105"/>
        </w:rPr>
        <w:t>for</w:t>
      </w:r>
      <w:r>
        <w:rPr>
          <w:spacing w:val="-4"/>
          <w:w w:val="105"/>
        </w:rPr>
        <w:t> </w:t>
      </w:r>
      <w:r>
        <w:rPr>
          <w:w w:val="105"/>
        </w:rPr>
        <w:t>the</w:t>
      </w:r>
      <w:r>
        <w:rPr>
          <w:spacing w:val="-4"/>
          <w:w w:val="105"/>
        </w:rPr>
        <w:t> </w:t>
      </w:r>
      <w:r>
        <w:rPr>
          <w:spacing w:val="-2"/>
          <w:w w:val="105"/>
        </w:rPr>
        <w:t>Company's</w:t>
      </w:r>
      <w:r>
        <w:rPr>
          <w:spacing w:val="-6"/>
          <w:w w:val="105"/>
        </w:rPr>
        <w:t> </w:t>
      </w:r>
      <w:r>
        <w:rPr>
          <w:w w:val="105"/>
        </w:rPr>
        <w:t>secured</w:t>
      </w:r>
      <w:r>
        <w:rPr>
          <w:spacing w:val="-10"/>
          <w:w w:val="105"/>
        </w:rPr>
        <w:t> </w:t>
      </w:r>
      <w:r>
        <w:rPr>
          <w:w w:val="105"/>
        </w:rPr>
        <w:t>borrowings,</w:t>
      </w:r>
      <w:r>
        <w:rPr>
          <w:spacing w:val="-5"/>
          <w:w w:val="105"/>
        </w:rPr>
        <w:t> </w:t>
      </w:r>
      <w:r>
        <w:rPr>
          <w:w w:val="105"/>
        </w:rPr>
        <w:t>primarily</w:t>
      </w:r>
      <w:r>
        <w:rPr>
          <w:spacing w:val="-2"/>
          <w:w w:val="105"/>
        </w:rPr>
        <w:t> </w:t>
      </w:r>
      <w:r>
        <w:rPr>
          <w:spacing w:val="-3"/>
          <w:w w:val="105"/>
        </w:rPr>
        <w:t>aircraft </w:t>
      </w:r>
      <w:r>
        <w:rPr>
          <w:w w:val="105"/>
        </w:rPr>
        <w:t>and</w:t>
      </w:r>
      <w:r>
        <w:rPr>
          <w:spacing w:val="-21"/>
          <w:w w:val="105"/>
        </w:rPr>
        <w:t> </w:t>
      </w:r>
      <w:r>
        <w:rPr>
          <w:w w:val="105"/>
        </w:rPr>
        <w:t>engines,</w:t>
      </w:r>
      <w:r>
        <w:rPr>
          <w:spacing w:val="-23"/>
          <w:w w:val="105"/>
        </w:rPr>
        <w:t> </w:t>
      </w:r>
      <w:r>
        <w:rPr>
          <w:spacing w:val="-3"/>
          <w:w w:val="105"/>
        </w:rPr>
        <w:t>was</w:t>
      </w:r>
      <w:r>
        <w:rPr>
          <w:spacing w:val="-24"/>
          <w:w w:val="105"/>
        </w:rPr>
        <w:t> </w:t>
      </w:r>
      <w:r>
        <w:rPr>
          <w:w w:val="105"/>
        </w:rPr>
        <w:t>$893</w:t>
      </w:r>
      <w:r>
        <w:rPr>
          <w:spacing w:val="-24"/>
          <w:w w:val="105"/>
        </w:rPr>
        <w:t> </w:t>
      </w:r>
      <w:r>
        <w:rPr>
          <w:w w:val="105"/>
        </w:rPr>
        <w:t>million</w:t>
      </w:r>
      <w:r>
        <w:rPr>
          <w:spacing w:val="-24"/>
          <w:w w:val="105"/>
        </w:rPr>
        <w:t> </w:t>
      </w:r>
      <w:r>
        <w:rPr>
          <w:w w:val="105"/>
        </w:rPr>
        <w:t>at</w:t>
      </w:r>
      <w:r>
        <w:rPr>
          <w:spacing w:val="-24"/>
          <w:w w:val="105"/>
        </w:rPr>
        <w:t> </w:t>
      </w:r>
      <w:r>
        <w:rPr>
          <w:spacing w:val="-3"/>
          <w:w w:val="105"/>
        </w:rPr>
        <w:t>December</w:t>
      </w:r>
      <w:r>
        <w:rPr>
          <w:spacing w:val="-22"/>
          <w:w w:val="105"/>
        </w:rPr>
        <w:t> </w:t>
      </w:r>
      <w:r>
        <w:rPr>
          <w:w w:val="105"/>
        </w:rPr>
        <w:t>31,</w:t>
      </w:r>
      <w:r>
        <w:rPr>
          <w:spacing w:val="-26"/>
          <w:w w:val="105"/>
        </w:rPr>
        <w:t> </w:t>
      </w:r>
      <w:r>
        <w:rPr>
          <w:w w:val="105"/>
        </w:rPr>
        <w:t>2003.</w:t>
      </w:r>
    </w:p>
    <w:p>
      <w:pPr>
        <w:pStyle w:val="BodyText"/>
        <w:spacing w:line="216" w:lineRule="auto"/>
        <w:ind w:left="115" w:right="107"/>
        <w:jc w:val="both"/>
      </w:pPr>
      <w:r>
        <w:rPr>
          <w:spacing w:val="-4"/>
          <w:w w:val="105"/>
        </w:rPr>
        <w:t>As</w:t>
      </w:r>
      <w:r>
        <w:rPr>
          <w:spacing w:val="-11"/>
          <w:w w:val="105"/>
        </w:rPr>
        <w:t> </w:t>
      </w:r>
      <w:r>
        <w:rPr>
          <w:w w:val="105"/>
        </w:rPr>
        <w:t>of</w:t>
      </w:r>
      <w:r>
        <w:rPr>
          <w:spacing w:val="-16"/>
          <w:w w:val="105"/>
        </w:rPr>
        <w:t> </w:t>
      </w:r>
      <w:r>
        <w:rPr>
          <w:spacing w:val="-3"/>
          <w:w w:val="105"/>
        </w:rPr>
        <w:t>December</w:t>
      </w:r>
      <w:r>
        <w:rPr>
          <w:spacing w:val="-16"/>
          <w:w w:val="105"/>
        </w:rPr>
        <w:t> </w:t>
      </w:r>
      <w:r>
        <w:rPr>
          <w:w w:val="105"/>
        </w:rPr>
        <w:t>31,</w:t>
      </w:r>
      <w:r>
        <w:rPr>
          <w:spacing w:val="-14"/>
          <w:w w:val="105"/>
        </w:rPr>
        <w:t> </w:t>
      </w:r>
      <w:r>
        <w:rPr>
          <w:w w:val="105"/>
        </w:rPr>
        <w:t>2003,</w:t>
      </w:r>
      <w:r>
        <w:rPr>
          <w:spacing w:val="-17"/>
          <w:w w:val="105"/>
        </w:rPr>
        <w:t> </w:t>
      </w:r>
      <w:r>
        <w:rPr>
          <w:w w:val="105"/>
        </w:rPr>
        <w:t>aggregate</w:t>
      </w:r>
      <w:r>
        <w:rPr>
          <w:spacing w:val="-16"/>
          <w:w w:val="105"/>
        </w:rPr>
        <w:t> </w:t>
      </w:r>
      <w:r>
        <w:rPr>
          <w:w w:val="105"/>
        </w:rPr>
        <w:t>annual</w:t>
      </w:r>
      <w:r>
        <w:rPr>
          <w:spacing w:val="-11"/>
          <w:w w:val="105"/>
        </w:rPr>
        <w:t> </w:t>
      </w:r>
      <w:r>
        <w:rPr>
          <w:w w:val="105"/>
        </w:rPr>
        <w:t>principal</w:t>
      </w:r>
      <w:r>
        <w:rPr>
          <w:spacing w:val="-11"/>
          <w:w w:val="105"/>
        </w:rPr>
        <w:t> </w:t>
      </w:r>
      <w:r>
        <w:rPr>
          <w:w w:val="105"/>
        </w:rPr>
        <w:t>maturities</w:t>
      </w:r>
      <w:r>
        <w:rPr>
          <w:spacing w:val="-14"/>
          <w:w w:val="105"/>
        </w:rPr>
        <w:t> </w:t>
      </w:r>
      <w:r>
        <w:rPr>
          <w:w w:val="105"/>
        </w:rPr>
        <w:t>(not</w:t>
      </w:r>
      <w:r>
        <w:rPr>
          <w:spacing w:val="-11"/>
          <w:w w:val="105"/>
        </w:rPr>
        <w:t> </w:t>
      </w:r>
      <w:r>
        <w:rPr>
          <w:w w:val="105"/>
        </w:rPr>
        <w:t>including</w:t>
      </w:r>
      <w:r>
        <w:rPr>
          <w:spacing w:val="-14"/>
          <w:w w:val="105"/>
        </w:rPr>
        <w:t> </w:t>
      </w:r>
      <w:r>
        <w:rPr>
          <w:w w:val="105"/>
        </w:rPr>
        <w:t>interest</w:t>
      </w:r>
      <w:r>
        <w:rPr>
          <w:spacing w:val="-14"/>
          <w:w w:val="105"/>
        </w:rPr>
        <w:t> </w:t>
      </w:r>
      <w:r>
        <w:rPr>
          <w:w w:val="105"/>
        </w:rPr>
        <w:t>on</w:t>
      </w:r>
      <w:r>
        <w:rPr>
          <w:spacing w:val="-11"/>
          <w:w w:val="105"/>
        </w:rPr>
        <w:t> </w:t>
      </w:r>
      <w:r>
        <w:rPr>
          <w:w w:val="105"/>
        </w:rPr>
        <w:t>capital</w:t>
      </w:r>
      <w:r>
        <w:rPr>
          <w:spacing w:val="-11"/>
          <w:w w:val="105"/>
        </w:rPr>
        <w:t> </w:t>
      </w:r>
      <w:r>
        <w:rPr>
          <w:w w:val="105"/>
        </w:rPr>
        <w:t>leases)</w:t>
      </w:r>
      <w:r>
        <w:rPr>
          <w:spacing w:val="-16"/>
          <w:w w:val="105"/>
        </w:rPr>
        <w:t> </w:t>
      </w:r>
      <w:r>
        <w:rPr>
          <w:w w:val="105"/>
        </w:rPr>
        <w:t>for</w:t>
      </w:r>
      <w:r>
        <w:rPr>
          <w:spacing w:val="-16"/>
          <w:w w:val="105"/>
        </w:rPr>
        <w:t> </w:t>
      </w:r>
      <w:r>
        <w:rPr>
          <w:w w:val="105"/>
        </w:rPr>
        <w:t>the </w:t>
      </w:r>
      <w:r>
        <w:rPr>
          <w:spacing w:val="-3"/>
          <w:w w:val="105"/>
        </w:rPr>
        <w:t>five-year </w:t>
      </w:r>
      <w:r>
        <w:rPr>
          <w:w w:val="105"/>
        </w:rPr>
        <w:t>period ending </w:t>
      </w:r>
      <w:r>
        <w:rPr>
          <w:spacing w:val="-3"/>
          <w:w w:val="105"/>
        </w:rPr>
        <w:t>December </w:t>
      </w:r>
      <w:r>
        <w:rPr>
          <w:w w:val="105"/>
        </w:rPr>
        <w:t>31, 2008 </w:t>
      </w:r>
      <w:r>
        <w:rPr>
          <w:spacing w:val="-4"/>
          <w:w w:val="105"/>
        </w:rPr>
        <w:t>were </w:t>
      </w:r>
      <w:r>
        <w:rPr>
          <w:w w:val="105"/>
        </w:rPr>
        <w:t>$206 million in 2004, $143 million in 2005, $542 million </w:t>
      </w:r>
      <w:r>
        <w:rPr>
          <w:spacing w:val="-3"/>
          <w:w w:val="105"/>
        </w:rPr>
        <w:t>in </w:t>
      </w:r>
      <w:r>
        <w:rPr>
          <w:w w:val="105"/>
        </w:rPr>
        <w:t>2006,</w:t>
      </w:r>
      <w:r>
        <w:rPr>
          <w:spacing w:val="-26"/>
          <w:w w:val="105"/>
        </w:rPr>
        <w:t> </w:t>
      </w:r>
      <w:r>
        <w:rPr>
          <w:w w:val="105"/>
        </w:rPr>
        <w:t>$114</w:t>
      </w:r>
      <w:r>
        <w:rPr>
          <w:spacing w:val="-21"/>
          <w:w w:val="105"/>
        </w:rPr>
        <w:t> </w:t>
      </w:r>
      <w:r>
        <w:rPr>
          <w:w w:val="105"/>
        </w:rPr>
        <w:t>million</w:t>
      </w:r>
      <w:r>
        <w:rPr>
          <w:spacing w:val="-21"/>
          <w:w w:val="105"/>
        </w:rPr>
        <w:t> </w:t>
      </w:r>
      <w:r>
        <w:rPr>
          <w:w w:val="105"/>
        </w:rPr>
        <w:t>in</w:t>
      </w:r>
      <w:r>
        <w:rPr>
          <w:spacing w:val="-23"/>
          <w:w w:val="105"/>
        </w:rPr>
        <w:t> </w:t>
      </w:r>
      <w:r>
        <w:rPr>
          <w:w w:val="105"/>
        </w:rPr>
        <w:t>2007,</w:t>
      </w:r>
      <w:r>
        <w:rPr>
          <w:spacing w:val="-23"/>
          <w:w w:val="105"/>
        </w:rPr>
        <w:t> </w:t>
      </w:r>
      <w:r>
        <w:rPr>
          <w:w w:val="105"/>
        </w:rPr>
        <w:t>$5</w:t>
      </w:r>
      <w:r>
        <w:rPr>
          <w:spacing w:val="-21"/>
          <w:w w:val="105"/>
        </w:rPr>
        <w:t> </w:t>
      </w:r>
      <w:r>
        <w:rPr>
          <w:w w:val="105"/>
        </w:rPr>
        <w:t>million</w:t>
      </w:r>
      <w:r>
        <w:rPr>
          <w:spacing w:val="-21"/>
          <w:w w:val="105"/>
        </w:rPr>
        <w:t> </w:t>
      </w:r>
      <w:r>
        <w:rPr>
          <w:w w:val="105"/>
        </w:rPr>
        <w:t>in</w:t>
      </w:r>
      <w:r>
        <w:rPr>
          <w:spacing w:val="-21"/>
          <w:w w:val="105"/>
        </w:rPr>
        <w:t> </w:t>
      </w:r>
      <w:r>
        <w:rPr>
          <w:w w:val="105"/>
        </w:rPr>
        <w:t>2008,</w:t>
      </w:r>
      <w:r>
        <w:rPr>
          <w:spacing w:val="-23"/>
          <w:w w:val="105"/>
        </w:rPr>
        <w:t> </w:t>
      </w:r>
      <w:r>
        <w:rPr>
          <w:w w:val="105"/>
        </w:rPr>
        <w:t>and</w:t>
      </w:r>
      <w:r>
        <w:rPr>
          <w:spacing w:val="-21"/>
          <w:w w:val="105"/>
        </w:rPr>
        <w:t> </w:t>
      </w:r>
      <w:r>
        <w:rPr>
          <w:w w:val="105"/>
        </w:rPr>
        <w:t>$556</w:t>
      </w:r>
      <w:r>
        <w:rPr>
          <w:spacing w:val="-23"/>
          <w:w w:val="105"/>
        </w:rPr>
        <w:t> </w:t>
      </w:r>
      <w:r>
        <w:rPr>
          <w:w w:val="105"/>
        </w:rPr>
        <w:t>million</w:t>
      </w:r>
      <w:r>
        <w:rPr>
          <w:spacing w:val="-23"/>
          <w:w w:val="105"/>
        </w:rPr>
        <w:t> </w:t>
      </w:r>
      <w:r>
        <w:rPr>
          <w:spacing w:val="-3"/>
          <w:w w:val="105"/>
        </w:rPr>
        <w:t>thereafter.</w:t>
      </w:r>
    </w:p>
    <w:p>
      <w:pPr>
        <w:pStyle w:val="Heading2"/>
        <w:numPr>
          <w:ilvl w:val="0"/>
          <w:numId w:val="5"/>
        </w:numPr>
        <w:tabs>
          <w:tab w:pos="323" w:val="left" w:leader="none"/>
        </w:tabs>
        <w:spacing w:line="240" w:lineRule="auto" w:before="204" w:after="0"/>
        <w:ind w:left="322" w:right="0" w:hanging="206"/>
        <w:jc w:val="both"/>
      </w:pPr>
      <w:r>
        <w:rPr>
          <w:color w:val="0000FF"/>
          <w:spacing w:val="-4"/>
          <w:w w:val="105"/>
        </w:rPr>
        <w:t>LEASES</w:t>
      </w:r>
    </w:p>
    <w:p>
      <w:pPr>
        <w:pStyle w:val="BodyText"/>
        <w:spacing w:line="220" w:lineRule="exact" w:before="219"/>
        <w:ind w:left="115" w:right="114"/>
        <w:jc w:val="both"/>
      </w:pPr>
      <w:r>
        <w:rPr>
          <w:spacing w:val="-2"/>
          <w:w w:val="105"/>
        </w:rPr>
        <w:t>The </w:t>
      </w:r>
      <w:r>
        <w:rPr>
          <w:w w:val="105"/>
        </w:rPr>
        <w:t>Company </w:t>
      </w:r>
      <w:r>
        <w:rPr>
          <w:spacing w:val="-3"/>
          <w:w w:val="105"/>
        </w:rPr>
        <w:t>had </w:t>
      </w:r>
      <w:r>
        <w:rPr>
          <w:w w:val="105"/>
        </w:rPr>
        <w:t>seven </w:t>
      </w:r>
      <w:r>
        <w:rPr>
          <w:spacing w:val="-3"/>
          <w:w w:val="105"/>
        </w:rPr>
        <w:t>aircraft </w:t>
      </w:r>
      <w:r>
        <w:rPr>
          <w:w w:val="105"/>
        </w:rPr>
        <w:t>classified </w:t>
      </w:r>
      <w:r>
        <w:rPr>
          <w:spacing w:val="-3"/>
          <w:w w:val="105"/>
        </w:rPr>
        <w:t>as </w:t>
      </w:r>
      <w:r>
        <w:rPr>
          <w:w w:val="105"/>
        </w:rPr>
        <w:t>capital leases </w:t>
      </w:r>
      <w:r>
        <w:rPr>
          <w:spacing w:val="-3"/>
          <w:w w:val="105"/>
        </w:rPr>
        <w:t>at </w:t>
      </w:r>
      <w:r>
        <w:rPr>
          <w:spacing w:val="-4"/>
          <w:w w:val="105"/>
        </w:rPr>
        <w:t>December </w:t>
      </w:r>
      <w:r>
        <w:rPr>
          <w:w w:val="105"/>
        </w:rPr>
        <w:t>31, 2003. The amounts applicable to these </w:t>
      </w:r>
      <w:r>
        <w:rPr>
          <w:spacing w:val="-3"/>
          <w:w w:val="105"/>
        </w:rPr>
        <w:t>aircraft </w:t>
      </w:r>
      <w:r>
        <w:rPr>
          <w:w w:val="105"/>
        </w:rPr>
        <w:t>included in property </w:t>
      </w:r>
      <w:r>
        <w:rPr>
          <w:spacing w:val="-3"/>
          <w:w w:val="105"/>
        </w:rPr>
        <w:t>and </w:t>
      </w:r>
      <w:r>
        <w:rPr>
          <w:w w:val="105"/>
        </w:rPr>
        <w:t>equipment </w:t>
      </w:r>
      <w:r>
        <w:rPr>
          <w:spacing w:val="-5"/>
          <w:w w:val="105"/>
        </w:rPr>
        <w:t>were:</w:t>
      </w:r>
    </w:p>
    <w:p>
      <w:pPr>
        <w:pStyle w:val="BodyText"/>
        <w:rPr>
          <w:sz w:val="20"/>
        </w:rPr>
      </w:pPr>
    </w:p>
    <w:p>
      <w:pPr>
        <w:pStyle w:val="BodyText"/>
        <w:spacing w:before="5"/>
        <w:rPr>
          <w:sz w:val="19"/>
        </w:rPr>
      </w:pPr>
      <w:r>
        <w:rPr/>
        <w:pict>
          <v:line style="position:absolute;mso-position-horizontal-relative:page;mso-position-vertical-relative:paragraph;z-index:6376;mso-wrap-distance-left:0;mso-wrap-distance-right:0" from="64.320000pt,13.405617pt" to="532.320pt,13.405617pt" stroked="true" strokeweight=".48001pt" strokecolor="#000000">
            <v:stroke dashstyle="solid"/>
            <w10:wrap type="topAndBottom"/>
          </v:line>
        </w:pict>
      </w:r>
    </w:p>
    <w:p>
      <w:pPr>
        <w:tabs>
          <w:tab w:pos="5026" w:val="left" w:leader="none"/>
          <w:tab w:pos="7863" w:val="left" w:leader="none"/>
        </w:tabs>
        <w:spacing w:line="173" w:lineRule="exact" w:before="0"/>
        <w:ind w:left="226" w:right="0" w:firstLine="0"/>
        <w:jc w:val="left"/>
        <w:rPr>
          <w:sz w:val="21"/>
        </w:rPr>
      </w:pPr>
      <w:r>
        <w:rPr>
          <w:w w:val="105"/>
          <w:sz w:val="21"/>
        </w:rPr>
        <w:t>(In</w:t>
      </w:r>
      <w:r>
        <w:rPr>
          <w:spacing w:val="-17"/>
          <w:w w:val="105"/>
          <w:sz w:val="21"/>
        </w:rPr>
        <w:t> </w:t>
      </w:r>
      <w:r>
        <w:rPr>
          <w:w w:val="105"/>
          <w:sz w:val="21"/>
        </w:rPr>
        <w:t>millions)</w:t>
        <w:tab/>
      </w:r>
      <w:r>
        <w:rPr>
          <w:b/>
          <w:w w:val="105"/>
          <w:sz w:val="21"/>
        </w:rPr>
        <w:t>2003</w:t>
        <w:tab/>
      </w:r>
      <w:r>
        <w:rPr>
          <w:w w:val="105"/>
          <w:sz w:val="21"/>
        </w:rPr>
        <w:t>2002</w:t>
      </w:r>
    </w:p>
    <w:p>
      <w:pPr>
        <w:tabs>
          <w:tab w:pos="4383" w:val="left" w:leader="none"/>
          <w:tab w:pos="5784" w:val="left" w:leader="none"/>
          <w:tab w:pos="7191" w:val="left" w:leader="none"/>
          <w:tab w:pos="8964" w:val="right" w:leader="none"/>
        </w:tabs>
        <w:spacing w:line="228" w:lineRule="exact" w:before="0"/>
        <w:ind w:left="226" w:right="0" w:firstLine="0"/>
        <w:jc w:val="left"/>
        <w:rPr>
          <w:sz w:val="21"/>
        </w:rPr>
      </w:pPr>
      <w:r>
        <w:rPr/>
        <w:pict>
          <v:line style="position:absolute;mso-position-horizontal-relative:page;mso-position-vertical-relative:paragraph;z-index:-231952" from="64.320000pt,1.127885pt" to="532.320pt,1.127885pt" stroked="true" strokeweight=".47995pt" strokecolor="#000000">
            <v:stroke dashstyle="solid"/>
            <w10:wrap type="none"/>
          </v:line>
        </w:pict>
      </w:r>
      <w:r>
        <w:rPr>
          <w:w w:val="105"/>
          <w:sz w:val="21"/>
        </w:rPr>
        <w:t>Flight</w:t>
      </w:r>
      <w:r>
        <w:rPr>
          <w:spacing w:val="-21"/>
          <w:w w:val="105"/>
          <w:sz w:val="21"/>
        </w:rPr>
        <w:t> </w:t>
      </w:r>
      <w:r>
        <w:rPr>
          <w:w w:val="105"/>
          <w:sz w:val="21"/>
        </w:rPr>
        <w:t>equipment</w:t>
        <w:tab/>
      </w:r>
      <w:r>
        <w:rPr>
          <w:b/>
          <w:w w:val="105"/>
          <w:sz w:val="21"/>
        </w:rPr>
        <w:t>$</w:t>
        <w:tab/>
        <w:t>171</w:t>
        <w:tab/>
      </w:r>
      <w:r>
        <w:rPr>
          <w:w w:val="105"/>
          <w:sz w:val="21"/>
        </w:rPr>
        <w:t>$</w:t>
        <w:tab/>
        <w:t>165</w:t>
      </w:r>
    </w:p>
    <w:p>
      <w:pPr>
        <w:pStyle w:val="BodyText"/>
        <w:tabs>
          <w:tab w:pos="3883" w:val="left" w:leader="none"/>
          <w:tab w:pos="5779" w:val="left" w:leader="none"/>
          <w:tab w:pos="6605" w:val="left" w:leader="none"/>
          <w:tab w:pos="8640" w:val="left" w:leader="none"/>
          <w:tab w:pos="9394" w:val="left" w:leader="none"/>
        </w:tabs>
        <w:spacing w:line="234" w:lineRule="exact"/>
        <w:ind w:left="226"/>
      </w:pPr>
      <w:r>
        <w:rPr>
          <w:spacing w:val="-3"/>
          <w:w w:val="105"/>
        </w:rPr>
        <w:t>Less</w:t>
      </w:r>
      <w:r>
        <w:rPr>
          <w:spacing w:val="-27"/>
          <w:w w:val="105"/>
        </w:rPr>
        <w:t> </w:t>
      </w:r>
      <w:r>
        <w:rPr>
          <w:w w:val="105"/>
        </w:rPr>
        <w:t>accumulated</w:t>
      </w:r>
      <w:r>
        <w:rPr>
          <w:spacing w:val="-29"/>
          <w:w w:val="105"/>
        </w:rPr>
        <w:t> </w:t>
      </w:r>
      <w:r>
        <w:rPr>
          <w:w w:val="105"/>
        </w:rPr>
        <w:t>depreciation</w:t>
        <w:tab/>
      </w:r>
      <w:r>
        <w:rPr>
          <w:b/>
          <w:w w:val="105"/>
          <w:u w:val="single"/>
        </w:rPr>
        <w:t> </w:t>
        <w:tab/>
        <w:t>114</w:t>
        <w:tab/>
      </w:r>
      <w:r>
        <w:rPr>
          <w:w w:val="105"/>
          <w:u w:val="single"/>
        </w:rPr>
        <w:t> </w:t>
        <w:tab/>
        <w:t>106</w:t>
      </w:r>
      <w:r>
        <w:rPr>
          <w:u w:val="single"/>
        </w:rPr>
        <w:tab/>
      </w:r>
    </w:p>
    <w:p>
      <w:pPr>
        <w:tabs>
          <w:tab w:pos="4383" w:val="left" w:leader="none"/>
          <w:tab w:pos="5885" w:val="left" w:leader="none"/>
          <w:tab w:pos="6605" w:val="left" w:leader="none"/>
          <w:tab w:pos="7195" w:val="left" w:leader="none"/>
          <w:tab w:pos="8746" w:val="left" w:leader="none"/>
          <w:tab w:pos="9394" w:val="left" w:leader="none"/>
        </w:tabs>
        <w:spacing w:before="32"/>
        <w:ind w:left="3884" w:right="0" w:firstLine="0"/>
        <w:jc w:val="left"/>
        <w:rPr>
          <w:sz w:val="21"/>
        </w:rPr>
      </w:pPr>
      <w:r>
        <w:rPr>
          <w:b/>
          <w:w w:val="102"/>
          <w:sz w:val="21"/>
          <w:u w:val="thick"/>
        </w:rPr>
        <w:t> </w:t>
      </w:r>
      <w:r>
        <w:rPr>
          <w:b/>
          <w:sz w:val="21"/>
          <w:u w:val="thick"/>
        </w:rPr>
        <w:tab/>
      </w:r>
      <w:r>
        <w:rPr>
          <w:b/>
          <w:w w:val="105"/>
          <w:sz w:val="21"/>
          <w:u w:val="thick"/>
        </w:rPr>
        <w:t>$</w:t>
        <w:tab/>
        <w:t>57</w:t>
        <w:tab/>
      </w:r>
      <w:r>
        <w:rPr>
          <w:w w:val="105"/>
          <w:sz w:val="21"/>
          <w:u w:val="thick"/>
        </w:rPr>
        <w:t> </w:t>
        <w:tab/>
        <w:t>$</w:t>
        <w:tab/>
        <w:t>59</w:t>
      </w:r>
      <w:r>
        <w:rPr>
          <w:sz w:val="21"/>
          <w:u w:val="thick"/>
        </w:rPr>
        <w:tab/>
      </w:r>
    </w:p>
    <w:p>
      <w:pPr>
        <w:pStyle w:val="BodyText"/>
        <w:spacing w:before="7"/>
        <w:rPr>
          <w:sz w:val="27"/>
        </w:rPr>
      </w:pPr>
    </w:p>
    <w:p>
      <w:pPr>
        <w:pStyle w:val="BodyText"/>
        <w:spacing w:line="218" w:lineRule="auto" w:before="1"/>
        <w:ind w:left="115" w:right="111"/>
        <w:jc w:val="both"/>
      </w:pPr>
      <w:r>
        <w:rPr>
          <w:w w:val="105"/>
        </w:rPr>
        <w:t>Total</w:t>
      </w:r>
      <w:r>
        <w:rPr>
          <w:spacing w:val="-12"/>
          <w:w w:val="105"/>
        </w:rPr>
        <w:t> </w:t>
      </w:r>
      <w:r>
        <w:rPr>
          <w:w w:val="105"/>
        </w:rPr>
        <w:t>rental</w:t>
      </w:r>
      <w:r>
        <w:rPr>
          <w:spacing w:val="-12"/>
          <w:w w:val="105"/>
        </w:rPr>
        <w:t> </w:t>
      </w:r>
      <w:r>
        <w:rPr>
          <w:w w:val="105"/>
        </w:rPr>
        <w:t>expense</w:t>
      </w:r>
      <w:r>
        <w:rPr>
          <w:spacing w:val="-10"/>
          <w:w w:val="105"/>
        </w:rPr>
        <w:t> </w:t>
      </w:r>
      <w:r>
        <w:rPr>
          <w:w w:val="105"/>
        </w:rPr>
        <w:t>for</w:t>
      </w:r>
      <w:r>
        <w:rPr>
          <w:spacing w:val="-17"/>
          <w:w w:val="105"/>
        </w:rPr>
        <w:t> </w:t>
      </w:r>
      <w:r>
        <w:rPr>
          <w:w w:val="105"/>
        </w:rPr>
        <w:t>operating</w:t>
      </w:r>
      <w:r>
        <w:rPr>
          <w:spacing w:val="-12"/>
          <w:w w:val="105"/>
        </w:rPr>
        <w:t> </w:t>
      </w:r>
      <w:r>
        <w:rPr>
          <w:w w:val="105"/>
        </w:rPr>
        <w:t>leases</w:t>
      </w:r>
      <w:r>
        <w:rPr>
          <w:spacing w:val="-9"/>
          <w:w w:val="105"/>
        </w:rPr>
        <w:t> </w:t>
      </w:r>
      <w:r>
        <w:rPr>
          <w:spacing w:val="-3"/>
          <w:w w:val="105"/>
        </w:rPr>
        <w:t>charged</w:t>
      </w:r>
      <w:r>
        <w:rPr>
          <w:spacing w:val="-12"/>
          <w:w w:val="105"/>
        </w:rPr>
        <w:t> </w:t>
      </w:r>
      <w:r>
        <w:rPr>
          <w:w w:val="105"/>
        </w:rPr>
        <w:t>to</w:t>
      </w:r>
      <w:r>
        <w:rPr>
          <w:spacing w:val="-12"/>
          <w:w w:val="105"/>
        </w:rPr>
        <w:t> </w:t>
      </w:r>
      <w:r>
        <w:rPr>
          <w:w w:val="105"/>
        </w:rPr>
        <w:t>operations</w:t>
      </w:r>
      <w:r>
        <w:rPr>
          <w:spacing w:val="-9"/>
          <w:w w:val="105"/>
        </w:rPr>
        <w:t> </w:t>
      </w:r>
      <w:r>
        <w:rPr>
          <w:w w:val="105"/>
        </w:rPr>
        <w:t>in</w:t>
      </w:r>
      <w:r>
        <w:rPr>
          <w:spacing w:val="-12"/>
          <w:w w:val="105"/>
        </w:rPr>
        <w:t> </w:t>
      </w:r>
      <w:r>
        <w:rPr>
          <w:w w:val="105"/>
        </w:rPr>
        <w:t>2003,</w:t>
      </w:r>
      <w:r>
        <w:rPr>
          <w:spacing w:val="-15"/>
          <w:w w:val="105"/>
        </w:rPr>
        <w:t> </w:t>
      </w:r>
      <w:r>
        <w:rPr>
          <w:w w:val="105"/>
        </w:rPr>
        <w:t>2002,</w:t>
      </w:r>
      <w:r>
        <w:rPr>
          <w:spacing w:val="-15"/>
          <w:w w:val="105"/>
        </w:rPr>
        <w:t> </w:t>
      </w:r>
      <w:r>
        <w:rPr>
          <w:spacing w:val="-3"/>
          <w:w w:val="105"/>
        </w:rPr>
        <w:t>and</w:t>
      </w:r>
      <w:r>
        <w:rPr>
          <w:spacing w:val="-12"/>
          <w:w w:val="105"/>
        </w:rPr>
        <w:t> </w:t>
      </w:r>
      <w:r>
        <w:rPr>
          <w:w w:val="105"/>
        </w:rPr>
        <w:t>2001</w:t>
      </w:r>
      <w:r>
        <w:rPr>
          <w:spacing w:val="-9"/>
          <w:w w:val="105"/>
        </w:rPr>
        <w:t> </w:t>
      </w:r>
      <w:r>
        <w:rPr>
          <w:spacing w:val="-3"/>
          <w:w w:val="105"/>
        </w:rPr>
        <w:t>was</w:t>
      </w:r>
      <w:r>
        <w:rPr>
          <w:spacing w:val="-12"/>
          <w:w w:val="105"/>
        </w:rPr>
        <w:t> </w:t>
      </w:r>
      <w:r>
        <w:rPr>
          <w:w w:val="105"/>
        </w:rPr>
        <w:t>$386</w:t>
      </w:r>
      <w:r>
        <w:rPr>
          <w:spacing w:val="-12"/>
          <w:w w:val="105"/>
        </w:rPr>
        <w:t> </w:t>
      </w:r>
      <w:r>
        <w:rPr>
          <w:w w:val="105"/>
        </w:rPr>
        <w:t>million,</w:t>
      </w:r>
      <w:r>
        <w:rPr>
          <w:spacing w:val="-15"/>
          <w:w w:val="105"/>
        </w:rPr>
        <w:t> </w:t>
      </w:r>
      <w:r>
        <w:rPr>
          <w:w w:val="105"/>
        </w:rPr>
        <w:t>$371 million,</w:t>
      </w:r>
      <w:r>
        <w:rPr>
          <w:spacing w:val="-18"/>
          <w:w w:val="105"/>
        </w:rPr>
        <w:t> </w:t>
      </w:r>
      <w:r>
        <w:rPr>
          <w:w w:val="105"/>
        </w:rPr>
        <w:t>and</w:t>
      </w:r>
      <w:r>
        <w:rPr>
          <w:spacing w:val="-12"/>
          <w:w w:val="105"/>
        </w:rPr>
        <w:t> </w:t>
      </w:r>
      <w:r>
        <w:rPr>
          <w:w w:val="105"/>
        </w:rPr>
        <w:t>$359</w:t>
      </w:r>
      <w:r>
        <w:rPr>
          <w:spacing w:val="-12"/>
          <w:w w:val="105"/>
        </w:rPr>
        <w:t> </w:t>
      </w:r>
      <w:r>
        <w:rPr>
          <w:w w:val="105"/>
        </w:rPr>
        <w:t>million,</w:t>
      </w:r>
      <w:r>
        <w:rPr>
          <w:spacing w:val="-15"/>
          <w:w w:val="105"/>
        </w:rPr>
        <w:t> </w:t>
      </w:r>
      <w:r>
        <w:rPr>
          <w:w w:val="105"/>
        </w:rPr>
        <w:t>respectively.</w:t>
      </w:r>
      <w:r>
        <w:rPr>
          <w:spacing w:val="31"/>
          <w:w w:val="105"/>
        </w:rPr>
        <w:t> </w:t>
      </w:r>
      <w:r>
        <w:rPr>
          <w:spacing w:val="-2"/>
          <w:w w:val="105"/>
        </w:rPr>
        <w:t>The</w:t>
      </w:r>
      <w:r>
        <w:rPr>
          <w:spacing w:val="-17"/>
          <w:w w:val="105"/>
        </w:rPr>
        <w:t> </w:t>
      </w:r>
      <w:r>
        <w:rPr>
          <w:w w:val="105"/>
        </w:rPr>
        <w:t>majority</w:t>
      </w:r>
      <w:r>
        <w:rPr>
          <w:spacing w:val="-12"/>
          <w:w w:val="105"/>
        </w:rPr>
        <w:t> </w:t>
      </w:r>
      <w:r>
        <w:rPr>
          <w:w w:val="105"/>
        </w:rPr>
        <w:t>of</w:t>
      </w:r>
      <w:r>
        <w:rPr>
          <w:spacing w:val="-13"/>
          <w:w w:val="105"/>
        </w:rPr>
        <w:t> </w:t>
      </w:r>
      <w:r>
        <w:rPr>
          <w:w w:val="105"/>
        </w:rPr>
        <w:t>the</w:t>
      </w:r>
      <w:r>
        <w:rPr>
          <w:spacing w:val="-13"/>
          <w:w w:val="105"/>
        </w:rPr>
        <w:t> </w:t>
      </w:r>
      <w:r>
        <w:rPr>
          <w:spacing w:val="-3"/>
          <w:w w:val="105"/>
        </w:rPr>
        <w:t>Company's</w:t>
      </w:r>
      <w:r>
        <w:rPr>
          <w:spacing w:val="-12"/>
          <w:w w:val="105"/>
        </w:rPr>
        <w:t> </w:t>
      </w:r>
      <w:r>
        <w:rPr>
          <w:w w:val="105"/>
        </w:rPr>
        <w:t>terminal</w:t>
      </w:r>
      <w:r>
        <w:rPr>
          <w:spacing w:val="-16"/>
          <w:w w:val="105"/>
        </w:rPr>
        <w:t> </w:t>
      </w:r>
      <w:r>
        <w:rPr>
          <w:w w:val="105"/>
        </w:rPr>
        <w:t>operations</w:t>
      </w:r>
      <w:r>
        <w:rPr>
          <w:spacing w:val="-12"/>
          <w:w w:val="105"/>
        </w:rPr>
        <w:t> </w:t>
      </w:r>
      <w:r>
        <w:rPr>
          <w:w w:val="105"/>
        </w:rPr>
        <w:t>space,</w:t>
      </w:r>
      <w:r>
        <w:rPr>
          <w:spacing w:val="-15"/>
          <w:w w:val="105"/>
        </w:rPr>
        <w:t> </w:t>
      </w:r>
      <w:r>
        <w:rPr>
          <w:spacing w:val="-3"/>
          <w:w w:val="105"/>
        </w:rPr>
        <w:t>as</w:t>
      </w:r>
      <w:r>
        <w:rPr>
          <w:spacing w:val="-8"/>
          <w:w w:val="105"/>
        </w:rPr>
        <w:t> </w:t>
      </w:r>
      <w:r>
        <w:rPr>
          <w:spacing w:val="-3"/>
          <w:w w:val="105"/>
        </w:rPr>
        <w:t>well</w:t>
      </w:r>
      <w:r>
        <w:rPr>
          <w:spacing w:val="-12"/>
          <w:w w:val="105"/>
        </w:rPr>
        <w:t> </w:t>
      </w:r>
      <w:r>
        <w:rPr>
          <w:spacing w:val="-3"/>
          <w:w w:val="105"/>
        </w:rPr>
        <w:t>as</w:t>
      </w:r>
      <w:r>
        <w:rPr>
          <w:spacing w:val="-12"/>
          <w:w w:val="105"/>
        </w:rPr>
        <w:t> </w:t>
      </w:r>
      <w:r>
        <w:rPr>
          <w:spacing w:val="-3"/>
          <w:w w:val="105"/>
        </w:rPr>
        <w:t>89 aircraft, </w:t>
      </w:r>
      <w:r>
        <w:rPr>
          <w:w w:val="105"/>
        </w:rPr>
        <w:t>were under operating leases </w:t>
      </w:r>
      <w:r>
        <w:rPr>
          <w:spacing w:val="-3"/>
          <w:w w:val="105"/>
        </w:rPr>
        <w:t>at December </w:t>
      </w:r>
      <w:r>
        <w:rPr>
          <w:w w:val="105"/>
        </w:rPr>
        <w:t>31, 2003. </w:t>
      </w:r>
      <w:r>
        <w:rPr>
          <w:spacing w:val="-3"/>
          <w:w w:val="105"/>
        </w:rPr>
        <w:t>Future </w:t>
      </w:r>
      <w:r>
        <w:rPr>
          <w:w w:val="105"/>
        </w:rPr>
        <w:t>minimum lease payments under capital leases</w:t>
      </w:r>
      <w:r>
        <w:rPr>
          <w:spacing w:val="-8"/>
          <w:w w:val="105"/>
        </w:rPr>
        <w:t> </w:t>
      </w:r>
      <w:r>
        <w:rPr>
          <w:spacing w:val="-3"/>
          <w:w w:val="105"/>
        </w:rPr>
        <w:t>and</w:t>
      </w:r>
      <w:r>
        <w:rPr>
          <w:spacing w:val="-8"/>
          <w:w w:val="105"/>
        </w:rPr>
        <w:t> </w:t>
      </w:r>
      <w:r>
        <w:rPr>
          <w:w w:val="105"/>
        </w:rPr>
        <w:t>noncancelable</w:t>
      </w:r>
      <w:r>
        <w:rPr>
          <w:spacing w:val="-13"/>
          <w:w w:val="105"/>
        </w:rPr>
        <w:t> </w:t>
      </w:r>
      <w:r>
        <w:rPr>
          <w:w w:val="105"/>
        </w:rPr>
        <w:t>operating</w:t>
      </w:r>
      <w:r>
        <w:rPr>
          <w:spacing w:val="-8"/>
          <w:w w:val="105"/>
        </w:rPr>
        <w:t> </w:t>
      </w:r>
      <w:r>
        <w:rPr>
          <w:w w:val="105"/>
        </w:rPr>
        <w:t>leases</w:t>
      </w:r>
      <w:r>
        <w:rPr>
          <w:spacing w:val="-12"/>
          <w:w w:val="105"/>
        </w:rPr>
        <w:t> </w:t>
      </w:r>
      <w:r>
        <w:rPr>
          <w:spacing w:val="-3"/>
          <w:w w:val="105"/>
        </w:rPr>
        <w:t>with</w:t>
      </w:r>
      <w:r>
        <w:rPr>
          <w:spacing w:val="-8"/>
          <w:w w:val="105"/>
        </w:rPr>
        <w:t> </w:t>
      </w:r>
      <w:r>
        <w:rPr>
          <w:w w:val="105"/>
        </w:rPr>
        <w:t>initial</w:t>
      </w:r>
      <w:r>
        <w:rPr>
          <w:spacing w:val="-8"/>
          <w:w w:val="105"/>
        </w:rPr>
        <w:t> </w:t>
      </w:r>
      <w:r>
        <w:rPr>
          <w:w w:val="105"/>
        </w:rPr>
        <w:t>or</w:t>
      </w:r>
      <w:r>
        <w:rPr>
          <w:spacing w:val="-11"/>
          <w:w w:val="105"/>
        </w:rPr>
        <w:t> </w:t>
      </w:r>
      <w:r>
        <w:rPr>
          <w:w w:val="105"/>
        </w:rPr>
        <w:t>remaining</w:t>
      </w:r>
      <w:r>
        <w:rPr>
          <w:spacing w:val="-8"/>
          <w:w w:val="105"/>
        </w:rPr>
        <w:t> </w:t>
      </w:r>
      <w:r>
        <w:rPr>
          <w:spacing w:val="-3"/>
          <w:w w:val="105"/>
        </w:rPr>
        <w:t>terms</w:t>
      </w:r>
      <w:r>
        <w:rPr>
          <w:spacing w:val="-8"/>
          <w:w w:val="105"/>
        </w:rPr>
        <w:t> </w:t>
      </w:r>
      <w:r>
        <w:rPr>
          <w:w w:val="105"/>
        </w:rPr>
        <w:t>in</w:t>
      </w:r>
      <w:r>
        <w:rPr>
          <w:spacing w:val="-8"/>
          <w:w w:val="105"/>
        </w:rPr>
        <w:t> </w:t>
      </w:r>
      <w:r>
        <w:rPr>
          <w:w w:val="105"/>
        </w:rPr>
        <w:t>excess</w:t>
      </w:r>
      <w:r>
        <w:rPr>
          <w:spacing w:val="-8"/>
          <w:w w:val="105"/>
        </w:rPr>
        <w:t> </w:t>
      </w:r>
      <w:r>
        <w:rPr>
          <w:w w:val="105"/>
        </w:rPr>
        <w:t>of</w:t>
      </w:r>
      <w:r>
        <w:rPr>
          <w:spacing w:val="-13"/>
          <w:w w:val="105"/>
        </w:rPr>
        <w:t> </w:t>
      </w:r>
      <w:r>
        <w:rPr>
          <w:w w:val="105"/>
        </w:rPr>
        <w:t>one</w:t>
      </w:r>
      <w:r>
        <w:rPr>
          <w:spacing w:val="-10"/>
          <w:w w:val="105"/>
        </w:rPr>
        <w:t> </w:t>
      </w:r>
      <w:r>
        <w:rPr>
          <w:w w:val="105"/>
        </w:rPr>
        <w:t>year</w:t>
      </w:r>
      <w:r>
        <w:rPr>
          <w:spacing w:val="-11"/>
          <w:w w:val="105"/>
        </w:rPr>
        <w:t> </w:t>
      </w:r>
      <w:r>
        <w:rPr>
          <w:spacing w:val="-3"/>
          <w:w w:val="105"/>
        </w:rPr>
        <w:t>at</w:t>
      </w:r>
      <w:r>
        <w:rPr>
          <w:spacing w:val="-8"/>
          <w:w w:val="105"/>
        </w:rPr>
        <w:t> </w:t>
      </w:r>
      <w:r>
        <w:rPr>
          <w:spacing w:val="-3"/>
          <w:w w:val="105"/>
        </w:rPr>
        <w:t>December</w:t>
      </w:r>
      <w:r>
        <w:rPr>
          <w:spacing w:val="-11"/>
          <w:w w:val="105"/>
        </w:rPr>
        <w:t> </w:t>
      </w:r>
      <w:r>
        <w:rPr>
          <w:w w:val="105"/>
        </w:rPr>
        <w:t>31, 2003,</w:t>
      </w:r>
      <w:r>
        <w:rPr>
          <w:spacing w:val="-34"/>
          <w:w w:val="105"/>
        </w:rPr>
        <w:t> </w:t>
      </w:r>
      <w:r>
        <w:rPr>
          <w:spacing w:val="-3"/>
          <w:w w:val="105"/>
        </w:rPr>
        <w:t>were:</w:t>
      </w:r>
    </w:p>
    <w:p>
      <w:pPr>
        <w:spacing w:after="0" w:line="218" w:lineRule="auto"/>
        <w:jc w:val="both"/>
        <w:sectPr>
          <w:pgSz w:w="12240" w:h="15840"/>
          <w:pgMar w:top="1080" w:bottom="280" w:left="1180" w:right="1180"/>
        </w:sectPr>
      </w:pPr>
    </w:p>
    <w:p>
      <w:pPr>
        <w:pStyle w:val="BodyText"/>
        <w:spacing w:before="8"/>
        <w:rPr>
          <w:sz w:val="36"/>
        </w:rPr>
      </w:pPr>
    </w:p>
    <w:p>
      <w:pPr>
        <w:tabs>
          <w:tab w:pos="4805" w:val="left" w:leader="none"/>
        </w:tabs>
        <w:spacing w:line="225" w:lineRule="exact" w:before="0"/>
        <w:ind w:left="226" w:right="0" w:firstLine="0"/>
        <w:jc w:val="left"/>
        <w:rPr>
          <w:b/>
          <w:sz w:val="21"/>
        </w:rPr>
      </w:pPr>
      <w:r>
        <w:rPr>
          <w:spacing w:val="-3"/>
          <w:w w:val="105"/>
          <w:position w:val="5"/>
          <w:sz w:val="17"/>
        </w:rPr>
        <w:t>(In</w:t>
      </w:r>
      <w:r>
        <w:rPr>
          <w:spacing w:val="-4"/>
          <w:w w:val="105"/>
          <w:position w:val="5"/>
          <w:sz w:val="17"/>
        </w:rPr>
        <w:t> millions)</w:t>
        <w:tab/>
      </w:r>
      <w:r>
        <w:rPr>
          <w:b/>
          <w:spacing w:val="-3"/>
          <w:w w:val="105"/>
          <w:sz w:val="21"/>
        </w:rPr>
        <w:t>Capital</w:t>
      </w:r>
      <w:r>
        <w:rPr>
          <w:b/>
          <w:spacing w:val="-36"/>
          <w:w w:val="105"/>
          <w:sz w:val="21"/>
        </w:rPr>
        <w:t> </w:t>
      </w:r>
      <w:r>
        <w:rPr>
          <w:b/>
          <w:w w:val="105"/>
          <w:sz w:val="21"/>
        </w:rPr>
        <w:t>leases</w:t>
      </w:r>
    </w:p>
    <w:p>
      <w:pPr>
        <w:pStyle w:val="Heading2"/>
        <w:spacing w:line="220" w:lineRule="exact" w:before="234"/>
        <w:ind w:left="432" w:right="1235" w:hanging="207"/>
      </w:pPr>
      <w:r>
        <w:rPr>
          <w:b w:val="0"/>
        </w:rPr>
        <w:br w:type="column"/>
      </w:r>
      <w:r>
        <w:rPr/>
        <w:t>Operating </w:t>
      </w:r>
      <w:r>
        <w:rPr>
          <w:w w:val="105"/>
        </w:rPr>
        <w:t>leases</w:t>
      </w:r>
    </w:p>
    <w:p>
      <w:pPr>
        <w:spacing w:after="0" w:line="220" w:lineRule="exact"/>
        <w:sectPr>
          <w:type w:val="continuous"/>
          <w:pgSz w:w="12240" w:h="15840"/>
          <w:pgMar w:top="320" w:bottom="280" w:left="1180" w:right="1180"/>
          <w:cols w:num="2" w:equalWidth="0">
            <w:col w:w="6047" w:space="1431"/>
            <w:col w:w="2402"/>
          </w:cols>
        </w:sectPr>
      </w:pPr>
    </w:p>
    <w:p>
      <w:pPr>
        <w:pStyle w:val="BodyText"/>
        <w:tabs>
          <w:tab w:pos="4186" w:val="left" w:leader="none"/>
          <w:tab w:pos="6336" w:val="left" w:leader="none"/>
          <w:tab w:pos="7205" w:val="left" w:leader="none"/>
          <w:tab w:pos="8808" w:val="left" w:leader="none"/>
        </w:tabs>
        <w:spacing w:line="227" w:lineRule="exact"/>
        <w:ind w:left="226"/>
      </w:pPr>
      <w:r>
        <w:rPr/>
        <w:pict>
          <v:line style="position:absolute;mso-position-horizontal-relative:page;mso-position-vertical-relative:paragraph;z-index:-231928" from="64.320000pt,-21.635792pt" to="523.440000pt,-21.635792pt" stroked="true" strokeweight=".48001pt" strokecolor="#000000">
            <v:stroke dashstyle="solid"/>
            <w10:wrap type="none"/>
          </v:line>
        </w:pict>
      </w:r>
      <w:r>
        <w:rPr/>
        <w:pict>
          <v:line style="position:absolute;mso-position-horizontal-relative:page;mso-position-vertical-relative:paragraph;z-index:-231904" from="64.320000pt,.684224pt" to="523.440000pt,.684224pt" stroked="true" strokeweight=".47998pt" strokecolor="#000000">
            <v:stroke dashstyle="solid"/>
            <w10:wrap type="none"/>
          </v:line>
        </w:pict>
      </w:r>
      <w:r>
        <w:rPr>
          <w:w w:val="105"/>
        </w:rPr>
        <w:t>2004</w:t>
        <w:tab/>
        <w:t>$</w:t>
        <w:tab/>
        <w:t>18</w:t>
        <w:tab/>
        <w:t>$</w:t>
        <w:tab/>
        <w:t>283</w:t>
      </w:r>
    </w:p>
    <w:p>
      <w:pPr>
        <w:pStyle w:val="BodyText"/>
        <w:tabs>
          <w:tab w:pos="6451" w:val="left" w:leader="none"/>
          <w:tab w:pos="8866" w:val="left" w:leader="none"/>
        </w:tabs>
        <w:spacing w:before="123"/>
        <w:ind w:left="226"/>
      </w:pPr>
      <w:r>
        <w:rPr>
          <w:w w:val="105"/>
        </w:rPr>
        <w:t>2005</w:t>
        <w:tab/>
        <w:t>24</w:t>
        <w:tab/>
        <w:t>273</w:t>
      </w:r>
    </w:p>
    <w:p>
      <w:pPr>
        <w:pStyle w:val="BodyText"/>
        <w:tabs>
          <w:tab w:pos="6451" w:val="left" w:leader="none"/>
          <w:tab w:pos="8866" w:val="left" w:leader="none"/>
        </w:tabs>
        <w:spacing w:before="118"/>
        <w:ind w:left="226"/>
      </w:pPr>
      <w:r>
        <w:rPr>
          <w:w w:val="105"/>
        </w:rPr>
        <w:t>2006</w:t>
        <w:tab/>
        <w:t>14</w:t>
        <w:tab/>
        <w:t>219</w:t>
      </w:r>
    </w:p>
    <w:p>
      <w:pPr>
        <w:pStyle w:val="BodyText"/>
        <w:tabs>
          <w:tab w:pos="6451" w:val="left" w:leader="none"/>
          <w:tab w:pos="8866" w:val="left" w:leader="none"/>
        </w:tabs>
        <w:spacing w:before="118"/>
        <w:ind w:left="226"/>
      </w:pPr>
      <w:r>
        <w:rPr>
          <w:w w:val="105"/>
        </w:rPr>
        <w:t>2007</w:t>
        <w:tab/>
        <w:t>16</w:t>
        <w:tab/>
        <w:t>202</w:t>
      </w:r>
    </w:p>
    <w:p>
      <w:pPr>
        <w:pStyle w:val="BodyText"/>
        <w:tabs>
          <w:tab w:pos="6451" w:val="left" w:leader="none"/>
          <w:tab w:pos="8866" w:val="left" w:leader="none"/>
        </w:tabs>
        <w:spacing w:before="118"/>
        <w:ind w:left="226"/>
      </w:pPr>
      <w:r>
        <w:rPr>
          <w:w w:val="105"/>
        </w:rPr>
        <w:t>2008</w:t>
        <w:tab/>
        <w:t>13</w:t>
        <w:tab/>
        <w:t>190</w:t>
      </w:r>
    </w:p>
    <w:p>
      <w:pPr>
        <w:pStyle w:val="BodyText"/>
        <w:tabs>
          <w:tab w:pos="6451" w:val="left" w:leader="none"/>
          <w:tab w:pos="8707" w:val="left" w:leader="none"/>
        </w:tabs>
        <w:spacing w:before="118"/>
        <w:ind w:left="226"/>
      </w:pPr>
      <w:r>
        <w:rPr>
          <w:spacing w:val="-3"/>
          <w:w w:val="105"/>
        </w:rPr>
        <w:t>After</w:t>
      </w:r>
      <w:r>
        <w:rPr>
          <w:spacing w:val="-18"/>
          <w:w w:val="105"/>
        </w:rPr>
        <w:t> </w:t>
      </w:r>
      <w:r>
        <w:rPr>
          <w:w w:val="105"/>
        </w:rPr>
        <w:t>2008</w:t>
        <w:tab/>
        <w:t>39</w:t>
        <w:tab/>
        <w:t>1,328</w:t>
      </w:r>
    </w:p>
    <w:p>
      <w:pPr>
        <w:pStyle w:val="BodyText"/>
        <w:spacing w:before="8"/>
        <w:rPr>
          <w:sz w:val="9"/>
        </w:rPr>
      </w:pPr>
      <w:r>
        <w:rPr/>
        <w:pict>
          <v:line style="position:absolute;mso-position-horizontal-relative:page;mso-position-vertical-relative:paragraph;z-index:6400;mso-wrap-distance-left:0;mso-wrap-distance-right:0" from="262.320007pt,7.791276pt" to="397.440007pt,7.791276pt" stroked="true" strokeweight=".47998pt" strokecolor="#000000">
            <v:stroke dashstyle="solid"/>
            <w10:wrap type="topAndBottom"/>
          </v:line>
        </w:pict>
      </w:r>
      <w:r>
        <w:rPr/>
        <w:pict>
          <v:line style="position:absolute;mso-position-horizontal-relative:page;mso-position-vertical-relative:paragraph;z-index:6424;mso-wrap-distance-left:0;mso-wrap-distance-right:0" from="410.880005pt,7.791276pt" to="523.440005pt,7.791276pt" stroked="true" strokeweight=".47998pt" strokecolor="#000000">
            <v:stroke dashstyle="solid"/>
            <w10:wrap type="topAndBottom"/>
          </v:line>
        </w:pict>
      </w:r>
    </w:p>
    <w:p>
      <w:pPr>
        <w:pStyle w:val="BodyText"/>
        <w:tabs>
          <w:tab w:pos="6346" w:val="left" w:leader="none"/>
          <w:tab w:pos="7205" w:val="left" w:leader="none"/>
          <w:tab w:pos="8660" w:val="left" w:leader="none"/>
        </w:tabs>
        <w:ind w:left="226"/>
      </w:pPr>
      <w:r>
        <w:rPr>
          <w:w w:val="105"/>
        </w:rPr>
        <w:t>Total</w:t>
      </w:r>
      <w:r>
        <w:rPr>
          <w:spacing w:val="-22"/>
          <w:w w:val="105"/>
        </w:rPr>
        <w:t> </w:t>
      </w:r>
      <w:r>
        <w:rPr>
          <w:w w:val="105"/>
        </w:rPr>
        <w:t>minimum</w:t>
      </w:r>
      <w:r>
        <w:rPr>
          <w:spacing w:val="-24"/>
          <w:w w:val="105"/>
        </w:rPr>
        <w:t> </w:t>
      </w:r>
      <w:r>
        <w:rPr>
          <w:w w:val="105"/>
        </w:rPr>
        <w:t>lease</w:t>
      </w:r>
      <w:r>
        <w:rPr>
          <w:spacing w:val="-21"/>
          <w:w w:val="105"/>
        </w:rPr>
        <w:t> </w:t>
      </w:r>
      <w:r>
        <w:rPr>
          <w:spacing w:val="-3"/>
          <w:w w:val="105"/>
        </w:rPr>
        <w:t>payments</w:t>
        <w:tab/>
      </w:r>
      <w:r>
        <w:rPr>
          <w:w w:val="105"/>
        </w:rPr>
        <w:t>124</w:t>
        <w:tab/>
        <w:t>$</w:t>
        <w:tab/>
        <w:t>2,495</w:t>
      </w:r>
    </w:p>
    <w:p>
      <w:pPr>
        <w:pStyle w:val="BodyText"/>
        <w:tabs>
          <w:tab w:pos="6452" w:val="left" w:leader="none"/>
        </w:tabs>
        <w:spacing w:before="224"/>
        <w:ind w:left="226"/>
      </w:pPr>
      <w:r>
        <w:rPr/>
        <w:pict>
          <v:line style="position:absolute;mso-position-horizontal-relative:page;mso-position-vertical-relative:paragraph;z-index:6520" from="410.880005pt,12.122791pt" to="523.440005pt,12.122791pt" stroked="true" strokeweight="1.4399pt" strokecolor="#000000">
            <v:stroke dashstyle="solid"/>
            <w10:wrap type="none"/>
          </v:line>
        </w:pict>
      </w:r>
      <w:r>
        <w:rPr>
          <w:spacing w:val="-3"/>
          <w:w w:val="105"/>
        </w:rPr>
        <w:t>Less</w:t>
      </w:r>
      <w:r>
        <w:rPr>
          <w:spacing w:val="-25"/>
          <w:w w:val="105"/>
        </w:rPr>
        <w:t> </w:t>
      </w:r>
      <w:r>
        <w:rPr>
          <w:w w:val="105"/>
        </w:rPr>
        <w:t>amount</w:t>
      </w:r>
      <w:r>
        <w:rPr>
          <w:spacing w:val="-25"/>
          <w:w w:val="105"/>
        </w:rPr>
        <w:t> </w:t>
      </w:r>
      <w:r>
        <w:rPr>
          <w:w w:val="105"/>
        </w:rPr>
        <w:t>representing</w:t>
      </w:r>
      <w:r>
        <w:rPr>
          <w:spacing w:val="-28"/>
          <w:w w:val="105"/>
        </w:rPr>
        <w:t> </w:t>
      </w:r>
      <w:r>
        <w:rPr>
          <w:w w:val="105"/>
        </w:rPr>
        <w:t>interest</w:t>
        <w:tab/>
      </w:r>
      <w:r>
        <w:rPr>
          <w:spacing w:val="-3"/>
          <w:w w:val="105"/>
        </w:rPr>
        <w:t>33</w:t>
      </w:r>
    </w:p>
    <w:p>
      <w:pPr>
        <w:pStyle w:val="BodyText"/>
        <w:spacing w:line="229" w:lineRule="exact" w:before="133"/>
        <w:ind w:left="226"/>
      </w:pPr>
      <w:r>
        <w:rPr/>
        <w:pict>
          <v:line style="position:absolute;mso-position-horizontal-relative:page;mso-position-vertical-relative:paragraph;z-index:6544" from="262.320007pt,8.052751pt" to="397.440007pt,8.052751pt" stroked="true" strokeweight=".47998pt" strokecolor="#000000">
            <v:stroke dashstyle="solid"/>
            <w10:wrap type="none"/>
          </v:line>
        </w:pict>
      </w:r>
      <w:r>
        <w:rPr>
          <w:w w:val="105"/>
        </w:rPr>
        <w:t>Present value of minimum</w:t>
      </w:r>
    </w:p>
    <w:p>
      <w:pPr>
        <w:pStyle w:val="BodyText"/>
        <w:tabs>
          <w:tab w:pos="6452" w:val="left" w:leader="none"/>
        </w:tabs>
        <w:spacing w:line="229" w:lineRule="exact"/>
        <w:ind w:left="475"/>
      </w:pPr>
      <w:r>
        <w:rPr>
          <w:spacing w:val="-3"/>
          <w:w w:val="105"/>
        </w:rPr>
        <w:t>lease</w:t>
      </w:r>
      <w:r>
        <w:rPr>
          <w:spacing w:val="-18"/>
          <w:w w:val="105"/>
        </w:rPr>
        <w:t> </w:t>
      </w:r>
      <w:r>
        <w:rPr>
          <w:w w:val="105"/>
        </w:rPr>
        <w:t>payments</w:t>
        <w:tab/>
        <w:t>91</w:t>
      </w:r>
    </w:p>
    <w:p>
      <w:pPr>
        <w:pStyle w:val="BodyText"/>
        <w:tabs>
          <w:tab w:pos="6452" w:val="left" w:leader="none"/>
        </w:tabs>
        <w:spacing w:before="200"/>
        <w:ind w:left="226"/>
      </w:pPr>
      <w:r>
        <w:rPr>
          <w:spacing w:val="-3"/>
          <w:w w:val="105"/>
        </w:rPr>
        <w:t>Less</w:t>
      </w:r>
      <w:r>
        <w:rPr>
          <w:spacing w:val="-15"/>
          <w:w w:val="105"/>
        </w:rPr>
        <w:t> </w:t>
      </w:r>
      <w:r>
        <w:rPr>
          <w:spacing w:val="-3"/>
          <w:w w:val="105"/>
        </w:rPr>
        <w:t>current</w:t>
      </w:r>
      <w:r>
        <w:rPr>
          <w:spacing w:val="-15"/>
          <w:w w:val="105"/>
        </w:rPr>
        <w:t> </w:t>
      </w:r>
      <w:r>
        <w:rPr>
          <w:w w:val="105"/>
        </w:rPr>
        <w:t>portion</w:t>
        <w:tab/>
        <w:t>10</w:t>
      </w:r>
    </w:p>
    <w:p>
      <w:pPr>
        <w:pStyle w:val="BodyText"/>
        <w:tabs>
          <w:tab w:pos="4186" w:val="left" w:leader="none"/>
          <w:tab w:pos="6336" w:val="left" w:leader="none"/>
        </w:tabs>
        <w:spacing w:before="147"/>
        <w:ind w:left="226"/>
      </w:pPr>
      <w:r>
        <w:rPr/>
        <w:pict>
          <v:group style="position:absolute;margin-left:262.070007pt;margin-top:7.542743pt;width:135.65pt;height:1.5pt;mso-position-horizontal-relative:page;mso-position-vertical-relative:paragraph;z-index:-231832" coordorigin="5241,151" coordsize="2713,30">
            <v:line style="position:absolute" from="5246,156" to="7949,156" stroked="true" strokeweight=".47998pt" strokecolor="#000000">
              <v:stroke dashstyle="solid"/>
            </v:line>
            <v:line style="position:absolute" from="5246,175" to="7949,175" stroked="true" strokeweight=".48004pt" strokecolor="#000000">
              <v:stroke dashstyle="solid"/>
            </v:line>
            <w10:wrap type="none"/>
          </v:group>
        </w:pict>
      </w:r>
      <w:r>
        <w:rPr>
          <w:spacing w:val="-3"/>
          <w:w w:val="105"/>
        </w:rPr>
        <w:t>Long-term</w:t>
      </w:r>
      <w:r>
        <w:rPr>
          <w:spacing w:val="-17"/>
          <w:w w:val="105"/>
        </w:rPr>
        <w:t> </w:t>
      </w:r>
      <w:r>
        <w:rPr>
          <w:w w:val="105"/>
        </w:rPr>
        <w:t>portion</w:t>
        <w:tab/>
      </w:r>
      <w:r>
        <w:rPr>
          <w:w w:val="105"/>
          <w:position w:val="-5"/>
        </w:rPr>
        <w:t>$</w:t>
        <w:tab/>
        <w:t>81</w:t>
      </w:r>
    </w:p>
    <w:p>
      <w:pPr>
        <w:pStyle w:val="BodyText"/>
        <w:spacing w:line="220" w:lineRule="exact" w:before="299"/>
        <w:ind w:left="115" w:right="107"/>
        <w:jc w:val="both"/>
      </w:pPr>
      <w:r>
        <w:rPr>
          <w:spacing w:val="-2"/>
          <w:w w:val="105"/>
        </w:rPr>
        <w:t>The </w:t>
      </w:r>
      <w:r>
        <w:rPr>
          <w:spacing w:val="-3"/>
          <w:w w:val="105"/>
        </w:rPr>
        <w:t>aircraft </w:t>
      </w:r>
      <w:r>
        <w:rPr>
          <w:w w:val="105"/>
        </w:rPr>
        <w:t>leases generally can be </w:t>
      </w:r>
      <w:r>
        <w:rPr>
          <w:spacing w:val="-3"/>
          <w:w w:val="105"/>
        </w:rPr>
        <w:t>renewed at </w:t>
      </w:r>
      <w:r>
        <w:rPr>
          <w:w w:val="105"/>
        </w:rPr>
        <w:t>rates based on fair </w:t>
      </w:r>
      <w:r>
        <w:rPr>
          <w:spacing w:val="-3"/>
          <w:w w:val="105"/>
        </w:rPr>
        <w:t>market </w:t>
      </w:r>
      <w:r>
        <w:rPr>
          <w:w w:val="105"/>
        </w:rPr>
        <w:t>value at the end of the lease term for one to five </w:t>
      </w:r>
      <w:r>
        <w:rPr>
          <w:spacing w:val="-3"/>
          <w:w w:val="105"/>
        </w:rPr>
        <w:t>years. </w:t>
      </w:r>
      <w:r>
        <w:rPr>
          <w:w w:val="105"/>
        </w:rPr>
        <w:t>Most </w:t>
      </w:r>
      <w:r>
        <w:rPr>
          <w:spacing w:val="-3"/>
          <w:w w:val="105"/>
        </w:rPr>
        <w:t>aircraft </w:t>
      </w:r>
      <w:r>
        <w:rPr>
          <w:w w:val="105"/>
        </w:rPr>
        <w:t>leases have purchase options </w:t>
      </w:r>
      <w:r>
        <w:rPr>
          <w:spacing w:val="-3"/>
          <w:w w:val="105"/>
        </w:rPr>
        <w:t>at </w:t>
      </w:r>
      <w:r>
        <w:rPr>
          <w:w w:val="105"/>
        </w:rPr>
        <w:t>or near the end of the lease term </w:t>
      </w:r>
      <w:r>
        <w:rPr>
          <w:spacing w:val="-3"/>
          <w:w w:val="105"/>
        </w:rPr>
        <w:t>at </w:t>
      </w:r>
      <w:r>
        <w:rPr>
          <w:w w:val="105"/>
        </w:rPr>
        <w:t>fair </w:t>
      </w:r>
      <w:r>
        <w:rPr>
          <w:spacing w:val="-3"/>
          <w:w w:val="105"/>
        </w:rPr>
        <w:t>market </w:t>
      </w:r>
      <w:r>
        <w:rPr>
          <w:w w:val="105"/>
        </w:rPr>
        <w:t>value, generally limited to a stated </w:t>
      </w:r>
      <w:r>
        <w:rPr>
          <w:spacing w:val="-3"/>
          <w:w w:val="105"/>
        </w:rPr>
        <w:t>percentage </w:t>
      </w:r>
      <w:r>
        <w:rPr>
          <w:w w:val="105"/>
        </w:rPr>
        <w:t>of the </w:t>
      </w:r>
      <w:r>
        <w:rPr>
          <w:spacing w:val="-3"/>
          <w:w w:val="105"/>
        </w:rPr>
        <w:t>lessor's </w:t>
      </w:r>
      <w:r>
        <w:rPr>
          <w:w w:val="105"/>
        </w:rPr>
        <w:t>defined cost of the </w:t>
      </w:r>
      <w:r>
        <w:rPr>
          <w:spacing w:val="-3"/>
          <w:w w:val="105"/>
        </w:rPr>
        <w:t>aircraft.</w:t>
      </w:r>
    </w:p>
    <w:p>
      <w:pPr>
        <w:spacing w:after="0" w:line="220" w:lineRule="exact"/>
        <w:jc w:val="both"/>
        <w:sectPr>
          <w:type w:val="continuous"/>
          <w:pgSz w:w="12240" w:h="15840"/>
          <w:pgMar w:top="320" w:bottom="280" w:left="1180" w:right="1180"/>
        </w:sectPr>
      </w:pPr>
    </w:p>
    <w:p>
      <w:pPr>
        <w:pStyle w:val="Heading2"/>
        <w:numPr>
          <w:ilvl w:val="0"/>
          <w:numId w:val="5"/>
        </w:numPr>
        <w:tabs>
          <w:tab w:pos="376" w:val="left" w:leader="none"/>
        </w:tabs>
        <w:spacing w:line="240" w:lineRule="auto" w:before="96" w:after="0"/>
        <w:ind w:left="375" w:right="0" w:hanging="259"/>
        <w:jc w:val="both"/>
      </w:pPr>
      <w:bookmarkStart w:name="Consolidation of Reservations Centers" w:id="51"/>
      <w:bookmarkEnd w:id="51"/>
      <w:r>
        <w:rPr>
          <w:b w:val="0"/>
        </w:rPr>
      </w:r>
      <w:bookmarkStart w:name="Consolidation of Reservations Centers" w:id="52"/>
      <w:bookmarkEnd w:id="52"/>
      <w:r>
        <w:rPr>
          <w:color w:val="0000FF"/>
          <w:spacing w:val="-4"/>
          <w:w w:val="105"/>
        </w:rPr>
        <w:t>C</w:t>
      </w:r>
      <w:r>
        <w:rPr>
          <w:color w:val="0000FF"/>
          <w:spacing w:val="-4"/>
          <w:w w:val="105"/>
        </w:rPr>
        <w:t>ONSOLIDATION</w:t>
      </w:r>
      <w:r>
        <w:rPr>
          <w:color w:val="0000FF"/>
          <w:spacing w:val="-37"/>
          <w:w w:val="105"/>
        </w:rPr>
        <w:t> </w:t>
      </w:r>
      <w:r>
        <w:rPr>
          <w:color w:val="0000FF"/>
          <w:spacing w:val="-3"/>
          <w:w w:val="105"/>
        </w:rPr>
        <w:t>OF</w:t>
      </w:r>
      <w:r>
        <w:rPr>
          <w:color w:val="0000FF"/>
          <w:spacing w:val="-37"/>
          <w:w w:val="105"/>
        </w:rPr>
        <w:t> </w:t>
      </w:r>
      <w:r>
        <w:rPr>
          <w:color w:val="0000FF"/>
          <w:spacing w:val="-5"/>
          <w:w w:val="105"/>
        </w:rPr>
        <w:t>RESERVATIONS</w:t>
      </w:r>
      <w:r>
        <w:rPr>
          <w:color w:val="0000FF"/>
          <w:spacing w:val="-36"/>
          <w:w w:val="105"/>
        </w:rPr>
        <w:t> </w:t>
      </w:r>
      <w:r>
        <w:rPr>
          <w:color w:val="0000FF"/>
          <w:spacing w:val="-5"/>
          <w:w w:val="105"/>
        </w:rPr>
        <w:t>CENTERS</w:t>
      </w:r>
    </w:p>
    <w:p>
      <w:pPr>
        <w:pStyle w:val="BodyText"/>
        <w:spacing w:line="218" w:lineRule="auto" w:before="217"/>
        <w:ind w:left="115" w:right="107"/>
        <w:jc w:val="both"/>
      </w:pPr>
      <w:r>
        <w:rPr>
          <w:w w:val="105"/>
        </w:rPr>
        <w:t>In November 2003, the Company announced the consolidation of its nine Reservations Centers into six, effective February 28, 2004. This decision was made in response to the established shift by Customers to the </w:t>
      </w:r>
      <w:r>
        <w:rPr>
          <w:spacing w:val="3"/>
          <w:w w:val="105"/>
        </w:rPr>
        <w:t>internet </w:t>
      </w:r>
      <w:r>
        <w:rPr>
          <w:w w:val="105"/>
        </w:rPr>
        <w:t>as a </w:t>
      </w:r>
      <w:r>
        <w:rPr>
          <w:spacing w:val="3"/>
          <w:w w:val="105"/>
        </w:rPr>
        <w:t>preferred </w:t>
      </w:r>
      <w:r>
        <w:rPr>
          <w:spacing w:val="2"/>
          <w:w w:val="105"/>
        </w:rPr>
        <w:t>way </w:t>
      </w:r>
      <w:r>
        <w:rPr>
          <w:w w:val="105"/>
        </w:rPr>
        <w:t>of </w:t>
      </w:r>
      <w:r>
        <w:rPr>
          <w:spacing w:val="3"/>
          <w:w w:val="105"/>
        </w:rPr>
        <w:t>booking travel. </w:t>
      </w:r>
      <w:r>
        <w:rPr>
          <w:spacing w:val="2"/>
          <w:w w:val="105"/>
        </w:rPr>
        <w:t>The </w:t>
      </w:r>
      <w:r>
        <w:rPr>
          <w:spacing w:val="3"/>
          <w:w w:val="105"/>
        </w:rPr>
        <w:t>Company’s website, </w:t>
      </w:r>
      <w:hyperlink r:id="rId47">
        <w:r>
          <w:rPr>
            <w:spacing w:val="3"/>
            <w:w w:val="105"/>
          </w:rPr>
          <w:t>www.southwest.com,</w:t>
        </w:r>
      </w:hyperlink>
      <w:r>
        <w:rPr>
          <w:spacing w:val="3"/>
          <w:w w:val="105"/>
        </w:rPr>
        <w:t> </w:t>
      </w:r>
      <w:r>
        <w:rPr>
          <w:w w:val="105"/>
        </w:rPr>
        <w:t>is </w:t>
      </w:r>
      <w:r>
        <w:rPr>
          <w:spacing w:val="3"/>
          <w:w w:val="105"/>
        </w:rPr>
        <w:t>now </w:t>
      </w:r>
      <w:r>
        <w:rPr>
          <w:spacing w:val="2"/>
          <w:w w:val="105"/>
        </w:rPr>
        <w:t>responsible </w:t>
      </w:r>
      <w:r>
        <w:rPr>
          <w:w w:val="105"/>
        </w:rPr>
        <w:t>for </w:t>
      </w:r>
      <w:r>
        <w:rPr>
          <w:spacing w:val="2"/>
          <w:w w:val="105"/>
        </w:rPr>
        <w:t>more than half </w:t>
      </w:r>
      <w:r>
        <w:rPr>
          <w:w w:val="105"/>
        </w:rPr>
        <w:t>of </w:t>
      </w:r>
      <w:r>
        <w:rPr>
          <w:spacing w:val="2"/>
          <w:w w:val="105"/>
        </w:rPr>
        <w:t>ticket bookings and, </w:t>
      </w:r>
      <w:r>
        <w:rPr>
          <w:w w:val="105"/>
        </w:rPr>
        <w:t>as a </w:t>
      </w:r>
      <w:r>
        <w:rPr>
          <w:spacing w:val="2"/>
          <w:w w:val="105"/>
        </w:rPr>
        <w:t>consequence, demand </w:t>
      </w:r>
      <w:r>
        <w:rPr>
          <w:w w:val="105"/>
        </w:rPr>
        <w:t>for </w:t>
      </w:r>
      <w:r>
        <w:rPr>
          <w:spacing w:val="2"/>
          <w:w w:val="105"/>
        </w:rPr>
        <w:t>phone contact </w:t>
      </w:r>
      <w:r>
        <w:rPr>
          <w:spacing w:val="3"/>
          <w:w w:val="105"/>
        </w:rPr>
        <w:t>has </w:t>
      </w:r>
      <w:r>
        <w:rPr>
          <w:w w:val="105"/>
        </w:rPr>
        <w:t>dramatically decreased. The Company will close its Reservations Centers located in Dallas, Texas, Salt Lake </w:t>
      </w:r>
      <w:r>
        <w:rPr>
          <w:spacing w:val="2"/>
          <w:w w:val="105"/>
        </w:rPr>
        <w:t>City, Utah, </w:t>
      </w:r>
      <w:r>
        <w:rPr>
          <w:w w:val="105"/>
        </w:rPr>
        <w:t>and </w:t>
      </w:r>
      <w:r>
        <w:rPr>
          <w:spacing w:val="2"/>
          <w:w w:val="105"/>
        </w:rPr>
        <w:t>Little Rock, Arkansas. </w:t>
      </w:r>
      <w:r>
        <w:rPr>
          <w:w w:val="105"/>
        </w:rPr>
        <w:t>The </w:t>
      </w:r>
      <w:r>
        <w:rPr>
          <w:spacing w:val="2"/>
          <w:w w:val="105"/>
        </w:rPr>
        <w:t>Company </w:t>
      </w:r>
      <w:r>
        <w:rPr>
          <w:w w:val="105"/>
        </w:rPr>
        <w:t>is </w:t>
      </w:r>
      <w:r>
        <w:rPr>
          <w:spacing w:val="2"/>
          <w:w w:val="105"/>
        </w:rPr>
        <w:t>giving </w:t>
      </w:r>
      <w:r>
        <w:rPr>
          <w:w w:val="105"/>
        </w:rPr>
        <w:t>the </w:t>
      </w:r>
      <w:r>
        <w:rPr>
          <w:spacing w:val="2"/>
          <w:w w:val="105"/>
        </w:rPr>
        <w:t>1,900 affected Employees </w:t>
      </w:r>
      <w:r>
        <w:rPr>
          <w:w w:val="105"/>
        </w:rPr>
        <w:t>at </w:t>
      </w:r>
      <w:r>
        <w:rPr>
          <w:spacing w:val="3"/>
          <w:w w:val="105"/>
        </w:rPr>
        <w:t>these </w:t>
      </w:r>
      <w:r>
        <w:rPr>
          <w:w w:val="105"/>
        </w:rPr>
        <w:t>locations the opportunity to relocate to another of the Company’s remaining six centers. As of mid-January 2004, approximately 55 percent of these Employees had notified the Company that they would not relocate. Employees choosing to not relocate have been offered support packages, which include severance pay, flight benefits, medical coverage, and job-search assistance, depending on length of service with the Company.</w:t>
      </w:r>
      <w:r>
        <w:rPr>
          <w:spacing w:val="55"/>
          <w:w w:val="105"/>
        </w:rPr>
        <w:t> </w:t>
      </w:r>
      <w:r>
        <w:rPr>
          <w:w w:val="105"/>
        </w:rPr>
        <w:t>The costs associated with this decision, primarily related to Employee severance packages and relocation</w:t>
      </w:r>
      <w:r>
        <w:rPr>
          <w:spacing w:val="55"/>
          <w:w w:val="105"/>
        </w:rPr>
        <w:t> </w:t>
      </w:r>
      <w:r>
        <w:rPr>
          <w:w w:val="105"/>
        </w:rPr>
        <w:t>expenses,</w:t>
      </w:r>
      <w:r>
        <w:rPr>
          <w:spacing w:val="-14"/>
          <w:w w:val="105"/>
        </w:rPr>
        <w:t> </w:t>
      </w:r>
      <w:r>
        <w:rPr>
          <w:w w:val="105"/>
        </w:rPr>
        <w:t>will</w:t>
      </w:r>
      <w:r>
        <w:rPr>
          <w:spacing w:val="-14"/>
          <w:w w:val="105"/>
        </w:rPr>
        <w:t> </w:t>
      </w:r>
      <w:r>
        <w:rPr>
          <w:w w:val="105"/>
        </w:rPr>
        <w:t>be</w:t>
      </w:r>
      <w:r>
        <w:rPr>
          <w:spacing w:val="-14"/>
          <w:w w:val="105"/>
        </w:rPr>
        <w:t> </w:t>
      </w:r>
      <w:r>
        <w:rPr>
          <w:w w:val="105"/>
        </w:rPr>
        <w:t>recognized</w:t>
      </w:r>
      <w:r>
        <w:rPr>
          <w:spacing w:val="-14"/>
          <w:w w:val="105"/>
        </w:rPr>
        <w:t> </w:t>
      </w:r>
      <w:r>
        <w:rPr>
          <w:w w:val="105"/>
        </w:rPr>
        <w:t>primarily</w:t>
      </w:r>
      <w:r>
        <w:rPr>
          <w:spacing w:val="-14"/>
          <w:w w:val="105"/>
        </w:rPr>
        <w:t> </w:t>
      </w:r>
      <w:r>
        <w:rPr>
          <w:w w:val="105"/>
        </w:rPr>
        <w:t>in</w:t>
      </w:r>
      <w:r>
        <w:rPr>
          <w:spacing w:val="-14"/>
          <w:w w:val="105"/>
        </w:rPr>
        <w:t> </w:t>
      </w:r>
      <w:r>
        <w:rPr>
          <w:w w:val="105"/>
        </w:rPr>
        <w:t>first</w:t>
      </w:r>
      <w:r>
        <w:rPr>
          <w:spacing w:val="-14"/>
          <w:w w:val="105"/>
        </w:rPr>
        <w:t> </w:t>
      </w:r>
      <w:r>
        <w:rPr>
          <w:w w:val="105"/>
        </w:rPr>
        <w:t>quarter</w:t>
      </w:r>
      <w:r>
        <w:rPr>
          <w:spacing w:val="-14"/>
          <w:w w:val="105"/>
        </w:rPr>
        <w:t> </w:t>
      </w:r>
      <w:r>
        <w:rPr>
          <w:w w:val="105"/>
        </w:rPr>
        <w:t>2004,</w:t>
      </w:r>
      <w:r>
        <w:rPr>
          <w:spacing w:val="-14"/>
          <w:w w:val="105"/>
        </w:rPr>
        <w:t> </w:t>
      </w:r>
      <w:r>
        <w:rPr>
          <w:w w:val="105"/>
        </w:rPr>
        <w:t>in</w:t>
      </w:r>
      <w:r>
        <w:rPr>
          <w:spacing w:val="-14"/>
          <w:w w:val="105"/>
        </w:rPr>
        <w:t> </w:t>
      </w:r>
      <w:r>
        <w:rPr>
          <w:w w:val="105"/>
        </w:rPr>
        <w:t>accordance</w:t>
      </w:r>
      <w:r>
        <w:rPr>
          <w:spacing w:val="-14"/>
          <w:w w:val="105"/>
        </w:rPr>
        <w:t> </w:t>
      </w:r>
      <w:r>
        <w:rPr>
          <w:w w:val="105"/>
        </w:rPr>
        <w:t>with</w:t>
      </w:r>
      <w:r>
        <w:rPr>
          <w:spacing w:val="-14"/>
          <w:w w:val="105"/>
        </w:rPr>
        <w:t> </w:t>
      </w:r>
      <w:r>
        <w:rPr>
          <w:w w:val="105"/>
        </w:rPr>
        <w:t>SFAS</w:t>
      </w:r>
      <w:r>
        <w:rPr>
          <w:spacing w:val="-14"/>
          <w:w w:val="105"/>
        </w:rPr>
        <w:t> </w:t>
      </w:r>
      <w:r>
        <w:rPr>
          <w:w w:val="105"/>
        </w:rPr>
        <w:t>146.</w:t>
      </w:r>
    </w:p>
    <w:p>
      <w:pPr>
        <w:pStyle w:val="Heading2"/>
        <w:numPr>
          <w:ilvl w:val="0"/>
          <w:numId w:val="5"/>
        </w:numPr>
        <w:tabs>
          <w:tab w:pos="481" w:val="left" w:leader="none"/>
        </w:tabs>
        <w:spacing w:line="240" w:lineRule="auto" w:before="204" w:after="0"/>
        <w:ind w:left="480" w:right="0" w:hanging="364"/>
        <w:jc w:val="both"/>
      </w:pPr>
      <w:r>
        <w:rPr>
          <w:color w:val="0000FF"/>
          <w:spacing w:val="-5"/>
          <w:w w:val="105"/>
        </w:rPr>
        <w:t>DERIVATIVE</w:t>
      </w:r>
      <w:r>
        <w:rPr>
          <w:color w:val="0000FF"/>
          <w:spacing w:val="-37"/>
          <w:w w:val="105"/>
        </w:rPr>
        <w:t> </w:t>
      </w:r>
      <w:r>
        <w:rPr>
          <w:color w:val="0000FF"/>
          <w:spacing w:val="-4"/>
          <w:w w:val="105"/>
        </w:rPr>
        <w:t>AND</w:t>
      </w:r>
      <w:r>
        <w:rPr>
          <w:color w:val="0000FF"/>
          <w:spacing w:val="-38"/>
          <w:w w:val="105"/>
        </w:rPr>
        <w:t> </w:t>
      </w:r>
      <w:r>
        <w:rPr>
          <w:color w:val="0000FF"/>
          <w:spacing w:val="-5"/>
          <w:w w:val="105"/>
        </w:rPr>
        <w:t>FINANCIAL</w:t>
      </w:r>
      <w:r>
        <w:rPr>
          <w:color w:val="0000FF"/>
          <w:spacing w:val="-39"/>
          <w:w w:val="105"/>
        </w:rPr>
        <w:t> </w:t>
      </w:r>
      <w:r>
        <w:rPr>
          <w:color w:val="0000FF"/>
          <w:spacing w:val="-4"/>
          <w:w w:val="105"/>
        </w:rPr>
        <w:t>INSTRUMENTS</w:t>
      </w:r>
    </w:p>
    <w:p>
      <w:pPr>
        <w:pStyle w:val="BodyText"/>
        <w:spacing w:line="218" w:lineRule="auto" w:before="212"/>
        <w:ind w:left="115" w:right="105"/>
        <w:jc w:val="both"/>
      </w:pPr>
      <w:r>
        <w:rPr>
          <w:w w:val="105"/>
          <w:u w:val="single"/>
        </w:rPr>
        <w:t>Fuel contracts. </w:t>
      </w:r>
      <w:r>
        <w:rPr>
          <w:w w:val="105"/>
        </w:rPr>
        <w:t>- Airline operators are inherently dependent upon energy to operate and, therefore, are impacted by changes in jet fuel prices. Jet fuel and oil consumed in 2003, 2002, and 2001 represented approximately 15.2, 14.9 percent, and 15.6 percent of Southwest’s operating expenses, respectively. The Company endeavors to acquire jet fuel at the lowest possible cost. Because jet fuel is not traded on an organized futures exchange, liquidity for hedging is limited. However, the Company has found that both crude oil and heating oil contracts are effective commodities for hedging jet fuel. The Company has financial derivative instruments in the form of the types of hedges it utilizes to decrease its exposure to jet fuel price increases. The Company does not purchase or hold any derivative financial instruments for trading purposes.</w:t>
      </w:r>
    </w:p>
    <w:p>
      <w:pPr>
        <w:pStyle w:val="BodyText"/>
        <w:spacing w:line="218" w:lineRule="auto" w:before="221"/>
        <w:ind w:left="115" w:right="108"/>
        <w:jc w:val="both"/>
      </w:pPr>
      <w:r>
        <w:rPr>
          <w:w w:val="105"/>
        </w:rPr>
        <w:t>The Company utilizes financial derivative instruments for both short-term and long-term time frames when it appears the Company can take advantage of market conditions.  As of December 31, 2003, the Company had a mixture of purchased call options, collar structures, and fixed price swap agreements in place to hedge approximately 82 percent of its 2004 total anticipated jet fuel requirements, approximately 60 percent of its 2005 total anticipated jet fuel requirements, and portions of its 2006-2007 total anticipated jet fuel requirements. As of December 31, 2003, the majority of the Company's first quarter 2004 hedges are effectively heating oil-based positions in the form of option contracts. The majority of the remaining hedge positions are crude oil-based positions.</w:t>
      </w:r>
    </w:p>
    <w:p>
      <w:pPr>
        <w:pStyle w:val="BodyText"/>
        <w:spacing w:line="218" w:lineRule="auto" w:before="221"/>
        <w:ind w:left="115" w:right="105"/>
        <w:jc w:val="both"/>
      </w:pPr>
      <w:r>
        <w:rPr>
          <w:w w:val="105"/>
        </w:rPr>
        <w:t>During 2003, 2002, and 2001, the Company recognized gains in "Fuel and oil" expense of $171 million, $45 million, and $80 million, respectively, from hedging activities. At December 31, 2003 and 2002, approximately $19 million and $13 million, respectively, due from third parties from expired derivative contracts, is included in "Accounts and other receivables" in the accompanying Consolidated Balance Sheet. The Company accounts for its fuel hedge derivative instruments as cash flow hedges, as defined. Therefore, all changes in fair value that are considered to be effective are recorded in "Accumulated other comprehensive income (loss)" until the underlying jet fuel is consumed. The fair value of the Company's financial derivative instruments at December 31, 2003, was a net asset of approximately $251 million. The current portion of these financial derivative instruments is classified as "Fuel hedge contracts" and the long- term portion is classified as "Other assets" in the Consolidated Balance Sheet. The fair value of the derivative instruments, depending on the type of instrument, was determined by the use of present value methods or standard option value models with assumptions about commodity prices based on those observed in underlying markets.</w:t>
      </w:r>
    </w:p>
    <w:p>
      <w:pPr>
        <w:pStyle w:val="BodyText"/>
        <w:spacing w:line="216" w:lineRule="auto" w:before="223"/>
        <w:ind w:left="115" w:right="115"/>
        <w:jc w:val="both"/>
      </w:pPr>
      <w:r>
        <w:rPr>
          <w:w w:val="105"/>
        </w:rPr>
        <w:t>As of December 31, 2003, the Company had approximately $123 million in unrealized gains, net of tax, in "Accumulated other comprehensive income (loss)" related to fuel hedges. Included in this total are approximately $83 million in net unrealized gains that are expected to be realized in earnings during 2004.</w:t>
      </w:r>
    </w:p>
    <w:p>
      <w:pPr>
        <w:pStyle w:val="BodyText"/>
        <w:spacing w:line="218" w:lineRule="auto" w:before="222"/>
        <w:ind w:left="115" w:right="107"/>
        <w:jc w:val="both"/>
      </w:pPr>
      <w:r>
        <w:rPr>
          <w:w w:val="105"/>
          <w:u w:val="single"/>
        </w:rPr>
        <w:t>Interest Rate Swaps </w:t>
      </w:r>
      <w:r>
        <w:rPr>
          <w:w w:val="105"/>
        </w:rPr>
        <w:t>- During second quarter 2003, the Company entered into interest rate swap agreements relating to its $385 million 6.5% senior unsecured notes due March 1, 2012, and $375 million 5.496% Class A-2 pass-through certificates due November 1, 2006. Under the first interest rate swap agreement, the Company pays the London InterBank Offered Rate (LIBOR) plus a margin every six months and receives 6.5% every six months on a notional amount of $385 million until March 1, 2012. Under the second agreement, the Company pays LIBOR plus a margin every six months and receives 5.496% every six months on a notional amount of $375 million until November 1, 2006.</w:t>
      </w:r>
    </w:p>
    <w:p>
      <w:pPr>
        <w:spacing w:after="0" w:line="218" w:lineRule="auto"/>
        <w:jc w:val="both"/>
        <w:sectPr>
          <w:pgSz w:w="12240" w:h="15840"/>
          <w:pgMar w:top="1080" w:bottom="280" w:left="1180" w:right="1180"/>
        </w:sectPr>
      </w:pPr>
    </w:p>
    <w:p>
      <w:pPr>
        <w:pStyle w:val="BodyText"/>
        <w:spacing w:line="218" w:lineRule="auto" w:before="114"/>
        <w:ind w:left="115" w:right="106"/>
        <w:jc w:val="both"/>
      </w:pPr>
      <w:bookmarkStart w:name="Comprehensive Income" w:id="53"/>
      <w:bookmarkEnd w:id="53"/>
      <w:r>
        <w:rPr/>
      </w:r>
      <w:r>
        <w:rPr>
          <w:w w:val="105"/>
        </w:rPr>
        <w:t>The Company’s interest rate swap agreements qualify as fair value hedges, as defined by SFAS 133.  </w:t>
      </w:r>
      <w:r>
        <w:rPr>
          <w:spacing w:val="2"/>
          <w:w w:val="105"/>
        </w:rPr>
        <w:t>The  </w:t>
      </w:r>
      <w:r>
        <w:rPr>
          <w:w w:val="105"/>
        </w:rPr>
        <w:t>fair value of the interest rate swap agreements, which are adjusted regularly, are recorded in the Consolidated Balance Sheet, as necessary, with a corresponding adjustment to the carrying value of the long-term debt. The fair value of the interest rate swap agreements, excluding accrued interest, at December 31, 2003, was a </w:t>
      </w:r>
      <w:r>
        <w:rPr>
          <w:spacing w:val="3"/>
          <w:w w:val="105"/>
        </w:rPr>
        <w:t>liability </w:t>
      </w:r>
      <w:r>
        <w:rPr>
          <w:w w:val="105"/>
        </w:rPr>
        <w:t>of </w:t>
      </w:r>
      <w:r>
        <w:rPr>
          <w:spacing w:val="3"/>
          <w:w w:val="105"/>
        </w:rPr>
        <w:t>approximately </w:t>
      </w:r>
      <w:r>
        <w:rPr>
          <w:spacing w:val="2"/>
          <w:w w:val="105"/>
        </w:rPr>
        <w:t>$18 </w:t>
      </w:r>
      <w:r>
        <w:rPr>
          <w:spacing w:val="3"/>
          <w:w w:val="105"/>
        </w:rPr>
        <w:t>million. This amount </w:t>
      </w:r>
      <w:r>
        <w:rPr>
          <w:w w:val="105"/>
        </w:rPr>
        <w:t>is </w:t>
      </w:r>
      <w:r>
        <w:rPr>
          <w:spacing w:val="3"/>
          <w:w w:val="105"/>
        </w:rPr>
        <w:t>recorded </w:t>
      </w:r>
      <w:r>
        <w:rPr>
          <w:w w:val="105"/>
        </w:rPr>
        <w:t>in </w:t>
      </w:r>
      <w:r>
        <w:rPr>
          <w:spacing w:val="3"/>
          <w:w w:val="105"/>
        </w:rPr>
        <w:t>“Other deferred liabilities” </w:t>
      </w:r>
      <w:r>
        <w:rPr>
          <w:w w:val="105"/>
        </w:rPr>
        <w:t>in </w:t>
      </w:r>
      <w:r>
        <w:rPr>
          <w:spacing w:val="4"/>
          <w:w w:val="105"/>
        </w:rPr>
        <w:t>the </w:t>
      </w:r>
      <w:r>
        <w:rPr>
          <w:w w:val="105"/>
        </w:rPr>
        <w:t>Consolidated Balance Sheet. In accordance with fair value hedging, the offsetting entry is an adjustment to decrease</w:t>
      </w:r>
      <w:r>
        <w:rPr>
          <w:spacing w:val="-12"/>
          <w:w w:val="105"/>
        </w:rPr>
        <w:t> </w:t>
      </w:r>
      <w:r>
        <w:rPr>
          <w:w w:val="105"/>
        </w:rPr>
        <w:t>the</w:t>
      </w:r>
      <w:r>
        <w:rPr>
          <w:spacing w:val="-12"/>
          <w:w w:val="105"/>
        </w:rPr>
        <w:t> </w:t>
      </w:r>
      <w:r>
        <w:rPr>
          <w:w w:val="105"/>
        </w:rPr>
        <w:t>carrying</w:t>
      </w:r>
      <w:r>
        <w:rPr>
          <w:spacing w:val="-12"/>
          <w:w w:val="105"/>
        </w:rPr>
        <w:t> </w:t>
      </w:r>
      <w:r>
        <w:rPr>
          <w:w w:val="105"/>
        </w:rPr>
        <w:t>value</w:t>
      </w:r>
      <w:r>
        <w:rPr>
          <w:spacing w:val="-12"/>
          <w:w w:val="105"/>
        </w:rPr>
        <w:t> </w:t>
      </w:r>
      <w:r>
        <w:rPr>
          <w:w w:val="105"/>
        </w:rPr>
        <w:t>of</w:t>
      </w:r>
      <w:r>
        <w:rPr>
          <w:spacing w:val="-12"/>
          <w:w w:val="105"/>
        </w:rPr>
        <w:t> </w:t>
      </w:r>
      <w:r>
        <w:rPr>
          <w:w w:val="105"/>
        </w:rPr>
        <w:t>long-term</w:t>
      </w:r>
      <w:r>
        <w:rPr>
          <w:spacing w:val="-12"/>
          <w:w w:val="105"/>
        </w:rPr>
        <w:t> </w:t>
      </w:r>
      <w:r>
        <w:rPr>
          <w:w w:val="105"/>
        </w:rPr>
        <w:t>debt.</w:t>
      </w:r>
      <w:r>
        <w:rPr>
          <w:spacing w:val="32"/>
          <w:w w:val="105"/>
        </w:rPr>
        <w:t> </w:t>
      </w:r>
      <w:r>
        <w:rPr>
          <w:w w:val="105"/>
        </w:rPr>
        <w:t>See</w:t>
      </w:r>
      <w:r>
        <w:rPr>
          <w:spacing w:val="-12"/>
          <w:w w:val="105"/>
        </w:rPr>
        <w:t> </w:t>
      </w:r>
      <w:r>
        <w:rPr>
          <w:w w:val="105"/>
        </w:rPr>
        <w:t>Note</w:t>
      </w:r>
      <w:r>
        <w:rPr>
          <w:spacing w:val="-12"/>
          <w:w w:val="105"/>
        </w:rPr>
        <w:t> </w:t>
      </w:r>
      <w:r>
        <w:rPr>
          <w:w w:val="105"/>
        </w:rPr>
        <w:t>7.</w:t>
      </w:r>
    </w:p>
    <w:p>
      <w:pPr>
        <w:pStyle w:val="BodyText"/>
        <w:spacing w:line="218" w:lineRule="auto" w:before="221"/>
        <w:ind w:left="115" w:right="106"/>
        <w:jc w:val="both"/>
      </w:pPr>
      <w:r>
        <w:rPr>
          <w:spacing w:val="5"/>
          <w:w w:val="105"/>
        </w:rPr>
        <w:t>Outstanding financial derivative instruments expose </w:t>
      </w:r>
      <w:r>
        <w:rPr>
          <w:spacing w:val="4"/>
          <w:w w:val="105"/>
        </w:rPr>
        <w:t>the </w:t>
      </w:r>
      <w:r>
        <w:rPr>
          <w:spacing w:val="5"/>
          <w:w w:val="105"/>
        </w:rPr>
        <w:t>Company </w:t>
      </w:r>
      <w:r>
        <w:rPr>
          <w:spacing w:val="3"/>
          <w:w w:val="105"/>
        </w:rPr>
        <w:t>to </w:t>
      </w:r>
      <w:r>
        <w:rPr>
          <w:spacing w:val="5"/>
          <w:w w:val="105"/>
        </w:rPr>
        <w:t>credit </w:t>
      </w:r>
      <w:r>
        <w:rPr>
          <w:spacing w:val="4"/>
          <w:w w:val="105"/>
        </w:rPr>
        <w:t>loss </w:t>
      </w:r>
      <w:r>
        <w:rPr>
          <w:spacing w:val="3"/>
          <w:w w:val="105"/>
        </w:rPr>
        <w:t>in </w:t>
      </w:r>
      <w:r>
        <w:rPr>
          <w:spacing w:val="4"/>
          <w:w w:val="105"/>
        </w:rPr>
        <w:t>the event </w:t>
      </w:r>
      <w:r>
        <w:rPr>
          <w:spacing w:val="6"/>
          <w:w w:val="105"/>
        </w:rPr>
        <w:t>of </w:t>
      </w:r>
      <w:r>
        <w:rPr>
          <w:w w:val="105"/>
        </w:rPr>
        <w:t>nonperformance by the counterparties to the agreements. However, the Company does not expect any of the counterparties to fail to meet their obligations. The credit exposure related to these financial instruments is represented by the fair value of contracts with a positive fair value at the reporting date. To manage credit risk, the Company selects and periodically reviews counterparties based on credit ratings, limits its exposure to a single counterparty, and monitors the market position of the program and its relative market position</w:t>
      </w:r>
      <w:r>
        <w:rPr>
          <w:spacing w:val="55"/>
          <w:w w:val="105"/>
        </w:rPr>
        <w:t> </w:t>
      </w:r>
      <w:r>
        <w:rPr>
          <w:w w:val="105"/>
        </w:rPr>
        <w:t>with each counterparty. At December 31, 2003, the Company had agreements with seven counterparties </w:t>
      </w:r>
      <w:r>
        <w:rPr>
          <w:spacing w:val="2"/>
          <w:w w:val="105"/>
        </w:rPr>
        <w:t>containing early termination rights and/or bilateral collateral provisions whereby security </w:t>
      </w:r>
      <w:r>
        <w:rPr>
          <w:w w:val="105"/>
        </w:rPr>
        <w:t>is </w:t>
      </w:r>
      <w:r>
        <w:rPr>
          <w:spacing w:val="2"/>
          <w:w w:val="105"/>
        </w:rPr>
        <w:t>required </w:t>
      </w:r>
      <w:r>
        <w:rPr>
          <w:spacing w:val="3"/>
          <w:w w:val="105"/>
        </w:rPr>
        <w:t>if </w:t>
      </w:r>
      <w:r>
        <w:rPr>
          <w:w w:val="105"/>
        </w:rPr>
        <w:t>market risk exposure exceeds a specified threshold amount or credit ratings fall below certain levels. </w:t>
      </w:r>
      <w:r>
        <w:rPr>
          <w:spacing w:val="2"/>
          <w:w w:val="105"/>
        </w:rPr>
        <w:t>The </w:t>
      </w:r>
      <w:r>
        <w:rPr>
          <w:w w:val="105"/>
        </w:rPr>
        <w:t>Company</w:t>
      </w:r>
      <w:r>
        <w:rPr>
          <w:spacing w:val="-15"/>
          <w:w w:val="105"/>
        </w:rPr>
        <w:t> </w:t>
      </w:r>
      <w:r>
        <w:rPr>
          <w:w w:val="105"/>
        </w:rPr>
        <w:t>is</w:t>
      </w:r>
      <w:r>
        <w:rPr>
          <w:spacing w:val="-15"/>
          <w:w w:val="105"/>
        </w:rPr>
        <w:t> </w:t>
      </w:r>
      <w:r>
        <w:rPr>
          <w:w w:val="105"/>
        </w:rPr>
        <w:t>in</w:t>
      </w:r>
      <w:r>
        <w:rPr>
          <w:spacing w:val="-15"/>
          <w:w w:val="105"/>
        </w:rPr>
        <w:t> </w:t>
      </w:r>
      <w:r>
        <w:rPr>
          <w:w w:val="105"/>
        </w:rPr>
        <w:t>the</w:t>
      </w:r>
      <w:r>
        <w:rPr>
          <w:spacing w:val="-15"/>
          <w:w w:val="105"/>
        </w:rPr>
        <w:t> </w:t>
      </w:r>
      <w:r>
        <w:rPr>
          <w:w w:val="105"/>
        </w:rPr>
        <w:t>process</w:t>
      </w:r>
      <w:r>
        <w:rPr>
          <w:spacing w:val="-15"/>
          <w:w w:val="105"/>
        </w:rPr>
        <w:t> </w:t>
      </w:r>
      <w:r>
        <w:rPr>
          <w:w w:val="105"/>
        </w:rPr>
        <w:t>of</w:t>
      </w:r>
      <w:r>
        <w:rPr>
          <w:spacing w:val="-15"/>
          <w:w w:val="105"/>
        </w:rPr>
        <w:t> </w:t>
      </w:r>
      <w:r>
        <w:rPr>
          <w:w w:val="105"/>
        </w:rPr>
        <w:t>negotiating</w:t>
      </w:r>
      <w:r>
        <w:rPr>
          <w:spacing w:val="-15"/>
          <w:w w:val="105"/>
        </w:rPr>
        <w:t> </w:t>
      </w:r>
      <w:r>
        <w:rPr>
          <w:w w:val="105"/>
        </w:rPr>
        <w:t>similar</w:t>
      </w:r>
      <w:r>
        <w:rPr>
          <w:spacing w:val="-14"/>
          <w:w w:val="105"/>
        </w:rPr>
        <w:t> </w:t>
      </w:r>
      <w:r>
        <w:rPr>
          <w:w w:val="105"/>
        </w:rPr>
        <w:t>agreements</w:t>
      </w:r>
      <w:r>
        <w:rPr>
          <w:spacing w:val="-15"/>
          <w:w w:val="105"/>
        </w:rPr>
        <w:t> </w:t>
      </w:r>
      <w:r>
        <w:rPr>
          <w:w w:val="105"/>
        </w:rPr>
        <w:t>with</w:t>
      </w:r>
      <w:r>
        <w:rPr>
          <w:spacing w:val="-15"/>
          <w:w w:val="105"/>
        </w:rPr>
        <w:t> </w:t>
      </w:r>
      <w:r>
        <w:rPr>
          <w:w w:val="105"/>
        </w:rPr>
        <w:t>other</w:t>
      </w:r>
      <w:r>
        <w:rPr>
          <w:spacing w:val="-15"/>
          <w:w w:val="105"/>
        </w:rPr>
        <w:t> </w:t>
      </w:r>
      <w:r>
        <w:rPr>
          <w:w w:val="105"/>
        </w:rPr>
        <w:t>counterparties.</w:t>
      </w:r>
    </w:p>
    <w:p>
      <w:pPr>
        <w:pStyle w:val="BodyText"/>
        <w:spacing w:line="220" w:lineRule="exact" w:before="224"/>
        <w:ind w:left="115" w:right="109"/>
        <w:jc w:val="both"/>
      </w:pPr>
      <w:r>
        <w:rPr>
          <w:w w:val="105"/>
        </w:rPr>
        <w:t>The</w:t>
      </w:r>
      <w:r>
        <w:rPr>
          <w:spacing w:val="-5"/>
          <w:w w:val="105"/>
        </w:rPr>
        <w:t> </w:t>
      </w:r>
      <w:r>
        <w:rPr>
          <w:w w:val="105"/>
        </w:rPr>
        <w:t>carrying</w:t>
      </w:r>
      <w:r>
        <w:rPr>
          <w:spacing w:val="-5"/>
          <w:w w:val="105"/>
        </w:rPr>
        <w:t> </w:t>
      </w:r>
      <w:r>
        <w:rPr>
          <w:w w:val="105"/>
        </w:rPr>
        <w:t>amounts</w:t>
      </w:r>
      <w:r>
        <w:rPr>
          <w:spacing w:val="-5"/>
          <w:w w:val="105"/>
        </w:rPr>
        <w:t> </w:t>
      </w:r>
      <w:r>
        <w:rPr>
          <w:w w:val="105"/>
        </w:rPr>
        <w:t>and</w:t>
      </w:r>
      <w:r>
        <w:rPr>
          <w:spacing w:val="-5"/>
          <w:w w:val="105"/>
        </w:rPr>
        <w:t> </w:t>
      </w:r>
      <w:r>
        <w:rPr>
          <w:w w:val="105"/>
        </w:rPr>
        <w:t>estimated</w:t>
      </w:r>
      <w:r>
        <w:rPr>
          <w:spacing w:val="-5"/>
          <w:w w:val="105"/>
        </w:rPr>
        <w:t> </w:t>
      </w:r>
      <w:r>
        <w:rPr>
          <w:w w:val="105"/>
        </w:rPr>
        <w:t>fair</w:t>
      </w:r>
      <w:r>
        <w:rPr>
          <w:spacing w:val="-5"/>
          <w:w w:val="105"/>
        </w:rPr>
        <w:t> </w:t>
      </w:r>
      <w:r>
        <w:rPr>
          <w:w w:val="105"/>
        </w:rPr>
        <w:t>values</w:t>
      </w:r>
      <w:r>
        <w:rPr>
          <w:spacing w:val="-5"/>
          <w:w w:val="105"/>
        </w:rPr>
        <w:t> </w:t>
      </w:r>
      <w:r>
        <w:rPr>
          <w:w w:val="105"/>
        </w:rPr>
        <w:t>of</w:t>
      </w:r>
      <w:r>
        <w:rPr>
          <w:spacing w:val="-5"/>
          <w:w w:val="105"/>
        </w:rPr>
        <w:t> </w:t>
      </w:r>
      <w:r>
        <w:rPr>
          <w:w w:val="105"/>
        </w:rPr>
        <w:t>the</w:t>
      </w:r>
      <w:r>
        <w:rPr>
          <w:spacing w:val="-5"/>
          <w:w w:val="105"/>
        </w:rPr>
        <w:t> </w:t>
      </w:r>
      <w:r>
        <w:rPr>
          <w:w w:val="105"/>
        </w:rPr>
        <w:t>Company’s</w:t>
      </w:r>
      <w:r>
        <w:rPr>
          <w:spacing w:val="-5"/>
          <w:w w:val="105"/>
        </w:rPr>
        <w:t> </w:t>
      </w:r>
      <w:r>
        <w:rPr>
          <w:w w:val="105"/>
        </w:rPr>
        <w:t>long-term</w:t>
      </w:r>
      <w:r>
        <w:rPr>
          <w:spacing w:val="-5"/>
          <w:w w:val="105"/>
        </w:rPr>
        <w:t> </w:t>
      </w:r>
      <w:r>
        <w:rPr>
          <w:w w:val="105"/>
        </w:rPr>
        <w:t>debt</w:t>
      </w:r>
      <w:r>
        <w:rPr>
          <w:spacing w:val="-5"/>
          <w:w w:val="105"/>
        </w:rPr>
        <w:t> </w:t>
      </w:r>
      <w:r>
        <w:rPr>
          <w:w w:val="105"/>
        </w:rPr>
        <w:t>at</w:t>
      </w:r>
      <w:r>
        <w:rPr>
          <w:spacing w:val="-5"/>
          <w:w w:val="105"/>
        </w:rPr>
        <w:t> </w:t>
      </w:r>
      <w:r>
        <w:rPr>
          <w:w w:val="105"/>
        </w:rPr>
        <w:t>December</w:t>
      </w:r>
      <w:r>
        <w:rPr>
          <w:spacing w:val="-4"/>
          <w:w w:val="105"/>
        </w:rPr>
        <w:t> </w:t>
      </w:r>
      <w:r>
        <w:rPr>
          <w:w w:val="105"/>
        </w:rPr>
        <w:t>31,</w:t>
      </w:r>
      <w:r>
        <w:rPr>
          <w:spacing w:val="-5"/>
          <w:w w:val="105"/>
        </w:rPr>
        <w:t> </w:t>
      </w:r>
      <w:r>
        <w:rPr>
          <w:w w:val="105"/>
        </w:rPr>
        <w:t>2003</w:t>
      </w:r>
      <w:r>
        <w:rPr>
          <w:spacing w:val="-5"/>
          <w:w w:val="105"/>
        </w:rPr>
        <w:t> </w:t>
      </w:r>
      <w:r>
        <w:rPr>
          <w:w w:val="105"/>
        </w:rPr>
        <w:t>were as</w:t>
      </w:r>
      <w:r>
        <w:rPr>
          <w:spacing w:val="-21"/>
          <w:w w:val="105"/>
        </w:rPr>
        <w:t> </w:t>
      </w:r>
      <w:r>
        <w:rPr>
          <w:w w:val="105"/>
        </w:rPr>
        <w:t>follows:</w:t>
      </w:r>
    </w:p>
    <w:p>
      <w:pPr>
        <w:pStyle w:val="BodyText"/>
        <w:spacing w:before="1"/>
      </w:pPr>
      <w:r>
        <w:rPr/>
        <w:pict>
          <v:line style="position:absolute;mso-position-horizontal-relative:page;mso-position-vertical-relative:paragraph;z-index:6592;mso-wrap-distance-left:0;mso-wrap-distance-right:0" from="65.279999pt,14.494074pt" to="450.000999pt,14.494074pt" stroked="true" strokeweight=".72pt" strokecolor="#000000">
            <v:stroke dashstyle="solid"/>
            <w10:wrap type="topAndBottom"/>
          </v:line>
        </w:pict>
      </w:r>
    </w:p>
    <w:p>
      <w:pPr>
        <w:spacing w:before="2" w:after="12"/>
        <w:ind w:left="6246" w:right="0" w:firstLine="0"/>
        <w:jc w:val="left"/>
        <w:rPr>
          <w:rFonts w:ascii="Arial"/>
          <w:b/>
          <w:sz w:val="22"/>
        </w:rPr>
      </w:pPr>
      <w:r>
        <w:rPr>
          <w:rFonts w:ascii="Arial"/>
          <w:b/>
          <w:sz w:val="22"/>
        </w:rPr>
        <w:t>Estimated</w:t>
      </w:r>
      <w:r>
        <w:rPr>
          <w:rFonts w:ascii="Arial"/>
          <w:b/>
          <w:spacing w:val="52"/>
          <w:sz w:val="22"/>
        </w:rPr>
        <w:t> </w:t>
      </w:r>
      <w:r>
        <w:rPr>
          <w:rFonts w:ascii="Arial"/>
          <w:b/>
          <w:sz w:val="22"/>
        </w:rPr>
        <w:t>fair</w:t>
      </w:r>
    </w:p>
    <w:tbl>
      <w:tblPr>
        <w:tblW w:w="0" w:type="auto"/>
        <w:jc w:val="left"/>
        <w:tblInd w:w="12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825"/>
        <w:gridCol w:w="2044"/>
        <w:gridCol w:w="1825"/>
      </w:tblGrid>
      <w:tr>
        <w:trPr>
          <w:trHeight w:val="316" w:hRule="exact"/>
        </w:trPr>
        <w:tc>
          <w:tcPr>
            <w:tcW w:w="3825" w:type="dxa"/>
            <w:tcBorders>
              <w:bottom w:val="single" w:sz="8" w:space="0" w:color="000000"/>
            </w:tcBorders>
          </w:tcPr>
          <w:p>
            <w:pPr>
              <w:pStyle w:val="TableParagraph"/>
              <w:spacing w:before="58"/>
              <w:ind w:left="31"/>
              <w:rPr>
                <w:sz w:val="16"/>
              </w:rPr>
            </w:pPr>
            <w:r>
              <w:rPr>
                <w:w w:val="110"/>
                <w:sz w:val="16"/>
              </w:rPr>
              <w:t>(In millions)</w:t>
            </w:r>
          </w:p>
        </w:tc>
        <w:tc>
          <w:tcPr>
            <w:tcW w:w="2044" w:type="dxa"/>
            <w:tcBorders>
              <w:bottom w:val="single" w:sz="8" w:space="0" w:color="000000"/>
            </w:tcBorders>
          </w:tcPr>
          <w:p>
            <w:pPr>
              <w:pStyle w:val="TableParagraph"/>
              <w:spacing w:before="13"/>
              <w:ind w:right="222"/>
              <w:jc w:val="right"/>
              <w:rPr>
                <w:b/>
                <w:sz w:val="22"/>
              </w:rPr>
            </w:pPr>
            <w:r>
              <w:rPr>
                <w:b/>
                <w:sz w:val="22"/>
              </w:rPr>
              <w:t>Carrying value</w:t>
            </w:r>
          </w:p>
        </w:tc>
        <w:tc>
          <w:tcPr>
            <w:tcW w:w="1825" w:type="dxa"/>
            <w:tcBorders>
              <w:bottom w:val="single" w:sz="8" w:space="0" w:color="000000"/>
            </w:tcBorders>
          </w:tcPr>
          <w:p>
            <w:pPr>
              <w:pStyle w:val="TableParagraph"/>
              <w:spacing w:before="13"/>
              <w:ind w:left="680"/>
              <w:rPr>
                <w:b/>
                <w:sz w:val="22"/>
              </w:rPr>
            </w:pPr>
            <w:r>
              <w:rPr>
                <w:b/>
                <w:sz w:val="22"/>
              </w:rPr>
              <w:t>value</w:t>
            </w:r>
          </w:p>
        </w:tc>
      </w:tr>
      <w:tr>
        <w:trPr>
          <w:trHeight w:val="329" w:hRule="exact"/>
        </w:trPr>
        <w:tc>
          <w:tcPr>
            <w:tcW w:w="3825" w:type="dxa"/>
            <w:tcBorders>
              <w:top w:val="single" w:sz="8" w:space="0" w:color="000000"/>
            </w:tcBorders>
          </w:tcPr>
          <w:p>
            <w:pPr>
              <w:pStyle w:val="TableParagraph"/>
              <w:spacing w:before="24"/>
              <w:ind w:left="38"/>
              <w:rPr>
                <w:sz w:val="22"/>
              </w:rPr>
            </w:pPr>
            <w:r>
              <w:rPr>
                <w:w w:val="110"/>
                <w:sz w:val="22"/>
              </w:rPr>
              <w:t>Aircraft Secured Notes due 2004</w:t>
            </w:r>
          </w:p>
        </w:tc>
        <w:tc>
          <w:tcPr>
            <w:tcW w:w="2044" w:type="dxa"/>
            <w:tcBorders>
              <w:top w:val="single" w:sz="8" w:space="0" w:color="000000"/>
            </w:tcBorders>
          </w:tcPr>
          <w:p>
            <w:pPr>
              <w:pStyle w:val="TableParagraph"/>
              <w:tabs>
                <w:tab w:pos="1218" w:val="left" w:leader="none"/>
              </w:tabs>
              <w:spacing w:before="24"/>
              <w:ind w:right="159"/>
              <w:jc w:val="right"/>
              <w:rPr>
                <w:sz w:val="22"/>
              </w:rPr>
            </w:pPr>
            <w:r>
              <w:rPr>
                <w:w w:val="120"/>
                <w:sz w:val="22"/>
              </w:rPr>
              <w:t>$</w:t>
              <w:tab/>
            </w:r>
            <w:r>
              <w:rPr>
                <w:spacing w:val="-1"/>
                <w:w w:val="120"/>
                <w:sz w:val="22"/>
              </w:rPr>
              <w:t>175</w:t>
            </w:r>
          </w:p>
        </w:tc>
        <w:tc>
          <w:tcPr>
            <w:tcW w:w="1825" w:type="dxa"/>
            <w:tcBorders>
              <w:top w:val="single" w:sz="8" w:space="0" w:color="000000"/>
            </w:tcBorders>
          </w:tcPr>
          <w:p>
            <w:pPr>
              <w:pStyle w:val="TableParagraph"/>
              <w:tabs>
                <w:tab w:pos="1218" w:val="left" w:leader="none"/>
              </w:tabs>
              <w:spacing w:before="24"/>
              <w:ind w:right="2"/>
              <w:jc w:val="right"/>
              <w:rPr>
                <w:sz w:val="22"/>
              </w:rPr>
            </w:pPr>
            <w:r>
              <w:rPr>
                <w:w w:val="120"/>
                <w:sz w:val="22"/>
              </w:rPr>
              <w:t>$</w:t>
              <w:tab/>
            </w:r>
            <w:r>
              <w:rPr>
                <w:spacing w:val="-1"/>
                <w:w w:val="120"/>
                <w:sz w:val="22"/>
              </w:rPr>
              <w:t>175</w:t>
            </w:r>
          </w:p>
        </w:tc>
      </w:tr>
      <w:tr>
        <w:trPr>
          <w:trHeight w:val="302" w:hRule="exact"/>
        </w:trPr>
        <w:tc>
          <w:tcPr>
            <w:tcW w:w="3825" w:type="dxa"/>
          </w:tcPr>
          <w:p>
            <w:pPr>
              <w:pStyle w:val="TableParagraph"/>
              <w:spacing w:before="7"/>
              <w:ind w:left="38"/>
              <w:rPr>
                <w:sz w:val="22"/>
              </w:rPr>
            </w:pPr>
            <w:r>
              <w:rPr>
                <w:w w:val="110"/>
                <w:sz w:val="22"/>
              </w:rPr>
              <w:t>8% Notes due 2005</w:t>
            </w:r>
          </w:p>
        </w:tc>
        <w:tc>
          <w:tcPr>
            <w:tcW w:w="2044" w:type="dxa"/>
          </w:tcPr>
          <w:p>
            <w:pPr>
              <w:pStyle w:val="TableParagraph"/>
              <w:spacing w:before="7"/>
              <w:ind w:right="158"/>
              <w:jc w:val="right"/>
              <w:rPr>
                <w:sz w:val="22"/>
              </w:rPr>
            </w:pPr>
            <w:r>
              <w:rPr>
                <w:w w:val="120"/>
                <w:sz w:val="22"/>
              </w:rPr>
              <w:t>100</w:t>
            </w:r>
          </w:p>
        </w:tc>
        <w:tc>
          <w:tcPr>
            <w:tcW w:w="1825" w:type="dxa"/>
          </w:tcPr>
          <w:p>
            <w:pPr>
              <w:pStyle w:val="TableParagraph"/>
              <w:spacing w:before="7"/>
              <w:ind w:right="2"/>
              <w:jc w:val="right"/>
              <w:rPr>
                <w:sz w:val="22"/>
              </w:rPr>
            </w:pPr>
            <w:r>
              <w:rPr>
                <w:w w:val="120"/>
                <w:sz w:val="22"/>
              </w:rPr>
              <w:t>107</w:t>
            </w:r>
          </w:p>
        </w:tc>
      </w:tr>
      <w:tr>
        <w:trPr>
          <w:trHeight w:val="302" w:hRule="exact"/>
        </w:trPr>
        <w:tc>
          <w:tcPr>
            <w:tcW w:w="3825" w:type="dxa"/>
          </w:tcPr>
          <w:p>
            <w:pPr>
              <w:pStyle w:val="TableParagraph"/>
              <w:spacing w:before="7"/>
              <w:ind w:left="38"/>
              <w:rPr>
                <w:sz w:val="22"/>
              </w:rPr>
            </w:pPr>
            <w:r>
              <w:rPr>
                <w:w w:val="110"/>
                <w:sz w:val="22"/>
              </w:rPr>
              <w:t>Pass Through Certificates</w:t>
            </w:r>
          </w:p>
        </w:tc>
        <w:tc>
          <w:tcPr>
            <w:tcW w:w="2044" w:type="dxa"/>
          </w:tcPr>
          <w:p>
            <w:pPr>
              <w:pStyle w:val="TableParagraph"/>
              <w:spacing w:before="7"/>
              <w:ind w:right="160"/>
              <w:jc w:val="right"/>
              <w:rPr>
                <w:sz w:val="22"/>
              </w:rPr>
            </w:pPr>
            <w:r>
              <w:rPr>
                <w:w w:val="120"/>
                <w:sz w:val="22"/>
              </w:rPr>
              <w:t>564</w:t>
            </w:r>
          </w:p>
        </w:tc>
        <w:tc>
          <w:tcPr>
            <w:tcW w:w="1825" w:type="dxa"/>
          </w:tcPr>
          <w:p>
            <w:pPr>
              <w:pStyle w:val="TableParagraph"/>
              <w:spacing w:before="7"/>
              <w:ind w:right="2"/>
              <w:jc w:val="right"/>
              <w:rPr>
                <w:sz w:val="22"/>
              </w:rPr>
            </w:pPr>
            <w:r>
              <w:rPr>
                <w:w w:val="120"/>
                <w:sz w:val="22"/>
              </w:rPr>
              <w:t>604</w:t>
            </w:r>
          </w:p>
        </w:tc>
      </w:tr>
      <w:tr>
        <w:trPr>
          <w:trHeight w:val="302" w:hRule="exact"/>
        </w:trPr>
        <w:tc>
          <w:tcPr>
            <w:tcW w:w="3825" w:type="dxa"/>
          </w:tcPr>
          <w:p>
            <w:pPr>
              <w:pStyle w:val="TableParagraph"/>
              <w:spacing w:before="7"/>
              <w:ind w:left="38"/>
              <w:rPr>
                <w:sz w:val="22"/>
              </w:rPr>
            </w:pPr>
            <w:r>
              <w:rPr>
                <w:w w:val="115"/>
                <w:sz w:val="22"/>
              </w:rPr>
              <w:t>7 7/8% Notes due 2007</w:t>
            </w:r>
          </w:p>
        </w:tc>
        <w:tc>
          <w:tcPr>
            <w:tcW w:w="2044" w:type="dxa"/>
          </w:tcPr>
          <w:p>
            <w:pPr>
              <w:pStyle w:val="TableParagraph"/>
              <w:spacing w:before="7"/>
              <w:ind w:right="158"/>
              <w:jc w:val="right"/>
              <w:rPr>
                <w:sz w:val="22"/>
              </w:rPr>
            </w:pPr>
            <w:r>
              <w:rPr>
                <w:w w:val="120"/>
                <w:sz w:val="22"/>
              </w:rPr>
              <w:t>100</w:t>
            </w:r>
          </w:p>
        </w:tc>
        <w:tc>
          <w:tcPr>
            <w:tcW w:w="1825" w:type="dxa"/>
          </w:tcPr>
          <w:p>
            <w:pPr>
              <w:pStyle w:val="TableParagraph"/>
              <w:spacing w:before="7"/>
              <w:ind w:right="2"/>
              <w:jc w:val="right"/>
              <w:rPr>
                <w:sz w:val="22"/>
              </w:rPr>
            </w:pPr>
            <w:r>
              <w:rPr>
                <w:w w:val="120"/>
                <w:sz w:val="22"/>
              </w:rPr>
              <w:t>116</w:t>
            </w:r>
          </w:p>
        </w:tc>
      </w:tr>
      <w:tr>
        <w:trPr>
          <w:trHeight w:val="302" w:hRule="exact"/>
        </w:trPr>
        <w:tc>
          <w:tcPr>
            <w:tcW w:w="3825" w:type="dxa"/>
          </w:tcPr>
          <w:p>
            <w:pPr>
              <w:pStyle w:val="TableParagraph"/>
              <w:spacing w:before="7"/>
              <w:ind w:left="38"/>
              <w:rPr>
                <w:sz w:val="22"/>
              </w:rPr>
            </w:pPr>
            <w:r>
              <w:rPr>
                <w:w w:val="105"/>
                <w:sz w:val="22"/>
              </w:rPr>
              <w:t>French  Credit Agreements</w:t>
            </w:r>
          </w:p>
        </w:tc>
        <w:tc>
          <w:tcPr>
            <w:tcW w:w="2044" w:type="dxa"/>
          </w:tcPr>
          <w:p>
            <w:pPr>
              <w:pStyle w:val="TableParagraph"/>
              <w:spacing w:before="7"/>
              <w:ind w:right="196"/>
              <w:jc w:val="right"/>
              <w:rPr>
                <w:sz w:val="22"/>
              </w:rPr>
            </w:pPr>
            <w:r>
              <w:rPr>
                <w:w w:val="120"/>
                <w:sz w:val="22"/>
              </w:rPr>
              <w:t>47</w:t>
            </w:r>
          </w:p>
        </w:tc>
        <w:tc>
          <w:tcPr>
            <w:tcW w:w="1825" w:type="dxa"/>
          </w:tcPr>
          <w:p>
            <w:pPr>
              <w:pStyle w:val="TableParagraph"/>
              <w:spacing w:before="7"/>
              <w:ind w:right="39"/>
              <w:jc w:val="right"/>
              <w:rPr>
                <w:sz w:val="22"/>
              </w:rPr>
            </w:pPr>
            <w:r>
              <w:rPr>
                <w:w w:val="120"/>
                <w:sz w:val="22"/>
              </w:rPr>
              <w:t>47</w:t>
            </w:r>
          </w:p>
        </w:tc>
      </w:tr>
      <w:tr>
        <w:trPr>
          <w:trHeight w:val="302" w:hRule="exact"/>
        </w:trPr>
        <w:tc>
          <w:tcPr>
            <w:tcW w:w="3825" w:type="dxa"/>
          </w:tcPr>
          <w:p>
            <w:pPr>
              <w:pStyle w:val="TableParagraph"/>
              <w:spacing w:before="7"/>
              <w:ind w:left="38"/>
              <w:rPr>
                <w:sz w:val="22"/>
              </w:rPr>
            </w:pPr>
            <w:r>
              <w:rPr>
                <w:w w:val="115"/>
                <w:sz w:val="22"/>
              </w:rPr>
              <w:t>6 1/2% Notes due 2012</w:t>
            </w:r>
          </w:p>
        </w:tc>
        <w:tc>
          <w:tcPr>
            <w:tcW w:w="2044" w:type="dxa"/>
          </w:tcPr>
          <w:p>
            <w:pPr>
              <w:pStyle w:val="TableParagraph"/>
              <w:spacing w:before="7"/>
              <w:ind w:right="158"/>
              <w:jc w:val="right"/>
              <w:rPr>
                <w:sz w:val="22"/>
              </w:rPr>
            </w:pPr>
            <w:r>
              <w:rPr>
                <w:w w:val="120"/>
                <w:sz w:val="22"/>
              </w:rPr>
              <w:t>371</w:t>
            </w:r>
          </w:p>
        </w:tc>
        <w:tc>
          <w:tcPr>
            <w:tcW w:w="1825" w:type="dxa"/>
          </w:tcPr>
          <w:p>
            <w:pPr>
              <w:pStyle w:val="TableParagraph"/>
              <w:spacing w:before="7"/>
              <w:ind w:right="2"/>
              <w:jc w:val="right"/>
              <w:rPr>
                <w:sz w:val="22"/>
              </w:rPr>
            </w:pPr>
            <w:r>
              <w:rPr>
                <w:w w:val="120"/>
                <w:sz w:val="22"/>
              </w:rPr>
              <w:t>409</w:t>
            </w:r>
          </w:p>
        </w:tc>
      </w:tr>
      <w:tr>
        <w:trPr>
          <w:trHeight w:val="309" w:hRule="exact"/>
        </w:trPr>
        <w:tc>
          <w:tcPr>
            <w:tcW w:w="3825" w:type="dxa"/>
          </w:tcPr>
          <w:p>
            <w:pPr>
              <w:pStyle w:val="TableParagraph"/>
              <w:spacing w:before="7"/>
              <w:ind w:left="38"/>
              <w:rPr>
                <w:sz w:val="22"/>
              </w:rPr>
            </w:pPr>
            <w:r>
              <w:rPr>
                <w:w w:val="115"/>
                <w:sz w:val="22"/>
              </w:rPr>
              <w:t>7 3/8% Debentures due 2027</w:t>
            </w:r>
          </w:p>
        </w:tc>
        <w:tc>
          <w:tcPr>
            <w:tcW w:w="2044" w:type="dxa"/>
          </w:tcPr>
          <w:p>
            <w:pPr>
              <w:pStyle w:val="TableParagraph"/>
              <w:spacing w:before="7"/>
              <w:ind w:right="158"/>
              <w:jc w:val="right"/>
              <w:rPr>
                <w:sz w:val="22"/>
              </w:rPr>
            </w:pPr>
            <w:r>
              <w:rPr>
                <w:w w:val="120"/>
                <w:sz w:val="22"/>
              </w:rPr>
              <w:t>100</w:t>
            </w:r>
          </w:p>
        </w:tc>
        <w:tc>
          <w:tcPr>
            <w:tcW w:w="1825" w:type="dxa"/>
          </w:tcPr>
          <w:p>
            <w:pPr>
              <w:pStyle w:val="TableParagraph"/>
              <w:spacing w:before="7"/>
              <w:ind w:right="2"/>
              <w:jc w:val="right"/>
              <w:rPr>
                <w:sz w:val="22"/>
              </w:rPr>
            </w:pPr>
            <w:r>
              <w:rPr>
                <w:w w:val="120"/>
                <w:sz w:val="22"/>
              </w:rPr>
              <w:t>112</w:t>
            </w:r>
          </w:p>
        </w:tc>
      </w:tr>
    </w:tbl>
    <w:p>
      <w:pPr>
        <w:pStyle w:val="BodyText"/>
        <w:spacing w:line="220" w:lineRule="exact" w:before="201"/>
        <w:ind w:left="115" w:right="110"/>
        <w:jc w:val="both"/>
      </w:pPr>
      <w:r>
        <w:rPr>
          <w:w w:val="105"/>
        </w:rPr>
        <w:t>The estimated fair values of the Company’s long-term debt were based on quoted market prices. The carrying values of all other financial instruments approximate their fair value.</w:t>
      </w:r>
    </w:p>
    <w:p>
      <w:pPr>
        <w:pStyle w:val="Heading2"/>
        <w:numPr>
          <w:ilvl w:val="0"/>
          <w:numId w:val="5"/>
        </w:numPr>
        <w:tabs>
          <w:tab w:pos="481" w:val="left" w:leader="none"/>
        </w:tabs>
        <w:spacing w:line="240" w:lineRule="auto" w:before="200" w:after="0"/>
        <w:ind w:left="480" w:right="0" w:hanging="364"/>
        <w:jc w:val="both"/>
      </w:pPr>
      <w:r>
        <w:rPr>
          <w:color w:val="0000FF"/>
          <w:spacing w:val="-5"/>
        </w:rPr>
        <w:t>COMPREHENSIVE </w:t>
      </w:r>
      <w:r>
        <w:rPr>
          <w:color w:val="0000FF"/>
          <w:spacing w:val="34"/>
        </w:rPr>
        <w:t> </w:t>
      </w:r>
      <w:r>
        <w:rPr>
          <w:color w:val="0000FF"/>
          <w:spacing w:val="-5"/>
        </w:rPr>
        <w:t>INCOME</w:t>
      </w:r>
    </w:p>
    <w:p>
      <w:pPr>
        <w:pStyle w:val="BodyText"/>
        <w:spacing w:line="218" w:lineRule="auto" w:before="217"/>
        <w:ind w:left="115" w:right="112"/>
        <w:jc w:val="both"/>
      </w:pPr>
      <w:r>
        <w:rPr>
          <w:w w:val="105"/>
        </w:rPr>
        <w:t>Comprehensive income includes changes in the fair value of </w:t>
      </w:r>
      <w:r>
        <w:rPr>
          <w:spacing w:val="-3"/>
          <w:w w:val="105"/>
        </w:rPr>
        <w:t>certain </w:t>
      </w:r>
      <w:r>
        <w:rPr>
          <w:w w:val="105"/>
        </w:rPr>
        <w:t>financial derivative instruments, </w:t>
      </w:r>
      <w:r>
        <w:rPr>
          <w:spacing w:val="-3"/>
          <w:w w:val="105"/>
        </w:rPr>
        <w:t>which </w:t>
      </w:r>
      <w:r>
        <w:rPr>
          <w:w w:val="105"/>
        </w:rPr>
        <w:t>qualify for hedge accounting, and </w:t>
      </w:r>
      <w:r>
        <w:rPr>
          <w:spacing w:val="-3"/>
          <w:w w:val="105"/>
        </w:rPr>
        <w:t>unrealized </w:t>
      </w:r>
      <w:r>
        <w:rPr>
          <w:w w:val="105"/>
        </w:rPr>
        <w:t>gains and losses on certain investments. Comprehensive income totaled $510 million, $327 million, </w:t>
      </w:r>
      <w:r>
        <w:rPr>
          <w:spacing w:val="-3"/>
          <w:w w:val="105"/>
        </w:rPr>
        <w:t>and </w:t>
      </w:r>
      <w:r>
        <w:rPr>
          <w:w w:val="105"/>
        </w:rPr>
        <w:t>$479 million for 2003, 2002, and 2001, respectively. The </w:t>
      </w:r>
      <w:r>
        <w:rPr>
          <w:spacing w:val="-3"/>
          <w:w w:val="105"/>
        </w:rPr>
        <w:t>differences between Net income </w:t>
      </w:r>
      <w:r>
        <w:rPr>
          <w:w w:val="105"/>
        </w:rPr>
        <w:t>and Comprehensive income </w:t>
      </w:r>
      <w:r>
        <w:rPr>
          <w:spacing w:val="-3"/>
          <w:w w:val="105"/>
        </w:rPr>
        <w:t>for </w:t>
      </w:r>
      <w:r>
        <w:rPr>
          <w:w w:val="105"/>
        </w:rPr>
        <w:t>these years </w:t>
      </w:r>
      <w:r>
        <w:rPr>
          <w:spacing w:val="-4"/>
          <w:w w:val="105"/>
        </w:rPr>
        <w:t>are </w:t>
      </w:r>
      <w:r>
        <w:rPr>
          <w:spacing w:val="-3"/>
          <w:w w:val="105"/>
        </w:rPr>
        <w:t>as </w:t>
      </w:r>
      <w:r>
        <w:rPr>
          <w:w w:val="105"/>
        </w:rPr>
        <w:t>follows:</w:t>
      </w:r>
    </w:p>
    <w:p>
      <w:pPr>
        <w:pStyle w:val="BodyText"/>
        <w:spacing w:before="1"/>
        <w:rPr>
          <w:sz w:val="17"/>
        </w:rPr>
      </w:pPr>
      <w:r>
        <w:rPr/>
        <w:pict>
          <v:group style="position:absolute;margin-left:64.779999pt;margin-top:11.779882pt;width:430.4pt;height:1.1pt;mso-position-horizontal-relative:page;mso-position-vertical-relative:paragraph;z-index:6616;mso-wrap-distance-left:0;mso-wrap-distance-right:0" coordorigin="1296,236" coordsize="8608,22">
            <v:line style="position:absolute" from="9893,237" to="1306,237" stroked="true" strokeweight=".12pt" strokecolor="#000000">
              <v:stroke dashstyle="solid"/>
            </v:line>
            <v:line style="position:absolute" from="1306,247" to="9893,247" stroked="true" strokeweight=".95929pt" strokecolor="#000000">
              <v:stroke dashstyle="solid"/>
            </v:line>
            <w10:wrap type="topAndBottom"/>
          </v:group>
        </w:pict>
      </w:r>
    </w:p>
    <w:p>
      <w:pPr>
        <w:tabs>
          <w:tab w:pos="4392" w:val="left" w:leader="none"/>
          <w:tab w:pos="6072" w:val="left" w:leader="none"/>
          <w:tab w:pos="7315" w:val="left" w:leader="none"/>
        </w:tabs>
        <w:spacing w:before="30"/>
        <w:ind w:left="161" w:right="0" w:firstLine="0"/>
        <w:jc w:val="both"/>
        <w:rPr>
          <w:rFonts w:ascii="Arial"/>
          <w:sz w:val="20"/>
        </w:rPr>
      </w:pPr>
      <w:r>
        <w:rPr>
          <w:rFonts w:ascii="Arial"/>
          <w:w w:val="115"/>
          <w:sz w:val="20"/>
        </w:rPr>
        <w:t>(In</w:t>
      </w:r>
      <w:r>
        <w:rPr>
          <w:rFonts w:ascii="Arial"/>
          <w:spacing w:val="-22"/>
          <w:w w:val="115"/>
          <w:sz w:val="20"/>
        </w:rPr>
        <w:t> </w:t>
      </w:r>
      <w:r>
        <w:rPr>
          <w:rFonts w:ascii="Arial"/>
          <w:w w:val="115"/>
          <w:sz w:val="20"/>
        </w:rPr>
        <w:t>millions)</w:t>
        <w:tab/>
      </w:r>
      <w:r>
        <w:rPr>
          <w:rFonts w:ascii="Arial"/>
          <w:b/>
          <w:spacing w:val="2"/>
          <w:w w:val="115"/>
          <w:sz w:val="20"/>
        </w:rPr>
        <w:t>2003</w:t>
        <w:tab/>
      </w:r>
      <w:r>
        <w:rPr>
          <w:rFonts w:ascii="Arial"/>
          <w:w w:val="115"/>
          <w:sz w:val="20"/>
        </w:rPr>
        <w:t>2002</w:t>
        <w:tab/>
      </w:r>
      <w:r>
        <w:rPr>
          <w:rFonts w:ascii="Arial"/>
          <w:w w:val="115"/>
          <w:sz w:val="20"/>
          <w:u w:val="thick"/>
        </w:rPr>
        <w:t>2001</w:t>
      </w:r>
      <w:r>
        <w:rPr>
          <w:rFonts w:ascii="Arial"/>
          <w:sz w:val="20"/>
          <w:u w:val="thick"/>
        </w:rPr>
        <w:t>      </w:t>
      </w:r>
      <w:r>
        <w:rPr>
          <w:rFonts w:ascii="Arial"/>
          <w:spacing w:val="5"/>
          <w:sz w:val="20"/>
          <w:u w:val="thick"/>
        </w:rPr>
        <w:t> </w:t>
      </w:r>
    </w:p>
    <w:p>
      <w:pPr>
        <w:pStyle w:val="BodyText"/>
        <w:spacing w:line="21" w:lineRule="exact"/>
        <w:ind w:left="115"/>
        <w:rPr>
          <w:rFonts w:ascii="Arial"/>
          <w:sz w:val="2"/>
        </w:rPr>
      </w:pPr>
      <w:r>
        <w:rPr>
          <w:rFonts w:ascii="Arial"/>
          <w:sz w:val="2"/>
        </w:rPr>
        <w:pict>
          <v:group style="width:344.7pt;height:1.1pt;mso-position-horizontal-relative:char;mso-position-vertical-relative:line" coordorigin="0,0" coordsize="6894,22">
            <v:line style="position:absolute" from="6884,2" to="10,2" stroked="true" strokeweight=".12pt" strokecolor="#000000">
              <v:stroke dashstyle="solid"/>
            </v:line>
            <v:line style="position:absolute" from="10,11" to="6884,11" stroked="true" strokeweight=".9593pt" strokecolor="#000000">
              <v:stroke dashstyle="solid"/>
            </v:line>
          </v:group>
        </w:pict>
      </w:r>
      <w:r>
        <w:rPr>
          <w:rFonts w:ascii="Arial"/>
          <w:sz w:val="2"/>
        </w:rPr>
      </w:r>
    </w:p>
    <w:p>
      <w:pPr>
        <w:pStyle w:val="BodyText"/>
        <w:spacing w:before="8"/>
        <w:rPr>
          <w:rFonts w:ascii="Arial"/>
          <w:sz w:val="22"/>
        </w:rPr>
      </w:pPr>
    </w:p>
    <w:p>
      <w:pPr>
        <w:spacing w:after="0"/>
        <w:rPr>
          <w:rFonts w:ascii="Arial"/>
          <w:sz w:val="22"/>
        </w:rPr>
        <w:sectPr>
          <w:pgSz w:w="12240" w:h="15840"/>
          <w:pgMar w:top="1080" w:bottom="280" w:left="1180" w:right="1180"/>
        </w:sectPr>
      </w:pPr>
    </w:p>
    <w:p>
      <w:pPr>
        <w:tabs>
          <w:tab w:pos="4025" w:val="left" w:leader="none"/>
        </w:tabs>
        <w:spacing w:before="111"/>
        <w:ind w:left="161" w:right="0" w:firstLine="0"/>
        <w:jc w:val="center"/>
        <w:rPr>
          <w:rFonts w:ascii="Arial"/>
          <w:b/>
          <w:sz w:val="20"/>
        </w:rPr>
      </w:pPr>
      <w:r>
        <w:rPr>
          <w:rFonts w:ascii="Arial"/>
          <w:b/>
          <w:w w:val="105"/>
          <w:sz w:val="20"/>
        </w:rPr>
        <w:t>Net</w:t>
      </w:r>
      <w:r>
        <w:rPr>
          <w:rFonts w:ascii="Arial"/>
          <w:b/>
          <w:spacing w:val="6"/>
          <w:w w:val="105"/>
          <w:sz w:val="20"/>
        </w:rPr>
        <w:t> </w:t>
      </w:r>
      <w:r>
        <w:rPr>
          <w:rFonts w:ascii="Arial"/>
          <w:b/>
          <w:w w:val="105"/>
          <w:sz w:val="20"/>
        </w:rPr>
        <w:t>income</w:t>
        <w:tab/>
        <w:t>$</w:t>
      </w:r>
    </w:p>
    <w:p>
      <w:pPr>
        <w:spacing w:before="55"/>
        <w:ind w:left="294" w:right="0" w:firstLine="0"/>
        <w:jc w:val="left"/>
        <w:rPr>
          <w:rFonts w:ascii="Arial"/>
          <w:sz w:val="20"/>
        </w:rPr>
      </w:pPr>
      <w:r>
        <w:rPr>
          <w:rFonts w:ascii="Arial"/>
          <w:w w:val="110"/>
          <w:sz w:val="20"/>
        </w:rPr>
        <w:t>Unrealized gain (loss) on derivative</w:t>
      </w:r>
    </w:p>
    <w:p>
      <w:pPr>
        <w:spacing w:before="91"/>
        <w:ind w:left="360" w:right="0" w:firstLine="0"/>
        <w:jc w:val="left"/>
        <w:rPr>
          <w:rFonts w:ascii="Arial"/>
          <w:sz w:val="20"/>
        </w:rPr>
      </w:pPr>
      <w:r>
        <w:rPr>
          <w:rFonts w:ascii="Arial"/>
          <w:w w:val="115"/>
          <w:sz w:val="20"/>
        </w:rPr>
        <w:t>instruments, net of deferred taxes of</w:t>
      </w:r>
    </w:p>
    <w:p>
      <w:pPr>
        <w:tabs>
          <w:tab w:pos="956" w:val="left" w:leader="none"/>
        </w:tabs>
        <w:spacing w:before="113"/>
        <w:ind w:left="161" w:right="0" w:firstLine="0"/>
        <w:jc w:val="left"/>
        <w:rPr>
          <w:rFonts w:ascii="Arial"/>
          <w:sz w:val="20"/>
        </w:rPr>
      </w:pPr>
      <w:r>
        <w:rPr/>
        <w:br w:type="column"/>
      </w:r>
      <w:r>
        <w:rPr>
          <w:rFonts w:ascii="Arial"/>
          <w:b/>
          <w:w w:val="120"/>
          <w:sz w:val="20"/>
        </w:rPr>
        <w:t>442</w:t>
        <w:tab/>
      </w:r>
      <w:r>
        <w:rPr>
          <w:rFonts w:ascii="Arial"/>
          <w:w w:val="115"/>
          <w:sz w:val="20"/>
        </w:rPr>
        <w:t>$</w:t>
      </w:r>
    </w:p>
    <w:p>
      <w:pPr>
        <w:tabs>
          <w:tab w:pos="989" w:val="left" w:leader="none"/>
        </w:tabs>
        <w:spacing w:before="113"/>
        <w:ind w:left="161" w:right="0" w:firstLine="0"/>
        <w:jc w:val="left"/>
        <w:rPr>
          <w:rFonts w:ascii="Arial"/>
          <w:sz w:val="20"/>
        </w:rPr>
      </w:pPr>
      <w:r>
        <w:rPr/>
        <w:br w:type="column"/>
      </w:r>
      <w:r>
        <w:rPr>
          <w:rFonts w:ascii="Arial"/>
          <w:w w:val="120"/>
          <w:sz w:val="20"/>
        </w:rPr>
        <w:t>241</w:t>
        <w:tab/>
        <w:t>$</w:t>
      </w:r>
    </w:p>
    <w:p>
      <w:pPr>
        <w:spacing w:before="113"/>
        <w:ind w:left="161" w:right="0" w:firstLine="0"/>
        <w:jc w:val="left"/>
        <w:rPr>
          <w:rFonts w:ascii="Arial"/>
          <w:sz w:val="20"/>
        </w:rPr>
      </w:pPr>
      <w:r>
        <w:rPr/>
        <w:br w:type="column"/>
      </w:r>
      <w:r>
        <w:rPr>
          <w:rFonts w:ascii="Arial"/>
          <w:w w:val="120"/>
          <w:sz w:val="20"/>
        </w:rPr>
        <w:t>511</w:t>
      </w:r>
    </w:p>
    <w:p>
      <w:pPr>
        <w:spacing w:after="0"/>
        <w:jc w:val="left"/>
        <w:rPr>
          <w:rFonts w:ascii="Arial"/>
          <w:sz w:val="20"/>
        </w:rPr>
        <w:sectPr>
          <w:type w:val="continuous"/>
          <w:pgSz w:w="12240" w:h="15840"/>
          <w:pgMar w:top="320" w:bottom="280" w:left="1180" w:right="1180"/>
          <w:cols w:num="4" w:equalWidth="0">
            <w:col w:w="4159" w:space="591"/>
            <w:col w:w="1089" w:space="591"/>
            <w:col w:w="1123" w:space="591"/>
            <w:col w:w="1736"/>
          </w:cols>
        </w:sectPr>
      </w:pPr>
    </w:p>
    <w:p>
      <w:pPr>
        <w:tabs>
          <w:tab w:pos="5012" w:val="left" w:leader="none"/>
          <w:tab w:pos="6691" w:val="left" w:leader="none"/>
          <w:tab w:pos="8338" w:val="left" w:leader="none"/>
        </w:tabs>
        <w:spacing w:before="41"/>
        <w:ind w:left="360" w:right="0" w:firstLine="0"/>
        <w:jc w:val="left"/>
        <w:rPr>
          <w:rFonts w:ascii="Arial"/>
          <w:sz w:val="20"/>
        </w:rPr>
      </w:pPr>
      <w:r>
        <w:rPr>
          <w:rFonts w:ascii="Arial"/>
          <w:w w:val="120"/>
          <w:sz w:val="20"/>
        </w:rPr>
        <w:t>$43, $56</w:t>
      </w:r>
      <w:r>
        <w:rPr>
          <w:rFonts w:ascii="Arial"/>
          <w:spacing w:val="-24"/>
          <w:w w:val="120"/>
          <w:sz w:val="20"/>
        </w:rPr>
        <w:t> </w:t>
      </w:r>
      <w:r>
        <w:rPr>
          <w:rFonts w:ascii="Arial"/>
          <w:w w:val="120"/>
          <w:sz w:val="20"/>
        </w:rPr>
        <w:t>and</w:t>
      </w:r>
      <w:r>
        <w:rPr>
          <w:rFonts w:ascii="Arial"/>
          <w:spacing w:val="-12"/>
          <w:w w:val="120"/>
          <w:sz w:val="20"/>
        </w:rPr>
        <w:t> </w:t>
      </w:r>
      <w:r>
        <w:rPr>
          <w:rFonts w:ascii="Arial"/>
          <w:w w:val="120"/>
          <w:sz w:val="20"/>
        </w:rPr>
        <w:t>($21)</w:t>
        <w:tab/>
      </w:r>
      <w:r>
        <w:rPr>
          <w:rFonts w:ascii="Arial"/>
          <w:b/>
          <w:w w:val="120"/>
          <w:sz w:val="20"/>
        </w:rPr>
        <w:t>66</w:t>
        <w:tab/>
      </w:r>
      <w:r>
        <w:rPr>
          <w:rFonts w:ascii="Arial"/>
          <w:w w:val="120"/>
          <w:sz w:val="20"/>
        </w:rPr>
        <w:t>88</w:t>
        <w:tab/>
        <w:t>(31</w:t>
      </w:r>
    </w:p>
    <w:p>
      <w:pPr>
        <w:pStyle w:val="BodyText"/>
        <w:spacing w:before="3"/>
        <w:rPr>
          <w:rFonts w:ascii="Arial"/>
          <w:sz w:val="5"/>
        </w:rPr>
      </w:pPr>
    </w:p>
    <w:tbl>
      <w:tblPr>
        <w:tblW w:w="0" w:type="auto"/>
        <w:jc w:val="left"/>
        <w:tblInd w:w="261"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536"/>
        <w:gridCol w:w="1663"/>
        <w:gridCol w:w="1715"/>
        <w:gridCol w:w="1607"/>
      </w:tblGrid>
      <w:tr>
        <w:trPr>
          <w:trHeight w:val="276" w:hRule="exact"/>
        </w:trPr>
        <w:tc>
          <w:tcPr>
            <w:tcW w:w="3536" w:type="dxa"/>
          </w:tcPr>
          <w:p>
            <w:pPr>
              <w:pStyle w:val="TableParagraph"/>
              <w:spacing w:before="11"/>
              <w:ind w:left="32"/>
              <w:rPr>
                <w:sz w:val="20"/>
              </w:rPr>
            </w:pPr>
            <w:r>
              <w:rPr>
                <w:w w:val="110"/>
                <w:sz w:val="20"/>
              </w:rPr>
              <w:t>Other, net of deferred taxes of  $1,</w:t>
            </w:r>
          </w:p>
        </w:tc>
        <w:tc>
          <w:tcPr>
            <w:tcW w:w="4985" w:type="dxa"/>
            <w:gridSpan w:val="3"/>
          </w:tcPr>
          <w:p>
            <w:pPr/>
          </w:p>
        </w:tc>
      </w:tr>
      <w:tr>
        <w:trPr>
          <w:trHeight w:val="287" w:hRule="exact"/>
        </w:trPr>
        <w:tc>
          <w:tcPr>
            <w:tcW w:w="3536" w:type="dxa"/>
          </w:tcPr>
          <w:p>
            <w:pPr>
              <w:pStyle w:val="TableParagraph"/>
              <w:spacing w:before="5"/>
              <w:ind w:left="99"/>
              <w:rPr>
                <w:sz w:val="20"/>
              </w:rPr>
            </w:pPr>
            <w:r>
              <w:rPr>
                <w:w w:val="115"/>
                <w:sz w:val="20"/>
              </w:rPr>
              <w:t>($1) and $0</w:t>
            </w:r>
          </w:p>
        </w:tc>
        <w:tc>
          <w:tcPr>
            <w:tcW w:w="1663" w:type="dxa"/>
          </w:tcPr>
          <w:p>
            <w:pPr>
              <w:pStyle w:val="TableParagraph"/>
              <w:tabs>
                <w:tab w:pos="1190" w:val="left" w:leader="none"/>
              </w:tabs>
              <w:spacing w:before="3"/>
              <w:ind w:right="139"/>
              <w:jc w:val="right"/>
              <w:rPr>
                <w:b/>
                <w:sz w:val="20"/>
              </w:rPr>
            </w:pPr>
            <w:r>
              <w:rPr>
                <w:b/>
                <w:w w:val="119"/>
                <w:sz w:val="20"/>
                <w:u w:val="thick"/>
              </w:rPr>
              <w:t> </w:t>
            </w:r>
            <w:r>
              <w:rPr>
                <w:b/>
                <w:sz w:val="20"/>
                <w:u w:val="thick"/>
              </w:rPr>
              <w:tab/>
            </w:r>
            <w:r>
              <w:rPr>
                <w:b/>
                <w:spacing w:val="-1"/>
                <w:w w:val="120"/>
                <w:sz w:val="20"/>
                <w:u w:val="thick"/>
              </w:rPr>
              <w:t>2</w:t>
            </w:r>
            <w:r>
              <w:rPr>
                <w:b/>
                <w:spacing w:val="18"/>
                <w:sz w:val="20"/>
                <w:u w:val="thick"/>
              </w:rPr>
              <w:t> </w:t>
            </w:r>
          </w:p>
        </w:tc>
        <w:tc>
          <w:tcPr>
            <w:tcW w:w="1715" w:type="dxa"/>
          </w:tcPr>
          <w:p>
            <w:pPr>
              <w:pStyle w:val="TableParagraph"/>
              <w:tabs>
                <w:tab w:pos="1123" w:val="left" w:leader="none"/>
              </w:tabs>
              <w:spacing w:before="5"/>
              <w:ind w:right="137"/>
              <w:jc w:val="right"/>
              <w:rPr>
                <w:sz w:val="20"/>
              </w:rPr>
            </w:pPr>
            <w:r>
              <w:rPr>
                <w:w w:val="119"/>
                <w:sz w:val="20"/>
                <w:u w:val="thick"/>
              </w:rPr>
              <w:t> </w:t>
            </w:r>
            <w:r>
              <w:rPr>
                <w:sz w:val="20"/>
                <w:u w:val="thick"/>
              </w:rPr>
              <w:tab/>
            </w:r>
            <w:r>
              <w:rPr>
                <w:w w:val="125"/>
                <w:sz w:val="20"/>
                <w:u w:val="thick"/>
              </w:rPr>
              <w:t>(2)</w:t>
            </w:r>
          </w:p>
        </w:tc>
        <w:tc>
          <w:tcPr>
            <w:tcW w:w="1607" w:type="dxa"/>
          </w:tcPr>
          <w:p>
            <w:pPr>
              <w:pStyle w:val="TableParagraph"/>
              <w:tabs>
                <w:tab w:pos="1123" w:val="left" w:leader="none"/>
              </w:tabs>
              <w:spacing w:before="5"/>
              <w:ind w:right="30"/>
              <w:jc w:val="right"/>
              <w:rPr>
                <w:sz w:val="20"/>
              </w:rPr>
            </w:pPr>
            <w:r>
              <w:rPr>
                <w:w w:val="119"/>
                <w:sz w:val="20"/>
                <w:u w:val="thick"/>
              </w:rPr>
              <w:t> </w:t>
            </w:r>
            <w:r>
              <w:rPr>
                <w:sz w:val="20"/>
                <w:u w:val="thick"/>
              </w:rPr>
              <w:tab/>
            </w:r>
            <w:r>
              <w:rPr>
                <w:spacing w:val="-2"/>
                <w:w w:val="125"/>
                <w:sz w:val="20"/>
                <w:u w:val="thick"/>
              </w:rPr>
              <w:t>(1)</w:t>
            </w:r>
          </w:p>
        </w:tc>
      </w:tr>
      <w:tr>
        <w:trPr>
          <w:trHeight w:val="294" w:hRule="exact"/>
        </w:trPr>
        <w:tc>
          <w:tcPr>
            <w:tcW w:w="3536" w:type="dxa"/>
          </w:tcPr>
          <w:p>
            <w:pPr>
              <w:pStyle w:val="TableParagraph"/>
              <w:spacing w:before="21"/>
              <w:ind w:left="32"/>
              <w:rPr>
                <w:sz w:val="20"/>
              </w:rPr>
            </w:pPr>
            <w:r>
              <w:rPr>
                <w:w w:val="110"/>
                <w:sz w:val="20"/>
              </w:rPr>
              <w:t>Total other comprehensive income</w:t>
            </w:r>
          </w:p>
        </w:tc>
        <w:tc>
          <w:tcPr>
            <w:tcW w:w="1663" w:type="dxa"/>
          </w:tcPr>
          <w:p>
            <w:pPr>
              <w:pStyle w:val="TableParagraph"/>
              <w:spacing w:before="18"/>
              <w:ind w:right="176"/>
              <w:jc w:val="right"/>
              <w:rPr>
                <w:b/>
                <w:sz w:val="20"/>
              </w:rPr>
            </w:pPr>
            <w:r>
              <w:rPr>
                <w:b/>
                <w:w w:val="120"/>
                <w:sz w:val="20"/>
              </w:rPr>
              <w:t>68</w:t>
            </w:r>
          </w:p>
        </w:tc>
        <w:tc>
          <w:tcPr>
            <w:tcW w:w="1715" w:type="dxa"/>
          </w:tcPr>
          <w:p>
            <w:pPr>
              <w:pStyle w:val="TableParagraph"/>
              <w:spacing w:before="21"/>
              <w:ind w:right="216"/>
              <w:jc w:val="right"/>
              <w:rPr>
                <w:sz w:val="20"/>
              </w:rPr>
            </w:pPr>
            <w:r>
              <w:rPr>
                <w:w w:val="115"/>
                <w:sz w:val="20"/>
              </w:rPr>
              <w:t>86</w:t>
            </w:r>
          </w:p>
        </w:tc>
        <w:tc>
          <w:tcPr>
            <w:tcW w:w="1607" w:type="dxa"/>
          </w:tcPr>
          <w:p>
            <w:pPr>
              <w:pStyle w:val="TableParagraph"/>
              <w:spacing w:before="21"/>
              <w:ind w:right="87"/>
              <w:jc w:val="right"/>
              <w:rPr>
                <w:sz w:val="20"/>
              </w:rPr>
            </w:pPr>
            <w:r>
              <w:rPr>
                <w:w w:val="120"/>
                <w:sz w:val="20"/>
              </w:rPr>
              <w:t>(32</w:t>
            </w:r>
          </w:p>
        </w:tc>
      </w:tr>
    </w:tbl>
    <w:p>
      <w:pPr>
        <w:pStyle w:val="BodyText"/>
        <w:spacing w:before="10"/>
        <w:rPr>
          <w:rFonts w:ascii="Arial"/>
        </w:rPr>
      </w:pPr>
    </w:p>
    <w:p>
      <w:pPr>
        <w:tabs>
          <w:tab w:pos="5592" w:val="left" w:leader="none"/>
          <w:tab w:pos="7306" w:val="left" w:leader="none"/>
        </w:tabs>
        <w:spacing w:line="21" w:lineRule="exact"/>
        <w:ind w:left="3912" w:right="0" w:firstLine="0"/>
        <w:rPr>
          <w:rFonts w:ascii="Arial"/>
          <w:sz w:val="2"/>
        </w:rPr>
      </w:pPr>
      <w:r>
        <w:rPr>
          <w:rFonts w:ascii="Arial"/>
          <w:sz w:val="2"/>
        </w:rPr>
        <w:pict>
          <v:group style="width:70.850pt;height:1.1pt;mso-position-horizontal-relative:char;mso-position-vertical-relative:line" coordorigin="0,0" coordsize="1417,22">
            <v:line style="position:absolute" from="1407,2" to="10,2" stroked="true" strokeweight=".12pt" strokecolor="#000000">
              <v:stroke dashstyle="solid"/>
            </v:line>
            <v:line style="position:absolute" from="10,11" to="1407,11" stroked="true" strokeweight=".95926pt" strokecolor="#000000">
              <v:stroke dashstyle="solid"/>
            </v:line>
          </v:group>
        </w:pict>
      </w:r>
      <w:r>
        <w:rPr>
          <w:rFonts w:ascii="Arial"/>
          <w:sz w:val="2"/>
        </w:rPr>
      </w:r>
      <w:r>
        <w:rPr>
          <w:rFonts w:ascii="Arial"/>
          <w:sz w:val="2"/>
        </w:rPr>
        <w:tab/>
      </w:r>
      <w:r>
        <w:rPr>
          <w:rFonts w:ascii="Arial"/>
          <w:sz w:val="2"/>
        </w:rPr>
        <w:pict>
          <v:group style="width:70.850pt;height:1.1pt;mso-position-horizontal-relative:char;mso-position-vertical-relative:line" coordorigin="0,0" coordsize="1417,22">
            <v:line style="position:absolute" from="1407,2" to="10,2" stroked="true" strokeweight=".12pt" strokecolor="#000000">
              <v:stroke dashstyle="solid"/>
            </v:line>
            <v:line style="position:absolute" from="10,11" to="1407,11" stroked="true" strokeweight=".95926pt" strokecolor="#000000">
              <v:stroke dashstyle="solid"/>
            </v:line>
          </v:group>
        </w:pict>
      </w:r>
      <w:r>
        <w:rPr>
          <w:rFonts w:ascii="Arial"/>
          <w:sz w:val="2"/>
        </w:rPr>
      </w:r>
      <w:r>
        <w:rPr>
          <w:rFonts w:ascii="Arial"/>
          <w:sz w:val="2"/>
        </w:rPr>
        <w:tab/>
      </w:r>
      <w:r>
        <w:rPr>
          <w:rFonts w:ascii="Arial"/>
          <w:sz w:val="2"/>
        </w:rPr>
        <w:pict>
          <v:group style="width:70.850pt;height:1.1pt;mso-position-horizontal-relative:char;mso-position-vertical-relative:line" coordorigin="0,0" coordsize="1417,22">
            <v:line style="position:absolute" from="1407,2" to="10,2" stroked="true" strokeweight=".12pt" strokecolor="#000000">
              <v:stroke dashstyle="solid"/>
            </v:line>
            <v:line style="position:absolute" from="10,11" to="1407,11" stroked="true" strokeweight=".95926pt" strokecolor="#000000">
              <v:stroke dashstyle="solid"/>
            </v:line>
          </v:group>
        </w:pict>
      </w:r>
      <w:r>
        <w:rPr>
          <w:rFonts w:ascii="Arial"/>
          <w:sz w:val="2"/>
        </w:rPr>
      </w:r>
    </w:p>
    <w:p>
      <w:pPr>
        <w:spacing w:after="0" w:line="21" w:lineRule="exact"/>
        <w:rPr>
          <w:rFonts w:ascii="Arial"/>
          <w:sz w:val="2"/>
        </w:rPr>
        <w:sectPr>
          <w:type w:val="continuous"/>
          <w:pgSz w:w="12240" w:h="15840"/>
          <w:pgMar w:top="320" w:bottom="280" w:left="1180" w:right="1180"/>
        </w:sectPr>
      </w:pPr>
    </w:p>
    <w:p>
      <w:pPr>
        <w:spacing w:before="37"/>
        <w:ind w:left="161" w:right="0" w:firstLine="0"/>
        <w:jc w:val="left"/>
        <w:rPr>
          <w:rFonts w:ascii="Arial"/>
          <w:b/>
          <w:sz w:val="20"/>
        </w:rPr>
      </w:pPr>
      <w:r>
        <w:rPr>
          <w:rFonts w:ascii="Arial"/>
          <w:b/>
          <w:sz w:val="20"/>
        </w:rPr>
        <w:t>Comprehensive income</w:t>
      </w:r>
    </w:p>
    <w:p>
      <w:pPr>
        <w:tabs>
          <w:tab w:pos="1150" w:val="left" w:leader="none"/>
        </w:tabs>
        <w:spacing w:before="37"/>
        <w:ind w:left="161" w:right="0" w:firstLine="0"/>
        <w:jc w:val="left"/>
        <w:rPr>
          <w:rFonts w:ascii="Arial"/>
          <w:b/>
          <w:sz w:val="20"/>
        </w:rPr>
      </w:pPr>
      <w:r>
        <w:rPr/>
        <w:br w:type="column"/>
      </w:r>
      <w:r>
        <w:rPr>
          <w:rFonts w:ascii="Arial"/>
          <w:b/>
          <w:w w:val="119"/>
          <w:sz w:val="20"/>
          <w:u w:val="thick"/>
        </w:rPr>
        <w:t> </w:t>
      </w:r>
      <w:r>
        <w:rPr>
          <w:rFonts w:ascii="Arial"/>
          <w:b/>
          <w:spacing w:val="-19"/>
          <w:sz w:val="20"/>
          <w:u w:val="thick"/>
        </w:rPr>
        <w:t> </w:t>
      </w:r>
      <w:r>
        <w:rPr>
          <w:rFonts w:ascii="Arial"/>
          <w:b/>
          <w:w w:val="120"/>
          <w:sz w:val="20"/>
          <w:u w:val="thick"/>
        </w:rPr>
        <w:t>$</w:t>
        <w:tab/>
        <w:t>510</w:t>
      </w:r>
    </w:p>
    <w:p>
      <w:pPr>
        <w:tabs>
          <w:tab w:pos="1150" w:val="left" w:leader="none"/>
        </w:tabs>
        <w:spacing w:before="40"/>
        <w:ind w:left="161" w:right="0" w:firstLine="0"/>
        <w:jc w:val="left"/>
        <w:rPr>
          <w:rFonts w:ascii="Arial"/>
          <w:sz w:val="20"/>
        </w:rPr>
      </w:pPr>
      <w:r>
        <w:rPr/>
        <w:br w:type="column"/>
      </w:r>
      <w:r>
        <w:rPr>
          <w:rFonts w:ascii="Arial"/>
          <w:w w:val="119"/>
          <w:sz w:val="20"/>
          <w:u w:val="thick"/>
        </w:rPr>
        <w:t> </w:t>
      </w:r>
      <w:r>
        <w:rPr>
          <w:rFonts w:ascii="Arial"/>
          <w:spacing w:val="-19"/>
          <w:sz w:val="20"/>
          <w:u w:val="thick"/>
        </w:rPr>
        <w:t> </w:t>
      </w:r>
      <w:r>
        <w:rPr>
          <w:rFonts w:ascii="Arial"/>
          <w:w w:val="120"/>
          <w:sz w:val="20"/>
          <w:u w:val="thick"/>
        </w:rPr>
        <w:t>$</w:t>
        <w:tab/>
      </w:r>
      <w:r>
        <w:rPr>
          <w:rFonts w:ascii="Arial"/>
          <w:w w:val="115"/>
          <w:sz w:val="20"/>
          <w:u w:val="thick"/>
        </w:rPr>
        <w:t>327</w:t>
      </w:r>
    </w:p>
    <w:p>
      <w:pPr>
        <w:tabs>
          <w:tab w:pos="1150" w:val="left" w:leader="none"/>
        </w:tabs>
        <w:spacing w:before="40"/>
        <w:ind w:left="161" w:right="0" w:firstLine="0"/>
        <w:jc w:val="left"/>
        <w:rPr>
          <w:rFonts w:ascii="Arial"/>
          <w:sz w:val="20"/>
        </w:rPr>
      </w:pPr>
      <w:r>
        <w:rPr/>
        <w:br w:type="column"/>
      </w:r>
      <w:r>
        <w:rPr>
          <w:rFonts w:ascii="Arial"/>
          <w:w w:val="119"/>
          <w:sz w:val="20"/>
          <w:u w:val="thick"/>
        </w:rPr>
        <w:t> </w:t>
      </w:r>
      <w:r>
        <w:rPr>
          <w:rFonts w:ascii="Arial"/>
          <w:spacing w:val="-19"/>
          <w:sz w:val="20"/>
          <w:u w:val="thick"/>
        </w:rPr>
        <w:t> </w:t>
      </w:r>
      <w:r>
        <w:rPr>
          <w:rFonts w:ascii="Arial"/>
          <w:w w:val="120"/>
          <w:sz w:val="20"/>
          <w:u w:val="thick"/>
        </w:rPr>
        <w:t>$</w:t>
        <w:tab/>
        <w:t>479</w:t>
      </w:r>
    </w:p>
    <w:p>
      <w:pPr>
        <w:spacing w:after="0"/>
        <w:jc w:val="left"/>
        <w:rPr>
          <w:rFonts w:ascii="Arial"/>
          <w:sz w:val="20"/>
        </w:rPr>
        <w:sectPr>
          <w:type w:val="continuous"/>
          <w:pgSz w:w="12240" w:h="15840"/>
          <w:pgMar w:top="320" w:bottom="280" w:left="1180" w:right="1180"/>
          <w:cols w:num="4" w:equalWidth="0">
            <w:col w:w="2425" w:space="1336"/>
            <w:col w:w="1557" w:space="123"/>
            <w:col w:w="1550" w:space="164"/>
            <w:col w:w="2725"/>
          </w:cols>
        </w:sectPr>
      </w:pPr>
    </w:p>
    <w:p>
      <w:pPr>
        <w:pStyle w:val="BodyText"/>
        <w:spacing w:line="220" w:lineRule="exact" w:before="117"/>
        <w:ind w:left="135"/>
      </w:pPr>
      <w:bookmarkStart w:name="Common Stock" w:id="54"/>
      <w:bookmarkEnd w:id="54"/>
      <w:r>
        <w:rPr/>
      </w:r>
      <w:bookmarkStart w:name="Stock Plans" w:id="55"/>
      <w:bookmarkEnd w:id="55"/>
      <w:r>
        <w:rPr/>
      </w:r>
      <w:r>
        <w:rPr>
          <w:w w:val="105"/>
        </w:rPr>
        <w:t>A rollforward of the amounts included in "Accumulated other comprehensive income (loss)", net of taxes for 2003, 2002, and 2001, is shown below:</w:t>
      </w:r>
    </w:p>
    <w:p>
      <w:pPr>
        <w:pStyle w:val="BodyText"/>
        <w:spacing w:before="10"/>
        <w:rPr>
          <w:sz w:val="16"/>
        </w:rPr>
      </w:pPr>
      <w:r>
        <w:rPr/>
        <w:pict>
          <v:group style="position:absolute;margin-left:64.779999pt;margin-top:11.655237pt;width:470.45pt;height:1.1pt;mso-position-horizontal-relative:page;mso-position-vertical-relative:paragraph;z-index:6736;mso-wrap-distance-left:0;mso-wrap-distance-right:0" coordorigin="1296,233" coordsize="9409,22">
            <v:line style="position:absolute" from="10694,235" to="1306,235" stroked="true" strokeweight=".12pt" strokecolor="#000000">
              <v:stroke dashstyle="solid"/>
            </v:line>
            <v:line style="position:absolute" from="1306,244" to="10694,244" stroked="true" strokeweight=".95923pt" strokecolor="#000000">
              <v:stroke dashstyle="solid"/>
            </v:line>
            <w10:wrap type="topAndBottom"/>
          </v:group>
        </w:pict>
      </w:r>
    </w:p>
    <w:p>
      <w:pPr>
        <w:tabs>
          <w:tab w:pos="7826" w:val="left" w:leader="none"/>
        </w:tabs>
        <w:spacing w:line="229" w:lineRule="exact" w:before="0"/>
        <w:ind w:left="4897" w:right="0" w:firstLine="0"/>
        <w:jc w:val="left"/>
        <w:rPr>
          <w:rFonts w:ascii="Arial"/>
          <w:sz w:val="20"/>
        </w:rPr>
      </w:pPr>
      <w:r>
        <w:rPr>
          <w:rFonts w:ascii="Arial"/>
          <w:w w:val="110"/>
          <w:sz w:val="20"/>
        </w:rPr>
        <w:t>Fuel</w:t>
        <w:tab/>
        <w:t>Accumulated</w:t>
      </w:r>
      <w:r>
        <w:rPr>
          <w:rFonts w:ascii="Arial"/>
          <w:spacing w:val="-4"/>
          <w:w w:val="110"/>
          <w:sz w:val="20"/>
        </w:rPr>
        <w:t> </w:t>
      </w:r>
      <w:r>
        <w:rPr>
          <w:rFonts w:ascii="Arial"/>
          <w:w w:val="110"/>
          <w:sz w:val="20"/>
        </w:rPr>
        <w:t>othe</w:t>
      </w:r>
    </w:p>
    <w:p>
      <w:pPr>
        <w:tabs>
          <w:tab w:pos="7982" w:val="left" w:leader="none"/>
        </w:tabs>
        <w:spacing w:before="41"/>
        <w:ind w:left="4837" w:right="0" w:firstLine="0"/>
        <w:jc w:val="left"/>
        <w:rPr>
          <w:rFonts w:ascii="Arial"/>
          <w:sz w:val="20"/>
        </w:rPr>
      </w:pPr>
      <w:r>
        <w:rPr>
          <w:rFonts w:ascii="Arial"/>
          <w:w w:val="105"/>
          <w:sz w:val="20"/>
        </w:rPr>
        <w:t>hedge</w:t>
        <w:tab/>
        <w:t>comprehensive</w:t>
      </w:r>
    </w:p>
    <w:p>
      <w:pPr>
        <w:tabs>
          <w:tab w:pos="4638" w:val="left" w:leader="none"/>
          <w:tab w:pos="6424" w:val="left" w:leader="none"/>
          <w:tab w:pos="8044" w:val="left" w:leader="none"/>
        </w:tabs>
        <w:spacing w:before="41" w:after="3"/>
        <w:ind w:left="181" w:right="0" w:firstLine="0"/>
        <w:jc w:val="both"/>
        <w:rPr>
          <w:rFonts w:ascii="Arial"/>
          <w:sz w:val="20"/>
        </w:rPr>
      </w:pPr>
      <w:r>
        <w:rPr>
          <w:rFonts w:ascii="Arial"/>
          <w:w w:val="110"/>
          <w:sz w:val="20"/>
        </w:rPr>
        <w:t>(In</w:t>
      </w:r>
      <w:r>
        <w:rPr>
          <w:rFonts w:ascii="Arial"/>
          <w:spacing w:val="-3"/>
          <w:w w:val="110"/>
          <w:sz w:val="20"/>
        </w:rPr>
        <w:t> </w:t>
      </w:r>
      <w:r>
        <w:rPr>
          <w:rFonts w:ascii="Arial"/>
          <w:w w:val="110"/>
          <w:sz w:val="20"/>
        </w:rPr>
        <w:t>millions)</w:t>
        <w:tab/>
        <w:t>derivatives</w:t>
        <w:tab/>
        <w:t>Other</w:t>
        <w:tab/>
        <w:t>income</w:t>
      </w:r>
      <w:r>
        <w:rPr>
          <w:rFonts w:ascii="Arial"/>
          <w:spacing w:val="-13"/>
          <w:w w:val="110"/>
          <w:sz w:val="20"/>
        </w:rPr>
        <w:t> </w:t>
      </w:r>
      <w:r>
        <w:rPr>
          <w:rFonts w:ascii="Arial"/>
          <w:w w:val="110"/>
          <w:sz w:val="20"/>
        </w:rPr>
        <w:t>(loss)</w:t>
      </w:r>
    </w:p>
    <w:tbl>
      <w:tblPr>
        <w:tblW w:w="0" w:type="auto"/>
        <w:jc w:val="left"/>
        <w:tblInd w:w="10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739"/>
        <w:gridCol w:w="2053"/>
        <w:gridCol w:w="1586"/>
        <w:gridCol w:w="2053"/>
      </w:tblGrid>
      <w:tr>
        <w:trPr>
          <w:trHeight w:val="369" w:hRule="exact"/>
        </w:trPr>
        <w:tc>
          <w:tcPr>
            <w:tcW w:w="3739" w:type="dxa"/>
            <w:tcBorders>
              <w:top w:val="single" w:sz="8" w:space="0" w:color="000000"/>
            </w:tcBorders>
          </w:tcPr>
          <w:p>
            <w:pPr>
              <w:pStyle w:val="TableParagraph"/>
              <w:spacing w:before="29"/>
              <w:ind w:left="145"/>
              <w:rPr>
                <w:sz w:val="20"/>
              </w:rPr>
            </w:pPr>
            <w:r>
              <w:rPr>
                <w:w w:val="110"/>
                <w:sz w:val="20"/>
              </w:rPr>
              <w:t>Balance at December 31, 2001</w:t>
            </w:r>
          </w:p>
        </w:tc>
        <w:tc>
          <w:tcPr>
            <w:tcW w:w="2053" w:type="dxa"/>
            <w:tcBorders>
              <w:top w:val="single" w:sz="8" w:space="0" w:color="000000"/>
            </w:tcBorders>
          </w:tcPr>
          <w:p>
            <w:pPr>
              <w:pStyle w:val="TableParagraph"/>
              <w:tabs>
                <w:tab w:pos="834" w:val="left" w:leader="none"/>
              </w:tabs>
              <w:spacing w:before="29"/>
              <w:ind w:right="101"/>
              <w:jc w:val="right"/>
              <w:rPr>
                <w:sz w:val="20"/>
              </w:rPr>
            </w:pPr>
            <w:r>
              <w:rPr>
                <w:w w:val="120"/>
                <w:sz w:val="20"/>
              </w:rPr>
              <w:t>$</w:t>
              <w:tab/>
            </w:r>
            <w:r>
              <w:rPr>
                <w:spacing w:val="-1"/>
                <w:w w:val="120"/>
                <w:sz w:val="20"/>
              </w:rPr>
              <w:t>(31)</w:t>
            </w:r>
          </w:p>
        </w:tc>
        <w:tc>
          <w:tcPr>
            <w:tcW w:w="1586" w:type="dxa"/>
            <w:tcBorders>
              <w:top w:val="single" w:sz="8" w:space="0" w:color="000000"/>
            </w:tcBorders>
          </w:tcPr>
          <w:p>
            <w:pPr>
              <w:pStyle w:val="TableParagraph"/>
              <w:tabs>
                <w:tab w:pos="935" w:val="left" w:leader="none"/>
              </w:tabs>
              <w:spacing w:before="29"/>
              <w:ind w:right="141"/>
              <w:jc w:val="right"/>
              <w:rPr>
                <w:sz w:val="20"/>
              </w:rPr>
            </w:pPr>
            <w:r>
              <w:rPr>
                <w:w w:val="125"/>
                <w:sz w:val="20"/>
              </w:rPr>
              <w:t>$</w:t>
              <w:tab/>
              <w:t>(1)</w:t>
            </w:r>
          </w:p>
        </w:tc>
        <w:tc>
          <w:tcPr>
            <w:tcW w:w="2053" w:type="dxa"/>
            <w:tcBorders>
              <w:top w:val="single" w:sz="8" w:space="0" w:color="000000"/>
            </w:tcBorders>
          </w:tcPr>
          <w:p>
            <w:pPr>
              <w:pStyle w:val="TableParagraph"/>
              <w:tabs>
                <w:tab w:pos="1439" w:val="left" w:leader="none"/>
              </w:tabs>
              <w:spacing w:before="29"/>
              <w:ind w:right="17"/>
              <w:jc w:val="right"/>
              <w:rPr>
                <w:sz w:val="20"/>
              </w:rPr>
            </w:pPr>
            <w:r>
              <w:rPr>
                <w:w w:val="120"/>
                <w:sz w:val="20"/>
              </w:rPr>
              <w:t>$</w:t>
              <w:tab/>
              <w:t>(32</w:t>
            </w:r>
          </w:p>
        </w:tc>
      </w:tr>
      <w:tr>
        <w:trPr>
          <w:trHeight w:val="335" w:hRule="exact"/>
        </w:trPr>
        <w:tc>
          <w:tcPr>
            <w:tcW w:w="3739" w:type="dxa"/>
          </w:tcPr>
          <w:p>
            <w:pPr>
              <w:pStyle w:val="TableParagraph"/>
              <w:spacing w:before="68"/>
              <w:ind w:left="211"/>
              <w:rPr>
                <w:sz w:val="20"/>
              </w:rPr>
            </w:pPr>
            <w:r>
              <w:rPr>
                <w:w w:val="110"/>
                <w:sz w:val="20"/>
              </w:rPr>
              <w:t>2002 changes in fair value</w:t>
            </w:r>
          </w:p>
        </w:tc>
        <w:tc>
          <w:tcPr>
            <w:tcW w:w="2053" w:type="dxa"/>
          </w:tcPr>
          <w:p>
            <w:pPr>
              <w:pStyle w:val="TableParagraph"/>
              <w:spacing w:before="68"/>
              <w:ind w:right="180"/>
              <w:jc w:val="right"/>
              <w:rPr>
                <w:sz w:val="20"/>
              </w:rPr>
            </w:pPr>
            <w:r>
              <w:rPr>
                <w:w w:val="120"/>
                <w:sz w:val="20"/>
              </w:rPr>
              <w:t>110</w:t>
            </w:r>
          </w:p>
        </w:tc>
        <w:tc>
          <w:tcPr>
            <w:tcW w:w="1586" w:type="dxa"/>
          </w:tcPr>
          <w:p>
            <w:pPr>
              <w:pStyle w:val="TableParagraph"/>
              <w:spacing w:before="68"/>
              <w:ind w:right="141"/>
              <w:jc w:val="right"/>
              <w:rPr>
                <w:sz w:val="20"/>
              </w:rPr>
            </w:pPr>
            <w:r>
              <w:rPr>
                <w:w w:val="125"/>
                <w:sz w:val="20"/>
              </w:rPr>
              <w:t>(2)</w:t>
            </w:r>
          </w:p>
        </w:tc>
        <w:tc>
          <w:tcPr>
            <w:tcW w:w="2053" w:type="dxa"/>
          </w:tcPr>
          <w:p>
            <w:pPr>
              <w:pStyle w:val="TableParagraph"/>
              <w:spacing w:before="68"/>
              <w:ind w:right="7"/>
              <w:jc w:val="right"/>
              <w:rPr>
                <w:sz w:val="20"/>
              </w:rPr>
            </w:pPr>
            <w:r>
              <w:rPr>
                <w:w w:val="120"/>
                <w:sz w:val="20"/>
              </w:rPr>
              <w:t>108</w:t>
            </w:r>
          </w:p>
        </w:tc>
      </w:tr>
      <w:tr>
        <w:trPr>
          <w:trHeight w:val="271" w:hRule="exact"/>
        </w:trPr>
        <w:tc>
          <w:tcPr>
            <w:tcW w:w="3739" w:type="dxa"/>
          </w:tcPr>
          <w:p>
            <w:pPr>
              <w:pStyle w:val="TableParagraph"/>
              <w:spacing w:before="4"/>
              <w:ind w:left="211"/>
              <w:rPr>
                <w:sz w:val="20"/>
              </w:rPr>
            </w:pPr>
            <w:r>
              <w:rPr>
                <w:w w:val="110"/>
                <w:sz w:val="20"/>
              </w:rPr>
              <w:t>Reclassification to earnings</w:t>
            </w:r>
          </w:p>
        </w:tc>
        <w:tc>
          <w:tcPr>
            <w:tcW w:w="2053" w:type="dxa"/>
          </w:tcPr>
          <w:p>
            <w:pPr>
              <w:pStyle w:val="TableParagraph"/>
              <w:tabs>
                <w:tab w:pos="936" w:val="left" w:leader="none"/>
              </w:tabs>
              <w:spacing w:before="4"/>
              <w:ind w:right="101"/>
              <w:jc w:val="right"/>
              <w:rPr>
                <w:sz w:val="20"/>
              </w:rPr>
            </w:pPr>
            <w:r>
              <w:rPr>
                <w:w w:val="119"/>
                <w:sz w:val="20"/>
                <w:u w:val="thick"/>
              </w:rPr>
              <w:t> </w:t>
            </w:r>
            <w:r>
              <w:rPr>
                <w:sz w:val="20"/>
                <w:u w:val="thick"/>
              </w:rPr>
              <w:tab/>
            </w:r>
            <w:r>
              <w:rPr>
                <w:spacing w:val="-1"/>
                <w:w w:val="125"/>
                <w:sz w:val="20"/>
                <w:u w:val="thick"/>
              </w:rPr>
              <w:t>(22</w:t>
            </w:r>
            <w:r>
              <w:rPr>
                <w:spacing w:val="-1"/>
                <w:w w:val="125"/>
                <w:sz w:val="20"/>
              </w:rPr>
              <w:t>)</w:t>
            </w:r>
          </w:p>
        </w:tc>
        <w:tc>
          <w:tcPr>
            <w:tcW w:w="1586" w:type="dxa"/>
          </w:tcPr>
          <w:p>
            <w:pPr>
              <w:pStyle w:val="TableParagraph"/>
              <w:tabs>
                <w:tab w:pos="940" w:val="left" w:leader="none"/>
                <w:tab w:pos="1312" w:val="left" w:leader="none"/>
              </w:tabs>
              <w:spacing w:before="4"/>
              <w:ind w:right="178"/>
              <w:jc w:val="right"/>
              <w:rPr>
                <w:sz w:val="20"/>
              </w:rPr>
            </w:pPr>
            <w:r>
              <w:rPr>
                <w:w w:val="119"/>
                <w:sz w:val="20"/>
                <w:u w:val="thick"/>
              </w:rPr>
              <w:t> </w:t>
            </w:r>
            <w:r>
              <w:rPr>
                <w:sz w:val="20"/>
                <w:u w:val="thick"/>
              </w:rPr>
              <w:tab/>
            </w:r>
            <w:r>
              <w:rPr>
                <w:spacing w:val="-1"/>
                <w:w w:val="110"/>
                <w:sz w:val="20"/>
                <w:u w:val="thick"/>
              </w:rPr>
              <w:t>-</w:t>
            </w:r>
            <w:r>
              <w:rPr>
                <w:spacing w:val="-1"/>
                <w:sz w:val="20"/>
                <w:u w:val="thick"/>
              </w:rPr>
              <w:tab/>
            </w:r>
          </w:p>
        </w:tc>
        <w:tc>
          <w:tcPr>
            <w:tcW w:w="2053" w:type="dxa"/>
          </w:tcPr>
          <w:p>
            <w:pPr>
              <w:pStyle w:val="TableParagraph"/>
              <w:tabs>
                <w:tab w:pos="1542" w:val="left" w:leader="none"/>
              </w:tabs>
              <w:spacing w:before="4"/>
              <w:ind w:right="17"/>
              <w:jc w:val="right"/>
              <w:rPr>
                <w:sz w:val="20"/>
              </w:rPr>
            </w:pPr>
            <w:r>
              <w:rPr>
                <w:w w:val="119"/>
                <w:sz w:val="20"/>
                <w:u w:val="thick"/>
              </w:rPr>
              <w:t> </w:t>
            </w:r>
            <w:r>
              <w:rPr>
                <w:sz w:val="20"/>
                <w:u w:val="thick"/>
              </w:rPr>
              <w:tab/>
            </w:r>
            <w:r>
              <w:rPr>
                <w:w w:val="120"/>
                <w:sz w:val="20"/>
                <w:u w:val="thick"/>
              </w:rPr>
              <w:t>(22</w:t>
            </w:r>
          </w:p>
        </w:tc>
      </w:tr>
      <w:tr>
        <w:trPr>
          <w:trHeight w:val="333" w:hRule="exact"/>
        </w:trPr>
        <w:tc>
          <w:tcPr>
            <w:tcW w:w="3739" w:type="dxa"/>
          </w:tcPr>
          <w:p>
            <w:pPr>
              <w:pStyle w:val="TableParagraph"/>
              <w:spacing w:before="4"/>
              <w:ind w:left="78"/>
              <w:rPr>
                <w:sz w:val="20"/>
              </w:rPr>
            </w:pPr>
            <w:r>
              <w:rPr>
                <w:w w:val="110"/>
                <w:sz w:val="20"/>
              </w:rPr>
              <w:t>Balance at December 31, 2002</w:t>
            </w:r>
          </w:p>
        </w:tc>
        <w:tc>
          <w:tcPr>
            <w:tcW w:w="2053" w:type="dxa"/>
          </w:tcPr>
          <w:p>
            <w:pPr>
              <w:pStyle w:val="TableParagraph"/>
              <w:spacing w:before="4"/>
              <w:ind w:right="211"/>
              <w:jc w:val="right"/>
              <w:rPr>
                <w:sz w:val="20"/>
              </w:rPr>
            </w:pPr>
            <w:r>
              <w:rPr>
                <w:w w:val="115"/>
                <w:sz w:val="20"/>
              </w:rPr>
              <w:t>57</w:t>
            </w:r>
          </w:p>
        </w:tc>
        <w:tc>
          <w:tcPr>
            <w:tcW w:w="1586" w:type="dxa"/>
          </w:tcPr>
          <w:p>
            <w:pPr>
              <w:pStyle w:val="TableParagraph"/>
              <w:spacing w:before="4"/>
              <w:ind w:right="141"/>
              <w:jc w:val="right"/>
              <w:rPr>
                <w:sz w:val="20"/>
              </w:rPr>
            </w:pPr>
            <w:r>
              <w:rPr>
                <w:w w:val="125"/>
                <w:sz w:val="20"/>
              </w:rPr>
              <w:t>(3)</w:t>
            </w:r>
          </w:p>
        </w:tc>
        <w:tc>
          <w:tcPr>
            <w:tcW w:w="2053" w:type="dxa"/>
          </w:tcPr>
          <w:p>
            <w:pPr>
              <w:pStyle w:val="TableParagraph"/>
              <w:spacing w:before="4"/>
              <w:ind w:right="39"/>
              <w:jc w:val="right"/>
              <w:rPr>
                <w:sz w:val="20"/>
              </w:rPr>
            </w:pPr>
            <w:r>
              <w:rPr>
                <w:w w:val="115"/>
                <w:sz w:val="20"/>
              </w:rPr>
              <w:t>54</w:t>
            </w:r>
          </w:p>
        </w:tc>
      </w:tr>
      <w:tr>
        <w:trPr>
          <w:trHeight w:val="333" w:hRule="exact"/>
        </w:trPr>
        <w:tc>
          <w:tcPr>
            <w:tcW w:w="3739" w:type="dxa"/>
          </w:tcPr>
          <w:p>
            <w:pPr>
              <w:pStyle w:val="TableParagraph"/>
              <w:spacing w:before="66"/>
              <w:ind w:left="228"/>
              <w:rPr>
                <w:b/>
                <w:sz w:val="20"/>
              </w:rPr>
            </w:pPr>
            <w:r>
              <w:rPr>
                <w:b/>
                <w:color w:val="0000FF"/>
                <w:sz w:val="20"/>
              </w:rPr>
              <w:t>2003 changes in fair   value</w:t>
            </w:r>
          </w:p>
        </w:tc>
        <w:tc>
          <w:tcPr>
            <w:tcW w:w="2053" w:type="dxa"/>
          </w:tcPr>
          <w:p>
            <w:pPr>
              <w:pStyle w:val="TableParagraph"/>
              <w:spacing w:before="66"/>
              <w:ind w:right="172"/>
              <w:jc w:val="right"/>
              <w:rPr>
                <w:b/>
                <w:sz w:val="20"/>
              </w:rPr>
            </w:pPr>
            <w:r>
              <w:rPr>
                <w:b/>
                <w:color w:val="0000FF"/>
                <w:w w:val="120"/>
                <w:sz w:val="20"/>
              </w:rPr>
              <w:t>157</w:t>
            </w:r>
          </w:p>
        </w:tc>
        <w:tc>
          <w:tcPr>
            <w:tcW w:w="1586" w:type="dxa"/>
          </w:tcPr>
          <w:p>
            <w:pPr>
              <w:pStyle w:val="TableParagraph"/>
              <w:spacing w:before="66"/>
              <w:ind w:right="252"/>
              <w:jc w:val="right"/>
              <w:rPr>
                <w:b/>
                <w:sz w:val="20"/>
              </w:rPr>
            </w:pPr>
            <w:r>
              <w:rPr>
                <w:b/>
                <w:color w:val="0000FF"/>
                <w:w w:val="119"/>
                <w:sz w:val="20"/>
              </w:rPr>
              <w:t>2</w:t>
            </w:r>
          </w:p>
        </w:tc>
        <w:tc>
          <w:tcPr>
            <w:tcW w:w="2053" w:type="dxa"/>
          </w:tcPr>
          <w:p>
            <w:pPr>
              <w:pStyle w:val="TableParagraph"/>
              <w:spacing w:before="66"/>
              <w:jc w:val="right"/>
              <w:rPr>
                <w:b/>
                <w:sz w:val="20"/>
              </w:rPr>
            </w:pPr>
            <w:r>
              <w:rPr>
                <w:b/>
                <w:color w:val="0000FF"/>
                <w:w w:val="120"/>
                <w:sz w:val="20"/>
              </w:rPr>
              <w:t>159</w:t>
            </w:r>
          </w:p>
        </w:tc>
      </w:tr>
      <w:tr>
        <w:trPr>
          <w:trHeight w:val="269" w:hRule="exact"/>
        </w:trPr>
        <w:tc>
          <w:tcPr>
            <w:tcW w:w="3739" w:type="dxa"/>
          </w:tcPr>
          <w:p>
            <w:pPr>
              <w:pStyle w:val="TableParagraph"/>
              <w:spacing w:before="4"/>
              <w:ind w:left="234"/>
              <w:rPr>
                <w:b/>
                <w:sz w:val="20"/>
              </w:rPr>
            </w:pPr>
            <w:r>
              <w:rPr>
                <w:b/>
                <w:color w:val="0000FF"/>
                <w:sz w:val="20"/>
              </w:rPr>
              <w:t>Reclassification to earnings</w:t>
            </w:r>
          </w:p>
        </w:tc>
        <w:tc>
          <w:tcPr>
            <w:tcW w:w="2053" w:type="dxa"/>
          </w:tcPr>
          <w:p>
            <w:pPr>
              <w:pStyle w:val="TableParagraph"/>
              <w:tabs>
                <w:tab w:pos="937" w:val="left" w:leader="none"/>
              </w:tabs>
              <w:spacing w:before="4"/>
              <w:ind w:right="91"/>
              <w:jc w:val="right"/>
              <w:rPr>
                <w:b/>
                <w:sz w:val="20"/>
              </w:rPr>
            </w:pPr>
            <w:r>
              <w:rPr>
                <w:b/>
                <w:color w:val="0000FF"/>
                <w:w w:val="119"/>
                <w:sz w:val="20"/>
                <w:u w:val="thick" w:color="000000"/>
              </w:rPr>
              <w:t> </w:t>
            </w:r>
            <w:r>
              <w:rPr>
                <w:b/>
                <w:color w:val="0000FF"/>
                <w:sz w:val="20"/>
                <w:u w:val="thick" w:color="000000"/>
              </w:rPr>
              <w:tab/>
            </w:r>
            <w:r>
              <w:rPr>
                <w:b/>
                <w:color w:val="0000FF"/>
                <w:w w:val="125"/>
                <w:sz w:val="20"/>
                <w:u w:val="thick" w:color="000000"/>
              </w:rPr>
              <w:t>(91</w:t>
            </w:r>
            <w:r>
              <w:rPr>
                <w:b/>
                <w:color w:val="0000FF"/>
                <w:w w:val="125"/>
                <w:sz w:val="20"/>
              </w:rPr>
              <w:t>)</w:t>
            </w:r>
          </w:p>
        </w:tc>
        <w:tc>
          <w:tcPr>
            <w:tcW w:w="1586" w:type="dxa"/>
          </w:tcPr>
          <w:p>
            <w:pPr>
              <w:pStyle w:val="TableParagraph"/>
              <w:tabs>
                <w:tab w:pos="937" w:val="left" w:leader="none"/>
                <w:tab w:pos="1312" w:val="left" w:leader="none"/>
              </w:tabs>
              <w:spacing w:before="4"/>
              <w:ind w:right="178"/>
              <w:jc w:val="right"/>
              <w:rPr>
                <w:b/>
                <w:sz w:val="20"/>
              </w:rPr>
            </w:pPr>
            <w:r>
              <w:rPr>
                <w:b/>
                <w:color w:val="0000FF"/>
                <w:w w:val="119"/>
                <w:sz w:val="20"/>
                <w:u w:val="thick" w:color="000000"/>
              </w:rPr>
              <w:t> </w:t>
            </w:r>
            <w:r>
              <w:rPr>
                <w:b/>
                <w:color w:val="0000FF"/>
                <w:sz w:val="20"/>
                <w:u w:val="thick" w:color="000000"/>
              </w:rPr>
              <w:tab/>
            </w:r>
            <w:r>
              <w:rPr>
                <w:b/>
                <w:color w:val="0000FF"/>
                <w:w w:val="110"/>
                <w:sz w:val="20"/>
                <w:u w:val="thick" w:color="000000"/>
              </w:rPr>
              <w:t>-</w:t>
            </w:r>
            <w:r>
              <w:rPr>
                <w:b/>
                <w:color w:val="0000FF"/>
                <w:sz w:val="20"/>
                <w:u w:val="thick" w:color="000000"/>
              </w:rPr>
              <w:tab/>
            </w:r>
          </w:p>
        </w:tc>
        <w:tc>
          <w:tcPr>
            <w:tcW w:w="2053" w:type="dxa"/>
          </w:tcPr>
          <w:p>
            <w:pPr>
              <w:pStyle w:val="TableParagraph"/>
              <w:tabs>
                <w:tab w:pos="1542" w:val="left" w:leader="none"/>
              </w:tabs>
              <w:spacing w:before="4"/>
              <w:ind w:right="11"/>
              <w:jc w:val="right"/>
              <w:rPr>
                <w:b/>
                <w:sz w:val="20"/>
              </w:rPr>
            </w:pPr>
            <w:r>
              <w:rPr>
                <w:b/>
                <w:color w:val="0000FF"/>
                <w:w w:val="119"/>
                <w:sz w:val="20"/>
                <w:u w:val="thick" w:color="000000"/>
              </w:rPr>
              <w:t> </w:t>
            </w:r>
            <w:r>
              <w:rPr>
                <w:b/>
                <w:color w:val="0000FF"/>
                <w:sz w:val="20"/>
                <w:u w:val="thick" w:color="000000"/>
              </w:rPr>
              <w:tab/>
            </w:r>
            <w:r>
              <w:rPr>
                <w:b/>
                <w:color w:val="0000FF"/>
                <w:w w:val="120"/>
                <w:sz w:val="20"/>
                <w:u w:val="thick" w:color="000000"/>
              </w:rPr>
              <w:t>(91</w:t>
            </w:r>
          </w:p>
        </w:tc>
      </w:tr>
      <w:tr>
        <w:trPr>
          <w:trHeight w:val="353" w:hRule="exact"/>
        </w:trPr>
        <w:tc>
          <w:tcPr>
            <w:tcW w:w="3739" w:type="dxa"/>
          </w:tcPr>
          <w:p>
            <w:pPr>
              <w:pStyle w:val="TableParagraph"/>
              <w:spacing w:before="2"/>
              <w:ind w:left="78"/>
              <w:rPr>
                <w:b/>
                <w:sz w:val="20"/>
              </w:rPr>
            </w:pPr>
            <w:r>
              <w:rPr>
                <w:b/>
                <w:color w:val="0000FF"/>
                <w:w w:val="110"/>
                <w:sz w:val="20"/>
              </w:rPr>
              <w:t>Balance at December 31, 2003</w:t>
            </w:r>
          </w:p>
        </w:tc>
        <w:tc>
          <w:tcPr>
            <w:tcW w:w="2053" w:type="dxa"/>
          </w:tcPr>
          <w:p>
            <w:pPr>
              <w:pStyle w:val="TableParagraph"/>
              <w:tabs>
                <w:tab w:pos="904" w:val="left" w:leader="none"/>
              </w:tabs>
              <w:spacing w:before="2"/>
              <w:ind w:right="172"/>
              <w:jc w:val="right"/>
              <w:rPr>
                <w:b/>
                <w:sz w:val="20"/>
              </w:rPr>
            </w:pPr>
            <w:r>
              <w:rPr>
                <w:b/>
                <w:color w:val="0000FF"/>
                <w:w w:val="119"/>
                <w:sz w:val="20"/>
                <w:u w:val="thick" w:color="000000"/>
              </w:rPr>
              <w:t> </w:t>
            </w:r>
            <w:r>
              <w:rPr>
                <w:b/>
                <w:color w:val="0000FF"/>
                <w:spacing w:val="-19"/>
                <w:sz w:val="20"/>
                <w:u w:val="thick" w:color="000000"/>
              </w:rPr>
              <w:t> </w:t>
            </w:r>
            <w:r>
              <w:rPr>
                <w:b/>
                <w:color w:val="0000FF"/>
                <w:w w:val="120"/>
                <w:sz w:val="20"/>
                <w:u w:val="thick" w:color="000000"/>
              </w:rPr>
              <w:t>$</w:t>
              <w:tab/>
              <w:t>123</w:t>
            </w:r>
          </w:p>
        </w:tc>
        <w:tc>
          <w:tcPr>
            <w:tcW w:w="1586" w:type="dxa"/>
          </w:tcPr>
          <w:p>
            <w:pPr>
              <w:pStyle w:val="TableParagraph"/>
              <w:tabs>
                <w:tab w:pos="1038" w:val="left" w:leader="none"/>
              </w:tabs>
              <w:spacing w:before="2"/>
              <w:ind w:right="134"/>
              <w:jc w:val="right"/>
              <w:rPr>
                <w:b/>
                <w:sz w:val="20"/>
              </w:rPr>
            </w:pPr>
            <w:r>
              <w:rPr>
                <w:b/>
                <w:color w:val="0000FF"/>
                <w:w w:val="119"/>
                <w:sz w:val="20"/>
                <w:u w:val="thick" w:color="000000"/>
              </w:rPr>
              <w:t> </w:t>
            </w:r>
            <w:r>
              <w:rPr>
                <w:b/>
                <w:color w:val="0000FF"/>
                <w:spacing w:val="-19"/>
                <w:sz w:val="20"/>
                <w:u w:val="thick" w:color="000000"/>
              </w:rPr>
              <w:t> </w:t>
            </w:r>
            <w:r>
              <w:rPr>
                <w:b/>
                <w:color w:val="0000FF"/>
                <w:w w:val="125"/>
                <w:sz w:val="20"/>
                <w:u w:val="thick" w:color="000000"/>
              </w:rPr>
              <w:t>$</w:t>
              <w:tab/>
              <w:t>(1)</w:t>
            </w:r>
          </w:p>
        </w:tc>
        <w:tc>
          <w:tcPr>
            <w:tcW w:w="2053" w:type="dxa"/>
          </w:tcPr>
          <w:p>
            <w:pPr>
              <w:pStyle w:val="TableParagraph"/>
              <w:tabs>
                <w:tab w:pos="1508" w:val="left" w:leader="none"/>
              </w:tabs>
              <w:spacing w:before="2"/>
              <w:jc w:val="right"/>
              <w:rPr>
                <w:b/>
                <w:sz w:val="20"/>
              </w:rPr>
            </w:pPr>
            <w:r>
              <w:rPr>
                <w:b/>
                <w:color w:val="0000FF"/>
                <w:w w:val="119"/>
                <w:sz w:val="20"/>
                <w:u w:val="thick" w:color="000000"/>
              </w:rPr>
              <w:t> </w:t>
            </w:r>
            <w:r>
              <w:rPr>
                <w:b/>
                <w:color w:val="0000FF"/>
                <w:spacing w:val="-19"/>
                <w:sz w:val="20"/>
                <w:u w:val="thick" w:color="000000"/>
              </w:rPr>
              <w:t> </w:t>
            </w:r>
            <w:r>
              <w:rPr>
                <w:b/>
                <w:color w:val="0000FF"/>
                <w:w w:val="120"/>
                <w:sz w:val="20"/>
                <w:u w:val="thick" w:color="000000"/>
              </w:rPr>
              <w:t>$</w:t>
              <w:tab/>
              <w:t>122</w:t>
            </w:r>
          </w:p>
        </w:tc>
      </w:tr>
      <w:tr>
        <w:trPr>
          <w:trHeight w:val="384" w:hRule="exact"/>
        </w:trPr>
        <w:tc>
          <w:tcPr>
            <w:tcW w:w="3739" w:type="dxa"/>
          </w:tcPr>
          <w:p>
            <w:pPr>
              <w:pStyle w:val="TableParagraph"/>
              <w:spacing w:before="99"/>
              <w:ind w:left="32"/>
              <w:rPr>
                <w:rFonts w:ascii="Times New Roman"/>
                <w:b/>
                <w:sz w:val="21"/>
              </w:rPr>
            </w:pPr>
            <w:r>
              <w:rPr>
                <w:rFonts w:ascii="Times New Roman"/>
                <w:b/>
                <w:color w:val="0000FF"/>
                <w:w w:val="105"/>
                <w:sz w:val="21"/>
              </w:rPr>
              <w:t>12. COMMON STOCK</w:t>
            </w:r>
          </w:p>
        </w:tc>
        <w:tc>
          <w:tcPr>
            <w:tcW w:w="2053" w:type="dxa"/>
          </w:tcPr>
          <w:p>
            <w:pPr/>
          </w:p>
        </w:tc>
        <w:tc>
          <w:tcPr>
            <w:tcW w:w="1586" w:type="dxa"/>
          </w:tcPr>
          <w:p>
            <w:pPr/>
          </w:p>
        </w:tc>
        <w:tc>
          <w:tcPr>
            <w:tcW w:w="2053" w:type="dxa"/>
          </w:tcPr>
          <w:p>
            <w:pPr/>
          </w:p>
        </w:tc>
      </w:tr>
    </w:tbl>
    <w:p>
      <w:pPr>
        <w:pStyle w:val="BodyText"/>
        <w:spacing w:line="220" w:lineRule="exact" w:before="177"/>
        <w:ind w:left="135" w:right="108"/>
        <w:jc w:val="both"/>
      </w:pPr>
      <w:r>
        <w:rPr>
          <w:w w:val="105"/>
        </w:rPr>
        <w:t>The Company has one class of common stock. Holders of shares of common stock are entitled to receive dividends when and if declared by the Board of Directors and are entitled to one vote per share on all matters submitted to a vote of the shareholders.</w:t>
      </w:r>
    </w:p>
    <w:p>
      <w:pPr>
        <w:pStyle w:val="BodyText"/>
        <w:spacing w:line="220" w:lineRule="exact" w:before="216"/>
        <w:ind w:left="135" w:right="110"/>
        <w:jc w:val="both"/>
      </w:pPr>
      <w:r>
        <w:rPr>
          <w:spacing w:val="-4"/>
          <w:w w:val="105"/>
        </w:rPr>
        <w:t>At </w:t>
      </w:r>
      <w:r>
        <w:rPr>
          <w:spacing w:val="-3"/>
          <w:w w:val="105"/>
        </w:rPr>
        <w:t>December </w:t>
      </w:r>
      <w:r>
        <w:rPr>
          <w:w w:val="105"/>
        </w:rPr>
        <w:t>31, 2003, the Company had common stock reserved </w:t>
      </w:r>
      <w:r>
        <w:rPr>
          <w:spacing w:val="-3"/>
          <w:w w:val="105"/>
        </w:rPr>
        <w:t>for </w:t>
      </w:r>
      <w:r>
        <w:rPr>
          <w:w w:val="105"/>
        </w:rPr>
        <w:t>issuance pursuant to Employee stock benefit plans (242 million shares authorized of which 55 million shares have not yet been </w:t>
      </w:r>
      <w:r>
        <w:rPr>
          <w:spacing w:val="-3"/>
          <w:w w:val="105"/>
        </w:rPr>
        <w:t>granted) </w:t>
      </w:r>
      <w:r>
        <w:rPr>
          <w:w w:val="105"/>
        </w:rPr>
        <w:t>and upon exercise</w:t>
      </w:r>
      <w:r>
        <w:rPr>
          <w:spacing w:val="-10"/>
          <w:w w:val="105"/>
        </w:rPr>
        <w:t> </w:t>
      </w:r>
      <w:r>
        <w:rPr>
          <w:w w:val="105"/>
        </w:rPr>
        <w:t>of</w:t>
      </w:r>
      <w:r>
        <w:rPr>
          <w:spacing w:val="-10"/>
          <w:w w:val="105"/>
        </w:rPr>
        <w:t> </w:t>
      </w:r>
      <w:r>
        <w:rPr>
          <w:spacing w:val="-2"/>
          <w:w w:val="105"/>
        </w:rPr>
        <w:t>rights</w:t>
      </w:r>
      <w:r>
        <w:rPr>
          <w:spacing w:val="-4"/>
          <w:w w:val="105"/>
        </w:rPr>
        <w:t> </w:t>
      </w:r>
      <w:r>
        <w:rPr>
          <w:w w:val="105"/>
        </w:rPr>
        <w:t>(408</w:t>
      </w:r>
      <w:r>
        <w:rPr>
          <w:spacing w:val="-8"/>
          <w:w w:val="105"/>
        </w:rPr>
        <w:t> </w:t>
      </w:r>
      <w:r>
        <w:rPr>
          <w:w w:val="105"/>
        </w:rPr>
        <w:t>million</w:t>
      </w:r>
      <w:r>
        <w:rPr>
          <w:spacing w:val="-4"/>
          <w:w w:val="105"/>
        </w:rPr>
        <w:t> </w:t>
      </w:r>
      <w:r>
        <w:rPr>
          <w:w w:val="105"/>
        </w:rPr>
        <w:t>shares)</w:t>
      </w:r>
      <w:r>
        <w:rPr>
          <w:spacing w:val="-13"/>
          <w:w w:val="105"/>
        </w:rPr>
        <w:t> </w:t>
      </w:r>
      <w:r>
        <w:rPr>
          <w:w w:val="105"/>
        </w:rPr>
        <w:t>pursuant</w:t>
      </w:r>
      <w:r>
        <w:rPr>
          <w:spacing w:val="-4"/>
          <w:w w:val="105"/>
        </w:rPr>
        <w:t> </w:t>
      </w:r>
      <w:r>
        <w:rPr>
          <w:w w:val="105"/>
        </w:rPr>
        <w:t>to</w:t>
      </w:r>
      <w:r>
        <w:rPr>
          <w:spacing w:val="-8"/>
          <w:w w:val="105"/>
        </w:rPr>
        <w:t> </w:t>
      </w:r>
      <w:r>
        <w:rPr>
          <w:w w:val="105"/>
        </w:rPr>
        <w:t>the</w:t>
      </w:r>
      <w:r>
        <w:rPr>
          <w:spacing w:val="-10"/>
          <w:w w:val="105"/>
        </w:rPr>
        <w:t> </w:t>
      </w:r>
      <w:r>
        <w:rPr>
          <w:w w:val="105"/>
        </w:rPr>
        <w:t>Common</w:t>
      </w:r>
      <w:r>
        <w:rPr>
          <w:spacing w:val="-8"/>
          <w:w w:val="105"/>
        </w:rPr>
        <w:t> </w:t>
      </w:r>
      <w:r>
        <w:rPr>
          <w:w w:val="105"/>
        </w:rPr>
        <w:t>Share</w:t>
      </w:r>
      <w:r>
        <w:rPr>
          <w:spacing w:val="-10"/>
          <w:w w:val="105"/>
        </w:rPr>
        <w:t> </w:t>
      </w:r>
      <w:r>
        <w:rPr>
          <w:w w:val="105"/>
        </w:rPr>
        <w:t>Purchase</w:t>
      </w:r>
      <w:r>
        <w:rPr>
          <w:spacing w:val="-10"/>
          <w:w w:val="105"/>
        </w:rPr>
        <w:t> </w:t>
      </w:r>
      <w:r>
        <w:rPr>
          <w:w w:val="105"/>
        </w:rPr>
        <w:t>Rights</w:t>
      </w:r>
      <w:r>
        <w:rPr>
          <w:spacing w:val="-8"/>
          <w:w w:val="105"/>
        </w:rPr>
        <w:t> </w:t>
      </w:r>
      <w:r>
        <w:rPr>
          <w:spacing w:val="-3"/>
          <w:w w:val="105"/>
        </w:rPr>
        <w:t>Agreement,</w:t>
      </w:r>
      <w:r>
        <w:rPr>
          <w:spacing w:val="-15"/>
          <w:w w:val="105"/>
        </w:rPr>
        <w:t> </w:t>
      </w:r>
      <w:r>
        <w:rPr>
          <w:w w:val="105"/>
        </w:rPr>
        <w:t>as</w:t>
      </w:r>
      <w:r>
        <w:rPr>
          <w:spacing w:val="-4"/>
          <w:w w:val="105"/>
        </w:rPr>
        <w:t> </w:t>
      </w:r>
      <w:r>
        <w:rPr>
          <w:spacing w:val="-3"/>
          <w:w w:val="105"/>
        </w:rPr>
        <w:t>amended (Agreement).</w:t>
      </w:r>
    </w:p>
    <w:p>
      <w:pPr>
        <w:pStyle w:val="BodyText"/>
        <w:spacing w:line="218" w:lineRule="auto" w:before="218"/>
        <w:ind w:left="135" w:right="108"/>
        <w:jc w:val="both"/>
      </w:pPr>
      <w:r>
        <w:rPr>
          <w:w w:val="105"/>
        </w:rPr>
        <w:t>Pursuant to the </w:t>
      </w:r>
      <w:r>
        <w:rPr>
          <w:spacing w:val="-3"/>
          <w:w w:val="105"/>
        </w:rPr>
        <w:t>Agreement, each </w:t>
      </w:r>
      <w:r>
        <w:rPr>
          <w:w w:val="105"/>
        </w:rPr>
        <w:t>outstanding </w:t>
      </w:r>
      <w:r>
        <w:rPr>
          <w:spacing w:val="-3"/>
          <w:w w:val="105"/>
        </w:rPr>
        <w:t>share </w:t>
      </w:r>
      <w:r>
        <w:rPr>
          <w:w w:val="105"/>
        </w:rPr>
        <w:t>of the </w:t>
      </w:r>
      <w:r>
        <w:rPr>
          <w:spacing w:val="-3"/>
          <w:w w:val="105"/>
        </w:rPr>
        <w:t>Company's </w:t>
      </w:r>
      <w:r>
        <w:rPr>
          <w:w w:val="105"/>
        </w:rPr>
        <w:t>common stock is accompanied by one common </w:t>
      </w:r>
      <w:r>
        <w:rPr>
          <w:spacing w:val="-3"/>
          <w:w w:val="105"/>
        </w:rPr>
        <w:t>share </w:t>
      </w:r>
      <w:r>
        <w:rPr>
          <w:w w:val="105"/>
        </w:rPr>
        <w:t>purchase right </w:t>
      </w:r>
      <w:r>
        <w:rPr>
          <w:spacing w:val="-3"/>
          <w:w w:val="105"/>
        </w:rPr>
        <w:t>(Right). </w:t>
      </w:r>
      <w:r>
        <w:rPr>
          <w:spacing w:val="-4"/>
          <w:w w:val="105"/>
        </w:rPr>
        <w:t>Each </w:t>
      </w:r>
      <w:r>
        <w:rPr>
          <w:w w:val="105"/>
        </w:rPr>
        <w:t>Right is </w:t>
      </w:r>
      <w:r>
        <w:rPr>
          <w:spacing w:val="-3"/>
          <w:w w:val="105"/>
        </w:rPr>
        <w:t>exercisable </w:t>
      </w:r>
      <w:r>
        <w:rPr>
          <w:w w:val="105"/>
        </w:rPr>
        <w:t>only in the </w:t>
      </w:r>
      <w:r>
        <w:rPr>
          <w:spacing w:val="-3"/>
          <w:w w:val="105"/>
        </w:rPr>
        <w:t>event </w:t>
      </w:r>
      <w:r>
        <w:rPr>
          <w:w w:val="105"/>
        </w:rPr>
        <w:t>of a proposed takeover, </w:t>
      </w:r>
      <w:r>
        <w:rPr>
          <w:spacing w:val="-3"/>
          <w:w w:val="105"/>
        </w:rPr>
        <w:t>as </w:t>
      </w:r>
      <w:r>
        <w:rPr>
          <w:w w:val="105"/>
        </w:rPr>
        <w:t>defined by the </w:t>
      </w:r>
      <w:r>
        <w:rPr>
          <w:spacing w:val="-3"/>
          <w:w w:val="105"/>
        </w:rPr>
        <w:t>Agreement. </w:t>
      </w:r>
      <w:r>
        <w:rPr>
          <w:w w:val="105"/>
        </w:rPr>
        <w:t>The Company </w:t>
      </w:r>
      <w:r>
        <w:rPr>
          <w:spacing w:val="-4"/>
          <w:w w:val="105"/>
        </w:rPr>
        <w:t>may </w:t>
      </w:r>
      <w:r>
        <w:rPr>
          <w:spacing w:val="-3"/>
          <w:w w:val="105"/>
        </w:rPr>
        <w:t>redeem </w:t>
      </w:r>
      <w:r>
        <w:rPr>
          <w:w w:val="105"/>
        </w:rPr>
        <w:t>the Rights </w:t>
      </w:r>
      <w:r>
        <w:rPr>
          <w:spacing w:val="-3"/>
          <w:w w:val="105"/>
        </w:rPr>
        <w:t>at </w:t>
      </w:r>
      <w:r>
        <w:rPr>
          <w:w w:val="105"/>
        </w:rPr>
        <w:t>$.0022 per Right prior to the time that </w:t>
      </w:r>
      <w:r>
        <w:rPr>
          <w:spacing w:val="-3"/>
          <w:w w:val="105"/>
        </w:rPr>
        <w:t>15 percent </w:t>
      </w:r>
      <w:r>
        <w:rPr>
          <w:w w:val="105"/>
        </w:rPr>
        <w:t>of the common stock </w:t>
      </w:r>
      <w:r>
        <w:rPr>
          <w:spacing w:val="-3"/>
          <w:w w:val="105"/>
        </w:rPr>
        <w:t>has </w:t>
      </w:r>
      <w:r>
        <w:rPr>
          <w:w w:val="105"/>
        </w:rPr>
        <w:t>been acquired by a person or group. The Agreement is not applicable to a fully-financed or cash tender offer for all of the Company's shares of common stock, which remains open for at least 60 calendar days, is at a price equal to the higher of (a) 65% over the average closing price of the</w:t>
      </w:r>
      <w:r>
        <w:rPr>
          <w:spacing w:val="55"/>
          <w:w w:val="105"/>
        </w:rPr>
        <w:t> </w:t>
      </w:r>
      <w:r>
        <w:rPr>
          <w:w w:val="105"/>
        </w:rPr>
        <w:t>common stock during the 90 days preceding the offer and (b) the highest closing price during the 52 weeks preceding the offer, and is accompanied by a written fairness opinion of a nationally recognized investment banking firm. </w:t>
      </w:r>
      <w:r>
        <w:rPr>
          <w:spacing w:val="-3"/>
          <w:w w:val="105"/>
        </w:rPr>
        <w:t>If </w:t>
      </w:r>
      <w:r>
        <w:rPr>
          <w:w w:val="105"/>
        </w:rPr>
        <w:t>the Company is acquired, </w:t>
      </w:r>
      <w:r>
        <w:rPr>
          <w:spacing w:val="-3"/>
          <w:w w:val="105"/>
        </w:rPr>
        <w:t>as </w:t>
      </w:r>
      <w:r>
        <w:rPr>
          <w:w w:val="105"/>
        </w:rPr>
        <w:t>defined in the </w:t>
      </w:r>
      <w:r>
        <w:rPr>
          <w:spacing w:val="-3"/>
          <w:w w:val="105"/>
        </w:rPr>
        <w:t>Agreement, </w:t>
      </w:r>
      <w:r>
        <w:rPr>
          <w:w w:val="105"/>
        </w:rPr>
        <w:t>each Right </w:t>
      </w:r>
      <w:r>
        <w:rPr>
          <w:spacing w:val="-3"/>
          <w:w w:val="105"/>
        </w:rPr>
        <w:t>will </w:t>
      </w:r>
      <w:r>
        <w:rPr>
          <w:w w:val="105"/>
        </w:rPr>
        <w:t>entitle its holder </w:t>
      </w:r>
      <w:r>
        <w:rPr>
          <w:spacing w:val="-3"/>
          <w:w w:val="105"/>
        </w:rPr>
        <w:t>to </w:t>
      </w:r>
      <w:r>
        <w:rPr>
          <w:w w:val="105"/>
        </w:rPr>
        <w:t>purchase</w:t>
      </w:r>
      <w:r>
        <w:rPr>
          <w:spacing w:val="-17"/>
          <w:w w:val="105"/>
        </w:rPr>
        <w:t> </w:t>
      </w:r>
      <w:r>
        <w:rPr>
          <w:w w:val="105"/>
        </w:rPr>
        <w:t>for</w:t>
      </w:r>
      <w:r>
        <w:rPr>
          <w:spacing w:val="-14"/>
          <w:w w:val="105"/>
        </w:rPr>
        <w:t> </w:t>
      </w:r>
      <w:r>
        <w:rPr>
          <w:w w:val="105"/>
        </w:rPr>
        <w:t>$3.29</w:t>
      </w:r>
      <w:r>
        <w:rPr>
          <w:spacing w:val="-20"/>
          <w:w w:val="105"/>
        </w:rPr>
        <w:t> </w:t>
      </w:r>
      <w:r>
        <w:rPr>
          <w:w w:val="105"/>
        </w:rPr>
        <w:t>that</w:t>
      </w:r>
      <w:r>
        <w:rPr>
          <w:spacing w:val="-12"/>
          <w:w w:val="105"/>
        </w:rPr>
        <w:t> </w:t>
      </w:r>
      <w:r>
        <w:rPr>
          <w:w w:val="105"/>
        </w:rPr>
        <w:t>number</w:t>
      </w:r>
      <w:r>
        <w:rPr>
          <w:spacing w:val="-14"/>
          <w:w w:val="105"/>
        </w:rPr>
        <w:t> </w:t>
      </w:r>
      <w:r>
        <w:rPr>
          <w:w w:val="105"/>
        </w:rPr>
        <w:t>of</w:t>
      </w:r>
      <w:r>
        <w:rPr>
          <w:spacing w:val="-14"/>
          <w:w w:val="105"/>
        </w:rPr>
        <w:t> </w:t>
      </w:r>
      <w:r>
        <w:rPr>
          <w:w w:val="105"/>
        </w:rPr>
        <w:t>the</w:t>
      </w:r>
      <w:r>
        <w:rPr>
          <w:spacing w:val="-21"/>
          <w:w w:val="105"/>
        </w:rPr>
        <w:t> </w:t>
      </w:r>
      <w:r>
        <w:rPr>
          <w:w w:val="105"/>
        </w:rPr>
        <w:t>acquiring</w:t>
      </w:r>
      <w:r>
        <w:rPr>
          <w:spacing w:val="-12"/>
          <w:w w:val="105"/>
        </w:rPr>
        <w:t> </w:t>
      </w:r>
      <w:r>
        <w:rPr>
          <w:spacing w:val="-2"/>
          <w:w w:val="105"/>
        </w:rPr>
        <w:t>company's</w:t>
      </w:r>
      <w:r>
        <w:rPr>
          <w:spacing w:val="-12"/>
          <w:w w:val="105"/>
        </w:rPr>
        <w:t> </w:t>
      </w:r>
      <w:r>
        <w:rPr>
          <w:w w:val="105"/>
        </w:rPr>
        <w:t>or</w:t>
      </w:r>
      <w:r>
        <w:rPr>
          <w:spacing w:val="-14"/>
          <w:w w:val="105"/>
        </w:rPr>
        <w:t> </w:t>
      </w:r>
      <w:r>
        <w:rPr>
          <w:w w:val="105"/>
        </w:rPr>
        <w:t>the</w:t>
      </w:r>
      <w:r>
        <w:rPr>
          <w:spacing w:val="-17"/>
          <w:w w:val="105"/>
        </w:rPr>
        <w:t> </w:t>
      </w:r>
      <w:r>
        <w:rPr>
          <w:spacing w:val="-2"/>
          <w:w w:val="105"/>
        </w:rPr>
        <w:t>Company's</w:t>
      </w:r>
      <w:r>
        <w:rPr>
          <w:spacing w:val="-16"/>
          <w:w w:val="105"/>
        </w:rPr>
        <w:t> </w:t>
      </w:r>
      <w:r>
        <w:rPr>
          <w:w w:val="105"/>
        </w:rPr>
        <w:t>common</w:t>
      </w:r>
      <w:r>
        <w:rPr>
          <w:spacing w:val="-12"/>
          <w:w w:val="105"/>
        </w:rPr>
        <w:t> </w:t>
      </w:r>
      <w:r>
        <w:rPr>
          <w:w w:val="105"/>
        </w:rPr>
        <w:t>shares,</w:t>
      </w:r>
      <w:r>
        <w:rPr>
          <w:spacing w:val="-15"/>
          <w:w w:val="105"/>
        </w:rPr>
        <w:t> </w:t>
      </w:r>
      <w:r>
        <w:rPr>
          <w:spacing w:val="-3"/>
          <w:w w:val="105"/>
        </w:rPr>
        <w:t>as</w:t>
      </w:r>
      <w:r>
        <w:rPr>
          <w:spacing w:val="-16"/>
          <w:w w:val="105"/>
        </w:rPr>
        <w:t> </w:t>
      </w:r>
      <w:r>
        <w:rPr>
          <w:w w:val="105"/>
        </w:rPr>
        <w:t>provided</w:t>
      </w:r>
      <w:r>
        <w:rPr>
          <w:spacing w:val="-16"/>
          <w:w w:val="105"/>
        </w:rPr>
        <w:t> </w:t>
      </w:r>
      <w:r>
        <w:rPr>
          <w:w w:val="105"/>
        </w:rPr>
        <w:t>in</w:t>
      </w:r>
      <w:r>
        <w:rPr>
          <w:spacing w:val="-12"/>
          <w:w w:val="105"/>
        </w:rPr>
        <w:t> </w:t>
      </w:r>
      <w:r>
        <w:rPr>
          <w:spacing w:val="-3"/>
          <w:w w:val="105"/>
        </w:rPr>
        <w:t>the Agreement, </w:t>
      </w:r>
      <w:r>
        <w:rPr>
          <w:w w:val="105"/>
        </w:rPr>
        <w:t>having a </w:t>
      </w:r>
      <w:r>
        <w:rPr>
          <w:spacing w:val="-3"/>
          <w:w w:val="105"/>
        </w:rPr>
        <w:t>market </w:t>
      </w:r>
      <w:r>
        <w:rPr>
          <w:w w:val="105"/>
        </w:rPr>
        <w:t>value of </w:t>
      </w:r>
      <w:r>
        <w:rPr>
          <w:spacing w:val="-4"/>
          <w:w w:val="105"/>
        </w:rPr>
        <w:t>two </w:t>
      </w:r>
      <w:r>
        <w:rPr>
          <w:w w:val="105"/>
        </w:rPr>
        <w:t>times the </w:t>
      </w:r>
      <w:r>
        <w:rPr>
          <w:spacing w:val="-3"/>
          <w:w w:val="105"/>
        </w:rPr>
        <w:t>exercise </w:t>
      </w:r>
      <w:r>
        <w:rPr>
          <w:w w:val="105"/>
        </w:rPr>
        <w:t>price of the Right. </w:t>
      </w:r>
      <w:r>
        <w:rPr>
          <w:spacing w:val="-2"/>
          <w:w w:val="105"/>
        </w:rPr>
        <w:t>The Rights </w:t>
      </w:r>
      <w:r>
        <w:rPr>
          <w:spacing w:val="-3"/>
          <w:w w:val="105"/>
        </w:rPr>
        <w:t>will </w:t>
      </w:r>
      <w:r>
        <w:rPr>
          <w:w w:val="105"/>
        </w:rPr>
        <w:t>expire no </w:t>
      </w:r>
      <w:r>
        <w:rPr>
          <w:spacing w:val="-3"/>
          <w:w w:val="105"/>
        </w:rPr>
        <w:t>later </w:t>
      </w:r>
      <w:r>
        <w:rPr>
          <w:w w:val="105"/>
        </w:rPr>
        <w:t>than</w:t>
      </w:r>
      <w:r>
        <w:rPr>
          <w:spacing w:val="-22"/>
          <w:w w:val="105"/>
        </w:rPr>
        <w:t> </w:t>
      </w:r>
      <w:r>
        <w:rPr>
          <w:w w:val="105"/>
        </w:rPr>
        <w:t>July</w:t>
      </w:r>
      <w:r>
        <w:rPr>
          <w:spacing w:val="-22"/>
          <w:w w:val="105"/>
        </w:rPr>
        <w:t> </w:t>
      </w:r>
      <w:r>
        <w:rPr>
          <w:w w:val="105"/>
        </w:rPr>
        <w:t>30,</w:t>
      </w:r>
      <w:r>
        <w:rPr>
          <w:spacing w:val="-27"/>
          <w:w w:val="105"/>
        </w:rPr>
        <w:t> </w:t>
      </w:r>
      <w:r>
        <w:rPr>
          <w:w w:val="105"/>
        </w:rPr>
        <w:t>2005.</w:t>
      </w:r>
    </w:p>
    <w:p>
      <w:pPr>
        <w:pStyle w:val="BodyText"/>
        <w:spacing w:line="220" w:lineRule="exact" w:before="219"/>
        <w:ind w:left="135" w:right="110"/>
        <w:jc w:val="both"/>
      </w:pPr>
      <w:r>
        <w:rPr>
          <w:spacing w:val="-4"/>
          <w:w w:val="105"/>
        </w:rPr>
        <w:t>On </w:t>
      </w:r>
      <w:r>
        <w:rPr>
          <w:w w:val="105"/>
        </w:rPr>
        <w:t>January 18, 2001, the Company’s Board of </w:t>
      </w:r>
      <w:r>
        <w:rPr>
          <w:spacing w:val="-3"/>
          <w:w w:val="105"/>
        </w:rPr>
        <w:t>Directors </w:t>
      </w:r>
      <w:r>
        <w:rPr>
          <w:w w:val="105"/>
        </w:rPr>
        <w:t>declared a </w:t>
      </w:r>
      <w:r>
        <w:rPr>
          <w:spacing w:val="-3"/>
          <w:w w:val="105"/>
        </w:rPr>
        <w:t>three-for-two </w:t>
      </w:r>
      <w:r>
        <w:rPr>
          <w:w w:val="105"/>
        </w:rPr>
        <w:t>stock split, distributing 254 million shares on </w:t>
      </w:r>
      <w:r>
        <w:rPr>
          <w:spacing w:val="-3"/>
          <w:w w:val="105"/>
        </w:rPr>
        <w:t>February </w:t>
      </w:r>
      <w:r>
        <w:rPr>
          <w:w w:val="105"/>
        </w:rPr>
        <w:t>15, 2001. Unless otherwise stated, </w:t>
      </w:r>
      <w:r>
        <w:rPr>
          <w:spacing w:val="-3"/>
          <w:w w:val="105"/>
        </w:rPr>
        <w:t>all </w:t>
      </w:r>
      <w:r>
        <w:rPr>
          <w:w w:val="105"/>
        </w:rPr>
        <w:t>share and per share data presented in the accompanying</w:t>
      </w:r>
      <w:r>
        <w:rPr>
          <w:spacing w:val="-15"/>
          <w:w w:val="105"/>
        </w:rPr>
        <w:t> </w:t>
      </w:r>
      <w:r>
        <w:rPr>
          <w:w w:val="105"/>
        </w:rPr>
        <w:t>consolidated</w:t>
      </w:r>
      <w:r>
        <w:rPr>
          <w:spacing w:val="-12"/>
          <w:w w:val="105"/>
        </w:rPr>
        <w:t> </w:t>
      </w:r>
      <w:r>
        <w:rPr>
          <w:w w:val="105"/>
        </w:rPr>
        <w:t>financial</w:t>
      </w:r>
      <w:r>
        <w:rPr>
          <w:spacing w:val="-12"/>
          <w:w w:val="105"/>
        </w:rPr>
        <w:t> </w:t>
      </w:r>
      <w:r>
        <w:rPr>
          <w:w w:val="105"/>
        </w:rPr>
        <w:t>statements</w:t>
      </w:r>
      <w:r>
        <w:rPr>
          <w:spacing w:val="-12"/>
          <w:w w:val="105"/>
        </w:rPr>
        <w:t> </w:t>
      </w:r>
      <w:r>
        <w:rPr>
          <w:spacing w:val="-3"/>
          <w:w w:val="105"/>
        </w:rPr>
        <w:t>and</w:t>
      </w:r>
      <w:r>
        <w:rPr>
          <w:spacing w:val="-12"/>
          <w:w w:val="105"/>
        </w:rPr>
        <w:t> </w:t>
      </w:r>
      <w:r>
        <w:rPr>
          <w:w w:val="105"/>
        </w:rPr>
        <w:t>notes</w:t>
      </w:r>
      <w:r>
        <w:rPr>
          <w:spacing w:val="-15"/>
          <w:w w:val="105"/>
        </w:rPr>
        <w:t> </w:t>
      </w:r>
      <w:r>
        <w:rPr>
          <w:w w:val="105"/>
        </w:rPr>
        <w:t>thereto</w:t>
      </w:r>
      <w:r>
        <w:rPr>
          <w:spacing w:val="-18"/>
          <w:w w:val="105"/>
        </w:rPr>
        <w:t> </w:t>
      </w:r>
      <w:r>
        <w:rPr>
          <w:w w:val="105"/>
        </w:rPr>
        <w:t>have</w:t>
      </w:r>
      <w:r>
        <w:rPr>
          <w:spacing w:val="-16"/>
          <w:w w:val="105"/>
        </w:rPr>
        <w:t> </w:t>
      </w:r>
      <w:r>
        <w:rPr>
          <w:w w:val="105"/>
        </w:rPr>
        <w:t>been</w:t>
      </w:r>
      <w:r>
        <w:rPr>
          <w:spacing w:val="-12"/>
          <w:w w:val="105"/>
        </w:rPr>
        <w:t> </w:t>
      </w:r>
      <w:r>
        <w:rPr>
          <w:w w:val="105"/>
        </w:rPr>
        <w:t>restated</w:t>
      </w:r>
      <w:r>
        <w:rPr>
          <w:spacing w:val="-12"/>
          <w:w w:val="105"/>
        </w:rPr>
        <w:t> </w:t>
      </w:r>
      <w:r>
        <w:rPr>
          <w:w w:val="105"/>
        </w:rPr>
        <w:t>to</w:t>
      </w:r>
      <w:r>
        <w:rPr>
          <w:spacing w:val="-12"/>
          <w:w w:val="105"/>
        </w:rPr>
        <w:t> </w:t>
      </w:r>
      <w:r>
        <w:rPr>
          <w:w w:val="105"/>
        </w:rPr>
        <w:t>give</w:t>
      </w:r>
      <w:r>
        <w:rPr>
          <w:spacing w:val="-13"/>
          <w:w w:val="105"/>
        </w:rPr>
        <w:t> </w:t>
      </w:r>
      <w:r>
        <w:rPr>
          <w:spacing w:val="-4"/>
          <w:w w:val="105"/>
        </w:rPr>
        <w:t>effect</w:t>
      </w:r>
      <w:r>
        <w:rPr>
          <w:spacing w:val="-15"/>
          <w:w w:val="105"/>
        </w:rPr>
        <w:t> </w:t>
      </w:r>
      <w:r>
        <w:rPr>
          <w:w w:val="105"/>
        </w:rPr>
        <w:t>to</w:t>
      </w:r>
      <w:r>
        <w:rPr>
          <w:spacing w:val="-15"/>
          <w:w w:val="105"/>
        </w:rPr>
        <w:t> </w:t>
      </w:r>
      <w:r>
        <w:rPr>
          <w:w w:val="105"/>
        </w:rPr>
        <w:t>this</w:t>
      </w:r>
      <w:r>
        <w:rPr>
          <w:spacing w:val="-12"/>
          <w:w w:val="105"/>
        </w:rPr>
        <w:t> </w:t>
      </w:r>
      <w:r>
        <w:rPr>
          <w:w w:val="105"/>
        </w:rPr>
        <w:t>stock split.</w:t>
      </w:r>
    </w:p>
    <w:p>
      <w:pPr>
        <w:pStyle w:val="BodyText"/>
        <w:spacing w:line="218" w:lineRule="auto" w:before="219"/>
        <w:ind w:left="135" w:right="108"/>
        <w:jc w:val="both"/>
      </w:pPr>
      <w:r>
        <w:rPr>
          <w:spacing w:val="-3"/>
          <w:w w:val="105"/>
        </w:rPr>
        <w:t>In </w:t>
      </w:r>
      <w:r>
        <w:rPr>
          <w:w w:val="105"/>
        </w:rPr>
        <w:t>January 2004, the Company’s </w:t>
      </w:r>
      <w:r>
        <w:rPr>
          <w:spacing w:val="-3"/>
          <w:w w:val="105"/>
        </w:rPr>
        <w:t>Board </w:t>
      </w:r>
      <w:r>
        <w:rPr>
          <w:w w:val="105"/>
        </w:rPr>
        <w:t>of </w:t>
      </w:r>
      <w:r>
        <w:rPr>
          <w:spacing w:val="-3"/>
          <w:w w:val="105"/>
        </w:rPr>
        <w:t>Directors </w:t>
      </w:r>
      <w:r>
        <w:rPr>
          <w:w w:val="105"/>
        </w:rPr>
        <w:t>authorized the repurchase of up to $300 million of the Company’s common stock, utilizing present and anticipated </w:t>
      </w:r>
      <w:r>
        <w:rPr>
          <w:spacing w:val="-3"/>
          <w:w w:val="105"/>
        </w:rPr>
        <w:t>proceeds </w:t>
      </w:r>
      <w:r>
        <w:rPr>
          <w:w w:val="105"/>
        </w:rPr>
        <w:t>from the </w:t>
      </w:r>
      <w:r>
        <w:rPr>
          <w:spacing w:val="-3"/>
          <w:w w:val="105"/>
        </w:rPr>
        <w:t>exercise </w:t>
      </w:r>
      <w:r>
        <w:rPr>
          <w:w w:val="105"/>
        </w:rPr>
        <w:t>of Employee stock options.</w:t>
      </w:r>
      <w:r>
        <w:rPr>
          <w:spacing w:val="22"/>
          <w:w w:val="105"/>
        </w:rPr>
        <w:t> </w:t>
      </w:r>
      <w:r>
        <w:rPr>
          <w:w w:val="105"/>
        </w:rPr>
        <w:t>Repurchases</w:t>
      </w:r>
      <w:r>
        <w:rPr>
          <w:spacing w:val="-20"/>
          <w:w w:val="105"/>
        </w:rPr>
        <w:t> </w:t>
      </w:r>
      <w:r>
        <w:rPr>
          <w:spacing w:val="-3"/>
          <w:w w:val="105"/>
        </w:rPr>
        <w:t>will</w:t>
      </w:r>
      <w:r>
        <w:rPr>
          <w:spacing w:val="-17"/>
          <w:w w:val="105"/>
        </w:rPr>
        <w:t> </w:t>
      </w:r>
      <w:r>
        <w:rPr>
          <w:w w:val="105"/>
        </w:rPr>
        <w:t>be</w:t>
      </w:r>
      <w:r>
        <w:rPr>
          <w:spacing w:val="-22"/>
          <w:w w:val="105"/>
        </w:rPr>
        <w:t> </w:t>
      </w:r>
      <w:r>
        <w:rPr>
          <w:w w:val="105"/>
        </w:rPr>
        <w:t>made</w:t>
      </w:r>
      <w:r>
        <w:rPr>
          <w:spacing w:val="-18"/>
          <w:w w:val="105"/>
        </w:rPr>
        <w:t> </w:t>
      </w:r>
      <w:r>
        <w:rPr>
          <w:w w:val="105"/>
        </w:rPr>
        <w:t>in</w:t>
      </w:r>
      <w:r>
        <w:rPr>
          <w:spacing w:val="-20"/>
          <w:w w:val="105"/>
        </w:rPr>
        <w:t> </w:t>
      </w:r>
      <w:r>
        <w:rPr>
          <w:w w:val="105"/>
        </w:rPr>
        <w:t>accordance</w:t>
      </w:r>
      <w:r>
        <w:rPr>
          <w:spacing w:val="-22"/>
          <w:w w:val="105"/>
        </w:rPr>
        <w:t> </w:t>
      </w:r>
      <w:r>
        <w:rPr>
          <w:w w:val="105"/>
        </w:rPr>
        <w:t>with</w:t>
      </w:r>
      <w:r>
        <w:rPr>
          <w:spacing w:val="-17"/>
          <w:w w:val="105"/>
        </w:rPr>
        <w:t> </w:t>
      </w:r>
      <w:r>
        <w:rPr>
          <w:w w:val="105"/>
        </w:rPr>
        <w:t>applicable</w:t>
      </w:r>
      <w:r>
        <w:rPr>
          <w:spacing w:val="-22"/>
          <w:w w:val="105"/>
        </w:rPr>
        <w:t> </w:t>
      </w:r>
      <w:r>
        <w:rPr>
          <w:w w:val="105"/>
        </w:rPr>
        <w:t>securities</w:t>
      </w:r>
      <w:r>
        <w:rPr>
          <w:spacing w:val="-17"/>
          <w:w w:val="105"/>
        </w:rPr>
        <w:t> </w:t>
      </w:r>
      <w:r>
        <w:rPr>
          <w:spacing w:val="-3"/>
          <w:w w:val="105"/>
        </w:rPr>
        <w:t>laws</w:t>
      </w:r>
      <w:r>
        <w:rPr>
          <w:spacing w:val="-20"/>
          <w:w w:val="105"/>
        </w:rPr>
        <w:t> </w:t>
      </w:r>
      <w:r>
        <w:rPr>
          <w:w w:val="105"/>
        </w:rPr>
        <w:t>in</w:t>
      </w:r>
      <w:r>
        <w:rPr>
          <w:spacing w:val="-17"/>
          <w:w w:val="105"/>
        </w:rPr>
        <w:t> </w:t>
      </w:r>
      <w:r>
        <w:rPr>
          <w:w w:val="105"/>
        </w:rPr>
        <w:t>the</w:t>
      </w:r>
      <w:r>
        <w:rPr>
          <w:spacing w:val="-18"/>
          <w:w w:val="105"/>
        </w:rPr>
        <w:t> </w:t>
      </w:r>
      <w:r>
        <w:rPr>
          <w:w w:val="105"/>
        </w:rPr>
        <w:t>open</w:t>
      </w:r>
      <w:r>
        <w:rPr>
          <w:spacing w:val="-13"/>
          <w:w w:val="105"/>
        </w:rPr>
        <w:t> </w:t>
      </w:r>
      <w:r>
        <w:rPr>
          <w:spacing w:val="-3"/>
          <w:w w:val="105"/>
        </w:rPr>
        <w:t>market</w:t>
      </w:r>
      <w:r>
        <w:rPr>
          <w:spacing w:val="-17"/>
          <w:w w:val="105"/>
        </w:rPr>
        <w:t> </w:t>
      </w:r>
      <w:r>
        <w:rPr>
          <w:w w:val="105"/>
        </w:rPr>
        <w:t>or</w:t>
      </w:r>
      <w:r>
        <w:rPr>
          <w:spacing w:val="-18"/>
          <w:w w:val="105"/>
        </w:rPr>
        <w:t> </w:t>
      </w:r>
      <w:r>
        <w:rPr>
          <w:w w:val="105"/>
        </w:rPr>
        <w:t>in</w:t>
      </w:r>
      <w:r>
        <w:rPr>
          <w:spacing w:val="-17"/>
          <w:w w:val="105"/>
        </w:rPr>
        <w:t> </w:t>
      </w:r>
      <w:r>
        <w:rPr>
          <w:w w:val="105"/>
        </w:rPr>
        <w:t>private transactions</w:t>
      </w:r>
      <w:r>
        <w:rPr>
          <w:spacing w:val="-28"/>
          <w:w w:val="105"/>
        </w:rPr>
        <w:t> </w:t>
      </w:r>
      <w:r>
        <w:rPr>
          <w:w w:val="105"/>
        </w:rPr>
        <w:t>from</w:t>
      </w:r>
      <w:r>
        <w:rPr>
          <w:spacing w:val="-29"/>
          <w:w w:val="105"/>
        </w:rPr>
        <w:t> </w:t>
      </w:r>
      <w:r>
        <w:rPr>
          <w:w w:val="105"/>
        </w:rPr>
        <w:t>time</w:t>
      </w:r>
      <w:r>
        <w:rPr>
          <w:spacing w:val="-29"/>
          <w:w w:val="105"/>
        </w:rPr>
        <w:t> </w:t>
      </w:r>
      <w:r>
        <w:rPr>
          <w:w w:val="105"/>
        </w:rPr>
        <w:t>to</w:t>
      </w:r>
      <w:r>
        <w:rPr>
          <w:spacing w:val="-28"/>
          <w:w w:val="105"/>
        </w:rPr>
        <w:t> </w:t>
      </w:r>
      <w:r>
        <w:rPr>
          <w:spacing w:val="-3"/>
          <w:w w:val="105"/>
        </w:rPr>
        <w:t>time,</w:t>
      </w:r>
      <w:r>
        <w:rPr>
          <w:spacing w:val="-30"/>
          <w:w w:val="105"/>
        </w:rPr>
        <w:t> </w:t>
      </w:r>
      <w:r>
        <w:rPr>
          <w:w w:val="105"/>
        </w:rPr>
        <w:t>depending</w:t>
      </w:r>
      <w:r>
        <w:rPr>
          <w:spacing w:val="-28"/>
          <w:w w:val="105"/>
        </w:rPr>
        <w:t> </w:t>
      </w:r>
      <w:r>
        <w:rPr>
          <w:w w:val="105"/>
        </w:rPr>
        <w:t>on</w:t>
      </w:r>
      <w:r>
        <w:rPr>
          <w:spacing w:val="-28"/>
          <w:w w:val="105"/>
        </w:rPr>
        <w:t> </w:t>
      </w:r>
      <w:r>
        <w:rPr>
          <w:spacing w:val="-3"/>
          <w:w w:val="105"/>
        </w:rPr>
        <w:t>market</w:t>
      </w:r>
      <w:r>
        <w:rPr>
          <w:spacing w:val="-28"/>
          <w:w w:val="105"/>
        </w:rPr>
        <w:t> </w:t>
      </w:r>
      <w:r>
        <w:rPr>
          <w:w w:val="105"/>
        </w:rPr>
        <w:t>conditions.</w:t>
      </w:r>
    </w:p>
    <w:p>
      <w:pPr>
        <w:pStyle w:val="Heading2"/>
        <w:numPr>
          <w:ilvl w:val="0"/>
          <w:numId w:val="6"/>
        </w:numPr>
        <w:tabs>
          <w:tab w:pos="453" w:val="left" w:leader="none"/>
        </w:tabs>
        <w:spacing w:line="240" w:lineRule="auto" w:before="204" w:after="0"/>
        <w:ind w:left="452" w:right="0" w:hanging="316"/>
        <w:jc w:val="both"/>
      </w:pPr>
      <w:r>
        <w:rPr>
          <w:color w:val="0000FF"/>
          <w:spacing w:val="-4"/>
          <w:w w:val="105"/>
        </w:rPr>
        <w:t>STOCK</w:t>
      </w:r>
      <w:r>
        <w:rPr>
          <w:color w:val="0000FF"/>
          <w:spacing w:val="-35"/>
          <w:w w:val="105"/>
        </w:rPr>
        <w:t> </w:t>
      </w:r>
      <w:r>
        <w:rPr>
          <w:color w:val="0000FF"/>
          <w:spacing w:val="-7"/>
          <w:w w:val="105"/>
        </w:rPr>
        <w:t>PLANS</w:t>
      </w:r>
    </w:p>
    <w:p>
      <w:pPr>
        <w:pStyle w:val="BodyText"/>
        <w:spacing w:line="218" w:lineRule="auto" w:before="213"/>
        <w:ind w:left="135" w:right="109"/>
        <w:jc w:val="both"/>
      </w:pPr>
      <w:r>
        <w:rPr>
          <w:w w:val="105"/>
        </w:rPr>
        <w:t>The Company has stock plans covering Employees subject to collective bargaining agreements (collective bargaining plans) and stock plans covering Employees not subject to collective bargaining agreements (other Employee plans). None of the collective bargaining plans were required to be approved by shareholders. Options granted to Employees under collective bargaining plans are granted at or above the fair market value of the Company’s common stock on the date of grant, generally have terms ranging from six to twelve years, and vest primarily in accordance with the period covered by the respective collective bargaining agreement. Neither Executive Officers nor members of the Company’s Board of Directors are eligible to participate in any of these collective bargaining plans. Options granted to Employees through other Employee plans are granted at the fair market value of the Company’s common stock on the date of grant, have ten-year terms,</w:t>
      </w:r>
    </w:p>
    <w:p>
      <w:pPr>
        <w:spacing w:after="0" w:line="218" w:lineRule="auto"/>
        <w:jc w:val="both"/>
        <w:sectPr>
          <w:pgSz w:w="12240" w:h="15840"/>
          <w:pgMar w:top="1080" w:bottom="280" w:left="1160" w:right="1180"/>
        </w:sectPr>
      </w:pPr>
    </w:p>
    <w:p>
      <w:pPr>
        <w:pStyle w:val="BodyText"/>
        <w:spacing w:line="218" w:lineRule="auto" w:before="114"/>
        <w:ind w:left="115" w:right="330"/>
        <w:jc w:val="both"/>
      </w:pPr>
      <w:r>
        <w:rPr>
          <w:w w:val="105"/>
        </w:rPr>
        <w:t>and vest and become fully exercisable over three, five, or ten years of continued employment, depending</w:t>
      </w:r>
      <w:r>
        <w:rPr>
          <w:spacing w:val="55"/>
          <w:w w:val="105"/>
        </w:rPr>
        <w:t> </w:t>
      </w:r>
      <w:r>
        <w:rPr>
          <w:w w:val="105"/>
        </w:rPr>
        <w:t>upon the grant type. All of these other Employee plans have been approved by shareholders except the plan covering non-management, non-contract Employees, which had 7.6 million options outstanding to purchase the Company’s common stock as of December 31, 2003, and an additional plan which is not available to Officers or Board members, reserving 15 million shares for future grants.</w:t>
      </w:r>
    </w:p>
    <w:p>
      <w:pPr>
        <w:pStyle w:val="BodyText"/>
        <w:tabs>
          <w:tab w:pos="3229" w:val="left" w:leader="none"/>
          <w:tab w:pos="9951" w:val="left" w:leader="none"/>
        </w:tabs>
        <w:spacing w:line="220" w:lineRule="exact" w:before="224"/>
        <w:ind w:left="115" w:right="146"/>
      </w:pPr>
      <w:r>
        <w:rPr>
          <w:w w:val="105"/>
        </w:rPr>
        <w:t>Aggregated information regarding the Company’s fixed stock option plans, as adjusted for stock splits, is</w:t>
      </w:r>
      <w:r>
        <w:rPr>
          <w:spacing w:val="55"/>
          <w:w w:val="105"/>
        </w:rPr>
        <w:t> </w:t>
      </w:r>
      <w:r>
        <w:rPr>
          <w:w w:val="105"/>
        </w:rPr>
        <w:t>summarized</w:t>
      </w:r>
      <w:r>
        <w:rPr>
          <w:spacing w:val="-35"/>
          <w:w w:val="105"/>
        </w:rPr>
        <w:t> </w:t>
      </w:r>
      <w:r>
        <w:rPr>
          <w:w w:val="105"/>
        </w:rPr>
        <w:t>below:</w:t>
      </w:r>
      <w:r>
        <w:rPr/>
        <w:tab/>
      </w:r>
      <w:r>
        <w:rPr>
          <w:w w:val="102"/>
          <w:u w:val="single"/>
        </w:rPr>
        <w:t> </w:t>
      </w:r>
      <w:r>
        <w:rPr>
          <w:u w:val="single"/>
        </w:rPr>
        <w:tab/>
      </w:r>
    </w:p>
    <w:p>
      <w:pPr>
        <w:pStyle w:val="BodyText"/>
        <w:spacing w:before="7"/>
        <w:rPr>
          <w:sz w:val="6"/>
        </w:rPr>
      </w:pPr>
    </w:p>
    <w:tbl>
      <w:tblPr>
        <w:tblW w:w="0" w:type="auto"/>
        <w:jc w:val="left"/>
        <w:tblInd w:w="12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030"/>
        <w:gridCol w:w="3435"/>
        <w:gridCol w:w="3394"/>
      </w:tblGrid>
      <w:tr>
        <w:trPr>
          <w:trHeight w:val="271" w:hRule="exact"/>
        </w:trPr>
        <w:tc>
          <w:tcPr>
            <w:tcW w:w="3030" w:type="dxa"/>
          </w:tcPr>
          <w:p>
            <w:pPr/>
          </w:p>
        </w:tc>
        <w:tc>
          <w:tcPr>
            <w:tcW w:w="3435" w:type="dxa"/>
          </w:tcPr>
          <w:p>
            <w:pPr>
              <w:pStyle w:val="TableParagraph"/>
              <w:tabs>
                <w:tab w:pos="333" w:val="left" w:leader="none"/>
                <w:tab w:pos="3346" w:val="left" w:leader="none"/>
              </w:tabs>
              <w:spacing w:before="8"/>
              <w:ind w:left="74"/>
              <w:rPr>
                <w:b/>
                <w:sz w:val="16"/>
              </w:rPr>
            </w:pPr>
            <w:r>
              <w:rPr>
                <w:b/>
                <w:w w:val="118"/>
                <w:sz w:val="16"/>
                <w:u w:val="single"/>
              </w:rPr>
              <w:t> </w:t>
            </w:r>
            <w:r>
              <w:rPr>
                <w:b/>
                <w:sz w:val="16"/>
                <w:u w:val="single"/>
              </w:rPr>
              <w:tab/>
              <w:t>COLLECTIVE BARGAINING</w:t>
            </w:r>
            <w:r>
              <w:rPr>
                <w:b/>
                <w:spacing w:val="-12"/>
                <w:sz w:val="16"/>
                <w:u w:val="single"/>
              </w:rPr>
              <w:t> </w:t>
            </w:r>
            <w:r>
              <w:rPr>
                <w:b/>
                <w:sz w:val="16"/>
                <w:u w:val="single"/>
              </w:rPr>
              <w:t>PLANS</w:t>
              <w:tab/>
            </w:r>
          </w:p>
        </w:tc>
        <w:tc>
          <w:tcPr>
            <w:tcW w:w="3394" w:type="dxa"/>
          </w:tcPr>
          <w:p>
            <w:pPr>
              <w:pStyle w:val="TableParagraph"/>
              <w:tabs>
                <w:tab w:pos="674" w:val="left" w:leader="none"/>
                <w:tab w:pos="3360" w:val="left" w:leader="none"/>
              </w:tabs>
              <w:spacing w:before="8"/>
              <w:ind w:left="88"/>
              <w:rPr>
                <w:b/>
                <w:sz w:val="16"/>
              </w:rPr>
            </w:pPr>
            <w:r>
              <w:rPr>
                <w:b/>
                <w:w w:val="118"/>
                <w:sz w:val="16"/>
                <w:u w:val="single"/>
              </w:rPr>
              <w:t> </w:t>
            </w:r>
            <w:r>
              <w:rPr>
                <w:b/>
                <w:sz w:val="16"/>
                <w:u w:val="single"/>
              </w:rPr>
              <w:tab/>
            </w:r>
            <w:r>
              <w:rPr>
                <w:b/>
                <w:w w:val="95"/>
                <w:sz w:val="16"/>
                <w:u w:val="single"/>
              </w:rPr>
              <w:t>OTHER EMPLOYEE</w:t>
            </w:r>
            <w:r>
              <w:rPr>
                <w:b/>
                <w:spacing w:val="29"/>
                <w:w w:val="95"/>
                <w:sz w:val="16"/>
                <w:u w:val="single"/>
              </w:rPr>
              <w:t> </w:t>
            </w:r>
            <w:r>
              <w:rPr>
                <w:b/>
                <w:w w:val="95"/>
                <w:sz w:val="16"/>
                <w:u w:val="single"/>
              </w:rPr>
              <w:t>PLANS</w:t>
            </w:r>
            <w:r>
              <w:rPr>
                <w:b/>
                <w:sz w:val="16"/>
                <w:u w:val="single"/>
              </w:rPr>
              <w:tab/>
            </w:r>
          </w:p>
        </w:tc>
      </w:tr>
      <w:tr>
        <w:trPr>
          <w:trHeight w:val="497" w:hRule="exact"/>
        </w:trPr>
        <w:tc>
          <w:tcPr>
            <w:tcW w:w="3030" w:type="dxa"/>
            <w:tcBorders>
              <w:bottom w:val="single" w:sz="8" w:space="0" w:color="000000"/>
            </w:tcBorders>
          </w:tcPr>
          <w:p>
            <w:pPr>
              <w:pStyle w:val="TableParagraph"/>
              <w:spacing w:before="2"/>
              <w:rPr>
                <w:rFonts w:ascii="Times New Roman"/>
                <w:sz w:val="24"/>
              </w:rPr>
            </w:pPr>
          </w:p>
          <w:p>
            <w:pPr>
              <w:pStyle w:val="TableParagraph"/>
              <w:spacing w:before="1"/>
              <w:ind w:left="38"/>
              <w:rPr>
                <w:sz w:val="16"/>
              </w:rPr>
            </w:pPr>
            <w:r>
              <w:rPr>
                <w:w w:val="110"/>
                <w:sz w:val="16"/>
              </w:rPr>
              <w:t>(In thousands, except exercise prices)</w:t>
            </w:r>
          </w:p>
        </w:tc>
        <w:tc>
          <w:tcPr>
            <w:tcW w:w="3435" w:type="dxa"/>
            <w:tcBorders>
              <w:bottom w:val="single" w:sz="8" w:space="0" w:color="000000"/>
            </w:tcBorders>
          </w:tcPr>
          <w:p>
            <w:pPr>
              <w:pStyle w:val="TableParagraph"/>
              <w:spacing w:before="53"/>
              <w:ind w:left="1859"/>
              <w:rPr>
                <w:b/>
                <w:sz w:val="16"/>
              </w:rPr>
            </w:pPr>
            <w:r>
              <w:rPr>
                <w:b/>
                <w:sz w:val="16"/>
              </w:rPr>
              <w:t>Average exercise</w:t>
            </w:r>
          </w:p>
          <w:p>
            <w:pPr>
              <w:pStyle w:val="TableParagraph"/>
              <w:tabs>
                <w:tab w:pos="2353" w:val="left" w:leader="none"/>
              </w:tabs>
              <w:spacing w:before="27"/>
              <w:ind w:left="516"/>
              <w:rPr>
                <w:b/>
                <w:sz w:val="16"/>
              </w:rPr>
            </w:pPr>
            <w:r>
              <w:rPr>
                <w:b/>
                <w:spacing w:val="4"/>
                <w:sz w:val="16"/>
              </w:rPr>
              <w:t>Options</w:t>
              <w:tab/>
              <w:t>price</w:t>
            </w:r>
          </w:p>
        </w:tc>
        <w:tc>
          <w:tcPr>
            <w:tcW w:w="3394" w:type="dxa"/>
            <w:tcBorders>
              <w:bottom w:val="single" w:sz="8" w:space="0" w:color="000000"/>
            </w:tcBorders>
          </w:tcPr>
          <w:p>
            <w:pPr>
              <w:pStyle w:val="TableParagraph"/>
              <w:spacing w:before="53"/>
              <w:ind w:left="1873"/>
              <w:rPr>
                <w:b/>
                <w:sz w:val="16"/>
              </w:rPr>
            </w:pPr>
            <w:r>
              <w:rPr>
                <w:b/>
                <w:sz w:val="16"/>
              </w:rPr>
              <w:t>Average exercise</w:t>
            </w:r>
          </w:p>
          <w:p>
            <w:pPr>
              <w:pStyle w:val="TableParagraph"/>
              <w:tabs>
                <w:tab w:pos="2367" w:val="left" w:leader="none"/>
              </w:tabs>
              <w:spacing w:before="27"/>
              <w:ind w:left="530"/>
              <w:rPr>
                <w:b/>
                <w:sz w:val="16"/>
              </w:rPr>
            </w:pPr>
            <w:r>
              <w:rPr>
                <w:b/>
                <w:spacing w:val="4"/>
                <w:sz w:val="16"/>
              </w:rPr>
              <w:t>Options</w:t>
              <w:tab/>
              <w:t>price</w:t>
            </w:r>
          </w:p>
        </w:tc>
      </w:tr>
      <w:tr>
        <w:trPr>
          <w:trHeight w:val="290" w:hRule="exact"/>
        </w:trPr>
        <w:tc>
          <w:tcPr>
            <w:tcW w:w="3030" w:type="dxa"/>
            <w:tcBorders>
              <w:top w:val="single" w:sz="8" w:space="0" w:color="000000"/>
            </w:tcBorders>
          </w:tcPr>
          <w:p>
            <w:pPr>
              <w:pStyle w:val="TableParagraph"/>
              <w:spacing w:before="56"/>
              <w:ind w:left="38"/>
              <w:rPr>
                <w:sz w:val="16"/>
              </w:rPr>
            </w:pPr>
            <w:r>
              <w:rPr>
                <w:w w:val="110"/>
                <w:sz w:val="16"/>
              </w:rPr>
              <w:t>Outstanding December 31, 2000</w:t>
            </w:r>
          </w:p>
        </w:tc>
        <w:tc>
          <w:tcPr>
            <w:tcW w:w="3435" w:type="dxa"/>
            <w:tcBorders>
              <w:top w:val="single" w:sz="8" w:space="0" w:color="000000"/>
            </w:tcBorders>
          </w:tcPr>
          <w:p>
            <w:pPr>
              <w:pStyle w:val="TableParagraph"/>
              <w:tabs>
                <w:tab w:pos="1774" w:val="left" w:leader="none"/>
              </w:tabs>
              <w:spacing w:before="56"/>
              <w:ind w:right="202"/>
              <w:jc w:val="right"/>
              <w:rPr>
                <w:sz w:val="16"/>
              </w:rPr>
            </w:pPr>
            <w:r>
              <w:rPr>
                <w:w w:val="120"/>
                <w:sz w:val="16"/>
              </w:rPr>
              <w:t>63,400</w:t>
              <w:tab/>
              <w:t>$</w:t>
            </w:r>
            <w:r>
              <w:rPr>
                <w:spacing w:val="41"/>
                <w:w w:val="120"/>
                <w:sz w:val="16"/>
              </w:rPr>
              <w:t> </w:t>
            </w:r>
            <w:r>
              <w:rPr>
                <w:w w:val="120"/>
                <w:sz w:val="16"/>
              </w:rPr>
              <w:t>5.59</w:t>
            </w:r>
          </w:p>
        </w:tc>
        <w:tc>
          <w:tcPr>
            <w:tcW w:w="3394" w:type="dxa"/>
            <w:tcBorders>
              <w:top w:val="single" w:sz="8" w:space="0" w:color="000000"/>
            </w:tcBorders>
          </w:tcPr>
          <w:p>
            <w:pPr>
              <w:pStyle w:val="TableParagraph"/>
              <w:tabs>
                <w:tab w:pos="1775" w:val="left" w:leader="none"/>
              </w:tabs>
              <w:spacing w:before="56"/>
              <w:ind w:right="146"/>
              <w:jc w:val="right"/>
              <w:rPr>
                <w:sz w:val="16"/>
              </w:rPr>
            </w:pPr>
            <w:r>
              <w:rPr>
                <w:w w:val="120"/>
                <w:sz w:val="16"/>
              </w:rPr>
              <w:t>36,358</w:t>
              <w:tab/>
              <w:t>$</w:t>
            </w:r>
            <w:r>
              <w:rPr>
                <w:spacing w:val="41"/>
                <w:w w:val="120"/>
                <w:sz w:val="16"/>
              </w:rPr>
              <w:t> </w:t>
            </w:r>
            <w:r>
              <w:rPr>
                <w:w w:val="120"/>
                <w:sz w:val="16"/>
              </w:rPr>
              <w:t>8.66</w:t>
            </w:r>
          </w:p>
        </w:tc>
      </w:tr>
      <w:tr>
        <w:trPr>
          <w:trHeight w:val="269" w:hRule="exact"/>
        </w:trPr>
        <w:tc>
          <w:tcPr>
            <w:tcW w:w="3030" w:type="dxa"/>
          </w:tcPr>
          <w:p>
            <w:pPr>
              <w:pStyle w:val="TableParagraph"/>
              <w:spacing w:before="29"/>
              <w:ind w:left="144"/>
              <w:rPr>
                <w:sz w:val="16"/>
              </w:rPr>
            </w:pPr>
            <w:r>
              <w:rPr>
                <w:w w:val="105"/>
                <w:sz w:val="16"/>
              </w:rPr>
              <w:t>Granted</w:t>
            </w:r>
          </w:p>
        </w:tc>
        <w:tc>
          <w:tcPr>
            <w:tcW w:w="3435" w:type="dxa"/>
          </w:tcPr>
          <w:p>
            <w:pPr>
              <w:pStyle w:val="TableParagraph"/>
              <w:tabs>
                <w:tab w:pos="1774" w:val="left" w:leader="none"/>
              </w:tabs>
              <w:spacing w:before="29"/>
              <w:ind w:right="202"/>
              <w:jc w:val="right"/>
              <w:rPr>
                <w:sz w:val="16"/>
              </w:rPr>
            </w:pPr>
            <w:r>
              <w:rPr>
                <w:w w:val="115"/>
                <w:sz w:val="16"/>
              </w:rPr>
              <w:t>1,665</w:t>
              <w:tab/>
              <w:t>19.05</w:t>
            </w:r>
          </w:p>
        </w:tc>
        <w:tc>
          <w:tcPr>
            <w:tcW w:w="3394" w:type="dxa"/>
          </w:tcPr>
          <w:p>
            <w:pPr>
              <w:pStyle w:val="TableParagraph"/>
              <w:tabs>
                <w:tab w:pos="1775" w:val="left" w:leader="none"/>
              </w:tabs>
              <w:spacing w:before="29"/>
              <w:ind w:right="146"/>
              <w:jc w:val="right"/>
              <w:rPr>
                <w:sz w:val="16"/>
              </w:rPr>
            </w:pPr>
            <w:r>
              <w:rPr>
                <w:w w:val="115"/>
                <w:sz w:val="16"/>
              </w:rPr>
              <w:t>4,022</w:t>
              <w:tab/>
              <w:t>18.75</w:t>
            </w:r>
          </w:p>
        </w:tc>
      </w:tr>
      <w:tr>
        <w:trPr>
          <w:trHeight w:val="269" w:hRule="exact"/>
        </w:trPr>
        <w:tc>
          <w:tcPr>
            <w:tcW w:w="3030" w:type="dxa"/>
          </w:tcPr>
          <w:p>
            <w:pPr>
              <w:pStyle w:val="TableParagraph"/>
              <w:spacing w:before="29"/>
              <w:ind w:left="145"/>
              <w:rPr>
                <w:sz w:val="16"/>
              </w:rPr>
            </w:pPr>
            <w:r>
              <w:rPr>
                <w:sz w:val="16"/>
              </w:rPr>
              <w:t>Exercised</w:t>
            </w:r>
          </w:p>
        </w:tc>
        <w:tc>
          <w:tcPr>
            <w:tcW w:w="3435" w:type="dxa"/>
          </w:tcPr>
          <w:p>
            <w:pPr>
              <w:pStyle w:val="TableParagraph"/>
              <w:tabs>
                <w:tab w:pos="1949" w:val="left" w:leader="none"/>
              </w:tabs>
              <w:spacing w:before="29"/>
              <w:ind w:right="202"/>
              <w:jc w:val="right"/>
              <w:rPr>
                <w:sz w:val="16"/>
              </w:rPr>
            </w:pPr>
            <w:r>
              <w:rPr>
                <w:w w:val="120"/>
                <w:sz w:val="16"/>
              </w:rPr>
              <w:t>(4,166)</w:t>
              <w:tab/>
            </w:r>
            <w:r>
              <w:rPr>
                <w:spacing w:val="-1"/>
                <w:w w:val="115"/>
                <w:sz w:val="16"/>
              </w:rPr>
              <w:t>4.48</w:t>
            </w:r>
          </w:p>
        </w:tc>
        <w:tc>
          <w:tcPr>
            <w:tcW w:w="3394" w:type="dxa"/>
          </w:tcPr>
          <w:p>
            <w:pPr>
              <w:pStyle w:val="TableParagraph"/>
              <w:tabs>
                <w:tab w:pos="1952" w:val="left" w:leader="none"/>
              </w:tabs>
              <w:spacing w:before="29"/>
              <w:ind w:right="146"/>
              <w:jc w:val="right"/>
              <w:rPr>
                <w:sz w:val="16"/>
              </w:rPr>
            </w:pPr>
            <w:r>
              <w:rPr>
                <w:w w:val="120"/>
                <w:sz w:val="16"/>
              </w:rPr>
              <w:t>(4,135)</w:t>
              <w:tab/>
            </w:r>
            <w:r>
              <w:rPr>
                <w:w w:val="115"/>
                <w:sz w:val="16"/>
              </w:rPr>
              <w:t>4.77</w:t>
            </w:r>
          </w:p>
        </w:tc>
      </w:tr>
      <w:tr>
        <w:trPr>
          <w:trHeight w:val="269" w:hRule="exact"/>
        </w:trPr>
        <w:tc>
          <w:tcPr>
            <w:tcW w:w="3030" w:type="dxa"/>
          </w:tcPr>
          <w:p>
            <w:pPr>
              <w:pStyle w:val="TableParagraph"/>
              <w:spacing w:before="29"/>
              <w:ind w:left="145"/>
              <w:rPr>
                <w:sz w:val="16"/>
              </w:rPr>
            </w:pPr>
            <w:r>
              <w:rPr>
                <w:w w:val="105"/>
                <w:sz w:val="16"/>
              </w:rPr>
              <w:t>Surrendered</w:t>
            </w:r>
          </w:p>
        </w:tc>
        <w:tc>
          <w:tcPr>
            <w:tcW w:w="3435" w:type="dxa"/>
          </w:tcPr>
          <w:p>
            <w:pPr>
              <w:pStyle w:val="TableParagraph"/>
              <w:tabs>
                <w:tab w:pos="1068" w:val="left" w:leader="none"/>
                <w:tab w:pos="2865" w:val="left" w:leader="none"/>
              </w:tabs>
              <w:spacing w:before="29"/>
              <w:ind w:left="74"/>
              <w:rPr>
                <w:sz w:val="16"/>
              </w:rPr>
            </w:pPr>
            <w:r>
              <w:rPr>
                <w:w w:val="118"/>
                <w:sz w:val="16"/>
                <w:u w:val="single"/>
              </w:rPr>
              <w:t> </w:t>
            </w:r>
            <w:r>
              <w:rPr>
                <w:sz w:val="16"/>
                <w:u w:val="single"/>
              </w:rPr>
              <w:tab/>
            </w:r>
            <w:r>
              <w:rPr>
                <w:w w:val="120"/>
                <w:sz w:val="16"/>
                <w:u w:val="single"/>
              </w:rPr>
              <w:t>(349)</w:t>
            </w:r>
            <w:r>
              <w:rPr>
                <w:w w:val="120"/>
                <w:sz w:val="16"/>
              </w:rPr>
              <w:tab/>
              <w:t>8.71</w:t>
            </w:r>
          </w:p>
        </w:tc>
        <w:tc>
          <w:tcPr>
            <w:tcW w:w="3394" w:type="dxa"/>
          </w:tcPr>
          <w:p>
            <w:pPr>
              <w:pStyle w:val="TableParagraph"/>
              <w:tabs>
                <w:tab w:pos="926" w:val="left" w:leader="none"/>
                <w:tab w:pos="2774" w:val="left" w:leader="none"/>
              </w:tabs>
              <w:spacing w:before="29"/>
              <w:ind w:left="88"/>
              <w:rPr>
                <w:sz w:val="16"/>
              </w:rPr>
            </w:pPr>
            <w:r>
              <w:rPr>
                <w:w w:val="118"/>
                <w:sz w:val="16"/>
                <w:u w:val="single"/>
              </w:rPr>
              <w:t> </w:t>
            </w:r>
            <w:r>
              <w:rPr>
                <w:sz w:val="16"/>
                <w:u w:val="single"/>
              </w:rPr>
              <w:tab/>
            </w:r>
            <w:r>
              <w:rPr>
                <w:w w:val="120"/>
                <w:sz w:val="16"/>
                <w:u w:val="single"/>
              </w:rPr>
              <w:t>(1,394)</w:t>
            </w:r>
            <w:r>
              <w:rPr>
                <w:w w:val="120"/>
                <w:sz w:val="16"/>
              </w:rPr>
              <w:tab/>
              <w:t>10.87</w:t>
            </w:r>
          </w:p>
        </w:tc>
      </w:tr>
      <w:tr>
        <w:trPr>
          <w:trHeight w:val="269" w:hRule="exact"/>
        </w:trPr>
        <w:tc>
          <w:tcPr>
            <w:tcW w:w="3030" w:type="dxa"/>
          </w:tcPr>
          <w:p>
            <w:pPr>
              <w:pStyle w:val="TableParagraph"/>
              <w:spacing w:before="29"/>
              <w:ind w:left="38"/>
              <w:rPr>
                <w:sz w:val="16"/>
              </w:rPr>
            </w:pPr>
            <w:r>
              <w:rPr>
                <w:w w:val="110"/>
                <w:sz w:val="16"/>
              </w:rPr>
              <w:t>Outstanding December 31, 2001</w:t>
            </w:r>
          </w:p>
        </w:tc>
        <w:tc>
          <w:tcPr>
            <w:tcW w:w="3435" w:type="dxa"/>
          </w:tcPr>
          <w:p>
            <w:pPr>
              <w:pStyle w:val="TableParagraph"/>
              <w:tabs>
                <w:tab w:pos="1985" w:val="left" w:leader="none"/>
              </w:tabs>
              <w:spacing w:before="29"/>
              <w:ind w:right="202"/>
              <w:jc w:val="right"/>
              <w:rPr>
                <w:sz w:val="16"/>
              </w:rPr>
            </w:pPr>
            <w:r>
              <w:rPr>
                <w:w w:val="115"/>
                <w:sz w:val="16"/>
              </w:rPr>
              <w:t>60,550</w:t>
              <w:tab/>
            </w:r>
            <w:r>
              <w:rPr>
                <w:spacing w:val="-1"/>
                <w:w w:val="115"/>
                <w:sz w:val="16"/>
              </w:rPr>
              <w:t>6.05</w:t>
            </w:r>
          </w:p>
        </w:tc>
        <w:tc>
          <w:tcPr>
            <w:tcW w:w="3394" w:type="dxa"/>
          </w:tcPr>
          <w:p>
            <w:pPr>
              <w:pStyle w:val="TableParagraph"/>
              <w:tabs>
                <w:tab w:pos="1881" w:val="left" w:leader="none"/>
              </w:tabs>
              <w:spacing w:before="29"/>
              <w:ind w:right="146"/>
              <w:jc w:val="right"/>
              <w:rPr>
                <w:sz w:val="16"/>
              </w:rPr>
            </w:pPr>
            <w:r>
              <w:rPr>
                <w:w w:val="120"/>
                <w:sz w:val="16"/>
              </w:rPr>
              <w:t>34,851</w:t>
              <w:tab/>
            </w:r>
            <w:r>
              <w:rPr>
                <w:w w:val="115"/>
                <w:sz w:val="16"/>
              </w:rPr>
              <w:t>10.20</w:t>
            </w:r>
          </w:p>
        </w:tc>
      </w:tr>
      <w:tr>
        <w:trPr>
          <w:trHeight w:val="269" w:hRule="exact"/>
        </w:trPr>
        <w:tc>
          <w:tcPr>
            <w:tcW w:w="3030" w:type="dxa"/>
          </w:tcPr>
          <w:p>
            <w:pPr>
              <w:pStyle w:val="TableParagraph"/>
              <w:spacing w:before="29"/>
              <w:ind w:left="144"/>
              <w:rPr>
                <w:sz w:val="16"/>
              </w:rPr>
            </w:pPr>
            <w:r>
              <w:rPr>
                <w:w w:val="105"/>
                <w:sz w:val="16"/>
              </w:rPr>
              <w:t>Granted</w:t>
            </w:r>
          </w:p>
        </w:tc>
        <w:tc>
          <w:tcPr>
            <w:tcW w:w="3435" w:type="dxa"/>
          </w:tcPr>
          <w:p>
            <w:pPr>
              <w:pStyle w:val="TableParagraph"/>
              <w:tabs>
                <w:tab w:pos="1879" w:val="left" w:leader="none"/>
              </w:tabs>
              <w:spacing w:before="29"/>
              <w:ind w:right="202"/>
              <w:jc w:val="right"/>
              <w:rPr>
                <w:sz w:val="16"/>
              </w:rPr>
            </w:pPr>
            <w:r>
              <w:rPr>
                <w:w w:val="120"/>
                <w:sz w:val="16"/>
              </w:rPr>
              <w:t>48,414</w:t>
              <w:tab/>
            </w:r>
            <w:r>
              <w:rPr>
                <w:w w:val="115"/>
                <w:sz w:val="16"/>
              </w:rPr>
              <w:t>13.37</w:t>
            </w:r>
          </w:p>
        </w:tc>
        <w:tc>
          <w:tcPr>
            <w:tcW w:w="3394" w:type="dxa"/>
          </w:tcPr>
          <w:p>
            <w:pPr>
              <w:pStyle w:val="TableParagraph"/>
              <w:tabs>
                <w:tab w:pos="1775" w:val="left" w:leader="none"/>
              </w:tabs>
              <w:spacing w:before="29"/>
              <w:ind w:right="146"/>
              <w:jc w:val="right"/>
              <w:rPr>
                <w:sz w:val="16"/>
              </w:rPr>
            </w:pPr>
            <w:r>
              <w:rPr>
                <w:w w:val="115"/>
                <w:sz w:val="16"/>
              </w:rPr>
              <w:t>4,423</w:t>
              <w:tab/>
              <w:t>16.90</w:t>
            </w:r>
          </w:p>
        </w:tc>
      </w:tr>
      <w:tr>
        <w:trPr>
          <w:trHeight w:val="269" w:hRule="exact"/>
        </w:trPr>
        <w:tc>
          <w:tcPr>
            <w:tcW w:w="3030" w:type="dxa"/>
          </w:tcPr>
          <w:p>
            <w:pPr>
              <w:pStyle w:val="TableParagraph"/>
              <w:spacing w:before="29"/>
              <w:ind w:left="145"/>
              <w:rPr>
                <w:sz w:val="16"/>
              </w:rPr>
            </w:pPr>
            <w:r>
              <w:rPr>
                <w:sz w:val="16"/>
              </w:rPr>
              <w:t>Exercised</w:t>
            </w:r>
          </w:p>
        </w:tc>
        <w:tc>
          <w:tcPr>
            <w:tcW w:w="3435" w:type="dxa"/>
          </w:tcPr>
          <w:p>
            <w:pPr>
              <w:pStyle w:val="TableParagraph"/>
              <w:tabs>
                <w:tab w:pos="1949" w:val="left" w:leader="none"/>
              </w:tabs>
              <w:spacing w:before="29"/>
              <w:ind w:right="202"/>
              <w:jc w:val="right"/>
              <w:rPr>
                <w:sz w:val="16"/>
              </w:rPr>
            </w:pPr>
            <w:r>
              <w:rPr>
                <w:w w:val="120"/>
                <w:sz w:val="16"/>
              </w:rPr>
              <w:t>(4,211)</w:t>
              <w:tab/>
            </w:r>
            <w:r>
              <w:rPr>
                <w:spacing w:val="-1"/>
                <w:w w:val="115"/>
                <w:sz w:val="16"/>
              </w:rPr>
              <w:t>4.48</w:t>
            </w:r>
          </w:p>
        </w:tc>
        <w:tc>
          <w:tcPr>
            <w:tcW w:w="3394" w:type="dxa"/>
          </w:tcPr>
          <w:p>
            <w:pPr>
              <w:pStyle w:val="TableParagraph"/>
              <w:tabs>
                <w:tab w:pos="1952" w:val="left" w:leader="none"/>
              </w:tabs>
              <w:spacing w:before="29"/>
              <w:ind w:right="146"/>
              <w:jc w:val="right"/>
              <w:rPr>
                <w:sz w:val="16"/>
              </w:rPr>
            </w:pPr>
            <w:r>
              <w:rPr>
                <w:w w:val="120"/>
                <w:sz w:val="16"/>
              </w:rPr>
              <w:t>(3,805)</w:t>
              <w:tab/>
            </w:r>
            <w:r>
              <w:rPr>
                <w:w w:val="115"/>
                <w:sz w:val="16"/>
              </w:rPr>
              <w:t>5.75</w:t>
            </w:r>
          </w:p>
        </w:tc>
      </w:tr>
      <w:tr>
        <w:trPr>
          <w:trHeight w:val="269" w:hRule="exact"/>
        </w:trPr>
        <w:tc>
          <w:tcPr>
            <w:tcW w:w="3030" w:type="dxa"/>
          </w:tcPr>
          <w:p>
            <w:pPr>
              <w:pStyle w:val="TableParagraph"/>
              <w:spacing w:before="29"/>
              <w:ind w:left="145"/>
              <w:rPr>
                <w:sz w:val="16"/>
              </w:rPr>
            </w:pPr>
            <w:r>
              <w:rPr>
                <w:w w:val="105"/>
                <w:sz w:val="16"/>
              </w:rPr>
              <w:t>Surrendered</w:t>
            </w:r>
          </w:p>
        </w:tc>
        <w:tc>
          <w:tcPr>
            <w:tcW w:w="3435" w:type="dxa"/>
          </w:tcPr>
          <w:p>
            <w:pPr>
              <w:pStyle w:val="TableParagraph"/>
              <w:tabs>
                <w:tab w:pos="1068" w:val="left" w:leader="none"/>
                <w:tab w:pos="2865" w:val="left" w:leader="none"/>
              </w:tabs>
              <w:spacing w:before="29"/>
              <w:ind w:left="74"/>
              <w:rPr>
                <w:sz w:val="16"/>
              </w:rPr>
            </w:pPr>
            <w:r>
              <w:rPr>
                <w:w w:val="118"/>
                <w:sz w:val="16"/>
                <w:u w:val="single"/>
              </w:rPr>
              <w:t> </w:t>
            </w:r>
            <w:r>
              <w:rPr>
                <w:sz w:val="16"/>
                <w:u w:val="single"/>
              </w:rPr>
              <w:tab/>
            </w:r>
            <w:r>
              <w:rPr>
                <w:w w:val="120"/>
                <w:sz w:val="16"/>
                <w:u w:val="single"/>
              </w:rPr>
              <w:t>(733)</w:t>
            </w:r>
            <w:r>
              <w:rPr>
                <w:w w:val="120"/>
                <w:sz w:val="16"/>
              </w:rPr>
              <w:tab/>
              <w:t>8.69</w:t>
            </w:r>
          </w:p>
        </w:tc>
        <w:tc>
          <w:tcPr>
            <w:tcW w:w="3394" w:type="dxa"/>
          </w:tcPr>
          <w:p>
            <w:pPr>
              <w:pStyle w:val="TableParagraph"/>
              <w:tabs>
                <w:tab w:pos="926" w:val="left" w:leader="none"/>
                <w:tab w:pos="2774" w:val="left" w:leader="none"/>
              </w:tabs>
              <w:spacing w:before="29"/>
              <w:ind w:left="88"/>
              <w:rPr>
                <w:sz w:val="16"/>
              </w:rPr>
            </w:pPr>
            <w:r>
              <w:rPr>
                <w:w w:val="118"/>
                <w:sz w:val="16"/>
                <w:u w:val="single"/>
              </w:rPr>
              <w:t> </w:t>
            </w:r>
            <w:r>
              <w:rPr>
                <w:sz w:val="16"/>
                <w:u w:val="single"/>
              </w:rPr>
              <w:tab/>
            </w:r>
            <w:r>
              <w:rPr>
                <w:w w:val="120"/>
                <w:sz w:val="16"/>
                <w:u w:val="single"/>
              </w:rPr>
              <w:t>(1,317)</w:t>
            </w:r>
            <w:r>
              <w:rPr>
                <w:w w:val="120"/>
                <w:sz w:val="16"/>
              </w:rPr>
              <w:tab/>
              <w:t>12.48</w:t>
            </w:r>
          </w:p>
        </w:tc>
      </w:tr>
      <w:tr>
        <w:trPr>
          <w:trHeight w:val="269" w:hRule="exact"/>
        </w:trPr>
        <w:tc>
          <w:tcPr>
            <w:tcW w:w="3030" w:type="dxa"/>
          </w:tcPr>
          <w:p>
            <w:pPr>
              <w:pStyle w:val="TableParagraph"/>
              <w:spacing w:before="29"/>
              <w:ind w:left="38"/>
              <w:rPr>
                <w:sz w:val="16"/>
              </w:rPr>
            </w:pPr>
            <w:r>
              <w:rPr>
                <w:w w:val="110"/>
                <w:sz w:val="16"/>
              </w:rPr>
              <w:t>Outstanding December 31, 2002</w:t>
            </w:r>
          </w:p>
        </w:tc>
        <w:tc>
          <w:tcPr>
            <w:tcW w:w="3435" w:type="dxa"/>
          </w:tcPr>
          <w:p>
            <w:pPr>
              <w:pStyle w:val="TableParagraph"/>
              <w:tabs>
                <w:tab w:pos="2090" w:val="left" w:leader="none"/>
              </w:tabs>
              <w:spacing w:before="29"/>
              <w:ind w:right="202"/>
              <w:jc w:val="right"/>
              <w:rPr>
                <w:sz w:val="16"/>
              </w:rPr>
            </w:pPr>
            <w:r>
              <w:rPr>
                <w:w w:val="115"/>
                <w:sz w:val="16"/>
              </w:rPr>
              <w:t>104,020</w:t>
              <w:tab/>
            </w:r>
            <w:r>
              <w:rPr>
                <w:spacing w:val="-1"/>
                <w:w w:val="115"/>
                <w:sz w:val="16"/>
              </w:rPr>
              <w:t>9.51</w:t>
            </w:r>
          </w:p>
        </w:tc>
        <w:tc>
          <w:tcPr>
            <w:tcW w:w="3394" w:type="dxa"/>
          </w:tcPr>
          <w:p>
            <w:pPr>
              <w:pStyle w:val="TableParagraph"/>
              <w:tabs>
                <w:tab w:pos="1881" w:val="left" w:leader="none"/>
              </w:tabs>
              <w:spacing w:before="29"/>
              <w:ind w:right="146"/>
              <w:jc w:val="right"/>
              <w:rPr>
                <w:sz w:val="16"/>
              </w:rPr>
            </w:pPr>
            <w:r>
              <w:rPr>
                <w:w w:val="120"/>
                <w:sz w:val="16"/>
              </w:rPr>
              <w:t>34,152</w:t>
              <w:tab/>
            </w:r>
            <w:r>
              <w:rPr>
                <w:w w:val="115"/>
                <w:sz w:val="16"/>
              </w:rPr>
              <w:t>11.47</w:t>
            </w:r>
          </w:p>
        </w:tc>
      </w:tr>
      <w:tr>
        <w:trPr>
          <w:trHeight w:val="269" w:hRule="exact"/>
        </w:trPr>
        <w:tc>
          <w:tcPr>
            <w:tcW w:w="3030" w:type="dxa"/>
          </w:tcPr>
          <w:p>
            <w:pPr>
              <w:pStyle w:val="TableParagraph"/>
              <w:spacing w:before="29"/>
              <w:ind w:left="177"/>
              <w:rPr>
                <w:b/>
                <w:sz w:val="16"/>
              </w:rPr>
            </w:pPr>
            <w:r>
              <w:rPr>
                <w:b/>
                <w:color w:val="0000D3"/>
                <w:sz w:val="16"/>
              </w:rPr>
              <w:t>Granted</w:t>
            </w:r>
          </w:p>
        </w:tc>
        <w:tc>
          <w:tcPr>
            <w:tcW w:w="3435" w:type="dxa"/>
          </w:tcPr>
          <w:p>
            <w:pPr>
              <w:pStyle w:val="TableParagraph"/>
              <w:tabs>
                <w:tab w:pos="1885" w:val="left" w:leader="none"/>
              </w:tabs>
              <w:spacing w:before="29"/>
              <w:ind w:right="206"/>
              <w:jc w:val="right"/>
              <w:rPr>
                <w:b/>
                <w:sz w:val="16"/>
              </w:rPr>
            </w:pPr>
            <w:r>
              <w:rPr>
                <w:b/>
                <w:color w:val="0000D3"/>
                <w:spacing w:val="4"/>
                <w:w w:val="115"/>
                <w:sz w:val="16"/>
              </w:rPr>
              <w:t>26,674</w:t>
              <w:tab/>
              <w:t>13.53</w:t>
            </w:r>
          </w:p>
        </w:tc>
        <w:tc>
          <w:tcPr>
            <w:tcW w:w="3394" w:type="dxa"/>
          </w:tcPr>
          <w:p>
            <w:pPr>
              <w:pStyle w:val="TableParagraph"/>
              <w:tabs>
                <w:tab w:pos="1774" w:val="left" w:leader="none"/>
              </w:tabs>
              <w:spacing w:before="29"/>
              <w:ind w:right="150"/>
              <w:jc w:val="right"/>
              <w:rPr>
                <w:b/>
                <w:sz w:val="16"/>
              </w:rPr>
            </w:pPr>
            <w:r>
              <w:rPr>
                <w:b/>
                <w:color w:val="0000D3"/>
                <w:spacing w:val="4"/>
                <w:w w:val="115"/>
                <w:sz w:val="16"/>
              </w:rPr>
              <w:t>4,770</w:t>
              <w:tab/>
              <w:t>14.63</w:t>
            </w:r>
          </w:p>
        </w:tc>
      </w:tr>
      <w:tr>
        <w:trPr>
          <w:trHeight w:val="269" w:hRule="exact"/>
        </w:trPr>
        <w:tc>
          <w:tcPr>
            <w:tcW w:w="3030" w:type="dxa"/>
          </w:tcPr>
          <w:p>
            <w:pPr>
              <w:pStyle w:val="TableParagraph"/>
              <w:spacing w:before="29"/>
              <w:ind w:left="184"/>
              <w:rPr>
                <w:b/>
                <w:sz w:val="16"/>
              </w:rPr>
            </w:pPr>
            <w:r>
              <w:rPr>
                <w:b/>
                <w:color w:val="0000D3"/>
                <w:sz w:val="16"/>
              </w:rPr>
              <w:t>Exercised</w:t>
            </w:r>
          </w:p>
        </w:tc>
        <w:tc>
          <w:tcPr>
            <w:tcW w:w="3435" w:type="dxa"/>
          </w:tcPr>
          <w:p>
            <w:pPr>
              <w:pStyle w:val="TableParagraph"/>
              <w:tabs>
                <w:tab w:pos="1962" w:val="left" w:leader="none"/>
              </w:tabs>
              <w:spacing w:before="29"/>
              <w:ind w:right="206"/>
              <w:jc w:val="right"/>
              <w:rPr>
                <w:b/>
                <w:sz w:val="16"/>
              </w:rPr>
            </w:pPr>
            <w:r>
              <w:rPr>
                <w:b/>
                <w:color w:val="0000D3"/>
                <w:spacing w:val="5"/>
                <w:w w:val="120"/>
                <w:sz w:val="16"/>
              </w:rPr>
              <w:t>(7,422)</w:t>
              <w:tab/>
            </w:r>
            <w:r>
              <w:rPr>
                <w:b/>
                <w:color w:val="0000D3"/>
                <w:spacing w:val="4"/>
                <w:w w:val="115"/>
                <w:sz w:val="16"/>
              </w:rPr>
              <w:t>6.78</w:t>
            </w:r>
          </w:p>
        </w:tc>
        <w:tc>
          <w:tcPr>
            <w:tcW w:w="3394" w:type="dxa"/>
          </w:tcPr>
          <w:p>
            <w:pPr>
              <w:pStyle w:val="TableParagraph"/>
              <w:tabs>
                <w:tab w:pos="1961" w:val="left" w:leader="none"/>
              </w:tabs>
              <w:spacing w:before="29"/>
              <w:ind w:right="150"/>
              <w:jc w:val="right"/>
              <w:rPr>
                <w:b/>
                <w:sz w:val="16"/>
              </w:rPr>
            </w:pPr>
            <w:r>
              <w:rPr>
                <w:b/>
                <w:color w:val="0000D3"/>
                <w:spacing w:val="5"/>
                <w:w w:val="120"/>
                <w:sz w:val="16"/>
              </w:rPr>
              <w:t>(3,318)</w:t>
              <w:tab/>
            </w:r>
            <w:r>
              <w:rPr>
                <w:b/>
                <w:color w:val="0000D3"/>
                <w:spacing w:val="4"/>
                <w:w w:val="115"/>
                <w:sz w:val="16"/>
              </w:rPr>
              <w:t>7.95</w:t>
            </w:r>
          </w:p>
        </w:tc>
      </w:tr>
      <w:tr>
        <w:trPr>
          <w:trHeight w:val="259" w:hRule="exact"/>
        </w:trPr>
        <w:tc>
          <w:tcPr>
            <w:tcW w:w="3030" w:type="dxa"/>
          </w:tcPr>
          <w:p>
            <w:pPr>
              <w:pStyle w:val="TableParagraph"/>
              <w:spacing w:before="29"/>
              <w:ind w:left="188"/>
              <w:rPr>
                <w:b/>
                <w:sz w:val="16"/>
              </w:rPr>
            </w:pPr>
            <w:r>
              <w:rPr>
                <w:b/>
                <w:color w:val="0000D3"/>
                <w:sz w:val="16"/>
              </w:rPr>
              <w:t>Surrendered</w:t>
            </w:r>
          </w:p>
        </w:tc>
        <w:tc>
          <w:tcPr>
            <w:tcW w:w="3435" w:type="dxa"/>
          </w:tcPr>
          <w:p>
            <w:pPr>
              <w:pStyle w:val="TableParagraph"/>
              <w:tabs>
                <w:tab w:pos="880" w:val="left" w:leader="none"/>
                <w:tab w:pos="2732" w:val="left" w:leader="none"/>
              </w:tabs>
              <w:spacing w:before="29"/>
              <w:ind w:left="74"/>
              <w:rPr>
                <w:b/>
                <w:sz w:val="16"/>
              </w:rPr>
            </w:pPr>
            <w:r>
              <w:rPr>
                <w:b/>
                <w:color w:val="0000D3"/>
                <w:w w:val="118"/>
                <w:sz w:val="16"/>
                <w:u w:val="single" w:color="000000"/>
              </w:rPr>
              <w:t> </w:t>
            </w:r>
            <w:r>
              <w:rPr>
                <w:b/>
                <w:color w:val="0000D3"/>
                <w:sz w:val="16"/>
                <w:u w:val="single" w:color="000000"/>
              </w:rPr>
              <w:tab/>
            </w:r>
            <w:r>
              <w:rPr>
                <w:b/>
                <w:color w:val="0000D3"/>
                <w:spacing w:val="5"/>
                <w:w w:val="120"/>
                <w:sz w:val="16"/>
                <w:u w:val="single" w:color="000000"/>
              </w:rPr>
              <w:t>(3,214)</w:t>
            </w:r>
            <w:r>
              <w:rPr>
                <w:b/>
                <w:color w:val="0000D3"/>
                <w:spacing w:val="5"/>
                <w:w w:val="120"/>
                <w:sz w:val="16"/>
              </w:rPr>
              <w:tab/>
            </w:r>
            <w:r>
              <w:rPr>
                <w:b/>
                <w:color w:val="0000D3"/>
                <w:spacing w:val="4"/>
                <w:w w:val="120"/>
                <w:sz w:val="16"/>
              </w:rPr>
              <w:t>12.69</w:t>
            </w:r>
          </w:p>
        </w:tc>
        <w:tc>
          <w:tcPr>
            <w:tcW w:w="3394" w:type="dxa"/>
          </w:tcPr>
          <w:p>
            <w:pPr>
              <w:pStyle w:val="TableParagraph"/>
              <w:tabs>
                <w:tab w:pos="895" w:val="left" w:leader="none"/>
                <w:tab w:pos="2746" w:val="left" w:leader="none"/>
              </w:tabs>
              <w:spacing w:before="29"/>
              <w:ind w:left="88"/>
              <w:rPr>
                <w:b/>
                <w:sz w:val="16"/>
              </w:rPr>
            </w:pPr>
            <w:r>
              <w:rPr>
                <w:b/>
                <w:color w:val="0000D3"/>
                <w:w w:val="118"/>
                <w:sz w:val="16"/>
                <w:u w:val="single" w:color="000000"/>
              </w:rPr>
              <w:t> </w:t>
            </w:r>
            <w:r>
              <w:rPr>
                <w:b/>
                <w:color w:val="0000D3"/>
                <w:sz w:val="16"/>
                <w:u w:val="single" w:color="000000"/>
              </w:rPr>
              <w:tab/>
            </w:r>
            <w:r>
              <w:rPr>
                <w:b/>
                <w:color w:val="0000D3"/>
                <w:spacing w:val="5"/>
                <w:w w:val="120"/>
                <w:sz w:val="16"/>
                <w:u w:val="single" w:color="000000"/>
              </w:rPr>
              <w:t>(1,052)</w:t>
            </w:r>
            <w:r>
              <w:rPr>
                <w:b/>
                <w:color w:val="0000D3"/>
                <w:spacing w:val="5"/>
                <w:w w:val="120"/>
                <w:sz w:val="16"/>
              </w:rPr>
              <w:tab/>
            </w:r>
            <w:r>
              <w:rPr>
                <w:b/>
                <w:color w:val="0000D3"/>
                <w:spacing w:val="4"/>
                <w:w w:val="120"/>
                <w:sz w:val="16"/>
              </w:rPr>
              <w:t>13.57</w:t>
            </w:r>
          </w:p>
        </w:tc>
      </w:tr>
      <w:tr>
        <w:trPr>
          <w:trHeight w:val="269" w:hRule="exact"/>
        </w:trPr>
        <w:tc>
          <w:tcPr>
            <w:tcW w:w="3030" w:type="dxa"/>
          </w:tcPr>
          <w:p>
            <w:pPr>
              <w:pStyle w:val="TableParagraph"/>
              <w:spacing w:before="19"/>
              <w:ind w:left="38"/>
              <w:rPr>
                <w:b/>
                <w:sz w:val="16"/>
              </w:rPr>
            </w:pPr>
            <w:r>
              <w:rPr>
                <w:b/>
                <w:color w:val="0000D3"/>
                <w:w w:val="110"/>
                <w:sz w:val="16"/>
              </w:rPr>
              <w:t>Outstanding December 31, 2003</w:t>
            </w:r>
          </w:p>
        </w:tc>
        <w:tc>
          <w:tcPr>
            <w:tcW w:w="3435" w:type="dxa"/>
          </w:tcPr>
          <w:p>
            <w:pPr>
              <w:pStyle w:val="TableParagraph"/>
              <w:tabs>
                <w:tab w:pos="736" w:val="left" w:leader="none"/>
                <w:tab w:pos="2507" w:val="left" w:leader="none"/>
              </w:tabs>
              <w:spacing w:before="19"/>
              <w:ind w:left="74"/>
              <w:rPr>
                <w:b/>
                <w:sz w:val="16"/>
              </w:rPr>
            </w:pPr>
            <w:r>
              <w:rPr>
                <w:b/>
                <w:color w:val="0000D3"/>
                <w:w w:val="118"/>
                <w:sz w:val="16"/>
                <w:u w:val="thick" w:color="000000"/>
              </w:rPr>
              <w:t> </w:t>
            </w:r>
            <w:r>
              <w:rPr>
                <w:b/>
                <w:color w:val="0000D3"/>
                <w:sz w:val="16"/>
                <w:u w:val="thick" w:color="000000"/>
              </w:rPr>
              <w:tab/>
            </w:r>
            <w:r>
              <w:rPr>
                <w:b/>
                <w:color w:val="0000D3"/>
                <w:spacing w:val="4"/>
                <w:w w:val="115"/>
                <w:sz w:val="16"/>
                <w:u w:val="thick" w:color="000000"/>
              </w:rPr>
              <w:t>120,058</w:t>
            </w:r>
            <w:r>
              <w:rPr>
                <w:b/>
                <w:color w:val="0000D3"/>
                <w:spacing w:val="4"/>
                <w:w w:val="115"/>
                <w:sz w:val="16"/>
              </w:rPr>
              <w:tab/>
            </w:r>
            <w:r>
              <w:rPr>
                <w:b/>
                <w:color w:val="0000D3"/>
                <w:w w:val="115"/>
                <w:sz w:val="16"/>
              </w:rPr>
              <w:t>$  </w:t>
            </w:r>
            <w:r>
              <w:rPr>
                <w:b/>
                <w:color w:val="0000D3"/>
                <w:spacing w:val="1"/>
                <w:w w:val="115"/>
                <w:sz w:val="16"/>
              </w:rPr>
              <w:t> </w:t>
            </w:r>
            <w:r>
              <w:rPr>
                <w:b/>
                <w:color w:val="0000D3"/>
                <w:w w:val="115"/>
                <w:sz w:val="16"/>
              </w:rPr>
              <w:t>10.47</w:t>
            </w:r>
          </w:p>
        </w:tc>
        <w:tc>
          <w:tcPr>
            <w:tcW w:w="3394" w:type="dxa"/>
          </w:tcPr>
          <w:p>
            <w:pPr>
              <w:pStyle w:val="TableParagraph"/>
              <w:tabs>
                <w:tab w:pos="861" w:val="left" w:leader="none"/>
                <w:tab w:pos="2521" w:val="left" w:leader="none"/>
              </w:tabs>
              <w:spacing w:before="19"/>
              <w:ind w:left="88"/>
              <w:rPr>
                <w:b/>
                <w:sz w:val="16"/>
              </w:rPr>
            </w:pPr>
            <w:r>
              <w:rPr>
                <w:b/>
                <w:color w:val="0000D3"/>
                <w:w w:val="118"/>
                <w:sz w:val="16"/>
                <w:u w:val="thick" w:color="000000"/>
              </w:rPr>
              <w:t> </w:t>
            </w:r>
            <w:r>
              <w:rPr>
                <w:b/>
                <w:color w:val="0000D3"/>
                <w:sz w:val="16"/>
                <w:u w:val="thick" w:color="000000"/>
              </w:rPr>
              <w:tab/>
            </w:r>
            <w:r>
              <w:rPr>
                <w:b/>
                <w:color w:val="0000D3"/>
                <w:spacing w:val="4"/>
                <w:w w:val="115"/>
                <w:sz w:val="16"/>
                <w:u w:val="thick" w:color="000000"/>
              </w:rPr>
              <w:t>34,552</w:t>
            </w:r>
            <w:r>
              <w:rPr>
                <w:b/>
                <w:color w:val="0000D3"/>
                <w:spacing w:val="4"/>
                <w:w w:val="115"/>
                <w:sz w:val="16"/>
              </w:rPr>
              <w:tab/>
            </w:r>
            <w:r>
              <w:rPr>
                <w:b/>
                <w:color w:val="0000D3"/>
                <w:w w:val="115"/>
                <w:sz w:val="16"/>
              </w:rPr>
              <w:t>$  </w:t>
            </w:r>
            <w:r>
              <w:rPr>
                <w:b/>
                <w:color w:val="0000D3"/>
                <w:spacing w:val="1"/>
                <w:w w:val="115"/>
                <w:sz w:val="16"/>
              </w:rPr>
              <w:t> </w:t>
            </w:r>
            <w:r>
              <w:rPr>
                <w:b/>
                <w:color w:val="0000D3"/>
                <w:w w:val="115"/>
                <w:sz w:val="16"/>
              </w:rPr>
              <w:t>12.21</w:t>
            </w:r>
          </w:p>
        </w:tc>
      </w:tr>
      <w:tr>
        <w:trPr>
          <w:trHeight w:val="278" w:hRule="exact"/>
        </w:trPr>
        <w:tc>
          <w:tcPr>
            <w:tcW w:w="3030" w:type="dxa"/>
          </w:tcPr>
          <w:p>
            <w:pPr>
              <w:pStyle w:val="TableParagraph"/>
              <w:spacing w:before="39"/>
              <w:ind w:left="38"/>
              <w:rPr>
                <w:b/>
                <w:sz w:val="16"/>
              </w:rPr>
            </w:pPr>
            <w:r>
              <w:rPr>
                <w:b/>
                <w:color w:val="0000D3"/>
                <w:w w:val="105"/>
                <w:sz w:val="16"/>
              </w:rPr>
              <w:t>Exercisable  December  31, 2003</w:t>
            </w:r>
          </w:p>
        </w:tc>
        <w:tc>
          <w:tcPr>
            <w:tcW w:w="3435" w:type="dxa"/>
          </w:tcPr>
          <w:p>
            <w:pPr>
              <w:pStyle w:val="TableParagraph"/>
              <w:tabs>
                <w:tab w:pos="1770" w:val="left" w:leader="none"/>
              </w:tabs>
              <w:spacing w:before="39"/>
              <w:ind w:right="206"/>
              <w:jc w:val="right"/>
              <w:rPr>
                <w:b/>
                <w:sz w:val="16"/>
              </w:rPr>
            </w:pPr>
            <w:r>
              <w:rPr>
                <w:b/>
                <w:color w:val="0000D3"/>
                <w:spacing w:val="4"/>
                <w:w w:val="115"/>
                <w:sz w:val="16"/>
              </w:rPr>
              <w:t>60,430</w:t>
              <w:tab/>
            </w:r>
            <w:r>
              <w:rPr>
                <w:b/>
                <w:color w:val="0000D3"/>
                <w:w w:val="115"/>
                <w:sz w:val="16"/>
              </w:rPr>
              <w:t>$ </w:t>
            </w:r>
            <w:r>
              <w:rPr>
                <w:b/>
                <w:color w:val="0000D3"/>
                <w:spacing w:val="44"/>
                <w:w w:val="115"/>
                <w:sz w:val="16"/>
              </w:rPr>
              <w:t> </w:t>
            </w:r>
            <w:r>
              <w:rPr>
                <w:b/>
                <w:color w:val="0000D3"/>
                <w:w w:val="115"/>
                <w:sz w:val="16"/>
              </w:rPr>
              <w:t>7.46</w:t>
            </w:r>
          </w:p>
        </w:tc>
        <w:tc>
          <w:tcPr>
            <w:tcW w:w="3394" w:type="dxa"/>
          </w:tcPr>
          <w:p>
            <w:pPr>
              <w:pStyle w:val="TableParagraph"/>
              <w:tabs>
                <w:tab w:pos="1659" w:val="left" w:leader="none"/>
              </w:tabs>
              <w:spacing w:before="39"/>
              <w:ind w:right="150"/>
              <w:jc w:val="right"/>
              <w:rPr>
                <w:b/>
                <w:sz w:val="16"/>
              </w:rPr>
            </w:pPr>
            <w:r>
              <w:rPr>
                <w:b/>
                <w:color w:val="0000D3"/>
                <w:spacing w:val="4"/>
                <w:w w:val="115"/>
                <w:sz w:val="16"/>
              </w:rPr>
              <w:t>16,031</w:t>
              <w:tab/>
            </w:r>
            <w:r>
              <w:rPr>
                <w:b/>
                <w:color w:val="0000D3"/>
                <w:w w:val="115"/>
                <w:sz w:val="16"/>
              </w:rPr>
              <w:t>$  </w:t>
            </w:r>
            <w:r>
              <w:rPr>
                <w:b/>
                <w:color w:val="0000D3"/>
                <w:spacing w:val="1"/>
                <w:w w:val="115"/>
                <w:sz w:val="16"/>
              </w:rPr>
              <w:t> </w:t>
            </w:r>
            <w:r>
              <w:rPr>
                <w:b/>
                <w:color w:val="0000D3"/>
                <w:w w:val="115"/>
                <w:sz w:val="16"/>
              </w:rPr>
              <w:t>12.37</w:t>
            </w:r>
          </w:p>
        </w:tc>
      </w:tr>
      <w:tr>
        <w:trPr>
          <w:trHeight w:val="247" w:hRule="exact"/>
        </w:trPr>
        <w:tc>
          <w:tcPr>
            <w:tcW w:w="3030" w:type="dxa"/>
          </w:tcPr>
          <w:p>
            <w:pPr>
              <w:pStyle w:val="TableParagraph"/>
              <w:spacing w:before="29"/>
              <w:ind w:left="38"/>
              <w:rPr>
                <w:b/>
                <w:sz w:val="16"/>
              </w:rPr>
            </w:pPr>
            <w:r>
              <w:rPr>
                <w:b/>
                <w:color w:val="0000D3"/>
                <w:sz w:val="16"/>
              </w:rPr>
              <w:t>Available  for  grant  in  future periods</w:t>
            </w:r>
          </w:p>
        </w:tc>
        <w:tc>
          <w:tcPr>
            <w:tcW w:w="3435" w:type="dxa"/>
          </w:tcPr>
          <w:p>
            <w:pPr>
              <w:pStyle w:val="TableParagraph"/>
              <w:spacing w:before="29"/>
              <w:ind w:left="846"/>
              <w:rPr>
                <w:b/>
                <w:sz w:val="16"/>
              </w:rPr>
            </w:pPr>
            <w:r>
              <w:rPr>
                <w:b/>
                <w:color w:val="0000D3"/>
                <w:w w:val="115"/>
                <w:sz w:val="16"/>
              </w:rPr>
              <w:t>20,919</w:t>
            </w:r>
          </w:p>
        </w:tc>
        <w:tc>
          <w:tcPr>
            <w:tcW w:w="3394" w:type="dxa"/>
          </w:tcPr>
          <w:p>
            <w:pPr>
              <w:pStyle w:val="TableParagraph"/>
              <w:spacing w:before="29"/>
              <w:ind w:left="861"/>
              <w:rPr>
                <w:b/>
                <w:sz w:val="16"/>
              </w:rPr>
            </w:pPr>
            <w:r>
              <w:rPr>
                <w:b/>
                <w:color w:val="0000D3"/>
                <w:w w:val="115"/>
                <w:sz w:val="16"/>
              </w:rPr>
              <w:t>28,981</w:t>
            </w:r>
          </w:p>
        </w:tc>
      </w:tr>
    </w:tbl>
    <w:p>
      <w:pPr>
        <w:pStyle w:val="BodyText"/>
        <w:rPr>
          <w:sz w:val="30"/>
        </w:rPr>
      </w:pPr>
    </w:p>
    <w:p>
      <w:pPr>
        <w:pStyle w:val="BodyText"/>
        <w:rPr>
          <w:sz w:val="30"/>
        </w:rPr>
      </w:pPr>
    </w:p>
    <w:p>
      <w:pPr>
        <w:pStyle w:val="BodyText"/>
        <w:rPr>
          <w:sz w:val="30"/>
        </w:rPr>
      </w:pPr>
    </w:p>
    <w:p>
      <w:pPr>
        <w:pStyle w:val="BodyText"/>
        <w:spacing w:before="7"/>
        <w:rPr>
          <w:sz w:val="27"/>
        </w:rPr>
      </w:pPr>
    </w:p>
    <w:p>
      <w:pPr>
        <w:pStyle w:val="BodyText"/>
        <w:spacing w:line="216" w:lineRule="exact" w:before="1"/>
        <w:ind w:left="115" w:right="330"/>
        <w:jc w:val="both"/>
      </w:pPr>
      <w:r>
        <w:rPr>
          <w:w w:val="105"/>
        </w:rPr>
        <w:t>The following table summarizes information about stock options outstanding under the fixed option plans at December 31, 2003:</w:t>
      </w:r>
    </w:p>
    <w:p>
      <w:pPr>
        <w:pStyle w:val="BodyText"/>
        <w:rPr>
          <w:sz w:val="17"/>
        </w:rPr>
      </w:pPr>
      <w:r>
        <w:rPr/>
        <w:pict>
          <v:line style="position:absolute;mso-position-horizontal-relative:page;mso-position-vertical-relative:paragraph;z-index:6760;mso-wrap-distance-left:0;mso-wrap-distance-right:0" from="65.279999pt,12.245942pt" to="541.679999pt,12.245942pt" stroked="true" strokeweight=".961pt" strokecolor="#000000">
            <v:stroke dashstyle="solid"/>
            <w10:wrap type="topAndBottom"/>
          </v:line>
        </w:pict>
      </w:r>
    </w:p>
    <w:p>
      <w:pPr>
        <w:tabs>
          <w:tab w:pos="2967" w:val="left" w:leader="none"/>
          <w:tab w:pos="6504" w:val="left" w:leader="none"/>
          <w:tab w:pos="9653" w:val="left" w:leader="none"/>
        </w:tabs>
        <w:spacing w:line="220" w:lineRule="exact" w:before="0"/>
        <w:ind w:left="1858" w:right="0" w:firstLine="0"/>
        <w:jc w:val="left"/>
        <w:rPr>
          <w:rFonts w:ascii="Arial"/>
          <w:b/>
          <w:sz w:val="20"/>
        </w:rPr>
      </w:pPr>
      <w:r>
        <w:rPr>
          <w:rFonts w:ascii="Arial"/>
          <w:b/>
          <w:w w:val="120"/>
          <w:sz w:val="20"/>
          <w:u w:val="single"/>
        </w:rPr>
        <w:t> </w:t>
      </w:r>
      <w:r>
        <w:rPr>
          <w:rFonts w:ascii="Arial"/>
          <w:b/>
          <w:sz w:val="20"/>
          <w:u w:val="single"/>
        </w:rPr>
        <w:tab/>
      </w:r>
      <w:r>
        <w:rPr>
          <w:rFonts w:ascii="Arial"/>
          <w:b/>
          <w:spacing w:val="2"/>
          <w:sz w:val="20"/>
          <w:u w:val="single"/>
        </w:rPr>
        <w:t>OPTIONS</w:t>
      </w:r>
      <w:r>
        <w:rPr>
          <w:rFonts w:ascii="Arial"/>
          <w:b/>
          <w:spacing w:val="35"/>
          <w:sz w:val="20"/>
          <w:u w:val="single"/>
        </w:rPr>
        <w:t> </w:t>
      </w:r>
      <w:r>
        <w:rPr>
          <w:rFonts w:ascii="Arial"/>
          <w:b/>
          <w:spacing w:val="2"/>
          <w:sz w:val="20"/>
          <w:u w:val="single"/>
        </w:rPr>
        <w:t>OUTSTANDING</w:t>
        <w:tab/>
        <w:t>OPTIONS</w:t>
      </w:r>
      <w:r>
        <w:rPr>
          <w:rFonts w:ascii="Arial"/>
          <w:b/>
          <w:spacing w:val="34"/>
          <w:sz w:val="20"/>
          <w:u w:val="single"/>
        </w:rPr>
        <w:t> </w:t>
      </w:r>
      <w:r>
        <w:rPr>
          <w:rFonts w:ascii="Arial"/>
          <w:b/>
          <w:spacing w:val="2"/>
          <w:sz w:val="20"/>
          <w:u w:val="single"/>
        </w:rPr>
        <w:t>EXERCISABLE</w:t>
        <w:tab/>
      </w:r>
    </w:p>
    <w:p>
      <w:pPr>
        <w:pStyle w:val="BodyText"/>
        <w:spacing w:before="9"/>
        <w:rPr>
          <w:rFonts w:ascii="Arial"/>
          <w:b/>
          <w:sz w:val="19"/>
        </w:rPr>
      </w:pPr>
    </w:p>
    <w:p>
      <w:pPr>
        <w:spacing w:after="0"/>
        <w:rPr>
          <w:rFonts w:ascii="Arial"/>
          <w:sz w:val="19"/>
        </w:rPr>
        <w:sectPr>
          <w:pgSz w:w="12240" w:h="15840"/>
          <w:pgMar w:top="1080" w:bottom="280" w:left="1180" w:right="960"/>
        </w:sectPr>
      </w:pPr>
    </w:p>
    <w:p>
      <w:pPr>
        <w:pStyle w:val="BodyText"/>
        <w:rPr>
          <w:rFonts w:ascii="Arial"/>
          <w:b/>
          <w:sz w:val="22"/>
        </w:rPr>
      </w:pPr>
    </w:p>
    <w:p>
      <w:pPr>
        <w:pStyle w:val="BodyText"/>
        <w:spacing w:before="3"/>
        <w:rPr>
          <w:rFonts w:ascii="Arial"/>
          <w:b/>
          <w:sz w:val="24"/>
        </w:rPr>
      </w:pPr>
    </w:p>
    <w:p>
      <w:pPr>
        <w:spacing w:before="0"/>
        <w:ind w:left="284" w:right="0" w:firstLine="0"/>
        <w:jc w:val="left"/>
        <w:rPr>
          <w:rFonts w:ascii="Arial"/>
          <w:b/>
          <w:sz w:val="16"/>
        </w:rPr>
      </w:pPr>
      <w:r>
        <w:rPr>
          <w:rFonts w:ascii="Arial"/>
          <w:b/>
          <w:sz w:val="16"/>
        </w:rPr>
        <w:t>Range of exercise</w:t>
      </w:r>
    </w:p>
    <w:p>
      <w:pPr>
        <w:spacing w:line="276" w:lineRule="auto" w:before="109"/>
        <w:ind w:left="176" w:right="0" w:firstLine="76"/>
        <w:jc w:val="center"/>
        <w:rPr>
          <w:rFonts w:ascii="Arial"/>
          <w:b/>
          <w:sz w:val="16"/>
        </w:rPr>
      </w:pPr>
      <w:r>
        <w:rPr/>
        <w:br w:type="column"/>
      </w:r>
      <w:r>
        <w:rPr>
          <w:rFonts w:ascii="Arial"/>
          <w:b/>
          <w:w w:val="115"/>
          <w:sz w:val="16"/>
        </w:rPr>
        <w:t>Options </w:t>
      </w:r>
      <w:r>
        <w:rPr>
          <w:rFonts w:ascii="Arial"/>
          <w:b/>
          <w:w w:val="105"/>
          <w:sz w:val="16"/>
        </w:rPr>
        <w:t>outstanding at</w:t>
      </w:r>
      <w:r>
        <w:rPr>
          <w:rFonts w:ascii="Arial"/>
          <w:b/>
          <w:w w:val="131"/>
          <w:sz w:val="16"/>
        </w:rPr>
        <w:t> </w:t>
      </w:r>
      <w:r>
        <w:rPr>
          <w:rFonts w:ascii="Arial"/>
          <w:b/>
          <w:w w:val="115"/>
          <w:sz w:val="16"/>
        </w:rPr>
        <w:t>12/31/03</w:t>
      </w:r>
    </w:p>
    <w:p>
      <w:pPr>
        <w:pStyle w:val="BodyText"/>
        <w:spacing w:before="9"/>
        <w:rPr>
          <w:rFonts w:ascii="Arial"/>
          <w:b/>
          <w:sz w:val="27"/>
        </w:rPr>
      </w:pPr>
      <w:r>
        <w:rPr/>
        <w:br w:type="column"/>
      </w:r>
      <w:r>
        <w:rPr>
          <w:rFonts w:ascii="Arial"/>
          <w:b/>
          <w:sz w:val="27"/>
        </w:rPr>
      </w:r>
    </w:p>
    <w:p>
      <w:pPr>
        <w:spacing w:line="276" w:lineRule="auto" w:before="1"/>
        <w:ind w:left="413" w:right="0" w:hanging="130"/>
        <w:jc w:val="left"/>
        <w:rPr>
          <w:rFonts w:ascii="Arial"/>
          <w:b/>
          <w:sz w:val="16"/>
        </w:rPr>
      </w:pPr>
      <w:r>
        <w:rPr>
          <w:rFonts w:ascii="Arial"/>
          <w:b/>
          <w:sz w:val="16"/>
        </w:rPr>
        <w:t>Wtd-average remaining</w:t>
      </w:r>
    </w:p>
    <w:p>
      <w:pPr>
        <w:pStyle w:val="BodyText"/>
        <w:rPr>
          <w:rFonts w:ascii="Arial"/>
          <w:b/>
          <w:sz w:val="22"/>
        </w:rPr>
      </w:pPr>
      <w:r>
        <w:rPr/>
        <w:br w:type="column"/>
      </w:r>
      <w:r>
        <w:rPr>
          <w:rFonts w:ascii="Arial"/>
          <w:b/>
          <w:sz w:val="22"/>
        </w:rPr>
      </w:r>
    </w:p>
    <w:p>
      <w:pPr>
        <w:pStyle w:val="BodyText"/>
        <w:spacing w:before="3"/>
        <w:rPr>
          <w:rFonts w:ascii="Arial"/>
          <w:b/>
          <w:sz w:val="24"/>
        </w:rPr>
      </w:pPr>
    </w:p>
    <w:p>
      <w:pPr>
        <w:spacing w:before="0"/>
        <w:ind w:left="283" w:right="0" w:firstLine="0"/>
        <w:jc w:val="left"/>
        <w:rPr>
          <w:rFonts w:ascii="Arial"/>
          <w:b/>
          <w:sz w:val="16"/>
        </w:rPr>
      </w:pPr>
      <w:r>
        <w:rPr>
          <w:rFonts w:ascii="Arial"/>
          <w:b/>
          <w:sz w:val="16"/>
        </w:rPr>
        <w:t>Wtd-average</w:t>
      </w:r>
    </w:p>
    <w:p>
      <w:pPr>
        <w:spacing w:line="276" w:lineRule="auto" w:before="109"/>
        <w:ind w:left="283" w:right="0" w:firstLine="76"/>
        <w:jc w:val="center"/>
        <w:rPr>
          <w:rFonts w:ascii="Arial"/>
          <w:b/>
          <w:sz w:val="16"/>
        </w:rPr>
      </w:pPr>
      <w:r>
        <w:rPr/>
        <w:br w:type="column"/>
      </w:r>
      <w:r>
        <w:rPr>
          <w:rFonts w:ascii="Arial"/>
          <w:b/>
          <w:w w:val="110"/>
          <w:sz w:val="16"/>
        </w:rPr>
        <w:t>Options </w:t>
      </w:r>
      <w:r>
        <w:rPr>
          <w:rFonts w:ascii="Arial"/>
          <w:b/>
          <w:w w:val="105"/>
          <w:sz w:val="16"/>
        </w:rPr>
        <w:t>exercisable</w:t>
      </w:r>
      <w:r>
        <w:rPr>
          <w:rFonts w:ascii="Arial"/>
          <w:b/>
          <w:spacing w:val="-10"/>
          <w:w w:val="105"/>
          <w:sz w:val="16"/>
        </w:rPr>
        <w:t> </w:t>
      </w:r>
      <w:r>
        <w:rPr>
          <w:rFonts w:ascii="Arial"/>
          <w:b/>
          <w:w w:val="105"/>
          <w:sz w:val="16"/>
        </w:rPr>
        <w:t>at</w:t>
      </w:r>
      <w:r>
        <w:rPr>
          <w:rFonts w:ascii="Arial"/>
          <w:b/>
          <w:w w:val="131"/>
          <w:sz w:val="16"/>
        </w:rPr>
        <w:t> </w:t>
      </w:r>
      <w:r>
        <w:rPr>
          <w:rFonts w:ascii="Arial"/>
          <w:b/>
          <w:w w:val="120"/>
          <w:sz w:val="16"/>
        </w:rPr>
        <w:t>12/31/03</w:t>
      </w:r>
    </w:p>
    <w:p>
      <w:pPr>
        <w:pStyle w:val="BodyText"/>
        <w:rPr>
          <w:rFonts w:ascii="Arial"/>
          <w:b/>
          <w:sz w:val="22"/>
        </w:rPr>
      </w:pPr>
      <w:r>
        <w:rPr/>
        <w:br w:type="column"/>
      </w:r>
      <w:r>
        <w:rPr>
          <w:rFonts w:ascii="Arial"/>
          <w:b/>
          <w:sz w:val="22"/>
        </w:rPr>
      </w:r>
    </w:p>
    <w:p>
      <w:pPr>
        <w:pStyle w:val="BodyText"/>
        <w:spacing w:before="2"/>
        <w:rPr>
          <w:rFonts w:ascii="Arial"/>
          <w:b/>
          <w:sz w:val="24"/>
        </w:rPr>
      </w:pPr>
    </w:p>
    <w:p>
      <w:pPr>
        <w:spacing w:before="1"/>
        <w:ind w:left="283" w:right="0" w:firstLine="0"/>
        <w:jc w:val="left"/>
        <w:rPr>
          <w:rFonts w:ascii="Arial"/>
          <w:b/>
          <w:sz w:val="16"/>
        </w:rPr>
      </w:pPr>
      <w:r>
        <w:rPr>
          <w:rFonts w:ascii="Arial"/>
          <w:b/>
          <w:w w:val="105"/>
          <w:sz w:val="16"/>
        </w:rPr>
        <w:t>Wtd-average</w:t>
      </w:r>
    </w:p>
    <w:p>
      <w:pPr>
        <w:spacing w:after="0"/>
        <w:jc w:val="left"/>
        <w:rPr>
          <w:rFonts w:ascii="Arial"/>
          <w:sz w:val="16"/>
        </w:rPr>
        <w:sectPr>
          <w:type w:val="continuous"/>
          <w:pgSz w:w="12240" w:h="15840"/>
          <w:pgMar w:top="320" w:bottom="280" w:left="1180" w:right="960"/>
          <w:cols w:num="6" w:equalWidth="0">
            <w:col w:w="1700" w:space="40"/>
            <w:col w:w="1348" w:space="195"/>
            <w:col w:w="1295" w:space="380"/>
            <w:col w:w="1295" w:space="236"/>
            <w:col w:w="1389" w:space="229"/>
            <w:col w:w="1993"/>
          </w:cols>
        </w:sectPr>
      </w:pPr>
    </w:p>
    <w:p>
      <w:pPr>
        <w:spacing w:before="1"/>
        <w:ind w:left="759" w:right="0" w:firstLine="0"/>
        <w:jc w:val="left"/>
        <w:rPr>
          <w:rFonts w:ascii="Arial"/>
          <w:b/>
          <w:sz w:val="16"/>
        </w:rPr>
      </w:pPr>
      <w:r>
        <w:rPr>
          <w:rFonts w:ascii="Arial"/>
          <w:b/>
          <w:w w:val="95"/>
          <w:sz w:val="16"/>
        </w:rPr>
        <w:t>prices</w:t>
      </w:r>
    </w:p>
    <w:p>
      <w:pPr>
        <w:spacing w:before="1"/>
        <w:ind w:left="759" w:right="0" w:firstLine="0"/>
        <w:jc w:val="left"/>
        <w:rPr>
          <w:rFonts w:ascii="Arial"/>
          <w:b/>
          <w:sz w:val="16"/>
        </w:rPr>
      </w:pPr>
      <w:r>
        <w:rPr/>
        <w:br w:type="column"/>
      </w:r>
      <w:r>
        <w:rPr>
          <w:rFonts w:ascii="Arial"/>
          <w:b/>
          <w:w w:val="115"/>
          <w:sz w:val="16"/>
        </w:rPr>
        <w:t>(000s)</w:t>
      </w:r>
    </w:p>
    <w:p>
      <w:pPr>
        <w:spacing w:before="1"/>
        <w:ind w:left="652" w:right="0" w:firstLine="0"/>
        <w:jc w:val="left"/>
        <w:rPr>
          <w:rFonts w:ascii="Arial"/>
          <w:b/>
          <w:sz w:val="16"/>
        </w:rPr>
      </w:pPr>
      <w:r>
        <w:rPr/>
        <w:br w:type="column"/>
      </w:r>
      <w:r>
        <w:rPr>
          <w:rFonts w:ascii="Arial"/>
          <w:b/>
          <w:sz w:val="16"/>
        </w:rPr>
        <w:t>contractual  life</w:t>
      </w:r>
    </w:p>
    <w:p>
      <w:pPr>
        <w:spacing w:before="1"/>
        <w:ind w:left="459" w:right="0" w:firstLine="0"/>
        <w:jc w:val="left"/>
        <w:rPr>
          <w:rFonts w:ascii="Arial"/>
          <w:b/>
          <w:sz w:val="16"/>
        </w:rPr>
      </w:pPr>
      <w:r>
        <w:rPr/>
        <w:br w:type="column"/>
      </w:r>
      <w:r>
        <w:rPr>
          <w:rFonts w:ascii="Arial"/>
          <w:b/>
          <w:sz w:val="16"/>
        </w:rPr>
        <w:t>exercise price</w:t>
      </w:r>
    </w:p>
    <w:p>
      <w:pPr>
        <w:tabs>
          <w:tab w:pos="693" w:val="left" w:leader="none"/>
          <w:tab w:pos="1989" w:val="left" w:leader="none"/>
        </w:tabs>
        <w:spacing w:before="1"/>
        <w:ind w:left="324" w:right="0" w:firstLine="0"/>
        <w:jc w:val="left"/>
        <w:rPr>
          <w:rFonts w:ascii="Arial"/>
          <w:b/>
          <w:sz w:val="16"/>
        </w:rPr>
      </w:pPr>
      <w:r>
        <w:rPr/>
        <w:br w:type="column"/>
      </w:r>
      <w:r>
        <w:rPr>
          <w:rFonts w:ascii="Arial"/>
          <w:b/>
          <w:w w:val="118"/>
          <w:sz w:val="16"/>
          <w:u w:val="single"/>
        </w:rPr>
        <w:t> </w:t>
      </w:r>
      <w:r>
        <w:rPr>
          <w:rFonts w:ascii="Arial"/>
          <w:b/>
          <w:sz w:val="16"/>
          <w:u w:val="single"/>
        </w:rPr>
        <w:tab/>
      </w:r>
      <w:r>
        <w:rPr>
          <w:rFonts w:ascii="Arial"/>
          <w:b/>
          <w:w w:val="105"/>
          <w:sz w:val="16"/>
          <w:u w:val="single"/>
        </w:rPr>
        <w:t>(000s)</w:t>
        <w:tab/>
      </w:r>
      <w:r>
        <w:rPr>
          <w:rFonts w:ascii="Arial"/>
          <w:b/>
          <w:spacing w:val="2"/>
          <w:sz w:val="16"/>
          <w:u w:val="single"/>
        </w:rPr>
        <w:t>exercise</w:t>
      </w:r>
      <w:r>
        <w:rPr>
          <w:rFonts w:ascii="Arial"/>
          <w:b/>
          <w:spacing w:val="22"/>
          <w:sz w:val="16"/>
          <w:u w:val="single"/>
        </w:rPr>
        <w:t> </w:t>
      </w:r>
      <w:r>
        <w:rPr>
          <w:rFonts w:ascii="Arial"/>
          <w:b/>
          <w:spacing w:val="2"/>
          <w:sz w:val="16"/>
          <w:u w:val="single"/>
        </w:rPr>
        <w:t>price</w:t>
      </w:r>
      <w:r>
        <w:rPr>
          <w:rFonts w:ascii="Arial"/>
          <w:b/>
          <w:spacing w:val="8"/>
          <w:sz w:val="16"/>
          <w:u w:val="single"/>
        </w:rPr>
        <w:t> </w:t>
      </w:r>
    </w:p>
    <w:p>
      <w:pPr>
        <w:spacing w:after="0"/>
        <w:jc w:val="left"/>
        <w:rPr>
          <w:rFonts w:ascii="Arial"/>
          <w:sz w:val="16"/>
        </w:rPr>
        <w:sectPr>
          <w:type w:val="continuous"/>
          <w:pgSz w:w="12240" w:h="15840"/>
          <w:pgMar w:top="320" w:bottom="280" w:left="1180" w:right="960"/>
          <w:cols w:num="5" w:equalWidth="0">
            <w:col w:w="1245" w:space="224"/>
            <w:col w:w="1311" w:space="40"/>
            <w:col w:w="1882" w:space="40"/>
            <w:col w:w="1578" w:space="40"/>
            <w:col w:w="3740"/>
          </w:cols>
        </w:sectPr>
      </w:pPr>
    </w:p>
    <w:p>
      <w:pPr>
        <w:pStyle w:val="BodyText"/>
        <w:spacing w:before="10"/>
        <w:rPr>
          <w:rFonts w:ascii="Arial"/>
          <w:b/>
          <w:sz w:val="2"/>
        </w:rPr>
      </w:pPr>
    </w:p>
    <w:tbl>
      <w:tblPr>
        <w:tblW w:w="0" w:type="auto"/>
        <w:jc w:val="left"/>
        <w:tblInd w:w="12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941"/>
        <w:gridCol w:w="1510"/>
        <w:gridCol w:w="1519"/>
        <w:gridCol w:w="1409"/>
        <w:gridCol w:w="1875"/>
        <w:gridCol w:w="1168"/>
      </w:tblGrid>
      <w:tr>
        <w:trPr>
          <w:trHeight w:val="294" w:hRule="exact"/>
        </w:trPr>
        <w:tc>
          <w:tcPr>
            <w:tcW w:w="1941" w:type="dxa"/>
            <w:tcBorders>
              <w:top w:val="single" w:sz="8" w:space="0" w:color="000000"/>
            </w:tcBorders>
          </w:tcPr>
          <w:p>
            <w:pPr>
              <w:pStyle w:val="TableParagraph"/>
              <w:spacing w:before="19"/>
              <w:ind w:left="43"/>
              <w:rPr>
                <w:sz w:val="20"/>
              </w:rPr>
            </w:pPr>
            <w:r>
              <w:rPr>
                <w:w w:val="120"/>
                <w:sz w:val="20"/>
              </w:rPr>
              <w:t>$  3.33 to $  4.9</w:t>
            </w:r>
          </w:p>
        </w:tc>
        <w:tc>
          <w:tcPr>
            <w:tcW w:w="1510" w:type="dxa"/>
            <w:tcBorders>
              <w:top w:val="single" w:sz="8" w:space="0" w:color="000000"/>
            </w:tcBorders>
          </w:tcPr>
          <w:p>
            <w:pPr>
              <w:pStyle w:val="TableParagraph"/>
              <w:spacing w:before="19"/>
              <w:ind w:right="558"/>
              <w:jc w:val="right"/>
              <w:rPr>
                <w:sz w:val="20"/>
              </w:rPr>
            </w:pPr>
            <w:r>
              <w:rPr>
                <w:w w:val="115"/>
                <w:sz w:val="20"/>
              </w:rPr>
              <w:t>43,779</w:t>
            </w:r>
          </w:p>
        </w:tc>
        <w:tc>
          <w:tcPr>
            <w:tcW w:w="1519" w:type="dxa"/>
            <w:tcBorders>
              <w:top w:val="single" w:sz="8" w:space="0" w:color="000000"/>
            </w:tcBorders>
          </w:tcPr>
          <w:p>
            <w:pPr>
              <w:pStyle w:val="TableParagraph"/>
              <w:spacing w:before="19"/>
              <w:ind w:right="400"/>
              <w:jc w:val="right"/>
              <w:rPr>
                <w:sz w:val="20"/>
              </w:rPr>
            </w:pPr>
            <w:r>
              <w:rPr>
                <w:w w:val="115"/>
                <w:sz w:val="20"/>
              </w:rPr>
              <w:t>2.9 yrs</w:t>
            </w:r>
          </w:p>
        </w:tc>
        <w:tc>
          <w:tcPr>
            <w:tcW w:w="1409" w:type="dxa"/>
            <w:tcBorders>
              <w:top w:val="single" w:sz="8" w:space="0" w:color="000000"/>
            </w:tcBorders>
          </w:tcPr>
          <w:p>
            <w:pPr>
              <w:pStyle w:val="TableParagraph"/>
              <w:spacing w:before="19"/>
              <w:ind w:right="135"/>
              <w:jc w:val="right"/>
              <w:rPr>
                <w:sz w:val="20"/>
              </w:rPr>
            </w:pPr>
            <w:r>
              <w:rPr>
                <w:w w:val="120"/>
                <w:sz w:val="20"/>
              </w:rPr>
              <w:t>$</w:t>
            </w:r>
            <w:r>
              <w:rPr>
                <w:spacing w:val="65"/>
                <w:w w:val="120"/>
                <w:sz w:val="20"/>
              </w:rPr>
              <w:t> </w:t>
            </w:r>
            <w:r>
              <w:rPr>
                <w:w w:val="120"/>
                <w:sz w:val="20"/>
              </w:rPr>
              <w:t>4.05</w:t>
            </w:r>
          </w:p>
        </w:tc>
        <w:tc>
          <w:tcPr>
            <w:tcW w:w="1875" w:type="dxa"/>
          </w:tcPr>
          <w:p>
            <w:pPr>
              <w:pStyle w:val="TableParagraph"/>
              <w:spacing w:before="28"/>
              <w:ind w:left="601"/>
              <w:rPr>
                <w:sz w:val="20"/>
              </w:rPr>
            </w:pPr>
            <w:r>
              <w:rPr>
                <w:w w:val="120"/>
                <w:sz w:val="20"/>
              </w:rPr>
              <w:t>40,295</w:t>
            </w:r>
          </w:p>
        </w:tc>
        <w:tc>
          <w:tcPr>
            <w:tcW w:w="1168" w:type="dxa"/>
          </w:tcPr>
          <w:p>
            <w:pPr>
              <w:pStyle w:val="TableParagraph"/>
              <w:spacing w:before="28"/>
              <w:ind w:right="30"/>
              <w:jc w:val="right"/>
              <w:rPr>
                <w:sz w:val="20"/>
              </w:rPr>
            </w:pPr>
            <w:r>
              <w:rPr>
                <w:w w:val="120"/>
                <w:sz w:val="20"/>
              </w:rPr>
              <w:t>$</w:t>
            </w:r>
            <w:r>
              <w:rPr>
                <w:spacing w:val="65"/>
                <w:w w:val="120"/>
                <w:sz w:val="20"/>
              </w:rPr>
              <w:t> </w:t>
            </w:r>
            <w:r>
              <w:rPr>
                <w:w w:val="120"/>
                <w:sz w:val="20"/>
              </w:rPr>
              <w:t>4.01</w:t>
            </w:r>
          </w:p>
        </w:tc>
      </w:tr>
      <w:tr>
        <w:trPr>
          <w:trHeight w:val="269" w:hRule="exact"/>
        </w:trPr>
        <w:tc>
          <w:tcPr>
            <w:tcW w:w="1941" w:type="dxa"/>
          </w:tcPr>
          <w:p>
            <w:pPr>
              <w:pStyle w:val="TableParagraph"/>
              <w:spacing w:before="4"/>
              <w:ind w:left="43"/>
              <w:rPr>
                <w:sz w:val="20"/>
              </w:rPr>
            </w:pPr>
            <w:r>
              <w:rPr>
                <w:w w:val="120"/>
                <w:sz w:val="20"/>
              </w:rPr>
              <w:t>$  5.11 to $  7.4</w:t>
            </w:r>
          </w:p>
        </w:tc>
        <w:tc>
          <w:tcPr>
            <w:tcW w:w="1510" w:type="dxa"/>
          </w:tcPr>
          <w:p>
            <w:pPr>
              <w:pStyle w:val="TableParagraph"/>
              <w:spacing w:before="4"/>
              <w:ind w:right="559"/>
              <w:jc w:val="right"/>
              <w:rPr>
                <w:sz w:val="20"/>
              </w:rPr>
            </w:pPr>
            <w:r>
              <w:rPr>
                <w:w w:val="115"/>
                <w:sz w:val="20"/>
              </w:rPr>
              <w:t>2,411</w:t>
            </w:r>
          </w:p>
        </w:tc>
        <w:tc>
          <w:tcPr>
            <w:tcW w:w="1519" w:type="dxa"/>
          </w:tcPr>
          <w:p>
            <w:pPr>
              <w:pStyle w:val="TableParagraph"/>
              <w:spacing w:before="4"/>
              <w:ind w:right="402"/>
              <w:jc w:val="right"/>
              <w:rPr>
                <w:sz w:val="20"/>
              </w:rPr>
            </w:pPr>
            <w:r>
              <w:rPr>
                <w:w w:val="115"/>
                <w:sz w:val="20"/>
              </w:rPr>
              <w:t>2.5 yrs</w:t>
            </w:r>
          </w:p>
        </w:tc>
        <w:tc>
          <w:tcPr>
            <w:tcW w:w="1409" w:type="dxa"/>
          </w:tcPr>
          <w:p>
            <w:pPr>
              <w:pStyle w:val="TableParagraph"/>
              <w:spacing w:before="4"/>
              <w:ind w:right="137"/>
              <w:jc w:val="right"/>
              <w:rPr>
                <w:sz w:val="20"/>
              </w:rPr>
            </w:pPr>
            <w:r>
              <w:rPr>
                <w:w w:val="115"/>
                <w:sz w:val="20"/>
              </w:rPr>
              <w:t>5.77</w:t>
            </w:r>
          </w:p>
        </w:tc>
        <w:tc>
          <w:tcPr>
            <w:tcW w:w="1875" w:type="dxa"/>
          </w:tcPr>
          <w:p>
            <w:pPr>
              <w:pStyle w:val="TableParagraph"/>
              <w:spacing w:before="4"/>
              <w:ind w:left="733"/>
              <w:rPr>
                <w:sz w:val="20"/>
              </w:rPr>
            </w:pPr>
            <w:r>
              <w:rPr>
                <w:w w:val="120"/>
                <w:sz w:val="20"/>
              </w:rPr>
              <w:t>2,411</w:t>
            </w:r>
          </w:p>
        </w:tc>
        <w:tc>
          <w:tcPr>
            <w:tcW w:w="1168" w:type="dxa"/>
          </w:tcPr>
          <w:p>
            <w:pPr>
              <w:pStyle w:val="TableParagraph"/>
              <w:spacing w:before="4"/>
              <w:ind w:right="31"/>
              <w:jc w:val="right"/>
              <w:rPr>
                <w:sz w:val="20"/>
              </w:rPr>
            </w:pPr>
            <w:r>
              <w:rPr>
                <w:w w:val="115"/>
                <w:sz w:val="20"/>
              </w:rPr>
              <w:t>5.77</w:t>
            </w:r>
          </w:p>
        </w:tc>
      </w:tr>
      <w:tr>
        <w:trPr>
          <w:trHeight w:val="269" w:hRule="exact"/>
        </w:trPr>
        <w:tc>
          <w:tcPr>
            <w:tcW w:w="1941" w:type="dxa"/>
          </w:tcPr>
          <w:p>
            <w:pPr>
              <w:pStyle w:val="TableParagraph"/>
              <w:spacing w:before="4"/>
              <w:ind w:left="43"/>
              <w:rPr>
                <w:sz w:val="20"/>
              </w:rPr>
            </w:pPr>
            <w:r>
              <w:rPr>
                <w:w w:val="120"/>
                <w:sz w:val="20"/>
              </w:rPr>
              <w:t>$  7.86 to $11.7</w:t>
            </w:r>
          </w:p>
        </w:tc>
        <w:tc>
          <w:tcPr>
            <w:tcW w:w="1510" w:type="dxa"/>
          </w:tcPr>
          <w:p>
            <w:pPr>
              <w:pStyle w:val="TableParagraph"/>
              <w:spacing w:before="4"/>
              <w:ind w:right="557"/>
              <w:jc w:val="right"/>
              <w:rPr>
                <w:sz w:val="20"/>
              </w:rPr>
            </w:pPr>
            <w:r>
              <w:rPr>
                <w:w w:val="115"/>
                <w:sz w:val="20"/>
              </w:rPr>
              <w:t>12,762</w:t>
            </w:r>
          </w:p>
        </w:tc>
        <w:tc>
          <w:tcPr>
            <w:tcW w:w="1519" w:type="dxa"/>
          </w:tcPr>
          <w:p>
            <w:pPr>
              <w:pStyle w:val="TableParagraph"/>
              <w:spacing w:before="4"/>
              <w:ind w:right="402"/>
              <w:jc w:val="right"/>
              <w:rPr>
                <w:sz w:val="20"/>
              </w:rPr>
            </w:pPr>
            <w:r>
              <w:rPr>
                <w:w w:val="115"/>
                <w:sz w:val="20"/>
              </w:rPr>
              <w:t>4.9 yrs</w:t>
            </w:r>
          </w:p>
        </w:tc>
        <w:tc>
          <w:tcPr>
            <w:tcW w:w="1409" w:type="dxa"/>
          </w:tcPr>
          <w:p>
            <w:pPr>
              <w:pStyle w:val="TableParagraph"/>
              <w:spacing w:before="4"/>
              <w:ind w:right="137"/>
              <w:jc w:val="right"/>
              <w:rPr>
                <w:sz w:val="20"/>
              </w:rPr>
            </w:pPr>
            <w:r>
              <w:rPr>
                <w:w w:val="115"/>
                <w:sz w:val="20"/>
              </w:rPr>
              <w:t>9.86</w:t>
            </w:r>
          </w:p>
        </w:tc>
        <w:tc>
          <w:tcPr>
            <w:tcW w:w="1875" w:type="dxa"/>
          </w:tcPr>
          <w:p>
            <w:pPr>
              <w:pStyle w:val="TableParagraph"/>
              <w:spacing w:before="4"/>
              <w:ind w:left="733"/>
              <w:rPr>
                <w:sz w:val="20"/>
              </w:rPr>
            </w:pPr>
            <w:r>
              <w:rPr>
                <w:w w:val="120"/>
                <w:sz w:val="20"/>
              </w:rPr>
              <w:t>6,978</w:t>
            </w:r>
          </w:p>
        </w:tc>
        <w:tc>
          <w:tcPr>
            <w:tcW w:w="1168" w:type="dxa"/>
          </w:tcPr>
          <w:p>
            <w:pPr>
              <w:pStyle w:val="TableParagraph"/>
              <w:spacing w:before="4"/>
              <w:ind w:right="31"/>
              <w:jc w:val="right"/>
              <w:rPr>
                <w:sz w:val="20"/>
              </w:rPr>
            </w:pPr>
            <w:r>
              <w:rPr>
                <w:w w:val="115"/>
                <w:sz w:val="20"/>
              </w:rPr>
              <w:t>9.97</w:t>
            </w:r>
          </w:p>
        </w:tc>
      </w:tr>
      <w:tr>
        <w:trPr>
          <w:trHeight w:val="279" w:hRule="exact"/>
        </w:trPr>
        <w:tc>
          <w:tcPr>
            <w:tcW w:w="1941" w:type="dxa"/>
          </w:tcPr>
          <w:p>
            <w:pPr>
              <w:pStyle w:val="TableParagraph"/>
              <w:spacing w:before="4"/>
              <w:ind w:left="43"/>
              <w:rPr>
                <w:sz w:val="20"/>
              </w:rPr>
            </w:pPr>
            <w:r>
              <w:rPr>
                <w:w w:val="120"/>
                <w:sz w:val="20"/>
              </w:rPr>
              <w:t>$12.11 to $18.0</w:t>
            </w:r>
          </w:p>
        </w:tc>
        <w:tc>
          <w:tcPr>
            <w:tcW w:w="1510" w:type="dxa"/>
          </w:tcPr>
          <w:p>
            <w:pPr>
              <w:pStyle w:val="TableParagraph"/>
              <w:spacing w:before="4"/>
              <w:ind w:right="557"/>
              <w:jc w:val="right"/>
              <w:rPr>
                <w:sz w:val="20"/>
              </w:rPr>
            </w:pPr>
            <w:r>
              <w:rPr>
                <w:w w:val="115"/>
                <w:sz w:val="20"/>
              </w:rPr>
              <w:t>87,167</w:t>
            </w:r>
          </w:p>
        </w:tc>
        <w:tc>
          <w:tcPr>
            <w:tcW w:w="1519" w:type="dxa"/>
          </w:tcPr>
          <w:p>
            <w:pPr>
              <w:pStyle w:val="TableParagraph"/>
              <w:spacing w:before="4"/>
              <w:ind w:right="401"/>
              <w:jc w:val="right"/>
              <w:rPr>
                <w:sz w:val="20"/>
              </w:rPr>
            </w:pPr>
            <w:r>
              <w:rPr>
                <w:w w:val="115"/>
                <w:sz w:val="20"/>
              </w:rPr>
              <w:t>7.8 yrs</w:t>
            </w:r>
          </w:p>
        </w:tc>
        <w:tc>
          <w:tcPr>
            <w:tcW w:w="1409" w:type="dxa"/>
          </w:tcPr>
          <w:p>
            <w:pPr>
              <w:pStyle w:val="TableParagraph"/>
              <w:spacing w:before="4"/>
              <w:ind w:right="136"/>
              <w:jc w:val="right"/>
              <w:rPr>
                <w:sz w:val="20"/>
              </w:rPr>
            </w:pPr>
            <w:r>
              <w:rPr>
                <w:w w:val="115"/>
                <w:sz w:val="20"/>
              </w:rPr>
              <w:t>13.76</w:t>
            </w:r>
          </w:p>
        </w:tc>
        <w:tc>
          <w:tcPr>
            <w:tcW w:w="1875" w:type="dxa"/>
          </w:tcPr>
          <w:p>
            <w:pPr>
              <w:pStyle w:val="TableParagraph"/>
              <w:spacing w:before="4"/>
              <w:ind w:left="598"/>
              <w:rPr>
                <w:sz w:val="20"/>
              </w:rPr>
            </w:pPr>
            <w:r>
              <w:rPr>
                <w:w w:val="120"/>
                <w:sz w:val="20"/>
              </w:rPr>
              <w:t>22,328</w:t>
            </w:r>
          </w:p>
        </w:tc>
        <w:tc>
          <w:tcPr>
            <w:tcW w:w="1168" w:type="dxa"/>
          </w:tcPr>
          <w:p>
            <w:pPr>
              <w:pStyle w:val="TableParagraph"/>
              <w:spacing w:before="4"/>
              <w:ind w:right="31"/>
              <w:jc w:val="right"/>
              <w:rPr>
                <w:sz w:val="20"/>
              </w:rPr>
            </w:pPr>
            <w:r>
              <w:rPr>
                <w:w w:val="115"/>
                <w:sz w:val="20"/>
              </w:rPr>
              <w:t>14.12</w:t>
            </w:r>
          </w:p>
        </w:tc>
      </w:tr>
      <w:tr>
        <w:trPr>
          <w:trHeight w:val="250" w:hRule="exact"/>
        </w:trPr>
        <w:tc>
          <w:tcPr>
            <w:tcW w:w="3451" w:type="dxa"/>
            <w:gridSpan w:val="2"/>
          </w:tcPr>
          <w:p>
            <w:pPr>
              <w:pStyle w:val="TableParagraph"/>
              <w:tabs>
                <w:tab w:pos="2291" w:val="left" w:leader="none"/>
              </w:tabs>
              <w:spacing w:before="13"/>
              <w:ind w:left="43"/>
              <w:rPr>
                <w:sz w:val="20"/>
              </w:rPr>
            </w:pPr>
            <w:r>
              <w:rPr>
                <w:w w:val="120"/>
                <w:sz w:val="20"/>
              </w:rPr>
              <w:t>$18.26</w:t>
            </w:r>
            <w:r>
              <w:rPr>
                <w:spacing w:val="3"/>
                <w:w w:val="120"/>
                <w:sz w:val="20"/>
              </w:rPr>
              <w:t> </w:t>
            </w:r>
            <w:r>
              <w:rPr>
                <w:w w:val="120"/>
                <w:sz w:val="20"/>
              </w:rPr>
              <w:t>to</w:t>
            </w:r>
            <w:r>
              <w:rPr>
                <w:spacing w:val="5"/>
                <w:w w:val="120"/>
                <w:sz w:val="20"/>
              </w:rPr>
              <w:t> </w:t>
            </w:r>
            <w:r>
              <w:rPr>
                <w:w w:val="120"/>
                <w:sz w:val="20"/>
              </w:rPr>
              <w:t>$23.9</w:t>
            </w:r>
            <w:r>
              <w:rPr>
                <w:w w:val="120"/>
                <w:sz w:val="20"/>
                <w:u w:val="single"/>
              </w:rPr>
              <w:t> </w:t>
              <w:tab/>
              <w:t>8,491</w:t>
            </w:r>
            <w:r>
              <w:rPr>
                <w:spacing w:val="26"/>
                <w:sz w:val="20"/>
                <w:u w:val="single"/>
              </w:rPr>
              <w:t> </w:t>
            </w:r>
          </w:p>
        </w:tc>
        <w:tc>
          <w:tcPr>
            <w:tcW w:w="1519" w:type="dxa"/>
          </w:tcPr>
          <w:p>
            <w:pPr>
              <w:pStyle w:val="TableParagraph"/>
              <w:spacing w:before="13"/>
              <w:ind w:right="402"/>
              <w:jc w:val="right"/>
              <w:rPr>
                <w:sz w:val="20"/>
              </w:rPr>
            </w:pPr>
            <w:r>
              <w:rPr>
                <w:w w:val="115"/>
                <w:sz w:val="20"/>
              </w:rPr>
              <w:t>6.3 yrs</w:t>
            </w:r>
          </w:p>
        </w:tc>
        <w:tc>
          <w:tcPr>
            <w:tcW w:w="1409" w:type="dxa"/>
          </w:tcPr>
          <w:p>
            <w:pPr>
              <w:pStyle w:val="TableParagraph"/>
              <w:spacing w:before="13"/>
              <w:ind w:right="136"/>
              <w:jc w:val="right"/>
              <w:rPr>
                <w:sz w:val="20"/>
              </w:rPr>
            </w:pPr>
            <w:r>
              <w:rPr>
                <w:w w:val="115"/>
                <w:sz w:val="20"/>
              </w:rPr>
              <w:t>19.61</w:t>
            </w:r>
          </w:p>
        </w:tc>
        <w:tc>
          <w:tcPr>
            <w:tcW w:w="1875" w:type="dxa"/>
          </w:tcPr>
          <w:p>
            <w:pPr>
              <w:pStyle w:val="TableParagraph"/>
              <w:tabs>
                <w:tab w:pos="733" w:val="left" w:leader="none"/>
              </w:tabs>
              <w:spacing w:before="13"/>
              <w:ind w:left="177"/>
              <w:rPr>
                <w:sz w:val="20"/>
              </w:rPr>
            </w:pPr>
            <w:r>
              <w:rPr>
                <w:w w:val="120"/>
                <w:sz w:val="20"/>
                <w:u w:val="single"/>
              </w:rPr>
              <w:t> </w:t>
            </w:r>
            <w:r>
              <w:rPr>
                <w:sz w:val="20"/>
                <w:u w:val="single"/>
              </w:rPr>
              <w:tab/>
            </w:r>
            <w:r>
              <w:rPr>
                <w:w w:val="120"/>
                <w:sz w:val="20"/>
                <w:u w:val="single"/>
              </w:rPr>
              <w:t>4,449</w:t>
            </w:r>
            <w:r>
              <w:rPr>
                <w:spacing w:val="-27"/>
                <w:sz w:val="20"/>
                <w:u w:val="single"/>
              </w:rPr>
              <w:t> </w:t>
            </w:r>
          </w:p>
        </w:tc>
        <w:tc>
          <w:tcPr>
            <w:tcW w:w="1168" w:type="dxa"/>
          </w:tcPr>
          <w:p>
            <w:pPr>
              <w:pStyle w:val="TableParagraph"/>
              <w:spacing w:before="13"/>
              <w:ind w:right="31"/>
              <w:jc w:val="right"/>
              <w:rPr>
                <w:sz w:val="20"/>
              </w:rPr>
            </w:pPr>
            <w:r>
              <w:rPr>
                <w:w w:val="115"/>
                <w:sz w:val="20"/>
              </w:rPr>
              <w:t>19.84</w:t>
            </w:r>
          </w:p>
        </w:tc>
      </w:tr>
      <w:tr>
        <w:trPr>
          <w:trHeight w:val="269" w:hRule="exact"/>
        </w:trPr>
        <w:tc>
          <w:tcPr>
            <w:tcW w:w="3451" w:type="dxa"/>
            <w:gridSpan w:val="2"/>
          </w:tcPr>
          <w:p>
            <w:pPr>
              <w:pStyle w:val="TableParagraph"/>
              <w:tabs>
                <w:tab w:pos="2021" w:val="left" w:leader="none"/>
              </w:tabs>
              <w:spacing w:line="225" w:lineRule="exact"/>
              <w:ind w:left="43"/>
              <w:rPr>
                <w:sz w:val="20"/>
              </w:rPr>
            </w:pPr>
            <w:r>
              <w:rPr>
                <w:w w:val="120"/>
                <w:sz w:val="20"/>
              </w:rPr>
              <w:t>$  3.33</w:t>
            </w:r>
            <w:r>
              <w:rPr>
                <w:spacing w:val="9"/>
                <w:w w:val="120"/>
                <w:sz w:val="20"/>
              </w:rPr>
              <w:t> </w:t>
            </w:r>
            <w:r>
              <w:rPr>
                <w:w w:val="120"/>
                <w:sz w:val="20"/>
              </w:rPr>
              <w:t>to</w:t>
            </w:r>
            <w:r>
              <w:rPr>
                <w:spacing w:val="3"/>
                <w:w w:val="120"/>
                <w:sz w:val="20"/>
              </w:rPr>
              <w:t> </w:t>
            </w:r>
            <w:r>
              <w:rPr>
                <w:w w:val="120"/>
                <w:sz w:val="20"/>
              </w:rPr>
              <w:t>$23.9</w:t>
            </w:r>
            <w:r>
              <w:rPr>
                <w:w w:val="120"/>
                <w:sz w:val="20"/>
                <w:u w:val="thick"/>
              </w:rPr>
              <w:t> </w:t>
              <w:tab/>
              <w:t>154,610</w:t>
            </w:r>
            <w:r>
              <w:rPr>
                <w:spacing w:val="26"/>
                <w:sz w:val="20"/>
                <w:u w:val="thick"/>
              </w:rPr>
              <w:t> </w:t>
            </w:r>
          </w:p>
        </w:tc>
        <w:tc>
          <w:tcPr>
            <w:tcW w:w="1519" w:type="dxa"/>
          </w:tcPr>
          <w:p>
            <w:pPr>
              <w:pStyle w:val="TableParagraph"/>
              <w:spacing w:line="225" w:lineRule="exact"/>
              <w:ind w:right="400"/>
              <w:jc w:val="right"/>
              <w:rPr>
                <w:sz w:val="20"/>
              </w:rPr>
            </w:pPr>
            <w:r>
              <w:rPr>
                <w:w w:val="115"/>
                <w:sz w:val="20"/>
              </w:rPr>
              <w:t>6.0 yrs</w:t>
            </w:r>
          </w:p>
        </w:tc>
        <w:tc>
          <w:tcPr>
            <w:tcW w:w="1409" w:type="dxa"/>
          </w:tcPr>
          <w:p>
            <w:pPr>
              <w:pStyle w:val="TableParagraph"/>
              <w:spacing w:line="225" w:lineRule="exact"/>
              <w:ind w:right="134"/>
              <w:jc w:val="right"/>
              <w:rPr>
                <w:sz w:val="20"/>
              </w:rPr>
            </w:pPr>
            <w:r>
              <w:rPr>
                <w:w w:val="120"/>
                <w:sz w:val="20"/>
              </w:rPr>
              <w:t>$</w:t>
            </w:r>
            <w:r>
              <w:rPr>
                <w:spacing w:val="66"/>
                <w:w w:val="120"/>
                <w:sz w:val="20"/>
              </w:rPr>
              <w:t> </w:t>
            </w:r>
            <w:r>
              <w:rPr>
                <w:w w:val="120"/>
                <w:sz w:val="20"/>
              </w:rPr>
              <w:t>10.86</w:t>
            </w:r>
          </w:p>
        </w:tc>
        <w:tc>
          <w:tcPr>
            <w:tcW w:w="1875" w:type="dxa"/>
          </w:tcPr>
          <w:p>
            <w:pPr>
              <w:pStyle w:val="TableParagraph"/>
              <w:tabs>
                <w:tab w:pos="601" w:val="left" w:leader="none"/>
              </w:tabs>
              <w:spacing w:line="225" w:lineRule="exact"/>
              <w:ind w:left="177"/>
              <w:rPr>
                <w:sz w:val="20"/>
              </w:rPr>
            </w:pPr>
            <w:r>
              <w:rPr>
                <w:w w:val="120"/>
                <w:sz w:val="20"/>
                <w:u w:val="thick"/>
              </w:rPr>
              <w:t> </w:t>
            </w:r>
            <w:r>
              <w:rPr>
                <w:sz w:val="20"/>
                <w:u w:val="thick"/>
              </w:rPr>
              <w:tab/>
            </w:r>
            <w:r>
              <w:rPr>
                <w:w w:val="120"/>
                <w:sz w:val="20"/>
                <w:u w:val="thick"/>
              </w:rPr>
              <w:t>76,461</w:t>
            </w:r>
            <w:r>
              <w:rPr>
                <w:spacing w:val="26"/>
                <w:sz w:val="20"/>
                <w:u w:val="thick"/>
              </w:rPr>
              <w:t> </w:t>
            </w:r>
          </w:p>
        </w:tc>
        <w:tc>
          <w:tcPr>
            <w:tcW w:w="1168" w:type="dxa"/>
          </w:tcPr>
          <w:p>
            <w:pPr>
              <w:pStyle w:val="TableParagraph"/>
              <w:spacing w:line="225" w:lineRule="exact"/>
              <w:ind w:right="30"/>
              <w:jc w:val="right"/>
              <w:rPr>
                <w:sz w:val="20"/>
              </w:rPr>
            </w:pPr>
            <w:r>
              <w:rPr>
                <w:w w:val="120"/>
                <w:sz w:val="20"/>
              </w:rPr>
              <w:t>$</w:t>
            </w:r>
            <w:r>
              <w:rPr>
                <w:spacing w:val="65"/>
                <w:w w:val="120"/>
                <w:sz w:val="20"/>
              </w:rPr>
              <w:t> </w:t>
            </w:r>
            <w:r>
              <w:rPr>
                <w:w w:val="120"/>
                <w:sz w:val="20"/>
              </w:rPr>
              <w:t>8.49</w:t>
            </w:r>
          </w:p>
        </w:tc>
      </w:tr>
    </w:tbl>
    <w:p>
      <w:pPr>
        <w:pStyle w:val="BodyText"/>
        <w:spacing w:before="1"/>
        <w:rPr>
          <w:rFonts w:ascii="Arial"/>
          <w:b/>
          <w:sz w:val="6"/>
        </w:rPr>
      </w:pPr>
    </w:p>
    <w:p>
      <w:pPr>
        <w:pStyle w:val="BodyText"/>
        <w:spacing w:line="218" w:lineRule="auto" w:before="131"/>
        <w:ind w:left="115" w:right="328"/>
        <w:jc w:val="both"/>
      </w:pPr>
      <w:r>
        <w:rPr>
          <w:w w:val="105"/>
        </w:rPr>
        <w:t>Under the amended 1991 Employee Stock Purchase Plan (ESPP), which has been approved by stockholders, as of December 31, 2003, the Company is authorized to issue up to a remaining balance of 5.0 million shares of common stock to Employees of the Company. These shares may be issued at a price equal to 90 percent  of the </w:t>
      </w:r>
      <w:r>
        <w:rPr>
          <w:spacing w:val="2"/>
          <w:w w:val="105"/>
        </w:rPr>
        <w:t>market </w:t>
      </w:r>
      <w:r>
        <w:rPr>
          <w:w w:val="105"/>
        </w:rPr>
        <w:t>value at the end of </w:t>
      </w:r>
      <w:r>
        <w:rPr>
          <w:spacing w:val="2"/>
          <w:w w:val="105"/>
        </w:rPr>
        <w:t>each </w:t>
      </w:r>
      <w:r>
        <w:rPr>
          <w:w w:val="105"/>
        </w:rPr>
        <w:t>purchase period. Common stock purchases are paid for </w:t>
      </w:r>
      <w:r>
        <w:rPr>
          <w:spacing w:val="3"/>
          <w:w w:val="105"/>
        </w:rPr>
        <w:t>through </w:t>
      </w:r>
      <w:r>
        <w:rPr>
          <w:w w:val="105"/>
        </w:rPr>
        <w:t>periodic payroll deductions. Participants under the plan received 1.4 million shares in 2003, 1.4 million</w:t>
      </w:r>
      <w:r>
        <w:rPr>
          <w:spacing w:val="55"/>
          <w:w w:val="105"/>
        </w:rPr>
        <w:t> </w:t>
      </w:r>
      <w:r>
        <w:rPr>
          <w:w w:val="105"/>
        </w:rPr>
        <w:t>shares in 2002, and 1.0 million shares in 2001, at average prices of $14.04, $14.70, and $16.42, respectively. The</w:t>
      </w:r>
      <w:r>
        <w:rPr>
          <w:spacing w:val="21"/>
          <w:w w:val="105"/>
        </w:rPr>
        <w:t> </w:t>
      </w:r>
      <w:r>
        <w:rPr>
          <w:w w:val="105"/>
        </w:rPr>
        <w:t>weighted-average</w:t>
      </w:r>
      <w:r>
        <w:rPr>
          <w:spacing w:val="23"/>
          <w:w w:val="105"/>
        </w:rPr>
        <w:t> </w:t>
      </w:r>
      <w:r>
        <w:rPr>
          <w:w w:val="105"/>
        </w:rPr>
        <w:t>fair</w:t>
      </w:r>
      <w:r>
        <w:rPr>
          <w:spacing w:val="21"/>
          <w:w w:val="105"/>
        </w:rPr>
        <w:t> </w:t>
      </w:r>
      <w:r>
        <w:rPr>
          <w:w w:val="105"/>
        </w:rPr>
        <w:t>value</w:t>
      </w:r>
      <w:r>
        <w:rPr>
          <w:spacing w:val="21"/>
          <w:w w:val="105"/>
        </w:rPr>
        <w:t> </w:t>
      </w:r>
      <w:r>
        <w:rPr>
          <w:w w:val="105"/>
        </w:rPr>
        <w:t>of</w:t>
      </w:r>
      <w:r>
        <w:rPr>
          <w:spacing w:val="21"/>
          <w:w w:val="105"/>
        </w:rPr>
        <w:t> </w:t>
      </w:r>
      <w:r>
        <w:rPr>
          <w:w w:val="105"/>
        </w:rPr>
        <w:t>each</w:t>
      </w:r>
      <w:r>
        <w:rPr>
          <w:spacing w:val="21"/>
          <w:w w:val="105"/>
        </w:rPr>
        <w:t> </w:t>
      </w:r>
      <w:r>
        <w:rPr>
          <w:w w:val="105"/>
        </w:rPr>
        <w:t>purchase</w:t>
      </w:r>
      <w:r>
        <w:rPr>
          <w:spacing w:val="21"/>
          <w:w w:val="105"/>
        </w:rPr>
        <w:t> </w:t>
      </w:r>
      <w:r>
        <w:rPr>
          <w:w w:val="105"/>
        </w:rPr>
        <w:t>right</w:t>
      </w:r>
      <w:r>
        <w:rPr>
          <w:spacing w:val="21"/>
          <w:w w:val="105"/>
        </w:rPr>
        <w:t> </w:t>
      </w:r>
      <w:r>
        <w:rPr>
          <w:w w:val="105"/>
        </w:rPr>
        <w:t>under</w:t>
      </w:r>
      <w:r>
        <w:rPr>
          <w:spacing w:val="21"/>
          <w:w w:val="105"/>
        </w:rPr>
        <w:t> </w:t>
      </w:r>
      <w:r>
        <w:rPr>
          <w:w w:val="105"/>
        </w:rPr>
        <w:t>the</w:t>
      </w:r>
      <w:r>
        <w:rPr>
          <w:spacing w:val="21"/>
          <w:w w:val="105"/>
        </w:rPr>
        <w:t> </w:t>
      </w:r>
      <w:r>
        <w:rPr>
          <w:w w:val="105"/>
        </w:rPr>
        <w:t>ESPP</w:t>
      </w:r>
      <w:r>
        <w:rPr>
          <w:spacing w:val="21"/>
          <w:w w:val="105"/>
        </w:rPr>
        <w:t> </w:t>
      </w:r>
      <w:r>
        <w:rPr>
          <w:w w:val="105"/>
        </w:rPr>
        <w:t>granted</w:t>
      </w:r>
      <w:r>
        <w:rPr>
          <w:spacing w:val="21"/>
          <w:w w:val="105"/>
        </w:rPr>
        <w:t> </w:t>
      </w:r>
      <w:r>
        <w:rPr>
          <w:w w:val="105"/>
        </w:rPr>
        <w:t>in</w:t>
      </w:r>
      <w:r>
        <w:rPr>
          <w:spacing w:val="21"/>
          <w:w w:val="105"/>
        </w:rPr>
        <w:t> </w:t>
      </w:r>
      <w:r>
        <w:rPr>
          <w:w w:val="105"/>
        </w:rPr>
        <w:t>2003,</w:t>
      </w:r>
      <w:r>
        <w:rPr>
          <w:spacing w:val="21"/>
          <w:w w:val="105"/>
        </w:rPr>
        <w:t> </w:t>
      </w:r>
      <w:r>
        <w:rPr>
          <w:w w:val="105"/>
        </w:rPr>
        <w:t>2002,</w:t>
      </w:r>
      <w:r>
        <w:rPr>
          <w:spacing w:val="21"/>
          <w:w w:val="105"/>
        </w:rPr>
        <w:t> </w:t>
      </w:r>
      <w:r>
        <w:rPr>
          <w:w w:val="105"/>
        </w:rPr>
        <w:t>and</w:t>
      </w:r>
      <w:r>
        <w:rPr>
          <w:spacing w:val="21"/>
          <w:w w:val="105"/>
        </w:rPr>
        <w:t> </w:t>
      </w:r>
      <w:r>
        <w:rPr>
          <w:w w:val="105"/>
        </w:rPr>
        <w:t>2001,</w:t>
      </w:r>
    </w:p>
    <w:p>
      <w:pPr>
        <w:spacing w:after="0" w:line="218" w:lineRule="auto"/>
        <w:jc w:val="both"/>
        <w:sectPr>
          <w:type w:val="continuous"/>
          <w:pgSz w:w="12240" w:h="15840"/>
          <w:pgMar w:top="320" w:bottom="280" w:left="1180" w:right="960"/>
        </w:sectPr>
      </w:pPr>
    </w:p>
    <w:p>
      <w:pPr>
        <w:pStyle w:val="BodyText"/>
        <w:spacing w:line="220" w:lineRule="exact" w:before="117"/>
        <w:ind w:left="115" w:right="110"/>
        <w:jc w:val="both"/>
      </w:pPr>
      <w:bookmarkStart w:name="Employee Retirement Plans" w:id="56"/>
      <w:bookmarkEnd w:id="56"/>
      <w:r>
        <w:rPr/>
      </w:r>
      <w:bookmarkStart w:name="Income Taxes" w:id="57"/>
      <w:bookmarkEnd w:id="57"/>
      <w:r>
        <w:rPr/>
      </w:r>
      <w:r>
        <w:rPr>
          <w:w w:val="105"/>
        </w:rPr>
        <w:t>which is equal to the ten percent discount from the market value of the common stock at the end of each purchase period, was $1.56, $1.63, and $1.82, respectively.</w:t>
      </w:r>
    </w:p>
    <w:p>
      <w:pPr>
        <w:pStyle w:val="BodyText"/>
        <w:spacing w:line="218" w:lineRule="auto" w:before="219"/>
        <w:ind w:left="115" w:right="109"/>
        <w:jc w:val="both"/>
      </w:pPr>
      <w:r>
        <w:rPr>
          <w:w w:val="105"/>
        </w:rPr>
        <w:t>Pro forma information regarding net income and net income per share, as disclosed in Note 1, has been determined as if the Company had accounted for its Employee stock-based compensation plans and other</w:t>
      </w:r>
      <w:r>
        <w:rPr>
          <w:spacing w:val="55"/>
          <w:w w:val="105"/>
        </w:rPr>
        <w:t> </w:t>
      </w:r>
      <w:r>
        <w:rPr>
          <w:w w:val="105"/>
        </w:rPr>
        <w:t>stock options under the fair value method of SFAS 123. The fair value of each option grant is estimated on the date of grant using a modified Black-Scholes option pricing model with the following weighted-average assumptions used for grants under the fixed option plans:</w:t>
      </w:r>
    </w:p>
    <w:p>
      <w:pPr>
        <w:pStyle w:val="BodyText"/>
        <w:spacing w:before="2"/>
        <w:rPr>
          <w:sz w:val="17"/>
        </w:rPr>
      </w:pPr>
      <w:r>
        <w:rPr/>
        <w:pict>
          <v:line style="position:absolute;mso-position-horizontal-relative:page;mso-position-vertical-relative:paragraph;z-index:6784;mso-wrap-distance-left:0;mso-wrap-distance-right:0" from="271.440002pt,12.075537pt" to="343.440002pt,12.075537pt" stroked="true" strokeweight=".48004pt" strokecolor="#000000">
            <v:stroke dashstyle="solid"/>
            <w10:wrap type="topAndBottom"/>
          </v:line>
        </w:pict>
      </w:r>
      <w:r>
        <w:rPr/>
        <w:pict>
          <v:line style="position:absolute;mso-position-horizontal-relative:page;mso-position-vertical-relative:paragraph;z-index:6808;mso-wrap-distance-left:0;mso-wrap-distance-right:0" from="356.880005pt,12.075537pt" to="428.880005pt,12.075537pt" stroked="true" strokeweight=".48004pt" strokecolor="#000000">
            <v:stroke dashstyle="solid"/>
            <w10:wrap type="topAndBottom"/>
          </v:line>
        </w:pict>
      </w:r>
      <w:r>
        <w:rPr/>
        <w:pict>
          <v:line style="position:absolute;mso-position-horizontal-relative:page;mso-position-vertical-relative:paragraph;z-index:6832;mso-wrap-distance-left:0;mso-wrap-distance-right:0" from="442.320007pt,12.075537pt" to="509.760007pt,12.075537pt" stroked="true" strokeweight=".48004pt" strokecolor="#000000">
            <v:stroke dashstyle="solid"/>
            <w10:wrap type="topAndBottom"/>
          </v:line>
        </w:pict>
      </w:r>
    </w:p>
    <w:p>
      <w:pPr>
        <w:pStyle w:val="Heading2"/>
        <w:tabs>
          <w:tab w:pos="6466" w:val="left" w:leader="none"/>
          <w:tab w:pos="8136" w:val="left" w:leader="none"/>
        </w:tabs>
        <w:spacing w:after="108"/>
        <w:ind w:left="4757"/>
      </w:pPr>
      <w:r>
        <w:rPr>
          <w:w w:val="105"/>
        </w:rPr>
        <w:t>2003</w:t>
        <w:tab/>
        <w:t>2002</w:t>
        <w:tab/>
        <w:t>2001</w:t>
      </w:r>
    </w:p>
    <w:p>
      <w:pPr>
        <w:tabs>
          <w:tab w:pos="5952" w:val="left" w:leader="none"/>
          <w:tab w:pos="7661" w:val="left" w:leader="none"/>
        </w:tabs>
        <w:spacing w:line="20" w:lineRule="exact"/>
        <w:ind w:left="4243" w:right="0" w:firstLine="0"/>
        <w:rPr>
          <w:sz w:val="2"/>
        </w:rPr>
      </w:pPr>
      <w:r>
        <w:rPr>
          <w:sz w:val="2"/>
        </w:rPr>
        <w:pict>
          <v:group style="width:72.5pt;height:.5pt;mso-position-horizontal-relative:char;mso-position-vertical-relative:line" coordorigin="0,0" coordsize="1450,10">
            <v:line style="position:absolute" from="5,5" to="1445,5" stroked="true" strokeweight=".48004pt" strokecolor="#000000">
              <v:stroke dashstyle="solid"/>
            </v:line>
          </v:group>
        </w:pict>
      </w:r>
      <w:r>
        <w:rPr>
          <w:sz w:val="2"/>
        </w:rPr>
      </w:r>
      <w:r>
        <w:rPr>
          <w:sz w:val="2"/>
        </w:rPr>
        <w:tab/>
      </w:r>
      <w:r>
        <w:rPr>
          <w:sz w:val="2"/>
        </w:rPr>
        <w:pict>
          <v:group style="width:72.5pt;height:.5pt;mso-position-horizontal-relative:char;mso-position-vertical-relative:line" coordorigin="0,0" coordsize="1450,10">
            <v:line style="position:absolute" from="5,5" to="1445,5" stroked="true" strokeweight=".48004pt" strokecolor="#000000">
              <v:stroke dashstyle="solid"/>
            </v:line>
          </v:group>
        </w:pict>
      </w:r>
      <w:r>
        <w:rPr>
          <w:sz w:val="2"/>
        </w:rPr>
      </w:r>
      <w:r>
        <w:rPr>
          <w:sz w:val="2"/>
        </w:rPr>
        <w:tab/>
      </w:r>
      <w:r>
        <w:rPr>
          <w:sz w:val="2"/>
        </w:rPr>
        <w:pict>
          <v:group style="width:67.95pt;height:.5pt;mso-position-horizontal-relative:char;mso-position-vertical-relative:line" coordorigin="0,0" coordsize="1359,10">
            <v:line style="position:absolute" from="5,5" to="1354,5" stroked="true" strokeweight=".48004pt" strokecolor="#000000">
              <v:stroke dashstyle="solid"/>
            </v:line>
          </v:group>
        </w:pict>
      </w:r>
      <w:r>
        <w:rPr>
          <w:sz w:val="2"/>
        </w:rPr>
      </w:r>
    </w:p>
    <w:p>
      <w:pPr>
        <w:pStyle w:val="BodyText"/>
        <w:tabs>
          <w:tab w:pos="5136" w:val="left" w:leader="none"/>
          <w:tab w:pos="6845" w:val="left" w:leader="none"/>
          <w:tab w:pos="8468" w:val="left" w:leader="none"/>
        </w:tabs>
        <w:ind w:left="226"/>
      </w:pPr>
      <w:r>
        <w:rPr>
          <w:w w:val="105"/>
        </w:rPr>
        <w:t>Wtd-average risk-free</w:t>
      </w:r>
      <w:r>
        <w:rPr>
          <w:spacing w:val="-26"/>
          <w:w w:val="105"/>
        </w:rPr>
        <w:t> </w:t>
      </w:r>
      <w:r>
        <w:rPr>
          <w:w w:val="105"/>
        </w:rPr>
        <w:t>interest</w:t>
      </w:r>
      <w:r>
        <w:rPr>
          <w:spacing w:val="-13"/>
          <w:w w:val="105"/>
        </w:rPr>
        <w:t> </w:t>
      </w:r>
      <w:r>
        <w:rPr>
          <w:w w:val="105"/>
        </w:rPr>
        <w:t>rate</w:t>
        <w:tab/>
        <w:t>2.6%</w:t>
        <w:tab/>
        <w:t>3.4%</w:t>
        <w:tab/>
        <w:t>4.5%</w:t>
      </w:r>
    </w:p>
    <w:p>
      <w:pPr>
        <w:pStyle w:val="BodyText"/>
        <w:tabs>
          <w:tab w:pos="5109" w:val="left" w:leader="none"/>
          <w:tab w:pos="6818" w:val="left" w:leader="none"/>
          <w:tab w:pos="8729" w:val="right" w:leader="none"/>
        </w:tabs>
        <w:spacing w:before="80"/>
        <w:ind w:left="226"/>
      </w:pPr>
      <w:r>
        <w:rPr>
          <w:w w:val="105"/>
        </w:rPr>
        <w:t>Expected life of</w:t>
      </w:r>
      <w:r>
        <w:rPr>
          <w:spacing w:val="-30"/>
          <w:w w:val="105"/>
        </w:rPr>
        <w:t> </w:t>
      </w:r>
      <w:r>
        <w:rPr>
          <w:w w:val="105"/>
        </w:rPr>
        <w:t>option</w:t>
      </w:r>
      <w:r>
        <w:rPr>
          <w:spacing w:val="-10"/>
          <w:w w:val="105"/>
        </w:rPr>
        <w:t> </w:t>
      </w:r>
      <w:r>
        <w:rPr>
          <w:w w:val="105"/>
        </w:rPr>
        <w:t>(years)</w:t>
        <w:tab/>
        <w:t>4.2</w:t>
        <w:tab/>
        <w:t>5.0</w:t>
        <w:tab/>
        <w:t>5.9</w:t>
      </w:r>
    </w:p>
    <w:p>
      <w:pPr>
        <w:pStyle w:val="BodyText"/>
        <w:tabs>
          <w:tab w:pos="5031" w:val="left" w:leader="none"/>
          <w:tab w:pos="6740" w:val="left" w:leader="none"/>
          <w:tab w:pos="8362" w:val="left" w:leader="none"/>
        </w:tabs>
        <w:spacing w:before="80"/>
        <w:ind w:left="226"/>
      </w:pPr>
      <w:r>
        <w:rPr>
          <w:w w:val="105"/>
        </w:rPr>
        <w:t>Expected</w:t>
      </w:r>
      <w:r>
        <w:rPr>
          <w:spacing w:val="-13"/>
          <w:w w:val="105"/>
        </w:rPr>
        <w:t> </w:t>
      </w:r>
      <w:r>
        <w:rPr>
          <w:w w:val="105"/>
        </w:rPr>
        <w:t>stock</w:t>
      </w:r>
      <w:r>
        <w:rPr>
          <w:spacing w:val="-13"/>
          <w:w w:val="105"/>
        </w:rPr>
        <w:t> </w:t>
      </w:r>
      <w:r>
        <w:rPr>
          <w:w w:val="105"/>
        </w:rPr>
        <w:t>volatility</w:t>
        <w:tab/>
        <w:t>34.0%</w:t>
        <w:tab/>
        <w:t>34.0%</w:t>
        <w:tab/>
        <w:t>34.8%</w:t>
      </w:r>
    </w:p>
    <w:p>
      <w:pPr>
        <w:pStyle w:val="BodyText"/>
        <w:tabs>
          <w:tab w:pos="5031" w:val="left" w:leader="none"/>
          <w:tab w:pos="6740" w:val="left" w:leader="none"/>
          <w:tab w:pos="8362" w:val="left" w:leader="none"/>
        </w:tabs>
        <w:spacing w:before="75"/>
        <w:ind w:left="226"/>
      </w:pPr>
      <w:r>
        <w:rPr>
          <w:w w:val="105"/>
        </w:rPr>
        <w:t>Expected</w:t>
      </w:r>
      <w:r>
        <w:rPr>
          <w:spacing w:val="-12"/>
          <w:w w:val="105"/>
        </w:rPr>
        <w:t> </w:t>
      </w:r>
      <w:r>
        <w:rPr>
          <w:w w:val="105"/>
        </w:rPr>
        <w:t>dividend</w:t>
      </w:r>
      <w:r>
        <w:rPr>
          <w:spacing w:val="-12"/>
          <w:w w:val="105"/>
        </w:rPr>
        <w:t> </w:t>
      </w:r>
      <w:r>
        <w:rPr>
          <w:w w:val="105"/>
        </w:rPr>
        <w:t>yield</w:t>
        <w:tab/>
        <w:t>0.13%</w:t>
        <w:tab/>
        <w:t>0.13%</w:t>
        <w:tab/>
        <w:t>0.07%</w:t>
      </w:r>
    </w:p>
    <w:p>
      <w:pPr>
        <w:pStyle w:val="BodyText"/>
        <w:spacing w:before="7"/>
        <w:rPr>
          <w:sz w:val="27"/>
        </w:rPr>
      </w:pPr>
    </w:p>
    <w:p>
      <w:pPr>
        <w:pStyle w:val="BodyText"/>
        <w:spacing w:line="218" w:lineRule="auto"/>
        <w:ind w:left="116" w:right="107"/>
        <w:jc w:val="both"/>
      </w:pPr>
      <w:r>
        <w:rPr>
          <w:w w:val="105"/>
        </w:rPr>
        <w:t>The Black-Scholes option valuation model was developed for use in estimating the fair value of short-term traded options that have no vesting restrictions and are fully transferable. In addition, option valuation models require the input of highly subjective assumptions including expected stock price volatility. Because the Company’s Employee stock options have characteristics significantly different from those of traded options and because changes in the subjective input assumptions can materially affect the fair value estimate, in management’s opinion the existing models do not necessarily provide a reliable single measure of the fair value of its Employee stock options.</w:t>
      </w:r>
    </w:p>
    <w:p>
      <w:pPr>
        <w:pStyle w:val="BodyText"/>
        <w:spacing w:line="216" w:lineRule="auto" w:before="223"/>
        <w:ind w:left="116" w:right="111"/>
        <w:jc w:val="both"/>
      </w:pPr>
      <w:r>
        <w:rPr>
          <w:w w:val="105"/>
        </w:rPr>
        <w:t>The fair value of options granted under the fixed option plans during 2003 ranged from $3.33 to $8.17. The fair value of options granted under the fixed option plans during 2002 ranged from $3.54 to $8.52. The fair value of options granted under the fixed option plans during 2001 ranged from $5.69 to $9.11.</w:t>
      </w:r>
    </w:p>
    <w:p>
      <w:pPr>
        <w:pStyle w:val="Heading2"/>
        <w:numPr>
          <w:ilvl w:val="0"/>
          <w:numId w:val="6"/>
        </w:numPr>
        <w:tabs>
          <w:tab w:pos="433" w:val="left" w:leader="none"/>
        </w:tabs>
        <w:spacing w:line="240" w:lineRule="auto" w:before="204" w:after="0"/>
        <w:ind w:left="432" w:right="0" w:hanging="316"/>
        <w:jc w:val="both"/>
      </w:pPr>
      <w:r>
        <w:rPr>
          <w:color w:val="0000FF"/>
          <w:spacing w:val="-5"/>
          <w:w w:val="105"/>
        </w:rPr>
        <w:t>EMPLOYEE</w:t>
      </w:r>
      <w:r>
        <w:rPr>
          <w:color w:val="0000FF"/>
          <w:spacing w:val="-36"/>
          <w:w w:val="105"/>
        </w:rPr>
        <w:t> </w:t>
      </w:r>
      <w:r>
        <w:rPr>
          <w:color w:val="0000FF"/>
          <w:spacing w:val="-5"/>
          <w:w w:val="105"/>
        </w:rPr>
        <w:t>RETIREMENT</w:t>
      </w:r>
      <w:r>
        <w:rPr>
          <w:color w:val="0000FF"/>
          <w:spacing w:val="-36"/>
          <w:w w:val="105"/>
        </w:rPr>
        <w:t> </w:t>
      </w:r>
      <w:r>
        <w:rPr>
          <w:color w:val="0000FF"/>
          <w:spacing w:val="-4"/>
          <w:w w:val="105"/>
        </w:rPr>
        <w:t>PLANS</w:t>
      </w:r>
    </w:p>
    <w:p>
      <w:pPr>
        <w:pStyle w:val="BodyText"/>
        <w:spacing w:line="218" w:lineRule="auto" w:before="217"/>
        <w:ind w:left="116" w:right="110"/>
        <w:jc w:val="both"/>
      </w:pPr>
      <w:r>
        <w:rPr>
          <w:spacing w:val="-2"/>
          <w:w w:val="105"/>
        </w:rPr>
        <w:t>The </w:t>
      </w:r>
      <w:r>
        <w:rPr>
          <w:w w:val="105"/>
        </w:rPr>
        <w:t>Company </w:t>
      </w:r>
      <w:r>
        <w:rPr>
          <w:spacing w:val="-3"/>
          <w:w w:val="105"/>
        </w:rPr>
        <w:t>has </w:t>
      </w:r>
      <w:r>
        <w:rPr>
          <w:w w:val="105"/>
        </w:rPr>
        <w:t>defined contribution plans covering substantially all of </w:t>
      </w:r>
      <w:r>
        <w:rPr>
          <w:spacing w:val="-3"/>
          <w:w w:val="105"/>
        </w:rPr>
        <w:t>Southwest's Employees. The </w:t>
      </w:r>
      <w:r>
        <w:rPr>
          <w:w w:val="105"/>
        </w:rPr>
        <w:t>Southwest </w:t>
      </w:r>
      <w:r>
        <w:rPr>
          <w:spacing w:val="-3"/>
          <w:w w:val="105"/>
        </w:rPr>
        <w:t>Airlines </w:t>
      </w:r>
      <w:r>
        <w:rPr>
          <w:w w:val="105"/>
        </w:rPr>
        <w:t>Co. Profitsharing Plan is a </w:t>
      </w:r>
      <w:r>
        <w:rPr>
          <w:spacing w:val="-3"/>
          <w:w w:val="105"/>
        </w:rPr>
        <w:t>money </w:t>
      </w:r>
      <w:r>
        <w:rPr>
          <w:w w:val="105"/>
        </w:rPr>
        <w:t>purchase defined contribution plan and </w:t>
      </w:r>
      <w:r>
        <w:rPr>
          <w:spacing w:val="-3"/>
          <w:w w:val="105"/>
        </w:rPr>
        <w:t>Employee </w:t>
      </w:r>
      <w:r>
        <w:rPr>
          <w:w w:val="105"/>
        </w:rPr>
        <w:t>stock purchase plan. </w:t>
      </w:r>
      <w:r>
        <w:rPr>
          <w:spacing w:val="-2"/>
          <w:w w:val="105"/>
        </w:rPr>
        <w:t>The </w:t>
      </w:r>
      <w:r>
        <w:rPr>
          <w:w w:val="105"/>
        </w:rPr>
        <w:t>Company also sponsors </w:t>
      </w:r>
      <w:r>
        <w:rPr>
          <w:spacing w:val="-3"/>
          <w:w w:val="105"/>
        </w:rPr>
        <w:t>Employee </w:t>
      </w:r>
      <w:r>
        <w:rPr>
          <w:w w:val="105"/>
        </w:rPr>
        <w:t>savings plans under section 401(k) of the Internal Revenue Code, which include Company </w:t>
      </w:r>
      <w:r>
        <w:rPr>
          <w:spacing w:val="-3"/>
          <w:w w:val="105"/>
        </w:rPr>
        <w:t>matching </w:t>
      </w:r>
      <w:r>
        <w:rPr>
          <w:w w:val="105"/>
        </w:rPr>
        <w:t>contributions. </w:t>
      </w:r>
      <w:r>
        <w:rPr>
          <w:spacing w:val="-2"/>
          <w:w w:val="105"/>
        </w:rPr>
        <w:t>The </w:t>
      </w:r>
      <w:r>
        <w:rPr>
          <w:w w:val="105"/>
        </w:rPr>
        <w:t>401(k) plans cover substantially all </w:t>
      </w:r>
      <w:r>
        <w:rPr>
          <w:spacing w:val="-3"/>
          <w:w w:val="105"/>
        </w:rPr>
        <w:t>Employees.</w:t>
      </w:r>
      <w:r>
        <w:rPr>
          <w:spacing w:val="32"/>
          <w:w w:val="105"/>
        </w:rPr>
        <w:t> </w:t>
      </w:r>
      <w:r>
        <w:rPr>
          <w:w w:val="105"/>
        </w:rPr>
        <w:t>Contributions</w:t>
      </w:r>
      <w:r>
        <w:rPr>
          <w:spacing w:val="-10"/>
          <w:w w:val="105"/>
        </w:rPr>
        <w:t> </w:t>
      </w:r>
      <w:r>
        <w:rPr>
          <w:w w:val="105"/>
        </w:rPr>
        <w:t>under</w:t>
      </w:r>
      <w:r>
        <w:rPr>
          <w:spacing w:val="-15"/>
          <w:w w:val="105"/>
        </w:rPr>
        <w:t> </w:t>
      </w:r>
      <w:r>
        <w:rPr>
          <w:w w:val="105"/>
        </w:rPr>
        <w:t>all</w:t>
      </w:r>
      <w:r>
        <w:rPr>
          <w:spacing w:val="-10"/>
          <w:w w:val="105"/>
        </w:rPr>
        <w:t> </w:t>
      </w:r>
      <w:r>
        <w:rPr>
          <w:w w:val="105"/>
        </w:rPr>
        <w:t>defined</w:t>
      </w:r>
      <w:r>
        <w:rPr>
          <w:spacing w:val="-13"/>
          <w:w w:val="105"/>
        </w:rPr>
        <w:t> </w:t>
      </w:r>
      <w:r>
        <w:rPr>
          <w:w w:val="105"/>
        </w:rPr>
        <w:t>contribution</w:t>
      </w:r>
      <w:r>
        <w:rPr>
          <w:spacing w:val="-13"/>
          <w:w w:val="105"/>
        </w:rPr>
        <w:t> </w:t>
      </w:r>
      <w:r>
        <w:rPr>
          <w:w w:val="105"/>
        </w:rPr>
        <w:t>plans</w:t>
      </w:r>
      <w:r>
        <w:rPr>
          <w:spacing w:val="-13"/>
          <w:w w:val="105"/>
        </w:rPr>
        <w:t> </w:t>
      </w:r>
      <w:r>
        <w:rPr>
          <w:spacing w:val="-4"/>
          <w:w w:val="105"/>
        </w:rPr>
        <w:t>are</w:t>
      </w:r>
      <w:r>
        <w:rPr>
          <w:spacing w:val="-12"/>
          <w:w w:val="105"/>
        </w:rPr>
        <w:t> </w:t>
      </w:r>
      <w:r>
        <w:rPr>
          <w:w w:val="105"/>
        </w:rPr>
        <w:t>based</w:t>
      </w:r>
      <w:r>
        <w:rPr>
          <w:spacing w:val="-16"/>
          <w:w w:val="105"/>
        </w:rPr>
        <w:t> </w:t>
      </w:r>
      <w:r>
        <w:rPr>
          <w:w w:val="105"/>
        </w:rPr>
        <w:t>primarily</w:t>
      </w:r>
      <w:r>
        <w:rPr>
          <w:spacing w:val="-10"/>
          <w:w w:val="105"/>
        </w:rPr>
        <w:t> </w:t>
      </w:r>
      <w:r>
        <w:rPr>
          <w:w w:val="105"/>
        </w:rPr>
        <w:t>on</w:t>
      </w:r>
      <w:r>
        <w:rPr>
          <w:spacing w:val="-16"/>
          <w:w w:val="105"/>
        </w:rPr>
        <w:t> </w:t>
      </w:r>
      <w:r>
        <w:rPr>
          <w:w w:val="105"/>
        </w:rPr>
        <w:t>Employee</w:t>
      </w:r>
      <w:r>
        <w:rPr>
          <w:spacing w:val="-12"/>
          <w:w w:val="105"/>
        </w:rPr>
        <w:t> </w:t>
      </w:r>
      <w:r>
        <w:rPr>
          <w:w w:val="105"/>
        </w:rPr>
        <w:t>compensation and</w:t>
      </w:r>
      <w:r>
        <w:rPr>
          <w:spacing w:val="-21"/>
          <w:w w:val="105"/>
        </w:rPr>
        <w:t> </w:t>
      </w:r>
      <w:r>
        <w:rPr>
          <w:spacing w:val="-3"/>
          <w:w w:val="105"/>
        </w:rPr>
        <w:t>performance</w:t>
      </w:r>
      <w:r>
        <w:rPr>
          <w:spacing w:val="-22"/>
          <w:w w:val="105"/>
        </w:rPr>
        <w:t> </w:t>
      </w:r>
      <w:r>
        <w:rPr>
          <w:w w:val="105"/>
        </w:rPr>
        <w:t>of</w:t>
      </w:r>
      <w:r>
        <w:rPr>
          <w:spacing w:val="-22"/>
          <w:w w:val="105"/>
        </w:rPr>
        <w:t> </w:t>
      </w:r>
      <w:r>
        <w:rPr>
          <w:w w:val="105"/>
        </w:rPr>
        <w:t>the</w:t>
      </w:r>
      <w:r>
        <w:rPr>
          <w:spacing w:val="-22"/>
          <w:w w:val="105"/>
        </w:rPr>
        <w:t> </w:t>
      </w:r>
      <w:r>
        <w:rPr>
          <w:spacing w:val="-3"/>
          <w:w w:val="105"/>
        </w:rPr>
        <w:t>Company.</w:t>
      </w:r>
    </w:p>
    <w:p>
      <w:pPr>
        <w:pStyle w:val="BodyText"/>
        <w:spacing w:line="220" w:lineRule="exact" w:before="219"/>
        <w:ind w:left="116" w:right="119"/>
        <w:jc w:val="both"/>
      </w:pPr>
      <w:r>
        <w:rPr>
          <w:w w:val="105"/>
        </w:rPr>
        <w:t>Company contributions to all retirement plans expensed in 2003, 2002, and 2001 were $219 million, $156 million, and $215 million, respectively.</w:t>
      </w:r>
    </w:p>
    <w:p>
      <w:pPr>
        <w:pStyle w:val="Heading2"/>
        <w:numPr>
          <w:ilvl w:val="0"/>
          <w:numId w:val="6"/>
        </w:numPr>
        <w:tabs>
          <w:tab w:pos="433" w:val="left" w:leader="none"/>
        </w:tabs>
        <w:spacing w:line="240" w:lineRule="auto" w:before="201" w:after="0"/>
        <w:ind w:left="432" w:right="0" w:hanging="316"/>
        <w:jc w:val="both"/>
      </w:pPr>
      <w:r>
        <w:rPr>
          <w:color w:val="0000FF"/>
          <w:spacing w:val="-5"/>
          <w:w w:val="105"/>
        </w:rPr>
        <w:t>INCOME</w:t>
      </w:r>
      <w:r>
        <w:rPr>
          <w:color w:val="0000FF"/>
          <w:spacing w:val="-37"/>
          <w:w w:val="105"/>
        </w:rPr>
        <w:t> </w:t>
      </w:r>
      <w:r>
        <w:rPr>
          <w:color w:val="0000FF"/>
          <w:spacing w:val="-4"/>
          <w:w w:val="105"/>
        </w:rPr>
        <w:t>TAXES</w:t>
      </w:r>
    </w:p>
    <w:p>
      <w:pPr>
        <w:pStyle w:val="BodyText"/>
        <w:spacing w:line="216" w:lineRule="auto" w:before="219"/>
        <w:ind w:left="116" w:right="110"/>
        <w:jc w:val="both"/>
      </w:pPr>
      <w:r>
        <w:rPr>
          <w:spacing w:val="-3"/>
          <w:w w:val="105"/>
        </w:rPr>
        <w:t>Deferred</w:t>
      </w:r>
      <w:r>
        <w:rPr>
          <w:spacing w:val="-14"/>
          <w:w w:val="105"/>
        </w:rPr>
        <w:t> </w:t>
      </w:r>
      <w:r>
        <w:rPr>
          <w:w w:val="105"/>
        </w:rPr>
        <w:t>income</w:t>
      </w:r>
      <w:r>
        <w:rPr>
          <w:spacing w:val="-16"/>
          <w:w w:val="105"/>
        </w:rPr>
        <w:t> </w:t>
      </w:r>
      <w:r>
        <w:rPr>
          <w:w w:val="105"/>
        </w:rPr>
        <w:t>taxes</w:t>
      </w:r>
      <w:r>
        <w:rPr>
          <w:spacing w:val="-14"/>
          <w:w w:val="105"/>
        </w:rPr>
        <w:t> </w:t>
      </w:r>
      <w:r>
        <w:rPr>
          <w:w w:val="105"/>
        </w:rPr>
        <w:t>reflect</w:t>
      </w:r>
      <w:r>
        <w:rPr>
          <w:spacing w:val="-14"/>
          <w:w w:val="105"/>
        </w:rPr>
        <w:t> </w:t>
      </w:r>
      <w:r>
        <w:rPr>
          <w:w w:val="105"/>
        </w:rPr>
        <w:t>the</w:t>
      </w:r>
      <w:r>
        <w:rPr>
          <w:spacing w:val="-16"/>
          <w:w w:val="105"/>
        </w:rPr>
        <w:t> </w:t>
      </w:r>
      <w:r>
        <w:rPr>
          <w:w w:val="105"/>
        </w:rPr>
        <w:t>net</w:t>
      </w:r>
      <w:r>
        <w:rPr>
          <w:spacing w:val="-14"/>
          <w:w w:val="105"/>
        </w:rPr>
        <w:t> </w:t>
      </w:r>
      <w:r>
        <w:rPr>
          <w:w w:val="105"/>
        </w:rPr>
        <w:t>tax</w:t>
      </w:r>
      <w:r>
        <w:rPr>
          <w:spacing w:val="-11"/>
          <w:w w:val="105"/>
        </w:rPr>
        <w:t> </w:t>
      </w:r>
      <w:r>
        <w:rPr>
          <w:spacing w:val="-3"/>
          <w:w w:val="105"/>
        </w:rPr>
        <w:t>effects</w:t>
      </w:r>
      <w:r>
        <w:rPr>
          <w:spacing w:val="-14"/>
          <w:w w:val="105"/>
        </w:rPr>
        <w:t> </w:t>
      </w:r>
      <w:r>
        <w:rPr>
          <w:w w:val="105"/>
        </w:rPr>
        <w:t>of</w:t>
      </w:r>
      <w:r>
        <w:rPr>
          <w:spacing w:val="-12"/>
          <w:w w:val="105"/>
        </w:rPr>
        <w:t> </w:t>
      </w:r>
      <w:r>
        <w:rPr>
          <w:spacing w:val="-3"/>
          <w:w w:val="105"/>
        </w:rPr>
        <w:t>temporary</w:t>
      </w:r>
      <w:r>
        <w:rPr>
          <w:spacing w:val="-14"/>
          <w:w w:val="105"/>
        </w:rPr>
        <w:t> </w:t>
      </w:r>
      <w:r>
        <w:rPr>
          <w:spacing w:val="-3"/>
          <w:w w:val="105"/>
        </w:rPr>
        <w:t>differences</w:t>
      </w:r>
      <w:r>
        <w:rPr>
          <w:spacing w:val="-11"/>
          <w:w w:val="105"/>
        </w:rPr>
        <w:t> </w:t>
      </w:r>
      <w:r>
        <w:rPr>
          <w:spacing w:val="-3"/>
          <w:w w:val="105"/>
        </w:rPr>
        <w:t>between</w:t>
      </w:r>
      <w:r>
        <w:rPr>
          <w:spacing w:val="-11"/>
          <w:w w:val="105"/>
        </w:rPr>
        <w:t> </w:t>
      </w:r>
      <w:r>
        <w:rPr>
          <w:w w:val="105"/>
        </w:rPr>
        <w:t>the</w:t>
      </w:r>
      <w:r>
        <w:rPr>
          <w:spacing w:val="-16"/>
          <w:w w:val="105"/>
        </w:rPr>
        <w:t> </w:t>
      </w:r>
      <w:r>
        <w:rPr>
          <w:spacing w:val="-3"/>
          <w:w w:val="105"/>
        </w:rPr>
        <w:t>carrying</w:t>
      </w:r>
      <w:r>
        <w:rPr>
          <w:spacing w:val="-11"/>
          <w:w w:val="105"/>
        </w:rPr>
        <w:t> </w:t>
      </w:r>
      <w:r>
        <w:rPr>
          <w:w w:val="105"/>
        </w:rPr>
        <w:t>amounts</w:t>
      </w:r>
      <w:r>
        <w:rPr>
          <w:spacing w:val="-14"/>
          <w:w w:val="105"/>
        </w:rPr>
        <w:t> </w:t>
      </w:r>
      <w:r>
        <w:rPr>
          <w:w w:val="105"/>
        </w:rPr>
        <w:t>of</w:t>
      </w:r>
      <w:r>
        <w:rPr>
          <w:spacing w:val="-12"/>
          <w:w w:val="105"/>
        </w:rPr>
        <w:t> </w:t>
      </w:r>
      <w:r>
        <w:rPr>
          <w:w w:val="105"/>
        </w:rPr>
        <w:t>assets and</w:t>
      </w:r>
      <w:r>
        <w:rPr>
          <w:spacing w:val="-5"/>
          <w:w w:val="105"/>
        </w:rPr>
        <w:t> </w:t>
      </w:r>
      <w:r>
        <w:rPr>
          <w:w w:val="105"/>
        </w:rPr>
        <w:t>liabilities</w:t>
      </w:r>
      <w:r>
        <w:rPr>
          <w:spacing w:val="-8"/>
          <w:w w:val="105"/>
        </w:rPr>
        <w:t> </w:t>
      </w:r>
      <w:r>
        <w:rPr>
          <w:w w:val="105"/>
        </w:rPr>
        <w:t>for</w:t>
      </w:r>
      <w:r>
        <w:rPr>
          <w:spacing w:val="-11"/>
          <w:w w:val="105"/>
        </w:rPr>
        <w:t> </w:t>
      </w:r>
      <w:r>
        <w:rPr>
          <w:w w:val="105"/>
        </w:rPr>
        <w:t>financial</w:t>
      </w:r>
      <w:r>
        <w:rPr>
          <w:spacing w:val="-12"/>
          <w:w w:val="105"/>
        </w:rPr>
        <w:t> </w:t>
      </w:r>
      <w:r>
        <w:rPr>
          <w:w w:val="105"/>
        </w:rPr>
        <w:t>reporting</w:t>
      </w:r>
      <w:r>
        <w:rPr>
          <w:spacing w:val="-5"/>
          <w:w w:val="105"/>
        </w:rPr>
        <w:t> </w:t>
      </w:r>
      <w:r>
        <w:rPr>
          <w:w w:val="105"/>
        </w:rPr>
        <w:t>purposes</w:t>
      </w:r>
      <w:r>
        <w:rPr>
          <w:spacing w:val="-12"/>
          <w:w w:val="105"/>
        </w:rPr>
        <w:t> </w:t>
      </w:r>
      <w:r>
        <w:rPr>
          <w:w w:val="105"/>
        </w:rPr>
        <w:t>and</w:t>
      </w:r>
      <w:r>
        <w:rPr>
          <w:spacing w:val="-8"/>
          <w:w w:val="105"/>
        </w:rPr>
        <w:t> </w:t>
      </w:r>
      <w:r>
        <w:rPr>
          <w:w w:val="105"/>
        </w:rPr>
        <w:t>the</w:t>
      </w:r>
      <w:r>
        <w:rPr>
          <w:spacing w:val="-13"/>
          <w:w w:val="105"/>
        </w:rPr>
        <w:t> </w:t>
      </w:r>
      <w:r>
        <w:rPr>
          <w:w w:val="105"/>
        </w:rPr>
        <w:t>amounts</w:t>
      </w:r>
      <w:r>
        <w:rPr>
          <w:spacing w:val="-12"/>
          <w:w w:val="105"/>
        </w:rPr>
        <w:t> </w:t>
      </w:r>
      <w:r>
        <w:rPr>
          <w:w w:val="105"/>
        </w:rPr>
        <w:t>used</w:t>
      </w:r>
      <w:r>
        <w:rPr>
          <w:spacing w:val="-8"/>
          <w:w w:val="105"/>
        </w:rPr>
        <w:t> </w:t>
      </w:r>
      <w:r>
        <w:rPr>
          <w:w w:val="105"/>
        </w:rPr>
        <w:t>for</w:t>
      </w:r>
      <w:r>
        <w:rPr>
          <w:spacing w:val="-11"/>
          <w:w w:val="105"/>
        </w:rPr>
        <w:t> </w:t>
      </w:r>
      <w:r>
        <w:rPr>
          <w:w w:val="105"/>
        </w:rPr>
        <w:t>income</w:t>
      </w:r>
      <w:r>
        <w:rPr>
          <w:spacing w:val="-13"/>
          <w:w w:val="105"/>
        </w:rPr>
        <w:t> </w:t>
      </w:r>
      <w:r>
        <w:rPr>
          <w:w w:val="105"/>
        </w:rPr>
        <w:t>tax</w:t>
      </w:r>
      <w:r>
        <w:rPr>
          <w:spacing w:val="-8"/>
          <w:w w:val="105"/>
        </w:rPr>
        <w:t> </w:t>
      </w:r>
      <w:r>
        <w:rPr>
          <w:w w:val="105"/>
        </w:rPr>
        <w:t>purposes.</w:t>
      </w:r>
      <w:r>
        <w:rPr>
          <w:spacing w:val="38"/>
          <w:w w:val="105"/>
        </w:rPr>
        <w:t> </w:t>
      </w:r>
      <w:r>
        <w:rPr>
          <w:spacing w:val="-2"/>
          <w:w w:val="105"/>
        </w:rPr>
        <w:t>The</w:t>
      </w:r>
      <w:r>
        <w:rPr>
          <w:spacing w:val="-10"/>
          <w:w w:val="105"/>
        </w:rPr>
        <w:t> </w:t>
      </w:r>
      <w:r>
        <w:rPr>
          <w:spacing w:val="-3"/>
          <w:w w:val="105"/>
        </w:rPr>
        <w:t>components </w:t>
      </w:r>
      <w:r>
        <w:rPr>
          <w:w w:val="105"/>
        </w:rPr>
        <w:t>of</w:t>
      </w:r>
      <w:r>
        <w:rPr>
          <w:spacing w:val="-20"/>
          <w:w w:val="105"/>
        </w:rPr>
        <w:t> </w:t>
      </w:r>
      <w:r>
        <w:rPr>
          <w:spacing w:val="-3"/>
          <w:w w:val="105"/>
        </w:rPr>
        <w:t>deferred</w:t>
      </w:r>
      <w:r>
        <w:rPr>
          <w:spacing w:val="-18"/>
          <w:w w:val="105"/>
        </w:rPr>
        <w:t> </w:t>
      </w:r>
      <w:r>
        <w:rPr>
          <w:spacing w:val="-3"/>
          <w:w w:val="105"/>
        </w:rPr>
        <w:t>tax</w:t>
      </w:r>
      <w:r>
        <w:rPr>
          <w:spacing w:val="-18"/>
          <w:w w:val="105"/>
        </w:rPr>
        <w:t> </w:t>
      </w:r>
      <w:r>
        <w:rPr>
          <w:w w:val="105"/>
        </w:rPr>
        <w:t>assets</w:t>
      </w:r>
      <w:r>
        <w:rPr>
          <w:spacing w:val="-18"/>
          <w:w w:val="105"/>
        </w:rPr>
        <w:t> </w:t>
      </w:r>
      <w:r>
        <w:rPr>
          <w:spacing w:val="-3"/>
          <w:w w:val="105"/>
        </w:rPr>
        <w:t>and</w:t>
      </w:r>
      <w:r>
        <w:rPr>
          <w:spacing w:val="-18"/>
          <w:w w:val="105"/>
        </w:rPr>
        <w:t> </w:t>
      </w:r>
      <w:r>
        <w:rPr>
          <w:w w:val="105"/>
        </w:rPr>
        <w:t>liabilities</w:t>
      </w:r>
      <w:r>
        <w:rPr>
          <w:spacing w:val="-18"/>
          <w:w w:val="105"/>
        </w:rPr>
        <w:t> </w:t>
      </w:r>
      <w:r>
        <w:rPr>
          <w:spacing w:val="-3"/>
          <w:w w:val="105"/>
        </w:rPr>
        <w:t>at</w:t>
      </w:r>
      <w:r>
        <w:rPr>
          <w:spacing w:val="-18"/>
          <w:w w:val="105"/>
        </w:rPr>
        <w:t> </w:t>
      </w:r>
      <w:r>
        <w:rPr>
          <w:spacing w:val="-4"/>
          <w:w w:val="105"/>
        </w:rPr>
        <w:t>December</w:t>
      </w:r>
      <w:r>
        <w:rPr>
          <w:spacing w:val="-20"/>
          <w:w w:val="105"/>
        </w:rPr>
        <w:t> </w:t>
      </w:r>
      <w:r>
        <w:rPr>
          <w:w w:val="105"/>
        </w:rPr>
        <w:t>31,</w:t>
      </w:r>
      <w:r>
        <w:rPr>
          <w:spacing w:val="-21"/>
          <w:w w:val="105"/>
        </w:rPr>
        <w:t> </w:t>
      </w:r>
      <w:r>
        <w:rPr>
          <w:w w:val="105"/>
        </w:rPr>
        <w:t>2003</w:t>
      </w:r>
      <w:r>
        <w:rPr>
          <w:spacing w:val="-18"/>
          <w:w w:val="105"/>
        </w:rPr>
        <w:t> </w:t>
      </w:r>
      <w:r>
        <w:rPr>
          <w:spacing w:val="-3"/>
          <w:w w:val="105"/>
        </w:rPr>
        <w:t>and</w:t>
      </w:r>
      <w:r>
        <w:rPr>
          <w:spacing w:val="-18"/>
          <w:w w:val="105"/>
        </w:rPr>
        <w:t> </w:t>
      </w:r>
      <w:r>
        <w:rPr>
          <w:w w:val="105"/>
        </w:rPr>
        <w:t>2002,</w:t>
      </w:r>
      <w:r>
        <w:rPr>
          <w:spacing w:val="-24"/>
          <w:w w:val="105"/>
        </w:rPr>
        <w:t> </w:t>
      </w:r>
      <w:r>
        <w:rPr>
          <w:w w:val="105"/>
        </w:rPr>
        <w:t>are</w:t>
      </w:r>
      <w:r>
        <w:rPr>
          <w:spacing w:val="-20"/>
          <w:w w:val="105"/>
        </w:rPr>
        <w:t> </w:t>
      </w:r>
      <w:r>
        <w:rPr>
          <w:spacing w:val="-3"/>
          <w:w w:val="105"/>
        </w:rPr>
        <w:t>as</w:t>
      </w:r>
      <w:r>
        <w:rPr>
          <w:spacing w:val="-18"/>
          <w:w w:val="105"/>
        </w:rPr>
        <w:t> </w:t>
      </w:r>
      <w:r>
        <w:rPr>
          <w:w w:val="105"/>
        </w:rPr>
        <w:t>follows:</w:t>
      </w:r>
    </w:p>
    <w:p>
      <w:pPr>
        <w:spacing w:after="0" w:line="216" w:lineRule="auto"/>
        <w:jc w:val="both"/>
        <w:sectPr>
          <w:pgSz w:w="12240" w:h="15840"/>
          <w:pgMar w:top="1080" w:bottom="280" w:left="1180" w:right="1180"/>
        </w:sectPr>
      </w:pPr>
    </w:p>
    <w:tbl>
      <w:tblPr>
        <w:tblW w:w="0" w:type="auto"/>
        <w:jc w:val="left"/>
        <w:tblInd w:w="12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628"/>
        <w:gridCol w:w="1496"/>
        <w:gridCol w:w="1805"/>
        <w:gridCol w:w="1629"/>
        <w:gridCol w:w="120"/>
      </w:tblGrid>
      <w:tr>
        <w:trPr>
          <w:trHeight w:val="645" w:hRule="exact"/>
        </w:trPr>
        <w:tc>
          <w:tcPr>
            <w:tcW w:w="4125" w:type="dxa"/>
            <w:gridSpan w:val="2"/>
            <w:tcBorders>
              <w:top w:val="single" w:sz="8" w:space="0" w:color="000000"/>
            </w:tcBorders>
          </w:tcPr>
          <w:p>
            <w:pPr>
              <w:pStyle w:val="TableParagraph"/>
              <w:spacing w:before="52"/>
              <w:ind w:left="43"/>
              <w:rPr>
                <w:sz w:val="20"/>
              </w:rPr>
            </w:pPr>
            <w:r>
              <w:rPr>
                <w:w w:val="110"/>
                <w:sz w:val="20"/>
              </w:rPr>
              <w:t>(In millions)</w:t>
            </w:r>
          </w:p>
          <w:p>
            <w:pPr>
              <w:pStyle w:val="TableParagraph"/>
              <w:spacing w:before="72"/>
              <w:ind w:left="48"/>
              <w:rPr>
                <w:b/>
                <w:sz w:val="20"/>
              </w:rPr>
            </w:pPr>
            <w:r>
              <w:rPr>
                <w:b/>
                <w:w w:val="95"/>
                <w:sz w:val="20"/>
              </w:rPr>
              <w:t>DEFERRED  TAX LIABILITIES:</w:t>
            </w:r>
          </w:p>
        </w:tc>
        <w:tc>
          <w:tcPr>
            <w:tcW w:w="1805" w:type="dxa"/>
            <w:tcBorders>
              <w:top w:val="single" w:sz="8" w:space="0" w:color="000000"/>
            </w:tcBorders>
          </w:tcPr>
          <w:p>
            <w:pPr>
              <w:pStyle w:val="TableParagraph"/>
              <w:spacing w:before="52"/>
              <w:ind w:left="526"/>
              <w:rPr>
                <w:b/>
                <w:sz w:val="20"/>
              </w:rPr>
            </w:pPr>
            <w:r>
              <w:rPr>
                <w:w w:val="120"/>
                <w:sz w:val="20"/>
              </w:rPr>
              <w:t>2</w:t>
            </w:r>
            <w:r>
              <w:rPr>
                <w:b/>
                <w:w w:val="120"/>
                <w:sz w:val="20"/>
              </w:rPr>
              <w:t>003</w:t>
            </w:r>
          </w:p>
        </w:tc>
        <w:tc>
          <w:tcPr>
            <w:tcW w:w="1750" w:type="dxa"/>
            <w:gridSpan w:val="2"/>
            <w:tcBorders>
              <w:top w:val="single" w:sz="8" w:space="0" w:color="000000"/>
            </w:tcBorders>
          </w:tcPr>
          <w:p>
            <w:pPr>
              <w:pStyle w:val="TableParagraph"/>
              <w:spacing w:before="52"/>
              <w:ind w:left="589" w:right="586"/>
              <w:jc w:val="center"/>
              <w:rPr>
                <w:b/>
                <w:sz w:val="20"/>
              </w:rPr>
            </w:pPr>
            <w:r>
              <w:rPr>
                <w:b/>
                <w:w w:val="120"/>
                <w:sz w:val="20"/>
              </w:rPr>
              <w:t>2002</w:t>
            </w:r>
          </w:p>
        </w:tc>
      </w:tr>
      <w:tr>
        <w:trPr>
          <w:trHeight w:val="302" w:hRule="exact"/>
        </w:trPr>
        <w:tc>
          <w:tcPr>
            <w:tcW w:w="4125" w:type="dxa"/>
            <w:gridSpan w:val="2"/>
          </w:tcPr>
          <w:p>
            <w:pPr>
              <w:pStyle w:val="TableParagraph"/>
              <w:spacing w:before="20"/>
              <w:ind w:left="177"/>
              <w:rPr>
                <w:sz w:val="20"/>
              </w:rPr>
            </w:pPr>
            <w:r>
              <w:rPr>
                <w:w w:val="110"/>
                <w:sz w:val="20"/>
              </w:rPr>
              <w:t>Accelerated depreciation</w:t>
            </w:r>
          </w:p>
        </w:tc>
        <w:tc>
          <w:tcPr>
            <w:tcW w:w="1805" w:type="dxa"/>
          </w:tcPr>
          <w:p>
            <w:pPr>
              <w:pStyle w:val="TableParagraph"/>
              <w:tabs>
                <w:tab w:pos="872" w:val="left" w:leader="none"/>
              </w:tabs>
              <w:spacing w:before="20"/>
              <w:ind w:left="190"/>
              <w:rPr>
                <w:b/>
                <w:sz w:val="20"/>
              </w:rPr>
            </w:pPr>
            <w:r>
              <w:rPr>
                <w:b/>
                <w:w w:val="120"/>
                <w:sz w:val="20"/>
              </w:rPr>
              <w:t>$</w:t>
              <w:tab/>
            </w:r>
            <w:r>
              <w:rPr>
                <w:spacing w:val="4"/>
                <w:w w:val="120"/>
                <w:sz w:val="20"/>
              </w:rPr>
              <w:t>1</w:t>
            </w:r>
            <w:r>
              <w:rPr>
                <w:b/>
                <w:spacing w:val="4"/>
                <w:w w:val="120"/>
                <w:sz w:val="20"/>
              </w:rPr>
              <w:t>,640</w:t>
            </w:r>
          </w:p>
        </w:tc>
        <w:tc>
          <w:tcPr>
            <w:tcW w:w="1750" w:type="dxa"/>
            <w:gridSpan w:val="2"/>
          </w:tcPr>
          <w:p>
            <w:pPr>
              <w:pStyle w:val="TableParagraph"/>
              <w:tabs>
                <w:tab w:pos="977" w:val="left" w:leader="none"/>
              </w:tabs>
              <w:spacing w:before="20"/>
              <w:ind w:left="252"/>
              <w:rPr>
                <w:sz w:val="20"/>
              </w:rPr>
            </w:pPr>
            <w:r>
              <w:rPr>
                <w:w w:val="120"/>
                <w:sz w:val="20"/>
              </w:rPr>
              <w:t>$</w:t>
              <w:tab/>
              <w:t>1,440</w:t>
            </w:r>
          </w:p>
        </w:tc>
      </w:tr>
      <w:tr>
        <w:trPr>
          <w:trHeight w:val="302" w:hRule="exact"/>
        </w:trPr>
        <w:tc>
          <w:tcPr>
            <w:tcW w:w="4125" w:type="dxa"/>
            <w:gridSpan w:val="2"/>
          </w:tcPr>
          <w:p>
            <w:pPr>
              <w:pStyle w:val="TableParagraph"/>
              <w:spacing w:before="20"/>
              <w:ind w:left="177"/>
              <w:rPr>
                <w:sz w:val="20"/>
              </w:rPr>
            </w:pPr>
            <w:r>
              <w:rPr>
                <w:w w:val="105"/>
                <w:sz w:val="20"/>
              </w:rPr>
              <w:t>Scheduled  airframe maintenance</w:t>
            </w:r>
          </w:p>
        </w:tc>
        <w:tc>
          <w:tcPr>
            <w:tcW w:w="1805" w:type="dxa"/>
          </w:tcPr>
          <w:p>
            <w:pPr>
              <w:pStyle w:val="TableParagraph"/>
              <w:spacing w:before="20"/>
              <w:ind w:right="307"/>
              <w:jc w:val="right"/>
              <w:rPr>
                <w:b/>
                <w:sz w:val="20"/>
              </w:rPr>
            </w:pPr>
            <w:r>
              <w:rPr>
                <w:w w:val="120"/>
                <w:sz w:val="20"/>
              </w:rPr>
              <w:t>7</w:t>
            </w:r>
            <w:r>
              <w:rPr>
                <w:b/>
                <w:w w:val="120"/>
                <w:sz w:val="20"/>
              </w:rPr>
              <w:t>7</w:t>
            </w:r>
          </w:p>
        </w:tc>
        <w:tc>
          <w:tcPr>
            <w:tcW w:w="1750" w:type="dxa"/>
            <w:gridSpan w:val="2"/>
          </w:tcPr>
          <w:p>
            <w:pPr>
              <w:pStyle w:val="TableParagraph"/>
              <w:spacing w:before="20"/>
              <w:ind w:right="169"/>
              <w:jc w:val="right"/>
              <w:rPr>
                <w:sz w:val="20"/>
              </w:rPr>
            </w:pPr>
            <w:r>
              <w:rPr>
                <w:w w:val="120"/>
                <w:sz w:val="20"/>
              </w:rPr>
              <w:t>71</w:t>
            </w:r>
          </w:p>
        </w:tc>
      </w:tr>
      <w:tr>
        <w:trPr>
          <w:trHeight w:val="302" w:hRule="exact"/>
        </w:trPr>
        <w:tc>
          <w:tcPr>
            <w:tcW w:w="4125" w:type="dxa"/>
            <w:gridSpan w:val="2"/>
          </w:tcPr>
          <w:p>
            <w:pPr>
              <w:pStyle w:val="TableParagraph"/>
              <w:spacing w:before="20"/>
              <w:ind w:left="177"/>
              <w:rPr>
                <w:sz w:val="20"/>
              </w:rPr>
            </w:pPr>
            <w:r>
              <w:rPr>
                <w:w w:val="105"/>
                <w:sz w:val="20"/>
              </w:rPr>
              <w:t>Fuel hedges</w:t>
            </w:r>
          </w:p>
        </w:tc>
        <w:tc>
          <w:tcPr>
            <w:tcW w:w="1805" w:type="dxa"/>
          </w:tcPr>
          <w:p>
            <w:pPr>
              <w:pStyle w:val="TableParagraph"/>
              <w:spacing w:before="20"/>
              <w:ind w:right="307"/>
              <w:jc w:val="right"/>
              <w:rPr>
                <w:b/>
                <w:sz w:val="20"/>
              </w:rPr>
            </w:pPr>
            <w:r>
              <w:rPr>
                <w:w w:val="120"/>
                <w:sz w:val="20"/>
              </w:rPr>
              <w:t>7</w:t>
            </w:r>
            <w:r>
              <w:rPr>
                <w:b/>
                <w:w w:val="120"/>
                <w:sz w:val="20"/>
              </w:rPr>
              <w:t>9</w:t>
            </w:r>
          </w:p>
        </w:tc>
        <w:tc>
          <w:tcPr>
            <w:tcW w:w="1750" w:type="dxa"/>
            <w:gridSpan w:val="2"/>
          </w:tcPr>
          <w:p>
            <w:pPr>
              <w:pStyle w:val="TableParagraph"/>
              <w:spacing w:before="20"/>
              <w:ind w:right="169"/>
              <w:jc w:val="right"/>
              <w:rPr>
                <w:sz w:val="20"/>
              </w:rPr>
            </w:pPr>
            <w:r>
              <w:rPr>
                <w:w w:val="120"/>
                <w:sz w:val="20"/>
              </w:rPr>
              <w:t>35</w:t>
            </w:r>
          </w:p>
        </w:tc>
      </w:tr>
      <w:tr>
        <w:trPr>
          <w:trHeight w:val="302" w:hRule="exact"/>
        </w:trPr>
        <w:tc>
          <w:tcPr>
            <w:tcW w:w="4125" w:type="dxa"/>
            <w:gridSpan w:val="2"/>
          </w:tcPr>
          <w:p>
            <w:pPr>
              <w:pStyle w:val="TableParagraph"/>
              <w:spacing w:before="20"/>
              <w:ind w:left="179"/>
              <w:rPr>
                <w:sz w:val="20"/>
              </w:rPr>
            </w:pPr>
            <w:r>
              <w:rPr>
                <w:w w:val="110"/>
                <w:sz w:val="20"/>
              </w:rPr>
              <w:t>Other</w:t>
            </w:r>
          </w:p>
        </w:tc>
        <w:tc>
          <w:tcPr>
            <w:tcW w:w="1805" w:type="dxa"/>
          </w:tcPr>
          <w:p>
            <w:pPr>
              <w:pStyle w:val="TableParagraph"/>
              <w:tabs>
                <w:tab w:pos="1171" w:val="left" w:leader="none"/>
              </w:tabs>
              <w:spacing w:before="20"/>
              <w:ind w:right="158"/>
              <w:jc w:val="right"/>
              <w:rPr>
                <w:b/>
                <w:sz w:val="20"/>
              </w:rPr>
            </w:pPr>
            <w:r>
              <w:rPr>
                <w:w w:val="120"/>
                <w:sz w:val="20"/>
                <w:u w:val="single"/>
              </w:rPr>
              <w:t> </w:t>
            </w:r>
            <w:r>
              <w:rPr>
                <w:sz w:val="20"/>
                <w:u w:val="single"/>
              </w:rPr>
              <w:tab/>
            </w:r>
            <w:r>
              <w:rPr>
                <w:spacing w:val="4"/>
                <w:w w:val="120"/>
                <w:sz w:val="20"/>
                <w:u w:val="single"/>
              </w:rPr>
              <w:t>1</w:t>
            </w:r>
            <w:r>
              <w:rPr>
                <w:b/>
                <w:spacing w:val="4"/>
                <w:w w:val="120"/>
                <w:sz w:val="20"/>
                <w:u w:val="single"/>
              </w:rPr>
              <w:t>9</w:t>
            </w:r>
            <w:r>
              <w:rPr>
                <w:b/>
                <w:spacing w:val="-18"/>
                <w:sz w:val="20"/>
                <w:u w:val="single"/>
              </w:rPr>
              <w:t> </w:t>
            </w:r>
          </w:p>
        </w:tc>
        <w:tc>
          <w:tcPr>
            <w:tcW w:w="1750" w:type="dxa"/>
            <w:gridSpan w:val="2"/>
          </w:tcPr>
          <w:p>
            <w:pPr>
              <w:pStyle w:val="TableParagraph"/>
              <w:tabs>
                <w:tab w:pos="1308" w:val="left" w:leader="none"/>
              </w:tabs>
              <w:spacing w:before="20"/>
              <w:ind w:left="118"/>
              <w:rPr>
                <w:sz w:val="20"/>
              </w:rPr>
            </w:pPr>
            <w:r>
              <w:rPr>
                <w:w w:val="120"/>
                <w:sz w:val="20"/>
                <w:u w:val="single"/>
              </w:rPr>
              <w:t> </w:t>
            </w:r>
            <w:r>
              <w:rPr>
                <w:sz w:val="20"/>
                <w:u w:val="single"/>
              </w:rPr>
              <w:tab/>
            </w:r>
            <w:r>
              <w:rPr>
                <w:w w:val="120"/>
                <w:sz w:val="20"/>
                <w:u w:val="single"/>
              </w:rPr>
              <w:t>26</w:t>
            </w:r>
            <w:r>
              <w:rPr>
                <w:spacing w:val="-28"/>
                <w:sz w:val="20"/>
                <w:u w:val="single"/>
              </w:rPr>
              <w:t> </w:t>
            </w:r>
          </w:p>
        </w:tc>
      </w:tr>
      <w:tr>
        <w:trPr>
          <w:trHeight w:val="295" w:hRule="exact"/>
        </w:trPr>
        <w:tc>
          <w:tcPr>
            <w:tcW w:w="4125" w:type="dxa"/>
            <w:gridSpan w:val="2"/>
          </w:tcPr>
          <w:p>
            <w:pPr>
              <w:pStyle w:val="TableParagraph"/>
              <w:spacing w:before="20"/>
              <w:ind w:left="311"/>
              <w:rPr>
                <w:sz w:val="20"/>
              </w:rPr>
            </w:pPr>
            <w:r>
              <w:rPr>
                <w:w w:val="110"/>
                <w:sz w:val="20"/>
              </w:rPr>
              <w:t>Total deferred tax liabilities</w:t>
            </w:r>
          </w:p>
        </w:tc>
        <w:tc>
          <w:tcPr>
            <w:tcW w:w="1805" w:type="dxa"/>
          </w:tcPr>
          <w:p>
            <w:pPr>
              <w:pStyle w:val="TableParagraph"/>
              <w:spacing w:before="20"/>
              <w:ind w:right="306"/>
              <w:jc w:val="right"/>
              <w:rPr>
                <w:b/>
                <w:sz w:val="20"/>
              </w:rPr>
            </w:pPr>
            <w:r>
              <w:rPr>
                <w:w w:val="120"/>
                <w:sz w:val="20"/>
              </w:rPr>
              <w:t>1</w:t>
            </w:r>
            <w:r>
              <w:rPr>
                <w:b/>
                <w:w w:val="120"/>
                <w:sz w:val="20"/>
              </w:rPr>
              <w:t>,815</w:t>
            </w:r>
          </w:p>
        </w:tc>
        <w:tc>
          <w:tcPr>
            <w:tcW w:w="1750" w:type="dxa"/>
            <w:gridSpan w:val="2"/>
          </w:tcPr>
          <w:p>
            <w:pPr>
              <w:pStyle w:val="TableParagraph"/>
              <w:spacing w:before="20"/>
              <w:ind w:left="977"/>
              <w:rPr>
                <w:sz w:val="20"/>
              </w:rPr>
            </w:pPr>
            <w:r>
              <w:rPr>
                <w:w w:val="120"/>
                <w:sz w:val="20"/>
              </w:rPr>
              <w:t>1,572</w:t>
            </w:r>
          </w:p>
        </w:tc>
      </w:tr>
      <w:tr>
        <w:trPr>
          <w:trHeight w:val="585" w:hRule="exact"/>
        </w:trPr>
        <w:tc>
          <w:tcPr>
            <w:tcW w:w="4125" w:type="dxa"/>
            <w:gridSpan w:val="2"/>
          </w:tcPr>
          <w:p>
            <w:pPr>
              <w:pStyle w:val="TableParagraph"/>
              <w:spacing w:before="28"/>
              <w:ind w:left="48"/>
              <w:rPr>
                <w:b/>
                <w:sz w:val="20"/>
              </w:rPr>
            </w:pPr>
            <w:r>
              <w:rPr>
                <w:b/>
                <w:w w:val="95"/>
                <w:sz w:val="20"/>
              </w:rPr>
              <w:t>DEFERRED  TAX ASSETS:</w:t>
            </w:r>
          </w:p>
          <w:p>
            <w:pPr>
              <w:pStyle w:val="TableParagraph"/>
              <w:spacing w:before="53"/>
              <w:ind w:left="176"/>
              <w:rPr>
                <w:sz w:val="20"/>
              </w:rPr>
            </w:pPr>
            <w:r>
              <w:rPr>
                <w:w w:val="110"/>
                <w:sz w:val="20"/>
              </w:rPr>
              <w:t>Deferred gains from sale and</w:t>
            </w:r>
          </w:p>
        </w:tc>
        <w:tc>
          <w:tcPr>
            <w:tcW w:w="1805" w:type="dxa"/>
          </w:tcPr>
          <w:p>
            <w:pPr/>
          </w:p>
        </w:tc>
        <w:tc>
          <w:tcPr>
            <w:tcW w:w="1750" w:type="dxa"/>
            <w:gridSpan w:val="2"/>
          </w:tcPr>
          <w:p>
            <w:pPr/>
          </w:p>
        </w:tc>
      </w:tr>
      <w:tr>
        <w:trPr>
          <w:trHeight w:val="319" w:hRule="exact"/>
        </w:trPr>
        <w:tc>
          <w:tcPr>
            <w:tcW w:w="4125" w:type="dxa"/>
            <w:gridSpan w:val="2"/>
          </w:tcPr>
          <w:p>
            <w:pPr>
              <w:pStyle w:val="TableParagraph"/>
              <w:spacing w:before="13"/>
              <w:ind w:left="310"/>
              <w:rPr>
                <w:sz w:val="20"/>
              </w:rPr>
            </w:pPr>
            <w:r>
              <w:rPr>
                <w:w w:val="110"/>
                <w:sz w:val="20"/>
              </w:rPr>
              <w:t>leaseback of aircraft</w:t>
            </w:r>
          </w:p>
        </w:tc>
        <w:tc>
          <w:tcPr>
            <w:tcW w:w="1805" w:type="dxa"/>
          </w:tcPr>
          <w:p>
            <w:pPr>
              <w:pStyle w:val="TableParagraph"/>
              <w:spacing w:before="13"/>
              <w:ind w:right="307"/>
              <w:jc w:val="right"/>
              <w:rPr>
                <w:b/>
                <w:sz w:val="20"/>
              </w:rPr>
            </w:pPr>
            <w:r>
              <w:rPr>
                <w:w w:val="120"/>
                <w:sz w:val="20"/>
              </w:rPr>
              <w:t>8</w:t>
            </w:r>
            <w:r>
              <w:rPr>
                <w:b/>
                <w:w w:val="120"/>
                <w:sz w:val="20"/>
              </w:rPr>
              <w:t>9</w:t>
            </w:r>
          </w:p>
        </w:tc>
        <w:tc>
          <w:tcPr>
            <w:tcW w:w="1750" w:type="dxa"/>
            <w:gridSpan w:val="2"/>
          </w:tcPr>
          <w:p>
            <w:pPr>
              <w:pStyle w:val="TableParagraph"/>
              <w:spacing w:before="13"/>
              <w:ind w:right="169"/>
              <w:jc w:val="right"/>
              <w:rPr>
                <w:sz w:val="20"/>
              </w:rPr>
            </w:pPr>
            <w:r>
              <w:rPr>
                <w:w w:val="120"/>
                <w:sz w:val="20"/>
              </w:rPr>
              <w:t>96</w:t>
            </w:r>
          </w:p>
        </w:tc>
      </w:tr>
      <w:tr>
        <w:trPr>
          <w:trHeight w:val="312" w:hRule="exact"/>
        </w:trPr>
        <w:tc>
          <w:tcPr>
            <w:tcW w:w="4125" w:type="dxa"/>
            <w:gridSpan w:val="2"/>
          </w:tcPr>
          <w:p>
            <w:pPr>
              <w:pStyle w:val="TableParagraph"/>
              <w:spacing w:before="30"/>
              <w:ind w:left="177"/>
              <w:rPr>
                <w:sz w:val="20"/>
              </w:rPr>
            </w:pPr>
            <w:r>
              <w:rPr>
                <w:w w:val="110"/>
                <w:sz w:val="20"/>
              </w:rPr>
              <w:t>Capital and operating leases</w:t>
            </w:r>
          </w:p>
        </w:tc>
        <w:tc>
          <w:tcPr>
            <w:tcW w:w="1805" w:type="dxa"/>
          </w:tcPr>
          <w:p>
            <w:pPr>
              <w:pStyle w:val="TableParagraph"/>
              <w:spacing w:before="30"/>
              <w:ind w:right="307"/>
              <w:jc w:val="right"/>
              <w:rPr>
                <w:b/>
                <w:sz w:val="20"/>
              </w:rPr>
            </w:pPr>
            <w:r>
              <w:rPr>
                <w:w w:val="120"/>
                <w:sz w:val="20"/>
              </w:rPr>
              <w:t>7</w:t>
            </w:r>
            <w:r>
              <w:rPr>
                <w:b/>
                <w:w w:val="120"/>
                <w:sz w:val="20"/>
              </w:rPr>
              <w:t>3</w:t>
            </w:r>
          </w:p>
        </w:tc>
        <w:tc>
          <w:tcPr>
            <w:tcW w:w="1750" w:type="dxa"/>
            <w:gridSpan w:val="2"/>
          </w:tcPr>
          <w:p>
            <w:pPr>
              <w:pStyle w:val="TableParagraph"/>
              <w:spacing w:before="30"/>
              <w:ind w:right="169"/>
              <w:jc w:val="right"/>
              <w:rPr>
                <w:sz w:val="20"/>
              </w:rPr>
            </w:pPr>
            <w:r>
              <w:rPr>
                <w:w w:val="120"/>
                <w:sz w:val="20"/>
              </w:rPr>
              <w:t>77</w:t>
            </w:r>
          </w:p>
        </w:tc>
      </w:tr>
      <w:tr>
        <w:trPr>
          <w:trHeight w:val="302" w:hRule="exact"/>
        </w:trPr>
        <w:tc>
          <w:tcPr>
            <w:tcW w:w="4125" w:type="dxa"/>
            <w:gridSpan w:val="2"/>
          </w:tcPr>
          <w:p>
            <w:pPr>
              <w:pStyle w:val="TableParagraph"/>
              <w:spacing w:before="20"/>
              <w:ind w:left="177"/>
              <w:rPr>
                <w:sz w:val="20"/>
              </w:rPr>
            </w:pPr>
            <w:r>
              <w:rPr>
                <w:w w:val="110"/>
                <w:sz w:val="20"/>
              </w:rPr>
              <w:t>Accrued employee benefits</w:t>
            </w:r>
          </w:p>
        </w:tc>
        <w:tc>
          <w:tcPr>
            <w:tcW w:w="1805" w:type="dxa"/>
          </w:tcPr>
          <w:p>
            <w:pPr>
              <w:pStyle w:val="TableParagraph"/>
              <w:spacing w:before="20"/>
              <w:ind w:right="306"/>
              <w:jc w:val="right"/>
              <w:rPr>
                <w:b/>
                <w:sz w:val="20"/>
              </w:rPr>
            </w:pPr>
            <w:r>
              <w:rPr>
                <w:w w:val="120"/>
                <w:sz w:val="20"/>
              </w:rPr>
              <w:t>1</w:t>
            </w:r>
            <w:r>
              <w:rPr>
                <w:b/>
                <w:w w:val="120"/>
                <w:sz w:val="20"/>
              </w:rPr>
              <w:t>08</w:t>
            </w:r>
          </w:p>
        </w:tc>
        <w:tc>
          <w:tcPr>
            <w:tcW w:w="1750" w:type="dxa"/>
            <w:gridSpan w:val="2"/>
          </w:tcPr>
          <w:p>
            <w:pPr>
              <w:pStyle w:val="TableParagraph"/>
              <w:spacing w:before="20"/>
              <w:ind w:right="169"/>
              <w:jc w:val="right"/>
              <w:rPr>
                <w:sz w:val="20"/>
              </w:rPr>
            </w:pPr>
            <w:r>
              <w:rPr>
                <w:w w:val="120"/>
                <w:sz w:val="20"/>
              </w:rPr>
              <w:t>86</w:t>
            </w:r>
          </w:p>
        </w:tc>
      </w:tr>
      <w:tr>
        <w:trPr>
          <w:trHeight w:val="290" w:hRule="exact"/>
        </w:trPr>
        <w:tc>
          <w:tcPr>
            <w:tcW w:w="4125" w:type="dxa"/>
            <w:gridSpan w:val="2"/>
          </w:tcPr>
          <w:p>
            <w:pPr>
              <w:pStyle w:val="TableParagraph"/>
              <w:spacing w:before="20"/>
              <w:ind w:left="177"/>
              <w:rPr>
                <w:sz w:val="20"/>
              </w:rPr>
            </w:pPr>
            <w:r>
              <w:rPr>
                <w:w w:val="110"/>
                <w:sz w:val="20"/>
              </w:rPr>
              <w:t>State taxes</w:t>
            </w:r>
          </w:p>
        </w:tc>
        <w:tc>
          <w:tcPr>
            <w:tcW w:w="1805" w:type="dxa"/>
          </w:tcPr>
          <w:p>
            <w:pPr>
              <w:pStyle w:val="TableParagraph"/>
              <w:spacing w:before="20"/>
              <w:ind w:right="307"/>
              <w:jc w:val="right"/>
              <w:rPr>
                <w:b/>
                <w:sz w:val="20"/>
              </w:rPr>
            </w:pPr>
            <w:r>
              <w:rPr>
                <w:w w:val="120"/>
                <w:sz w:val="20"/>
              </w:rPr>
              <w:t>4</w:t>
            </w:r>
            <w:r>
              <w:rPr>
                <w:b/>
                <w:w w:val="120"/>
                <w:sz w:val="20"/>
              </w:rPr>
              <w:t>7</w:t>
            </w:r>
          </w:p>
        </w:tc>
        <w:tc>
          <w:tcPr>
            <w:tcW w:w="1750" w:type="dxa"/>
            <w:gridSpan w:val="2"/>
          </w:tcPr>
          <w:p>
            <w:pPr>
              <w:pStyle w:val="TableParagraph"/>
              <w:spacing w:before="20"/>
              <w:ind w:right="169"/>
              <w:jc w:val="right"/>
              <w:rPr>
                <w:sz w:val="20"/>
              </w:rPr>
            </w:pPr>
            <w:r>
              <w:rPr>
                <w:w w:val="120"/>
                <w:sz w:val="20"/>
              </w:rPr>
              <w:t>43</w:t>
            </w:r>
          </w:p>
        </w:tc>
      </w:tr>
      <w:tr>
        <w:trPr>
          <w:trHeight w:val="278" w:hRule="exact"/>
        </w:trPr>
        <w:tc>
          <w:tcPr>
            <w:tcW w:w="4125" w:type="dxa"/>
            <w:gridSpan w:val="2"/>
          </w:tcPr>
          <w:p>
            <w:pPr>
              <w:pStyle w:val="TableParagraph"/>
              <w:spacing w:before="8"/>
              <w:ind w:left="179"/>
              <w:rPr>
                <w:sz w:val="20"/>
              </w:rPr>
            </w:pPr>
            <w:r>
              <w:rPr>
                <w:w w:val="110"/>
                <w:sz w:val="20"/>
              </w:rPr>
              <w:t>Other</w:t>
            </w:r>
          </w:p>
        </w:tc>
        <w:tc>
          <w:tcPr>
            <w:tcW w:w="1805" w:type="dxa"/>
          </w:tcPr>
          <w:p>
            <w:pPr>
              <w:pStyle w:val="TableParagraph"/>
              <w:tabs>
                <w:tab w:pos="1171" w:val="left" w:leader="none"/>
              </w:tabs>
              <w:spacing w:before="8"/>
              <w:ind w:right="158"/>
              <w:jc w:val="right"/>
              <w:rPr>
                <w:b/>
                <w:sz w:val="20"/>
              </w:rPr>
            </w:pPr>
            <w:r>
              <w:rPr>
                <w:w w:val="120"/>
                <w:sz w:val="20"/>
                <w:u w:val="single"/>
              </w:rPr>
              <w:t> </w:t>
            </w:r>
            <w:r>
              <w:rPr>
                <w:sz w:val="20"/>
                <w:u w:val="single"/>
              </w:rPr>
              <w:tab/>
            </w:r>
            <w:r>
              <w:rPr>
                <w:spacing w:val="4"/>
                <w:w w:val="120"/>
                <w:sz w:val="20"/>
                <w:u w:val="single"/>
              </w:rPr>
              <w:t>4</w:t>
            </w:r>
            <w:r>
              <w:rPr>
                <w:b/>
                <w:spacing w:val="4"/>
                <w:w w:val="120"/>
                <w:sz w:val="20"/>
                <w:u w:val="single"/>
              </w:rPr>
              <w:t>0</w:t>
            </w:r>
            <w:r>
              <w:rPr>
                <w:b/>
                <w:spacing w:val="-18"/>
                <w:sz w:val="20"/>
                <w:u w:val="single"/>
              </w:rPr>
              <w:t> </w:t>
            </w:r>
          </w:p>
        </w:tc>
        <w:tc>
          <w:tcPr>
            <w:tcW w:w="1750" w:type="dxa"/>
            <w:gridSpan w:val="2"/>
          </w:tcPr>
          <w:p>
            <w:pPr>
              <w:pStyle w:val="TableParagraph"/>
              <w:tabs>
                <w:tab w:pos="1308" w:val="left" w:leader="none"/>
              </w:tabs>
              <w:spacing w:before="8"/>
              <w:ind w:left="118"/>
              <w:rPr>
                <w:sz w:val="20"/>
              </w:rPr>
            </w:pPr>
            <w:r>
              <w:rPr>
                <w:w w:val="120"/>
                <w:sz w:val="20"/>
                <w:u w:val="single"/>
              </w:rPr>
              <w:t> </w:t>
            </w:r>
            <w:r>
              <w:rPr>
                <w:sz w:val="20"/>
                <w:u w:val="single"/>
              </w:rPr>
              <w:tab/>
            </w:r>
            <w:r>
              <w:rPr>
                <w:w w:val="120"/>
                <w:sz w:val="20"/>
                <w:u w:val="single"/>
              </w:rPr>
              <w:t>37</w:t>
            </w:r>
            <w:r>
              <w:rPr>
                <w:spacing w:val="-28"/>
                <w:sz w:val="20"/>
                <w:u w:val="single"/>
              </w:rPr>
              <w:t> </w:t>
            </w:r>
          </w:p>
        </w:tc>
      </w:tr>
      <w:tr>
        <w:trPr>
          <w:trHeight w:val="278" w:hRule="exact"/>
        </w:trPr>
        <w:tc>
          <w:tcPr>
            <w:tcW w:w="4125" w:type="dxa"/>
            <w:gridSpan w:val="2"/>
          </w:tcPr>
          <w:p>
            <w:pPr>
              <w:pStyle w:val="TableParagraph"/>
              <w:spacing w:before="8"/>
              <w:ind w:left="309"/>
              <w:rPr>
                <w:sz w:val="20"/>
              </w:rPr>
            </w:pPr>
            <w:r>
              <w:rPr>
                <w:w w:val="110"/>
                <w:sz w:val="20"/>
              </w:rPr>
              <w:t>Total deferred tax assets</w:t>
            </w:r>
          </w:p>
        </w:tc>
        <w:tc>
          <w:tcPr>
            <w:tcW w:w="1805" w:type="dxa"/>
          </w:tcPr>
          <w:p>
            <w:pPr>
              <w:pStyle w:val="TableParagraph"/>
              <w:tabs>
                <w:tab w:pos="1031" w:val="left" w:leader="none"/>
              </w:tabs>
              <w:spacing w:before="8"/>
              <w:ind w:right="158"/>
              <w:jc w:val="right"/>
              <w:rPr>
                <w:b/>
                <w:sz w:val="20"/>
              </w:rPr>
            </w:pPr>
            <w:r>
              <w:rPr>
                <w:w w:val="120"/>
                <w:sz w:val="20"/>
                <w:u w:val="single"/>
              </w:rPr>
              <w:t> </w:t>
            </w:r>
            <w:r>
              <w:rPr>
                <w:sz w:val="20"/>
                <w:u w:val="single"/>
              </w:rPr>
              <w:tab/>
            </w:r>
            <w:r>
              <w:rPr>
                <w:spacing w:val="4"/>
                <w:w w:val="120"/>
                <w:sz w:val="20"/>
                <w:u w:val="single"/>
              </w:rPr>
              <w:t>3</w:t>
            </w:r>
            <w:r>
              <w:rPr>
                <w:b/>
                <w:spacing w:val="4"/>
                <w:w w:val="120"/>
                <w:sz w:val="20"/>
                <w:u w:val="single"/>
              </w:rPr>
              <w:t>57</w:t>
            </w:r>
            <w:r>
              <w:rPr>
                <w:b/>
                <w:spacing w:val="-19"/>
                <w:sz w:val="20"/>
                <w:u w:val="single"/>
              </w:rPr>
              <w:t> </w:t>
            </w:r>
          </w:p>
        </w:tc>
        <w:tc>
          <w:tcPr>
            <w:tcW w:w="1750" w:type="dxa"/>
            <w:gridSpan w:val="2"/>
          </w:tcPr>
          <w:p>
            <w:pPr>
              <w:pStyle w:val="TableParagraph"/>
              <w:tabs>
                <w:tab w:pos="1174" w:val="left" w:leader="none"/>
              </w:tabs>
              <w:spacing w:before="8"/>
              <w:ind w:left="118"/>
              <w:rPr>
                <w:sz w:val="20"/>
              </w:rPr>
            </w:pPr>
            <w:r>
              <w:rPr>
                <w:w w:val="120"/>
                <w:sz w:val="20"/>
                <w:u w:val="single"/>
              </w:rPr>
              <w:t> </w:t>
            </w:r>
            <w:r>
              <w:rPr>
                <w:sz w:val="20"/>
                <w:u w:val="single"/>
              </w:rPr>
              <w:tab/>
            </w:r>
            <w:r>
              <w:rPr>
                <w:w w:val="120"/>
                <w:sz w:val="20"/>
                <w:u w:val="single"/>
              </w:rPr>
              <w:t>339</w:t>
            </w:r>
            <w:r>
              <w:rPr>
                <w:spacing w:val="27"/>
                <w:sz w:val="20"/>
                <w:u w:val="single"/>
              </w:rPr>
              <w:t> </w:t>
            </w:r>
          </w:p>
        </w:tc>
      </w:tr>
      <w:tr>
        <w:trPr>
          <w:trHeight w:val="283" w:hRule="exact"/>
        </w:trPr>
        <w:tc>
          <w:tcPr>
            <w:tcW w:w="4125" w:type="dxa"/>
            <w:gridSpan w:val="2"/>
          </w:tcPr>
          <w:p>
            <w:pPr>
              <w:pStyle w:val="TableParagraph"/>
              <w:spacing w:before="8"/>
              <w:ind w:left="311"/>
              <w:rPr>
                <w:sz w:val="20"/>
              </w:rPr>
            </w:pPr>
            <w:r>
              <w:rPr>
                <w:w w:val="115"/>
                <w:sz w:val="20"/>
              </w:rPr>
              <w:t>Net deferred tax liability</w:t>
            </w:r>
          </w:p>
        </w:tc>
        <w:tc>
          <w:tcPr>
            <w:tcW w:w="1805" w:type="dxa"/>
          </w:tcPr>
          <w:p>
            <w:pPr>
              <w:pStyle w:val="TableParagraph"/>
              <w:tabs>
                <w:tab w:pos="825" w:val="left" w:leader="none"/>
              </w:tabs>
              <w:spacing w:before="8"/>
              <w:ind w:right="158"/>
              <w:jc w:val="right"/>
              <w:rPr>
                <w:b/>
                <w:sz w:val="20"/>
              </w:rPr>
            </w:pPr>
            <w:r>
              <w:rPr>
                <w:b/>
                <w:w w:val="120"/>
                <w:sz w:val="20"/>
                <w:u w:val="thick"/>
              </w:rPr>
              <w:t> </w:t>
            </w:r>
            <w:r>
              <w:rPr>
                <w:b/>
                <w:spacing w:val="21"/>
                <w:sz w:val="20"/>
                <w:u w:val="thick"/>
              </w:rPr>
              <w:t> </w:t>
            </w:r>
            <w:r>
              <w:rPr>
                <w:b/>
                <w:w w:val="120"/>
                <w:sz w:val="20"/>
                <w:u w:val="thick"/>
              </w:rPr>
              <w:t>$</w:t>
              <w:tab/>
            </w:r>
            <w:r>
              <w:rPr>
                <w:spacing w:val="4"/>
                <w:w w:val="120"/>
                <w:sz w:val="20"/>
                <w:u w:val="thick"/>
              </w:rPr>
              <w:t>1</w:t>
            </w:r>
            <w:r>
              <w:rPr>
                <w:b/>
                <w:spacing w:val="4"/>
                <w:w w:val="120"/>
                <w:sz w:val="20"/>
                <w:u w:val="thick"/>
              </w:rPr>
              <w:t>,458</w:t>
            </w:r>
            <w:r>
              <w:rPr>
                <w:b/>
                <w:spacing w:val="-19"/>
                <w:sz w:val="20"/>
                <w:u w:val="thick"/>
              </w:rPr>
              <w:t> </w:t>
            </w:r>
          </w:p>
        </w:tc>
        <w:tc>
          <w:tcPr>
            <w:tcW w:w="1750" w:type="dxa"/>
            <w:gridSpan w:val="2"/>
          </w:tcPr>
          <w:p>
            <w:pPr>
              <w:pStyle w:val="TableParagraph"/>
              <w:tabs>
                <w:tab w:pos="977" w:val="left" w:leader="none"/>
              </w:tabs>
              <w:spacing w:before="8"/>
              <w:ind w:left="118"/>
              <w:rPr>
                <w:sz w:val="20"/>
              </w:rPr>
            </w:pPr>
            <w:r>
              <w:rPr>
                <w:w w:val="120"/>
                <w:sz w:val="20"/>
                <w:u w:val="thick"/>
              </w:rPr>
              <w:t> </w:t>
            </w:r>
            <w:r>
              <w:rPr>
                <w:spacing w:val="11"/>
                <w:sz w:val="20"/>
                <w:u w:val="thick"/>
              </w:rPr>
              <w:t> </w:t>
            </w:r>
            <w:r>
              <w:rPr>
                <w:w w:val="120"/>
                <w:sz w:val="20"/>
                <w:u w:val="thick"/>
              </w:rPr>
              <w:t>$</w:t>
              <w:tab/>
              <w:t>1,233</w:t>
            </w:r>
            <w:r>
              <w:rPr>
                <w:spacing w:val="27"/>
                <w:sz w:val="20"/>
                <w:u w:val="thick"/>
              </w:rPr>
              <w:t> </w:t>
            </w:r>
          </w:p>
        </w:tc>
      </w:tr>
      <w:tr>
        <w:trPr>
          <w:trHeight w:val="667" w:hRule="exact"/>
        </w:trPr>
        <w:tc>
          <w:tcPr>
            <w:tcW w:w="7679" w:type="dxa"/>
            <w:gridSpan w:val="5"/>
          </w:tcPr>
          <w:p>
            <w:pPr>
              <w:pStyle w:val="TableParagraph"/>
              <w:spacing w:before="183"/>
              <w:ind w:left="-10"/>
              <w:rPr>
                <w:rFonts w:ascii="Times New Roman"/>
                <w:sz w:val="21"/>
              </w:rPr>
            </w:pPr>
            <w:r>
              <w:rPr>
                <w:rFonts w:ascii="Times New Roman"/>
                <w:w w:val="105"/>
                <w:sz w:val="21"/>
              </w:rPr>
              <w:t>The provision for income taxes is composed of the following:</w:t>
            </w:r>
          </w:p>
        </w:tc>
      </w:tr>
      <w:tr>
        <w:trPr>
          <w:trHeight w:val="343" w:hRule="exact"/>
        </w:trPr>
        <w:tc>
          <w:tcPr>
            <w:tcW w:w="2628" w:type="dxa"/>
            <w:tcBorders>
              <w:top w:val="single" w:sz="8" w:space="0" w:color="000000"/>
            </w:tcBorders>
          </w:tcPr>
          <w:p>
            <w:pPr>
              <w:pStyle w:val="TableParagraph"/>
              <w:spacing w:before="52"/>
              <w:ind w:left="43"/>
              <w:rPr>
                <w:sz w:val="20"/>
              </w:rPr>
            </w:pPr>
            <w:r>
              <w:rPr>
                <w:w w:val="110"/>
                <w:sz w:val="20"/>
              </w:rPr>
              <w:t>(In millions)</w:t>
            </w:r>
          </w:p>
        </w:tc>
        <w:tc>
          <w:tcPr>
            <w:tcW w:w="1496" w:type="dxa"/>
            <w:tcBorders>
              <w:top w:val="single" w:sz="8" w:space="0" w:color="000000"/>
            </w:tcBorders>
          </w:tcPr>
          <w:p>
            <w:pPr>
              <w:pStyle w:val="TableParagraph"/>
              <w:spacing w:before="52"/>
              <w:ind w:left="421"/>
              <w:rPr>
                <w:b/>
                <w:sz w:val="20"/>
              </w:rPr>
            </w:pPr>
            <w:r>
              <w:rPr>
                <w:w w:val="120"/>
                <w:sz w:val="20"/>
              </w:rPr>
              <w:t>2</w:t>
            </w:r>
            <w:r>
              <w:rPr>
                <w:b/>
                <w:w w:val="120"/>
                <w:sz w:val="20"/>
              </w:rPr>
              <w:t>003</w:t>
            </w:r>
          </w:p>
        </w:tc>
        <w:tc>
          <w:tcPr>
            <w:tcW w:w="1805" w:type="dxa"/>
            <w:tcBorders>
              <w:top w:val="single" w:sz="8" w:space="0" w:color="000000"/>
            </w:tcBorders>
          </w:tcPr>
          <w:p>
            <w:pPr>
              <w:pStyle w:val="TableParagraph"/>
              <w:spacing w:before="52"/>
              <w:ind w:left="631" w:right="599"/>
              <w:jc w:val="center"/>
              <w:rPr>
                <w:b/>
                <w:sz w:val="20"/>
              </w:rPr>
            </w:pPr>
            <w:r>
              <w:rPr>
                <w:b/>
                <w:w w:val="120"/>
                <w:sz w:val="20"/>
              </w:rPr>
              <w:t>2002</w:t>
            </w:r>
          </w:p>
        </w:tc>
        <w:tc>
          <w:tcPr>
            <w:tcW w:w="1629" w:type="dxa"/>
            <w:tcBorders>
              <w:top w:val="single" w:sz="8" w:space="0" w:color="000000"/>
            </w:tcBorders>
          </w:tcPr>
          <w:p>
            <w:pPr>
              <w:pStyle w:val="TableParagraph"/>
              <w:spacing w:before="52"/>
              <w:ind w:left="559"/>
              <w:rPr>
                <w:b/>
                <w:sz w:val="20"/>
              </w:rPr>
            </w:pPr>
            <w:r>
              <w:rPr>
                <w:b/>
                <w:w w:val="120"/>
                <w:sz w:val="20"/>
              </w:rPr>
              <w:t>2001</w:t>
            </w:r>
          </w:p>
        </w:tc>
        <w:tc>
          <w:tcPr>
            <w:tcW w:w="120" w:type="dxa"/>
          </w:tcPr>
          <w:p>
            <w:pPr/>
          </w:p>
        </w:tc>
      </w:tr>
      <w:tr>
        <w:trPr>
          <w:trHeight w:val="302" w:hRule="exact"/>
        </w:trPr>
        <w:tc>
          <w:tcPr>
            <w:tcW w:w="2628" w:type="dxa"/>
          </w:tcPr>
          <w:p>
            <w:pPr>
              <w:pStyle w:val="TableParagraph"/>
              <w:spacing w:before="20"/>
              <w:ind w:left="48"/>
              <w:rPr>
                <w:b/>
                <w:sz w:val="20"/>
              </w:rPr>
            </w:pPr>
            <w:r>
              <w:rPr>
                <w:b/>
                <w:sz w:val="20"/>
              </w:rPr>
              <w:t>CURRENT:</w:t>
            </w:r>
          </w:p>
        </w:tc>
        <w:tc>
          <w:tcPr>
            <w:tcW w:w="1496" w:type="dxa"/>
          </w:tcPr>
          <w:p>
            <w:pPr/>
          </w:p>
        </w:tc>
        <w:tc>
          <w:tcPr>
            <w:tcW w:w="1805" w:type="dxa"/>
          </w:tcPr>
          <w:p>
            <w:pPr/>
          </w:p>
        </w:tc>
        <w:tc>
          <w:tcPr>
            <w:tcW w:w="1629" w:type="dxa"/>
          </w:tcPr>
          <w:p>
            <w:pPr/>
          </w:p>
        </w:tc>
        <w:tc>
          <w:tcPr>
            <w:tcW w:w="120" w:type="dxa"/>
          </w:tcPr>
          <w:p>
            <w:pPr/>
          </w:p>
        </w:tc>
      </w:tr>
      <w:tr>
        <w:trPr>
          <w:trHeight w:val="302" w:hRule="exact"/>
        </w:trPr>
        <w:tc>
          <w:tcPr>
            <w:tcW w:w="2628" w:type="dxa"/>
          </w:tcPr>
          <w:p>
            <w:pPr>
              <w:pStyle w:val="TableParagraph"/>
              <w:spacing w:before="20"/>
              <w:ind w:left="176"/>
              <w:rPr>
                <w:sz w:val="20"/>
              </w:rPr>
            </w:pPr>
            <w:r>
              <w:rPr>
                <w:w w:val="105"/>
                <w:sz w:val="20"/>
              </w:rPr>
              <w:t>Federal</w:t>
            </w:r>
          </w:p>
        </w:tc>
        <w:tc>
          <w:tcPr>
            <w:tcW w:w="1496" w:type="dxa"/>
          </w:tcPr>
          <w:p>
            <w:pPr>
              <w:pStyle w:val="TableParagraph"/>
              <w:tabs>
                <w:tab w:pos="1022" w:val="left" w:leader="none"/>
              </w:tabs>
              <w:spacing w:before="20"/>
              <w:ind w:left="176"/>
              <w:rPr>
                <w:b/>
                <w:sz w:val="20"/>
              </w:rPr>
            </w:pPr>
            <w:r>
              <w:rPr>
                <w:b/>
                <w:w w:val="120"/>
                <w:sz w:val="20"/>
              </w:rPr>
              <w:t>$</w:t>
              <w:tab/>
            </w:r>
            <w:r>
              <w:rPr>
                <w:spacing w:val="4"/>
                <w:w w:val="120"/>
                <w:sz w:val="20"/>
              </w:rPr>
              <w:t>7</w:t>
            </w:r>
            <w:r>
              <w:rPr>
                <w:b/>
                <w:spacing w:val="4"/>
                <w:w w:val="120"/>
                <w:sz w:val="20"/>
              </w:rPr>
              <w:t>3</w:t>
            </w:r>
          </w:p>
        </w:tc>
        <w:tc>
          <w:tcPr>
            <w:tcW w:w="1805" w:type="dxa"/>
          </w:tcPr>
          <w:p>
            <w:pPr>
              <w:pStyle w:val="TableParagraph"/>
              <w:tabs>
                <w:tab w:pos="821" w:val="left" w:leader="none"/>
              </w:tabs>
              <w:spacing w:before="20"/>
              <w:ind w:right="163"/>
              <w:jc w:val="right"/>
              <w:rPr>
                <w:sz w:val="20"/>
              </w:rPr>
            </w:pPr>
            <w:r>
              <w:rPr>
                <w:w w:val="125"/>
                <w:sz w:val="20"/>
              </w:rPr>
              <w:t>$</w:t>
              <w:tab/>
            </w:r>
            <w:r>
              <w:rPr>
                <w:spacing w:val="-1"/>
                <w:w w:val="125"/>
                <w:sz w:val="20"/>
              </w:rPr>
              <w:t>(19)</w:t>
            </w:r>
          </w:p>
        </w:tc>
        <w:tc>
          <w:tcPr>
            <w:tcW w:w="1629" w:type="dxa"/>
          </w:tcPr>
          <w:p>
            <w:pPr>
              <w:pStyle w:val="TableParagraph"/>
              <w:tabs>
                <w:tab w:pos="1187" w:val="left" w:leader="none"/>
              </w:tabs>
              <w:spacing w:before="20"/>
              <w:ind w:left="294"/>
              <w:rPr>
                <w:sz w:val="20"/>
              </w:rPr>
            </w:pPr>
            <w:r>
              <w:rPr>
                <w:w w:val="120"/>
                <w:sz w:val="20"/>
              </w:rPr>
              <w:t>$</w:t>
              <w:tab/>
              <w:t>99</w:t>
            </w:r>
          </w:p>
        </w:tc>
        <w:tc>
          <w:tcPr>
            <w:tcW w:w="120" w:type="dxa"/>
          </w:tcPr>
          <w:p>
            <w:pPr/>
          </w:p>
        </w:tc>
      </w:tr>
      <w:tr>
        <w:trPr>
          <w:trHeight w:val="302" w:hRule="exact"/>
        </w:trPr>
        <w:tc>
          <w:tcPr>
            <w:tcW w:w="2628" w:type="dxa"/>
          </w:tcPr>
          <w:p>
            <w:pPr>
              <w:pStyle w:val="TableParagraph"/>
              <w:spacing w:before="20"/>
              <w:ind w:left="177"/>
              <w:rPr>
                <w:sz w:val="20"/>
              </w:rPr>
            </w:pPr>
            <w:r>
              <w:rPr>
                <w:w w:val="115"/>
                <w:sz w:val="20"/>
              </w:rPr>
              <w:t>State</w:t>
            </w:r>
          </w:p>
        </w:tc>
        <w:tc>
          <w:tcPr>
            <w:tcW w:w="1496" w:type="dxa"/>
          </w:tcPr>
          <w:p>
            <w:pPr>
              <w:pStyle w:val="TableParagraph"/>
              <w:tabs>
                <w:tab w:pos="1022" w:val="left" w:leader="none"/>
              </w:tabs>
              <w:spacing w:before="20"/>
              <w:ind w:left="32"/>
              <w:rPr>
                <w:b/>
                <w:sz w:val="20"/>
              </w:rPr>
            </w:pPr>
            <w:r>
              <w:rPr>
                <w:w w:val="121"/>
                <w:sz w:val="20"/>
                <w:u w:val="single"/>
              </w:rPr>
              <w:t> </w:t>
            </w:r>
            <w:r>
              <w:rPr>
                <w:sz w:val="20"/>
                <w:u w:val="single"/>
              </w:rPr>
              <w:tab/>
            </w:r>
            <w:r>
              <w:rPr>
                <w:spacing w:val="4"/>
                <w:w w:val="120"/>
                <w:sz w:val="20"/>
                <w:u w:val="single"/>
              </w:rPr>
              <w:t>1</w:t>
            </w:r>
            <w:r>
              <w:rPr>
                <w:b/>
                <w:spacing w:val="4"/>
                <w:w w:val="120"/>
                <w:sz w:val="20"/>
                <w:u w:val="single"/>
              </w:rPr>
              <w:t>0</w:t>
            </w:r>
            <w:r>
              <w:rPr>
                <w:b/>
                <w:spacing w:val="-18"/>
                <w:sz w:val="20"/>
                <w:u w:val="single"/>
              </w:rPr>
              <w:t> </w:t>
            </w:r>
          </w:p>
        </w:tc>
        <w:tc>
          <w:tcPr>
            <w:tcW w:w="1805" w:type="dxa"/>
          </w:tcPr>
          <w:p>
            <w:pPr>
              <w:pStyle w:val="TableParagraph"/>
              <w:tabs>
                <w:tab w:pos="1181" w:val="left" w:leader="none"/>
              </w:tabs>
              <w:spacing w:before="20"/>
              <w:ind w:right="116"/>
              <w:jc w:val="right"/>
              <w:rPr>
                <w:sz w:val="20"/>
              </w:rPr>
            </w:pPr>
            <w:r>
              <w:rPr>
                <w:w w:val="121"/>
                <w:sz w:val="20"/>
                <w:u w:val="single"/>
              </w:rPr>
              <w:t> </w:t>
            </w:r>
            <w:r>
              <w:rPr>
                <w:sz w:val="20"/>
                <w:u w:val="single"/>
              </w:rPr>
              <w:tab/>
            </w:r>
            <w:r>
              <w:rPr>
                <w:w w:val="120"/>
                <w:sz w:val="20"/>
                <w:u w:val="single"/>
              </w:rPr>
              <w:t>1</w:t>
            </w:r>
            <w:r>
              <w:rPr>
                <w:spacing w:val="-28"/>
                <w:sz w:val="20"/>
                <w:u w:val="single"/>
              </w:rPr>
              <w:t> </w:t>
            </w:r>
          </w:p>
        </w:tc>
        <w:tc>
          <w:tcPr>
            <w:tcW w:w="1629" w:type="dxa"/>
          </w:tcPr>
          <w:p>
            <w:pPr>
              <w:pStyle w:val="TableParagraph"/>
              <w:tabs>
                <w:tab w:pos="1026" w:val="left" w:leader="none"/>
              </w:tabs>
              <w:spacing w:before="20"/>
              <w:ind w:right="30"/>
              <w:jc w:val="right"/>
              <w:rPr>
                <w:sz w:val="20"/>
              </w:rPr>
            </w:pPr>
            <w:r>
              <w:rPr>
                <w:w w:val="121"/>
                <w:sz w:val="20"/>
                <w:u w:val="single"/>
              </w:rPr>
              <w:t> </w:t>
            </w:r>
            <w:r>
              <w:rPr>
                <w:sz w:val="20"/>
                <w:u w:val="single"/>
              </w:rPr>
              <w:tab/>
            </w:r>
            <w:r>
              <w:rPr>
                <w:spacing w:val="-1"/>
                <w:w w:val="120"/>
                <w:sz w:val="20"/>
                <w:u w:val="single"/>
              </w:rPr>
              <w:t>10</w:t>
            </w:r>
            <w:r>
              <w:rPr>
                <w:spacing w:val="-26"/>
                <w:sz w:val="20"/>
                <w:u w:val="single"/>
              </w:rPr>
              <w:t> </w:t>
            </w:r>
          </w:p>
        </w:tc>
        <w:tc>
          <w:tcPr>
            <w:tcW w:w="120" w:type="dxa"/>
          </w:tcPr>
          <w:p>
            <w:pPr/>
          </w:p>
        </w:tc>
      </w:tr>
      <w:tr>
        <w:trPr>
          <w:trHeight w:val="302" w:hRule="exact"/>
        </w:trPr>
        <w:tc>
          <w:tcPr>
            <w:tcW w:w="2628" w:type="dxa"/>
          </w:tcPr>
          <w:p>
            <w:pPr>
              <w:pStyle w:val="TableParagraph"/>
              <w:spacing w:before="20"/>
              <w:ind w:left="314"/>
              <w:rPr>
                <w:sz w:val="20"/>
              </w:rPr>
            </w:pPr>
            <w:r>
              <w:rPr>
                <w:w w:val="115"/>
                <w:sz w:val="20"/>
              </w:rPr>
              <w:t>Total current</w:t>
            </w:r>
          </w:p>
        </w:tc>
        <w:tc>
          <w:tcPr>
            <w:tcW w:w="1496" w:type="dxa"/>
          </w:tcPr>
          <w:p>
            <w:pPr>
              <w:pStyle w:val="TableParagraph"/>
              <w:spacing w:before="20"/>
              <w:ind w:right="193"/>
              <w:jc w:val="right"/>
              <w:rPr>
                <w:b/>
                <w:sz w:val="20"/>
              </w:rPr>
            </w:pPr>
            <w:r>
              <w:rPr>
                <w:w w:val="120"/>
                <w:sz w:val="20"/>
              </w:rPr>
              <w:t>8</w:t>
            </w:r>
            <w:r>
              <w:rPr>
                <w:b/>
                <w:w w:val="120"/>
                <w:sz w:val="20"/>
              </w:rPr>
              <w:t>3</w:t>
            </w:r>
          </w:p>
        </w:tc>
        <w:tc>
          <w:tcPr>
            <w:tcW w:w="1805" w:type="dxa"/>
          </w:tcPr>
          <w:p>
            <w:pPr>
              <w:pStyle w:val="TableParagraph"/>
              <w:spacing w:before="20"/>
              <w:ind w:right="162"/>
              <w:jc w:val="right"/>
              <w:rPr>
                <w:sz w:val="20"/>
              </w:rPr>
            </w:pPr>
            <w:r>
              <w:rPr>
                <w:w w:val="125"/>
                <w:sz w:val="20"/>
              </w:rPr>
              <w:t>(18)</w:t>
            </w:r>
          </w:p>
        </w:tc>
        <w:tc>
          <w:tcPr>
            <w:tcW w:w="1629" w:type="dxa"/>
          </w:tcPr>
          <w:p>
            <w:pPr>
              <w:pStyle w:val="TableParagraph"/>
              <w:spacing w:before="20"/>
              <w:ind w:right="171"/>
              <w:jc w:val="right"/>
              <w:rPr>
                <w:sz w:val="20"/>
              </w:rPr>
            </w:pPr>
            <w:r>
              <w:rPr>
                <w:w w:val="120"/>
                <w:sz w:val="20"/>
              </w:rPr>
              <w:t>109</w:t>
            </w:r>
          </w:p>
        </w:tc>
        <w:tc>
          <w:tcPr>
            <w:tcW w:w="120" w:type="dxa"/>
          </w:tcPr>
          <w:p>
            <w:pPr/>
          </w:p>
        </w:tc>
      </w:tr>
      <w:tr>
        <w:trPr>
          <w:trHeight w:val="302" w:hRule="exact"/>
        </w:trPr>
        <w:tc>
          <w:tcPr>
            <w:tcW w:w="2628" w:type="dxa"/>
          </w:tcPr>
          <w:p>
            <w:pPr>
              <w:pStyle w:val="TableParagraph"/>
              <w:spacing w:before="20"/>
              <w:ind w:left="48"/>
              <w:rPr>
                <w:b/>
                <w:sz w:val="20"/>
              </w:rPr>
            </w:pPr>
            <w:r>
              <w:rPr>
                <w:b/>
                <w:sz w:val="20"/>
              </w:rPr>
              <w:t>DEFERRED:</w:t>
            </w:r>
          </w:p>
        </w:tc>
        <w:tc>
          <w:tcPr>
            <w:tcW w:w="1496" w:type="dxa"/>
          </w:tcPr>
          <w:p>
            <w:pPr/>
          </w:p>
        </w:tc>
        <w:tc>
          <w:tcPr>
            <w:tcW w:w="1805" w:type="dxa"/>
          </w:tcPr>
          <w:p>
            <w:pPr/>
          </w:p>
        </w:tc>
        <w:tc>
          <w:tcPr>
            <w:tcW w:w="1629" w:type="dxa"/>
          </w:tcPr>
          <w:p>
            <w:pPr/>
          </w:p>
        </w:tc>
        <w:tc>
          <w:tcPr>
            <w:tcW w:w="120" w:type="dxa"/>
          </w:tcPr>
          <w:p>
            <w:pPr/>
          </w:p>
        </w:tc>
      </w:tr>
      <w:tr>
        <w:trPr>
          <w:trHeight w:val="302" w:hRule="exact"/>
        </w:trPr>
        <w:tc>
          <w:tcPr>
            <w:tcW w:w="2628" w:type="dxa"/>
          </w:tcPr>
          <w:p>
            <w:pPr>
              <w:pStyle w:val="TableParagraph"/>
              <w:spacing w:before="20"/>
              <w:ind w:left="176"/>
              <w:rPr>
                <w:sz w:val="20"/>
              </w:rPr>
            </w:pPr>
            <w:r>
              <w:rPr>
                <w:w w:val="105"/>
                <w:sz w:val="20"/>
              </w:rPr>
              <w:t>Federal</w:t>
            </w:r>
          </w:p>
        </w:tc>
        <w:tc>
          <w:tcPr>
            <w:tcW w:w="1496" w:type="dxa"/>
          </w:tcPr>
          <w:p>
            <w:pPr>
              <w:pStyle w:val="TableParagraph"/>
              <w:spacing w:before="20"/>
              <w:ind w:left="882"/>
              <w:rPr>
                <w:b/>
                <w:sz w:val="20"/>
              </w:rPr>
            </w:pPr>
            <w:r>
              <w:rPr>
                <w:w w:val="120"/>
                <w:sz w:val="20"/>
              </w:rPr>
              <w:t>1</w:t>
            </w:r>
            <w:r>
              <w:rPr>
                <w:b/>
                <w:w w:val="120"/>
                <w:sz w:val="20"/>
              </w:rPr>
              <w:t>70</w:t>
            </w:r>
          </w:p>
        </w:tc>
        <w:tc>
          <w:tcPr>
            <w:tcW w:w="1805" w:type="dxa"/>
          </w:tcPr>
          <w:p>
            <w:pPr>
              <w:pStyle w:val="TableParagraph"/>
              <w:spacing w:before="20"/>
              <w:ind w:right="254"/>
              <w:jc w:val="right"/>
              <w:rPr>
                <w:sz w:val="20"/>
              </w:rPr>
            </w:pPr>
            <w:r>
              <w:rPr>
                <w:w w:val="120"/>
                <w:sz w:val="20"/>
              </w:rPr>
              <w:t>157</w:t>
            </w:r>
          </w:p>
        </w:tc>
        <w:tc>
          <w:tcPr>
            <w:tcW w:w="1629" w:type="dxa"/>
          </w:tcPr>
          <w:p>
            <w:pPr>
              <w:pStyle w:val="TableParagraph"/>
              <w:spacing w:before="20"/>
              <w:ind w:right="172"/>
              <w:jc w:val="right"/>
              <w:rPr>
                <w:sz w:val="20"/>
              </w:rPr>
            </w:pPr>
            <w:r>
              <w:rPr>
                <w:w w:val="120"/>
                <w:sz w:val="20"/>
              </w:rPr>
              <w:t>187</w:t>
            </w:r>
          </w:p>
        </w:tc>
        <w:tc>
          <w:tcPr>
            <w:tcW w:w="120" w:type="dxa"/>
          </w:tcPr>
          <w:p>
            <w:pPr/>
          </w:p>
        </w:tc>
      </w:tr>
      <w:tr>
        <w:trPr>
          <w:trHeight w:val="295" w:hRule="exact"/>
        </w:trPr>
        <w:tc>
          <w:tcPr>
            <w:tcW w:w="2628" w:type="dxa"/>
          </w:tcPr>
          <w:p>
            <w:pPr>
              <w:pStyle w:val="TableParagraph"/>
              <w:spacing w:before="20"/>
              <w:ind w:left="177"/>
              <w:rPr>
                <w:sz w:val="20"/>
              </w:rPr>
            </w:pPr>
            <w:r>
              <w:rPr>
                <w:w w:val="115"/>
                <w:sz w:val="20"/>
              </w:rPr>
              <w:t>State</w:t>
            </w:r>
          </w:p>
        </w:tc>
        <w:tc>
          <w:tcPr>
            <w:tcW w:w="1496" w:type="dxa"/>
          </w:tcPr>
          <w:p>
            <w:pPr>
              <w:pStyle w:val="TableParagraph"/>
              <w:tabs>
                <w:tab w:pos="1022" w:val="left" w:leader="none"/>
              </w:tabs>
              <w:spacing w:before="20"/>
              <w:ind w:left="32"/>
              <w:rPr>
                <w:b/>
                <w:sz w:val="20"/>
              </w:rPr>
            </w:pPr>
            <w:r>
              <w:rPr>
                <w:w w:val="121"/>
                <w:sz w:val="20"/>
                <w:u w:val="single"/>
              </w:rPr>
              <w:t> </w:t>
            </w:r>
            <w:r>
              <w:rPr>
                <w:sz w:val="20"/>
                <w:u w:val="single"/>
              </w:rPr>
              <w:tab/>
            </w:r>
            <w:r>
              <w:rPr>
                <w:spacing w:val="4"/>
                <w:w w:val="120"/>
                <w:sz w:val="20"/>
                <w:u w:val="single"/>
              </w:rPr>
              <w:t>1</w:t>
            </w:r>
            <w:r>
              <w:rPr>
                <w:b/>
                <w:spacing w:val="4"/>
                <w:w w:val="120"/>
                <w:sz w:val="20"/>
                <w:u w:val="single"/>
              </w:rPr>
              <w:t>3</w:t>
            </w:r>
            <w:r>
              <w:rPr>
                <w:b/>
                <w:spacing w:val="-18"/>
                <w:sz w:val="20"/>
                <w:u w:val="single"/>
              </w:rPr>
              <w:t> </w:t>
            </w:r>
          </w:p>
        </w:tc>
        <w:tc>
          <w:tcPr>
            <w:tcW w:w="1805" w:type="dxa"/>
          </w:tcPr>
          <w:p>
            <w:pPr>
              <w:pStyle w:val="TableParagraph"/>
              <w:tabs>
                <w:tab w:pos="1047" w:val="left" w:leader="none"/>
              </w:tabs>
              <w:spacing w:before="20"/>
              <w:ind w:right="116"/>
              <w:jc w:val="right"/>
              <w:rPr>
                <w:sz w:val="20"/>
              </w:rPr>
            </w:pPr>
            <w:r>
              <w:rPr>
                <w:w w:val="121"/>
                <w:sz w:val="20"/>
                <w:u w:val="single"/>
              </w:rPr>
              <w:t> </w:t>
            </w:r>
            <w:r>
              <w:rPr>
                <w:sz w:val="20"/>
                <w:u w:val="single"/>
              </w:rPr>
              <w:tab/>
            </w:r>
            <w:r>
              <w:rPr>
                <w:spacing w:val="-1"/>
                <w:w w:val="120"/>
                <w:sz w:val="20"/>
                <w:u w:val="single"/>
              </w:rPr>
              <w:t>13</w:t>
            </w:r>
            <w:r>
              <w:rPr>
                <w:spacing w:val="-28"/>
                <w:sz w:val="20"/>
                <w:u w:val="single"/>
              </w:rPr>
              <w:t> </w:t>
            </w:r>
          </w:p>
        </w:tc>
        <w:tc>
          <w:tcPr>
            <w:tcW w:w="1629" w:type="dxa"/>
          </w:tcPr>
          <w:p>
            <w:pPr>
              <w:pStyle w:val="TableParagraph"/>
              <w:tabs>
                <w:tab w:pos="1026" w:val="left" w:leader="none"/>
              </w:tabs>
              <w:spacing w:before="20"/>
              <w:ind w:right="30"/>
              <w:jc w:val="right"/>
              <w:rPr>
                <w:sz w:val="20"/>
              </w:rPr>
            </w:pPr>
            <w:r>
              <w:rPr>
                <w:w w:val="121"/>
                <w:sz w:val="20"/>
                <w:u w:val="single"/>
              </w:rPr>
              <w:t> </w:t>
            </w:r>
            <w:r>
              <w:rPr>
                <w:sz w:val="20"/>
                <w:u w:val="single"/>
              </w:rPr>
              <w:tab/>
            </w:r>
            <w:r>
              <w:rPr>
                <w:spacing w:val="-1"/>
                <w:w w:val="120"/>
                <w:sz w:val="20"/>
                <w:u w:val="single"/>
              </w:rPr>
              <w:t>21</w:t>
            </w:r>
            <w:r>
              <w:rPr>
                <w:spacing w:val="-27"/>
                <w:sz w:val="20"/>
                <w:u w:val="single"/>
              </w:rPr>
              <w:t> </w:t>
            </w:r>
          </w:p>
        </w:tc>
        <w:tc>
          <w:tcPr>
            <w:tcW w:w="120" w:type="dxa"/>
          </w:tcPr>
          <w:p>
            <w:pPr/>
          </w:p>
        </w:tc>
      </w:tr>
      <w:tr>
        <w:trPr>
          <w:trHeight w:val="290" w:hRule="exact"/>
        </w:trPr>
        <w:tc>
          <w:tcPr>
            <w:tcW w:w="4125" w:type="dxa"/>
            <w:gridSpan w:val="2"/>
          </w:tcPr>
          <w:p>
            <w:pPr>
              <w:pStyle w:val="TableParagraph"/>
              <w:tabs>
                <w:tab w:pos="2660" w:val="left" w:leader="none"/>
                <w:tab w:pos="3510" w:val="left" w:leader="none"/>
              </w:tabs>
              <w:spacing w:before="13"/>
              <w:ind w:left="310"/>
              <w:rPr>
                <w:b/>
                <w:sz w:val="20"/>
              </w:rPr>
            </w:pPr>
            <w:r>
              <w:rPr>
                <w:w w:val="115"/>
                <w:sz w:val="20"/>
              </w:rPr>
              <w:t>Total</w:t>
            </w:r>
            <w:r>
              <w:rPr>
                <w:spacing w:val="-18"/>
                <w:w w:val="115"/>
                <w:sz w:val="20"/>
              </w:rPr>
              <w:t> </w:t>
            </w:r>
            <w:r>
              <w:rPr>
                <w:w w:val="115"/>
                <w:sz w:val="20"/>
              </w:rPr>
              <w:t>deferred</w:t>
              <w:tab/>
            </w:r>
            <w:r>
              <w:rPr>
                <w:w w:val="115"/>
                <w:sz w:val="20"/>
                <w:u w:val="single"/>
              </w:rPr>
              <w:t> </w:t>
              <w:tab/>
            </w:r>
            <w:r>
              <w:rPr>
                <w:spacing w:val="4"/>
                <w:w w:val="115"/>
                <w:sz w:val="20"/>
                <w:u w:val="single"/>
              </w:rPr>
              <w:t>1</w:t>
            </w:r>
            <w:r>
              <w:rPr>
                <w:b/>
                <w:spacing w:val="4"/>
                <w:w w:val="115"/>
                <w:sz w:val="20"/>
                <w:u w:val="single"/>
              </w:rPr>
              <w:t>83</w:t>
            </w:r>
            <w:r>
              <w:rPr>
                <w:b/>
                <w:spacing w:val="-18"/>
                <w:sz w:val="20"/>
                <w:u w:val="single"/>
              </w:rPr>
              <w:t> </w:t>
            </w:r>
          </w:p>
        </w:tc>
        <w:tc>
          <w:tcPr>
            <w:tcW w:w="1805" w:type="dxa"/>
          </w:tcPr>
          <w:p>
            <w:pPr>
              <w:pStyle w:val="TableParagraph"/>
              <w:tabs>
                <w:tab w:pos="912" w:val="left" w:leader="none"/>
              </w:tabs>
              <w:spacing w:before="13"/>
              <w:ind w:right="116"/>
              <w:jc w:val="right"/>
              <w:rPr>
                <w:sz w:val="20"/>
              </w:rPr>
            </w:pPr>
            <w:r>
              <w:rPr>
                <w:w w:val="121"/>
                <w:sz w:val="20"/>
                <w:u w:val="single"/>
              </w:rPr>
              <w:t> </w:t>
            </w:r>
            <w:r>
              <w:rPr>
                <w:sz w:val="20"/>
                <w:u w:val="single"/>
              </w:rPr>
              <w:tab/>
            </w:r>
            <w:r>
              <w:rPr>
                <w:w w:val="120"/>
                <w:sz w:val="20"/>
                <w:u w:val="single"/>
              </w:rPr>
              <w:t>170</w:t>
            </w:r>
            <w:r>
              <w:rPr>
                <w:spacing w:val="27"/>
                <w:sz w:val="20"/>
                <w:u w:val="single"/>
              </w:rPr>
              <w:t> </w:t>
            </w:r>
          </w:p>
        </w:tc>
        <w:tc>
          <w:tcPr>
            <w:tcW w:w="1750" w:type="dxa"/>
            <w:gridSpan w:val="2"/>
          </w:tcPr>
          <w:p>
            <w:pPr>
              <w:pStyle w:val="TableParagraph"/>
              <w:tabs>
                <w:tab w:pos="1052" w:val="left" w:leader="none"/>
              </w:tabs>
              <w:spacing w:before="13"/>
              <w:ind w:left="160"/>
              <w:rPr>
                <w:sz w:val="20"/>
              </w:rPr>
            </w:pPr>
            <w:r>
              <w:rPr>
                <w:w w:val="121"/>
                <w:sz w:val="20"/>
                <w:u w:val="single"/>
              </w:rPr>
              <w:t> </w:t>
            </w:r>
            <w:r>
              <w:rPr>
                <w:sz w:val="20"/>
                <w:u w:val="single"/>
              </w:rPr>
              <w:tab/>
            </w:r>
            <w:r>
              <w:rPr>
                <w:w w:val="120"/>
                <w:sz w:val="20"/>
                <w:u w:val="single"/>
              </w:rPr>
              <w:t>208</w:t>
            </w:r>
            <w:r>
              <w:rPr>
                <w:spacing w:val="-27"/>
                <w:sz w:val="20"/>
                <w:u w:val="single"/>
              </w:rPr>
              <w:t> </w:t>
            </w:r>
          </w:p>
        </w:tc>
      </w:tr>
      <w:tr>
        <w:trPr>
          <w:trHeight w:val="295" w:hRule="exact"/>
        </w:trPr>
        <w:tc>
          <w:tcPr>
            <w:tcW w:w="4125" w:type="dxa"/>
            <w:gridSpan w:val="2"/>
          </w:tcPr>
          <w:p>
            <w:pPr>
              <w:pStyle w:val="TableParagraph"/>
              <w:tabs>
                <w:tab w:pos="3510" w:val="left" w:leader="none"/>
              </w:tabs>
              <w:spacing w:before="20"/>
              <w:ind w:left="2660"/>
              <w:rPr>
                <w:b/>
                <w:sz w:val="20"/>
              </w:rPr>
            </w:pPr>
            <w:r>
              <w:rPr>
                <w:b/>
                <w:w w:val="121"/>
                <w:sz w:val="20"/>
                <w:u w:val="thick"/>
              </w:rPr>
              <w:t> </w:t>
            </w:r>
            <w:r>
              <w:rPr>
                <w:b/>
                <w:spacing w:val="21"/>
                <w:sz w:val="20"/>
                <w:u w:val="thick"/>
              </w:rPr>
              <w:t> </w:t>
            </w:r>
            <w:r>
              <w:rPr>
                <w:b/>
                <w:w w:val="120"/>
                <w:sz w:val="20"/>
                <w:u w:val="thick"/>
              </w:rPr>
              <w:t>$</w:t>
              <w:tab/>
            </w:r>
            <w:r>
              <w:rPr>
                <w:spacing w:val="4"/>
                <w:w w:val="120"/>
                <w:sz w:val="20"/>
                <w:u w:val="thick"/>
              </w:rPr>
              <w:t>2</w:t>
            </w:r>
            <w:r>
              <w:rPr>
                <w:b/>
                <w:spacing w:val="4"/>
                <w:w w:val="120"/>
                <w:sz w:val="20"/>
                <w:u w:val="thick"/>
              </w:rPr>
              <w:t>66</w:t>
            </w:r>
            <w:r>
              <w:rPr>
                <w:b/>
                <w:spacing w:val="-18"/>
                <w:sz w:val="20"/>
                <w:u w:val="thick"/>
              </w:rPr>
              <w:t> </w:t>
            </w:r>
          </w:p>
        </w:tc>
        <w:tc>
          <w:tcPr>
            <w:tcW w:w="1805" w:type="dxa"/>
          </w:tcPr>
          <w:p>
            <w:pPr>
              <w:pStyle w:val="TableParagraph"/>
              <w:tabs>
                <w:tab w:pos="912" w:val="left" w:leader="none"/>
              </w:tabs>
              <w:spacing w:before="20"/>
              <w:ind w:right="116"/>
              <w:jc w:val="right"/>
              <w:rPr>
                <w:sz w:val="20"/>
              </w:rPr>
            </w:pPr>
            <w:r>
              <w:rPr>
                <w:w w:val="121"/>
                <w:sz w:val="20"/>
                <w:u w:val="thick"/>
              </w:rPr>
              <w:t> </w:t>
            </w:r>
            <w:r>
              <w:rPr>
                <w:spacing w:val="11"/>
                <w:sz w:val="20"/>
                <w:u w:val="thick"/>
              </w:rPr>
              <w:t> </w:t>
            </w:r>
            <w:r>
              <w:rPr>
                <w:w w:val="120"/>
                <w:sz w:val="20"/>
                <w:u w:val="thick"/>
              </w:rPr>
              <w:t>$</w:t>
              <w:tab/>
              <w:t>152</w:t>
            </w:r>
            <w:r>
              <w:rPr>
                <w:spacing w:val="-28"/>
                <w:sz w:val="20"/>
                <w:u w:val="thick"/>
              </w:rPr>
              <w:t> </w:t>
            </w:r>
          </w:p>
        </w:tc>
        <w:tc>
          <w:tcPr>
            <w:tcW w:w="1750" w:type="dxa"/>
            <w:gridSpan w:val="2"/>
          </w:tcPr>
          <w:p>
            <w:pPr>
              <w:pStyle w:val="TableParagraph"/>
              <w:tabs>
                <w:tab w:pos="1052" w:val="left" w:leader="none"/>
              </w:tabs>
              <w:spacing w:before="20"/>
              <w:ind w:left="160"/>
              <w:rPr>
                <w:sz w:val="20"/>
              </w:rPr>
            </w:pPr>
            <w:r>
              <w:rPr>
                <w:w w:val="121"/>
                <w:sz w:val="20"/>
                <w:u w:val="thick"/>
              </w:rPr>
              <w:t> </w:t>
            </w:r>
            <w:r>
              <w:rPr>
                <w:spacing w:val="11"/>
                <w:sz w:val="20"/>
                <w:u w:val="thick"/>
              </w:rPr>
              <w:t> </w:t>
            </w:r>
            <w:r>
              <w:rPr>
                <w:w w:val="120"/>
                <w:sz w:val="20"/>
                <w:u w:val="thick"/>
              </w:rPr>
              <w:t>$</w:t>
              <w:tab/>
              <w:t>317</w:t>
            </w:r>
            <w:r>
              <w:rPr>
                <w:spacing w:val="-27"/>
                <w:sz w:val="20"/>
                <w:u w:val="thick"/>
              </w:rPr>
              <w:t> </w:t>
            </w:r>
          </w:p>
        </w:tc>
      </w:tr>
    </w:tbl>
    <w:p>
      <w:pPr>
        <w:pStyle w:val="BodyText"/>
        <w:spacing w:line="218" w:lineRule="auto" w:before="199"/>
        <w:ind w:left="115" w:right="113"/>
        <w:jc w:val="both"/>
      </w:pPr>
      <w:r>
        <w:rPr>
          <w:w w:val="105"/>
        </w:rPr>
        <w:t>For the year 2002, Southwest Airlines Co. had a tax net operating loss of $163 million for federal income tax purposes. This resulted in a federal tax refund due to utilization of this net operating loss as a carryback to prior taxable years. This refund, estimated at $51 million at December 31, 2002, was included in “Accounts and other receivables” in the Consolidated Balance Sheet at December 31, 2002 and was collected in 2003.</w:t>
      </w:r>
    </w:p>
    <w:p>
      <w:pPr>
        <w:pStyle w:val="BodyText"/>
        <w:spacing w:line="220" w:lineRule="exact" w:before="223"/>
        <w:ind w:left="115" w:right="107"/>
        <w:jc w:val="both"/>
      </w:pPr>
      <w:r>
        <w:rPr/>
        <w:pict>
          <v:line style="position:absolute;mso-position-horizontal-relative:page;mso-position-vertical-relative:paragraph;z-index:-231400" from="65.279999pt,60.270954pt" to="513.598999pt,60.270954pt" stroked="true" strokeweight=".96pt" strokecolor="#000000">
            <v:stroke dashstyle="solid"/>
            <w10:wrap type="none"/>
          </v:line>
        </w:pict>
      </w:r>
      <w:r>
        <w:rPr>
          <w:spacing w:val="-2"/>
          <w:w w:val="105"/>
        </w:rPr>
        <w:t>The</w:t>
      </w:r>
      <w:r>
        <w:rPr>
          <w:spacing w:val="-7"/>
          <w:w w:val="105"/>
        </w:rPr>
        <w:t> </w:t>
      </w:r>
      <w:r>
        <w:rPr>
          <w:spacing w:val="-3"/>
          <w:w w:val="105"/>
        </w:rPr>
        <w:t>effective</w:t>
      </w:r>
      <w:r>
        <w:rPr>
          <w:spacing w:val="-7"/>
          <w:w w:val="105"/>
        </w:rPr>
        <w:t> </w:t>
      </w:r>
      <w:r>
        <w:rPr>
          <w:w w:val="105"/>
        </w:rPr>
        <w:t>tax</w:t>
      </w:r>
      <w:r>
        <w:rPr>
          <w:spacing w:val="-6"/>
          <w:w w:val="105"/>
        </w:rPr>
        <w:t> </w:t>
      </w:r>
      <w:r>
        <w:rPr>
          <w:w w:val="105"/>
        </w:rPr>
        <w:t>rate</w:t>
      </w:r>
      <w:r>
        <w:rPr>
          <w:spacing w:val="-4"/>
          <w:w w:val="105"/>
        </w:rPr>
        <w:t> </w:t>
      </w:r>
      <w:r>
        <w:rPr>
          <w:w w:val="105"/>
        </w:rPr>
        <w:t>on</w:t>
      </w:r>
      <w:r>
        <w:rPr>
          <w:spacing w:val="-6"/>
          <w:w w:val="105"/>
        </w:rPr>
        <w:t> </w:t>
      </w:r>
      <w:r>
        <w:rPr>
          <w:w w:val="105"/>
        </w:rPr>
        <w:t>income</w:t>
      </w:r>
      <w:r>
        <w:rPr>
          <w:spacing w:val="-7"/>
          <w:w w:val="105"/>
        </w:rPr>
        <w:t> </w:t>
      </w:r>
      <w:r>
        <w:rPr>
          <w:w w:val="105"/>
        </w:rPr>
        <w:t>before</w:t>
      </w:r>
      <w:r>
        <w:rPr>
          <w:spacing w:val="-7"/>
          <w:w w:val="105"/>
        </w:rPr>
        <w:t> </w:t>
      </w:r>
      <w:r>
        <w:rPr>
          <w:w w:val="105"/>
        </w:rPr>
        <w:t>income</w:t>
      </w:r>
      <w:r>
        <w:rPr>
          <w:spacing w:val="-4"/>
          <w:w w:val="105"/>
        </w:rPr>
        <w:t> </w:t>
      </w:r>
      <w:r>
        <w:rPr>
          <w:spacing w:val="-3"/>
          <w:w w:val="105"/>
        </w:rPr>
        <w:t>taxes</w:t>
      </w:r>
      <w:r>
        <w:rPr>
          <w:spacing w:val="-6"/>
          <w:w w:val="105"/>
        </w:rPr>
        <w:t> </w:t>
      </w:r>
      <w:r>
        <w:rPr>
          <w:w w:val="105"/>
        </w:rPr>
        <w:t>differed</w:t>
      </w:r>
      <w:r>
        <w:rPr>
          <w:spacing w:val="-6"/>
          <w:w w:val="105"/>
        </w:rPr>
        <w:t> </w:t>
      </w:r>
      <w:r>
        <w:rPr>
          <w:w w:val="105"/>
        </w:rPr>
        <w:t>from</w:t>
      </w:r>
      <w:r>
        <w:rPr>
          <w:spacing w:val="-8"/>
          <w:w w:val="105"/>
        </w:rPr>
        <w:t> </w:t>
      </w:r>
      <w:r>
        <w:rPr>
          <w:w w:val="105"/>
        </w:rPr>
        <w:t>the</w:t>
      </w:r>
      <w:r>
        <w:rPr>
          <w:spacing w:val="-4"/>
          <w:w w:val="105"/>
        </w:rPr>
        <w:t> </w:t>
      </w:r>
      <w:r>
        <w:rPr>
          <w:spacing w:val="-3"/>
          <w:w w:val="105"/>
        </w:rPr>
        <w:t>federal</w:t>
      </w:r>
      <w:r>
        <w:rPr>
          <w:spacing w:val="-6"/>
          <w:w w:val="105"/>
        </w:rPr>
        <w:t> </w:t>
      </w:r>
      <w:r>
        <w:rPr>
          <w:w w:val="105"/>
        </w:rPr>
        <w:t>income</w:t>
      </w:r>
      <w:r>
        <w:rPr>
          <w:spacing w:val="-7"/>
          <w:w w:val="105"/>
        </w:rPr>
        <w:t> </w:t>
      </w:r>
      <w:r>
        <w:rPr>
          <w:w w:val="105"/>
        </w:rPr>
        <w:t>tax</w:t>
      </w:r>
      <w:r>
        <w:rPr>
          <w:spacing w:val="-6"/>
          <w:w w:val="105"/>
        </w:rPr>
        <w:t> </w:t>
      </w:r>
      <w:r>
        <w:rPr>
          <w:w w:val="105"/>
        </w:rPr>
        <w:t>statutory</w:t>
      </w:r>
      <w:r>
        <w:rPr>
          <w:spacing w:val="-2"/>
          <w:w w:val="105"/>
        </w:rPr>
        <w:t> </w:t>
      </w:r>
      <w:r>
        <w:rPr>
          <w:w w:val="105"/>
        </w:rPr>
        <w:t>rate</w:t>
      </w:r>
      <w:r>
        <w:rPr>
          <w:spacing w:val="-11"/>
          <w:w w:val="105"/>
        </w:rPr>
        <w:t> </w:t>
      </w:r>
      <w:r>
        <w:rPr>
          <w:w w:val="105"/>
        </w:rPr>
        <w:t>for</w:t>
      </w:r>
      <w:r>
        <w:rPr>
          <w:spacing w:val="-4"/>
          <w:w w:val="105"/>
        </w:rPr>
        <w:t> </w:t>
      </w:r>
      <w:r>
        <w:rPr>
          <w:w w:val="105"/>
        </w:rPr>
        <w:t>the </w:t>
      </w:r>
      <w:r>
        <w:rPr/>
        <w:t>following</w:t>
      </w:r>
      <w:r>
        <w:rPr>
          <w:spacing w:val="28"/>
        </w:rPr>
        <w:t> </w:t>
      </w:r>
      <w:r>
        <w:rPr>
          <w:spacing w:val="-3"/>
        </w:rPr>
        <w:t>reasons:</w:t>
      </w:r>
    </w:p>
    <w:p>
      <w:pPr>
        <w:pStyle w:val="BodyText"/>
        <w:spacing w:before="5"/>
        <w:rPr>
          <w:sz w:val="16"/>
        </w:rPr>
      </w:pPr>
      <w:r>
        <w:rPr/>
        <w:pict>
          <v:line style="position:absolute;mso-position-horizontal-relative:page;mso-position-vertical-relative:paragraph;z-index:6928;mso-wrap-distance-left:0;mso-wrap-distance-right:0" from="65.279999pt,11.931485pt" to="513.598999pt,11.931485pt" stroked="true" strokeweight=".96pt" strokecolor="#000000">
            <v:stroke dashstyle="solid"/>
            <w10:wrap type="topAndBottom"/>
          </v:line>
        </w:pict>
      </w:r>
    </w:p>
    <w:p>
      <w:pPr>
        <w:tabs>
          <w:tab w:pos="4217" w:val="left" w:leader="none"/>
          <w:tab w:pos="6095" w:val="left" w:leader="none"/>
          <w:tab w:pos="7972" w:val="left" w:leader="none"/>
        </w:tabs>
        <w:spacing w:line="314" w:lineRule="auto" w:before="23"/>
        <w:ind w:left="168" w:right="1347" w:hanging="1"/>
        <w:jc w:val="left"/>
        <w:rPr>
          <w:rFonts w:ascii="Arial"/>
          <w:sz w:val="20"/>
        </w:rPr>
      </w:pPr>
      <w:r>
        <w:rPr>
          <w:rFonts w:ascii="Arial"/>
          <w:w w:val="115"/>
          <w:sz w:val="20"/>
        </w:rPr>
        <w:t>(In</w:t>
      </w:r>
      <w:r>
        <w:rPr>
          <w:rFonts w:ascii="Arial"/>
          <w:spacing w:val="-14"/>
          <w:w w:val="115"/>
          <w:sz w:val="20"/>
        </w:rPr>
        <w:t> </w:t>
      </w:r>
      <w:r>
        <w:rPr>
          <w:rFonts w:ascii="Arial"/>
          <w:w w:val="115"/>
          <w:sz w:val="20"/>
        </w:rPr>
        <w:t>millions)</w:t>
        <w:tab/>
      </w:r>
      <w:r>
        <w:rPr>
          <w:rFonts w:ascii="Arial"/>
          <w:spacing w:val="4"/>
          <w:w w:val="115"/>
          <w:sz w:val="20"/>
        </w:rPr>
        <w:t>2</w:t>
      </w:r>
      <w:r>
        <w:rPr>
          <w:rFonts w:ascii="Arial"/>
          <w:b/>
          <w:spacing w:val="4"/>
          <w:w w:val="115"/>
          <w:sz w:val="20"/>
        </w:rPr>
        <w:t>003</w:t>
        <w:tab/>
        <w:t>2002</w:t>
        <w:tab/>
        <w:t>2001 </w:t>
      </w:r>
      <w:r>
        <w:rPr>
          <w:rFonts w:ascii="Arial"/>
          <w:w w:val="115"/>
          <w:sz w:val="20"/>
        </w:rPr>
        <w:t>Tax at</w:t>
      </w:r>
      <w:r>
        <w:rPr>
          <w:rFonts w:ascii="Arial"/>
          <w:spacing w:val="12"/>
          <w:w w:val="115"/>
          <w:sz w:val="20"/>
        </w:rPr>
        <w:t> </w:t>
      </w:r>
      <w:r>
        <w:rPr>
          <w:rFonts w:ascii="Arial"/>
          <w:w w:val="115"/>
          <w:sz w:val="20"/>
        </w:rPr>
        <w:t>statutory</w:t>
      </w:r>
    </w:p>
    <w:p>
      <w:pPr>
        <w:spacing w:after="0" w:line="314" w:lineRule="auto"/>
        <w:jc w:val="left"/>
        <w:rPr>
          <w:rFonts w:ascii="Arial"/>
          <w:sz w:val="20"/>
        </w:rPr>
        <w:sectPr>
          <w:pgSz w:w="12240" w:h="15840"/>
          <w:pgMar w:top="1220" w:bottom="280" w:left="1180" w:right="1180"/>
        </w:sectPr>
      </w:pPr>
    </w:p>
    <w:p>
      <w:pPr>
        <w:spacing w:before="3"/>
        <w:ind w:left="302" w:right="0" w:firstLine="0"/>
        <w:jc w:val="left"/>
        <w:rPr>
          <w:rFonts w:ascii="Arial"/>
          <w:sz w:val="20"/>
        </w:rPr>
      </w:pPr>
      <w:r>
        <w:rPr>
          <w:rFonts w:ascii="Arial"/>
          <w:w w:val="105"/>
          <w:sz w:val="20"/>
        </w:rPr>
        <w:t>U.S. tax rates</w:t>
      </w:r>
    </w:p>
    <w:p>
      <w:pPr>
        <w:tabs>
          <w:tab w:pos="1191" w:val="left" w:leader="none"/>
          <w:tab w:pos="2170" w:val="left" w:leader="none"/>
        </w:tabs>
        <w:spacing w:before="3"/>
        <w:ind w:left="302" w:right="0" w:firstLine="0"/>
        <w:jc w:val="left"/>
        <w:rPr>
          <w:rFonts w:ascii="Arial"/>
          <w:sz w:val="20"/>
        </w:rPr>
      </w:pPr>
      <w:r>
        <w:rPr/>
        <w:br w:type="column"/>
      </w:r>
      <w:r>
        <w:rPr>
          <w:rFonts w:ascii="Arial"/>
          <w:b/>
          <w:w w:val="120"/>
          <w:sz w:val="20"/>
        </w:rPr>
        <w:t>$</w:t>
        <w:tab/>
      </w:r>
      <w:r>
        <w:rPr>
          <w:rFonts w:ascii="Arial"/>
          <w:spacing w:val="4"/>
          <w:w w:val="120"/>
          <w:sz w:val="20"/>
        </w:rPr>
        <w:t>2</w:t>
      </w:r>
      <w:r>
        <w:rPr>
          <w:rFonts w:ascii="Arial"/>
          <w:b/>
          <w:spacing w:val="4"/>
          <w:w w:val="120"/>
          <w:sz w:val="20"/>
        </w:rPr>
        <w:t>47</w:t>
        <w:tab/>
      </w:r>
      <w:r>
        <w:rPr>
          <w:rFonts w:ascii="Arial"/>
          <w:w w:val="120"/>
          <w:sz w:val="20"/>
        </w:rPr>
        <w:t>$</w:t>
      </w:r>
    </w:p>
    <w:p>
      <w:pPr>
        <w:tabs>
          <w:tab w:pos="1258" w:val="left" w:leader="none"/>
        </w:tabs>
        <w:spacing w:before="3"/>
        <w:ind w:left="302" w:right="0" w:firstLine="0"/>
        <w:jc w:val="left"/>
        <w:rPr>
          <w:rFonts w:ascii="Arial"/>
          <w:sz w:val="20"/>
        </w:rPr>
      </w:pPr>
      <w:r>
        <w:rPr/>
        <w:br w:type="column"/>
      </w:r>
      <w:r>
        <w:rPr>
          <w:rFonts w:ascii="Arial"/>
          <w:w w:val="120"/>
          <w:sz w:val="20"/>
        </w:rPr>
        <w:t>138</w:t>
        <w:tab/>
        <w:t>$</w:t>
      </w:r>
    </w:p>
    <w:p>
      <w:pPr>
        <w:spacing w:before="3"/>
        <w:ind w:left="302" w:right="0" w:firstLine="0"/>
        <w:jc w:val="left"/>
        <w:rPr>
          <w:rFonts w:ascii="Arial"/>
          <w:sz w:val="20"/>
        </w:rPr>
      </w:pPr>
      <w:r>
        <w:rPr/>
        <w:br w:type="column"/>
      </w:r>
      <w:r>
        <w:rPr>
          <w:rFonts w:ascii="Arial"/>
          <w:w w:val="120"/>
          <w:sz w:val="20"/>
        </w:rPr>
        <w:t>290</w:t>
      </w:r>
    </w:p>
    <w:p>
      <w:pPr>
        <w:spacing w:after="0"/>
        <w:jc w:val="left"/>
        <w:rPr>
          <w:rFonts w:ascii="Arial"/>
          <w:sz w:val="20"/>
        </w:rPr>
        <w:sectPr>
          <w:type w:val="continuous"/>
          <w:pgSz w:w="12240" w:h="15840"/>
          <w:pgMar w:top="320" w:bottom="280" w:left="1180" w:right="1180"/>
          <w:cols w:num="4" w:equalWidth="0">
            <w:col w:w="1620" w:space="1958"/>
            <w:col w:w="2306" w:space="484"/>
            <w:col w:w="1394" w:space="483"/>
            <w:col w:w="1635"/>
          </w:cols>
        </w:sectPr>
      </w:pPr>
    </w:p>
    <w:p>
      <w:pPr>
        <w:tabs>
          <w:tab w:pos="5048" w:val="left" w:leader="none"/>
          <w:tab w:pos="6940" w:val="left" w:leader="none"/>
          <w:tab w:pos="8950" w:val="right" w:leader="none"/>
        </w:tabs>
        <w:spacing w:before="72"/>
        <w:ind w:left="168" w:right="0" w:firstLine="0"/>
        <w:jc w:val="left"/>
        <w:rPr>
          <w:rFonts w:ascii="Arial"/>
          <w:sz w:val="20"/>
        </w:rPr>
      </w:pPr>
      <w:r>
        <w:rPr>
          <w:rFonts w:ascii="Arial"/>
          <w:w w:val="115"/>
          <w:sz w:val="20"/>
        </w:rPr>
        <w:t>Nondeductible</w:t>
      </w:r>
      <w:r>
        <w:rPr>
          <w:rFonts w:ascii="Arial"/>
          <w:spacing w:val="-28"/>
          <w:w w:val="115"/>
          <w:sz w:val="20"/>
        </w:rPr>
        <w:t> </w:t>
      </w:r>
      <w:r>
        <w:rPr>
          <w:rFonts w:ascii="Arial"/>
          <w:w w:val="115"/>
          <w:sz w:val="20"/>
        </w:rPr>
        <w:t>items</w:t>
        <w:tab/>
        <w:t>7</w:t>
        <w:tab/>
        <w:t>6</w:t>
        <w:tab/>
        <w:t>7</w:t>
      </w:r>
    </w:p>
    <w:p>
      <w:pPr>
        <w:spacing w:before="72"/>
        <w:ind w:left="168" w:right="0" w:firstLine="0"/>
        <w:jc w:val="left"/>
        <w:rPr>
          <w:rFonts w:ascii="Arial"/>
          <w:sz w:val="20"/>
        </w:rPr>
      </w:pPr>
      <w:r>
        <w:rPr>
          <w:rFonts w:ascii="Arial"/>
          <w:w w:val="110"/>
          <w:sz w:val="20"/>
        </w:rPr>
        <w:t>State income taxes,</w:t>
      </w:r>
    </w:p>
    <w:p>
      <w:pPr>
        <w:tabs>
          <w:tab w:pos="4908" w:val="left" w:leader="none"/>
          <w:tab w:pos="6940" w:val="left" w:leader="none"/>
          <w:tab w:pos="8951" w:val="right" w:leader="none"/>
        </w:tabs>
        <w:spacing w:before="72"/>
        <w:ind w:left="303" w:right="0" w:firstLine="0"/>
        <w:jc w:val="left"/>
        <w:rPr>
          <w:rFonts w:ascii="Arial"/>
          <w:sz w:val="20"/>
        </w:rPr>
      </w:pPr>
      <w:r>
        <w:rPr>
          <w:rFonts w:ascii="Arial"/>
          <w:w w:val="115"/>
          <w:sz w:val="20"/>
        </w:rPr>
        <w:t>net of</w:t>
      </w:r>
      <w:r>
        <w:rPr>
          <w:rFonts w:ascii="Arial"/>
          <w:spacing w:val="-11"/>
          <w:w w:val="115"/>
          <w:sz w:val="20"/>
        </w:rPr>
        <w:t> </w:t>
      </w:r>
      <w:r>
        <w:rPr>
          <w:rFonts w:ascii="Arial"/>
          <w:w w:val="115"/>
          <w:sz w:val="20"/>
        </w:rPr>
        <w:t>federal</w:t>
      </w:r>
      <w:r>
        <w:rPr>
          <w:rFonts w:ascii="Arial"/>
          <w:spacing w:val="-6"/>
          <w:w w:val="115"/>
          <w:sz w:val="20"/>
        </w:rPr>
        <w:t> </w:t>
      </w:r>
      <w:r>
        <w:rPr>
          <w:rFonts w:ascii="Arial"/>
          <w:w w:val="115"/>
          <w:sz w:val="20"/>
        </w:rPr>
        <w:t>benefit</w:t>
        <w:tab/>
      </w:r>
      <w:r>
        <w:rPr>
          <w:rFonts w:ascii="Arial"/>
          <w:spacing w:val="4"/>
          <w:w w:val="115"/>
          <w:sz w:val="20"/>
        </w:rPr>
        <w:t>1</w:t>
      </w:r>
      <w:r>
        <w:rPr>
          <w:rFonts w:ascii="Arial"/>
          <w:b/>
          <w:spacing w:val="4"/>
          <w:w w:val="115"/>
          <w:sz w:val="20"/>
        </w:rPr>
        <w:t>5</w:t>
        <w:tab/>
      </w:r>
      <w:r>
        <w:rPr>
          <w:rFonts w:ascii="Arial"/>
          <w:w w:val="115"/>
          <w:sz w:val="20"/>
        </w:rPr>
        <w:t>9</w:t>
        <w:tab/>
        <w:t>20</w:t>
      </w:r>
    </w:p>
    <w:p>
      <w:pPr>
        <w:tabs>
          <w:tab w:pos="3737" w:val="left" w:leader="none"/>
          <w:tab w:pos="4952" w:val="left" w:leader="none"/>
          <w:tab w:pos="5614" w:val="left" w:leader="none"/>
          <w:tab w:pos="6849" w:val="left" w:leader="none"/>
          <w:tab w:pos="7492" w:val="left" w:leader="none"/>
          <w:tab w:pos="8605" w:val="left" w:leader="none"/>
          <w:tab w:pos="9091" w:val="left" w:leader="none"/>
        </w:tabs>
        <w:spacing w:line="300" w:lineRule="atLeast" w:before="2"/>
        <w:ind w:left="304" w:right="786" w:hanging="136"/>
        <w:jc w:val="left"/>
        <w:rPr>
          <w:rFonts w:ascii="Arial"/>
          <w:sz w:val="20"/>
        </w:rPr>
      </w:pPr>
      <w:r>
        <w:rPr>
          <w:rFonts w:ascii="Arial"/>
          <w:w w:val="115"/>
          <w:sz w:val="20"/>
        </w:rPr>
        <w:t>Other,</w:t>
      </w:r>
      <w:r>
        <w:rPr>
          <w:rFonts w:ascii="Arial"/>
          <w:spacing w:val="-3"/>
          <w:w w:val="115"/>
          <w:sz w:val="20"/>
        </w:rPr>
        <w:t> </w:t>
      </w:r>
      <w:r>
        <w:rPr>
          <w:rFonts w:ascii="Arial"/>
          <w:w w:val="115"/>
          <w:sz w:val="20"/>
        </w:rPr>
        <w:t>net</w:t>
        <w:tab/>
      </w:r>
      <w:r>
        <w:rPr>
          <w:rFonts w:ascii="Arial"/>
          <w:w w:val="115"/>
          <w:sz w:val="20"/>
          <w:u w:val="single"/>
        </w:rPr>
        <w:t> </w:t>
        <w:tab/>
      </w:r>
      <w:r>
        <w:rPr>
          <w:rFonts w:ascii="Arial"/>
          <w:spacing w:val="5"/>
          <w:w w:val="115"/>
          <w:sz w:val="20"/>
          <w:u w:val="single"/>
        </w:rPr>
        <w:t>(</w:t>
      </w:r>
      <w:r>
        <w:rPr>
          <w:rFonts w:ascii="Arial"/>
          <w:b/>
          <w:spacing w:val="5"/>
          <w:w w:val="115"/>
          <w:sz w:val="20"/>
          <w:u w:val="single"/>
        </w:rPr>
        <w:t>3)</w:t>
      </w:r>
      <w:r>
        <w:rPr>
          <w:rFonts w:ascii="Arial"/>
          <w:b/>
          <w:spacing w:val="5"/>
          <w:w w:val="115"/>
          <w:sz w:val="20"/>
        </w:rPr>
        <w:tab/>
      </w:r>
      <w:r>
        <w:rPr>
          <w:rFonts w:ascii="Arial"/>
          <w:spacing w:val="5"/>
          <w:w w:val="115"/>
          <w:sz w:val="20"/>
          <w:u w:val="single"/>
        </w:rPr>
        <w:t> </w:t>
        <w:tab/>
      </w:r>
      <w:r>
        <w:rPr>
          <w:rFonts w:ascii="Arial"/>
          <w:w w:val="115"/>
          <w:sz w:val="20"/>
          <w:u w:val="single"/>
        </w:rPr>
        <w:t>(1)</w:t>
      </w:r>
      <w:r>
        <w:rPr>
          <w:rFonts w:ascii="Arial"/>
          <w:w w:val="115"/>
          <w:sz w:val="20"/>
        </w:rPr>
        <w:tab/>
      </w:r>
      <w:r>
        <w:rPr>
          <w:rFonts w:ascii="Arial"/>
          <w:w w:val="115"/>
          <w:sz w:val="20"/>
          <w:u w:val="single"/>
        </w:rPr>
        <w:t> </w:t>
        <w:tab/>
        <w:t>-</w:t>
        <w:tab/>
      </w:r>
      <w:r>
        <w:rPr>
          <w:rFonts w:ascii="Arial"/>
          <w:w w:val="115"/>
          <w:sz w:val="20"/>
        </w:rPr>
        <w:t> </w:t>
      </w:r>
      <w:r>
        <w:rPr>
          <w:rFonts w:ascii="Arial"/>
          <w:w w:val="110"/>
          <w:sz w:val="20"/>
        </w:rPr>
        <w:t>Total</w:t>
      </w:r>
      <w:r>
        <w:rPr>
          <w:rFonts w:ascii="Arial"/>
          <w:spacing w:val="1"/>
          <w:w w:val="110"/>
          <w:sz w:val="20"/>
        </w:rPr>
        <w:t> </w:t>
      </w:r>
      <w:r>
        <w:rPr>
          <w:rFonts w:ascii="Arial"/>
          <w:w w:val="110"/>
          <w:sz w:val="20"/>
        </w:rPr>
        <w:t>income</w:t>
      </w:r>
    </w:p>
    <w:p>
      <w:pPr>
        <w:spacing w:after="0" w:line="300" w:lineRule="atLeast"/>
        <w:jc w:val="left"/>
        <w:rPr>
          <w:rFonts w:ascii="Arial"/>
          <w:sz w:val="20"/>
        </w:rPr>
        <w:sectPr>
          <w:type w:val="continuous"/>
          <w:pgSz w:w="12240" w:h="15840"/>
          <w:pgMar w:top="320" w:bottom="280" w:left="1180" w:right="1180"/>
        </w:sectPr>
      </w:pPr>
    </w:p>
    <w:p>
      <w:pPr>
        <w:spacing w:before="53"/>
        <w:ind w:left="436" w:right="0" w:firstLine="0"/>
        <w:jc w:val="left"/>
        <w:rPr>
          <w:rFonts w:ascii="Arial"/>
          <w:sz w:val="20"/>
        </w:rPr>
      </w:pPr>
      <w:r>
        <w:rPr>
          <w:rFonts w:ascii="Arial"/>
          <w:w w:val="110"/>
          <w:sz w:val="20"/>
        </w:rPr>
        <w:t>tax provision</w:t>
      </w:r>
    </w:p>
    <w:p>
      <w:pPr>
        <w:tabs>
          <w:tab w:pos="1469" w:val="left" w:leader="none"/>
        </w:tabs>
        <w:spacing w:before="53"/>
        <w:ind w:left="436" w:right="0" w:firstLine="0"/>
        <w:jc w:val="left"/>
        <w:rPr>
          <w:rFonts w:ascii="Arial"/>
          <w:b/>
          <w:sz w:val="20"/>
        </w:rPr>
      </w:pPr>
      <w:r>
        <w:rPr/>
        <w:br w:type="column"/>
      </w:r>
      <w:r>
        <w:rPr>
          <w:rFonts w:ascii="Arial"/>
          <w:b/>
          <w:w w:val="121"/>
          <w:sz w:val="20"/>
          <w:u w:val="thick"/>
        </w:rPr>
        <w:t> </w:t>
      </w:r>
      <w:r>
        <w:rPr>
          <w:rFonts w:ascii="Arial"/>
          <w:b/>
          <w:spacing w:val="21"/>
          <w:sz w:val="20"/>
          <w:u w:val="thick"/>
        </w:rPr>
        <w:t> </w:t>
      </w:r>
      <w:r>
        <w:rPr>
          <w:rFonts w:ascii="Arial"/>
          <w:b/>
          <w:w w:val="120"/>
          <w:sz w:val="20"/>
          <w:u w:val="thick"/>
        </w:rPr>
        <w:t>$</w:t>
        <w:tab/>
      </w:r>
      <w:r>
        <w:rPr>
          <w:rFonts w:ascii="Arial"/>
          <w:spacing w:val="4"/>
          <w:w w:val="120"/>
          <w:sz w:val="20"/>
          <w:u w:val="thick"/>
        </w:rPr>
        <w:t>2</w:t>
      </w:r>
      <w:r>
        <w:rPr>
          <w:rFonts w:ascii="Arial"/>
          <w:b/>
          <w:spacing w:val="4"/>
          <w:w w:val="120"/>
          <w:sz w:val="20"/>
          <w:u w:val="thick"/>
        </w:rPr>
        <w:t>66</w:t>
      </w:r>
      <w:r>
        <w:rPr>
          <w:rFonts w:ascii="Arial"/>
          <w:b/>
          <w:spacing w:val="-18"/>
          <w:sz w:val="20"/>
          <w:u w:val="thick"/>
        </w:rPr>
        <w:t> </w:t>
      </w:r>
    </w:p>
    <w:p>
      <w:pPr>
        <w:tabs>
          <w:tab w:pos="1294" w:val="left" w:leader="none"/>
        </w:tabs>
        <w:spacing w:before="53"/>
        <w:ind w:left="238" w:right="0" w:firstLine="0"/>
        <w:jc w:val="left"/>
        <w:rPr>
          <w:rFonts w:ascii="Arial"/>
          <w:sz w:val="20"/>
        </w:rPr>
      </w:pPr>
      <w:r>
        <w:rPr/>
        <w:br w:type="column"/>
      </w:r>
      <w:r>
        <w:rPr>
          <w:rFonts w:ascii="Arial"/>
          <w:w w:val="121"/>
          <w:sz w:val="20"/>
          <w:u w:val="thick"/>
        </w:rPr>
        <w:t> </w:t>
      </w:r>
      <w:r>
        <w:rPr>
          <w:rFonts w:ascii="Arial"/>
          <w:spacing w:val="11"/>
          <w:sz w:val="20"/>
          <w:u w:val="thick"/>
        </w:rPr>
        <w:t> </w:t>
      </w:r>
      <w:r>
        <w:rPr>
          <w:rFonts w:ascii="Arial"/>
          <w:w w:val="120"/>
          <w:sz w:val="20"/>
          <w:u w:val="thick"/>
        </w:rPr>
        <w:t>$</w:t>
        <w:tab/>
        <w:t>152</w:t>
      </w:r>
      <w:r>
        <w:rPr>
          <w:rFonts w:ascii="Arial"/>
          <w:spacing w:val="-28"/>
          <w:sz w:val="20"/>
          <w:u w:val="thick"/>
        </w:rPr>
        <w:t> </w:t>
      </w:r>
    </w:p>
    <w:p>
      <w:pPr>
        <w:tabs>
          <w:tab w:pos="1293" w:val="left" w:leader="none"/>
        </w:tabs>
        <w:spacing w:before="53"/>
        <w:ind w:left="238" w:right="0" w:firstLine="0"/>
        <w:jc w:val="left"/>
        <w:rPr>
          <w:rFonts w:ascii="Arial"/>
          <w:sz w:val="20"/>
        </w:rPr>
      </w:pPr>
      <w:r>
        <w:rPr/>
        <w:br w:type="column"/>
      </w:r>
      <w:r>
        <w:rPr>
          <w:rFonts w:ascii="Arial"/>
          <w:w w:val="121"/>
          <w:sz w:val="20"/>
          <w:u w:val="thick"/>
        </w:rPr>
        <w:t> </w:t>
      </w:r>
      <w:r>
        <w:rPr>
          <w:rFonts w:ascii="Arial"/>
          <w:spacing w:val="11"/>
          <w:sz w:val="20"/>
          <w:u w:val="thick"/>
        </w:rPr>
        <w:t> </w:t>
      </w:r>
      <w:r>
        <w:rPr>
          <w:rFonts w:ascii="Arial"/>
          <w:w w:val="120"/>
          <w:sz w:val="20"/>
          <w:u w:val="thick"/>
        </w:rPr>
        <w:t>$</w:t>
        <w:tab/>
        <w:t>317</w:t>
      </w:r>
      <w:r>
        <w:rPr>
          <w:rFonts w:ascii="Arial"/>
          <w:spacing w:val="-27"/>
          <w:sz w:val="20"/>
          <w:u w:val="thick"/>
        </w:rPr>
        <w:t> </w:t>
      </w:r>
    </w:p>
    <w:p>
      <w:pPr>
        <w:spacing w:after="0"/>
        <w:jc w:val="left"/>
        <w:rPr>
          <w:rFonts w:ascii="Arial"/>
          <w:sz w:val="20"/>
        </w:rPr>
        <w:sectPr>
          <w:type w:val="continuous"/>
          <w:pgSz w:w="12240" w:h="15840"/>
          <w:pgMar w:top="320" w:bottom="280" w:left="1180" w:right="1180"/>
          <w:cols w:num="4" w:equalWidth="0">
            <w:col w:w="1683" w:space="1617"/>
            <w:col w:w="2037" w:space="40"/>
            <w:col w:w="1839" w:space="40"/>
            <w:col w:w="2624"/>
          </w:cols>
        </w:sectPr>
      </w:pPr>
    </w:p>
    <w:p>
      <w:pPr>
        <w:pStyle w:val="BodyText"/>
        <w:spacing w:line="220" w:lineRule="exact" w:before="247"/>
        <w:ind w:left="115" w:right="95"/>
      </w:pPr>
      <w:r>
        <w:rPr/>
        <w:pict>
          <v:line style="position:absolute;mso-position-horizontal-relative:page;mso-position-vertical-relative:page;z-index:-231448" from="65.279999pt,76.064003pt" to="447.599999pt,76.064003pt" stroked="true" strokeweight=".96pt" strokecolor="#000000">
            <v:stroke dashstyle="solid"/>
            <w10:wrap type="none"/>
          </v:line>
        </w:pict>
      </w:r>
      <w:r>
        <w:rPr/>
        <w:pict>
          <v:line style="position:absolute;mso-position-horizontal-relative:page;mso-position-vertical-relative:page;z-index:-231424" from="65.279999pt,349.174988pt" to="441.599999pt,349.174988pt" stroked="true" strokeweight=".96pt" strokecolor="#000000">
            <v:stroke dashstyle="solid"/>
            <w10:wrap type="none"/>
          </v:line>
        </w:pict>
      </w:r>
      <w:r>
        <w:rPr>
          <w:w w:val="105"/>
        </w:rPr>
        <w:t>The Internal Revenue Service (IRS) regularly examines the Company’s federal income tax returns and, in the course of which, may propose adjustments to the Company’s federal income tax liability reported on such</w:t>
      </w:r>
    </w:p>
    <w:p>
      <w:pPr>
        <w:spacing w:after="0" w:line="220" w:lineRule="exact"/>
        <w:sectPr>
          <w:type w:val="continuous"/>
          <w:pgSz w:w="12240" w:h="15840"/>
          <w:pgMar w:top="320" w:bottom="280" w:left="1180" w:right="1180"/>
        </w:sectPr>
      </w:pPr>
    </w:p>
    <w:p>
      <w:pPr>
        <w:pStyle w:val="BodyText"/>
        <w:spacing w:line="220" w:lineRule="exact" w:before="117"/>
        <w:ind w:left="115" w:right="105"/>
        <w:jc w:val="both"/>
      </w:pPr>
      <w:bookmarkStart w:name="Net Income Per Share" w:id="58"/>
      <w:bookmarkEnd w:id="58"/>
      <w:r>
        <w:rPr/>
      </w:r>
      <w:r>
        <w:rPr>
          <w:w w:val="105"/>
        </w:rPr>
        <w:t>returns. It is the Company’s practice to vigorously contest those proposed adjustments that it deems lacking of merit. The Company's management does not expect that the outcome of any proposed adjustments presented to date by the IRS, individually or collectively, will have a material adverse effect on the Company's financial condition, results of operations, or cash flows.</w:t>
      </w:r>
    </w:p>
    <w:p>
      <w:pPr>
        <w:pStyle w:val="Heading2"/>
        <w:numPr>
          <w:ilvl w:val="0"/>
          <w:numId w:val="7"/>
        </w:numPr>
        <w:tabs>
          <w:tab w:pos="481" w:val="left" w:leader="none"/>
        </w:tabs>
        <w:spacing w:line="240" w:lineRule="auto" w:before="197" w:after="0"/>
        <w:ind w:left="480" w:right="0" w:hanging="364"/>
        <w:jc w:val="both"/>
      </w:pPr>
      <w:r>
        <w:rPr>
          <w:color w:val="0000FF"/>
          <w:spacing w:val="-3"/>
          <w:w w:val="105"/>
        </w:rPr>
        <w:t>NET</w:t>
      </w:r>
      <w:r>
        <w:rPr>
          <w:color w:val="0000FF"/>
          <w:spacing w:val="-28"/>
          <w:w w:val="105"/>
        </w:rPr>
        <w:t> </w:t>
      </w:r>
      <w:r>
        <w:rPr>
          <w:color w:val="0000FF"/>
          <w:spacing w:val="-4"/>
          <w:w w:val="105"/>
        </w:rPr>
        <w:t>INCOME</w:t>
      </w:r>
      <w:r>
        <w:rPr>
          <w:color w:val="0000FF"/>
          <w:spacing w:val="-24"/>
          <w:w w:val="105"/>
        </w:rPr>
        <w:t> </w:t>
      </w:r>
      <w:r>
        <w:rPr>
          <w:color w:val="0000FF"/>
          <w:spacing w:val="-3"/>
          <w:w w:val="105"/>
        </w:rPr>
        <w:t>PER</w:t>
      </w:r>
      <w:r>
        <w:rPr>
          <w:color w:val="0000FF"/>
          <w:spacing w:val="-26"/>
          <w:w w:val="105"/>
        </w:rPr>
        <w:t> </w:t>
      </w:r>
      <w:r>
        <w:rPr>
          <w:color w:val="0000FF"/>
          <w:spacing w:val="-5"/>
          <w:w w:val="105"/>
        </w:rPr>
        <w:t>SHARE</w:t>
      </w:r>
    </w:p>
    <w:p>
      <w:pPr>
        <w:pStyle w:val="BodyText"/>
        <w:spacing w:before="200"/>
        <w:ind w:left="115"/>
        <w:jc w:val="both"/>
      </w:pPr>
      <w:r>
        <w:rPr/>
        <w:pict>
          <v:line style="position:absolute;mso-position-horizontal-relative:page;mso-position-vertical-relative:paragraph;z-index:-231352" from="65.280998pt,49.769108pt" to="478.559998pt,49.769108pt" stroked="true" strokeweight=".959pt" strokecolor="#000000">
            <v:stroke dashstyle="solid"/>
            <w10:wrap type="none"/>
          </v:line>
        </w:pict>
      </w:r>
      <w:r>
        <w:rPr>
          <w:w w:val="105"/>
        </w:rPr>
        <w:t>The following table sets forth the computation of net income per share, basic and diluted:</w:t>
      </w:r>
    </w:p>
    <w:p>
      <w:pPr>
        <w:pStyle w:val="BodyText"/>
        <w:spacing w:before="6"/>
        <w:rPr>
          <w:sz w:val="20"/>
        </w:rPr>
      </w:pPr>
      <w:r>
        <w:rPr/>
        <w:pict>
          <v:line style="position:absolute;mso-position-horizontal-relative:page;mso-position-vertical-relative:paragraph;z-index:7024;mso-wrap-distance-left:0;mso-wrap-distance-right:0" from="65.280998pt,14.278575pt" to="478.559998pt,14.278575pt" stroked="true" strokeweight=".959pt" strokecolor="#000000">
            <v:stroke dashstyle="solid"/>
            <w10:wrap type="topAndBottom"/>
          </v:line>
        </w:pict>
      </w:r>
    </w:p>
    <w:p>
      <w:pPr>
        <w:tabs>
          <w:tab w:pos="5022" w:val="left" w:leader="none"/>
          <w:tab w:pos="6305" w:val="left" w:leader="none"/>
          <w:tab w:pos="7579" w:val="left" w:leader="none"/>
        </w:tabs>
        <w:spacing w:before="0"/>
        <w:ind w:left="164" w:right="0" w:firstLine="0"/>
        <w:jc w:val="both"/>
        <w:rPr>
          <w:rFonts w:ascii="Tahoma"/>
          <w:sz w:val="20"/>
        </w:rPr>
      </w:pPr>
      <w:r>
        <w:rPr>
          <w:rFonts w:ascii="Tahoma"/>
          <w:w w:val="110"/>
          <w:position w:val="2"/>
          <w:sz w:val="15"/>
        </w:rPr>
        <w:t>(In millions, except per</w:t>
      </w:r>
      <w:r>
        <w:rPr>
          <w:rFonts w:ascii="Tahoma"/>
          <w:spacing w:val="-26"/>
          <w:w w:val="110"/>
          <w:position w:val="2"/>
          <w:sz w:val="15"/>
        </w:rPr>
        <w:t> </w:t>
      </w:r>
      <w:r>
        <w:rPr>
          <w:rFonts w:ascii="Tahoma"/>
          <w:w w:val="110"/>
          <w:position w:val="2"/>
          <w:sz w:val="15"/>
        </w:rPr>
        <w:t>share</w:t>
      </w:r>
      <w:r>
        <w:rPr>
          <w:rFonts w:ascii="Tahoma"/>
          <w:spacing w:val="-6"/>
          <w:w w:val="110"/>
          <w:position w:val="2"/>
          <w:sz w:val="15"/>
        </w:rPr>
        <w:t> </w:t>
      </w:r>
      <w:r>
        <w:rPr>
          <w:rFonts w:ascii="Tahoma"/>
          <w:w w:val="110"/>
          <w:position w:val="2"/>
          <w:sz w:val="15"/>
        </w:rPr>
        <w:t>amounts)</w:t>
        <w:tab/>
      </w:r>
      <w:r>
        <w:rPr>
          <w:rFonts w:ascii="Arial Black"/>
          <w:b/>
          <w:color w:val="0000D3"/>
          <w:w w:val="110"/>
          <w:sz w:val="20"/>
        </w:rPr>
        <w:t>2003</w:t>
        <w:tab/>
      </w:r>
      <w:r>
        <w:rPr>
          <w:rFonts w:ascii="Tahoma"/>
          <w:w w:val="110"/>
          <w:sz w:val="20"/>
        </w:rPr>
        <w:t>2002</w:t>
        <w:tab/>
        <w:t>2001</w:t>
      </w:r>
    </w:p>
    <w:p>
      <w:pPr>
        <w:pStyle w:val="BodyText"/>
        <w:spacing w:before="3"/>
        <w:rPr>
          <w:rFonts w:ascii="Tahoma"/>
          <w:sz w:val="22"/>
        </w:rPr>
      </w:pPr>
    </w:p>
    <w:tbl>
      <w:tblPr>
        <w:tblW w:w="0" w:type="auto"/>
        <w:jc w:val="left"/>
        <w:tblInd w:w="27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478"/>
        <w:gridCol w:w="1096"/>
        <w:gridCol w:w="178"/>
        <w:gridCol w:w="1096"/>
        <w:gridCol w:w="178"/>
        <w:gridCol w:w="1129"/>
      </w:tblGrid>
      <w:tr>
        <w:trPr>
          <w:trHeight w:val="340" w:hRule="exact"/>
        </w:trPr>
        <w:tc>
          <w:tcPr>
            <w:tcW w:w="4478" w:type="dxa"/>
          </w:tcPr>
          <w:p>
            <w:pPr>
              <w:pStyle w:val="TableParagraph"/>
              <w:ind w:left="35"/>
              <w:rPr>
                <w:rFonts w:ascii="Tahoma"/>
                <w:sz w:val="20"/>
              </w:rPr>
            </w:pPr>
            <w:r>
              <w:rPr>
                <w:rFonts w:ascii="Tahoma"/>
                <w:w w:val="110"/>
                <w:sz w:val="20"/>
              </w:rPr>
              <w:t>Net income</w:t>
            </w:r>
          </w:p>
        </w:tc>
        <w:tc>
          <w:tcPr>
            <w:tcW w:w="1096" w:type="dxa"/>
          </w:tcPr>
          <w:p>
            <w:pPr>
              <w:pStyle w:val="TableParagraph"/>
              <w:tabs>
                <w:tab w:pos="528" w:val="left" w:leader="none"/>
              </w:tabs>
              <w:spacing w:line="262" w:lineRule="exact"/>
              <w:ind w:left="144"/>
              <w:rPr>
                <w:rFonts w:ascii="Arial Black"/>
                <w:b/>
                <w:sz w:val="20"/>
              </w:rPr>
            </w:pPr>
            <w:r>
              <w:rPr>
                <w:rFonts w:ascii="Arial Black"/>
                <w:b/>
                <w:color w:val="0000D3"/>
                <w:sz w:val="20"/>
              </w:rPr>
              <w:t>$</w:t>
              <w:tab/>
            </w:r>
            <w:r>
              <w:rPr>
                <w:rFonts w:ascii="Arial Black"/>
                <w:b/>
                <w:color w:val="0000D3"/>
                <w:spacing w:val="4"/>
                <w:sz w:val="20"/>
              </w:rPr>
              <w:t>442</w:t>
            </w:r>
          </w:p>
        </w:tc>
        <w:tc>
          <w:tcPr>
            <w:tcW w:w="1274" w:type="dxa"/>
            <w:gridSpan w:val="2"/>
          </w:tcPr>
          <w:p>
            <w:pPr>
              <w:pStyle w:val="TableParagraph"/>
              <w:tabs>
                <w:tab w:pos="730" w:val="left" w:leader="none"/>
              </w:tabs>
              <w:ind w:left="312"/>
              <w:rPr>
                <w:rFonts w:ascii="Tahoma"/>
                <w:sz w:val="20"/>
              </w:rPr>
            </w:pPr>
            <w:r>
              <w:rPr>
                <w:rFonts w:ascii="Tahoma"/>
                <w:w w:val="125"/>
                <w:sz w:val="20"/>
              </w:rPr>
              <w:t>$</w:t>
              <w:tab/>
              <w:t>241</w:t>
            </w:r>
          </w:p>
        </w:tc>
        <w:tc>
          <w:tcPr>
            <w:tcW w:w="1306" w:type="dxa"/>
            <w:gridSpan w:val="2"/>
          </w:tcPr>
          <w:p>
            <w:pPr>
              <w:pStyle w:val="TableParagraph"/>
              <w:tabs>
                <w:tab w:pos="729" w:val="left" w:leader="none"/>
              </w:tabs>
              <w:ind w:left="312"/>
              <w:rPr>
                <w:rFonts w:ascii="Tahoma"/>
                <w:sz w:val="20"/>
              </w:rPr>
            </w:pPr>
            <w:r>
              <w:rPr>
                <w:rFonts w:ascii="Tahoma"/>
                <w:w w:val="125"/>
                <w:sz w:val="20"/>
              </w:rPr>
              <w:t>$</w:t>
              <w:tab/>
              <w:t>511</w:t>
            </w:r>
          </w:p>
        </w:tc>
      </w:tr>
      <w:tr>
        <w:trPr>
          <w:trHeight w:val="330" w:hRule="exact"/>
        </w:trPr>
        <w:tc>
          <w:tcPr>
            <w:tcW w:w="4478" w:type="dxa"/>
          </w:tcPr>
          <w:p>
            <w:pPr>
              <w:pStyle w:val="TableParagraph"/>
              <w:spacing w:before="53"/>
              <w:ind w:left="33"/>
              <w:rPr>
                <w:rFonts w:ascii="Tahoma"/>
                <w:sz w:val="20"/>
              </w:rPr>
            </w:pPr>
            <w:r>
              <w:rPr>
                <w:rFonts w:ascii="Tahoma"/>
                <w:w w:val="110"/>
                <w:sz w:val="20"/>
              </w:rPr>
              <w:t>Weighted-average shares</w:t>
            </w:r>
          </w:p>
        </w:tc>
        <w:tc>
          <w:tcPr>
            <w:tcW w:w="1096" w:type="dxa"/>
          </w:tcPr>
          <w:p>
            <w:pPr/>
          </w:p>
        </w:tc>
        <w:tc>
          <w:tcPr>
            <w:tcW w:w="1274" w:type="dxa"/>
            <w:gridSpan w:val="2"/>
          </w:tcPr>
          <w:p>
            <w:pPr/>
          </w:p>
        </w:tc>
        <w:tc>
          <w:tcPr>
            <w:tcW w:w="1306" w:type="dxa"/>
            <w:gridSpan w:val="2"/>
          </w:tcPr>
          <w:p>
            <w:pPr/>
          </w:p>
        </w:tc>
      </w:tr>
      <w:tr>
        <w:trPr>
          <w:trHeight w:val="278" w:hRule="exact"/>
        </w:trPr>
        <w:tc>
          <w:tcPr>
            <w:tcW w:w="4478" w:type="dxa"/>
          </w:tcPr>
          <w:p>
            <w:pPr>
              <w:pStyle w:val="TableParagraph"/>
              <w:spacing w:line="232" w:lineRule="exact"/>
              <w:ind w:left="171"/>
              <w:rPr>
                <w:rFonts w:ascii="Tahoma"/>
                <w:sz w:val="20"/>
              </w:rPr>
            </w:pPr>
            <w:r>
              <w:rPr>
                <w:rFonts w:ascii="Tahoma"/>
                <w:w w:val="110"/>
                <w:sz w:val="20"/>
              </w:rPr>
              <w:t>outstanding, basic</w:t>
            </w:r>
          </w:p>
        </w:tc>
        <w:tc>
          <w:tcPr>
            <w:tcW w:w="1096" w:type="dxa"/>
          </w:tcPr>
          <w:p>
            <w:pPr>
              <w:pStyle w:val="TableParagraph"/>
              <w:spacing w:line="253" w:lineRule="exact"/>
              <w:ind w:left="528"/>
              <w:rPr>
                <w:rFonts w:ascii="Arial Black"/>
                <w:b/>
                <w:sz w:val="20"/>
              </w:rPr>
            </w:pPr>
            <w:r>
              <w:rPr>
                <w:rFonts w:ascii="Arial Black"/>
                <w:b/>
                <w:color w:val="0000D3"/>
                <w:sz w:val="20"/>
              </w:rPr>
              <w:t>783</w:t>
            </w:r>
          </w:p>
        </w:tc>
        <w:tc>
          <w:tcPr>
            <w:tcW w:w="1274" w:type="dxa"/>
            <w:gridSpan w:val="2"/>
          </w:tcPr>
          <w:p>
            <w:pPr>
              <w:pStyle w:val="TableParagraph"/>
              <w:spacing w:line="232" w:lineRule="exact"/>
              <w:ind w:left="730"/>
              <w:rPr>
                <w:rFonts w:ascii="Tahoma"/>
                <w:sz w:val="20"/>
              </w:rPr>
            </w:pPr>
            <w:r>
              <w:rPr>
                <w:rFonts w:ascii="Tahoma"/>
                <w:w w:val="125"/>
                <w:sz w:val="20"/>
              </w:rPr>
              <w:t>773</w:t>
            </w:r>
          </w:p>
        </w:tc>
        <w:tc>
          <w:tcPr>
            <w:tcW w:w="1306" w:type="dxa"/>
            <w:gridSpan w:val="2"/>
          </w:tcPr>
          <w:p>
            <w:pPr>
              <w:pStyle w:val="TableParagraph"/>
              <w:spacing w:line="232" w:lineRule="exact"/>
              <w:ind w:left="730"/>
              <w:rPr>
                <w:rFonts w:ascii="Tahoma"/>
                <w:sz w:val="20"/>
              </w:rPr>
            </w:pPr>
            <w:r>
              <w:rPr>
                <w:rFonts w:ascii="Tahoma"/>
                <w:w w:val="125"/>
                <w:sz w:val="20"/>
              </w:rPr>
              <w:t>763</w:t>
            </w:r>
          </w:p>
        </w:tc>
      </w:tr>
      <w:tr>
        <w:trPr>
          <w:trHeight w:val="785" w:hRule="exact"/>
        </w:trPr>
        <w:tc>
          <w:tcPr>
            <w:tcW w:w="8154" w:type="dxa"/>
            <w:gridSpan w:val="6"/>
          </w:tcPr>
          <w:p>
            <w:pPr>
              <w:pStyle w:val="TableParagraph"/>
              <w:spacing w:line="223" w:lineRule="exact"/>
              <w:ind w:left="32"/>
              <w:rPr>
                <w:rFonts w:ascii="Tahoma"/>
                <w:sz w:val="20"/>
              </w:rPr>
            </w:pPr>
            <w:r>
              <w:rPr>
                <w:rFonts w:ascii="Tahoma"/>
                <w:w w:val="110"/>
                <w:sz w:val="20"/>
              </w:rPr>
              <w:t>Dilutive effect of Employee</w:t>
            </w:r>
          </w:p>
          <w:p>
            <w:pPr>
              <w:pStyle w:val="TableParagraph"/>
              <w:tabs>
                <w:tab w:pos="4478" w:val="left" w:leader="none"/>
                <w:tab w:pos="5146" w:val="left" w:leader="none"/>
                <w:tab w:pos="6438" w:val="left" w:leader="none"/>
                <w:tab w:pos="7712" w:val="left" w:leader="none"/>
              </w:tabs>
              <w:spacing w:line="244" w:lineRule="auto" w:before="6"/>
              <w:ind w:left="35" w:right="30" w:firstLine="131"/>
              <w:rPr>
                <w:rFonts w:ascii="Tahoma"/>
                <w:sz w:val="20"/>
              </w:rPr>
            </w:pPr>
            <w:r>
              <w:rPr>
                <w:rFonts w:ascii="Tahoma"/>
                <w:w w:val="110"/>
                <w:sz w:val="20"/>
              </w:rPr>
              <w:t>stock</w:t>
            </w:r>
            <w:r>
              <w:rPr>
                <w:rFonts w:ascii="Tahoma"/>
                <w:spacing w:val="10"/>
                <w:w w:val="110"/>
                <w:sz w:val="20"/>
              </w:rPr>
              <w:t> </w:t>
            </w:r>
            <w:r>
              <w:rPr>
                <w:rFonts w:ascii="Tahoma"/>
                <w:w w:val="110"/>
                <w:sz w:val="20"/>
              </w:rPr>
              <w:t>options</w:t>
              <w:tab/>
            </w:r>
            <w:r>
              <w:rPr>
                <w:rFonts w:ascii="Arial Black"/>
                <w:b/>
                <w:color w:val="0000D3"/>
                <w:w w:val="110"/>
                <w:sz w:val="20"/>
                <w:u w:val="single" w:color="000000"/>
              </w:rPr>
              <w:t> </w:t>
              <w:tab/>
            </w:r>
            <w:r>
              <w:rPr>
                <w:rFonts w:ascii="Arial Black"/>
                <w:b/>
                <w:color w:val="0000D3"/>
                <w:spacing w:val="4"/>
                <w:w w:val="110"/>
                <w:sz w:val="20"/>
                <w:u w:val="single" w:color="000000"/>
              </w:rPr>
              <w:t>39</w:t>
            </w:r>
            <w:r>
              <w:rPr>
                <w:rFonts w:ascii="Tahoma"/>
                <w:spacing w:val="4"/>
                <w:w w:val="110"/>
                <w:sz w:val="20"/>
                <w:u w:val="single"/>
              </w:rPr>
              <w:t> </w:t>
              <w:tab/>
            </w:r>
            <w:r>
              <w:rPr>
                <w:rFonts w:ascii="Tahoma"/>
                <w:w w:val="110"/>
                <w:sz w:val="20"/>
                <w:u w:val="single"/>
              </w:rPr>
              <w:t>36 </w:t>
              <w:tab/>
              <w:t>44 </w:t>
            </w:r>
            <w:r>
              <w:rPr>
                <w:rFonts w:ascii="Tahoma"/>
                <w:w w:val="110"/>
                <w:sz w:val="20"/>
              </w:rPr>
              <w:t>Adjusted</w:t>
            </w:r>
            <w:r>
              <w:rPr>
                <w:rFonts w:ascii="Tahoma"/>
                <w:spacing w:val="20"/>
                <w:w w:val="110"/>
                <w:sz w:val="20"/>
              </w:rPr>
              <w:t> </w:t>
            </w:r>
            <w:r>
              <w:rPr>
                <w:rFonts w:ascii="Tahoma"/>
                <w:w w:val="110"/>
                <w:sz w:val="20"/>
              </w:rPr>
              <w:t>weighted-average</w:t>
            </w:r>
          </w:p>
        </w:tc>
      </w:tr>
      <w:tr>
        <w:trPr>
          <w:trHeight w:val="642" w:hRule="exact"/>
        </w:trPr>
        <w:tc>
          <w:tcPr>
            <w:tcW w:w="4478" w:type="dxa"/>
          </w:tcPr>
          <w:p>
            <w:pPr>
              <w:pStyle w:val="TableParagraph"/>
              <w:ind w:left="169"/>
              <w:rPr>
                <w:rFonts w:ascii="Tahoma"/>
                <w:sz w:val="20"/>
              </w:rPr>
            </w:pPr>
            <w:r>
              <w:rPr>
                <w:rFonts w:ascii="Tahoma"/>
                <w:w w:val="110"/>
                <w:sz w:val="20"/>
              </w:rPr>
              <w:t>shares outstanding, diluted</w:t>
            </w:r>
          </w:p>
        </w:tc>
        <w:tc>
          <w:tcPr>
            <w:tcW w:w="1096" w:type="dxa"/>
            <w:tcBorders>
              <w:bottom w:val="single" w:sz="8" w:space="0" w:color="000000"/>
            </w:tcBorders>
          </w:tcPr>
          <w:p>
            <w:pPr>
              <w:pStyle w:val="TableParagraph"/>
              <w:tabs>
                <w:tab w:pos="528" w:val="left" w:leader="none"/>
              </w:tabs>
              <w:spacing w:line="262" w:lineRule="exact"/>
              <w:rPr>
                <w:rFonts w:ascii="Arial Black"/>
                <w:b/>
                <w:sz w:val="20"/>
              </w:rPr>
            </w:pPr>
            <w:r>
              <w:rPr>
                <w:rFonts w:ascii="Arial Black"/>
                <w:b/>
                <w:color w:val="0000D3"/>
                <w:w w:val="100"/>
                <w:sz w:val="20"/>
                <w:u w:val="thick" w:color="000000"/>
              </w:rPr>
              <w:t> </w:t>
            </w:r>
            <w:r>
              <w:rPr>
                <w:rFonts w:ascii="Arial Black"/>
                <w:b/>
                <w:color w:val="0000D3"/>
                <w:sz w:val="20"/>
                <w:u w:val="thick" w:color="000000"/>
              </w:rPr>
              <w:tab/>
            </w:r>
            <w:r>
              <w:rPr>
                <w:rFonts w:ascii="Arial Black"/>
                <w:b/>
                <w:color w:val="0000D3"/>
                <w:spacing w:val="4"/>
                <w:sz w:val="20"/>
                <w:u w:val="thick" w:color="000000"/>
              </w:rPr>
              <w:t>822</w:t>
            </w:r>
            <w:r>
              <w:rPr>
                <w:rFonts w:ascii="Arial Black"/>
                <w:b/>
                <w:color w:val="0000D3"/>
                <w:spacing w:val="15"/>
                <w:sz w:val="20"/>
                <w:u w:val="thick" w:color="000000"/>
              </w:rPr>
              <w:t> </w:t>
            </w:r>
          </w:p>
        </w:tc>
        <w:tc>
          <w:tcPr>
            <w:tcW w:w="178" w:type="dxa"/>
          </w:tcPr>
          <w:p>
            <w:pPr/>
          </w:p>
        </w:tc>
        <w:tc>
          <w:tcPr>
            <w:tcW w:w="1096" w:type="dxa"/>
            <w:tcBorders>
              <w:bottom w:val="single" w:sz="8" w:space="0" w:color="000000"/>
            </w:tcBorders>
          </w:tcPr>
          <w:p>
            <w:pPr>
              <w:pStyle w:val="TableParagraph"/>
              <w:tabs>
                <w:tab w:pos="552" w:val="left" w:leader="none"/>
              </w:tabs>
              <w:ind w:left="-1"/>
              <w:jc w:val="center"/>
              <w:rPr>
                <w:rFonts w:ascii="Tahoma"/>
                <w:sz w:val="20"/>
              </w:rPr>
            </w:pPr>
            <w:r>
              <w:rPr>
                <w:rFonts w:ascii="Tahoma"/>
                <w:w w:val="107"/>
                <w:sz w:val="20"/>
                <w:u w:val="thick"/>
              </w:rPr>
              <w:t> </w:t>
            </w:r>
            <w:r>
              <w:rPr>
                <w:rFonts w:ascii="Tahoma"/>
                <w:sz w:val="20"/>
                <w:u w:val="thick"/>
              </w:rPr>
              <w:tab/>
            </w:r>
            <w:r>
              <w:rPr>
                <w:rFonts w:ascii="Tahoma"/>
                <w:w w:val="125"/>
                <w:sz w:val="20"/>
                <w:u w:val="thick"/>
              </w:rPr>
              <w:t>809</w:t>
            </w:r>
            <w:r>
              <w:rPr>
                <w:rFonts w:ascii="Tahoma"/>
                <w:spacing w:val="14"/>
                <w:sz w:val="20"/>
                <w:u w:val="thick"/>
              </w:rPr>
              <w:t> </w:t>
            </w:r>
          </w:p>
        </w:tc>
        <w:tc>
          <w:tcPr>
            <w:tcW w:w="178" w:type="dxa"/>
          </w:tcPr>
          <w:p>
            <w:pPr/>
          </w:p>
        </w:tc>
        <w:tc>
          <w:tcPr>
            <w:tcW w:w="1129" w:type="dxa"/>
            <w:tcBorders>
              <w:bottom w:val="single" w:sz="8" w:space="0" w:color="000000"/>
            </w:tcBorders>
          </w:tcPr>
          <w:p>
            <w:pPr>
              <w:pStyle w:val="TableParagraph"/>
              <w:tabs>
                <w:tab w:pos="552" w:val="left" w:leader="none"/>
              </w:tabs>
              <w:ind w:right="30"/>
              <w:jc w:val="center"/>
              <w:rPr>
                <w:rFonts w:ascii="Tahoma"/>
                <w:sz w:val="20"/>
              </w:rPr>
            </w:pPr>
            <w:r>
              <w:rPr>
                <w:rFonts w:ascii="Tahoma"/>
                <w:w w:val="107"/>
                <w:sz w:val="20"/>
                <w:u w:val="thick"/>
              </w:rPr>
              <w:t> </w:t>
            </w:r>
            <w:r>
              <w:rPr>
                <w:rFonts w:ascii="Tahoma"/>
                <w:sz w:val="20"/>
                <w:u w:val="thick"/>
              </w:rPr>
              <w:tab/>
            </w:r>
            <w:r>
              <w:rPr>
                <w:rFonts w:ascii="Tahoma"/>
                <w:w w:val="125"/>
                <w:sz w:val="20"/>
                <w:u w:val="thick"/>
              </w:rPr>
              <w:t>807</w:t>
            </w:r>
            <w:r>
              <w:rPr>
                <w:rFonts w:ascii="Tahoma"/>
                <w:spacing w:val="13"/>
                <w:sz w:val="20"/>
                <w:u w:val="thick"/>
              </w:rPr>
              <w:t> </w:t>
            </w:r>
          </w:p>
        </w:tc>
      </w:tr>
      <w:tr>
        <w:trPr>
          <w:trHeight w:val="661" w:hRule="exact"/>
        </w:trPr>
        <w:tc>
          <w:tcPr>
            <w:tcW w:w="4478" w:type="dxa"/>
          </w:tcPr>
          <w:p>
            <w:pPr>
              <w:pStyle w:val="TableParagraph"/>
              <w:ind w:left="33"/>
              <w:rPr>
                <w:rFonts w:ascii="Tahoma"/>
                <w:sz w:val="20"/>
              </w:rPr>
            </w:pPr>
            <w:r>
              <w:rPr>
                <w:rFonts w:ascii="Tahoma"/>
                <w:w w:val="110"/>
                <w:sz w:val="20"/>
              </w:rPr>
              <w:t>Net income per share, basic</w:t>
            </w:r>
          </w:p>
        </w:tc>
        <w:tc>
          <w:tcPr>
            <w:tcW w:w="1096" w:type="dxa"/>
            <w:tcBorders>
              <w:top w:val="single" w:sz="8" w:space="0" w:color="000000"/>
              <w:bottom w:val="single" w:sz="8" w:space="0" w:color="000000"/>
            </w:tcBorders>
          </w:tcPr>
          <w:p>
            <w:pPr>
              <w:pStyle w:val="TableParagraph"/>
              <w:tabs>
                <w:tab w:pos="635" w:val="left" w:leader="none"/>
              </w:tabs>
              <w:spacing w:line="249" w:lineRule="exact"/>
              <w:rPr>
                <w:rFonts w:ascii="Arial Black"/>
                <w:b/>
                <w:sz w:val="20"/>
              </w:rPr>
            </w:pPr>
            <w:r>
              <w:rPr>
                <w:rFonts w:ascii="Arial Black"/>
                <w:b/>
                <w:color w:val="0000D3"/>
                <w:w w:val="100"/>
                <w:sz w:val="20"/>
                <w:u w:val="thick" w:color="000000"/>
              </w:rPr>
              <w:t> </w:t>
            </w:r>
            <w:r>
              <w:rPr>
                <w:rFonts w:ascii="Arial Black"/>
                <w:b/>
                <w:color w:val="0000D3"/>
                <w:sz w:val="20"/>
                <w:u w:val="thick" w:color="000000"/>
              </w:rPr>
              <w:t> </w:t>
            </w:r>
            <w:r>
              <w:rPr>
                <w:rFonts w:ascii="Arial Black"/>
                <w:b/>
                <w:color w:val="0000D3"/>
                <w:spacing w:val="-4"/>
                <w:sz w:val="20"/>
                <w:u w:val="thick" w:color="000000"/>
              </w:rPr>
              <w:t> </w:t>
            </w:r>
            <w:r>
              <w:rPr>
                <w:rFonts w:ascii="Arial Black"/>
                <w:b/>
                <w:color w:val="0000D3"/>
                <w:sz w:val="20"/>
                <w:u w:val="thick" w:color="000000"/>
              </w:rPr>
              <w:t>$</w:t>
              <w:tab/>
              <w:t>.56</w:t>
            </w:r>
            <w:r>
              <w:rPr>
                <w:rFonts w:ascii="Arial Black"/>
                <w:b/>
                <w:color w:val="0000D3"/>
                <w:spacing w:val="-6"/>
                <w:sz w:val="20"/>
                <w:u w:val="thick" w:color="000000"/>
              </w:rPr>
              <w:t> </w:t>
            </w:r>
          </w:p>
        </w:tc>
        <w:tc>
          <w:tcPr>
            <w:tcW w:w="178" w:type="dxa"/>
          </w:tcPr>
          <w:p>
            <w:pPr/>
          </w:p>
        </w:tc>
        <w:tc>
          <w:tcPr>
            <w:tcW w:w="1096" w:type="dxa"/>
            <w:tcBorders>
              <w:top w:val="single" w:sz="8" w:space="0" w:color="000000"/>
              <w:bottom w:val="single" w:sz="8" w:space="0" w:color="000000"/>
            </w:tcBorders>
          </w:tcPr>
          <w:p>
            <w:pPr>
              <w:pStyle w:val="TableParagraph"/>
              <w:tabs>
                <w:tab w:pos="649" w:val="left" w:leader="none"/>
              </w:tabs>
              <w:spacing w:line="228" w:lineRule="exact"/>
              <w:jc w:val="center"/>
              <w:rPr>
                <w:rFonts w:ascii="Tahoma"/>
                <w:sz w:val="20"/>
              </w:rPr>
            </w:pPr>
            <w:r>
              <w:rPr>
                <w:rFonts w:ascii="Tahoma"/>
                <w:w w:val="107"/>
                <w:sz w:val="20"/>
                <w:u w:val="thick"/>
              </w:rPr>
              <w:t> </w:t>
            </w:r>
            <w:r>
              <w:rPr>
                <w:rFonts w:ascii="Tahoma"/>
                <w:sz w:val="20"/>
                <w:u w:val="thick"/>
              </w:rPr>
              <w:t>  </w:t>
            </w:r>
            <w:r>
              <w:rPr>
                <w:rFonts w:ascii="Tahoma"/>
                <w:spacing w:val="-10"/>
                <w:sz w:val="20"/>
                <w:u w:val="thick"/>
              </w:rPr>
              <w:t> </w:t>
            </w:r>
            <w:r>
              <w:rPr>
                <w:rFonts w:ascii="Tahoma"/>
                <w:w w:val="120"/>
                <w:sz w:val="20"/>
                <w:u w:val="thick"/>
              </w:rPr>
              <w:t>$</w:t>
              <w:tab/>
              <w:t>.31</w:t>
            </w:r>
            <w:r>
              <w:rPr>
                <w:rFonts w:ascii="Tahoma"/>
                <w:spacing w:val="-10"/>
                <w:sz w:val="20"/>
                <w:u w:val="thick"/>
              </w:rPr>
              <w:t> </w:t>
            </w:r>
          </w:p>
        </w:tc>
        <w:tc>
          <w:tcPr>
            <w:tcW w:w="178" w:type="dxa"/>
          </w:tcPr>
          <w:p>
            <w:pPr/>
          </w:p>
        </w:tc>
        <w:tc>
          <w:tcPr>
            <w:tcW w:w="1129" w:type="dxa"/>
            <w:tcBorders>
              <w:top w:val="single" w:sz="8" w:space="0" w:color="000000"/>
              <w:bottom w:val="single" w:sz="8" w:space="0" w:color="000000"/>
            </w:tcBorders>
          </w:tcPr>
          <w:p>
            <w:pPr>
              <w:pStyle w:val="TableParagraph"/>
              <w:tabs>
                <w:tab w:pos="649" w:val="left" w:leader="none"/>
              </w:tabs>
              <w:spacing w:line="228" w:lineRule="exact"/>
              <w:ind w:right="30"/>
              <w:jc w:val="center"/>
              <w:rPr>
                <w:rFonts w:ascii="Tahoma"/>
                <w:sz w:val="20"/>
              </w:rPr>
            </w:pPr>
            <w:r>
              <w:rPr>
                <w:rFonts w:ascii="Tahoma"/>
                <w:w w:val="107"/>
                <w:sz w:val="20"/>
                <w:u w:val="thick"/>
              </w:rPr>
              <w:t> </w:t>
            </w:r>
            <w:r>
              <w:rPr>
                <w:rFonts w:ascii="Tahoma"/>
                <w:sz w:val="20"/>
                <w:u w:val="thick"/>
              </w:rPr>
              <w:t>  </w:t>
            </w:r>
            <w:r>
              <w:rPr>
                <w:rFonts w:ascii="Tahoma"/>
                <w:spacing w:val="-10"/>
                <w:sz w:val="20"/>
                <w:u w:val="thick"/>
              </w:rPr>
              <w:t> </w:t>
            </w:r>
            <w:r>
              <w:rPr>
                <w:rFonts w:ascii="Tahoma"/>
                <w:w w:val="120"/>
                <w:sz w:val="20"/>
                <w:u w:val="thick"/>
              </w:rPr>
              <w:t>$</w:t>
              <w:tab/>
              <w:t>.67</w:t>
            </w:r>
            <w:r>
              <w:rPr>
                <w:rFonts w:ascii="Tahoma"/>
                <w:spacing w:val="-10"/>
                <w:sz w:val="20"/>
                <w:u w:val="thick"/>
              </w:rPr>
              <w:t> </w:t>
            </w:r>
          </w:p>
        </w:tc>
      </w:tr>
      <w:tr>
        <w:trPr>
          <w:trHeight w:val="287" w:hRule="exact"/>
        </w:trPr>
        <w:tc>
          <w:tcPr>
            <w:tcW w:w="4478" w:type="dxa"/>
          </w:tcPr>
          <w:p>
            <w:pPr>
              <w:pStyle w:val="TableParagraph"/>
              <w:ind w:left="32"/>
              <w:rPr>
                <w:rFonts w:ascii="Tahoma"/>
                <w:sz w:val="20"/>
              </w:rPr>
            </w:pPr>
            <w:r>
              <w:rPr>
                <w:rFonts w:ascii="Tahoma"/>
                <w:w w:val="110"/>
                <w:sz w:val="20"/>
              </w:rPr>
              <w:t>Net income per share, diluted</w:t>
            </w:r>
          </w:p>
        </w:tc>
        <w:tc>
          <w:tcPr>
            <w:tcW w:w="1096" w:type="dxa"/>
            <w:tcBorders>
              <w:top w:val="single" w:sz="8" w:space="0" w:color="000000"/>
            </w:tcBorders>
          </w:tcPr>
          <w:p>
            <w:pPr>
              <w:pStyle w:val="TableParagraph"/>
              <w:tabs>
                <w:tab w:pos="635" w:val="left" w:leader="none"/>
              </w:tabs>
              <w:spacing w:line="249" w:lineRule="exact"/>
              <w:rPr>
                <w:rFonts w:ascii="Arial Black"/>
                <w:b/>
                <w:sz w:val="20"/>
              </w:rPr>
            </w:pPr>
            <w:r>
              <w:rPr>
                <w:rFonts w:ascii="Arial Black"/>
                <w:b/>
                <w:color w:val="0000D3"/>
                <w:w w:val="100"/>
                <w:sz w:val="20"/>
                <w:u w:val="thick" w:color="000000"/>
              </w:rPr>
              <w:t> </w:t>
            </w:r>
            <w:r>
              <w:rPr>
                <w:rFonts w:ascii="Arial Black"/>
                <w:b/>
                <w:color w:val="0000D3"/>
                <w:sz w:val="20"/>
                <w:u w:val="thick" w:color="000000"/>
              </w:rPr>
              <w:t> </w:t>
            </w:r>
            <w:r>
              <w:rPr>
                <w:rFonts w:ascii="Arial Black"/>
                <w:b/>
                <w:color w:val="0000D3"/>
                <w:spacing w:val="-4"/>
                <w:sz w:val="20"/>
                <w:u w:val="thick" w:color="000000"/>
              </w:rPr>
              <w:t> </w:t>
            </w:r>
            <w:r>
              <w:rPr>
                <w:rFonts w:ascii="Arial Black"/>
                <w:b/>
                <w:color w:val="0000D3"/>
                <w:sz w:val="20"/>
                <w:u w:val="thick" w:color="000000"/>
              </w:rPr>
              <w:t>$</w:t>
              <w:tab/>
              <w:t>.54</w:t>
            </w:r>
            <w:r>
              <w:rPr>
                <w:rFonts w:ascii="Arial Black"/>
                <w:b/>
                <w:color w:val="0000D3"/>
                <w:spacing w:val="-6"/>
                <w:sz w:val="20"/>
                <w:u w:val="thick" w:color="000000"/>
              </w:rPr>
              <w:t> </w:t>
            </w:r>
          </w:p>
        </w:tc>
        <w:tc>
          <w:tcPr>
            <w:tcW w:w="178" w:type="dxa"/>
          </w:tcPr>
          <w:p>
            <w:pPr/>
          </w:p>
        </w:tc>
        <w:tc>
          <w:tcPr>
            <w:tcW w:w="1096" w:type="dxa"/>
            <w:tcBorders>
              <w:top w:val="single" w:sz="8" w:space="0" w:color="000000"/>
            </w:tcBorders>
          </w:tcPr>
          <w:p>
            <w:pPr>
              <w:pStyle w:val="TableParagraph"/>
              <w:tabs>
                <w:tab w:pos="649" w:val="left" w:leader="none"/>
              </w:tabs>
              <w:spacing w:line="228" w:lineRule="exact"/>
              <w:jc w:val="center"/>
              <w:rPr>
                <w:rFonts w:ascii="Tahoma"/>
                <w:sz w:val="20"/>
              </w:rPr>
            </w:pPr>
            <w:r>
              <w:rPr>
                <w:rFonts w:ascii="Tahoma"/>
                <w:w w:val="107"/>
                <w:sz w:val="20"/>
                <w:u w:val="thick"/>
              </w:rPr>
              <w:t> </w:t>
            </w:r>
            <w:r>
              <w:rPr>
                <w:rFonts w:ascii="Tahoma"/>
                <w:sz w:val="20"/>
                <w:u w:val="thick"/>
              </w:rPr>
              <w:t>  </w:t>
            </w:r>
            <w:r>
              <w:rPr>
                <w:rFonts w:ascii="Tahoma"/>
                <w:spacing w:val="-10"/>
                <w:sz w:val="20"/>
                <w:u w:val="thick"/>
              </w:rPr>
              <w:t> </w:t>
            </w:r>
            <w:r>
              <w:rPr>
                <w:rFonts w:ascii="Tahoma"/>
                <w:w w:val="120"/>
                <w:sz w:val="20"/>
                <w:u w:val="thick"/>
              </w:rPr>
              <w:t>$</w:t>
              <w:tab/>
              <w:t>.30</w:t>
            </w:r>
            <w:r>
              <w:rPr>
                <w:rFonts w:ascii="Tahoma"/>
                <w:spacing w:val="-10"/>
                <w:sz w:val="20"/>
                <w:u w:val="thick"/>
              </w:rPr>
              <w:t> </w:t>
            </w:r>
          </w:p>
        </w:tc>
        <w:tc>
          <w:tcPr>
            <w:tcW w:w="178" w:type="dxa"/>
          </w:tcPr>
          <w:p>
            <w:pPr/>
          </w:p>
        </w:tc>
        <w:tc>
          <w:tcPr>
            <w:tcW w:w="1129" w:type="dxa"/>
            <w:tcBorders>
              <w:top w:val="single" w:sz="8" w:space="0" w:color="000000"/>
            </w:tcBorders>
          </w:tcPr>
          <w:p>
            <w:pPr>
              <w:pStyle w:val="TableParagraph"/>
              <w:tabs>
                <w:tab w:pos="649" w:val="left" w:leader="none"/>
              </w:tabs>
              <w:spacing w:line="228" w:lineRule="exact"/>
              <w:ind w:right="30"/>
              <w:jc w:val="center"/>
              <w:rPr>
                <w:rFonts w:ascii="Tahoma"/>
                <w:sz w:val="20"/>
              </w:rPr>
            </w:pPr>
            <w:r>
              <w:rPr>
                <w:rFonts w:ascii="Tahoma"/>
                <w:w w:val="107"/>
                <w:sz w:val="20"/>
                <w:u w:val="thick"/>
              </w:rPr>
              <w:t> </w:t>
            </w:r>
            <w:r>
              <w:rPr>
                <w:rFonts w:ascii="Tahoma"/>
                <w:sz w:val="20"/>
                <w:u w:val="thick"/>
              </w:rPr>
              <w:t>  </w:t>
            </w:r>
            <w:r>
              <w:rPr>
                <w:rFonts w:ascii="Tahoma"/>
                <w:spacing w:val="-10"/>
                <w:sz w:val="20"/>
                <w:u w:val="thick"/>
              </w:rPr>
              <w:t> </w:t>
            </w:r>
            <w:r>
              <w:rPr>
                <w:rFonts w:ascii="Tahoma"/>
                <w:w w:val="120"/>
                <w:sz w:val="20"/>
                <w:u w:val="thick"/>
              </w:rPr>
              <w:t>$</w:t>
              <w:tab/>
              <w:t>.63</w:t>
            </w:r>
            <w:r>
              <w:rPr>
                <w:rFonts w:ascii="Tahoma"/>
                <w:spacing w:val="-10"/>
                <w:sz w:val="20"/>
                <w:u w:val="thick"/>
              </w:rPr>
              <w:t> </w:t>
            </w:r>
          </w:p>
        </w:tc>
      </w:tr>
    </w:tbl>
    <w:p>
      <w:pPr>
        <w:pStyle w:val="BodyText"/>
        <w:spacing w:line="220" w:lineRule="exact" w:before="222"/>
        <w:ind w:left="115" w:right="105"/>
        <w:jc w:val="both"/>
      </w:pPr>
      <w:r>
        <w:rPr>
          <w:spacing w:val="-2"/>
          <w:w w:val="105"/>
        </w:rPr>
        <w:t>The</w:t>
      </w:r>
      <w:r>
        <w:rPr>
          <w:spacing w:val="-9"/>
          <w:w w:val="105"/>
        </w:rPr>
        <w:t> </w:t>
      </w:r>
      <w:r>
        <w:rPr>
          <w:w w:val="105"/>
        </w:rPr>
        <w:t>Company</w:t>
      </w:r>
      <w:r>
        <w:rPr>
          <w:spacing w:val="-7"/>
          <w:w w:val="105"/>
        </w:rPr>
        <w:t> </w:t>
      </w:r>
      <w:r>
        <w:rPr>
          <w:spacing w:val="-3"/>
          <w:w w:val="105"/>
        </w:rPr>
        <w:t>has</w:t>
      </w:r>
      <w:r>
        <w:rPr>
          <w:spacing w:val="-7"/>
          <w:w w:val="105"/>
        </w:rPr>
        <w:t> </w:t>
      </w:r>
      <w:r>
        <w:rPr>
          <w:w w:val="105"/>
        </w:rPr>
        <w:t>excluded</w:t>
      </w:r>
      <w:r>
        <w:rPr>
          <w:spacing w:val="-11"/>
          <w:w w:val="105"/>
        </w:rPr>
        <w:t> </w:t>
      </w:r>
      <w:r>
        <w:rPr>
          <w:w w:val="105"/>
        </w:rPr>
        <w:t>10</w:t>
      </w:r>
      <w:r>
        <w:rPr>
          <w:spacing w:val="-7"/>
          <w:w w:val="105"/>
        </w:rPr>
        <w:t> </w:t>
      </w:r>
      <w:r>
        <w:rPr>
          <w:w w:val="105"/>
        </w:rPr>
        <w:t>million,</w:t>
      </w:r>
      <w:r>
        <w:rPr>
          <w:spacing w:val="-10"/>
          <w:w w:val="105"/>
        </w:rPr>
        <w:t> </w:t>
      </w:r>
      <w:r>
        <w:rPr>
          <w:w w:val="105"/>
        </w:rPr>
        <w:t>11</w:t>
      </w:r>
      <w:r>
        <w:rPr>
          <w:spacing w:val="-7"/>
          <w:w w:val="105"/>
        </w:rPr>
        <w:t> </w:t>
      </w:r>
      <w:r>
        <w:rPr>
          <w:w w:val="105"/>
        </w:rPr>
        <w:t>million,</w:t>
      </w:r>
      <w:r>
        <w:rPr>
          <w:spacing w:val="-14"/>
          <w:w w:val="105"/>
        </w:rPr>
        <w:t> </w:t>
      </w:r>
      <w:r>
        <w:rPr>
          <w:w w:val="105"/>
        </w:rPr>
        <w:t>and</w:t>
      </w:r>
      <w:r>
        <w:rPr>
          <w:spacing w:val="-7"/>
          <w:w w:val="105"/>
        </w:rPr>
        <w:t> </w:t>
      </w:r>
      <w:r>
        <w:rPr>
          <w:w w:val="105"/>
        </w:rPr>
        <w:t>6</w:t>
      </w:r>
      <w:r>
        <w:rPr>
          <w:spacing w:val="-7"/>
          <w:w w:val="105"/>
        </w:rPr>
        <w:t> </w:t>
      </w:r>
      <w:r>
        <w:rPr>
          <w:w w:val="105"/>
        </w:rPr>
        <w:t>million</w:t>
      </w:r>
      <w:r>
        <w:rPr>
          <w:spacing w:val="-7"/>
          <w:w w:val="105"/>
        </w:rPr>
        <w:t> </w:t>
      </w:r>
      <w:r>
        <w:rPr>
          <w:w w:val="105"/>
        </w:rPr>
        <w:t>shares</w:t>
      </w:r>
      <w:r>
        <w:rPr>
          <w:spacing w:val="-11"/>
          <w:w w:val="105"/>
        </w:rPr>
        <w:t> </w:t>
      </w:r>
      <w:r>
        <w:rPr>
          <w:w w:val="105"/>
        </w:rPr>
        <w:t>from</w:t>
      </w:r>
      <w:r>
        <w:rPr>
          <w:spacing w:val="-10"/>
          <w:w w:val="105"/>
        </w:rPr>
        <w:t> </w:t>
      </w:r>
      <w:r>
        <w:rPr>
          <w:w w:val="105"/>
        </w:rPr>
        <w:t>its</w:t>
      </w:r>
      <w:r>
        <w:rPr>
          <w:spacing w:val="-7"/>
          <w:w w:val="105"/>
        </w:rPr>
        <w:t> </w:t>
      </w:r>
      <w:r>
        <w:rPr>
          <w:w w:val="105"/>
        </w:rPr>
        <w:t>calculations</w:t>
      </w:r>
      <w:r>
        <w:rPr>
          <w:spacing w:val="-7"/>
          <w:w w:val="105"/>
        </w:rPr>
        <w:t> </w:t>
      </w:r>
      <w:r>
        <w:rPr>
          <w:w w:val="105"/>
        </w:rPr>
        <w:t>of</w:t>
      </w:r>
      <w:r>
        <w:rPr>
          <w:spacing w:val="-9"/>
          <w:w w:val="105"/>
        </w:rPr>
        <w:t> </w:t>
      </w:r>
      <w:r>
        <w:rPr>
          <w:spacing w:val="-3"/>
          <w:w w:val="105"/>
        </w:rPr>
        <w:t>net</w:t>
      </w:r>
      <w:r>
        <w:rPr>
          <w:spacing w:val="-7"/>
          <w:w w:val="105"/>
        </w:rPr>
        <w:t> </w:t>
      </w:r>
      <w:r>
        <w:rPr>
          <w:w w:val="105"/>
        </w:rPr>
        <w:t>income</w:t>
      </w:r>
      <w:r>
        <w:rPr>
          <w:spacing w:val="-9"/>
          <w:w w:val="105"/>
        </w:rPr>
        <w:t> </w:t>
      </w:r>
      <w:r>
        <w:rPr>
          <w:w w:val="105"/>
        </w:rPr>
        <w:t>per share, diluted, in 2003, 2002, </w:t>
      </w:r>
      <w:r>
        <w:rPr>
          <w:spacing w:val="-3"/>
          <w:w w:val="105"/>
        </w:rPr>
        <w:t>and </w:t>
      </w:r>
      <w:r>
        <w:rPr>
          <w:w w:val="105"/>
        </w:rPr>
        <w:t>2001, respectively, </w:t>
      </w:r>
      <w:r>
        <w:rPr>
          <w:spacing w:val="-3"/>
          <w:w w:val="105"/>
        </w:rPr>
        <w:t>as </w:t>
      </w:r>
      <w:r>
        <w:rPr>
          <w:w w:val="105"/>
        </w:rPr>
        <w:t>they </w:t>
      </w:r>
      <w:r>
        <w:rPr>
          <w:spacing w:val="-3"/>
          <w:w w:val="105"/>
        </w:rPr>
        <w:t>represent </w:t>
      </w:r>
      <w:r>
        <w:rPr>
          <w:w w:val="105"/>
        </w:rPr>
        <w:t>antidilutive stock options </w:t>
      </w:r>
      <w:r>
        <w:rPr>
          <w:spacing w:val="-3"/>
          <w:w w:val="105"/>
        </w:rPr>
        <w:t>for </w:t>
      </w:r>
      <w:r>
        <w:rPr>
          <w:w w:val="105"/>
        </w:rPr>
        <w:t>the </w:t>
      </w:r>
      <w:r>
        <w:rPr/>
        <w:t>respective periods</w:t>
      </w:r>
      <w:r>
        <w:rPr>
          <w:spacing w:val="13"/>
        </w:rPr>
        <w:t> </w:t>
      </w:r>
      <w:r>
        <w:rPr/>
        <w:t>presented.</w:t>
      </w:r>
    </w:p>
    <w:p>
      <w:pPr>
        <w:spacing w:after="0" w:line="220" w:lineRule="exact"/>
        <w:jc w:val="both"/>
        <w:sectPr>
          <w:pgSz w:w="12240" w:h="15840"/>
          <w:pgMar w:top="1080" w:bottom="280" w:left="1180" w:right="1180"/>
        </w:sectPr>
      </w:pPr>
    </w:p>
    <w:p>
      <w:pPr>
        <w:pStyle w:val="Heading2"/>
        <w:spacing w:before="96"/>
        <w:ind w:left="2962"/>
      </w:pPr>
      <w:bookmarkStart w:name="Report of Independent Auditors" w:id="59"/>
      <w:bookmarkEnd w:id="59"/>
      <w:r>
        <w:rPr>
          <w:b w:val="0"/>
        </w:rPr>
      </w:r>
      <w:r>
        <w:rPr>
          <w:w w:val="105"/>
        </w:rPr>
        <w:t>REPORT OF INDEPENDENT AUDITORS</w:t>
      </w:r>
    </w:p>
    <w:p>
      <w:pPr>
        <w:pStyle w:val="BodyText"/>
        <w:spacing w:before="6"/>
        <w:rPr>
          <w:b/>
          <w:sz w:val="38"/>
        </w:rPr>
      </w:pPr>
    </w:p>
    <w:p>
      <w:pPr>
        <w:spacing w:line="216" w:lineRule="exact" w:before="0"/>
        <w:ind w:left="115" w:right="4557" w:firstLine="0"/>
        <w:jc w:val="left"/>
        <w:rPr>
          <w:b/>
          <w:sz w:val="21"/>
        </w:rPr>
      </w:pPr>
      <w:r>
        <w:rPr>
          <w:b/>
          <w:w w:val="105"/>
          <w:sz w:val="21"/>
        </w:rPr>
        <w:t>THE</w:t>
      </w:r>
      <w:r>
        <w:rPr>
          <w:b/>
          <w:spacing w:val="-27"/>
          <w:w w:val="105"/>
          <w:sz w:val="21"/>
        </w:rPr>
        <w:t> </w:t>
      </w:r>
      <w:r>
        <w:rPr>
          <w:b/>
          <w:spacing w:val="-5"/>
          <w:w w:val="105"/>
          <w:sz w:val="21"/>
        </w:rPr>
        <w:t>BOARD</w:t>
      </w:r>
      <w:r>
        <w:rPr>
          <w:b/>
          <w:spacing w:val="-28"/>
          <w:w w:val="105"/>
          <w:sz w:val="21"/>
        </w:rPr>
        <w:t> </w:t>
      </w:r>
      <w:r>
        <w:rPr>
          <w:b/>
          <w:spacing w:val="-3"/>
          <w:w w:val="105"/>
          <w:sz w:val="21"/>
        </w:rPr>
        <w:t>OF</w:t>
      </w:r>
      <w:r>
        <w:rPr>
          <w:b/>
          <w:spacing w:val="-28"/>
          <w:w w:val="105"/>
          <w:sz w:val="21"/>
        </w:rPr>
        <w:t> </w:t>
      </w:r>
      <w:r>
        <w:rPr>
          <w:b/>
          <w:spacing w:val="-4"/>
          <w:w w:val="105"/>
          <w:sz w:val="21"/>
        </w:rPr>
        <w:t>DIRECTORS</w:t>
      </w:r>
      <w:r>
        <w:rPr>
          <w:b/>
          <w:spacing w:val="-27"/>
          <w:w w:val="105"/>
          <w:sz w:val="21"/>
        </w:rPr>
        <w:t> </w:t>
      </w:r>
      <w:r>
        <w:rPr>
          <w:b/>
          <w:spacing w:val="-6"/>
          <w:w w:val="105"/>
          <w:sz w:val="21"/>
        </w:rPr>
        <w:t>AND</w:t>
      </w:r>
      <w:r>
        <w:rPr>
          <w:b/>
          <w:spacing w:val="-28"/>
          <w:w w:val="105"/>
          <w:sz w:val="21"/>
        </w:rPr>
        <w:t> </w:t>
      </w:r>
      <w:r>
        <w:rPr>
          <w:b/>
          <w:spacing w:val="-5"/>
          <w:w w:val="105"/>
          <w:sz w:val="21"/>
        </w:rPr>
        <w:t>SHAREHOLDERS </w:t>
      </w:r>
      <w:r>
        <w:rPr>
          <w:b/>
          <w:spacing w:val="-4"/>
          <w:w w:val="105"/>
          <w:sz w:val="21"/>
        </w:rPr>
        <w:t>SOUTHWEST</w:t>
      </w:r>
      <w:r>
        <w:rPr>
          <w:b/>
          <w:spacing w:val="-33"/>
          <w:w w:val="105"/>
          <w:sz w:val="21"/>
        </w:rPr>
        <w:t> </w:t>
      </w:r>
      <w:r>
        <w:rPr>
          <w:b/>
          <w:spacing w:val="-4"/>
          <w:w w:val="105"/>
          <w:sz w:val="21"/>
        </w:rPr>
        <w:t>AIRLINES</w:t>
      </w:r>
      <w:r>
        <w:rPr>
          <w:b/>
          <w:spacing w:val="-33"/>
          <w:w w:val="105"/>
          <w:sz w:val="21"/>
        </w:rPr>
        <w:t> </w:t>
      </w:r>
      <w:r>
        <w:rPr>
          <w:b/>
          <w:spacing w:val="-3"/>
          <w:w w:val="105"/>
          <w:sz w:val="21"/>
        </w:rPr>
        <w:t>CO.</w:t>
      </w:r>
    </w:p>
    <w:p>
      <w:pPr>
        <w:pStyle w:val="BodyText"/>
        <w:spacing w:line="218" w:lineRule="auto" w:before="219"/>
        <w:ind w:left="115" w:right="106"/>
        <w:jc w:val="both"/>
      </w:pPr>
      <w:r>
        <w:rPr>
          <w:spacing w:val="-4"/>
          <w:w w:val="105"/>
        </w:rPr>
        <w:t>We</w:t>
      </w:r>
      <w:r>
        <w:rPr>
          <w:spacing w:val="-3"/>
          <w:w w:val="105"/>
        </w:rPr>
        <w:t> </w:t>
      </w:r>
      <w:r>
        <w:rPr>
          <w:w w:val="105"/>
        </w:rPr>
        <w:t>have</w:t>
      </w:r>
      <w:r>
        <w:rPr>
          <w:spacing w:val="-6"/>
          <w:w w:val="105"/>
        </w:rPr>
        <w:t> </w:t>
      </w:r>
      <w:r>
        <w:rPr>
          <w:w w:val="105"/>
        </w:rPr>
        <w:t>audited</w:t>
      </w:r>
      <w:r>
        <w:rPr>
          <w:spacing w:val="-4"/>
          <w:w w:val="105"/>
        </w:rPr>
        <w:t> </w:t>
      </w:r>
      <w:r>
        <w:rPr>
          <w:w w:val="105"/>
        </w:rPr>
        <w:t>the</w:t>
      </w:r>
      <w:r>
        <w:rPr>
          <w:spacing w:val="-3"/>
          <w:w w:val="105"/>
        </w:rPr>
        <w:t> </w:t>
      </w:r>
      <w:r>
        <w:rPr>
          <w:w w:val="105"/>
        </w:rPr>
        <w:t>accompanying</w:t>
      </w:r>
      <w:r>
        <w:rPr>
          <w:spacing w:val="-8"/>
          <w:w w:val="105"/>
        </w:rPr>
        <w:t> </w:t>
      </w:r>
      <w:r>
        <w:rPr>
          <w:w w:val="105"/>
        </w:rPr>
        <w:t>consolidated</w:t>
      </w:r>
      <w:r>
        <w:rPr>
          <w:spacing w:val="-4"/>
          <w:w w:val="105"/>
        </w:rPr>
        <w:t> </w:t>
      </w:r>
      <w:r>
        <w:rPr>
          <w:w w:val="105"/>
        </w:rPr>
        <w:t>balance</w:t>
      </w:r>
      <w:r>
        <w:rPr>
          <w:spacing w:val="-9"/>
          <w:w w:val="105"/>
        </w:rPr>
        <w:t> </w:t>
      </w:r>
      <w:r>
        <w:rPr>
          <w:w w:val="105"/>
        </w:rPr>
        <w:t>sheets</w:t>
      </w:r>
      <w:r>
        <w:rPr>
          <w:spacing w:val="-4"/>
          <w:w w:val="105"/>
        </w:rPr>
        <w:t> </w:t>
      </w:r>
      <w:r>
        <w:rPr>
          <w:w w:val="105"/>
        </w:rPr>
        <w:t>of</w:t>
      </w:r>
      <w:r>
        <w:rPr>
          <w:spacing w:val="-3"/>
          <w:w w:val="105"/>
        </w:rPr>
        <w:t> </w:t>
      </w:r>
      <w:r>
        <w:rPr>
          <w:w w:val="105"/>
        </w:rPr>
        <w:t>Southwest</w:t>
      </w:r>
      <w:r>
        <w:rPr>
          <w:spacing w:val="-4"/>
          <w:w w:val="105"/>
        </w:rPr>
        <w:t> </w:t>
      </w:r>
      <w:r>
        <w:rPr>
          <w:spacing w:val="-3"/>
          <w:w w:val="105"/>
        </w:rPr>
        <w:t>Airlines</w:t>
      </w:r>
      <w:r>
        <w:rPr>
          <w:spacing w:val="-4"/>
          <w:w w:val="105"/>
        </w:rPr>
        <w:t> </w:t>
      </w:r>
      <w:r>
        <w:rPr>
          <w:w w:val="105"/>
        </w:rPr>
        <w:t>Co.</w:t>
      </w:r>
      <w:r>
        <w:rPr>
          <w:spacing w:val="-3"/>
          <w:w w:val="105"/>
        </w:rPr>
        <w:t> as</w:t>
      </w:r>
      <w:r>
        <w:rPr>
          <w:spacing w:val="-4"/>
          <w:w w:val="105"/>
        </w:rPr>
        <w:t> </w:t>
      </w:r>
      <w:r>
        <w:rPr>
          <w:w w:val="105"/>
        </w:rPr>
        <w:t>of</w:t>
      </w:r>
      <w:r>
        <w:rPr>
          <w:spacing w:val="-3"/>
          <w:w w:val="105"/>
        </w:rPr>
        <w:t> December</w:t>
      </w:r>
      <w:r>
        <w:rPr>
          <w:spacing w:val="-10"/>
          <w:w w:val="105"/>
        </w:rPr>
        <w:t> </w:t>
      </w:r>
      <w:r>
        <w:rPr>
          <w:w w:val="105"/>
        </w:rPr>
        <w:t>31, 2003</w:t>
      </w:r>
      <w:r>
        <w:rPr>
          <w:spacing w:val="-13"/>
          <w:w w:val="105"/>
        </w:rPr>
        <w:t> </w:t>
      </w:r>
      <w:r>
        <w:rPr>
          <w:w w:val="105"/>
        </w:rPr>
        <w:t>and</w:t>
      </w:r>
      <w:r>
        <w:rPr>
          <w:spacing w:val="-13"/>
          <w:w w:val="105"/>
        </w:rPr>
        <w:t> </w:t>
      </w:r>
      <w:r>
        <w:rPr>
          <w:w w:val="105"/>
        </w:rPr>
        <w:t>2002,</w:t>
      </w:r>
      <w:r>
        <w:rPr>
          <w:spacing w:val="-16"/>
          <w:w w:val="105"/>
        </w:rPr>
        <w:t> </w:t>
      </w:r>
      <w:r>
        <w:rPr>
          <w:spacing w:val="-3"/>
          <w:w w:val="105"/>
        </w:rPr>
        <w:t>and</w:t>
      </w:r>
      <w:r>
        <w:rPr>
          <w:spacing w:val="-13"/>
          <w:w w:val="105"/>
        </w:rPr>
        <w:t> </w:t>
      </w:r>
      <w:r>
        <w:rPr>
          <w:w w:val="105"/>
        </w:rPr>
        <w:t>the</w:t>
      </w:r>
      <w:r>
        <w:rPr>
          <w:spacing w:val="-11"/>
          <w:w w:val="105"/>
        </w:rPr>
        <w:t> </w:t>
      </w:r>
      <w:r>
        <w:rPr>
          <w:spacing w:val="-3"/>
          <w:w w:val="105"/>
        </w:rPr>
        <w:t>related</w:t>
      </w:r>
      <w:r>
        <w:rPr>
          <w:spacing w:val="-13"/>
          <w:w w:val="105"/>
        </w:rPr>
        <w:t> </w:t>
      </w:r>
      <w:r>
        <w:rPr>
          <w:w w:val="105"/>
        </w:rPr>
        <w:t>consolidated</w:t>
      </w:r>
      <w:r>
        <w:rPr>
          <w:spacing w:val="-10"/>
          <w:w w:val="105"/>
        </w:rPr>
        <w:t> </w:t>
      </w:r>
      <w:r>
        <w:rPr>
          <w:w w:val="105"/>
        </w:rPr>
        <w:t>statements</w:t>
      </w:r>
      <w:r>
        <w:rPr>
          <w:spacing w:val="-13"/>
          <w:w w:val="105"/>
        </w:rPr>
        <w:t> </w:t>
      </w:r>
      <w:r>
        <w:rPr>
          <w:w w:val="105"/>
        </w:rPr>
        <w:t>of</w:t>
      </w:r>
      <w:r>
        <w:rPr>
          <w:spacing w:val="-15"/>
          <w:w w:val="105"/>
        </w:rPr>
        <w:t> </w:t>
      </w:r>
      <w:r>
        <w:rPr>
          <w:w w:val="105"/>
        </w:rPr>
        <w:t>income,</w:t>
      </w:r>
      <w:r>
        <w:rPr>
          <w:spacing w:val="-13"/>
          <w:w w:val="105"/>
        </w:rPr>
        <w:t> </w:t>
      </w:r>
      <w:r>
        <w:rPr>
          <w:w w:val="105"/>
        </w:rPr>
        <w:t>stockholders'</w:t>
      </w:r>
      <w:r>
        <w:rPr>
          <w:spacing w:val="-16"/>
          <w:w w:val="105"/>
        </w:rPr>
        <w:t> </w:t>
      </w:r>
      <w:r>
        <w:rPr>
          <w:w w:val="105"/>
        </w:rPr>
        <w:t>equity,</w:t>
      </w:r>
      <w:r>
        <w:rPr>
          <w:spacing w:val="-16"/>
          <w:w w:val="105"/>
        </w:rPr>
        <w:t> </w:t>
      </w:r>
      <w:r>
        <w:rPr>
          <w:w w:val="105"/>
        </w:rPr>
        <w:t>and</w:t>
      </w:r>
      <w:r>
        <w:rPr>
          <w:spacing w:val="-10"/>
          <w:w w:val="105"/>
        </w:rPr>
        <w:t> </w:t>
      </w:r>
      <w:r>
        <w:rPr>
          <w:w w:val="105"/>
        </w:rPr>
        <w:t>cash</w:t>
      </w:r>
      <w:r>
        <w:rPr>
          <w:spacing w:val="-17"/>
          <w:w w:val="105"/>
        </w:rPr>
        <w:t> </w:t>
      </w:r>
      <w:r>
        <w:rPr>
          <w:w w:val="105"/>
        </w:rPr>
        <w:t>flows</w:t>
      </w:r>
      <w:r>
        <w:rPr>
          <w:spacing w:val="-10"/>
          <w:w w:val="105"/>
        </w:rPr>
        <w:t> </w:t>
      </w:r>
      <w:r>
        <w:rPr>
          <w:spacing w:val="-3"/>
          <w:w w:val="105"/>
        </w:rPr>
        <w:t>for</w:t>
      </w:r>
      <w:r>
        <w:rPr>
          <w:spacing w:val="-15"/>
          <w:w w:val="105"/>
        </w:rPr>
        <w:t> </w:t>
      </w:r>
      <w:r>
        <w:rPr>
          <w:spacing w:val="-4"/>
          <w:w w:val="105"/>
        </w:rPr>
        <w:t>each </w:t>
      </w:r>
      <w:r>
        <w:rPr>
          <w:w w:val="105"/>
        </w:rPr>
        <w:t>of the </w:t>
      </w:r>
      <w:r>
        <w:rPr>
          <w:spacing w:val="-3"/>
          <w:w w:val="105"/>
        </w:rPr>
        <w:t>three years </w:t>
      </w:r>
      <w:r>
        <w:rPr>
          <w:w w:val="105"/>
        </w:rPr>
        <w:t>in the period ended </w:t>
      </w:r>
      <w:r>
        <w:rPr>
          <w:spacing w:val="-4"/>
          <w:w w:val="105"/>
        </w:rPr>
        <w:t>December </w:t>
      </w:r>
      <w:r>
        <w:rPr>
          <w:w w:val="105"/>
        </w:rPr>
        <w:t>31, 2003. These financial statements are the responsibility </w:t>
      </w:r>
      <w:r>
        <w:rPr>
          <w:spacing w:val="-3"/>
          <w:w w:val="105"/>
        </w:rPr>
        <w:t>of </w:t>
      </w:r>
      <w:r>
        <w:rPr>
          <w:w w:val="105"/>
        </w:rPr>
        <w:t>the</w:t>
      </w:r>
      <w:r>
        <w:rPr>
          <w:spacing w:val="-10"/>
          <w:w w:val="105"/>
        </w:rPr>
        <w:t> </w:t>
      </w:r>
      <w:r>
        <w:rPr>
          <w:spacing w:val="-2"/>
          <w:w w:val="105"/>
        </w:rPr>
        <w:t>Company's</w:t>
      </w:r>
      <w:r>
        <w:rPr>
          <w:spacing w:val="-13"/>
          <w:w w:val="105"/>
        </w:rPr>
        <w:t> </w:t>
      </w:r>
      <w:r>
        <w:rPr>
          <w:w w:val="105"/>
        </w:rPr>
        <w:t>management.</w:t>
      </w:r>
      <w:r>
        <w:rPr>
          <w:spacing w:val="33"/>
          <w:w w:val="105"/>
        </w:rPr>
        <w:t> </w:t>
      </w:r>
      <w:r>
        <w:rPr>
          <w:w w:val="105"/>
        </w:rPr>
        <w:t>Our</w:t>
      </w:r>
      <w:r>
        <w:rPr>
          <w:spacing w:val="-10"/>
          <w:w w:val="105"/>
        </w:rPr>
        <w:t> </w:t>
      </w:r>
      <w:r>
        <w:rPr>
          <w:w w:val="105"/>
        </w:rPr>
        <w:t>responsibility</w:t>
      </w:r>
      <w:r>
        <w:rPr>
          <w:spacing w:val="-13"/>
          <w:w w:val="105"/>
        </w:rPr>
        <w:t> </w:t>
      </w:r>
      <w:r>
        <w:rPr>
          <w:w w:val="105"/>
        </w:rPr>
        <w:t>is</w:t>
      </w:r>
      <w:r>
        <w:rPr>
          <w:spacing w:val="-13"/>
          <w:w w:val="105"/>
        </w:rPr>
        <w:t> </w:t>
      </w:r>
      <w:r>
        <w:rPr>
          <w:w w:val="105"/>
        </w:rPr>
        <w:t>to</w:t>
      </w:r>
      <w:r>
        <w:rPr>
          <w:spacing w:val="-9"/>
          <w:w w:val="105"/>
        </w:rPr>
        <w:t> </w:t>
      </w:r>
      <w:r>
        <w:rPr>
          <w:w w:val="105"/>
        </w:rPr>
        <w:t>express</w:t>
      </w:r>
      <w:r>
        <w:rPr>
          <w:spacing w:val="-9"/>
          <w:w w:val="105"/>
        </w:rPr>
        <w:t> </w:t>
      </w:r>
      <w:r>
        <w:rPr>
          <w:spacing w:val="-3"/>
          <w:w w:val="105"/>
        </w:rPr>
        <w:t>an</w:t>
      </w:r>
      <w:r>
        <w:rPr>
          <w:spacing w:val="-9"/>
          <w:w w:val="105"/>
        </w:rPr>
        <w:t> </w:t>
      </w:r>
      <w:r>
        <w:rPr>
          <w:w w:val="105"/>
        </w:rPr>
        <w:t>opinion</w:t>
      </w:r>
      <w:r>
        <w:rPr>
          <w:spacing w:val="-9"/>
          <w:w w:val="105"/>
        </w:rPr>
        <w:t> </w:t>
      </w:r>
      <w:r>
        <w:rPr>
          <w:w w:val="105"/>
        </w:rPr>
        <w:t>on</w:t>
      </w:r>
      <w:r>
        <w:rPr>
          <w:spacing w:val="-9"/>
          <w:w w:val="105"/>
        </w:rPr>
        <w:t> </w:t>
      </w:r>
      <w:r>
        <w:rPr>
          <w:w w:val="105"/>
        </w:rPr>
        <w:t>these</w:t>
      </w:r>
      <w:r>
        <w:rPr>
          <w:spacing w:val="-10"/>
          <w:w w:val="105"/>
        </w:rPr>
        <w:t> </w:t>
      </w:r>
      <w:r>
        <w:rPr>
          <w:w w:val="105"/>
        </w:rPr>
        <w:t>financial</w:t>
      </w:r>
      <w:r>
        <w:rPr>
          <w:spacing w:val="-9"/>
          <w:w w:val="105"/>
        </w:rPr>
        <w:t> </w:t>
      </w:r>
      <w:r>
        <w:rPr>
          <w:w w:val="105"/>
        </w:rPr>
        <w:t>statements</w:t>
      </w:r>
      <w:r>
        <w:rPr>
          <w:spacing w:val="-9"/>
          <w:w w:val="105"/>
        </w:rPr>
        <w:t> </w:t>
      </w:r>
      <w:r>
        <w:rPr>
          <w:spacing w:val="-3"/>
          <w:w w:val="105"/>
        </w:rPr>
        <w:t>based</w:t>
      </w:r>
      <w:r>
        <w:rPr>
          <w:spacing w:val="-9"/>
          <w:w w:val="105"/>
        </w:rPr>
        <w:t> </w:t>
      </w:r>
      <w:r>
        <w:rPr>
          <w:w w:val="105"/>
        </w:rPr>
        <w:t>on our</w:t>
      </w:r>
      <w:r>
        <w:rPr>
          <w:spacing w:val="-37"/>
          <w:w w:val="105"/>
        </w:rPr>
        <w:t> </w:t>
      </w:r>
      <w:r>
        <w:rPr>
          <w:w w:val="105"/>
        </w:rPr>
        <w:t>audits.</w:t>
      </w:r>
    </w:p>
    <w:p>
      <w:pPr>
        <w:pStyle w:val="BodyText"/>
        <w:spacing w:line="218" w:lineRule="auto" w:before="221"/>
        <w:ind w:left="115" w:right="105"/>
        <w:jc w:val="both"/>
      </w:pPr>
      <w:r>
        <w:rPr>
          <w:spacing w:val="-4"/>
          <w:w w:val="105"/>
        </w:rPr>
        <w:t>We</w:t>
      </w:r>
      <w:r>
        <w:rPr>
          <w:spacing w:val="-7"/>
          <w:w w:val="105"/>
        </w:rPr>
        <w:t> </w:t>
      </w:r>
      <w:r>
        <w:rPr>
          <w:w w:val="105"/>
        </w:rPr>
        <w:t>conducted</w:t>
      </w:r>
      <w:r>
        <w:rPr>
          <w:spacing w:val="-9"/>
          <w:w w:val="105"/>
        </w:rPr>
        <w:t> </w:t>
      </w:r>
      <w:r>
        <w:rPr>
          <w:w w:val="105"/>
        </w:rPr>
        <w:t>our</w:t>
      </w:r>
      <w:r>
        <w:rPr>
          <w:spacing w:val="-10"/>
          <w:w w:val="105"/>
        </w:rPr>
        <w:t> </w:t>
      </w:r>
      <w:r>
        <w:rPr>
          <w:w w:val="105"/>
        </w:rPr>
        <w:t>audits</w:t>
      </w:r>
      <w:r>
        <w:rPr>
          <w:spacing w:val="-5"/>
          <w:w w:val="105"/>
        </w:rPr>
        <w:t> </w:t>
      </w:r>
      <w:r>
        <w:rPr>
          <w:w w:val="105"/>
        </w:rPr>
        <w:t>in</w:t>
      </w:r>
      <w:r>
        <w:rPr>
          <w:spacing w:val="-5"/>
          <w:w w:val="105"/>
        </w:rPr>
        <w:t> </w:t>
      </w:r>
      <w:r>
        <w:rPr>
          <w:w w:val="105"/>
        </w:rPr>
        <w:t>accordance</w:t>
      </w:r>
      <w:r>
        <w:rPr>
          <w:spacing w:val="-14"/>
          <w:w w:val="105"/>
        </w:rPr>
        <w:t> </w:t>
      </w:r>
      <w:r>
        <w:rPr>
          <w:spacing w:val="-3"/>
          <w:w w:val="105"/>
        </w:rPr>
        <w:t>with</w:t>
      </w:r>
      <w:r>
        <w:rPr>
          <w:spacing w:val="-5"/>
          <w:w w:val="105"/>
        </w:rPr>
        <w:t> </w:t>
      </w:r>
      <w:r>
        <w:rPr>
          <w:w w:val="105"/>
        </w:rPr>
        <w:t>auditing</w:t>
      </w:r>
      <w:r>
        <w:rPr>
          <w:spacing w:val="-5"/>
          <w:w w:val="105"/>
        </w:rPr>
        <w:t> </w:t>
      </w:r>
      <w:r>
        <w:rPr>
          <w:w w:val="105"/>
        </w:rPr>
        <w:t>standards</w:t>
      </w:r>
      <w:r>
        <w:rPr>
          <w:spacing w:val="-9"/>
          <w:w w:val="105"/>
        </w:rPr>
        <w:t> </w:t>
      </w:r>
      <w:r>
        <w:rPr>
          <w:w w:val="105"/>
        </w:rPr>
        <w:t>generally</w:t>
      </w:r>
      <w:r>
        <w:rPr>
          <w:spacing w:val="-9"/>
          <w:w w:val="105"/>
        </w:rPr>
        <w:t> </w:t>
      </w:r>
      <w:r>
        <w:rPr>
          <w:w w:val="105"/>
        </w:rPr>
        <w:t>accepted</w:t>
      </w:r>
      <w:r>
        <w:rPr>
          <w:spacing w:val="-9"/>
          <w:w w:val="105"/>
        </w:rPr>
        <w:t> </w:t>
      </w:r>
      <w:r>
        <w:rPr>
          <w:w w:val="105"/>
        </w:rPr>
        <w:t>in</w:t>
      </w:r>
      <w:r>
        <w:rPr>
          <w:spacing w:val="-5"/>
          <w:w w:val="105"/>
        </w:rPr>
        <w:t> </w:t>
      </w:r>
      <w:r>
        <w:rPr>
          <w:w w:val="105"/>
        </w:rPr>
        <w:t>the</w:t>
      </w:r>
      <w:r>
        <w:rPr>
          <w:spacing w:val="-7"/>
          <w:w w:val="105"/>
        </w:rPr>
        <w:t> </w:t>
      </w:r>
      <w:r>
        <w:rPr>
          <w:spacing w:val="-2"/>
          <w:w w:val="105"/>
        </w:rPr>
        <w:t>United</w:t>
      </w:r>
      <w:r>
        <w:rPr>
          <w:spacing w:val="-9"/>
          <w:w w:val="105"/>
        </w:rPr>
        <w:t> </w:t>
      </w:r>
      <w:r>
        <w:rPr>
          <w:w w:val="105"/>
        </w:rPr>
        <w:t>States.</w:t>
      </w:r>
      <w:r>
        <w:rPr>
          <w:spacing w:val="40"/>
          <w:w w:val="105"/>
        </w:rPr>
        <w:t> </w:t>
      </w:r>
      <w:r>
        <w:rPr>
          <w:w w:val="105"/>
        </w:rPr>
        <w:t>Those standards</w:t>
      </w:r>
      <w:r>
        <w:rPr>
          <w:spacing w:val="-9"/>
          <w:w w:val="105"/>
        </w:rPr>
        <w:t> </w:t>
      </w:r>
      <w:r>
        <w:rPr>
          <w:w w:val="105"/>
        </w:rPr>
        <w:t>require</w:t>
      </w:r>
      <w:r>
        <w:rPr>
          <w:spacing w:val="-7"/>
          <w:w w:val="105"/>
        </w:rPr>
        <w:t> </w:t>
      </w:r>
      <w:r>
        <w:rPr>
          <w:w w:val="105"/>
        </w:rPr>
        <w:t>that</w:t>
      </w:r>
      <w:r>
        <w:rPr>
          <w:spacing w:val="-9"/>
          <w:w w:val="105"/>
        </w:rPr>
        <w:t> </w:t>
      </w:r>
      <w:r>
        <w:rPr>
          <w:spacing w:val="-4"/>
          <w:w w:val="105"/>
        </w:rPr>
        <w:t>we</w:t>
      </w:r>
      <w:r>
        <w:rPr>
          <w:spacing w:val="-10"/>
          <w:w w:val="105"/>
        </w:rPr>
        <w:t> </w:t>
      </w:r>
      <w:r>
        <w:rPr>
          <w:w w:val="105"/>
        </w:rPr>
        <w:t>plan</w:t>
      </w:r>
      <w:r>
        <w:rPr>
          <w:spacing w:val="-5"/>
          <w:w w:val="105"/>
        </w:rPr>
        <w:t> </w:t>
      </w:r>
      <w:r>
        <w:rPr>
          <w:spacing w:val="-3"/>
          <w:w w:val="105"/>
        </w:rPr>
        <w:t>and</w:t>
      </w:r>
      <w:r>
        <w:rPr>
          <w:spacing w:val="-9"/>
          <w:w w:val="105"/>
        </w:rPr>
        <w:t> </w:t>
      </w:r>
      <w:r>
        <w:rPr>
          <w:spacing w:val="-3"/>
          <w:w w:val="105"/>
        </w:rPr>
        <w:t>perform</w:t>
      </w:r>
      <w:r>
        <w:rPr>
          <w:spacing w:val="-7"/>
          <w:w w:val="105"/>
        </w:rPr>
        <w:t> </w:t>
      </w:r>
      <w:r>
        <w:rPr>
          <w:w w:val="105"/>
        </w:rPr>
        <w:t>the</w:t>
      </w:r>
      <w:r>
        <w:rPr>
          <w:spacing w:val="-10"/>
          <w:w w:val="105"/>
        </w:rPr>
        <w:t> </w:t>
      </w:r>
      <w:r>
        <w:rPr>
          <w:w w:val="105"/>
        </w:rPr>
        <w:t>audit</w:t>
      </w:r>
      <w:r>
        <w:rPr>
          <w:spacing w:val="-9"/>
          <w:w w:val="105"/>
        </w:rPr>
        <w:t> </w:t>
      </w:r>
      <w:r>
        <w:rPr>
          <w:w w:val="105"/>
        </w:rPr>
        <w:t>to</w:t>
      </w:r>
      <w:r>
        <w:rPr>
          <w:spacing w:val="-5"/>
          <w:w w:val="105"/>
        </w:rPr>
        <w:t> </w:t>
      </w:r>
      <w:r>
        <w:rPr>
          <w:w w:val="105"/>
        </w:rPr>
        <w:t>obtain</w:t>
      </w:r>
      <w:r>
        <w:rPr>
          <w:spacing w:val="-9"/>
          <w:w w:val="105"/>
        </w:rPr>
        <w:t> </w:t>
      </w:r>
      <w:r>
        <w:rPr>
          <w:w w:val="105"/>
        </w:rPr>
        <w:t>reasonable</w:t>
      </w:r>
      <w:r>
        <w:rPr>
          <w:spacing w:val="-10"/>
          <w:w w:val="105"/>
        </w:rPr>
        <w:t> </w:t>
      </w:r>
      <w:r>
        <w:rPr>
          <w:w w:val="105"/>
        </w:rPr>
        <w:t>assurance</w:t>
      </w:r>
      <w:r>
        <w:rPr>
          <w:spacing w:val="-7"/>
          <w:w w:val="105"/>
        </w:rPr>
        <w:t> </w:t>
      </w:r>
      <w:r>
        <w:rPr>
          <w:w w:val="105"/>
        </w:rPr>
        <w:t>about</w:t>
      </w:r>
      <w:r>
        <w:rPr>
          <w:spacing w:val="-9"/>
          <w:w w:val="105"/>
        </w:rPr>
        <w:t> </w:t>
      </w:r>
      <w:r>
        <w:rPr>
          <w:spacing w:val="-3"/>
          <w:w w:val="105"/>
        </w:rPr>
        <w:t>whether</w:t>
      </w:r>
      <w:r>
        <w:rPr>
          <w:spacing w:val="-7"/>
          <w:w w:val="105"/>
        </w:rPr>
        <w:t> </w:t>
      </w:r>
      <w:r>
        <w:rPr>
          <w:w w:val="105"/>
        </w:rPr>
        <w:t>the</w:t>
      </w:r>
      <w:r>
        <w:rPr>
          <w:spacing w:val="-14"/>
          <w:w w:val="105"/>
        </w:rPr>
        <w:t> </w:t>
      </w:r>
      <w:r>
        <w:rPr>
          <w:w w:val="105"/>
        </w:rPr>
        <w:t>financial statements</w:t>
      </w:r>
      <w:r>
        <w:rPr>
          <w:spacing w:val="-9"/>
          <w:w w:val="105"/>
        </w:rPr>
        <w:t> </w:t>
      </w:r>
      <w:r>
        <w:rPr>
          <w:w w:val="105"/>
        </w:rPr>
        <w:t>are</w:t>
      </w:r>
      <w:r>
        <w:rPr>
          <w:spacing w:val="-10"/>
          <w:w w:val="105"/>
        </w:rPr>
        <w:t> </w:t>
      </w:r>
      <w:r>
        <w:rPr>
          <w:spacing w:val="-3"/>
          <w:w w:val="105"/>
        </w:rPr>
        <w:t>free</w:t>
      </w:r>
      <w:r>
        <w:rPr>
          <w:spacing w:val="-10"/>
          <w:w w:val="105"/>
        </w:rPr>
        <w:t> </w:t>
      </w:r>
      <w:r>
        <w:rPr>
          <w:w w:val="105"/>
        </w:rPr>
        <w:t>of</w:t>
      </w:r>
      <w:r>
        <w:rPr>
          <w:spacing w:val="-10"/>
          <w:w w:val="105"/>
        </w:rPr>
        <w:t> </w:t>
      </w:r>
      <w:r>
        <w:rPr>
          <w:spacing w:val="-3"/>
          <w:w w:val="105"/>
        </w:rPr>
        <w:t>material</w:t>
      </w:r>
      <w:r>
        <w:rPr>
          <w:spacing w:val="-5"/>
          <w:w w:val="105"/>
        </w:rPr>
        <w:t> </w:t>
      </w:r>
      <w:r>
        <w:rPr>
          <w:w w:val="105"/>
        </w:rPr>
        <w:t>misstatement.</w:t>
      </w:r>
      <w:r>
        <w:rPr>
          <w:spacing w:val="33"/>
          <w:w w:val="105"/>
        </w:rPr>
        <w:t> </w:t>
      </w:r>
      <w:r>
        <w:rPr>
          <w:spacing w:val="-4"/>
          <w:w w:val="105"/>
        </w:rPr>
        <w:t>An</w:t>
      </w:r>
      <w:r>
        <w:rPr>
          <w:spacing w:val="-9"/>
          <w:w w:val="105"/>
        </w:rPr>
        <w:t> </w:t>
      </w:r>
      <w:r>
        <w:rPr>
          <w:w w:val="105"/>
        </w:rPr>
        <w:t>audit</w:t>
      </w:r>
      <w:r>
        <w:rPr>
          <w:spacing w:val="-5"/>
          <w:w w:val="105"/>
        </w:rPr>
        <w:t> </w:t>
      </w:r>
      <w:r>
        <w:rPr>
          <w:w w:val="105"/>
        </w:rPr>
        <w:t>includes</w:t>
      </w:r>
      <w:r>
        <w:rPr>
          <w:spacing w:val="-13"/>
          <w:w w:val="105"/>
        </w:rPr>
        <w:t> </w:t>
      </w:r>
      <w:r>
        <w:rPr>
          <w:w w:val="105"/>
        </w:rPr>
        <w:t>examining,</w:t>
      </w:r>
      <w:r>
        <w:rPr>
          <w:spacing w:val="-12"/>
          <w:w w:val="105"/>
        </w:rPr>
        <w:t> </w:t>
      </w:r>
      <w:r>
        <w:rPr>
          <w:w w:val="105"/>
        </w:rPr>
        <w:t>on</w:t>
      </w:r>
      <w:r>
        <w:rPr>
          <w:spacing w:val="-9"/>
          <w:w w:val="105"/>
        </w:rPr>
        <w:t> </w:t>
      </w:r>
      <w:r>
        <w:rPr>
          <w:w w:val="105"/>
        </w:rPr>
        <w:t>a</w:t>
      </w:r>
      <w:r>
        <w:rPr>
          <w:spacing w:val="-14"/>
          <w:w w:val="105"/>
        </w:rPr>
        <w:t> </w:t>
      </w:r>
      <w:r>
        <w:rPr>
          <w:w w:val="105"/>
        </w:rPr>
        <w:t>test</w:t>
      </w:r>
      <w:r>
        <w:rPr>
          <w:spacing w:val="-9"/>
          <w:w w:val="105"/>
        </w:rPr>
        <w:t> </w:t>
      </w:r>
      <w:r>
        <w:rPr>
          <w:w w:val="105"/>
        </w:rPr>
        <w:t>basis,</w:t>
      </w:r>
      <w:r>
        <w:rPr>
          <w:spacing w:val="-12"/>
          <w:w w:val="105"/>
        </w:rPr>
        <w:t> </w:t>
      </w:r>
      <w:r>
        <w:rPr>
          <w:w w:val="105"/>
        </w:rPr>
        <w:t>evidence</w:t>
      </w:r>
      <w:r>
        <w:rPr>
          <w:spacing w:val="-14"/>
          <w:w w:val="105"/>
        </w:rPr>
        <w:t> </w:t>
      </w:r>
      <w:r>
        <w:rPr>
          <w:w w:val="105"/>
        </w:rPr>
        <w:t>supporting the amounts </w:t>
      </w:r>
      <w:r>
        <w:rPr>
          <w:spacing w:val="-3"/>
          <w:w w:val="105"/>
        </w:rPr>
        <w:t>and </w:t>
      </w:r>
      <w:r>
        <w:rPr>
          <w:w w:val="105"/>
        </w:rPr>
        <w:t>disclosures in the financial statements. </w:t>
      </w:r>
      <w:r>
        <w:rPr>
          <w:spacing w:val="-4"/>
          <w:w w:val="105"/>
        </w:rPr>
        <w:t>An </w:t>
      </w:r>
      <w:r>
        <w:rPr>
          <w:w w:val="105"/>
        </w:rPr>
        <w:t>audit also includes assessing the accounting principles used and significant estimates made by management, as well as evaluating the overall financial statement</w:t>
      </w:r>
      <w:r>
        <w:rPr>
          <w:spacing w:val="-26"/>
          <w:w w:val="105"/>
        </w:rPr>
        <w:t> </w:t>
      </w:r>
      <w:r>
        <w:rPr>
          <w:w w:val="105"/>
        </w:rPr>
        <w:t>presentation.</w:t>
      </w:r>
      <w:r>
        <w:rPr>
          <w:spacing w:val="1"/>
          <w:w w:val="105"/>
        </w:rPr>
        <w:t> </w:t>
      </w:r>
      <w:r>
        <w:rPr>
          <w:w w:val="105"/>
        </w:rPr>
        <w:t>We</w:t>
      </w:r>
      <w:r>
        <w:rPr>
          <w:spacing w:val="-27"/>
          <w:w w:val="105"/>
        </w:rPr>
        <w:t> </w:t>
      </w:r>
      <w:r>
        <w:rPr>
          <w:w w:val="105"/>
        </w:rPr>
        <w:t>believe</w:t>
      </w:r>
      <w:r>
        <w:rPr>
          <w:spacing w:val="-27"/>
          <w:w w:val="105"/>
        </w:rPr>
        <w:t> </w:t>
      </w:r>
      <w:r>
        <w:rPr>
          <w:w w:val="105"/>
        </w:rPr>
        <w:t>that</w:t>
      </w:r>
      <w:r>
        <w:rPr>
          <w:spacing w:val="-28"/>
          <w:w w:val="105"/>
        </w:rPr>
        <w:t> </w:t>
      </w:r>
      <w:r>
        <w:rPr>
          <w:w w:val="105"/>
        </w:rPr>
        <w:t>our</w:t>
      </w:r>
      <w:r>
        <w:rPr>
          <w:spacing w:val="-27"/>
          <w:w w:val="105"/>
        </w:rPr>
        <w:t> </w:t>
      </w:r>
      <w:r>
        <w:rPr>
          <w:w w:val="105"/>
        </w:rPr>
        <w:t>audits</w:t>
      </w:r>
      <w:r>
        <w:rPr>
          <w:spacing w:val="-26"/>
          <w:w w:val="105"/>
        </w:rPr>
        <w:t> </w:t>
      </w:r>
      <w:r>
        <w:rPr>
          <w:w w:val="105"/>
        </w:rPr>
        <w:t>provide</w:t>
      </w:r>
      <w:r>
        <w:rPr>
          <w:spacing w:val="-27"/>
          <w:w w:val="105"/>
        </w:rPr>
        <w:t> </w:t>
      </w:r>
      <w:r>
        <w:rPr>
          <w:w w:val="105"/>
        </w:rPr>
        <w:t>a</w:t>
      </w:r>
      <w:r>
        <w:rPr>
          <w:spacing w:val="-30"/>
          <w:w w:val="105"/>
        </w:rPr>
        <w:t> </w:t>
      </w:r>
      <w:r>
        <w:rPr>
          <w:w w:val="105"/>
        </w:rPr>
        <w:t>reasonable</w:t>
      </w:r>
      <w:r>
        <w:rPr>
          <w:spacing w:val="-30"/>
          <w:w w:val="105"/>
        </w:rPr>
        <w:t> </w:t>
      </w:r>
      <w:r>
        <w:rPr>
          <w:w w:val="105"/>
        </w:rPr>
        <w:t>basis</w:t>
      </w:r>
      <w:r>
        <w:rPr>
          <w:spacing w:val="-26"/>
          <w:w w:val="105"/>
        </w:rPr>
        <w:t> </w:t>
      </w:r>
      <w:r>
        <w:rPr>
          <w:spacing w:val="-3"/>
          <w:w w:val="105"/>
        </w:rPr>
        <w:t>for</w:t>
      </w:r>
      <w:r>
        <w:rPr>
          <w:spacing w:val="-27"/>
          <w:w w:val="105"/>
        </w:rPr>
        <w:t> </w:t>
      </w:r>
      <w:r>
        <w:rPr>
          <w:w w:val="105"/>
        </w:rPr>
        <w:t>our</w:t>
      </w:r>
      <w:r>
        <w:rPr>
          <w:spacing w:val="-27"/>
          <w:w w:val="105"/>
        </w:rPr>
        <w:t> </w:t>
      </w:r>
      <w:r>
        <w:rPr>
          <w:w w:val="105"/>
        </w:rPr>
        <w:t>opinion.</w:t>
      </w:r>
    </w:p>
    <w:p>
      <w:pPr>
        <w:pStyle w:val="BodyText"/>
        <w:spacing w:line="218" w:lineRule="auto" w:before="221"/>
        <w:ind w:left="115" w:right="109"/>
        <w:jc w:val="both"/>
      </w:pPr>
      <w:r>
        <w:rPr>
          <w:spacing w:val="-3"/>
          <w:w w:val="105"/>
        </w:rPr>
        <w:t>In</w:t>
      </w:r>
      <w:r>
        <w:rPr>
          <w:spacing w:val="-14"/>
          <w:w w:val="105"/>
        </w:rPr>
        <w:t> </w:t>
      </w:r>
      <w:r>
        <w:rPr>
          <w:w w:val="105"/>
        </w:rPr>
        <w:t>our</w:t>
      </w:r>
      <w:r>
        <w:rPr>
          <w:spacing w:val="-12"/>
          <w:w w:val="105"/>
        </w:rPr>
        <w:t> </w:t>
      </w:r>
      <w:r>
        <w:rPr>
          <w:w w:val="105"/>
        </w:rPr>
        <w:t>opinion,</w:t>
      </w:r>
      <w:r>
        <w:rPr>
          <w:spacing w:val="-16"/>
          <w:w w:val="105"/>
        </w:rPr>
        <w:t> </w:t>
      </w:r>
      <w:r>
        <w:rPr>
          <w:w w:val="105"/>
        </w:rPr>
        <w:t>the</w:t>
      </w:r>
      <w:r>
        <w:rPr>
          <w:spacing w:val="-12"/>
          <w:w w:val="105"/>
        </w:rPr>
        <w:t> </w:t>
      </w:r>
      <w:r>
        <w:rPr>
          <w:w w:val="105"/>
        </w:rPr>
        <w:t>financial</w:t>
      </w:r>
      <w:r>
        <w:rPr>
          <w:spacing w:val="-17"/>
          <w:w w:val="105"/>
        </w:rPr>
        <w:t> </w:t>
      </w:r>
      <w:r>
        <w:rPr>
          <w:w w:val="105"/>
        </w:rPr>
        <w:t>statements</w:t>
      </w:r>
      <w:r>
        <w:rPr>
          <w:spacing w:val="-14"/>
          <w:w w:val="105"/>
        </w:rPr>
        <w:t> </w:t>
      </w:r>
      <w:r>
        <w:rPr>
          <w:spacing w:val="-3"/>
          <w:w w:val="105"/>
        </w:rPr>
        <w:t>referred</w:t>
      </w:r>
      <w:r>
        <w:rPr>
          <w:spacing w:val="-14"/>
          <w:w w:val="105"/>
        </w:rPr>
        <w:t> </w:t>
      </w:r>
      <w:r>
        <w:rPr>
          <w:w w:val="105"/>
        </w:rPr>
        <w:t>to</w:t>
      </w:r>
      <w:r>
        <w:rPr>
          <w:spacing w:val="-10"/>
          <w:w w:val="105"/>
        </w:rPr>
        <w:t> </w:t>
      </w:r>
      <w:r>
        <w:rPr>
          <w:w w:val="105"/>
        </w:rPr>
        <w:t>above</w:t>
      </w:r>
      <w:r>
        <w:rPr>
          <w:spacing w:val="-15"/>
          <w:w w:val="105"/>
        </w:rPr>
        <w:t> </w:t>
      </w:r>
      <w:r>
        <w:rPr>
          <w:w w:val="105"/>
        </w:rPr>
        <w:t>present</w:t>
      </w:r>
      <w:r>
        <w:rPr>
          <w:spacing w:val="-10"/>
          <w:w w:val="105"/>
        </w:rPr>
        <w:t> </w:t>
      </w:r>
      <w:r>
        <w:rPr>
          <w:w w:val="105"/>
        </w:rPr>
        <w:t>fairly,</w:t>
      </w:r>
      <w:r>
        <w:rPr>
          <w:spacing w:val="-16"/>
          <w:w w:val="105"/>
        </w:rPr>
        <w:t> </w:t>
      </w:r>
      <w:r>
        <w:rPr>
          <w:w w:val="105"/>
        </w:rPr>
        <w:t>in</w:t>
      </w:r>
      <w:r>
        <w:rPr>
          <w:spacing w:val="-14"/>
          <w:w w:val="105"/>
        </w:rPr>
        <w:t> </w:t>
      </w:r>
      <w:r>
        <w:rPr>
          <w:w w:val="105"/>
        </w:rPr>
        <w:t>all</w:t>
      </w:r>
      <w:r>
        <w:rPr>
          <w:spacing w:val="-14"/>
          <w:w w:val="105"/>
        </w:rPr>
        <w:t> </w:t>
      </w:r>
      <w:r>
        <w:rPr>
          <w:spacing w:val="-3"/>
          <w:w w:val="105"/>
        </w:rPr>
        <w:t>material</w:t>
      </w:r>
      <w:r>
        <w:rPr>
          <w:spacing w:val="-10"/>
          <w:w w:val="105"/>
        </w:rPr>
        <w:t> </w:t>
      </w:r>
      <w:r>
        <w:rPr>
          <w:w w:val="105"/>
        </w:rPr>
        <w:t>respects,</w:t>
      </w:r>
      <w:r>
        <w:rPr>
          <w:spacing w:val="-16"/>
          <w:w w:val="105"/>
        </w:rPr>
        <w:t> </w:t>
      </w:r>
      <w:r>
        <w:rPr>
          <w:w w:val="105"/>
        </w:rPr>
        <w:t>the</w:t>
      </w:r>
      <w:r>
        <w:rPr>
          <w:spacing w:val="-15"/>
          <w:w w:val="105"/>
        </w:rPr>
        <w:t> </w:t>
      </w:r>
      <w:r>
        <w:rPr>
          <w:w w:val="105"/>
        </w:rPr>
        <w:t>consolidated financial</w:t>
      </w:r>
      <w:r>
        <w:rPr>
          <w:spacing w:val="-6"/>
          <w:w w:val="105"/>
        </w:rPr>
        <w:t> </w:t>
      </w:r>
      <w:r>
        <w:rPr>
          <w:w w:val="105"/>
        </w:rPr>
        <w:t>position</w:t>
      </w:r>
      <w:r>
        <w:rPr>
          <w:spacing w:val="-6"/>
          <w:w w:val="105"/>
        </w:rPr>
        <w:t> </w:t>
      </w:r>
      <w:r>
        <w:rPr>
          <w:w w:val="105"/>
        </w:rPr>
        <w:t>of</w:t>
      </w:r>
      <w:r>
        <w:rPr>
          <w:spacing w:val="-11"/>
          <w:w w:val="105"/>
        </w:rPr>
        <w:t> </w:t>
      </w:r>
      <w:r>
        <w:rPr>
          <w:spacing w:val="-3"/>
          <w:w w:val="105"/>
        </w:rPr>
        <w:t>Southwest</w:t>
      </w:r>
      <w:r>
        <w:rPr>
          <w:spacing w:val="-6"/>
          <w:w w:val="105"/>
        </w:rPr>
        <w:t> </w:t>
      </w:r>
      <w:r>
        <w:rPr>
          <w:w w:val="105"/>
        </w:rPr>
        <w:t>Airlines</w:t>
      </w:r>
      <w:r>
        <w:rPr>
          <w:spacing w:val="-9"/>
          <w:w w:val="105"/>
        </w:rPr>
        <w:t> </w:t>
      </w:r>
      <w:r>
        <w:rPr>
          <w:w w:val="105"/>
        </w:rPr>
        <w:t>Co.</w:t>
      </w:r>
      <w:r>
        <w:rPr>
          <w:spacing w:val="-9"/>
          <w:w w:val="105"/>
        </w:rPr>
        <w:t> </w:t>
      </w:r>
      <w:r>
        <w:rPr>
          <w:spacing w:val="-3"/>
          <w:w w:val="105"/>
        </w:rPr>
        <w:t>at</w:t>
      </w:r>
      <w:r>
        <w:rPr>
          <w:spacing w:val="-6"/>
          <w:w w:val="105"/>
        </w:rPr>
        <w:t> </w:t>
      </w:r>
      <w:r>
        <w:rPr>
          <w:spacing w:val="-3"/>
          <w:w w:val="105"/>
        </w:rPr>
        <w:t>December</w:t>
      </w:r>
      <w:r>
        <w:rPr>
          <w:spacing w:val="-11"/>
          <w:w w:val="105"/>
        </w:rPr>
        <w:t> </w:t>
      </w:r>
      <w:r>
        <w:rPr>
          <w:w w:val="105"/>
        </w:rPr>
        <w:t>31,</w:t>
      </w:r>
      <w:r>
        <w:rPr>
          <w:spacing w:val="-5"/>
          <w:w w:val="105"/>
        </w:rPr>
        <w:t> </w:t>
      </w:r>
      <w:r>
        <w:rPr>
          <w:w w:val="105"/>
        </w:rPr>
        <w:t>2003</w:t>
      </w:r>
      <w:r>
        <w:rPr>
          <w:spacing w:val="-6"/>
          <w:w w:val="105"/>
        </w:rPr>
        <w:t> </w:t>
      </w:r>
      <w:r>
        <w:rPr>
          <w:w w:val="105"/>
        </w:rPr>
        <w:t>and</w:t>
      </w:r>
      <w:r>
        <w:rPr>
          <w:spacing w:val="-9"/>
          <w:w w:val="105"/>
        </w:rPr>
        <w:t> </w:t>
      </w:r>
      <w:r>
        <w:rPr>
          <w:w w:val="105"/>
        </w:rPr>
        <w:t>2002,</w:t>
      </w:r>
      <w:r>
        <w:rPr>
          <w:spacing w:val="-9"/>
          <w:w w:val="105"/>
        </w:rPr>
        <w:t> </w:t>
      </w:r>
      <w:r>
        <w:rPr>
          <w:spacing w:val="-3"/>
          <w:w w:val="105"/>
        </w:rPr>
        <w:t>and</w:t>
      </w:r>
      <w:r>
        <w:rPr>
          <w:spacing w:val="-6"/>
          <w:w w:val="105"/>
        </w:rPr>
        <w:t> </w:t>
      </w:r>
      <w:r>
        <w:rPr>
          <w:w w:val="105"/>
        </w:rPr>
        <w:t>the</w:t>
      </w:r>
      <w:r>
        <w:rPr>
          <w:spacing w:val="-7"/>
          <w:w w:val="105"/>
        </w:rPr>
        <w:t> </w:t>
      </w:r>
      <w:r>
        <w:rPr>
          <w:w w:val="105"/>
        </w:rPr>
        <w:t>consolidated</w:t>
      </w:r>
      <w:r>
        <w:rPr>
          <w:spacing w:val="-9"/>
          <w:w w:val="105"/>
        </w:rPr>
        <w:t> </w:t>
      </w:r>
      <w:r>
        <w:rPr>
          <w:w w:val="105"/>
        </w:rPr>
        <w:t>results</w:t>
      </w:r>
      <w:r>
        <w:rPr>
          <w:spacing w:val="-9"/>
          <w:w w:val="105"/>
        </w:rPr>
        <w:t> </w:t>
      </w:r>
      <w:r>
        <w:rPr>
          <w:w w:val="105"/>
        </w:rPr>
        <w:t>of</w:t>
      </w:r>
      <w:r>
        <w:rPr>
          <w:spacing w:val="-8"/>
          <w:w w:val="105"/>
        </w:rPr>
        <w:t> </w:t>
      </w:r>
      <w:r>
        <w:rPr>
          <w:spacing w:val="-3"/>
          <w:w w:val="105"/>
        </w:rPr>
        <w:t>its </w:t>
      </w:r>
      <w:r>
        <w:rPr>
          <w:w w:val="105"/>
        </w:rPr>
        <w:t>operations</w:t>
      </w:r>
      <w:r>
        <w:rPr>
          <w:spacing w:val="1"/>
          <w:w w:val="105"/>
        </w:rPr>
        <w:t> </w:t>
      </w:r>
      <w:r>
        <w:rPr>
          <w:w w:val="105"/>
        </w:rPr>
        <w:t>and</w:t>
      </w:r>
      <w:r>
        <w:rPr>
          <w:spacing w:val="-4"/>
          <w:w w:val="105"/>
        </w:rPr>
        <w:t> </w:t>
      </w:r>
      <w:r>
        <w:rPr>
          <w:w w:val="105"/>
        </w:rPr>
        <w:t>its</w:t>
      </w:r>
      <w:r>
        <w:rPr>
          <w:spacing w:val="1"/>
          <w:w w:val="105"/>
        </w:rPr>
        <w:t> </w:t>
      </w:r>
      <w:r>
        <w:rPr>
          <w:w w:val="105"/>
        </w:rPr>
        <w:t>cash</w:t>
      </w:r>
      <w:r>
        <w:rPr>
          <w:spacing w:val="1"/>
          <w:w w:val="105"/>
        </w:rPr>
        <w:t> </w:t>
      </w:r>
      <w:r>
        <w:rPr>
          <w:w w:val="105"/>
        </w:rPr>
        <w:t>flows</w:t>
      </w:r>
      <w:r>
        <w:rPr>
          <w:spacing w:val="-8"/>
          <w:w w:val="105"/>
        </w:rPr>
        <w:t> </w:t>
      </w:r>
      <w:r>
        <w:rPr>
          <w:w w:val="105"/>
        </w:rPr>
        <w:t>for</w:t>
      </w:r>
      <w:r>
        <w:rPr>
          <w:spacing w:val="-2"/>
          <w:w w:val="105"/>
        </w:rPr>
        <w:t> </w:t>
      </w:r>
      <w:r>
        <w:rPr>
          <w:spacing w:val="-3"/>
          <w:w w:val="105"/>
        </w:rPr>
        <w:t>each</w:t>
      </w:r>
      <w:r>
        <w:rPr>
          <w:spacing w:val="-4"/>
          <w:w w:val="105"/>
        </w:rPr>
        <w:t> </w:t>
      </w:r>
      <w:r>
        <w:rPr>
          <w:w w:val="105"/>
        </w:rPr>
        <w:t>of</w:t>
      </w:r>
      <w:r>
        <w:rPr>
          <w:spacing w:val="-2"/>
          <w:w w:val="105"/>
        </w:rPr>
        <w:t> </w:t>
      </w:r>
      <w:r>
        <w:rPr>
          <w:w w:val="105"/>
        </w:rPr>
        <w:t>the</w:t>
      </w:r>
      <w:r>
        <w:rPr>
          <w:spacing w:val="-9"/>
          <w:w w:val="105"/>
        </w:rPr>
        <w:t> </w:t>
      </w:r>
      <w:r>
        <w:rPr>
          <w:w w:val="105"/>
        </w:rPr>
        <w:t>three</w:t>
      </w:r>
      <w:r>
        <w:rPr>
          <w:spacing w:val="-2"/>
          <w:w w:val="105"/>
        </w:rPr>
        <w:t> </w:t>
      </w:r>
      <w:r>
        <w:rPr>
          <w:spacing w:val="-3"/>
          <w:w w:val="105"/>
        </w:rPr>
        <w:t>years</w:t>
      </w:r>
      <w:r>
        <w:rPr>
          <w:spacing w:val="1"/>
          <w:w w:val="105"/>
        </w:rPr>
        <w:t> </w:t>
      </w:r>
      <w:r>
        <w:rPr>
          <w:w w:val="105"/>
        </w:rPr>
        <w:t>in</w:t>
      </w:r>
      <w:r>
        <w:rPr>
          <w:spacing w:val="-4"/>
          <w:w w:val="105"/>
        </w:rPr>
        <w:t> </w:t>
      </w:r>
      <w:r>
        <w:rPr>
          <w:w w:val="105"/>
        </w:rPr>
        <w:t>the</w:t>
      </w:r>
      <w:r>
        <w:rPr>
          <w:spacing w:val="-5"/>
          <w:w w:val="105"/>
        </w:rPr>
        <w:t> </w:t>
      </w:r>
      <w:r>
        <w:rPr>
          <w:w w:val="105"/>
        </w:rPr>
        <w:t>period</w:t>
      </w:r>
      <w:r>
        <w:rPr>
          <w:spacing w:val="-4"/>
          <w:w w:val="105"/>
        </w:rPr>
        <w:t> </w:t>
      </w:r>
      <w:r>
        <w:rPr>
          <w:w w:val="105"/>
        </w:rPr>
        <w:t>ended</w:t>
      </w:r>
      <w:r>
        <w:rPr>
          <w:spacing w:val="-4"/>
          <w:w w:val="105"/>
        </w:rPr>
        <w:t> </w:t>
      </w:r>
      <w:r>
        <w:rPr>
          <w:spacing w:val="-3"/>
          <w:w w:val="105"/>
        </w:rPr>
        <w:t>December</w:t>
      </w:r>
      <w:r>
        <w:rPr>
          <w:spacing w:val="-6"/>
          <w:w w:val="105"/>
        </w:rPr>
        <w:t> </w:t>
      </w:r>
      <w:r>
        <w:rPr>
          <w:w w:val="105"/>
        </w:rPr>
        <w:t>31,</w:t>
      </w:r>
      <w:r>
        <w:rPr>
          <w:spacing w:val="-3"/>
          <w:w w:val="105"/>
        </w:rPr>
        <w:t> </w:t>
      </w:r>
      <w:r>
        <w:rPr>
          <w:w w:val="105"/>
        </w:rPr>
        <w:t>2003,</w:t>
      </w:r>
      <w:r>
        <w:rPr>
          <w:spacing w:val="-11"/>
          <w:w w:val="105"/>
        </w:rPr>
        <w:t> </w:t>
      </w:r>
      <w:r>
        <w:rPr>
          <w:w w:val="105"/>
        </w:rPr>
        <w:t>in</w:t>
      </w:r>
      <w:r>
        <w:rPr>
          <w:spacing w:val="1"/>
          <w:w w:val="105"/>
        </w:rPr>
        <w:t> </w:t>
      </w:r>
      <w:r>
        <w:rPr>
          <w:spacing w:val="-3"/>
          <w:w w:val="105"/>
        </w:rPr>
        <w:t>conformity with</w:t>
      </w:r>
      <w:r>
        <w:rPr>
          <w:spacing w:val="-30"/>
          <w:w w:val="105"/>
        </w:rPr>
        <w:t> </w:t>
      </w:r>
      <w:r>
        <w:rPr>
          <w:w w:val="105"/>
        </w:rPr>
        <w:t>accounting</w:t>
      </w:r>
      <w:r>
        <w:rPr>
          <w:spacing w:val="-30"/>
          <w:w w:val="105"/>
        </w:rPr>
        <w:t> </w:t>
      </w:r>
      <w:r>
        <w:rPr>
          <w:w w:val="105"/>
        </w:rPr>
        <w:t>principles</w:t>
      </w:r>
      <w:r>
        <w:rPr>
          <w:spacing w:val="-30"/>
          <w:w w:val="105"/>
        </w:rPr>
        <w:t> </w:t>
      </w:r>
      <w:r>
        <w:rPr>
          <w:w w:val="105"/>
        </w:rPr>
        <w:t>generally</w:t>
      </w:r>
      <w:r>
        <w:rPr>
          <w:spacing w:val="-30"/>
          <w:w w:val="105"/>
        </w:rPr>
        <w:t> </w:t>
      </w:r>
      <w:r>
        <w:rPr>
          <w:w w:val="105"/>
        </w:rPr>
        <w:t>accepted</w:t>
      </w:r>
      <w:r>
        <w:rPr>
          <w:spacing w:val="-32"/>
          <w:w w:val="105"/>
        </w:rPr>
        <w:t> </w:t>
      </w:r>
      <w:r>
        <w:rPr>
          <w:w w:val="105"/>
        </w:rPr>
        <w:t>in</w:t>
      </w:r>
      <w:r>
        <w:rPr>
          <w:spacing w:val="-32"/>
          <w:w w:val="105"/>
        </w:rPr>
        <w:t> </w:t>
      </w:r>
      <w:r>
        <w:rPr>
          <w:w w:val="105"/>
        </w:rPr>
        <w:t>the</w:t>
      </w:r>
      <w:r>
        <w:rPr>
          <w:spacing w:val="-31"/>
          <w:w w:val="105"/>
        </w:rPr>
        <w:t> </w:t>
      </w:r>
      <w:r>
        <w:rPr>
          <w:spacing w:val="-2"/>
          <w:w w:val="105"/>
        </w:rPr>
        <w:t>United</w:t>
      </w:r>
      <w:r>
        <w:rPr>
          <w:spacing w:val="-30"/>
          <w:w w:val="105"/>
        </w:rPr>
        <w:t> </w:t>
      </w:r>
      <w:r>
        <w:rPr>
          <w:w w:val="105"/>
        </w:rPr>
        <w:t>States.</w:t>
      </w:r>
    </w:p>
    <w:p>
      <w:pPr>
        <w:pStyle w:val="BodyText"/>
        <w:spacing w:line="220" w:lineRule="exact" w:before="223"/>
        <w:ind w:left="115"/>
      </w:pPr>
      <w:r>
        <w:rPr>
          <w:spacing w:val="-4"/>
          <w:w w:val="105"/>
        </w:rPr>
        <w:t>As</w:t>
      </w:r>
      <w:r>
        <w:rPr>
          <w:spacing w:val="-21"/>
          <w:w w:val="105"/>
        </w:rPr>
        <w:t> </w:t>
      </w:r>
      <w:r>
        <w:rPr>
          <w:w w:val="105"/>
        </w:rPr>
        <w:t>discussed</w:t>
      </w:r>
      <w:r>
        <w:rPr>
          <w:spacing w:val="-21"/>
          <w:w w:val="105"/>
        </w:rPr>
        <w:t> </w:t>
      </w:r>
      <w:r>
        <w:rPr>
          <w:w w:val="105"/>
        </w:rPr>
        <w:t>in</w:t>
      </w:r>
      <w:r>
        <w:rPr>
          <w:spacing w:val="-21"/>
          <w:w w:val="105"/>
        </w:rPr>
        <w:t> </w:t>
      </w:r>
      <w:r>
        <w:rPr>
          <w:spacing w:val="-3"/>
          <w:w w:val="105"/>
        </w:rPr>
        <w:t>Note</w:t>
      </w:r>
      <w:r>
        <w:rPr>
          <w:spacing w:val="-23"/>
          <w:w w:val="105"/>
        </w:rPr>
        <w:t> </w:t>
      </w:r>
      <w:r>
        <w:rPr>
          <w:w w:val="105"/>
        </w:rPr>
        <w:t>2</w:t>
      </w:r>
      <w:r>
        <w:rPr>
          <w:spacing w:val="-21"/>
          <w:w w:val="105"/>
        </w:rPr>
        <w:t> </w:t>
      </w:r>
      <w:r>
        <w:rPr>
          <w:w w:val="105"/>
        </w:rPr>
        <w:t>to</w:t>
      </w:r>
      <w:r>
        <w:rPr>
          <w:spacing w:val="-21"/>
          <w:w w:val="105"/>
        </w:rPr>
        <w:t> </w:t>
      </w:r>
      <w:r>
        <w:rPr>
          <w:w w:val="105"/>
        </w:rPr>
        <w:t>the</w:t>
      </w:r>
      <w:r>
        <w:rPr>
          <w:spacing w:val="-26"/>
          <w:w w:val="105"/>
        </w:rPr>
        <w:t> </w:t>
      </w:r>
      <w:r>
        <w:rPr>
          <w:w w:val="105"/>
        </w:rPr>
        <w:t>financial</w:t>
      </w:r>
      <w:r>
        <w:rPr>
          <w:spacing w:val="-21"/>
          <w:w w:val="105"/>
        </w:rPr>
        <w:t> </w:t>
      </w:r>
      <w:r>
        <w:rPr>
          <w:w w:val="105"/>
        </w:rPr>
        <w:t>statements,</w:t>
      </w:r>
      <w:r>
        <w:rPr>
          <w:spacing w:val="-23"/>
          <w:w w:val="105"/>
        </w:rPr>
        <w:t> </w:t>
      </w:r>
      <w:r>
        <w:rPr>
          <w:w w:val="105"/>
        </w:rPr>
        <w:t>in</w:t>
      </w:r>
      <w:r>
        <w:rPr>
          <w:spacing w:val="-21"/>
          <w:w w:val="105"/>
        </w:rPr>
        <w:t> </w:t>
      </w:r>
      <w:r>
        <w:rPr>
          <w:w w:val="105"/>
        </w:rPr>
        <w:t>2001</w:t>
      </w:r>
      <w:r>
        <w:rPr>
          <w:spacing w:val="-21"/>
          <w:w w:val="105"/>
        </w:rPr>
        <w:t> </w:t>
      </w:r>
      <w:r>
        <w:rPr>
          <w:w w:val="105"/>
        </w:rPr>
        <w:t>the</w:t>
      </w:r>
      <w:r>
        <w:rPr>
          <w:spacing w:val="-23"/>
          <w:w w:val="105"/>
        </w:rPr>
        <w:t> </w:t>
      </w:r>
      <w:r>
        <w:rPr>
          <w:w w:val="105"/>
        </w:rPr>
        <w:t>Company</w:t>
      </w:r>
      <w:r>
        <w:rPr>
          <w:spacing w:val="-21"/>
          <w:w w:val="105"/>
        </w:rPr>
        <w:t> </w:t>
      </w:r>
      <w:r>
        <w:rPr>
          <w:w w:val="105"/>
        </w:rPr>
        <w:t>changed</w:t>
      </w:r>
      <w:r>
        <w:rPr>
          <w:spacing w:val="-21"/>
          <w:w w:val="105"/>
        </w:rPr>
        <w:t> </w:t>
      </w:r>
      <w:r>
        <w:rPr>
          <w:w w:val="105"/>
        </w:rPr>
        <w:t>its</w:t>
      </w:r>
      <w:r>
        <w:rPr>
          <w:spacing w:val="-21"/>
          <w:w w:val="105"/>
        </w:rPr>
        <w:t> </w:t>
      </w:r>
      <w:r>
        <w:rPr>
          <w:spacing w:val="-3"/>
          <w:w w:val="105"/>
        </w:rPr>
        <w:t>method</w:t>
      </w:r>
      <w:r>
        <w:rPr>
          <w:spacing w:val="-21"/>
          <w:w w:val="105"/>
        </w:rPr>
        <w:t> </w:t>
      </w:r>
      <w:r>
        <w:rPr>
          <w:w w:val="105"/>
        </w:rPr>
        <w:t>of</w:t>
      </w:r>
      <w:r>
        <w:rPr>
          <w:spacing w:val="-26"/>
          <w:w w:val="105"/>
        </w:rPr>
        <w:t> </w:t>
      </w:r>
      <w:r>
        <w:rPr>
          <w:w w:val="105"/>
        </w:rPr>
        <w:t>accounting</w:t>
      </w:r>
      <w:r>
        <w:rPr>
          <w:spacing w:val="-24"/>
          <w:w w:val="105"/>
        </w:rPr>
        <w:t> </w:t>
      </w:r>
      <w:r>
        <w:rPr>
          <w:w w:val="105"/>
        </w:rPr>
        <w:t>for </w:t>
      </w:r>
      <w:r>
        <w:rPr/>
        <w:t>derivative financial</w:t>
      </w:r>
      <w:r>
        <w:rPr>
          <w:spacing w:val="9"/>
        </w:rPr>
        <w:t> </w:t>
      </w:r>
      <w:r>
        <w:rPr/>
        <w:t>instruments.</w:t>
      </w:r>
    </w:p>
    <w:p>
      <w:pPr>
        <w:pStyle w:val="BodyText"/>
        <w:spacing w:before="2"/>
        <w:rPr>
          <w:sz w:val="36"/>
        </w:rPr>
      </w:pPr>
    </w:p>
    <w:p>
      <w:pPr>
        <w:pStyle w:val="BodyText"/>
        <w:spacing w:before="1"/>
        <w:ind w:right="1179"/>
        <w:jc w:val="right"/>
      </w:pPr>
      <w:r>
        <w:rPr>
          <w:w w:val="105"/>
        </w:rPr>
        <w:t>ERNST &amp; YOUNG LLP</w:t>
      </w:r>
    </w:p>
    <w:p>
      <w:pPr>
        <w:pStyle w:val="BodyText"/>
        <w:spacing w:before="4"/>
        <w:rPr>
          <w:sz w:val="38"/>
        </w:rPr>
      </w:pPr>
    </w:p>
    <w:p>
      <w:pPr>
        <w:pStyle w:val="BodyText"/>
        <w:spacing w:line="220" w:lineRule="exact"/>
        <w:ind w:left="115" w:right="8232"/>
      </w:pPr>
      <w:r>
        <w:rPr>
          <w:w w:val="105"/>
        </w:rPr>
        <w:t>Dallas, Texas January 21, 2004</w:t>
      </w:r>
    </w:p>
    <w:p>
      <w:pPr>
        <w:spacing w:after="0" w:line="220" w:lineRule="exact"/>
        <w:sectPr>
          <w:pgSz w:w="12240" w:h="15840"/>
          <w:pgMar w:top="1080" w:bottom="280" w:left="1180" w:right="1180"/>
        </w:sectPr>
      </w:pPr>
    </w:p>
    <w:p>
      <w:pPr>
        <w:pStyle w:val="Heading2"/>
        <w:spacing w:line="256" w:lineRule="auto" w:before="100"/>
        <w:ind w:left="3118" w:right="2546" w:firstLine="4"/>
      </w:pPr>
      <w:bookmarkStart w:name="Quarterly Financial Data" w:id="60"/>
      <w:bookmarkEnd w:id="60"/>
      <w:r>
        <w:rPr>
          <w:b w:val="0"/>
        </w:rPr>
      </w:r>
      <w:bookmarkStart w:name="Changes In and Disagreements with Accoun" w:id="61"/>
      <w:bookmarkEnd w:id="61"/>
      <w:r>
        <w:rPr>
          <w:b w:val="0"/>
        </w:rPr>
      </w:r>
      <w:r>
        <w:rPr>
          <w:w w:val="105"/>
        </w:rPr>
        <w:t>Quarterly Financial Data (Unaudited) (in millions except per share amounts)</w:t>
      </w:r>
    </w:p>
    <w:p>
      <w:pPr>
        <w:pStyle w:val="BodyText"/>
        <w:spacing w:before="8"/>
        <w:rPr>
          <w:b/>
          <w:sz w:val="42"/>
        </w:rPr>
      </w:pPr>
    </w:p>
    <w:p>
      <w:pPr>
        <w:tabs>
          <w:tab w:pos="4639" w:val="left" w:leader="none"/>
          <w:tab w:pos="8244" w:val="left" w:leader="none"/>
        </w:tabs>
        <w:spacing w:before="0"/>
        <w:ind w:left="2936" w:right="0" w:firstLine="0"/>
        <w:jc w:val="left"/>
        <w:rPr>
          <w:b/>
          <w:sz w:val="21"/>
        </w:rPr>
      </w:pPr>
      <w:r>
        <w:rPr>
          <w:b/>
          <w:w w:val="102"/>
          <w:sz w:val="21"/>
          <w:u w:val="single"/>
        </w:rPr>
        <w:t> </w:t>
      </w:r>
      <w:r>
        <w:rPr>
          <w:b/>
          <w:sz w:val="21"/>
          <w:u w:val="single"/>
        </w:rPr>
        <w:tab/>
      </w:r>
      <w:r>
        <w:rPr>
          <w:b/>
          <w:w w:val="105"/>
          <w:sz w:val="21"/>
          <w:u w:val="single"/>
        </w:rPr>
        <w:t>Three months</w:t>
      </w:r>
      <w:r>
        <w:rPr>
          <w:b/>
          <w:spacing w:val="-41"/>
          <w:w w:val="105"/>
          <w:sz w:val="21"/>
          <w:u w:val="single"/>
        </w:rPr>
        <w:t> </w:t>
      </w:r>
      <w:r>
        <w:rPr>
          <w:b/>
          <w:w w:val="105"/>
          <w:sz w:val="21"/>
          <w:u w:val="single"/>
        </w:rPr>
        <w:t>ended</w:t>
      </w:r>
      <w:r>
        <w:rPr>
          <w:b/>
          <w:sz w:val="21"/>
          <w:u w:val="single"/>
        </w:rPr>
        <w:tab/>
      </w:r>
    </w:p>
    <w:p>
      <w:pPr>
        <w:pStyle w:val="BodyText"/>
        <w:spacing w:before="8" w:after="1"/>
        <w:rPr>
          <w:b/>
          <w:sz w:val="11"/>
        </w:rPr>
      </w:pPr>
    </w:p>
    <w:tbl>
      <w:tblPr>
        <w:tblW w:w="0" w:type="auto"/>
        <w:jc w:val="left"/>
        <w:tblInd w:w="14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778"/>
        <w:gridCol w:w="1543"/>
        <w:gridCol w:w="1346"/>
        <w:gridCol w:w="1381"/>
        <w:gridCol w:w="1059"/>
      </w:tblGrid>
      <w:tr>
        <w:trPr>
          <w:trHeight w:val="1026" w:hRule="exact"/>
        </w:trPr>
        <w:tc>
          <w:tcPr>
            <w:tcW w:w="2778" w:type="dxa"/>
          </w:tcPr>
          <w:p>
            <w:pPr>
              <w:pStyle w:val="TableParagraph"/>
              <w:spacing w:before="21"/>
              <w:ind w:left="32"/>
              <w:rPr>
                <w:rFonts w:ascii="Times New Roman"/>
                <w:b/>
                <w:sz w:val="21"/>
              </w:rPr>
            </w:pPr>
            <w:r>
              <w:rPr>
                <w:rFonts w:ascii="Times New Roman"/>
                <w:b/>
                <w:w w:val="105"/>
                <w:sz w:val="21"/>
                <w:u w:val="single"/>
              </w:rPr>
              <w:t>2003</w:t>
            </w:r>
          </w:p>
          <w:p>
            <w:pPr>
              <w:pStyle w:val="TableParagraph"/>
              <w:spacing w:before="11"/>
              <w:rPr>
                <w:rFonts w:ascii="Times New Roman"/>
                <w:b/>
                <w:sz w:val="36"/>
              </w:rPr>
            </w:pPr>
          </w:p>
          <w:p>
            <w:pPr>
              <w:pStyle w:val="TableParagraph"/>
              <w:ind w:left="32"/>
              <w:rPr>
                <w:rFonts w:ascii="Times New Roman"/>
                <w:sz w:val="21"/>
              </w:rPr>
            </w:pPr>
            <w:r>
              <w:rPr>
                <w:rFonts w:ascii="Times New Roman"/>
                <w:sz w:val="21"/>
              </w:rPr>
              <w:t>Operating revenues</w:t>
            </w:r>
          </w:p>
        </w:tc>
        <w:tc>
          <w:tcPr>
            <w:tcW w:w="1543" w:type="dxa"/>
          </w:tcPr>
          <w:p>
            <w:pPr>
              <w:pStyle w:val="TableParagraph"/>
              <w:spacing w:before="21"/>
              <w:ind w:left="302"/>
              <w:rPr>
                <w:rFonts w:ascii="Times New Roman"/>
                <w:b/>
                <w:sz w:val="21"/>
              </w:rPr>
            </w:pPr>
            <w:r>
              <w:rPr>
                <w:rFonts w:ascii="Times New Roman"/>
                <w:b/>
                <w:w w:val="105"/>
                <w:sz w:val="21"/>
                <w:u w:val="single"/>
              </w:rPr>
              <w:t>March 31</w:t>
            </w:r>
          </w:p>
          <w:p>
            <w:pPr>
              <w:pStyle w:val="TableParagraph"/>
              <w:spacing w:before="11"/>
              <w:rPr>
                <w:rFonts w:ascii="Times New Roman"/>
                <w:b/>
                <w:sz w:val="36"/>
              </w:rPr>
            </w:pPr>
          </w:p>
          <w:p>
            <w:pPr>
              <w:pStyle w:val="TableParagraph"/>
              <w:ind w:left="648"/>
              <w:rPr>
                <w:rFonts w:ascii="Times New Roman"/>
                <w:sz w:val="21"/>
              </w:rPr>
            </w:pPr>
            <w:r>
              <w:rPr>
                <w:rFonts w:ascii="Times New Roman"/>
                <w:w w:val="105"/>
                <w:sz w:val="21"/>
              </w:rPr>
              <w:t>$1,351</w:t>
            </w:r>
          </w:p>
        </w:tc>
        <w:tc>
          <w:tcPr>
            <w:tcW w:w="1346" w:type="dxa"/>
          </w:tcPr>
          <w:p>
            <w:pPr>
              <w:pStyle w:val="TableParagraph"/>
              <w:spacing w:before="21"/>
              <w:ind w:left="237" w:right="272"/>
              <w:jc w:val="center"/>
              <w:rPr>
                <w:rFonts w:ascii="Times New Roman"/>
                <w:b/>
                <w:sz w:val="21"/>
              </w:rPr>
            </w:pPr>
            <w:r>
              <w:rPr>
                <w:rFonts w:ascii="Times New Roman"/>
                <w:b/>
                <w:w w:val="105"/>
                <w:sz w:val="21"/>
                <w:u w:val="single"/>
              </w:rPr>
              <w:t>June 30</w:t>
            </w:r>
          </w:p>
          <w:p>
            <w:pPr>
              <w:pStyle w:val="TableParagraph"/>
              <w:spacing w:before="11"/>
              <w:rPr>
                <w:rFonts w:ascii="Times New Roman"/>
                <w:b/>
                <w:sz w:val="36"/>
              </w:rPr>
            </w:pPr>
          </w:p>
          <w:p>
            <w:pPr>
              <w:pStyle w:val="TableParagraph"/>
              <w:ind w:left="271" w:right="116"/>
              <w:jc w:val="center"/>
              <w:rPr>
                <w:rFonts w:ascii="Times New Roman"/>
                <w:sz w:val="21"/>
              </w:rPr>
            </w:pPr>
            <w:r>
              <w:rPr>
                <w:rFonts w:ascii="Times New Roman"/>
                <w:w w:val="105"/>
                <w:sz w:val="21"/>
              </w:rPr>
              <w:t>$1,515</w:t>
            </w:r>
          </w:p>
        </w:tc>
        <w:tc>
          <w:tcPr>
            <w:tcW w:w="1381" w:type="dxa"/>
          </w:tcPr>
          <w:p>
            <w:pPr>
              <w:pStyle w:val="TableParagraph"/>
              <w:spacing w:before="21"/>
              <w:ind w:left="245" w:right="299"/>
              <w:jc w:val="center"/>
              <w:rPr>
                <w:rFonts w:ascii="Times New Roman"/>
                <w:b/>
                <w:sz w:val="21"/>
              </w:rPr>
            </w:pPr>
            <w:r>
              <w:rPr>
                <w:rFonts w:ascii="Times New Roman"/>
                <w:b/>
                <w:w w:val="105"/>
                <w:sz w:val="21"/>
                <w:u w:val="single"/>
              </w:rPr>
              <w:t>Sept. 30</w:t>
            </w:r>
          </w:p>
          <w:p>
            <w:pPr>
              <w:pStyle w:val="TableParagraph"/>
              <w:spacing w:before="11"/>
              <w:rPr>
                <w:rFonts w:ascii="Times New Roman"/>
                <w:b/>
                <w:sz w:val="36"/>
              </w:rPr>
            </w:pPr>
          </w:p>
          <w:p>
            <w:pPr>
              <w:pStyle w:val="TableParagraph"/>
              <w:ind w:left="269" w:right="134"/>
              <w:jc w:val="center"/>
              <w:rPr>
                <w:rFonts w:ascii="Times New Roman"/>
                <w:sz w:val="21"/>
              </w:rPr>
            </w:pPr>
            <w:r>
              <w:rPr>
                <w:rFonts w:ascii="Times New Roman"/>
                <w:w w:val="105"/>
                <w:sz w:val="21"/>
              </w:rPr>
              <w:t>$1,553</w:t>
            </w:r>
          </w:p>
        </w:tc>
        <w:tc>
          <w:tcPr>
            <w:tcW w:w="1059" w:type="dxa"/>
          </w:tcPr>
          <w:p>
            <w:pPr>
              <w:pStyle w:val="TableParagraph"/>
              <w:spacing w:before="21"/>
              <w:ind w:left="267" w:right="9"/>
              <w:jc w:val="center"/>
              <w:rPr>
                <w:rFonts w:ascii="Times New Roman"/>
                <w:b/>
                <w:sz w:val="21"/>
              </w:rPr>
            </w:pPr>
            <w:r>
              <w:rPr>
                <w:rFonts w:ascii="Times New Roman"/>
                <w:b/>
                <w:w w:val="105"/>
                <w:sz w:val="21"/>
                <w:u w:val="single"/>
              </w:rPr>
              <w:t>Dec. 31</w:t>
            </w:r>
          </w:p>
          <w:p>
            <w:pPr>
              <w:pStyle w:val="TableParagraph"/>
              <w:spacing w:before="11"/>
              <w:rPr>
                <w:rFonts w:ascii="Times New Roman"/>
                <w:b/>
                <w:sz w:val="36"/>
              </w:rPr>
            </w:pPr>
          </w:p>
          <w:p>
            <w:pPr>
              <w:pStyle w:val="TableParagraph"/>
              <w:ind w:left="403" w:right="9"/>
              <w:jc w:val="center"/>
              <w:rPr>
                <w:rFonts w:ascii="Times New Roman"/>
                <w:sz w:val="21"/>
              </w:rPr>
            </w:pPr>
            <w:r>
              <w:rPr>
                <w:rFonts w:ascii="Times New Roman"/>
                <w:w w:val="105"/>
                <w:sz w:val="21"/>
              </w:rPr>
              <w:t>$1,517</w:t>
            </w:r>
          </w:p>
        </w:tc>
      </w:tr>
      <w:tr>
        <w:trPr>
          <w:trHeight w:val="403" w:hRule="exact"/>
        </w:trPr>
        <w:tc>
          <w:tcPr>
            <w:tcW w:w="2778" w:type="dxa"/>
          </w:tcPr>
          <w:p>
            <w:pPr>
              <w:pStyle w:val="TableParagraph"/>
              <w:spacing w:before="65"/>
              <w:ind w:left="32"/>
              <w:rPr>
                <w:rFonts w:ascii="Times New Roman"/>
                <w:sz w:val="21"/>
              </w:rPr>
            </w:pPr>
            <w:r>
              <w:rPr>
                <w:rFonts w:ascii="Times New Roman"/>
                <w:sz w:val="21"/>
              </w:rPr>
              <w:t>Operating income</w:t>
            </w:r>
          </w:p>
        </w:tc>
        <w:tc>
          <w:tcPr>
            <w:tcW w:w="1543" w:type="dxa"/>
          </w:tcPr>
          <w:p>
            <w:pPr>
              <w:pStyle w:val="TableParagraph"/>
              <w:spacing w:before="65"/>
              <w:ind w:right="297"/>
              <w:jc w:val="right"/>
              <w:rPr>
                <w:rFonts w:ascii="Times New Roman"/>
                <w:sz w:val="21"/>
              </w:rPr>
            </w:pPr>
            <w:r>
              <w:rPr>
                <w:rFonts w:ascii="Times New Roman"/>
                <w:sz w:val="21"/>
              </w:rPr>
              <w:t>46</w:t>
            </w:r>
          </w:p>
        </w:tc>
        <w:tc>
          <w:tcPr>
            <w:tcW w:w="1346" w:type="dxa"/>
          </w:tcPr>
          <w:p>
            <w:pPr>
              <w:pStyle w:val="TableParagraph"/>
              <w:spacing w:before="65"/>
              <w:ind w:right="297"/>
              <w:jc w:val="right"/>
              <w:rPr>
                <w:rFonts w:ascii="Times New Roman"/>
                <w:sz w:val="21"/>
              </w:rPr>
            </w:pPr>
            <w:r>
              <w:rPr>
                <w:rFonts w:ascii="Times New Roman"/>
                <w:sz w:val="21"/>
              </w:rPr>
              <w:t>140</w:t>
            </w:r>
          </w:p>
        </w:tc>
        <w:tc>
          <w:tcPr>
            <w:tcW w:w="1381" w:type="dxa"/>
          </w:tcPr>
          <w:p>
            <w:pPr>
              <w:pStyle w:val="TableParagraph"/>
              <w:spacing w:before="65"/>
              <w:ind w:right="324"/>
              <w:jc w:val="right"/>
              <w:rPr>
                <w:rFonts w:ascii="Times New Roman"/>
                <w:sz w:val="21"/>
              </w:rPr>
            </w:pPr>
            <w:r>
              <w:rPr>
                <w:rFonts w:ascii="Times New Roman"/>
                <w:sz w:val="21"/>
              </w:rPr>
              <w:t>185</w:t>
            </w:r>
          </w:p>
        </w:tc>
        <w:tc>
          <w:tcPr>
            <w:tcW w:w="1059" w:type="dxa"/>
          </w:tcPr>
          <w:p>
            <w:pPr>
              <w:pStyle w:val="TableParagraph"/>
              <w:spacing w:before="65"/>
              <w:ind w:right="34"/>
              <w:jc w:val="right"/>
              <w:rPr>
                <w:rFonts w:ascii="Times New Roman"/>
                <w:sz w:val="21"/>
              </w:rPr>
            </w:pPr>
            <w:r>
              <w:rPr>
                <w:rFonts w:ascii="Times New Roman"/>
                <w:sz w:val="21"/>
              </w:rPr>
              <w:t>111</w:t>
            </w:r>
          </w:p>
        </w:tc>
      </w:tr>
      <w:tr>
        <w:trPr>
          <w:trHeight w:val="403" w:hRule="exact"/>
        </w:trPr>
        <w:tc>
          <w:tcPr>
            <w:tcW w:w="2778" w:type="dxa"/>
          </w:tcPr>
          <w:p>
            <w:pPr>
              <w:pStyle w:val="TableParagraph"/>
              <w:spacing w:before="65"/>
              <w:ind w:left="32"/>
              <w:rPr>
                <w:rFonts w:ascii="Times New Roman"/>
                <w:sz w:val="21"/>
              </w:rPr>
            </w:pPr>
            <w:r>
              <w:rPr>
                <w:rFonts w:ascii="Times New Roman"/>
                <w:w w:val="105"/>
                <w:sz w:val="21"/>
              </w:rPr>
              <w:t>Income before income taxes</w:t>
            </w:r>
          </w:p>
        </w:tc>
        <w:tc>
          <w:tcPr>
            <w:tcW w:w="1543" w:type="dxa"/>
          </w:tcPr>
          <w:p>
            <w:pPr>
              <w:pStyle w:val="TableParagraph"/>
              <w:spacing w:before="65"/>
              <w:ind w:right="297"/>
              <w:jc w:val="right"/>
              <w:rPr>
                <w:rFonts w:ascii="Times New Roman"/>
                <w:sz w:val="21"/>
              </w:rPr>
            </w:pPr>
            <w:r>
              <w:rPr>
                <w:rFonts w:ascii="Times New Roman"/>
                <w:sz w:val="21"/>
              </w:rPr>
              <w:t>39</w:t>
            </w:r>
          </w:p>
        </w:tc>
        <w:tc>
          <w:tcPr>
            <w:tcW w:w="1346" w:type="dxa"/>
          </w:tcPr>
          <w:p>
            <w:pPr>
              <w:pStyle w:val="TableParagraph"/>
              <w:spacing w:before="65"/>
              <w:ind w:right="297"/>
              <w:jc w:val="right"/>
              <w:rPr>
                <w:rFonts w:ascii="Times New Roman"/>
                <w:sz w:val="21"/>
              </w:rPr>
            </w:pPr>
            <w:r>
              <w:rPr>
                <w:rFonts w:ascii="Times New Roman"/>
                <w:sz w:val="21"/>
              </w:rPr>
              <w:t>397</w:t>
            </w:r>
          </w:p>
        </w:tc>
        <w:tc>
          <w:tcPr>
            <w:tcW w:w="1381" w:type="dxa"/>
          </w:tcPr>
          <w:p>
            <w:pPr>
              <w:pStyle w:val="TableParagraph"/>
              <w:spacing w:before="65"/>
              <w:ind w:right="324"/>
              <w:jc w:val="right"/>
              <w:rPr>
                <w:rFonts w:ascii="Times New Roman"/>
                <w:sz w:val="21"/>
              </w:rPr>
            </w:pPr>
            <w:r>
              <w:rPr>
                <w:rFonts w:ascii="Times New Roman"/>
                <w:sz w:val="21"/>
              </w:rPr>
              <w:t>171</w:t>
            </w:r>
          </w:p>
        </w:tc>
        <w:tc>
          <w:tcPr>
            <w:tcW w:w="1059" w:type="dxa"/>
          </w:tcPr>
          <w:p>
            <w:pPr>
              <w:pStyle w:val="TableParagraph"/>
              <w:spacing w:before="65"/>
              <w:ind w:right="34"/>
              <w:jc w:val="right"/>
              <w:rPr>
                <w:rFonts w:ascii="Times New Roman"/>
                <w:sz w:val="21"/>
              </w:rPr>
            </w:pPr>
            <w:r>
              <w:rPr>
                <w:rFonts w:ascii="Times New Roman"/>
                <w:sz w:val="21"/>
              </w:rPr>
              <w:t>101</w:t>
            </w:r>
          </w:p>
        </w:tc>
      </w:tr>
      <w:tr>
        <w:trPr>
          <w:trHeight w:val="403" w:hRule="exact"/>
        </w:trPr>
        <w:tc>
          <w:tcPr>
            <w:tcW w:w="2778" w:type="dxa"/>
          </w:tcPr>
          <w:p>
            <w:pPr>
              <w:pStyle w:val="TableParagraph"/>
              <w:spacing w:before="65"/>
              <w:ind w:left="32"/>
              <w:rPr>
                <w:rFonts w:ascii="Times New Roman"/>
                <w:sz w:val="21"/>
              </w:rPr>
            </w:pPr>
            <w:r>
              <w:rPr>
                <w:rFonts w:ascii="Times New Roman"/>
                <w:w w:val="105"/>
                <w:sz w:val="21"/>
              </w:rPr>
              <w:t>Net income</w:t>
            </w:r>
          </w:p>
        </w:tc>
        <w:tc>
          <w:tcPr>
            <w:tcW w:w="1543" w:type="dxa"/>
          </w:tcPr>
          <w:p>
            <w:pPr>
              <w:pStyle w:val="TableParagraph"/>
              <w:spacing w:before="65"/>
              <w:ind w:right="297"/>
              <w:jc w:val="right"/>
              <w:rPr>
                <w:rFonts w:ascii="Times New Roman"/>
                <w:sz w:val="21"/>
              </w:rPr>
            </w:pPr>
            <w:r>
              <w:rPr>
                <w:rFonts w:ascii="Times New Roman"/>
                <w:sz w:val="21"/>
              </w:rPr>
              <w:t>24</w:t>
            </w:r>
          </w:p>
        </w:tc>
        <w:tc>
          <w:tcPr>
            <w:tcW w:w="1346" w:type="dxa"/>
          </w:tcPr>
          <w:p>
            <w:pPr>
              <w:pStyle w:val="TableParagraph"/>
              <w:spacing w:before="65"/>
              <w:ind w:right="297"/>
              <w:jc w:val="right"/>
              <w:rPr>
                <w:rFonts w:ascii="Times New Roman"/>
                <w:sz w:val="21"/>
              </w:rPr>
            </w:pPr>
            <w:r>
              <w:rPr>
                <w:rFonts w:ascii="Times New Roman"/>
                <w:sz w:val="21"/>
              </w:rPr>
              <w:t>246</w:t>
            </w:r>
          </w:p>
        </w:tc>
        <w:tc>
          <w:tcPr>
            <w:tcW w:w="1381" w:type="dxa"/>
          </w:tcPr>
          <w:p>
            <w:pPr>
              <w:pStyle w:val="TableParagraph"/>
              <w:spacing w:before="65"/>
              <w:ind w:right="324"/>
              <w:jc w:val="right"/>
              <w:rPr>
                <w:rFonts w:ascii="Times New Roman"/>
                <w:sz w:val="21"/>
              </w:rPr>
            </w:pPr>
            <w:r>
              <w:rPr>
                <w:rFonts w:ascii="Times New Roman"/>
                <w:sz w:val="21"/>
              </w:rPr>
              <w:t>106</w:t>
            </w:r>
          </w:p>
        </w:tc>
        <w:tc>
          <w:tcPr>
            <w:tcW w:w="1059" w:type="dxa"/>
          </w:tcPr>
          <w:p>
            <w:pPr>
              <w:pStyle w:val="TableParagraph"/>
              <w:spacing w:before="65"/>
              <w:ind w:right="32"/>
              <w:jc w:val="right"/>
              <w:rPr>
                <w:rFonts w:ascii="Times New Roman"/>
                <w:sz w:val="21"/>
              </w:rPr>
            </w:pPr>
            <w:r>
              <w:rPr>
                <w:rFonts w:ascii="Times New Roman"/>
                <w:sz w:val="21"/>
              </w:rPr>
              <w:t>66</w:t>
            </w:r>
          </w:p>
        </w:tc>
      </w:tr>
      <w:tr>
        <w:trPr>
          <w:trHeight w:val="351" w:hRule="exact"/>
        </w:trPr>
        <w:tc>
          <w:tcPr>
            <w:tcW w:w="2778" w:type="dxa"/>
          </w:tcPr>
          <w:p>
            <w:pPr>
              <w:pStyle w:val="TableParagraph"/>
              <w:spacing w:before="65"/>
              <w:ind w:left="32"/>
              <w:rPr>
                <w:rFonts w:ascii="Times New Roman"/>
                <w:sz w:val="21"/>
              </w:rPr>
            </w:pPr>
            <w:r>
              <w:rPr>
                <w:rFonts w:ascii="Times New Roman"/>
                <w:w w:val="105"/>
                <w:sz w:val="21"/>
              </w:rPr>
              <w:t>Net income per share, basic</w:t>
            </w:r>
          </w:p>
        </w:tc>
        <w:tc>
          <w:tcPr>
            <w:tcW w:w="1543" w:type="dxa"/>
          </w:tcPr>
          <w:p>
            <w:pPr>
              <w:pStyle w:val="TableParagraph"/>
              <w:spacing w:before="65"/>
              <w:ind w:right="296"/>
              <w:jc w:val="right"/>
              <w:rPr>
                <w:rFonts w:ascii="Times New Roman"/>
                <w:sz w:val="21"/>
              </w:rPr>
            </w:pPr>
            <w:r>
              <w:rPr>
                <w:rFonts w:ascii="Times New Roman"/>
                <w:sz w:val="21"/>
              </w:rPr>
              <w:t>.03</w:t>
            </w:r>
          </w:p>
        </w:tc>
        <w:tc>
          <w:tcPr>
            <w:tcW w:w="1346" w:type="dxa"/>
          </w:tcPr>
          <w:p>
            <w:pPr>
              <w:pStyle w:val="TableParagraph"/>
              <w:spacing w:before="65"/>
              <w:ind w:right="293"/>
              <w:jc w:val="right"/>
              <w:rPr>
                <w:rFonts w:ascii="Times New Roman"/>
                <w:sz w:val="21"/>
              </w:rPr>
            </w:pPr>
            <w:r>
              <w:rPr>
                <w:rFonts w:ascii="Times New Roman"/>
                <w:sz w:val="21"/>
              </w:rPr>
              <w:t>.32</w:t>
            </w:r>
          </w:p>
        </w:tc>
        <w:tc>
          <w:tcPr>
            <w:tcW w:w="1381" w:type="dxa"/>
          </w:tcPr>
          <w:p>
            <w:pPr>
              <w:pStyle w:val="TableParagraph"/>
              <w:spacing w:before="65"/>
              <w:ind w:right="320"/>
              <w:jc w:val="right"/>
              <w:rPr>
                <w:rFonts w:ascii="Times New Roman"/>
                <w:sz w:val="21"/>
              </w:rPr>
            </w:pPr>
            <w:r>
              <w:rPr>
                <w:rFonts w:ascii="Times New Roman"/>
                <w:sz w:val="21"/>
              </w:rPr>
              <w:t>.14</w:t>
            </w:r>
          </w:p>
        </w:tc>
        <w:tc>
          <w:tcPr>
            <w:tcW w:w="1059" w:type="dxa"/>
          </w:tcPr>
          <w:p>
            <w:pPr>
              <w:pStyle w:val="TableParagraph"/>
              <w:spacing w:before="65"/>
              <w:ind w:right="30"/>
              <w:jc w:val="right"/>
              <w:rPr>
                <w:rFonts w:ascii="Times New Roman"/>
                <w:sz w:val="21"/>
              </w:rPr>
            </w:pPr>
            <w:r>
              <w:rPr>
                <w:rFonts w:ascii="Times New Roman"/>
                <w:sz w:val="21"/>
              </w:rPr>
              <w:t>.08</w:t>
            </w:r>
          </w:p>
        </w:tc>
      </w:tr>
      <w:tr>
        <w:trPr>
          <w:trHeight w:val="657" w:hRule="exact"/>
        </w:trPr>
        <w:tc>
          <w:tcPr>
            <w:tcW w:w="2778" w:type="dxa"/>
          </w:tcPr>
          <w:p>
            <w:pPr>
              <w:pStyle w:val="TableParagraph"/>
              <w:spacing w:before="8"/>
              <w:rPr>
                <w:rFonts w:ascii="Times New Roman"/>
                <w:b/>
                <w:sz w:val="35"/>
              </w:rPr>
            </w:pPr>
          </w:p>
          <w:p>
            <w:pPr>
              <w:pStyle w:val="TableParagraph"/>
              <w:ind w:left="32"/>
              <w:rPr>
                <w:rFonts w:ascii="Times New Roman"/>
                <w:sz w:val="21"/>
              </w:rPr>
            </w:pPr>
            <w:r>
              <w:rPr>
                <w:rFonts w:ascii="Times New Roman"/>
                <w:w w:val="105"/>
                <w:sz w:val="21"/>
              </w:rPr>
              <w:t>Net income per share,</w:t>
            </w:r>
          </w:p>
        </w:tc>
        <w:tc>
          <w:tcPr>
            <w:tcW w:w="1543" w:type="dxa"/>
          </w:tcPr>
          <w:p>
            <w:pPr/>
          </w:p>
        </w:tc>
        <w:tc>
          <w:tcPr>
            <w:tcW w:w="1346" w:type="dxa"/>
          </w:tcPr>
          <w:p>
            <w:pPr/>
          </w:p>
        </w:tc>
        <w:tc>
          <w:tcPr>
            <w:tcW w:w="1381" w:type="dxa"/>
          </w:tcPr>
          <w:p>
            <w:pPr/>
          </w:p>
        </w:tc>
        <w:tc>
          <w:tcPr>
            <w:tcW w:w="1059" w:type="dxa"/>
          </w:tcPr>
          <w:p>
            <w:pPr/>
          </w:p>
        </w:tc>
      </w:tr>
      <w:tr>
        <w:trPr>
          <w:trHeight w:val="349" w:hRule="exact"/>
        </w:trPr>
        <w:tc>
          <w:tcPr>
            <w:tcW w:w="2778" w:type="dxa"/>
          </w:tcPr>
          <w:p>
            <w:pPr>
              <w:pStyle w:val="TableParagraph"/>
              <w:spacing w:line="216" w:lineRule="exact"/>
              <w:ind w:left="32"/>
              <w:rPr>
                <w:rFonts w:ascii="Times New Roman"/>
                <w:sz w:val="21"/>
              </w:rPr>
            </w:pPr>
            <w:r>
              <w:rPr>
                <w:rFonts w:ascii="Times New Roman"/>
                <w:w w:val="105"/>
                <w:sz w:val="21"/>
              </w:rPr>
              <w:t>diluted</w:t>
            </w:r>
          </w:p>
        </w:tc>
        <w:tc>
          <w:tcPr>
            <w:tcW w:w="1543" w:type="dxa"/>
          </w:tcPr>
          <w:p>
            <w:pPr>
              <w:pStyle w:val="TableParagraph"/>
              <w:spacing w:line="216" w:lineRule="exact"/>
              <w:ind w:right="296"/>
              <w:jc w:val="right"/>
              <w:rPr>
                <w:rFonts w:ascii="Times New Roman"/>
                <w:sz w:val="21"/>
              </w:rPr>
            </w:pPr>
            <w:r>
              <w:rPr>
                <w:rFonts w:ascii="Times New Roman"/>
                <w:sz w:val="21"/>
              </w:rPr>
              <w:t>.03</w:t>
            </w:r>
          </w:p>
        </w:tc>
        <w:tc>
          <w:tcPr>
            <w:tcW w:w="1346" w:type="dxa"/>
          </w:tcPr>
          <w:p>
            <w:pPr>
              <w:pStyle w:val="TableParagraph"/>
              <w:spacing w:line="216" w:lineRule="exact"/>
              <w:ind w:right="293"/>
              <w:jc w:val="right"/>
              <w:rPr>
                <w:rFonts w:ascii="Times New Roman"/>
                <w:sz w:val="21"/>
              </w:rPr>
            </w:pPr>
            <w:r>
              <w:rPr>
                <w:rFonts w:ascii="Times New Roman"/>
                <w:sz w:val="21"/>
              </w:rPr>
              <w:t>.30</w:t>
            </w:r>
          </w:p>
        </w:tc>
        <w:tc>
          <w:tcPr>
            <w:tcW w:w="1381" w:type="dxa"/>
          </w:tcPr>
          <w:p>
            <w:pPr>
              <w:pStyle w:val="TableParagraph"/>
              <w:spacing w:line="216" w:lineRule="exact"/>
              <w:ind w:right="320"/>
              <w:jc w:val="right"/>
              <w:rPr>
                <w:rFonts w:ascii="Times New Roman"/>
                <w:sz w:val="21"/>
              </w:rPr>
            </w:pPr>
            <w:r>
              <w:rPr>
                <w:rFonts w:ascii="Times New Roman"/>
                <w:sz w:val="21"/>
              </w:rPr>
              <w:t>.13</w:t>
            </w:r>
          </w:p>
        </w:tc>
        <w:tc>
          <w:tcPr>
            <w:tcW w:w="1059" w:type="dxa"/>
          </w:tcPr>
          <w:p>
            <w:pPr>
              <w:pStyle w:val="TableParagraph"/>
              <w:spacing w:line="216" w:lineRule="exact"/>
              <w:ind w:right="30"/>
              <w:jc w:val="right"/>
              <w:rPr>
                <w:rFonts w:ascii="Times New Roman"/>
                <w:sz w:val="21"/>
              </w:rPr>
            </w:pPr>
            <w:r>
              <w:rPr>
                <w:rFonts w:ascii="Times New Roman"/>
                <w:sz w:val="21"/>
              </w:rPr>
              <w:t>.08</w:t>
            </w:r>
          </w:p>
        </w:tc>
      </w:tr>
      <w:tr>
        <w:trPr>
          <w:trHeight w:val="580" w:hRule="exact"/>
        </w:trPr>
        <w:tc>
          <w:tcPr>
            <w:tcW w:w="2778" w:type="dxa"/>
          </w:tcPr>
          <w:p>
            <w:pPr>
              <w:pStyle w:val="TableParagraph"/>
              <w:spacing w:before="110"/>
              <w:ind w:left="32"/>
              <w:rPr>
                <w:rFonts w:ascii="Times New Roman"/>
                <w:b/>
                <w:sz w:val="21"/>
              </w:rPr>
            </w:pPr>
            <w:r>
              <w:rPr>
                <w:rFonts w:ascii="Times New Roman"/>
                <w:b/>
                <w:w w:val="105"/>
                <w:sz w:val="21"/>
                <w:u w:val="single"/>
              </w:rPr>
              <w:t>2002</w:t>
            </w:r>
          </w:p>
        </w:tc>
        <w:tc>
          <w:tcPr>
            <w:tcW w:w="1543" w:type="dxa"/>
          </w:tcPr>
          <w:p>
            <w:pPr>
              <w:pStyle w:val="TableParagraph"/>
              <w:spacing w:before="110"/>
              <w:ind w:right="314"/>
              <w:jc w:val="right"/>
              <w:rPr>
                <w:rFonts w:ascii="Times New Roman"/>
                <w:b/>
                <w:sz w:val="21"/>
              </w:rPr>
            </w:pPr>
            <w:r>
              <w:rPr>
                <w:rFonts w:ascii="Times New Roman"/>
                <w:b/>
                <w:w w:val="105"/>
                <w:sz w:val="21"/>
                <w:u w:val="single"/>
              </w:rPr>
              <w:t>March 31</w:t>
            </w:r>
          </w:p>
        </w:tc>
        <w:tc>
          <w:tcPr>
            <w:tcW w:w="1346" w:type="dxa"/>
          </w:tcPr>
          <w:p>
            <w:pPr>
              <w:pStyle w:val="TableParagraph"/>
              <w:spacing w:before="110"/>
              <w:ind w:right="332"/>
              <w:jc w:val="right"/>
              <w:rPr>
                <w:rFonts w:ascii="Times New Roman"/>
                <w:b/>
                <w:sz w:val="21"/>
              </w:rPr>
            </w:pPr>
            <w:r>
              <w:rPr>
                <w:rFonts w:ascii="Times New Roman"/>
                <w:b/>
                <w:w w:val="105"/>
                <w:sz w:val="21"/>
                <w:u w:val="single"/>
              </w:rPr>
              <w:t>June 30</w:t>
            </w:r>
          </w:p>
        </w:tc>
        <w:tc>
          <w:tcPr>
            <w:tcW w:w="1381" w:type="dxa"/>
          </w:tcPr>
          <w:p>
            <w:pPr>
              <w:pStyle w:val="TableParagraph"/>
              <w:spacing w:before="110"/>
              <w:ind w:right="350"/>
              <w:jc w:val="right"/>
              <w:rPr>
                <w:rFonts w:ascii="Times New Roman"/>
                <w:b/>
                <w:sz w:val="21"/>
              </w:rPr>
            </w:pPr>
            <w:r>
              <w:rPr>
                <w:rFonts w:ascii="Times New Roman"/>
                <w:b/>
                <w:w w:val="105"/>
                <w:sz w:val="21"/>
                <w:u w:val="single"/>
              </w:rPr>
              <w:t>Sept. 30</w:t>
            </w:r>
          </w:p>
        </w:tc>
        <w:tc>
          <w:tcPr>
            <w:tcW w:w="1059" w:type="dxa"/>
          </w:tcPr>
          <w:p>
            <w:pPr>
              <w:pStyle w:val="TableParagraph"/>
              <w:spacing w:before="110"/>
              <w:ind w:right="62"/>
              <w:jc w:val="right"/>
              <w:rPr>
                <w:rFonts w:ascii="Times New Roman"/>
                <w:b/>
                <w:sz w:val="21"/>
              </w:rPr>
            </w:pPr>
            <w:r>
              <w:rPr>
                <w:rFonts w:ascii="Times New Roman"/>
                <w:b/>
                <w:w w:val="105"/>
                <w:sz w:val="21"/>
                <w:u w:val="single"/>
              </w:rPr>
              <w:t>Dec. 31</w:t>
            </w:r>
          </w:p>
        </w:tc>
      </w:tr>
      <w:tr>
        <w:trPr>
          <w:trHeight w:val="576" w:hRule="exact"/>
        </w:trPr>
        <w:tc>
          <w:tcPr>
            <w:tcW w:w="2778" w:type="dxa"/>
          </w:tcPr>
          <w:p>
            <w:pPr>
              <w:pStyle w:val="TableParagraph"/>
              <w:spacing w:before="198"/>
              <w:ind w:left="32"/>
              <w:rPr>
                <w:rFonts w:ascii="Times New Roman"/>
                <w:sz w:val="21"/>
              </w:rPr>
            </w:pPr>
            <w:r>
              <w:rPr>
                <w:rFonts w:ascii="Times New Roman"/>
                <w:sz w:val="21"/>
              </w:rPr>
              <w:t>Operating revenues</w:t>
            </w:r>
          </w:p>
        </w:tc>
        <w:tc>
          <w:tcPr>
            <w:tcW w:w="1543" w:type="dxa"/>
          </w:tcPr>
          <w:p>
            <w:pPr>
              <w:pStyle w:val="TableParagraph"/>
              <w:spacing w:before="198"/>
              <w:ind w:right="298"/>
              <w:jc w:val="right"/>
              <w:rPr>
                <w:rFonts w:ascii="Times New Roman"/>
                <w:sz w:val="21"/>
              </w:rPr>
            </w:pPr>
            <w:r>
              <w:rPr>
                <w:rFonts w:ascii="Times New Roman"/>
                <w:sz w:val="21"/>
              </w:rPr>
              <w:t>$1,257</w:t>
            </w:r>
          </w:p>
        </w:tc>
        <w:tc>
          <w:tcPr>
            <w:tcW w:w="1346" w:type="dxa"/>
          </w:tcPr>
          <w:p>
            <w:pPr>
              <w:pStyle w:val="TableParagraph"/>
              <w:spacing w:before="198"/>
              <w:ind w:right="296"/>
              <w:jc w:val="right"/>
              <w:rPr>
                <w:rFonts w:ascii="Times New Roman"/>
                <w:sz w:val="21"/>
              </w:rPr>
            </w:pPr>
            <w:r>
              <w:rPr>
                <w:rFonts w:ascii="Times New Roman"/>
                <w:sz w:val="21"/>
              </w:rPr>
              <w:t>$1,473</w:t>
            </w:r>
          </w:p>
        </w:tc>
        <w:tc>
          <w:tcPr>
            <w:tcW w:w="1381" w:type="dxa"/>
          </w:tcPr>
          <w:p>
            <w:pPr>
              <w:pStyle w:val="TableParagraph"/>
              <w:spacing w:before="198"/>
              <w:ind w:right="323"/>
              <w:jc w:val="right"/>
              <w:rPr>
                <w:rFonts w:ascii="Times New Roman"/>
                <w:sz w:val="21"/>
              </w:rPr>
            </w:pPr>
            <w:r>
              <w:rPr>
                <w:rFonts w:ascii="Times New Roman"/>
                <w:sz w:val="21"/>
              </w:rPr>
              <w:t>$1,391</w:t>
            </w:r>
          </w:p>
        </w:tc>
        <w:tc>
          <w:tcPr>
            <w:tcW w:w="1059" w:type="dxa"/>
          </w:tcPr>
          <w:p>
            <w:pPr>
              <w:pStyle w:val="TableParagraph"/>
              <w:spacing w:before="198"/>
              <w:ind w:right="33"/>
              <w:jc w:val="right"/>
              <w:rPr>
                <w:rFonts w:ascii="Times New Roman"/>
                <w:sz w:val="21"/>
              </w:rPr>
            </w:pPr>
            <w:r>
              <w:rPr>
                <w:rFonts w:ascii="Times New Roman"/>
                <w:sz w:val="21"/>
              </w:rPr>
              <w:t>$1,401</w:t>
            </w:r>
          </w:p>
        </w:tc>
      </w:tr>
      <w:tr>
        <w:trPr>
          <w:trHeight w:val="444" w:hRule="exact"/>
        </w:trPr>
        <w:tc>
          <w:tcPr>
            <w:tcW w:w="2778" w:type="dxa"/>
          </w:tcPr>
          <w:p>
            <w:pPr>
              <w:pStyle w:val="TableParagraph"/>
              <w:spacing w:before="106"/>
              <w:ind w:left="32"/>
              <w:rPr>
                <w:rFonts w:ascii="Times New Roman"/>
                <w:sz w:val="21"/>
              </w:rPr>
            </w:pPr>
            <w:r>
              <w:rPr>
                <w:rFonts w:ascii="Times New Roman"/>
                <w:sz w:val="21"/>
              </w:rPr>
              <w:t>Operating income</w:t>
            </w:r>
          </w:p>
        </w:tc>
        <w:tc>
          <w:tcPr>
            <w:tcW w:w="1543" w:type="dxa"/>
          </w:tcPr>
          <w:p>
            <w:pPr>
              <w:pStyle w:val="TableParagraph"/>
              <w:spacing w:before="106"/>
              <w:ind w:right="297"/>
              <w:jc w:val="right"/>
              <w:rPr>
                <w:rFonts w:ascii="Times New Roman"/>
                <w:sz w:val="21"/>
              </w:rPr>
            </w:pPr>
            <w:r>
              <w:rPr>
                <w:rFonts w:ascii="Times New Roman"/>
                <w:sz w:val="21"/>
              </w:rPr>
              <w:t>49</w:t>
            </w:r>
          </w:p>
        </w:tc>
        <w:tc>
          <w:tcPr>
            <w:tcW w:w="1346" w:type="dxa"/>
          </w:tcPr>
          <w:p>
            <w:pPr>
              <w:pStyle w:val="TableParagraph"/>
              <w:spacing w:before="106"/>
              <w:ind w:right="297"/>
              <w:jc w:val="right"/>
              <w:rPr>
                <w:rFonts w:ascii="Times New Roman"/>
                <w:sz w:val="21"/>
              </w:rPr>
            </w:pPr>
            <w:r>
              <w:rPr>
                <w:rFonts w:ascii="Times New Roman"/>
                <w:sz w:val="21"/>
              </w:rPr>
              <w:t>189</w:t>
            </w:r>
          </w:p>
        </w:tc>
        <w:tc>
          <w:tcPr>
            <w:tcW w:w="1381" w:type="dxa"/>
          </w:tcPr>
          <w:p>
            <w:pPr>
              <w:pStyle w:val="TableParagraph"/>
              <w:spacing w:before="106"/>
              <w:ind w:right="322"/>
              <w:jc w:val="right"/>
              <w:rPr>
                <w:rFonts w:ascii="Times New Roman"/>
                <w:sz w:val="21"/>
              </w:rPr>
            </w:pPr>
            <w:r>
              <w:rPr>
                <w:rFonts w:ascii="Times New Roman"/>
                <w:sz w:val="21"/>
              </w:rPr>
              <w:t>91</w:t>
            </w:r>
          </w:p>
        </w:tc>
        <w:tc>
          <w:tcPr>
            <w:tcW w:w="1059" w:type="dxa"/>
          </w:tcPr>
          <w:p>
            <w:pPr>
              <w:pStyle w:val="TableParagraph"/>
              <w:spacing w:before="106"/>
              <w:ind w:right="32"/>
              <w:jc w:val="right"/>
              <w:rPr>
                <w:rFonts w:ascii="Times New Roman"/>
                <w:sz w:val="21"/>
              </w:rPr>
            </w:pPr>
            <w:r>
              <w:rPr>
                <w:rFonts w:ascii="Times New Roman"/>
                <w:sz w:val="21"/>
              </w:rPr>
              <w:t>88</w:t>
            </w:r>
          </w:p>
        </w:tc>
      </w:tr>
      <w:tr>
        <w:trPr>
          <w:trHeight w:val="403" w:hRule="exact"/>
        </w:trPr>
        <w:tc>
          <w:tcPr>
            <w:tcW w:w="2778" w:type="dxa"/>
          </w:tcPr>
          <w:p>
            <w:pPr>
              <w:pStyle w:val="TableParagraph"/>
              <w:spacing w:before="65"/>
              <w:ind w:left="32"/>
              <w:rPr>
                <w:rFonts w:ascii="Times New Roman"/>
                <w:sz w:val="21"/>
              </w:rPr>
            </w:pPr>
            <w:r>
              <w:rPr>
                <w:rFonts w:ascii="Times New Roman"/>
                <w:w w:val="105"/>
                <w:sz w:val="21"/>
              </w:rPr>
              <w:t>Income before income taxes</w:t>
            </w:r>
          </w:p>
        </w:tc>
        <w:tc>
          <w:tcPr>
            <w:tcW w:w="1543" w:type="dxa"/>
          </w:tcPr>
          <w:p>
            <w:pPr>
              <w:pStyle w:val="TableParagraph"/>
              <w:spacing w:before="65"/>
              <w:ind w:right="297"/>
              <w:jc w:val="right"/>
              <w:rPr>
                <w:rFonts w:ascii="Times New Roman"/>
                <w:sz w:val="21"/>
              </w:rPr>
            </w:pPr>
            <w:r>
              <w:rPr>
                <w:rFonts w:ascii="Times New Roman"/>
                <w:sz w:val="21"/>
              </w:rPr>
              <w:t>35</w:t>
            </w:r>
          </w:p>
        </w:tc>
        <w:tc>
          <w:tcPr>
            <w:tcW w:w="1346" w:type="dxa"/>
          </w:tcPr>
          <w:p>
            <w:pPr>
              <w:pStyle w:val="TableParagraph"/>
              <w:spacing w:before="65"/>
              <w:ind w:right="297"/>
              <w:jc w:val="right"/>
              <w:rPr>
                <w:rFonts w:ascii="Times New Roman"/>
                <w:sz w:val="21"/>
              </w:rPr>
            </w:pPr>
            <w:r>
              <w:rPr>
                <w:rFonts w:ascii="Times New Roman"/>
                <w:sz w:val="21"/>
              </w:rPr>
              <w:t>169</w:t>
            </w:r>
          </w:p>
        </w:tc>
        <w:tc>
          <w:tcPr>
            <w:tcW w:w="1381" w:type="dxa"/>
          </w:tcPr>
          <w:p>
            <w:pPr>
              <w:pStyle w:val="TableParagraph"/>
              <w:spacing w:before="65"/>
              <w:ind w:right="324"/>
              <w:jc w:val="right"/>
              <w:rPr>
                <w:rFonts w:ascii="Times New Roman"/>
                <w:sz w:val="21"/>
              </w:rPr>
            </w:pPr>
            <w:r>
              <w:rPr>
                <w:rFonts w:ascii="Times New Roman"/>
                <w:sz w:val="21"/>
              </w:rPr>
              <w:t>124</w:t>
            </w:r>
          </w:p>
        </w:tc>
        <w:tc>
          <w:tcPr>
            <w:tcW w:w="1059" w:type="dxa"/>
          </w:tcPr>
          <w:p>
            <w:pPr>
              <w:pStyle w:val="TableParagraph"/>
              <w:spacing w:before="65"/>
              <w:ind w:right="31"/>
              <w:jc w:val="right"/>
              <w:rPr>
                <w:rFonts w:ascii="Times New Roman"/>
                <w:sz w:val="21"/>
              </w:rPr>
            </w:pPr>
            <w:r>
              <w:rPr>
                <w:rFonts w:ascii="Times New Roman"/>
                <w:sz w:val="21"/>
              </w:rPr>
              <w:t>64</w:t>
            </w:r>
          </w:p>
        </w:tc>
      </w:tr>
      <w:tr>
        <w:trPr>
          <w:trHeight w:val="403" w:hRule="exact"/>
        </w:trPr>
        <w:tc>
          <w:tcPr>
            <w:tcW w:w="2778" w:type="dxa"/>
          </w:tcPr>
          <w:p>
            <w:pPr>
              <w:pStyle w:val="TableParagraph"/>
              <w:spacing w:before="65"/>
              <w:ind w:left="32"/>
              <w:rPr>
                <w:rFonts w:ascii="Times New Roman"/>
                <w:sz w:val="21"/>
              </w:rPr>
            </w:pPr>
            <w:r>
              <w:rPr>
                <w:rFonts w:ascii="Times New Roman"/>
                <w:w w:val="105"/>
                <w:sz w:val="21"/>
              </w:rPr>
              <w:t>Net income</w:t>
            </w:r>
          </w:p>
        </w:tc>
        <w:tc>
          <w:tcPr>
            <w:tcW w:w="1543" w:type="dxa"/>
          </w:tcPr>
          <w:p>
            <w:pPr>
              <w:pStyle w:val="TableParagraph"/>
              <w:spacing w:before="65"/>
              <w:ind w:right="297"/>
              <w:jc w:val="right"/>
              <w:rPr>
                <w:rFonts w:ascii="Times New Roman"/>
                <w:sz w:val="21"/>
              </w:rPr>
            </w:pPr>
            <w:r>
              <w:rPr>
                <w:rFonts w:ascii="Times New Roman"/>
                <w:sz w:val="21"/>
              </w:rPr>
              <w:t>21</w:t>
            </w:r>
          </w:p>
        </w:tc>
        <w:tc>
          <w:tcPr>
            <w:tcW w:w="1346" w:type="dxa"/>
          </w:tcPr>
          <w:p>
            <w:pPr>
              <w:pStyle w:val="TableParagraph"/>
              <w:spacing w:before="65"/>
              <w:ind w:right="297"/>
              <w:jc w:val="right"/>
              <w:rPr>
                <w:rFonts w:ascii="Times New Roman"/>
                <w:sz w:val="21"/>
              </w:rPr>
            </w:pPr>
            <w:r>
              <w:rPr>
                <w:rFonts w:ascii="Times New Roman"/>
                <w:sz w:val="21"/>
              </w:rPr>
              <w:t>102</w:t>
            </w:r>
          </w:p>
        </w:tc>
        <w:tc>
          <w:tcPr>
            <w:tcW w:w="1381" w:type="dxa"/>
          </w:tcPr>
          <w:p>
            <w:pPr>
              <w:pStyle w:val="TableParagraph"/>
              <w:spacing w:before="65"/>
              <w:ind w:right="322"/>
              <w:jc w:val="right"/>
              <w:rPr>
                <w:rFonts w:ascii="Times New Roman"/>
                <w:sz w:val="21"/>
              </w:rPr>
            </w:pPr>
            <w:r>
              <w:rPr>
                <w:rFonts w:ascii="Times New Roman"/>
                <w:sz w:val="21"/>
              </w:rPr>
              <w:t>75</w:t>
            </w:r>
          </w:p>
        </w:tc>
        <w:tc>
          <w:tcPr>
            <w:tcW w:w="1059" w:type="dxa"/>
          </w:tcPr>
          <w:p>
            <w:pPr>
              <w:pStyle w:val="TableParagraph"/>
              <w:spacing w:before="65"/>
              <w:ind w:right="32"/>
              <w:jc w:val="right"/>
              <w:rPr>
                <w:rFonts w:ascii="Times New Roman"/>
                <w:sz w:val="21"/>
              </w:rPr>
            </w:pPr>
            <w:r>
              <w:rPr>
                <w:rFonts w:ascii="Times New Roman"/>
                <w:sz w:val="21"/>
              </w:rPr>
              <w:t>42</w:t>
            </w:r>
          </w:p>
        </w:tc>
      </w:tr>
      <w:tr>
        <w:trPr>
          <w:trHeight w:val="351" w:hRule="exact"/>
        </w:trPr>
        <w:tc>
          <w:tcPr>
            <w:tcW w:w="2778" w:type="dxa"/>
          </w:tcPr>
          <w:p>
            <w:pPr>
              <w:pStyle w:val="TableParagraph"/>
              <w:spacing w:before="65"/>
              <w:ind w:left="32"/>
              <w:rPr>
                <w:rFonts w:ascii="Times New Roman"/>
                <w:sz w:val="21"/>
              </w:rPr>
            </w:pPr>
            <w:r>
              <w:rPr>
                <w:rFonts w:ascii="Times New Roman"/>
                <w:w w:val="105"/>
                <w:sz w:val="21"/>
              </w:rPr>
              <w:t>Net income per share, basic</w:t>
            </w:r>
          </w:p>
        </w:tc>
        <w:tc>
          <w:tcPr>
            <w:tcW w:w="1543" w:type="dxa"/>
          </w:tcPr>
          <w:p>
            <w:pPr>
              <w:pStyle w:val="TableParagraph"/>
              <w:spacing w:before="65"/>
              <w:ind w:right="296"/>
              <w:jc w:val="right"/>
              <w:rPr>
                <w:rFonts w:ascii="Times New Roman"/>
                <w:sz w:val="21"/>
              </w:rPr>
            </w:pPr>
            <w:r>
              <w:rPr>
                <w:rFonts w:ascii="Times New Roman"/>
                <w:sz w:val="21"/>
              </w:rPr>
              <w:t>.03</w:t>
            </w:r>
          </w:p>
        </w:tc>
        <w:tc>
          <w:tcPr>
            <w:tcW w:w="1346" w:type="dxa"/>
          </w:tcPr>
          <w:p>
            <w:pPr>
              <w:pStyle w:val="TableParagraph"/>
              <w:spacing w:before="65"/>
              <w:ind w:right="293"/>
              <w:jc w:val="right"/>
              <w:rPr>
                <w:rFonts w:ascii="Times New Roman"/>
                <w:sz w:val="21"/>
              </w:rPr>
            </w:pPr>
            <w:r>
              <w:rPr>
                <w:rFonts w:ascii="Times New Roman"/>
                <w:sz w:val="21"/>
              </w:rPr>
              <w:t>.13</w:t>
            </w:r>
          </w:p>
        </w:tc>
        <w:tc>
          <w:tcPr>
            <w:tcW w:w="1381" w:type="dxa"/>
          </w:tcPr>
          <w:p>
            <w:pPr>
              <w:pStyle w:val="TableParagraph"/>
              <w:spacing w:before="65"/>
              <w:ind w:right="320"/>
              <w:jc w:val="right"/>
              <w:rPr>
                <w:rFonts w:ascii="Times New Roman"/>
                <w:sz w:val="21"/>
              </w:rPr>
            </w:pPr>
            <w:r>
              <w:rPr>
                <w:rFonts w:ascii="Times New Roman"/>
                <w:sz w:val="21"/>
              </w:rPr>
              <w:t>.10</w:t>
            </w:r>
          </w:p>
        </w:tc>
        <w:tc>
          <w:tcPr>
            <w:tcW w:w="1059" w:type="dxa"/>
          </w:tcPr>
          <w:p>
            <w:pPr>
              <w:pStyle w:val="TableParagraph"/>
              <w:spacing w:before="65"/>
              <w:ind w:right="30"/>
              <w:jc w:val="right"/>
              <w:rPr>
                <w:rFonts w:ascii="Times New Roman"/>
                <w:sz w:val="21"/>
              </w:rPr>
            </w:pPr>
            <w:r>
              <w:rPr>
                <w:rFonts w:ascii="Times New Roman"/>
                <w:sz w:val="21"/>
              </w:rPr>
              <w:t>.05</w:t>
            </w:r>
          </w:p>
        </w:tc>
      </w:tr>
      <w:tr>
        <w:trPr>
          <w:trHeight w:val="345" w:hRule="exact"/>
        </w:trPr>
        <w:tc>
          <w:tcPr>
            <w:tcW w:w="2778" w:type="dxa"/>
          </w:tcPr>
          <w:p>
            <w:pPr>
              <w:pStyle w:val="TableParagraph"/>
              <w:spacing w:before="98"/>
              <w:ind w:left="32"/>
              <w:rPr>
                <w:rFonts w:ascii="Times New Roman"/>
                <w:sz w:val="21"/>
              </w:rPr>
            </w:pPr>
            <w:r>
              <w:rPr>
                <w:rFonts w:ascii="Times New Roman"/>
                <w:w w:val="105"/>
                <w:sz w:val="21"/>
              </w:rPr>
              <w:t>Net income per share,</w:t>
            </w:r>
          </w:p>
        </w:tc>
        <w:tc>
          <w:tcPr>
            <w:tcW w:w="1543" w:type="dxa"/>
          </w:tcPr>
          <w:p>
            <w:pPr/>
          </w:p>
        </w:tc>
        <w:tc>
          <w:tcPr>
            <w:tcW w:w="1346" w:type="dxa"/>
          </w:tcPr>
          <w:p>
            <w:pPr/>
          </w:p>
        </w:tc>
        <w:tc>
          <w:tcPr>
            <w:tcW w:w="1381" w:type="dxa"/>
          </w:tcPr>
          <w:p>
            <w:pPr/>
          </w:p>
        </w:tc>
        <w:tc>
          <w:tcPr>
            <w:tcW w:w="1059" w:type="dxa"/>
          </w:tcPr>
          <w:p>
            <w:pPr/>
          </w:p>
        </w:tc>
      </w:tr>
      <w:tr>
        <w:trPr>
          <w:trHeight w:val="260" w:hRule="exact"/>
        </w:trPr>
        <w:tc>
          <w:tcPr>
            <w:tcW w:w="2778" w:type="dxa"/>
          </w:tcPr>
          <w:p>
            <w:pPr>
              <w:pStyle w:val="TableParagraph"/>
              <w:spacing w:line="216" w:lineRule="exact"/>
              <w:ind w:left="32"/>
              <w:rPr>
                <w:rFonts w:ascii="Times New Roman"/>
                <w:sz w:val="21"/>
              </w:rPr>
            </w:pPr>
            <w:r>
              <w:rPr>
                <w:rFonts w:ascii="Times New Roman"/>
                <w:w w:val="105"/>
                <w:sz w:val="21"/>
              </w:rPr>
              <w:t>diluted</w:t>
            </w:r>
          </w:p>
        </w:tc>
        <w:tc>
          <w:tcPr>
            <w:tcW w:w="1543" w:type="dxa"/>
          </w:tcPr>
          <w:p>
            <w:pPr>
              <w:pStyle w:val="TableParagraph"/>
              <w:spacing w:line="216" w:lineRule="exact"/>
              <w:ind w:right="296"/>
              <w:jc w:val="right"/>
              <w:rPr>
                <w:rFonts w:ascii="Times New Roman"/>
                <w:sz w:val="21"/>
              </w:rPr>
            </w:pPr>
            <w:r>
              <w:rPr>
                <w:rFonts w:ascii="Times New Roman"/>
                <w:sz w:val="21"/>
              </w:rPr>
              <w:t>.03</w:t>
            </w:r>
          </w:p>
        </w:tc>
        <w:tc>
          <w:tcPr>
            <w:tcW w:w="1346" w:type="dxa"/>
          </w:tcPr>
          <w:p>
            <w:pPr>
              <w:pStyle w:val="TableParagraph"/>
              <w:spacing w:line="216" w:lineRule="exact"/>
              <w:ind w:right="293"/>
              <w:jc w:val="right"/>
              <w:rPr>
                <w:rFonts w:ascii="Times New Roman"/>
                <w:sz w:val="21"/>
              </w:rPr>
            </w:pPr>
            <w:r>
              <w:rPr>
                <w:rFonts w:ascii="Times New Roman"/>
                <w:sz w:val="21"/>
              </w:rPr>
              <w:t>.13</w:t>
            </w:r>
          </w:p>
        </w:tc>
        <w:tc>
          <w:tcPr>
            <w:tcW w:w="1381" w:type="dxa"/>
          </w:tcPr>
          <w:p>
            <w:pPr>
              <w:pStyle w:val="TableParagraph"/>
              <w:spacing w:line="216" w:lineRule="exact"/>
              <w:ind w:right="320"/>
              <w:jc w:val="right"/>
              <w:rPr>
                <w:rFonts w:ascii="Times New Roman"/>
                <w:sz w:val="21"/>
              </w:rPr>
            </w:pPr>
            <w:r>
              <w:rPr>
                <w:rFonts w:ascii="Times New Roman"/>
                <w:sz w:val="21"/>
              </w:rPr>
              <w:t>.09</w:t>
            </w:r>
          </w:p>
        </w:tc>
        <w:tc>
          <w:tcPr>
            <w:tcW w:w="1059" w:type="dxa"/>
          </w:tcPr>
          <w:p>
            <w:pPr>
              <w:pStyle w:val="TableParagraph"/>
              <w:spacing w:line="216" w:lineRule="exact"/>
              <w:ind w:right="30"/>
              <w:jc w:val="right"/>
              <w:rPr>
                <w:rFonts w:ascii="Times New Roman"/>
                <w:sz w:val="21"/>
              </w:rPr>
            </w:pPr>
            <w:r>
              <w:rPr>
                <w:rFonts w:ascii="Times New Roman"/>
                <w:sz w:val="21"/>
              </w:rPr>
              <w:t>.05</w:t>
            </w:r>
          </w:p>
        </w:tc>
      </w:tr>
    </w:tbl>
    <w:p>
      <w:pPr>
        <w:pStyle w:val="BodyText"/>
        <w:spacing w:before="7"/>
        <w:rPr>
          <w:b/>
          <w:sz w:val="43"/>
        </w:rPr>
      </w:pPr>
    </w:p>
    <w:p>
      <w:pPr>
        <w:pStyle w:val="Heading3"/>
        <w:ind w:left="108"/>
        <w:rPr>
          <w:i/>
        </w:rPr>
      </w:pPr>
      <w:r>
        <w:rPr>
          <w:i w:val="0"/>
          <w:w w:val="105"/>
        </w:rPr>
        <w:t>Item 9. </w:t>
      </w:r>
      <w:r>
        <w:rPr>
          <w:i/>
          <w:w w:val="105"/>
        </w:rPr>
        <w:t>Changes In and Disagreements With Accountants on Accounting and Financial Disclosure</w:t>
      </w:r>
    </w:p>
    <w:p>
      <w:pPr>
        <w:pStyle w:val="BodyText"/>
        <w:rPr>
          <w:b/>
          <w:i/>
          <w:sz w:val="24"/>
        </w:rPr>
      </w:pPr>
    </w:p>
    <w:p>
      <w:pPr>
        <w:pStyle w:val="BodyText"/>
        <w:ind w:left="271"/>
      </w:pPr>
      <w:r>
        <w:rPr>
          <w:w w:val="105"/>
        </w:rPr>
        <w:t>None.</w:t>
      </w:r>
    </w:p>
    <w:p>
      <w:pPr>
        <w:spacing w:after="0"/>
        <w:sectPr>
          <w:pgSz w:w="12240" w:h="15840"/>
          <w:pgMar w:top="1120" w:bottom="280" w:left="1240" w:right="1720"/>
        </w:sectPr>
      </w:pPr>
    </w:p>
    <w:p>
      <w:pPr>
        <w:spacing w:before="98"/>
        <w:ind w:left="113" w:right="0" w:firstLine="0"/>
        <w:jc w:val="left"/>
        <w:rPr>
          <w:b/>
          <w:i/>
          <w:sz w:val="21"/>
        </w:rPr>
      </w:pPr>
      <w:bookmarkStart w:name="Controls and Procedures" w:id="62"/>
      <w:bookmarkEnd w:id="62"/>
      <w:r>
        <w:rPr/>
      </w:r>
      <w:r>
        <w:rPr>
          <w:b/>
          <w:w w:val="105"/>
          <w:sz w:val="21"/>
        </w:rPr>
        <w:t>Item 9A. </w:t>
      </w:r>
      <w:r>
        <w:rPr>
          <w:b/>
          <w:i/>
          <w:w w:val="105"/>
          <w:sz w:val="21"/>
        </w:rPr>
        <w:t>Controls and Procedures</w:t>
      </w:r>
    </w:p>
    <w:p>
      <w:pPr>
        <w:pStyle w:val="Heading2"/>
        <w:spacing w:before="257"/>
        <w:ind w:left="113"/>
        <w:rPr>
          <w:b w:val="0"/>
        </w:rPr>
      </w:pPr>
      <w:r>
        <w:rPr>
          <w:w w:val="105"/>
        </w:rPr>
        <w:t>Disclosure Controls and Procedures</w:t>
      </w:r>
      <w:r>
        <w:rPr>
          <w:b w:val="0"/>
          <w:w w:val="105"/>
        </w:rPr>
        <w:t>.</w:t>
      </w:r>
    </w:p>
    <w:p>
      <w:pPr>
        <w:pStyle w:val="BodyText"/>
        <w:spacing w:line="259" w:lineRule="auto" w:before="89"/>
        <w:ind w:left="113" w:right="108" w:firstLine="720"/>
        <w:jc w:val="both"/>
      </w:pPr>
      <w:r>
        <w:rPr>
          <w:w w:val="105"/>
        </w:rPr>
        <w:t>The Company maintains controls and procedures designed to ensure that it is able to collect the information it is required to disclose in the reports it files with the SEC, and to process, summarize and disclose this information within the time periods specified in the rules of the SEC. Based on an evaluation of the Company's disclosure controls and procedures as of the end of the period covered by this report conducted by the Company's management, with the participation of the Chief Executive and Chief Financial Officers, the Chief Executive and Chief Financial Officers believe that these controls and procedures are effective to ensure that the Company is able to collect, process and disclose the information it is required to disclose in the reports it files with the SEC within the required time periods.</w:t>
      </w:r>
    </w:p>
    <w:p>
      <w:pPr>
        <w:pStyle w:val="BodyText"/>
        <w:spacing w:before="2"/>
        <w:rPr>
          <w:sz w:val="33"/>
        </w:rPr>
      </w:pPr>
    </w:p>
    <w:p>
      <w:pPr>
        <w:pStyle w:val="Heading2"/>
        <w:spacing w:before="1"/>
        <w:ind w:left="113"/>
        <w:rPr>
          <w:b w:val="0"/>
        </w:rPr>
      </w:pPr>
      <w:r>
        <w:rPr>
          <w:w w:val="105"/>
        </w:rPr>
        <w:t>Internal Control over Financial Reporting</w:t>
      </w:r>
      <w:r>
        <w:rPr>
          <w:b w:val="0"/>
          <w:w w:val="105"/>
        </w:rPr>
        <w:t>.</w:t>
      </w:r>
    </w:p>
    <w:p>
      <w:pPr>
        <w:pStyle w:val="BodyText"/>
        <w:spacing w:line="242" w:lineRule="auto" w:before="85"/>
        <w:ind w:left="113" w:right="548" w:firstLine="720"/>
        <w:jc w:val="both"/>
        <w:rPr>
          <w:sz w:val="24"/>
        </w:rPr>
      </w:pPr>
      <w:r>
        <w:rPr>
          <w:w w:val="105"/>
        </w:rPr>
        <w:t>During</w:t>
      </w:r>
      <w:r>
        <w:rPr>
          <w:spacing w:val="-12"/>
          <w:w w:val="105"/>
        </w:rPr>
        <w:t> </w:t>
      </w:r>
      <w:r>
        <w:rPr>
          <w:w w:val="105"/>
        </w:rPr>
        <w:t>the</w:t>
      </w:r>
      <w:r>
        <w:rPr>
          <w:spacing w:val="-12"/>
          <w:w w:val="105"/>
        </w:rPr>
        <w:t> </w:t>
      </w:r>
      <w:r>
        <w:rPr>
          <w:w w:val="105"/>
        </w:rPr>
        <w:t>period</w:t>
      </w:r>
      <w:r>
        <w:rPr>
          <w:spacing w:val="-12"/>
          <w:w w:val="105"/>
        </w:rPr>
        <w:t> </w:t>
      </w:r>
      <w:r>
        <w:rPr>
          <w:w w:val="105"/>
        </w:rPr>
        <w:t>covered</w:t>
      </w:r>
      <w:r>
        <w:rPr>
          <w:spacing w:val="-12"/>
          <w:w w:val="105"/>
        </w:rPr>
        <w:t> </w:t>
      </w:r>
      <w:r>
        <w:rPr>
          <w:w w:val="105"/>
        </w:rPr>
        <w:t>by</w:t>
      </w:r>
      <w:r>
        <w:rPr>
          <w:spacing w:val="-12"/>
          <w:w w:val="105"/>
        </w:rPr>
        <w:t> </w:t>
      </w:r>
      <w:r>
        <w:rPr>
          <w:w w:val="105"/>
        </w:rPr>
        <w:t>this</w:t>
      </w:r>
      <w:r>
        <w:rPr>
          <w:spacing w:val="-12"/>
          <w:w w:val="105"/>
        </w:rPr>
        <w:t> </w:t>
      </w:r>
      <w:r>
        <w:rPr>
          <w:w w:val="105"/>
        </w:rPr>
        <w:t>report,</w:t>
      </w:r>
      <w:r>
        <w:rPr>
          <w:spacing w:val="-12"/>
          <w:w w:val="105"/>
        </w:rPr>
        <w:t> </w:t>
      </w:r>
      <w:r>
        <w:rPr>
          <w:w w:val="105"/>
        </w:rPr>
        <w:t>there</w:t>
      </w:r>
      <w:r>
        <w:rPr>
          <w:spacing w:val="-12"/>
          <w:w w:val="105"/>
        </w:rPr>
        <w:t> </w:t>
      </w:r>
      <w:r>
        <w:rPr>
          <w:w w:val="105"/>
        </w:rPr>
        <w:t>have</w:t>
      </w:r>
      <w:r>
        <w:rPr>
          <w:spacing w:val="-12"/>
          <w:w w:val="105"/>
        </w:rPr>
        <w:t> </w:t>
      </w:r>
      <w:r>
        <w:rPr>
          <w:w w:val="105"/>
        </w:rPr>
        <w:t>been</w:t>
      </w:r>
      <w:r>
        <w:rPr>
          <w:spacing w:val="-12"/>
          <w:w w:val="105"/>
        </w:rPr>
        <w:t> </w:t>
      </w:r>
      <w:r>
        <w:rPr>
          <w:w w:val="105"/>
        </w:rPr>
        <w:t>no</w:t>
      </w:r>
      <w:r>
        <w:rPr>
          <w:spacing w:val="-12"/>
          <w:w w:val="105"/>
        </w:rPr>
        <w:t> </w:t>
      </w:r>
      <w:r>
        <w:rPr>
          <w:w w:val="105"/>
        </w:rPr>
        <w:t>changes</w:t>
      </w:r>
      <w:r>
        <w:rPr>
          <w:spacing w:val="-12"/>
          <w:w w:val="105"/>
        </w:rPr>
        <w:t> </w:t>
      </w:r>
      <w:r>
        <w:rPr>
          <w:w w:val="105"/>
        </w:rPr>
        <w:t>in</w:t>
      </w:r>
      <w:r>
        <w:rPr>
          <w:spacing w:val="-12"/>
          <w:w w:val="105"/>
        </w:rPr>
        <w:t> </w:t>
      </w:r>
      <w:r>
        <w:rPr>
          <w:w w:val="105"/>
        </w:rPr>
        <w:t>the</w:t>
      </w:r>
      <w:r>
        <w:rPr>
          <w:spacing w:val="-12"/>
          <w:w w:val="105"/>
        </w:rPr>
        <w:t> </w:t>
      </w:r>
      <w:r>
        <w:rPr>
          <w:w w:val="105"/>
        </w:rPr>
        <w:t>Company's</w:t>
      </w:r>
      <w:r>
        <w:rPr>
          <w:spacing w:val="-12"/>
          <w:w w:val="105"/>
        </w:rPr>
        <w:t> </w:t>
      </w:r>
      <w:r>
        <w:rPr>
          <w:w w:val="105"/>
        </w:rPr>
        <w:t>internal control</w:t>
      </w:r>
      <w:r>
        <w:rPr>
          <w:spacing w:val="-14"/>
          <w:w w:val="105"/>
        </w:rPr>
        <w:t> </w:t>
      </w:r>
      <w:r>
        <w:rPr>
          <w:w w:val="105"/>
        </w:rPr>
        <w:t>over</w:t>
      </w:r>
      <w:r>
        <w:rPr>
          <w:spacing w:val="-14"/>
          <w:w w:val="105"/>
        </w:rPr>
        <w:t> </w:t>
      </w:r>
      <w:r>
        <w:rPr>
          <w:w w:val="105"/>
        </w:rPr>
        <w:t>financial</w:t>
      </w:r>
      <w:r>
        <w:rPr>
          <w:spacing w:val="-14"/>
          <w:w w:val="105"/>
        </w:rPr>
        <w:t> </w:t>
      </w:r>
      <w:r>
        <w:rPr>
          <w:w w:val="105"/>
        </w:rPr>
        <w:t>reporting</w:t>
      </w:r>
      <w:r>
        <w:rPr>
          <w:spacing w:val="-14"/>
          <w:w w:val="105"/>
        </w:rPr>
        <w:t> </w:t>
      </w:r>
      <w:r>
        <w:rPr>
          <w:w w:val="105"/>
        </w:rPr>
        <w:t>that</w:t>
      </w:r>
      <w:r>
        <w:rPr>
          <w:spacing w:val="-14"/>
          <w:w w:val="105"/>
        </w:rPr>
        <w:t> </w:t>
      </w:r>
      <w:r>
        <w:rPr>
          <w:w w:val="105"/>
        </w:rPr>
        <w:t>have</w:t>
      </w:r>
      <w:r>
        <w:rPr>
          <w:spacing w:val="-14"/>
          <w:w w:val="105"/>
        </w:rPr>
        <w:t> </w:t>
      </w:r>
      <w:r>
        <w:rPr>
          <w:w w:val="105"/>
        </w:rPr>
        <w:t>materially</w:t>
      </w:r>
      <w:r>
        <w:rPr>
          <w:spacing w:val="-14"/>
          <w:w w:val="105"/>
        </w:rPr>
        <w:t> </w:t>
      </w:r>
      <w:r>
        <w:rPr>
          <w:w w:val="105"/>
        </w:rPr>
        <w:t>affected</w:t>
      </w:r>
      <w:r>
        <w:rPr>
          <w:spacing w:val="-14"/>
          <w:w w:val="105"/>
        </w:rPr>
        <w:t> </w:t>
      </w:r>
      <w:r>
        <w:rPr>
          <w:w w:val="105"/>
        </w:rPr>
        <w:t>or</w:t>
      </w:r>
      <w:r>
        <w:rPr>
          <w:spacing w:val="-14"/>
          <w:w w:val="105"/>
        </w:rPr>
        <w:t> </w:t>
      </w:r>
      <w:r>
        <w:rPr>
          <w:w w:val="105"/>
        </w:rPr>
        <w:t>are</w:t>
      </w:r>
      <w:r>
        <w:rPr>
          <w:spacing w:val="-14"/>
          <w:w w:val="105"/>
        </w:rPr>
        <w:t> </w:t>
      </w:r>
      <w:r>
        <w:rPr>
          <w:w w:val="105"/>
        </w:rPr>
        <w:t>reasonably</w:t>
      </w:r>
      <w:r>
        <w:rPr>
          <w:spacing w:val="-14"/>
          <w:w w:val="105"/>
        </w:rPr>
        <w:t> </w:t>
      </w:r>
      <w:r>
        <w:rPr>
          <w:w w:val="105"/>
        </w:rPr>
        <w:t>likely</w:t>
      </w:r>
      <w:r>
        <w:rPr>
          <w:spacing w:val="-14"/>
          <w:w w:val="105"/>
        </w:rPr>
        <w:t> </w:t>
      </w:r>
      <w:r>
        <w:rPr>
          <w:w w:val="105"/>
        </w:rPr>
        <w:t>to</w:t>
      </w:r>
      <w:r>
        <w:rPr>
          <w:spacing w:val="-14"/>
          <w:w w:val="105"/>
        </w:rPr>
        <w:t> </w:t>
      </w:r>
      <w:r>
        <w:rPr>
          <w:w w:val="105"/>
        </w:rPr>
        <w:t>materially</w:t>
      </w:r>
      <w:r>
        <w:rPr>
          <w:spacing w:val="-14"/>
          <w:w w:val="105"/>
        </w:rPr>
        <w:t> </w:t>
      </w:r>
      <w:r>
        <w:rPr>
          <w:w w:val="105"/>
        </w:rPr>
        <w:t>affect the</w:t>
      </w:r>
      <w:r>
        <w:rPr>
          <w:spacing w:val="-19"/>
          <w:w w:val="105"/>
        </w:rPr>
        <w:t> </w:t>
      </w:r>
      <w:r>
        <w:rPr>
          <w:w w:val="105"/>
        </w:rPr>
        <w:t>Company's</w:t>
      </w:r>
      <w:r>
        <w:rPr>
          <w:spacing w:val="-19"/>
          <w:w w:val="105"/>
        </w:rPr>
        <w:t> </w:t>
      </w:r>
      <w:r>
        <w:rPr>
          <w:w w:val="105"/>
        </w:rPr>
        <w:t>internal</w:t>
      </w:r>
      <w:r>
        <w:rPr>
          <w:spacing w:val="-19"/>
          <w:w w:val="105"/>
        </w:rPr>
        <w:t> </w:t>
      </w:r>
      <w:r>
        <w:rPr>
          <w:w w:val="105"/>
        </w:rPr>
        <w:t>control</w:t>
      </w:r>
      <w:r>
        <w:rPr>
          <w:spacing w:val="-19"/>
          <w:w w:val="105"/>
        </w:rPr>
        <w:t> </w:t>
      </w:r>
      <w:r>
        <w:rPr>
          <w:w w:val="105"/>
        </w:rPr>
        <w:t>over</w:t>
      </w:r>
      <w:r>
        <w:rPr>
          <w:spacing w:val="-19"/>
          <w:w w:val="105"/>
        </w:rPr>
        <w:t> </w:t>
      </w:r>
      <w:r>
        <w:rPr>
          <w:w w:val="105"/>
        </w:rPr>
        <w:t>financial</w:t>
      </w:r>
      <w:r>
        <w:rPr>
          <w:spacing w:val="-19"/>
          <w:w w:val="105"/>
        </w:rPr>
        <w:t> </w:t>
      </w:r>
      <w:r>
        <w:rPr>
          <w:w w:val="105"/>
        </w:rPr>
        <w:t>reporting</w:t>
      </w:r>
      <w:r>
        <w:rPr>
          <w:w w:val="105"/>
          <w:sz w:val="24"/>
        </w:rPr>
        <w:t>.</w:t>
      </w:r>
    </w:p>
    <w:p>
      <w:pPr>
        <w:pStyle w:val="BodyText"/>
        <w:spacing w:before="1"/>
        <w:rPr>
          <w:sz w:val="34"/>
        </w:rPr>
      </w:pPr>
    </w:p>
    <w:p>
      <w:pPr>
        <w:pStyle w:val="Heading2"/>
        <w:ind w:left="4098" w:right="4100"/>
        <w:jc w:val="center"/>
      </w:pPr>
      <w:r>
        <w:rPr>
          <w:w w:val="105"/>
        </w:rPr>
        <w:t>PART III</w:t>
      </w:r>
    </w:p>
    <w:p>
      <w:pPr>
        <w:pStyle w:val="BodyText"/>
        <w:spacing w:before="10"/>
        <w:rPr>
          <w:b/>
          <w:sz w:val="34"/>
        </w:rPr>
      </w:pPr>
    </w:p>
    <w:p>
      <w:pPr>
        <w:pStyle w:val="Heading3"/>
        <w:rPr>
          <w:i/>
        </w:rPr>
      </w:pPr>
      <w:r>
        <w:rPr>
          <w:i w:val="0"/>
          <w:w w:val="105"/>
        </w:rPr>
        <w:t>Item 10. </w:t>
      </w:r>
      <w:r>
        <w:rPr>
          <w:i/>
          <w:w w:val="105"/>
        </w:rPr>
        <w:t>Directors and Executive Officers of the Registrant</w:t>
      </w:r>
    </w:p>
    <w:p>
      <w:pPr>
        <w:pStyle w:val="BodyText"/>
        <w:spacing w:line="259" w:lineRule="auto" w:before="84"/>
        <w:ind w:left="113" w:right="106" w:firstLine="720"/>
        <w:jc w:val="both"/>
      </w:pPr>
      <w:r>
        <w:rPr>
          <w:w w:val="105"/>
        </w:rPr>
        <w:t>The information required by Item 401 of Regulation S-K regarding directors is included under</w:t>
      </w:r>
      <w:r>
        <w:rPr>
          <w:spacing w:val="55"/>
          <w:w w:val="105"/>
        </w:rPr>
        <w:t> </w:t>
      </w:r>
      <w:r>
        <w:rPr>
          <w:w w:val="105"/>
        </w:rPr>
        <w:t>“Election of Directors” in the definitive Proxy Statement for Southwest's Annual Meeting of Shareholders to be held May 19, 2004 and is incorporated herein by reference. The information required by Item 401 of Regulation S-K regarding executive officers is included under “Executive Officers of the Registrant” in Part I following Item 4 of this Report. The information required by Item 405 of Regulation S-K is included under “Section 16(a) Beneficial Ownership Reporting Compliance” in the definitive Proxy Statement for </w:t>
      </w:r>
      <w:r>
        <w:rPr>
          <w:spacing w:val="2"/>
          <w:w w:val="105"/>
        </w:rPr>
        <w:t>Southwest's Annual Meeting </w:t>
      </w:r>
      <w:r>
        <w:rPr>
          <w:w w:val="105"/>
        </w:rPr>
        <w:t>of </w:t>
      </w:r>
      <w:r>
        <w:rPr>
          <w:spacing w:val="2"/>
          <w:w w:val="105"/>
        </w:rPr>
        <w:t>Shareholders </w:t>
      </w:r>
      <w:r>
        <w:rPr>
          <w:w w:val="105"/>
        </w:rPr>
        <w:t>to be </w:t>
      </w:r>
      <w:r>
        <w:rPr>
          <w:spacing w:val="2"/>
          <w:w w:val="105"/>
        </w:rPr>
        <w:t>held </w:t>
      </w:r>
      <w:r>
        <w:rPr>
          <w:w w:val="105"/>
        </w:rPr>
        <w:t>May 19, </w:t>
      </w:r>
      <w:r>
        <w:rPr>
          <w:spacing w:val="2"/>
          <w:w w:val="105"/>
        </w:rPr>
        <w:t>2004 </w:t>
      </w:r>
      <w:r>
        <w:rPr>
          <w:w w:val="105"/>
        </w:rPr>
        <w:t>and is </w:t>
      </w:r>
      <w:r>
        <w:rPr>
          <w:spacing w:val="2"/>
          <w:w w:val="105"/>
        </w:rPr>
        <w:t>incorporated herein </w:t>
      </w:r>
      <w:r>
        <w:rPr>
          <w:spacing w:val="3"/>
          <w:w w:val="105"/>
        </w:rPr>
        <w:t>by </w:t>
      </w:r>
      <w:r>
        <w:rPr>
          <w:w w:val="105"/>
        </w:rPr>
        <w:t>reference.</w:t>
      </w:r>
    </w:p>
    <w:p>
      <w:pPr>
        <w:pStyle w:val="BodyText"/>
        <w:spacing w:before="2"/>
        <w:rPr>
          <w:sz w:val="33"/>
        </w:rPr>
      </w:pPr>
    </w:p>
    <w:p>
      <w:pPr>
        <w:pStyle w:val="BodyText"/>
        <w:spacing w:line="259" w:lineRule="auto" w:before="1"/>
        <w:ind w:left="113" w:right="107" w:firstLine="720"/>
        <w:jc w:val="both"/>
      </w:pPr>
      <w:r>
        <w:rPr>
          <w:w w:val="105"/>
        </w:rPr>
        <w:t>In the wake of well-publicized corporate scandals, the Securities and Exchange Commission and the New York Stock </w:t>
      </w:r>
      <w:r>
        <w:rPr>
          <w:spacing w:val="2"/>
          <w:w w:val="105"/>
        </w:rPr>
        <w:t>Exchange </w:t>
      </w:r>
      <w:r>
        <w:rPr>
          <w:w w:val="105"/>
        </w:rPr>
        <w:t>have </w:t>
      </w:r>
      <w:r>
        <w:rPr>
          <w:spacing w:val="2"/>
          <w:w w:val="105"/>
        </w:rPr>
        <w:t>issued multiple </w:t>
      </w:r>
      <w:r>
        <w:rPr>
          <w:w w:val="105"/>
        </w:rPr>
        <w:t>new regulations, requiring the </w:t>
      </w:r>
      <w:r>
        <w:rPr>
          <w:spacing w:val="2"/>
          <w:w w:val="105"/>
        </w:rPr>
        <w:t>implementation </w:t>
      </w:r>
      <w:r>
        <w:rPr>
          <w:w w:val="105"/>
        </w:rPr>
        <w:t>of</w:t>
      </w:r>
      <w:r>
        <w:rPr>
          <w:spacing w:val="55"/>
          <w:w w:val="105"/>
        </w:rPr>
        <w:t> </w:t>
      </w:r>
      <w:r>
        <w:rPr>
          <w:w w:val="105"/>
        </w:rPr>
        <w:t>policies and procedures in the corporate governance area.  Since beginning business in 1971, Southwest  has thrived on a culture, which encourages an entrepreneurial spirit in its Employees, and has emphasized personal responsibility, initiative, and the use of independent, good judgment. The Golden Rule is one of the</w:t>
      </w:r>
      <w:r>
        <w:rPr>
          <w:spacing w:val="-12"/>
          <w:w w:val="105"/>
        </w:rPr>
        <w:t> </w:t>
      </w:r>
      <w:r>
        <w:rPr>
          <w:w w:val="105"/>
        </w:rPr>
        <w:t>core</w:t>
      </w:r>
      <w:r>
        <w:rPr>
          <w:spacing w:val="-12"/>
          <w:w w:val="105"/>
        </w:rPr>
        <w:t> </w:t>
      </w:r>
      <w:r>
        <w:rPr>
          <w:w w:val="105"/>
        </w:rPr>
        <w:t>values,</w:t>
      </w:r>
      <w:r>
        <w:rPr>
          <w:spacing w:val="-12"/>
          <w:w w:val="105"/>
        </w:rPr>
        <w:t> </w:t>
      </w:r>
      <w:r>
        <w:rPr>
          <w:w w:val="105"/>
        </w:rPr>
        <w:t>and</w:t>
      </w:r>
      <w:r>
        <w:rPr>
          <w:spacing w:val="-12"/>
          <w:w w:val="105"/>
        </w:rPr>
        <w:t> </w:t>
      </w:r>
      <w:r>
        <w:rPr>
          <w:w w:val="105"/>
        </w:rPr>
        <w:t>there</w:t>
      </w:r>
      <w:r>
        <w:rPr>
          <w:spacing w:val="-12"/>
          <w:w w:val="105"/>
        </w:rPr>
        <w:t> </w:t>
      </w:r>
      <w:r>
        <w:rPr>
          <w:w w:val="105"/>
        </w:rPr>
        <w:t>is</w:t>
      </w:r>
      <w:r>
        <w:rPr>
          <w:spacing w:val="-12"/>
          <w:w w:val="105"/>
        </w:rPr>
        <w:t> </w:t>
      </w:r>
      <w:r>
        <w:rPr>
          <w:w w:val="105"/>
        </w:rPr>
        <w:t>a</w:t>
      </w:r>
      <w:r>
        <w:rPr>
          <w:spacing w:val="-12"/>
          <w:w w:val="105"/>
        </w:rPr>
        <w:t> </w:t>
      </w:r>
      <w:r>
        <w:rPr>
          <w:w w:val="105"/>
        </w:rPr>
        <w:t>“top-down”</w:t>
      </w:r>
      <w:r>
        <w:rPr>
          <w:spacing w:val="-12"/>
          <w:w w:val="105"/>
        </w:rPr>
        <w:t> </w:t>
      </w:r>
      <w:r>
        <w:rPr>
          <w:w w:val="105"/>
        </w:rPr>
        <w:t>insistence</w:t>
      </w:r>
      <w:r>
        <w:rPr>
          <w:spacing w:val="-12"/>
          <w:w w:val="105"/>
        </w:rPr>
        <w:t> </w:t>
      </w:r>
      <w:r>
        <w:rPr>
          <w:w w:val="105"/>
        </w:rPr>
        <w:t>on</w:t>
      </w:r>
      <w:r>
        <w:rPr>
          <w:spacing w:val="-12"/>
          <w:w w:val="105"/>
        </w:rPr>
        <w:t> </w:t>
      </w:r>
      <w:r>
        <w:rPr>
          <w:w w:val="105"/>
        </w:rPr>
        <w:t>the</w:t>
      </w:r>
      <w:r>
        <w:rPr>
          <w:spacing w:val="-12"/>
          <w:w w:val="105"/>
        </w:rPr>
        <w:t> </w:t>
      </w:r>
      <w:r>
        <w:rPr>
          <w:w w:val="105"/>
        </w:rPr>
        <w:t>highest</w:t>
      </w:r>
      <w:r>
        <w:rPr>
          <w:spacing w:val="-12"/>
          <w:w w:val="105"/>
        </w:rPr>
        <w:t> </w:t>
      </w:r>
      <w:r>
        <w:rPr>
          <w:w w:val="105"/>
        </w:rPr>
        <w:t>ethical</w:t>
      </w:r>
      <w:r>
        <w:rPr>
          <w:spacing w:val="-12"/>
          <w:w w:val="105"/>
        </w:rPr>
        <w:t> </w:t>
      </w:r>
      <w:r>
        <w:rPr>
          <w:w w:val="105"/>
        </w:rPr>
        <w:t>standards</w:t>
      </w:r>
      <w:r>
        <w:rPr>
          <w:spacing w:val="-12"/>
          <w:w w:val="105"/>
        </w:rPr>
        <w:t> </w:t>
      </w:r>
      <w:r>
        <w:rPr>
          <w:w w:val="105"/>
        </w:rPr>
        <w:t>at</w:t>
      </w:r>
      <w:r>
        <w:rPr>
          <w:spacing w:val="-12"/>
          <w:w w:val="105"/>
        </w:rPr>
        <w:t> </w:t>
      </w:r>
      <w:r>
        <w:rPr>
          <w:w w:val="105"/>
        </w:rPr>
        <w:t>all</w:t>
      </w:r>
      <w:r>
        <w:rPr>
          <w:spacing w:val="-12"/>
          <w:w w:val="105"/>
        </w:rPr>
        <w:t> </w:t>
      </w:r>
      <w:r>
        <w:rPr>
          <w:w w:val="105"/>
        </w:rPr>
        <w:t>times.</w:t>
      </w:r>
    </w:p>
    <w:p>
      <w:pPr>
        <w:pStyle w:val="BodyText"/>
        <w:spacing w:before="8"/>
        <w:rPr>
          <w:sz w:val="33"/>
        </w:rPr>
      </w:pPr>
    </w:p>
    <w:p>
      <w:pPr>
        <w:pStyle w:val="BodyText"/>
        <w:spacing w:line="259" w:lineRule="auto"/>
        <w:ind w:left="113" w:right="107" w:firstLine="720"/>
        <w:jc w:val="both"/>
      </w:pPr>
      <w:r>
        <w:rPr>
          <w:w w:val="105"/>
        </w:rPr>
        <w:t>In complying with new regulations requiring the institution of policies and procedures, it has been the goal of Southwest’s Board of Directors and senior leadership to do so in a way which does not inhibit or constrain Southwest’s unique culture, and which does not unduly impose a bureaucracy of forms and checklists. Accordingly, formal, written policies and procedures have been adopted in the simplest possible way, consistent with legal requirements. The Company’s Corporate Governance Guidelines, its charters for each of its Compensation and Nominating and Corporate Governance Committees, and a revised charter for its Audit Committee and its Code of Ethics covering all Employees are available on the Company’s website, </w:t>
      </w:r>
      <w:hyperlink r:id="rId47">
        <w:r>
          <w:rPr>
            <w:w w:val="105"/>
          </w:rPr>
          <w:t>www.southwest.com,</w:t>
        </w:r>
      </w:hyperlink>
      <w:r>
        <w:rPr>
          <w:w w:val="105"/>
        </w:rPr>
        <w:t> and a copy will be mailed upon request to Sr. Director - Investor Relations, Southwest Airlines Co., P.O. Box 36611, Dallas, TX 75235. The Company intends to disclose any amendments to or waivers of the Code of Ethics on behalf of the Company’s Chief Executive Officer, Chief Financial Officer, Controller, and persons performing similar functions on the Company’s website, at </w:t>
      </w:r>
      <w:hyperlink r:id="rId47">
        <w:r>
          <w:rPr>
            <w:w w:val="105"/>
          </w:rPr>
          <w:t>www.southwest.com</w:t>
        </w:r>
      </w:hyperlink>
      <w:r>
        <w:rPr>
          <w:w w:val="105"/>
        </w:rPr>
        <w:t> under the “About SWA” caption, promptly following the date of such</w:t>
      </w:r>
    </w:p>
    <w:p>
      <w:pPr>
        <w:pStyle w:val="BodyText"/>
        <w:spacing w:line="226" w:lineRule="exact"/>
        <w:ind w:left="113"/>
      </w:pPr>
      <w:r>
        <w:rPr>
          <w:w w:val="105"/>
        </w:rPr>
        <w:t>amendment or waiver.</w:t>
      </w:r>
    </w:p>
    <w:p>
      <w:pPr>
        <w:pStyle w:val="BodyText"/>
        <w:spacing w:before="13"/>
        <w:ind w:left="4098" w:right="4099"/>
        <w:jc w:val="center"/>
      </w:pPr>
      <w:r>
        <w:rPr>
          <w:w w:val="105"/>
        </w:rPr>
        <w:t>A-51</w:t>
      </w:r>
    </w:p>
    <w:p>
      <w:pPr>
        <w:spacing w:after="0"/>
        <w:jc w:val="center"/>
        <w:sectPr>
          <w:pgSz w:w="12240" w:h="15840"/>
          <w:pgMar w:top="1120" w:bottom="280" w:left="1240" w:right="1320"/>
        </w:sectPr>
      </w:pPr>
    </w:p>
    <w:p>
      <w:pPr>
        <w:spacing w:before="95"/>
        <w:ind w:left="113" w:right="0" w:firstLine="0"/>
        <w:jc w:val="left"/>
        <w:rPr>
          <w:b/>
          <w:i/>
          <w:sz w:val="21"/>
        </w:rPr>
      </w:pPr>
      <w:bookmarkStart w:name="Executive Compensation" w:id="63"/>
      <w:bookmarkEnd w:id="63"/>
      <w:r>
        <w:rPr/>
      </w:r>
      <w:bookmarkStart w:name="Security Ownership" w:id="64"/>
      <w:bookmarkEnd w:id="64"/>
      <w:r>
        <w:rPr/>
      </w:r>
      <w:bookmarkStart w:name="Related Transactions" w:id="65"/>
      <w:bookmarkEnd w:id="65"/>
      <w:r>
        <w:rPr/>
      </w:r>
      <w:bookmarkStart w:name="Accountant Fees and Services" w:id="66"/>
      <w:bookmarkEnd w:id="66"/>
      <w:r>
        <w:rPr/>
      </w:r>
      <w:bookmarkStart w:name="Exhibits and Reports" w:id="67"/>
      <w:bookmarkEnd w:id="67"/>
      <w:r>
        <w:rPr/>
      </w:r>
      <w:r>
        <w:rPr>
          <w:b/>
          <w:w w:val="105"/>
          <w:sz w:val="21"/>
        </w:rPr>
        <w:t>Item 11. </w:t>
      </w:r>
      <w:r>
        <w:rPr>
          <w:b/>
          <w:i/>
          <w:w w:val="105"/>
          <w:sz w:val="21"/>
        </w:rPr>
        <w:t>Executive Compensation</w:t>
      </w:r>
    </w:p>
    <w:p>
      <w:pPr>
        <w:pStyle w:val="BodyText"/>
        <w:spacing w:line="256" w:lineRule="auto" w:before="84"/>
        <w:ind w:left="113" w:firstLine="720"/>
      </w:pPr>
      <w:r>
        <w:rPr>
          <w:w w:val="105"/>
        </w:rPr>
        <w:t>See "Compensation of Executive Officers," incorporated herein by reference from the definitive Proxy Statement for Southwest's Annual Meeting of Shareholders to be held May 19, 2004.</w:t>
      </w:r>
    </w:p>
    <w:p>
      <w:pPr>
        <w:pStyle w:val="BodyText"/>
        <w:spacing w:before="5"/>
        <w:rPr>
          <w:sz w:val="33"/>
        </w:rPr>
      </w:pPr>
    </w:p>
    <w:p>
      <w:pPr>
        <w:pStyle w:val="Heading3"/>
        <w:spacing w:line="256" w:lineRule="auto"/>
      </w:pPr>
      <w:r>
        <w:rPr>
          <w:i w:val="0"/>
          <w:w w:val="105"/>
        </w:rPr>
        <w:t>Item 12. </w:t>
      </w:r>
      <w:r>
        <w:rPr>
          <w:i/>
          <w:w w:val="105"/>
        </w:rPr>
        <w:t>Security Ownership of Certain Beneficial Owners and Management and Related Stockholder </w:t>
      </w:r>
      <w:r>
        <w:rPr>
          <w:w w:val="105"/>
        </w:rPr>
        <w:t>Matters</w:t>
      </w:r>
    </w:p>
    <w:p>
      <w:pPr>
        <w:pStyle w:val="BodyText"/>
        <w:spacing w:line="252" w:lineRule="auto" w:before="68"/>
        <w:ind w:left="113" w:firstLine="720"/>
      </w:pPr>
      <w:r>
        <w:rPr>
          <w:w w:val="105"/>
        </w:rPr>
        <w:t>See "Voting Securities and Principal Shareholders," incorporated herein by reference from the definitive Proxy Statement for Southwest's Annual Meeting of Shareholders to be held May 19, 2004.</w:t>
      </w:r>
    </w:p>
    <w:p>
      <w:pPr>
        <w:pStyle w:val="BodyText"/>
        <w:spacing w:before="10"/>
        <w:rPr>
          <w:sz w:val="33"/>
        </w:rPr>
      </w:pPr>
    </w:p>
    <w:p>
      <w:pPr>
        <w:pStyle w:val="Heading3"/>
        <w:rPr>
          <w:i/>
        </w:rPr>
      </w:pPr>
      <w:r>
        <w:rPr>
          <w:i w:val="0"/>
          <w:w w:val="105"/>
        </w:rPr>
        <w:t>Item 13. </w:t>
      </w:r>
      <w:r>
        <w:rPr>
          <w:i/>
          <w:w w:val="105"/>
        </w:rPr>
        <w:t>Certain Relationships and Related Transactions</w:t>
      </w:r>
    </w:p>
    <w:p>
      <w:pPr>
        <w:pStyle w:val="BodyText"/>
        <w:spacing w:line="252" w:lineRule="auto" w:before="84"/>
        <w:ind w:left="113" w:right="89" w:firstLine="720"/>
      </w:pPr>
      <w:r>
        <w:rPr>
          <w:w w:val="105"/>
        </w:rPr>
        <w:t>See "Election of Directors" incorporated herein by reference from the definitive Proxy Statement for Southwest's Annual Meeting of Shareholders to be held May 19, 2004.</w:t>
      </w:r>
    </w:p>
    <w:p>
      <w:pPr>
        <w:pStyle w:val="BodyText"/>
        <w:spacing w:before="10"/>
        <w:rPr>
          <w:sz w:val="33"/>
        </w:rPr>
      </w:pPr>
    </w:p>
    <w:p>
      <w:pPr>
        <w:pStyle w:val="Heading3"/>
        <w:rPr>
          <w:i/>
        </w:rPr>
      </w:pPr>
      <w:r>
        <w:rPr>
          <w:i w:val="0"/>
          <w:w w:val="105"/>
        </w:rPr>
        <w:t>Item 14. </w:t>
      </w:r>
      <w:r>
        <w:rPr>
          <w:i/>
          <w:w w:val="105"/>
        </w:rPr>
        <w:t>Principal Accountant Fees and Services</w:t>
      </w:r>
    </w:p>
    <w:p>
      <w:pPr>
        <w:pStyle w:val="BodyText"/>
        <w:spacing w:line="252" w:lineRule="auto" w:before="84"/>
        <w:ind w:left="113" w:right="89" w:firstLine="720"/>
      </w:pPr>
      <w:r>
        <w:rPr>
          <w:w w:val="105"/>
        </w:rPr>
        <w:t>See “Relationship with Independent Auditors” incorporated herein by reference from the definitive Proxy Statement for Southwest's Annual Meeting of Shareholders to be held May 19, 2004.</w:t>
      </w:r>
    </w:p>
    <w:p>
      <w:pPr>
        <w:pStyle w:val="BodyText"/>
        <w:spacing w:before="10"/>
        <w:rPr>
          <w:sz w:val="33"/>
        </w:rPr>
      </w:pPr>
    </w:p>
    <w:p>
      <w:pPr>
        <w:pStyle w:val="Heading2"/>
        <w:ind w:left="4098" w:right="4103"/>
        <w:jc w:val="center"/>
      </w:pPr>
      <w:r>
        <w:rPr>
          <w:w w:val="105"/>
        </w:rPr>
        <w:t>PART IV</w:t>
      </w:r>
    </w:p>
    <w:p>
      <w:pPr>
        <w:pStyle w:val="BodyText"/>
        <w:spacing w:before="5"/>
        <w:rPr>
          <w:b/>
          <w:sz w:val="34"/>
        </w:rPr>
      </w:pPr>
    </w:p>
    <w:p>
      <w:pPr>
        <w:spacing w:before="1"/>
        <w:ind w:left="113" w:right="0" w:firstLine="0"/>
        <w:jc w:val="left"/>
        <w:rPr>
          <w:b/>
          <w:sz w:val="21"/>
        </w:rPr>
      </w:pPr>
      <w:r>
        <w:rPr>
          <w:b/>
          <w:w w:val="105"/>
          <w:sz w:val="21"/>
        </w:rPr>
        <w:t>Item 15. Exhibits, Financial Statement Schedules, and Reports on Form 8-K</w:t>
      </w:r>
    </w:p>
    <w:p>
      <w:pPr>
        <w:pStyle w:val="BodyText"/>
        <w:spacing w:before="10"/>
        <w:rPr>
          <w:b/>
          <w:sz w:val="34"/>
        </w:rPr>
      </w:pPr>
    </w:p>
    <w:p>
      <w:pPr>
        <w:pStyle w:val="ListParagraph"/>
        <w:numPr>
          <w:ilvl w:val="0"/>
          <w:numId w:val="8"/>
        </w:numPr>
        <w:tabs>
          <w:tab w:pos="833" w:val="left" w:leader="none"/>
          <w:tab w:pos="834" w:val="left" w:leader="none"/>
          <w:tab w:pos="1553" w:val="left" w:leader="none"/>
        </w:tabs>
        <w:spacing w:line="240" w:lineRule="auto" w:before="1" w:after="0"/>
        <w:ind w:left="838" w:right="0" w:hanging="725"/>
        <w:jc w:val="left"/>
        <w:rPr>
          <w:sz w:val="21"/>
        </w:rPr>
      </w:pPr>
      <w:r>
        <w:rPr>
          <w:w w:val="105"/>
          <w:sz w:val="21"/>
        </w:rPr>
        <w:t>1.</w:t>
        <w:tab/>
      </w:r>
      <w:r>
        <w:rPr>
          <w:sz w:val="21"/>
        </w:rPr>
        <w:t>Financial</w:t>
      </w:r>
      <w:r>
        <w:rPr>
          <w:spacing w:val="51"/>
          <w:sz w:val="21"/>
        </w:rPr>
        <w:t> </w:t>
      </w:r>
      <w:r>
        <w:rPr>
          <w:sz w:val="21"/>
        </w:rPr>
        <w:t>Statements:</w:t>
      </w:r>
    </w:p>
    <w:p>
      <w:pPr>
        <w:pStyle w:val="BodyText"/>
        <w:spacing w:before="80"/>
        <w:ind w:left="1553"/>
        <w:jc w:val="both"/>
      </w:pPr>
      <w:r>
        <w:rPr>
          <w:w w:val="105"/>
        </w:rPr>
        <w:t>The financial statements included in Item 8 above are filed as part of this annual report.</w:t>
      </w:r>
    </w:p>
    <w:p>
      <w:pPr>
        <w:pStyle w:val="BodyText"/>
        <w:spacing w:before="10"/>
        <w:rPr>
          <w:sz w:val="34"/>
        </w:rPr>
      </w:pPr>
    </w:p>
    <w:p>
      <w:pPr>
        <w:pStyle w:val="ListParagraph"/>
        <w:numPr>
          <w:ilvl w:val="1"/>
          <w:numId w:val="7"/>
        </w:numPr>
        <w:tabs>
          <w:tab w:pos="1553" w:val="left" w:leader="none"/>
          <w:tab w:pos="1554" w:val="left" w:leader="none"/>
        </w:tabs>
        <w:spacing w:line="240" w:lineRule="auto" w:before="0" w:after="0"/>
        <w:ind w:left="1553" w:right="0" w:hanging="720"/>
        <w:jc w:val="left"/>
        <w:rPr>
          <w:sz w:val="21"/>
        </w:rPr>
      </w:pPr>
      <w:r>
        <w:rPr>
          <w:w w:val="105"/>
          <w:sz w:val="21"/>
        </w:rPr>
        <w:t>Financial</w:t>
      </w:r>
      <w:r>
        <w:rPr>
          <w:spacing w:val="-36"/>
          <w:w w:val="105"/>
          <w:sz w:val="21"/>
        </w:rPr>
        <w:t> </w:t>
      </w:r>
      <w:r>
        <w:rPr>
          <w:w w:val="105"/>
          <w:sz w:val="21"/>
        </w:rPr>
        <w:t>Statement</w:t>
      </w:r>
      <w:r>
        <w:rPr>
          <w:spacing w:val="-36"/>
          <w:w w:val="105"/>
          <w:sz w:val="21"/>
        </w:rPr>
        <w:t> </w:t>
      </w:r>
      <w:r>
        <w:rPr>
          <w:w w:val="105"/>
          <w:sz w:val="21"/>
        </w:rPr>
        <w:t>Schedules:</w:t>
      </w:r>
    </w:p>
    <w:p>
      <w:pPr>
        <w:pStyle w:val="BodyText"/>
        <w:spacing w:line="254" w:lineRule="auto" w:before="84"/>
        <w:ind w:left="1553" w:right="110"/>
        <w:jc w:val="both"/>
      </w:pPr>
      <w:r>
        <w:rPr>
          <w:w w:val="105"/>
        </w:rPr>
        <w:t>There are no financial statement schedules filed as part of this annual report, since the required information is included in the consolidated financial statements, including the notes thereto, or the circumstances requiring inclusion of such schedules are not present.</w:t>
      </w:r>
    </w:p>
    <w:p>
      <w:pPr>
        <w:pStyle w:val="BodyText"/>
        <w:spacing w:before="7"/>
        <w:rPr>
          <w:sz w:val="33"/>
        </w:rPr>
      </w:pPr>
    </w:p>
    <w:p>
      <w:pPr>
        <w:pStyle w:val="ListParagraph"/>
        <w:numPr>
          <w:ilvl w:val="1"/>
          <w:numId w:val="7"/>
        </w:numPr>
        <w:tabs>
          <w:tab w:pos="1553" w:val="left" w:leader="none"/>
          <w:tab w:pos="1554" w:val="left" w:leader="none"/>
        </w:tabs>
        <w:spacing w:line="240" w:lineRule="auto" w:before="1" w:after="0"/>
        <w:ind w:left="1553" w:right="0" w:hanging="720"/>
        <w:jc w:val="left"/>
        <w:rPr>
          <w:sz w:val="21"/>
        </w:rPr>
      </w:pPr>
      <w:r>
        <w:rPr>
          <w:w w:val="105"/>
          <w:sz w:val="21"/>
        </w:rPr>
        <w:t>Exhibits:</w:t>
      </w:r>
    </w:p>
    <w:p>
      <w:pPr>
        <w:pStyle w:val="BodyText"/>
        <w:spacing w:before="4"/>
        <w:rPr>
          <w:sz w:val="35"/>
        </w:rPr>
      </w:pPr>
    </w:p>
    <w:p>
      <w:pPr>
        <w:pStyle w:val="ListParagraph"/>
        <w:numPr>
          <w:ilvl w:val="1"/>
          <w:numId w:val="9"/>
        </w:numPr>
        <w:tabs>
          <w:tab w:pos="834" w:val="left" w:leader="none"/>
        </w:tabs>
        <w:spacing w:line="259" w:lineRule="auto" w:before="0" w:after="0"/>
        <w:ind w:left="833" w:right="106" w:hanging="720"/>
        <w:jc w:val="both"/>
        <w:rPr>
          <w:sz w:val="21"/>
        </w:rPr>
      </w:pPr>
      <w:r>
        <w:rPr>
          <w:spacing w:val="2"/>
          <w:w w:val="105"/>
          <w:sz w:val="21"/>
        </w:rPr>
        <w:t>Restated Articles </w:t>
      </w:r>
      <w:r>
        <w:rPr>
          <w:w w:val="105"/>
          <w:sz w:val="21"/>
        </w:rPr>
        <w:t>of </w:t>
      </w:r>
      <w:r>
        <w:rPr>
          <w:spacing w:val="2"/>
          <w:w w:val="105"/>
          <w:sz w:val="21"/>
        </w:rPr>
        <w:t>Incorporation </w:t>
      </w:r>
      <w:r>
        <w:rPr>
          <w:w w:val="105"/>
          <w:sz w:val="21"/>
        </w:rPr>
        <w:t>of </w:t>
      </w:r>
      <w:r>
        <w:rPr>
          <w:spacing w:val="2"/>
          <w:w w:val="105"/>
          <w:sz w:val="21"/>
        </w:rPr>
        <w:t>Southwest (incorporated </w:t>
      </w:r>
      <w:r>
        <w:rPr>
          <w:w w:val="105"/>
          <w:sz w:val="21"/>
        </w:rPr>
        <w:t>by </w:t>
      </w:r>
      <w:r>
        <w:rPr>
          <w:spacing w:val="2"/>
          <w:w w:val="105"/>
          <w:sz w:val="21"/>
        </w:rPr>
        <w:t>reference </w:t>
      </w:r>
      <w:r>
        <w:rPr>
          <w:w w:val="105"/>
          <w:sz w:val="21"/>
        </w:rPr>
        <w:t>to </w:t>
      </w:r>
      <w:r>
        <w:rPr>
          <w:spacing w:val="2"/>
          <w:w w:val="105"/>
          <w:sz w:val="21"/>
          <w:u w:val="single"/>
        </w:rPr>
        <w:t>Exhibit </w:t>
      </w:r>
      <w:r>
        <w:rPr>
          <w:w w:val="105"/>
          <w:sz w:val="21"/>
          <w:u w:val="single"/>
        </w:rPr>
        <w:t>4.1 </w:t>
      </w:r>
      <w:r>
        <w:rPr>
          <w:spacing w:val="3"/>
          <w:w w:val="105"/>
          <w:sz w:val="21"/>
        </w:rPr>
        <w:t>to </w:t>
      </w:r>
      <w:r>
        <w:rPr>
          <w:w w:val="105"/>
          <w:sz w:val="21"/>
        </w:rPr>
        <w:t>Southwest's Registration Statement on Form S-3 (File No. 33-52155)); Amendment to Restated Articles of Incorporation of Southwest (incorporated by reference to </w:t>
      </w:r>
      <w:r>
        <w:rPr>
          <w:w w:val="105"/>
          <w:sz w:val="21"/>
          <w:u w:val="single"/>
        </w:rPr>
        <w:t>Exhibit 3.1 </w:t>
      </w:r>
      <w:r>
        <w:rPr>
          <w:w w:val="105"/>
          <w:sz w:val="21"/>
        </w:rPr>
        <w:t>to Southwest’s </w:t>
      </w:r>
      <w:r>
        <w:rPr>
          <w:spacing w:val="4"/>
          <w:w w:val="105"/>
          <w:sz w:val="21"/>
        </w:rPr>
        <w:t>Quarterly Report </w:t>
      </w:r>
      <w:r>
        <w:rPr>
          <w:spacing w:val="2"/>
          <w:w w:val="105"/>
          <w:sz w:val="21"/>
        </w:rPr>
        <w:t>on </w:t>
      </w:r>
      <w:r>
        <w:rPr>
          <w:spacing w:val="3"/>
          <w:w w:val="105"/>
          <w:sz w:val="21"/>
        </w:rPr>
        <w:t>Form 10-Q for the </w:t>
      </w:r>
      <w:r>
        <w:rPr>
          <w:spacing w:val="4"/>
          <w:w w:val="105"/>
          <w:sz w:val="21"/>
        </w:rPr>
        <w:t>quarter ended </w:t>
      </w:r>
      <w:r>
        <w:rPr>
          <w:spacing w:val="3"/>
          <w:w w:val="105"/>
          <w:sz w:val="21"/>
        </w:rPr>
        <w:t>June 30, 1996 </w:t>
      </w:r>
      <w:r>
        <w:rPr>
          <w:spacing w:val="4"/>
          <w:w w:val="105"/>
          <w:sz w:val="21"/>
        </w:rPr>
        <w:t>(File </w:t>
      </w:r>
      <w:r>
        <w:rPr>
          <w:spacing w:val="3"/>
          <w:w w:val="105"/>
          <w:sz w:val="21"/>
        </w:rPr>
        <w:t>No. </w:t>
      </w:r>
      <w:r>
        <w:rPr>
          <w:spacing w:val="5"/>
          <w:w w:val="105"/>
          <w:sz w:val="21"/>
        </w:rPr>
        <w:t>1-7259)); </w:t>
      </w:r>
      <w:r>
        <w:rPr>
          <w:spacing w:val="2"/>
          <w:w w:val="105"/>
          <w:sz w:val="21"/>
        </w:rPr>
        <w:t>Amendment </w:t>
      </w:r>
      <w:r>
        <w:rPr>
          <w:w w:val="105"/>
          <w:sz w:val="21"/>
        </w:rPr>
        <w:t>to </w:t>
      </w:r>
      <w:r>
        <w:rPr>
          <w:spacing w:val="2"/>
          <w:w w:val="105"/>
          <w:sz w:val="21"/>
        </w:rPr>
        <w:t>Restated Articles </w:t>
      </w:r>
      <w:r>
        <w:rPr>
          <w:w w:val="105"/>
          <w:sz w:val="21"/>
        </w:rPr>
        <w:t>of </w:t>
      </w:r>
      <w:r>
        <w:rPr>
          <w:spacing w:val="2"/>
          <w:w w:val="105"/>
          <w:sz w:val="21"/>
        </w:rPr>
        <w:t>Incorporation </w:t>
      </w:r>
      <w:r>
        <w:rPr>
          <w:w w:val="105"/>
          <w:sz w:val="21"/>
        </w:rPr>
        <w:t>of </w:t>
      </w:r>
      <w:r>
        <w:rPr>
          <w:spacing w:val="2"/>
          <w:w w:val="105"/>
          <w:sz w:val="21"/>
        </w:rPr>
        <w:t>Southwest (incorporated </w:t>
      </w:r>
      <w:r>
        <w:rPr>
          <w:w w:val="105"/>
          <w:sz w:val="21"/>
        </w:rPr>
        <w:t>by </w:t>
      </w:r>
      <w:r>
        <w:rPr>
          <w:spacing w:val="2"/>
          <w:w w:val="105"/>
          <w:sz w:val="21"/>
        </w:rPr>
        <w:t>reference </w:t>
      </w:r>
      <w:r>
        <w:rPr>
          <w:spacing w:val="3"/>
          <w:w w:val="105"/>
          <w:sz w:val="21"/>
        </w:rPr>
        <w:t>to </w:t>
      </w:r>
      <w:r>
        <w:rPr>
          <w:w w:val="105"/>
          <w:sz w:val="21"/>
          <w:u w:val="single"/>
        </w:rPr>
        <w:t>Exhibit 3.1 </w:t>
      </w:r>
      <w:r>
        <w:rPr>
          <w:w w:val="105"/>
          <w:sz w:val="21"/>
        </w:rPr>
        <w:t>to Southwest’s Quarterly Report on Form 10-Q for the quarter ended June 30, 1998 (File No. 1-7259)); Amendment to Restated Articles of Incorporation of Southwest (incorporated by reference to </w:t>
      </w:r>
      <w:r>
        <w:rPr>
          <w:w w:val="105"/>
          <w:sz w:val="21"/>
          <w:u w:val="single"/>
        </w:rPr>
        <w:t>Exhibit 4.2 </w:t>
      </w:r>
      <w:r>
        <w:rPr>
          <w:w w:val="105"/>
          <w:sz w:val="21"/>
        </w:rPr>
        <w:t>to Southwest’s Registration Statement on Form S-8 (File No. 333- 82735); Amendment to Restated Articles of Incorporation of Southwest (incorporated by reference to </w:t>
      </w:r>
      <w:r>
        <w:rPr>
          <w:w w:val="105"/>
          <w:sz w:val="21"/>
          <w:u w:val="single"/>
        </w:rPr>
        <w:t>Exhibit 3.1 </w:t>
      </w:r>
      <w:r>
        <w:rPr>
          <w:w w:val="105"/>
          <w:sz w:val="21"/>
        </w:rPr>
        <w:t>to Southwest’s Quarterly Report on Form 10-Q for the quarter ended June 30, 2001 (File No.</w:t>
      </w:r>
      <w:r>
        <w:rPr>
          <w:spacing w:val="-34"/>
          <w:w w:val="105"/>
          <w:sz w:val="21"/>
        </w:rPr>
        <w:t> </w:t>
      </w:r>
      <w:r>
        <w:rPr>
          <w:w w:val="105"/>
          <w:sz w:val="21"/>
        </w:rPr>
        <w:t>1-7259).</w:t>
      </w:r>
    </w:p>
    <w:p>
      <w:pPr>
        <w:pStyle w:val="ListParagraph"/>
        <w:numPr>
          <w:ilvl w:val="1"/>
          <w:numId w:val="9"/>
        </w:numPr>
        <w:tabs>
          <w:tab w:pos="833" w:val="left" w:leader="none"/>
          <w:tab w:pos="834" w:val="left" w:leader="none"/>
        </w:tabs>
        <w:spacing w:line="240" w:lineRule="auto" w:before="61" w:after="0"/>
        <w:ind w:left="833" w:right="0" w:hanging="720"/>
        <w:jc w:val="left"/>
        <w:rPr>
          <w:sz w:val="21"/>
        </w:rPr>
      </w:pPr>
      <w:r>
        <w:rPr>
          <w:w w:val="105"/>
          <w:sz w:val="21"/>
        </w:rPr>
        <w:t>Bylaws</w:t>
      </w:r>
      <w:r>
        <w:rPr>
          <w:spacing w:val="-18"/>
          <w:w w:val="105"/>
          <w:sz w:val="21"/>
        </w:rPr>
        <w:t> </w:t>
      </w:r>
      <w:r>
        <w:rPr>
          <w:w w:val="105"/>
          <w:sz w:val="21"/>
        </w:rPr>
        <w:t>of</w:t>
      </w:r>
      <w:r>
        <w:rPr>
          <w:spacing w:val="-18"/>
          <w:w w:val="105"/>
          <w:sz w:val="21"/>
        </w:rPr>
        <w:t> </w:t>
      </w:r>
      <w:r>
        <w:rPr>
          <w:w w:val="105"/>
          <w:sz w:val="21"/>
        </w:rPr>
        <w:t>Southwest,</w:t>
      </w:r>
      <w:r>
        <w:rPr>
          <w:spacing w:val="-17"/>
          <w:w w:val="105"/>
          <w:sz w:val="21"/>
        </w:rPr>
        <w:t> </w:t>
      </w:r>
      <w:r>
        <w:rPr>
          <w:w w:val="105"/>
          <w:sz w:val="21"/>
        </w:rPr>
        <w:t>as</w:t>
      </w:r>
      <w:r>
        <w:rPr>
          <w:spacing w:val="-18"/>
          <w:w w:val="105"/>
          <w:sz w:val="21"/>
        </w:rPr>
        <w:t> </w:t>
      </w:r>
      <w:r>
        <w:rPr>
          <w:w w:val="105"/>
          <w:sz w:val="21"/>
        </w:rPr>
        <w:t>amended</w:t>
      </w:r>
      <w:r>
        <w:rPr>
          <w:spacing w:val="-18"/>
          <w:w w:val="105"/>
          <w:sz w:val="21"/>
        </w:rPr>
        <w:t> </w:t>
      </w:r>
      <w:r>
        <w:rPr>
          <w:w w:val="105"/>
          <w:sz w:val="21"/>
        </w:rPr>
        <w:t>through</w:t>
      </w:r>
      <w:r>
        <w:rPr>
          <w:spacing w:val="-18"/>
          <w:w w:val="105"/>
          <w:sz w:val="21"/>
        </w:rPr>
        <w:t> </w:t>
      </w:r>
      <w:r>
        <w:rPr>
          <w:w w:val="105"/>
          <w:sz w:val="21"/>
        </w:rPr>
        <w:t>January</w:t>
      </w:r>
      <w:r>
        <w:rPr>
          <w:spacing w:val="-17"/>
          <w:w w:val="105"/>
          <w:sz w:val="21"/>
        </w:rPr>
        <w:t> </w:t>
      </w:r>
      <w:r>
        <w:rPr>
          <w:w w:val="105"/>
          <w:sz w:val="21"/>
        </w:rPr>
        <w:t>2004.</w:t>
      </w:r>
    </w:p>
    <w:p>
      <w:pPr>
        <w:pStyle w:val="BodyText"/>
        <w:rPr>
          <w:sz w:val="20"/>
        </w:rPr>
      </w:pPr>
    </w:p>
    <w:p>
      <w:pPr>
        <w:pStyle w:val="BodyText"/>
        <w:spacing w:before="1"/>
        <w:rPr>
          <w:sz w:val="24"/>
        </w:rPr>
      </w:pPr>
    </w:p>
    <w:p>
      <w:pPr>
        <w:pStyle w:val="BodyText"/>
        <w:ind w:left="4098" w:right="4099"/>
        <w:jc w:val="center"/>
      </w:pPr>
      <w:r>
        <w:rPr>
          <w:w w:val="105"/>
        </w:rPr>
        <w:t>A-52</w:t>
      </w:r>
    </w:p>
    <w:p>
      <w:pPr>
        <w:spacing w:after="0"/>
        <w:jc w:val="center"/>
        <w:sectPr>
          <w:pgSz w:w="12240" w:h="15840"/>
          <w:pgMar w:top="1440" w:bottom="280" w:left="1240" w:right="1320"/>
        </w:sectPr>
      </w:pPr>
    </w:p>
    <w:p>
      <w:pPr>
        <w:pStyle w:val="ListParagraph"/>
        <w:numPr>
          <w:ilvl w:val="1"/>
          <w:numId w:val="10"/>
        </w:numPr>
        <w:tabs>
          <w:tab w:pos="834" w:val="left" w:leader="none"/>
        </w:tabs>
        <w:spacing w:line="259" w:lineRule="auto" w:before="98" w:after="0"/>
        <w:ind w:left="833" w:right="107" w:hanging="720"/>
        <w:jc w:val="both"/>
        <w:rPr>
          <w:sz w:val="21"/>
        </w:rPr>
      </w:pPr>
      <w:r>
        <w:rPr>
          <w:w w:val="105"/>
          <w:sz w:val="21"/>
        </w:rPr>
        <w:t>364-Day Competitive Advance and Revolving Credit Facility Agreement dated as of April </w:t>
      </w:r>
      <w:r>
        <w:rPr>
          <w:spacing w:val="2"/>
          <w:w w:val="105"/>
          <w:sz w:val="21"/>
        </w:rPr>
        <w:t>23, </w:t>
      </w:r>
      <w:r>
        <w:rPr>
          <w:w w:val="105"/>
          <w:sz w:val="21"/>
        </w:rPr>
        <w:t>2002 and 3-Year Competitive Advance and Revolving Credit Facility Agreement dated as of April </w:t>
      </w:r>
      <w:r>
        <w:rPr>
          <w:spacing w:val="2"/>
          <w:w w:val="105"/>
          <w:sz w:val="21"/>
        </w:rPr>
        <w:t>23, </w:t>
      </w:r>
      <w:r>
        <w:rPr>
          <w:spacing w:val="3"/>
          <w:w w:val="105"/>
          <w:sz w:val="21"/>
        </w:rPr>
        <w:t>2002 (incorporated </w:t>
      </w:r>
      <w:r>
        <w:rPr>
          <w:w w:val="105"/>
          <w:sz w:val="21"/>
        </w:rPr>
        <w:t>by </w:t>
      </w:r>
      <w:r>
        <w:rPr>
          <w:spacing w:val="3"/>
          <w:w w:val="105"/>
          <w:sz w:val="21"/>
        </w:rPr>
        <w:t>reference </w:t>
      </w:r>
      <w:r>
        <w:rPr>
          <w:w w:val="105"/>
          <w:sz w:val="21"/>
        </w:rPr>
        <w:t>to </w:t>
      </w:r>
      <w:r>
        <w:rPr>
          <w:spacing w:val="3"/>
          <w:w w:val="105"/>
          <w:sz w:val="21"/>
          <w:u w:val="single"/>
        </w:rPr>
        <w:t>Exhibits 10.2 </w:t>
      </w:r>
      <w:r>
        <w:rPr>
          <w:spacing w:val="2"/>
          <w:w w:val="105"/>
          <w:sz w:val="21"/>
          <w:u w:val="single"/>
        </w:rPr>
        <w:t>and </w:t>
      </w:r>
      <w:r>
        <w:rPr>
          <w:spacing w:val="3"/>
          <w:w w:val="105"/>
          <w:sz w:val="21"/>
          <w:u w:val="single"/>
        </w:rPr>
        <w:t>10.1</w:t>
      </w:r>
      <w:r>
        <w:rPr>
          <w:spacing w:val="3"/>
          <w:w w:val="105"/>
          <w:sz w:val="21"/>
        </w:rPr>
        <w:t>, respectively, </w:t>
      </w:r>
      <w:r>
        <w:rPr>
          <w:w w:val="105"/>
          <w:sz w:val="21"/>
        </w:rPr>
        <w:t>to </w:t>
      </w:r>
      <w:r>
        <w:rPr>
          <w:spacing w:val="4"/>
          <w:w w:val="105"/>
          <w:sz w:val="21"/>
        </w:rPr>
        <w:t>Southwest’s </w:t>
      </w:r>
      <w:r>
        <w:rPr>
          <w:w w:val="105"/>
          <w:sz w:val="21"/>
        </w:rPr>
        <w:t>Quarterly</w:t>
      </w:r>
      <w:r>
        <w:rPr>
          <w:spacing w:val="-3"/>
          <w:w w:val="105"/>
          <w:sz w:val="21"/>
        </w:rPr>
        <w:t> </w:t>
      </w:r>
      <w:r>
        <w:rPr>
          <w:w w:val="105"/>
          <w:sz w:val="21"/>
        </w:rPr>
        <w:t>Report</w:t>
      </w:r>
      <w:r>
        <w:rPr>
          <w:spacing w:val="-4"/>
          <w:w w:val="105"/>
          <w:sz w:val="21"/>
        </w:rPr>
        <w:t> </w:t>
      </w:r>
      <w:r>
        <w:rPr>
          <w:w w:val="105"/>
          <w:sz w:val="21"/>
        </w:rPr>
        <w:t>on</w:t>
      </w:r>
      <w:r>
        <w:rPr>
          <w:spacing w:val="-4"/>
          <w:w w:val="105"/>
          <w:sz w:val="21"/>
        </w:rPr>
        <w:t> </w:t>
      </w:r>
      <w:r>
        <w:rPr>
          <w:w w:val="105"/>
          <w:sz w:val="21"/>
        </w:rPr>
        <w:t>Form</w:t>
      </w:r>
      <w:r>
        <w:rPr>
          <w:spacing w:val="-4"/>
          <w:w w:val="105"/>
          <w:sz w:val="21"/>
        </w:rPr>
        <w:t> </w:t>
      </w:r>
      <w:r>
        <w:rPr>
          <w:w w:val="105"/>
          <w:sz w:val="21"/>
        </w:rPr>
        <w:t>10-Q</w:t>
      </w:r>
      <w:r>
        <w:rPr>
          <w:spacing w:val="-4"/>
          <w:w w:val="105"/>
          <w:sz w:val="21"/>
        </w:rPr>
        <w:t> </w:t>
      </w:r>
      <w:r>
        <w:rPr>
          <w:w w:val="105"/>
          <w:sz w:val="21"/>
        </w:rPr>
        <w:t>for</w:t>
      </w:r>
      <w:r>
        <w:rPr>
          <w:spacing w:val="-4"/>
          <w:w w:val="105"/>
          <w:sz w:val="21"/>
        </w:rPr>
        <w:t> </w:t>
      </w:r>
      <w:r>
        <w:rPr>
          <w:w w:val="105"/>
          <w:sz w:val="21"/>
        </w:rPr>
        <w:t>the</w:t>
      </w:r>
      <w:r>
        <w:rPr>
          <w:spacing w:val="-4"/>
          <w:w w:val="105"/>
          <w:sz w:val="21"/>
        </w:rPr>
        <w:t> </w:t>
      </w:r>
      <w:r>
        <w:rPr>
          <w:w w:val="105"/>
          <w:sz w:val="21"/>
        </w:rPr>
        <w:t>quarter</w:t>
      </w:r>
      <w:r>
        <w:rPr>
          <w:spacing w:val="-4"/>
          <w:w w:val="105"/>
          <w:sz w:val="21"/>
        </w:rPr>
        <w:t> </w:t>
      </w:r>
      <w:r>
        <w:rPr>
          <w:w w:val="105"/>
          <w:sz w:val="21"/>
        </w:rPr>
        <w:t>ended</w:t>
      </w:r>
      <w:r>
        <w:rPr>
          <w:spacing w:val="-4"/>
          <w:w w:val="105"/>
          <w:sz w:val="21"/>
        </w:rPr>
        <w:t> </w:t>
      </w:r>
      <w:r>
        <w:rPr>
          <w:w w:val="105"/>
          <w:sz w:val="21"/>
        </w:rPr>
        <w:t>September</w:t>
      </w:r>
      <w:r>
        <w:rPr>
          <w:spacing w:val="-3"/>
          <w:w w:val="105"/>
          <w:sz w:val="21"/>
        </w:rPr>
        <w:t> </w:t>
      </w:r>
      <w:r>
        <w:rPr>
          <w:w w:val="105"/>
          <w:sz w:val="21"/>
        </w:rPr>
        <w:t>30,</w:t>
      </w:r>
      <w:r>
        <w:rPr>
          <w:spacing w:val="-4"/>
          <w:w w:val="105"/>
          <w:sz w:val="21"/>
        </w:rPr>
        <w:t> </w:t>
      </w:r>
      <w:r>
        <w:rPr>
          <w:w w:val="105"/>
          <w:sz w:val="21"/>
        </w:rPr>
        <w:t>2002</w:t>
      </w:r>
      <w:r>
        <w:rPr>
          <w:spacing w:val="-4"/>
          <w:w w:val="105"/>
          <w:sz w:val="21"/>
        </w:rPr>
        <w:t> </w:t>
      </w:r>
      <w:r>
        <w:rPr>
          <w:w w:val="105"/>
          <w:sz w:val="21"/>
        </w:rPr>
        <w:t>(File</w:t>
      </w:r>
      <w:r>
        <w:rPr>
          <w:spacing w:val="-4"/>
          <w:w w:val="105"/>
          <w:sz w:val="21"/>
        </w:rPr>
        <w:t> </w:t>
      </w:r>
      <w:r>
        <w:rPr>
          <w:w w:val="105"/>
          <w:sz w:val="21"/>
        </w:rPr>
        <w:t>No.</w:t>
      </w:r>
      <w:r>
        <w:rPr>
          <w:spacing w:val="-4"/>
          <w:w w:val="105"/>
          <w:sz w:val="21"/>
        </w:rPr>
        <w:t> </w:t>
      </w:r>
      <w:r>
        <w:rPr>
          <w:w w:val="105"/>
          <w:sz w:val="21"/>
        </w:rPr>
        <w:t>1-7259));</w:t>
      </w:r>
      <w:r>
        <w:rPr>
          <w:spacing w:val="-4"/>
          <w:w w:val="105"/>
          <w:sz w:val="21"/>
        </w:rPr>
        <w:t> </w:t>
      </w:r>
      <w:r>
        <w:rPr>
          <w:w w:val="105"/>
          <w:sz w:val="21"/>
        </w:rPr>
        <w:t>First Amendment to 364-Day Competitive Advance and Revolving Credit Facility Agreement among Southwest Airlines Co., the banks party thereto, and JPMorgan Chase Bank, as Administrative</w:t>
      </w:r>
      <w:r>
        <w:rPr>
          <w:spacing w:val="55"/>
          <w:w w:val="105"/>
          <w:sz w:val="21"/>
        </w:rPr>
        <w:t> </w:t>
      </w:r>
      <w:r>
        <w:rPr>
          <w:spacing w:val="2"/>
          <w:w w:val="105"/>
          <w:sz w:val="21"/>
        </w:rPr>
        <w:t>Agent, dated </w:t>
      </w:r>
      <w:r>
        <w:rPr>
          <w:w w:val="105"/>
          <w:sz w:val="21"/>
        </w:rPr>
        <w:t>as of </w:t>
      </w:r>
      <w:r>
        <w:rPr>
          <w:spacing w:val="2"/>
          <w:w w:val="105"/>
          <w:sz w:val="21"/>
        </w:rPr>
        <w:t>April </w:t>
      </w:r>
      <w:r>
        <w:rPr>
          <w:w w:val="105"/>
          <w:sz w:val="21"/>
        </w:rPr>
        <w:t>22, </w:t>
      </w:r>
      <w:r>
        <w:rPr>
          <w:spacing w:val="2"/>
          <w:w w:val="105"/>
          <w:sz w:val="21"/>
        </w:rPr>
        <w:t>2003 (incorporated </w:t>
      </w:r>
      <w:r>
        <w:rPr>
          <w:w w:val="105"/>
          <w:sz w:val="21"/>
        </w:rPr>
        <w:t>by </w:t>
      </w:r>
      <w:r>
        <w:rPr>
          <w:spacing w:val="2"/>
          <w:w w:val="105"/>
          <w:sz w:val="21"/>
        </w:rPr>
        <w:t>reference </w:t>
      </w:r>
      <w:r>
        <w:rPr>
          <w:w w:val="105"/>
          <w:sz w:val="21"/>
        </w:rPr>
        <w:t>to </w:t>
      </w:r>
      <w:r>
        <w:rPr>
          <w:spacing w:val="2"/>
          <w:w w:val="105"/>
          <w:sz w:val="21"/>
          <w:u w:val="single"/>
        </w:rPr>
        <w:t>Exhibit 10.7 </w:t>
      </w:r>
      <w:r>
        <w:rPr>
          <w:w w:val="105"/>
          <w:sz w:val="21"/>
        </w:rPr>
        <w:t>to </w:t>
      </w:r>
      <w:r>
        <w:rPr>
          <w:spacing w:val="3"/>
          <w:w w:val="105"/>
          <w:sz w:val="21"/>
        </w:rPr>
        <w:t>Southwest’s </w:t>
      </w:r>
      <w:r>
        <w:rPr>
          <w:w w:val="105"/>
          <w:sz w:val="21"/>
        </w:rPr>
        <w:t>Quarterly</w:t>
      </w:r>
      <w:r>
        <w:rPr>
          <w:spacing w:val="-11"/>
          <w:w w:val="105"/>
          <w:sz w:val="21"/>
        </w:rPr>
        <w:t> </w:t>
      </w:r>
      <w:r>
        <w:rPr>
          <w:w w:val="105"/>
          <w:sz w:val="21"/>
        </w:rPr>
        <w:t>Report</w:t>
      </w:r>
      <w:r>
        <w:rPr>
          <w:spacing w:val="-12"/>
          <w:w w:val="105"/>
          <w:sz w:val="21"/>
        </w:rPr>
        <w:t> </w:t>
      </w:r>
      <w:r>
        <w:rPr>
          <w:w w:val="105"/>
          <w:sz w:val="21"/>
        </w:rPr>
        <w:t>on</w:t>
      </w:r>
      <w:r>
        <w:rPr>
          <w:spacing w:val="-12"/>
          <w:w w:val="105"/>
          <w:sz w:val="21"/>
        </w:rPr>
        <w:t> </w:t>
      </w:r>
      <w:r>
        <w:rPr>
          <w:w w:val="105"/>
          <w:sz w:val="21"/>
        </w:rPr>
        <w:t>Form</w:t>
      </w:r>
      <w:r>
        <w:rPr>
          <w:spacing w:val="-12"/>
          <w:w w:val="105"/>
          <w:sz w:val="21"/>
        </w:rPr>
        <w:t> </w:t>
      </w:r>
      <w:r>
        <w:rPr>
          <w:w w:val="105"/>
          <w:sz w:val="21"/>
        </w:rPr>
        <w:t>10-Q</w:t>
      </w:r>
      <w:r>
        <w:rPr>
          <w:spacing w:val="-12"/>
          <w:w w:val="105"/>
          <w:sz w:val="21"/>
        </w:rPr>
        <w:t> </w:t>
      </w:r>
      <w:r>
        <w:rPr>
          <w:w w:val="105"/>
          <w:sz w:val="21"/>
        </w:rPr>
        <w:t>for</w:t>
      </w:r>
      <w:r>
        <w:rPr>
          <w:spacing w:val="-12"/>
          <w:w w:val="105"/>
          <w:sz w:val="21"/>
        </w:rPr>
        <w:t> </w:t>
      </w:r>
      <w:r>
        <w:rPr>
          <w:w w:val="105"/>
          <w:sz w:val="21"/>
        </w:rPr>
        <w:t>the</w:t>
      </w:r>
      <w:r>
        <w:rPr>
          <w:spacing w:val="-12"/>
          <w:w w:val="105"/>
          <w:sz w:val="21"/>
        </w:rPr>
        <w:t> </w:t>
      </w:r>
      <w:r>
        <w:rPr>
          <w:w w:val="105"/>
          <w:sz w:val="21"/>
        </w:rPr>
        <w:t>quarter</w:t>
      </w:r>
      <w:r>
        <w:rPr>
          <w:spacing w:val="-12"/>
          <w:w w:val="105"/>
          <w:sz w:val="21"/>
        </w:rPr>
        <w:t> </w:t>
      </w:r>
      <w:r>
        <w:rPr>
          <w:w w:val="105"/>
          <w:sz w:val="21"/>
        </w:rPr>
        <w:t>ended</w:t>
      </w:r>
      <w:r>
        <w:rPr>
          <w:spacing w:val="-12"/>
          <w:w w:val="105"/>
          <w:sz w:val="21"/>
        </w:rPr>
        <w:t> </w:t>
      </w:r>
      <w:r>
        <w:rPr>
          <w:w w:val="105"/>
          <w:sz w:val="21"/>
        </w:rPr>
        <w:t>June</w:t>
      </w:r>
      <w:r>
        <w:rPr>
          <w:spacing w:val="-12"/>
          <w:w w:val="105"/>
          <w:sz w:val="21"/>
        </w:rPr>
        <w:t> </w:t>
      </w:r>
      <w:r>
        <w:rPr>
          <w:w w:val="105"/>
          <w:sz w:val="21"/>
        </w:rPr>
        <w:t>30,</w:t>
      </w:r>
      <w:r>
        <w:rPr>
          <w:spacing w:val="-12"/>
          <w:w w:val="105"/>
          <w:sz w:val="21"/>
        </w:rPr>
        <w:t> </w:t>
      </w:r>
      <w:r>
        <w:rPr>
          <w:w w:val="105"/>
          <w:sz w:val="21"/>
        </w:rPr>
        <w:t>2003</w:t>
      </w:r>
      <w:r>
        <w:rPr>
          <w:spacing w:val="-12"/>
          <w:w w:val="105"/>
          <w:sz w:val="21"/>
        </w:rPr>
        <w:t> </w:t>
      </w:r>
      <w:r>
        <w:rPr>
          <w:w w:val="105"/>
          <w:sz w:val="21"/>
        </w:rPr>
        <w:t>(File</w:t>
      </w:r>
      <w:r>
        <w:rPr>
          <w:spacing w:val="-12"/>
          <w:w w:val="105"/>
          <w:sz w:val="21"/>
        </w:rPr>
        <w:t> </w:t>
      </w:r>
      <w:r>
        <w:rPr>
          <w:w w:val="105"/>
          <w:sz w:val="21"/>
        </w:rPr>
        <w:t>No.</w:t>
      </w:r>
      <w:r>
        <w:rPr>
          <w:spacing w:val="-12"/>
          <w:w w:val="105"/>
          <w:sz w:val="21"/>
        </w:rPr>
        <w:t> </w:t>
      </w:r>
      <w:r>
        <w:rPr>
          <w:w w:val="105"/>
          <w:sz w:val="21"/>
        </w:rPr>
        <w:t>1-7259)).</w:t>
      </w:r>
    </w:p>
    <w:p>
      <w:pPr>
        <w:pStyle w:val="BodyText"/>
        <w:spacing w:before="7"/>
        <w:rPr>
          <w:sz w:val="33"/>
        </w:rPr>
      </w:pPr>
    </w:p>
    <w:p>
      <w:pPr>
        <w:pStyle w:val="ListParagraph"/>
        <w:numPr>
          <w:ilvl w:val="1"/>
          <w:numId w:val="10"/>
        </w:numPr>
        <w:tabs>
          <w:tab w:pos="834" w:val="left" w:leader="none"/>
        </w:tabs>
        <w:spacing w:line="256" w:lineRule="auto" w:before="0" w:after="0"/>
        <w:ind w:left="833" w:right="107" w:hanging="720"/>
        <w:jc w:val="both"/>
        <w:rPr>
          <w:sz w:val="21"/>
        </w:rPr>
      </w:pPr>
      <w:r>
        <w:rPr>
          <w:spacing w:val="2"/>
          <w:w w:val="105"/>
          <w:sz w:val="21"/>
        </w:rPr>
        <w:t>Specimen certificate representing Common Stock </w:t>
      </w:r>
      <w:r>
        <w:rPr>
          <w:w w:val="105"/>
          <w:sz w:val="21"/>
        </w:rPr>
        <w:t>of </w:t>
      </w:r>
      <w:r>
        <w:rPr>
          <w:spacing w:val="2"/>
          <w:w w:val="105"/>
          <w:sz w:val="21"/>
        </w:rPr>
        <w:t>Southwest (incorporated </w:t>
      </w:r>
      <w:r>
        <w:rPr>
          <w:w w:val="105"/>
          <w:sz w:val="21"/>
        </w:rPr>
        <w:t>by </w:t>
      </w:r>
      <w:r>
        <w:rPr>
          <w:spacing w:val="2"/>
          <w:w w:val="105"/>
          <w:sz w:val="21"/>
        </w:rPr>
        <w:t>reference </w:t>
      </w:r>
      <w:r>
        <w:rPr>
          <w:spacing w:val="3"/>
          <w:w w:val="105"/>
          <w:sz w:val="21"/>
        </w:rPr>
        <w:t>to </w:t>
      </w:r>
      <w:r>
        <w:rPr>
          <w:w w:val="105"/>
          <w:sz w:val="21"/>
          <w:u w:val="single"/>
        </w:rPr>
        <w:t>Exhibit 4.2 </w:t>
      </w:r>
      <w:r>
        <w:rPr>
          <w:w w:val="105"/>
          <w:sz w:val="21"/>
        </w:rPr>
        <w:t>to Southwest's Annual Report on Form 10-K for the year ended December 31, 1994 (File No.</w:t>
      </w:r>
      <w:r>
        <w:rPr>
          <w:spacing w:val="-36"/>
          <w:w w:val="105"/>
          <w:sz w:val="21"/>
        </w:rPr>
        <w:t> </w:t>
      </w:r>
      <w:r>
        <w:rPr>
          <w:w w:val="105"/>
          <w:sz w:val="21"/>
        </w:rPr>
        <w:t>1-7259)).</w:t>
      </w:r>
    </w:p>
    <w:p>
      <w:pPr>
        <w:pStyle w:val="BodyText"/>
        <w:spacing w:before="5"/>
        <w:rPr>
          <w:sz w:val="33"/>
        </w:rPr>
      </w:pPr>
    </w:p>
    <w:p>
      <w:pPr>
        <w:pStyle w:val="ListParagraph"/>
        <w:numPr>
          <w:ilvl w:val="1"/>
          <w:numId w:val="10"/>
        </w:numPr>
        <w:tabs>
          <w:tab w:pos="836" w:val="left" w:leader="none"/>
        </w:tabs>
        <w:spacing w:line="259" w:lineRule="auto" w:before="0" w:after="0"/>
        <w:ind w:left="833" w:right="108" w:hanging="720"/>
        <w:jc w:val="both"/>
        <w:rPr>
          <w:sz w:val="21"/>
        </w:rPr>
      </w:pPr>
      <w:r>
        <w:rPr>
          <w:w w:val="105"/>
          <w:sz w:val="21"/>
        </w:rPr>
        <w:t>Amended and Restated Rights Agreement dated July 18, 1996 between Southwest and Continental </w:t>
      </w:r>
      <w:r>
        <w:rPr>
          <w:spacing w:val="3"/>
          <w:w w:val="105"/>
          <w:sz w:val="21"/>
        </w:rPr>
        <w:t>Stock Transfer </w:t>
      </w:r>
      <w:r>
        <w:rPr>
          <w:w w:val="105"/>
          <w:sz w:val="21"/>
        </w:rPr>
        <w:t>&amp; </w:t>
      </w:r>
      <w:r>
        <w:rPr>
          <w:spacing w:val="3"/>
          <w:w w:val="105"/>
          <w:sz w:val="21"/>
        </w:rPr>
        <w:t>Trust Company, </w:t>
      </w:r>
      <w:r>
        <w:rPr>
          <w:w w:val="105"/>
          <w:sz w:val="21"/>
        </w:rPr>
        <w:t>as </w:t>
      </w:r>
      <w:r>
        <w:rPr>
          <w:spacing w:val="3"/>
          <w:w w:val="105"/>
          <w:sz w:val="21"/>
        </w:rPr>
        <w:t>Rights Agent (incorporated </w:t>
      </w:r>
      <w:r>
        <w:rPr>
          <w:w w:val="105"/>
          <w:sz w:val="21"/>
        </w:rPr>
        <w:t>by </w:t>
      </w:r>
      <w:r>
        <w:rPr>
          <w:spacing w:val="3"/>
          <w:w w:val="105"/>
          <w:sz w:val="21"/>
        </w:rPr>
        <w:t>reference </w:t>
      </w:r>
      <w:r>
        <w:rPr>
          <w:w w:val="105"/>
          <w:sz w:val="21"/>
        </w:rPr>
        <w:t>to </w:t>
      </w:r>
      <w:r>
        <w:rPr>
          <w:spacing w:val="3"/>
          <w:w w:val="105"/>
          <w:sz w:val="21"/>
          <w:u w:val="single"/>
        </w:rPr>
        <w:t>Exhibit </w:t>
      </w:r>
      <w:r>
        <w:rPr>
          <w:w w:val="105"/>
          <w:sz w:val="21"/>
          <w:u w:val="single"/>
        </w:rPr>
        <w:t>1</w:t>
      </w:r>
      <w:r>
        <w:rPr>
          <w:w w:val="105"/>
          <w:sz w:val="21"/>
        </w:rPr>
        <w:t>, Southwest's Registration Statement on Form 8-A/A dated August 12, 1996 (File No. 1-7259));</w:t>
      </w:r>
      <w:r>
        <w:rPr>
          <w:spacing w:val="55"/>
          <w:w w:val="105"/>
          <w:sz w:val="21"/>
        </w:rPr>
        <w:t> </w:t>
      </w:r>
      <w:r>
        <w:rPr>
          <w:spacing w:val="2"/>
          <w:w w:val="105"/>
          <w:sz w:val="21"/>
        </w:rPr>
        <w:t>Amendment </w:t>
      </w:r>
      <w:r>
        <w:rPr>
          <w:w w:val="105"/>
          <w:sz w:val="21"/>
        </w:rPr>
        <w:t>No. 1 to </w:t>
      </w:r>
      <w:r>
        <w:rPr>
          <w:spacing w:val="2"/>
          <w:w w:val="105"/>
          <w:sz w:val="21"/>
        </w:rPr>
        <w:t>Rights Agreement dated March </w:t>
      </w:r>
      <w:r>
        <w:rPr>
          <w:w w:val="105"/>
          <w:sz w:val="21"/>
        </w:rPr>
        <w:t>15, </w:t>
      </w:r>
      <w:r>
        <w:rPr>
          <w:spacing w:val="2"/>
          <w:w w:val="105"/>
          <w:sz w:val="21"/>
        </w:rPr>
        <w:t>2001 (incorporated </w:t>
      </w:r>
      <w:r>
        <w:rPr>
          <w:w w:val="105"/>
          <w:sz w:val="21"/>
        </w:rPr>
        <w:t>by </w:t>
      </w:r>
      <w:r>
        <w:rPr>
          <w:spacing w:val="2"/>
          <w:w w:val="105"/>
          <w:sz w:val="21"/>
        </w:rPr>
        <w:t>reference </w:t>
      </w:r>
      <w:r>
        <w:rPr>
          <w:spacing w:val="3"/>
          <w:w w:val="105"/>
          <w:sz w:val="21"/>
        </w:rPr>
        <w:t>to </w:t>
      </w:r>
      <w:r>
        <w:rPr>
          <w:w w:val="105"/>
          <w:sz w:val="21"/>
          <w:u w:val="single"/>
        </w:rPr>
        <w:t>Exhibit</w:t>
      </w:r>
      <w:r>
        <w:rPr>
          <w:spacing w:val="-13"/>
          <w:w w:val="105"/>
          <w:sz w:val="21"/>
          <w:u w:val="single"/>
        </w:rPr>
        <w:t> </w:t>
      </w:r>
      <w:r>
        <w:rPr>
          <w:w w:val="105"/>
          <w:sz w:val="21"/>
          <w:u w:val="single"/>
        </w:rPr>
        <w:t>1</w:t>
      </w:r>
      <w:r>
        <w:rPr>
          <w:spacing w:val="-13"/>
          <w:w w:val="105"/>
          <w:sz w:val="21"/>
          <w:u w:val="single"/>
        </w:rPr>
        <w:t> </w:t>
      </w:r>
      <w:r>
        <w:rPr>
          <w:w w:val="105"/>
          <w:sz w:val="21"/>
        </w:rPr>
        <w:t>to</w:t>
      </w:r>
      <w:r>
        <w:rPr>
          <w:spacing w:val="-13"/>
          <w:w w:val="105"/>
          <w:sz w:val="21"/>
        </w:rPr>
        <w:t> </w:t>
      </w:r>
      <w:r>
        <w:rPr>
          <w:w w:val="105"/>
          <w:sz w:val="21"/>
        </w:rPr>
        <w:t>Form</w:t>
      </w:r>
      <w:r>
        <w:rPr>
          <w:spacing w:val="-13"/>
          <w:w w:val="105"/>
          <w:sz w:val="21"/>
        </w:rPr>
        <w:t> </w:t>
      </w:r>
      <w:r>
        <w:rPr>
          <w:w w:val="105"/>
          <w:sz w:val="21"/>
        </w:rPr>
        <w:t>8-A</w:t>
      </w:r>
      <w:r>
        <w:rPr>
          <w:spacing w:val="-13"/>
          <w:w w:val="105"/>
          <w:sz w:val="21"/>
        </w:rPr>
        <w:t> </w:t>
      </w:r>
      <w:r>
        <w:rPr>
          <w:w w:val="105"/>
          <w:sz w:val="21"/>
        </w:rPr>
        <w:t>Amendment</w:t>
      </w:r>
      <w:r>
        <w:rPr>
          <w:spacing w:val="-12"/>
          <w:w w:val="105"/>
          <w:sz w:val="21"/>
        </w:rPr>
        <w:t> </w:t>
      </w:r>
      <w:r>
        <w:rPr>
          <w:w w:val="105"/>
          <w:sz w:val="21"/>
        </w:rPr>
        <w:t>No.</w:t>
      </w:r>
      <w:r>
        <w:rPr>
          <w:spacing w:val="-13"/>
          <w:w w:val="105"/>
          <w:sz w:val="21"/>
        </w:rPr>
        <w:t> </w:t>
      </w:r>
      <w:r>
        <w:rPr>
          <w:w w:val="105"/>
          <w:sz w:val="21"/>
        </w:rPr>
        <w:t>3</w:t>
      </w:r>
      <w:r>
        <w:rPr>
          <w:spacing w:val="-13"/>
          <w:w w:val="105"/>
          <w:sz w:val="21"/>
        </w:rPr>
        <w:t> </w:t>
      </w:r>
      <w:r>
        <w:rPr>
          <w:w w:val="105"/>
          <w:sz w:val="21"/>
        </w:rPr>
        <w:t>dated</w:t>
      </w:r>
      <w:r>
        <w:rPr>
          <w:spacing w:val="-13"/>
          <w:w w:val="105"/>
          <w:sz w:val="21"/>
        </w:rPr>
        <w:t> </w:t>
      </w:r>
      <w:r>
        <w:rPr>
          <w:w w:val="105"/>
          <w:sz w:val="21"/>
        </w:rPr>
        <w:t>April</w:t>
      </w:r>
      <w:r>
        <w:rPr>
          <w:spacing w:val="-13"/>
          <w:w w:val="105"/>
          <w:sz w:val="21"/>
        </w:rPr>
        <w:t> </w:t>
      </w:r>
      <w:r>
        <w:rPr>
          <w:w w:val="105"/>
          <w:sz w:val="21"/>
        </w:rPr>
        <w:t>25,</w:t>
      </w:r>
      <w:r>
        <w:rPr>
          <w:spacing w:val="-13"/>
          <w:w w:val="105"/>
          <w:sz w:val="21"/>
        </w:rPr>
        <w:t> </w:t>
      </w:r>
      <w:r>
        <w:rPr>
          <w:w w:val="105"/>
          <w:sz w:val="21"/>
        </w:rPr>
        <w:t>2001</w:t>
      </w:r>
      <w:r>
        <w:rPr>
          <w:spacing w:val="-13"/>
          <w:w w:val="105"/>
          <w:sz w:val="21"/>
        </w:rPr>
        <w:t> </w:t>
      </w:r>
      <w:r>
        <w:rPr>
          <w:w w:val="105"/>
          <w:sz w:val="21"/>
        </w:rPr>
        <w:t>(File</w:t>
      </w:r>
      <w:r>
        <w:rPr>
          <w:spacing w:val="-13"/>
          <w:w w:val="105"/>
          <w:sz w:val="21"/>
        </w:rPr>
        <w:t> </w:t>
      </w:r>
      <w:r>
        <w:rPr>
          <w:w w:val="105"/>
          <w:sz w:val="21"/>
        </w:rPr>
        <w:t>No.</w:t>
      </w:r>
      <w:r>
        <w:rPr>
          <w:spacing w:val="-13"/>
          <w:w w:val="105"/>
          <w:sz w:val="21"/>
        </w:rPr>
        <w:t> </w:t>
      </w:r>
      <w:r>
        <w:rPr>
          <w:w w:val="105"/>
          <w:sz w:val="21"/>
        </w:rPr>
        <w:t>1-7529)).</w:t>
      </w:r>
    </w:p>
    <w:p>
      <w:pPr>
        <w:pStyle w:val="BodyText"/>
        <w:spacing w:before="10"/>
        <w:rPr>
          <w:sz w:val="23"/>
        </w:rPr>
      </w:pPr>
    </w:p>
    <w:p>
      <w:pPr>
        <w:pStyle w:val="ListParagraph"/>
        <w:numPr>
          <w:ilvl w:val="1"/>
          <w:numId w:val="10"/>
        </w:numPr>
        <w:tabs>
          <w:tab w:pos="834" w:val="left" w:leader="none"/>
        </w:tabs>
        <w:spacing w:line="256" w:lineRule="auto" w:before="113" w:after="0"/>
        <w:ind w:left="833" w:right="108" w:hanging="720"/>
        <w:jc w:val="both"/>
        <w:rPr>
          <w:sz w:val="21"/>
        </w:rPr>
      </w:pPr>
      <w:r>
        <w:rPr>
          <w:w w:val="105"/>
          <w:sz w:val="21"/>
        </w:rPr>
        <w:t>Indenture </w:t>
      </w:r>
      <w:r>
        <w:rPr>
          <w:spacing w:val="2"/>
          <w:w w:val="105"/>
          <w:sz w:val="21"/>
        </w:rPr>
        <w:t>dated </w:t>
      </w:r>
      <w:r>
        <w:rPr>
          <w:w w:val="105"/>
          <w:sz w:val="21"/>
        </w:rPr>
        <w:t>as of June 20, </w:t>
      </w:r>
      <w:r>
        <w:rPr>
          <w:spacing w:val="2"/>
          <w:w w:val="105"/>
          <w:sz w:val="21"/>
        </w:rPr>
        <w:t>1991 between </w:t>
      </w:r>
      <w:r>
        <w:rPr>
          <w:w w:val="105"/>
          <w:sz w:val="21"/>
        </w:rPr>
        <w:t>Southwest Airlines Co. and </w:t>
      </w:r>
      <w:r>
        <w:rPr>
          <w:spacing w:val="2"/>
          <w:w w:val="105"/>
          <w:sz w:val="21"/>
        </w:rPr>
        <w:t>Bank </w:t>
      </w:r>
      <w:r>
        <w:rPr>
          <w:w w:val="105"/>
          <w:sz w:val="21"/>
        </w:rPr>
        <w:t>of New York, </w:t>
      </w:r>
      <w:r>
        <w:rPr>
          <w:spacing w:val="3"/>
          <w:w w:val="105"/>
          <w:sz w:val="21"/>
        </w:rPr>
        <w:t>successor </w:t>
      </w:r>
      <w:r>
        <w:rPr>
          <w:w w:val="105"/>
          <w:sz w:val="21"/>
        </w:rPr>
        <w:t>to </w:t>
      </w:r>
      <w:r>
        <w:rPr>
          <w:spacing w:val="3"/>
          <w:w w:val="105"/>
          <w:sz w:val="21"/>
        </w:rPr>
        <w:t>NationsBank </w:t>
      </w:r>
      <w:r>
        <w:rPr>
          <w:w w:val="105"/>
          <w:sz w:val="21"/>
        </w:rPr>
        <w:t>of </w:t>
      </w:r>
      <w:r>
        <w:rPr>
          <w:spacing w:val="3"/>
          <w:w w:val="105"/>
          <w:sz w:val="21"/>
        </w:rPr>
        <w:t>Texas, N.A. (formerly NCNB Texas National Bank), </w:t>
      </w:r>
      <w:r>
        <w:rPr>
          <w:spacing w:val="4"/>
          <w:w w:val="105"/>
          <w:sz w:val="21"/>
        </w:rPr>
        <w:t>Trustee </w:t>
      </w:r>
      <w:r>
        <w:rPr>
          <w:w w:val="105"/>
          <w:sz w:val="21"/>
        </w:rPr>
        <w:t>(incorporated by reference to </w:t>
      </w:r>
      <w:r>
        <w:rPr>
          <w:w w:val="105"/>
          <w:sz w:val="21"/>
          <w:u w:val="single"/>
        </w:rPr>
        <w:t>Exhibit 4.1 </w:t>
      </w:r>
      <w:r>
        <w:rPr>
          <w:w w:val="105"/>
          <w:sz w:val="21"/>
        </w:rPr>
        <w:t>to Southwest's Current Report on Form 8-K dated June 24,</w:t>
      </w:r>
      <w:r>
        <w:rPr>
          <w:spacing w:val="-16"/>
          <w:w w:val="105"/>
          <w:sz w:val="21"/>
        </w:rPr>
        <w:t> </w:t>
      </w:r>
      <w:r>
        <w:rPr>
          <w:w w:val="105"/>
          <w:sz w:val="21"/>
        </w:rPr>
        <w:t>1991</w:t>
      </w:r>
      <w:r>
        <w:rPr>
          <w:spacing w:val="-16"/>
          <w:w w:val="105"/>
          <w:sz w:val="21"/>
        </w:rPr>
        <w:t> </w:t>
      </w:r>
      <w:r>
        <w:rPr>
          <w:w w:val="105"/>
          <w:sz w:val="21"/>
        </w:rPr>
        <w:t>(File</w:t>
      </w:r>
      <w:r>
        <w:rPr>
          <w:spacing w:val="-16"/>
          <w:w w:val="105"/>
          <w:sz w:val="21"/>
        </w:rPr>
        <w:t> </w:t>
      </w:r>
      <w:r>
        <w:rPr>
          <w:w w:val="105"/>
          <w:sz w:val="21"/>
        </w:rPr>
        <w:t>No.</w:t>
      </w:r>
      <w:r>
        <w:rPr>
          <w:spacing w:val="-16"/>
          <w:w w:val="105"/>
          <w:sz w:val="21"/>
        </w:rPr>
        <w:t> </w:t>
      </w:r>
      <w:r>
        <w:rPr>
          <w:w w:val="105"/>
          <w:sz w:val="21"/>
        </w:rPr>
        <w:t>1-7259)).</w:t>
      </w:r>
    </w:p>
    <w:p>
      <w:pPr>
        <w:pStyle w:val="BodyText"/>
        <w:spacing w:before="5"/>
        <w:rPr>
          <w:sz w:val="33"/>
        </w:rPr>
      </w:pPr>
    </w:p>
    <w:p>
      <w:pPr>
        <w:pStyle w:val="ListParagraph"/>
        <w:numPr>
          <w:ilvl w:val="1"/>
          <w:numId w:val="10"/>
        </w:numPr>
        <w:tabs>
          <w:tab w:pos="835" w:val="left" w:leader="none"/>
          <w:tab w:pos="836" w:val="left" w:leader="none"/>
        </w:tabs>
        <w:spacing w:line="240" w:lineRule="auto" w:before="1" w:after="0"/>
        <w:ind w:left="835" w:right="0" w:hanging="722"/>
        <w:jc w:val="left"/>
        <w:rPr>
          <w:sz w:val="21"/>
        </w:rPr>
      </w:pPr>
      <w:r>
        <w:rPr>
          <w:w w:val="105"/>
          <w:sz w:val="21"/>
        </w:rPr>
        <w:t>Indenture dated as of February 25, 1997 between the Company and U.S. Trust Company of</w:t>
      </w:r>
      <w:r>
        <w:rPr>
          <w:spacing w:val="-13"/>
          <w:w w:val="105"/>
          <w:sz w:val="21"/>
        </w:rPr>
        <w:t> </w:t>
      </w:r>
      <w:r>
        <w:rPr>
          <w:w w:val="105"/>
          <w:sz w:val="21"/>
        </w:rPr>
        <w:t>Texas,</w:t>
      </w:r>
    </w:p>
    <w:p>
      <w:pPr>
        <w:pStyle w:val="BodyText"/>
        <w:spacing w:line="252" w:lineRule="auto" w:before="22"/>
        <w:ind w:left="833" w:right="107"/>
        <w:jc w:val="both"/>
      </w:pPr>
      <w:r>
        <w:rPr>
          <w:w w:val="105"/>
        </w:rPr>
        <w:t>N.A. (incorporated by reference to </w:t>
      </w:r>
      <w:r>
        <w:rPr>
          <w:w w:val="105"/>
          <w:u w:val="single"/>
        </w:rPr>
        <w:t>Exhibit 4.2 </w:t>
      </w:r>
      <w:r>
        <w:rPr>
          <w:w w:val="105"/>
        </w:rPr>
        <w:t>to Southwest’s Annual Report on Form 10-K </w:t>
      </w:r>
      <w:r>
        <w:rPr>
          <w:spacing w:val="2"/>
          <w:w w:val="105"/>
        </w:rPr>
        <w:t>for </w:t>
      </w:r>
      <w:r>
        <w:rPr>
          <w:w w:val="105"/>
        </w:rPr>
        <w:t>the</w:t>
      </w:r>
      <w:r>
        <w:rPr>
          <w:spacing w:val="-14"/>
          <w:w w:val="105"/>
        </w:rPr>
        <w:t> </w:t>
      </w:r>
      <w:r>
        <w:rPr>
          <w:w w:val="105"/>
        </w:rPr>
        <w:t>year</w:t>
      </w:r>
      <w:r>
        <w:rPr>
          <w:spacing w:val="-14"/>
          <w:w w:val="105"/>
        </w:rPr>
        <w:t> </w:t>
      </w:r>
      <w:r>
        <w:rPr>
          <w:w w:val="105"/>
        </w:rPr>
        <w:t>ended</w:t>
      </w:r>
      <w:r>
        <w:rPr>
          <w:spacing w:val="-14"/>
          <w:w w:val="105"/>
        </w:rPr>
        <w:t> </w:t>
      </w:r>
      <w:r>
        <w:rPr>
          <w:w w:val="105"/>
        </w:rPr>
        <w:t>December</w:t>
      </w:r>
      <w:r>
        <w:rPr>
          <w:spacing w:val="-14"/>
          <w:w w:val="105"/>
        </w:rPr>
        <w:t> </w:t>
      </w:r>
      <w:r>
        <w:rPr>
          <w:w w:val="105"/>
        </w:rPr>
        <w:t>31,</w:t>
      </w:r>
      <w:r>
        <w:rPr>
          <w:spacing w:val="-14"/>
          <w:w w:val="105"/>
        </w:rPr>
        <w:t> </w:t>
      </w:r>
      <w:r>
        <w:rPr>
          <w:w w:val="105"/>
        </w:rPr>
        <w:t>1996</w:t>
      </w:r>
      <w:r>
        <w:rPr>
          <w:spacing w:val="-14"/>
          <w:w w:val="105"/>
        </w:rPr>
        <w:t> </w:t>
      </w:r>
      <w:r>
        <w:rPr>
          <w:w w:val="105"/>
        </w:rPr>
        <w:t>(File</w:t>
      </w:r>
      <w:r>
        <w:rPr>
          <w:spacing w:val="-14"/>
          <w:w w:val="105"/>
        </w:rPr>
        <w:t> </w:t>
      </w:r>
      <w:r>
        <w:rPr>
          <w:w w:val="105"/>
        </w:rPr>
        <w:t>No.</w:t>
      </w:r>
      <w:r>
        <w:rPr>
          <w:spacing w:val="-14"/>
          <w:w w:val="105"/>
        </w:rPr>
        <w:t> </w:t>
      </w:r>
      <w:r>
        <w:rPr>
          <w:w w:val="105"/>
        </w:rPr>
        <w:t>1-7259)).</w:t>
      </w:r>
    </w:p>
    <w:p>
      <w:pPr>
        <w:pStyle w:val="BodyText"/>
        <w:spacing w:before="3"/>
        <w:rPr>
          <w:sz w:val="34"/>
        </w:rPr>
      </w:pPr>
    </w:p>
    <w:p>
      <w:pPr>
        <w:pStyle w:val="BodyText"/>
        <w:spacing w:line="256" w:lineRule="auto"/>
        <w:ind w:left="833" w:right="106"/>
        <w:jc w:val="both"/>
      </w:pPr>
      <w:r>
        <w:rPr>
          <w:w w:val="105"/>
        </w:rPr>
        <w:t>Southwest is not filing any other instruments evidencing any indebtedness because the total amount of securities authorized under any single such instrument does not exceed 10% of its total consolidated assets. Copies of such instruments will be furnished to the Securities and Exchange Commission upon request.</w:t>
      </w:r>
    </w:p>
    <w:p>
      <w:pPr>
        <w:pStyle w:val="BodyText"/>
        <w:spacing w:before="10"/>
        <w:rPr>
          <w:sz w:val="33"/>
        </w:rPr>
      </w:pPr>
    </w:p>
    <w:p>
      <w:pPr>
        <w:pStyle w:val="ListParagraph"/>
        <w:numPr>
          <w:ilvl w:val="1"/>
          <w:numId w:val="11"/>
        </w:numPr>
        <w:tabs>
          <w:tab w:pos="831" w:val="left" w:leader="none"/>
        </w:tabs>
        <w:spacing w:line="259" w:lineRule="auto" w:before="0" w:after="0"/>
        <w:ind w:left="833" w:right="107" w:hanging="720"/>
        <w:jc w:val="both"/>
        <w:rPr>
          <w:sz w:val="21"/>
        </w:rPr>
      </w:pPr>
      <w:r>
        <w:rPr>
          <w:spacing w:val="3"/>
          <w:w w:val="105"/>
          <w:sz w:val="21"/>
        </w:rPr>
        <w:t>Purchase Agreement </w:t>
      </w:r>
      <w:r>
        <w:rPr>
          <w:spacing w:val="2"/>
          <w:w w:val="105"/>
          <w:sz w:val="21"/>
        </w:rPr>
        <w:t>No. </w:t>
      </w:r>
      <w:r>
        <w:rPr>
          <w:spacing w:val="3"/>
          <w:w w:val="105"/>
          <w:sz w:val="21"/>
        </w:rPr>
        <w:t>1810, dated January </w:t>
      </w:r>
      <w:r>
        <w:rPr>
          <w:spacing w:val="2"/>
          <w:w w:val="105"/>
          <w:sz w:val="21"/>
        </w:rPr>
        <w:t>19, </w:t>
      </w:r>
      <w:r>
        <w:rPr>
          <w:spacing w:val="3"/>
          <w:w w:val="105"/>
          <w:sz w:val="21"/>
        </w:rPr>
        <w:t>1994 between </w:t>
      </w:r>
      <w:r>
        <w:rPr>
          <w:spacing w:val="2"/>
          <w:w w:val="105"/>
          <w:sz w:val="21"/>
        </w:rPr>
        <w:t>The </w:t>
      </w:r>
      <w:r>
        <w:rPr>
          <w:spacing w:val="3"/>
          <w:w w:val="105"/>
          <w:sz w:val="21"/>
        </w:rPr>
        <w:t>Boeing Company </w:t>
      </w:r>
      <w:r>
        <w:rPr>
          <w:spacing w:val="4"/>
          <w:w w:val="105"/>
          <w:sz w:val="21"/>
        </w:rPr>
        <w:t>and </w:t>
      </w:r>
      <w:r>
        <w:rPr>
          <w:w w:val="105"/>
          <w:sz w:val="21"/>
        </w:rPr>
        <w:t>Southwest (incorporated by reference to </w:t>
      </w:r>
      <w:r>
        <w:rPr>
          <w:w w:val="105"/>
          <w:sz w:val="21"/>
          <w:u w:val="single"/>
        </w:rPr>
        <w:t>Exhibit 10.4 </w:t>
      </w:r>
      <w:r>
        <w:rPr>
          <w:w w:val="105"/>
          <w:sz w:val="21"/>
        </w:rPr>
        <w:t>to Southwest's Annual Report on Form 10-K </w:t>
      </w:r>
      <w:r>
        <w:rPr>
          <w:spacing w:val="2"/>
          <w:w w:val="105"/>
          <w:sz w:val="21"/>
        </w:rPr>
        <w:t>for the </w:t>
      </w:r>
      <w:r>
        <w:rPr>
          <w:spacing w:val="3"/>
          <w:w w:val="105"/>
          <w:sz w:val="21"/>
        </w:rPr>
        <w:t>year ended December </w:t>
      </w:r>
      <w:r>
        <w:rPr>
          <w:spacing w:val="2"/>
          <w:w w:val="105"/>
          <w:sz w:val="21"/>
        </w:rPr>
        <w:t>31, </w:t>
      </w:r>
      <w:r>
        <w:rPr>
          <w:spacing w:val="3"/>
          <w:w w:val="105"/>
          <w:sz w:val="21"/>
        </w:rPr>
        <w:t>1993 (File </w:t>
      </w:r>
      <w:r>
        <w:rPr>
          <w:spacing w:val="2"/>
          <w:w w:val="105"/>
          <w:sz w:val="21"/>
        </w:rPr>
        <w:t>No. </w:t>
      </w:r>
      <w:r>
        <w:rPr>
          <w:spacing w:val="3"/>
          <w:w w:val="105"/>
          <w:sz w:val="21"/>
        </w:rPr>
        <w:t>1-7259)); Supplemental Agreement </w:t>
      </w:r>
      <w:r>
        <w:rPr>
          <w:spacing w:val="2"/>
          <w:w w:val="105"/>
          <w:sz w:val="21"/>
        </w:rPr>
        <w:t>No. </w:t>
      </w:r>
      <w:r>
        <w:rPr>
          <w:spacing w:val="4"/>
          <w:w w:val="105"/>
          <w:sz w:val="21"/>
        </w:rPr>
        <w:t>1. </w:t>
      </w:r>
      <w:r>
        <w:rPr>
          <w:w w:val="105"/>
          <w:sz w:val="21"/>
        </w:rPr>
        <w:t>(incorporated by reference to </w:t>
      </w:r>
      <w:r>
        <w:rPr>
          <w:w w:val="105"/>
          <w:sz w:val="21"/>
          <w:u w:val="single"/>
        </w:rPr>
        <w:t>Exhibit 10.3 </w:t>
      </w:r>
      <w:r>
        <w:rPr>
          <w:w w:val="105"/>
          <w:sz w:val="21"/>
        </w:rPr>
        <w:t>to Southwest’s Annual Report on Form 10-K for </w:t>
      </w:r>
      <w:r>
        <w:rPr>
          <w:spacing w:val="2"/>
          <w:w w:val="105"/>
          <w:sz w:val="21"/>
        </w:rPr>
        <w:t>the year ended December </w:t>
      </w:r>
      <w:r>
        <w:rPr>
          <w:w w:val="105"/>
          <w:sz w:val="21"/>
        </w:rPr>
        <w:t>31, </w:t>
      </w:r>
      <w:r>
        <w:rPr>
          <w:spacing w:val="2"/>
          <w:w w:val="105"/>
          <w:sz w:val="21"/>
        </w:rPr>
        <w:t>1996 (File </w:t>
      </w:r>
      <w:r>
        <w:rPr>
          <w:w w:val="105"/>
          <w:sz w:val="21"/>
        </w:rPr>
        <w:t>No. </w:t>
      </w:r>
      <w:r>
        <w:rPr>
          <w:spacing w:val="2"/>
          <w:w w:val="105"/>
          <w:sz w:val="21"/>
        </w:rPr>
        <w:t>1-7259)); Supplemental Agreements </w:t>
      </w:r>
      <w:r>
        <w:rPr>
          <w:w w:val="105"/>
          <w:sz w:val="21"/>
        </w:rPr>
        <w:t>No. 2, 3 and 4 (incorporated by reference to </w:t>
      </w:r>
      <w:r>
        <w:rPr>
          <w:w w:val="105"/>
          <w:sz w:val="21"/>
          <w:u w:val="single"/>
        </w:rPr>
        <w:t>Exhibit 10.2 </w:t>
      </w:r>
      <w:r>
        <w:rPr>
          <w:w w:val="105"/>
          <w:sz w:val="21"/>
        </w:rPr>
        <w:t>to Southwest’s Annual Report on Form 10-K for </w:t>
      </w:r>
      <w:r>
        <w:rPr>
          <w:spacing w:val="2"/>
          <w:w w:val="105"/>
          <w:sz w:val="21"/>
        </w:rPr>
        <w:t>the </w:t>
      </w:r>
      <w:r>
        <w:rPr>
          <w:w w:val="105"/>
          <w:sz w:val="21"/>
        </w:rPr>
        <w:t>year ended December 31, 1997 (File No. 1-7259)); Supplemental Agreements Nos. 5, 6, and 7; (incorporated by reference to </w:t>
      </w:r>
      <w:r>
        <w:rPr>
          <w:w w:val="105"/>
          <w:sz w:val="21"/>
          <w:u w:val="single"/>
        </w:rPr>
        <w:t>Exhibit 10.1 </w:t>
      </w:r>
      <w:r>
        <w:rPr>
          <w:w w:val="105"/>
          <w:sz w:val="21"/>
        </w:rPr>
        <w:t>to Southwest’s Annual Report on Form 10-K for </w:t>
      </w:r>
      <w:r>
        <w:rPr>
          <w:spacing w:val="2"/>
          <w:w w:val="105"/>
          <w:sz w:val="21"/>
        </w:rPr>
        <w:t>the </w:t>
      </w:r>
      <w:r>
        <w:rPr>
          <w:w w:val="105"/>
          <w:sz w:val="21"/>
        </w:rPr>
        <w:t>year ended December 31, 1998 (File No. 1-7259)); Supplemental Agreements Nos. 8, 9, and 10 (incorporated by reference to </w:t>
      </w:r>
      <w:r>
        <w:rPr>
          <w:w w:val="105"/>
          <w:sz w:val="21"/>
          <w:u w:val="single"/>
        </w:rPr>
        <w:t>Exhibit 10.1 </w:t>
      </w:r>
      <w:r>
        <w:rPr>
          <w:w w:val="105"/>
          <w:sz w:val="21"/>
        </w:rPr>
        <w:t>to Southwest’s Annual Report on Form 10-K for </w:t>
      </w:r>
      <w:r>
        <w:rPr>
          <w:spacing w:val="2"/>
          <w:w w:val="105"/>
          <w:sz w:val="21"/>
        </w:rPr>
        <w:t>the </w:t>
      </w:r>
      <w:r>
        <w:rPr>
          <w:w w:val="105"/>
          <w:sz w:val="21"/>
        </w:rPr>
        <w:t>year ended December 31, 1999 (File No. 1-7259)); Supplemental Agreements Nos. 11, 12, 13 and 14 (incorporated by reference to </w:t>
      </w:r>
      <w:r>
        <w:rPr>
          <w:w w:val="105"/>
          <w:sz w:val="21"/>
          <w:u w:val="single"/>
        </w:rPr>
        <w:t>Exhibit 10.1 </w:t>
      </w:r>
      <w:r>
        <w:rPr>
          <w:w w:val="105"/>
          <w:sz w:val="21"/>
        </w:rPr>
        <w:t>to Southwest’s Quarterly Report on Form 10-Q for the quarter ended September 30, 2000 (File No. 1-7259)); Supplemental Agreements Nos. 15, 16, 17, 18 and 19 (incorporated by reference to </w:t>
      </w:r>
      <w:r>
        <w:rPr>
          <w:w w:val="105"/>
          <w:sz w:val="21"/>
          <w:u w:val="single"/>
        </w:rPr>
        <w:t>Exhibit 10.1 </w:t>
      </w:r>
      <w:r>
        <w:rPr>
          <w:w w:val="105"/>
          <w:sz w:val="21"/>
        </w:rPr>
        <w:t>to Southwest’s Quarterly Report on Form 10-Q for the quarter </w:t>
      </w:r>
      <w:r>
        <w:rPr>
          <w:spacing w:val="2"/>
          <w:w w:val="105"/>
          <w:sz w:val="21"/>
        </w:rPr>
        <w:t>ended </w:t>
      </w:r>
      <w:r>
        <w:rPr>
          <w:w w:val="105"/>
          <w:sz w:val="21"/>
        </w:rPr>
        <w:t>September 30, 2001 (File No. 1-7259)); Supplemental Agreements</w:t>
      </w:r>
      <w:r>
        <w:rPr>
          <w:spacing w:val="55"/>
          <w:w w:val="105"/>
          <w:sz w:val="21"/>
        </w:rPr>
        <w:t> </w:t>
      </w:r>
      <w:r>
        <w:rPr>
          <w:w w:val="105"/>
          <w:sz w:val="21"/>
        </w:rPr>
        <w:t>Nos.</w:t>
      </w:r>
      <w:r>
        <w:rPr>
          <w:spacing w:val="24"/>
          <w:w w:val="105"/>
          <w:sz w:val="21"/>
        </w:rPr>
        <w:t> </w:t>
      </w:r>
      <w:r>
        <w:rPr>
          <w:w w:val="105"/>
          <w:sz w:val="21"/>
        </w:rPr>
        <w:t>20,</w:t>
      </w:r>
      <w:r>
        <w:rPr>
          <w:spacing w:val="23"/>
          <w:w w:val="105"/>
          <w:sz w:val="21"/>
        </w:rPr>
        <w:t> </w:t>
      </w:r>
      <w:r>
        <w:rPr>
          <w:w w:val="105"/>
          <w:sz w:val="21"/>
        </w:rPr>
        <w:t>21,</w:t>
      </w:r>
      <w:r>
        <w:rPr>
          <w:spacing w:val="23"/>
          <w:w w:val="105"/>
          <w:sz w:val="21"/>
        </w:rPr>
        <w:t> </w:t>
      </w:r>
      <w:r>
        <w:rPr>
          <w:w w:val="105"/>
          <w:sz w:val="21"/>
        </w:rPr>
        <w:t>22,</w:t>
      </w:r>
      <w:r>
        <w:rPr>
          <w:spacing w:val="23"/>
          <w:w w:val="105"/>
          <w:sz w:val="21"/>
        </w:rPr>
        <w:t> </w:t>
      </w:r>
      <w:r>
        <w:rPr>
          <w:w w:val="105"/>
          <w:sz w:val="21"/>
        </w:rPr>
        <w:t>23</w:t>
      </w:r>
      <w:r>
        <w:rPr>
          <w:spacing w:val="23"/>
          <w:w w:val="105"/>
          <w:sz w:val="21"/>
        </w:rPr>
        <w:t> </w:t>
      </w:r>
      <w:r>
        <w:rPr>
          <w:w w:val="105"/>
          <w:sz w:val="21"/>
        </w:rPr>
        <w:t>and</w:t>
      </w:r>
      <w:r>
        <w:rPr>
          <w:spacing w:val="23"/>
          <w:w w:val="105"/>
          <w:sz w:val="21"/>
        </w:rPr>
        <w:t> </w:t>
      </w:r>
      <w:r>
        <w:rPr>
          <w:w w:val="105"/>
          <w:sz w:val="21"/>
        </w:rPr>
        <w:t>24</w:t>
      </w:r>
      <w:r>
        <w:rPr>
          <w:spacing w:val="23"/>
          <w:w w:val="105"/>
          <w:sz w:val="21"/>
        </w:rPr>
        <w:t> </w:t>
      </w:r>
      <w:r>
        <w:rPr>
          <w:w w:val="105"/>
          <w:sz w:val="21"/>
        </w:rPr>
        <w:t>(incorporated</w:t>
      </w:r>
      <w:r>
        <w:rPr>
          <w:spacing w:val="24"/>
          <w:w w:val="105"/>
          <w:sz w:val="21"/>
        </w:rPr>
        <w:t> </w:t>
      </w:r>
      <w:r>
        <w:rPr>
          <w:w w:val="105"/>
          <w:sz w:val="21"/>
        </w:rPr>
        <w:t>by</w:t>
      </w:r>
      <w:r>
        <w:rPr>
          <w:spacing w:val="23"/>
          <w:w w:val="105"/>
          <w:sz w:val="21"/>
        </w:rPr>
        <w:t> </w:t>
      </w:r>
      <w:r>
        <w:rPr>
          <w:w w:val="105"/>
          <w:sz w:val="21"/>
        </w:rPr>
        <w:t>reference</w:t>
      </w:r>
      <w:r>
        <w:rPr>
          <w:spacing w:val="24"/>
          <w:w w:val="105"/>
          <w:sz w:val="21"/>
        </w:rPr>
        <w:t> </w:t>
      </w:r>
      <w:r>
        <w:rPr>
          <w:w w:val="105"/>
          <w:sz w:val="21"/>
        </w:rPr>
        <w:t>to</w:t>
      </w:r>
      <w:r>
        <w:rPr>
          <w:spacing w:val="23"/>
          <w:w w:val="105"/>
          <w:sz w:val="21"/>
        </w:rPr>
        <w:t> </w:t>
      </w:r>
      <w:r>
        <w:rPr>
          <w:w w:val="105"/>
          <w:sz w:val="21"/>
          <w:u w:val="single"/>
        </w:rPr>
        <w:t>Exhibit</w:t>
      </w:r>
      <w:r>
        <w:rPr>
          <w:spacing w:val="23"/>
          <w:w w:val="105"/>
          <w:sz w:val="21"/>
          <w:u w:val="single"/>
        </w:rPr>
        <w:t> </w:t>
      </w:r>
      <w:r>
        <w:rPr>
          <w:w w:val="105"/>
          <w:sz w:val="21"/>
          <w:u w:val="single"/>
        </w:rPr>
        <w:t>10.3</w:t>
      </w:r>
      <w:r>
        <w:rPr>
          <w:spacing w:val="23"/>
          <w:w w:val="105"/>
          <w:sz w:val="21"/>
          <w:u w:val="single"/>
        </w:rPr>
        <w:t> </w:t>
      </w:r>
      <w:r>
        <w:rPr>
          <w:w w:val="105"/>
          <w:sz w:val="21"/>
        </w:rPr>
        <w:t>to</w:t>
      </w:r>
      <w:r>
        <w:rPr>
          <w:spacing w:val="23"/>
          <w:w w:val="105"/>
          <w:sz w:val="21"/>
        </w:rPr>
        <w:t> </w:t>
      </w:r>
      <w:r>
        <w:rPr>
          <w:w w:val="105"/>
          <w:sz w:val="21"/>
        </w:rPr>
        <w:t>Southwest’s</w:t>
      </w:r>
      <w:r>
        <w:rPr>
          <w:spacing w:val="24"/>
          <w:w w:val="105"/>
          <w:sz w:val="21"/>
        </w:rPr>
        <w:t> </w:t>
      </w:r>
      <w:r>
        <w:rPr>
          <w:w w:val="105"/>
          <w:sz w:val="21"/>
        </w:rPr>
        <w:t>Quarterly</w:t>
      </w:r>
    </w:p>
    <w:p>
      <w:pPr>
        <w:pStyle w:val="BodyText"/>
        <w:spacing w:before="22"/>
        <w:ind w:left="4098" w:right="4099"/>
        <w:jc w:val="center"/>
      </w:pPr>
      <w:r>
        <w:rPr>
          <w:w w:val="105"/>
        </w:rPr>
        <w:t>A-53</w:t>
      </w:r>
    </w:p>
    <w:p>
      <w:pPr>
        <w:spacing w:after="0"/>
        <w:jc w:val="center"/>
        <w:sectPr>
          <w:pgSz w:w="12240" w:h="15840"/>
          <w:pgMar w:top="1120" w:bottom="280" w:left="1240" w:right="1320"/>
        </w:sectPr>
      </w:pPr>
    </w:p>
    <w:p>
      <w:pPr>
        <w:pStyle w:val="BodyText"/>
        <w:spacing w:line="259" w:lineRule="auto" w:before="98"/>
        <w:ind w:left="833" w:right="106"/>
        <w:jc w:val="both"/>
      </w:pPr>
      <w:r>
        <w:rPr>
          <w:w w:val="105"/>
        </w:rPr>
        <w:t>Report on Form 10-Q for the quarter ended September 30, 2002 (File No. 1-7259)); Supplemental Agreements Nos. 25, 26, 27, 28 and 29 to Purchase Agreement No. 1810, dated January 19, 1994 between The Boeing Company and Southwest (incorporated by reference to </w:t>
      </w:r>
      <w:r>
        <w:rPr>
          <w:w w:val="105"/>
          <w:u w:val="single"/>
        </w:rPr>
        <w:t>Exhibit 10.8 </w:t>
      </w:r>
      <w:r>
        <w:rPr>
          <w:w w:val="105"/>
        </w:rPr>
        <w:t>to Southwest’s Quarterly Report on Form 10-Q for the quarter ended June 30, 2003 (File No. 1- 7259)); Supplemental Agreements Nos. 30, 31, 32, and 33 to Purchase Agreement No. 1810, dated January 19, 1993 between The Boeing Company and Southwest.</w:t>
      </w:r>
    </w:p>
    <w:p>
      <w:pPr>
        <w:pStyle w:val="BodyText"/>
        <w:spacing w:before="7"/>
        <w:rPr>
          <w:sz w:val="33"/>
        </w:rPr>
      </w:pPr>
    </w:p>
    <w:p>
      <w:pPr>
        <w:pStyle w:val="BodyText"/>
        <w:spacing w:line="256" w:lineRule="auto"/>
        <w:ind w:left="833" w:right="108"/>
        <w:jc w:val="both"/>
      </w:pPr>
      <w:r>
        <w:rPr>
          <w:w w:val="105"/>
        </w:rPr>
        <w:t>Pursuant to 17 CFR 240.24b-2, confidential information has been omitted and has been filed separately with the Securities and Exchange Commission pursuant to a Confidential Treatment Application filed with the Commission.</w:t>
      </w:r>
    </w:p>
    <w:p>
      <w:pPr>
        <w:pStyle w:val="BodyText"/>
        <w:spacing w:before="10"/>
        <w:rPr>
          <w:sz w:val="33"/>
        </w:rPr>
      </w:pPr>
    </w:p>
    <w:p>
      <w:pPr>
        <w:pStyle w:val="BodyText"/>
        <w:spacing w:line="252" w:lineRule="auto"/>
        <w:ind w:left="833" w:right="108"/>
        <w:jc w:val="both"/>
      </w:pPr>
      <w:r>
        <w:rPr>
          <w:w w:val="105"/>
        </w:rPr>
        <w:t>The following exhibits filed under paragraph 10 of Item 601 are the Company's compensation plans and arrangements.</w:t>
      </w:r>
    </w:p>
    <w:p>
      <w:pPr>
        <w:pStyle w:val="BodyText"/>
        <w:spacing w:before="3"/>
        <w:rPr>
          <w:sz w:val="34"/>
        </w:rPr>
      </w:pPr>
    </w:p>
    <w:p>
      <w:pPr>
        <w:pStyle w:val="ListParagraph"/>
        <w:numPr>
          <w:ilvl w:val="1"/>
          <w:numId w:val="11"/>
        </w:numPr>
        <w:tabs>
          <w:tab w:pos="834" w:val="left" w:leader="none"/>
        </w:tabs>
        <w:spacing w:line="254" w:lineRule="auto" w:before="1" w:after="0"/>
        <w:ind w:left="833" w:right="104" w:hanging="720"/>
        <w:jc w:val="both"/>
        <w:rPr>
          <w:sz w:val="21"/>
        </w:rPr>
      </w:pPr>
      <w:r>
        <w:rPr>
          <w:spacing w:val="3"/>
          <w:w w:val="105"/>
          <w:sz w:val="21"/>
        </w:rPr>
        <w:t>Form </w:t>
      </w:r>
      <w:r>
        <w:rPr>
          <w:w w:val="105"/>
          <w:sz w:val="21"/>
        </w:rPr>
        <w:t>of </w:t>
      </w:r>
      <w:r>
        <w:rPr>
          <w:spacing w:val="3"/>
          <w:w w:val="105"/>
          <w:sz w:val="21"/>
        </w:rPr>
        <w:t>Executive Employment Agreement between Southwest </w:t>
      </w:r>
      <w:r>
        <w:rPr>
          <w:spacing w:val="2"/>
          <w:w w:val="105"/>
          <w:sz w:val="21"/>
        </w:rPr>
        <w:t>and </w:t>
      </w:r>
      <w:r>
        <w:rPr>
          <w:spacing w:val="3"/>
          <w:w w:val="105"/>
          <w:sz w:val="21"/>
        </w:rPr>
        <w:t>certain </w:t>
      </w:r>
      <w:r>
        <w:rPr>
          <w:spacing w:val="2"/>
          <w:w w:val="105"/>
          <w:sz w:val="21"/>
        </w:rPr>
        <w:t>key </w:t>
      </w:r>
      <w:r>
        <w:rPr>
          <w:spacing w:val="4"/>
          <w:w w:val="105"/>
          <w:sz w:val="21"/>
        </w:rPr>
        <w:t>employees </w:t>
      </w:r>
      <w:r>
        <w:rPr>
          <w:spacing w:val="3"/>
          <w:w w:val="105"/>
          <w:sz w:val="21"/>
        </w:rPr>
        <w:t>pursuant </w:t>
      </w:r>
      <w:r>
        <w:rPr>
          <w:w w:val="105"/>
          <w:sz w:val="21"/>
        </w:rPr>
        <w:t>to </w:t>
      </w:r>
      <w:r>
        <w:rPr>
          <w:spacing w:val="3"/>
          <w:w w:val="105"/>
          <w:sz w:val="21"/>
        </w:rPr>
        <w:t>Executive Service Recognition Plan (incorporated </w:t>
      </w:r>
      <w:r>
        <w:rPr>
          <w:w w:val="105"/>
          <w:sz w:val="21"/>
        </w:rPr>
        <w:t>by </w:t>
      </w:r>
      <w:r>
        <w:rPr>
          <w:spacing w:val="3"/>
          <w:w w:val="105"/>
          <w:sz w:val="21"/>
        </w:rPr>
        <w:t>reference </w:t>
      </w:r>
      <w:r>
        <w:rPr>
          <w:w w:val="105"/>
          <w:sz w:val="21"/>
        </w:rPr>
        <w:t>to </w:t>
      </w:r>
      <w:r>
        <w:rPr>
          <w:spacing w:val="3"/>
          <w:w w:val="105"/>
          <w:sz w:val="21"/>
          <w:u w:val="single"/>
        </w:rPr>
        <w:t>Exhibit </w:t>
      </w:r>
      <w:r>
        <w:rPr>
          <w:w w:val="105"/>
          <w:sz w:val="21"/>
          <w:u w:val="single"/>
        </w:rPr>
        <w:t>28 </w:t>
      </w:r>
      <w:r>
        <w:rPr>
          <w:spacing w:val="4"/>
          <w:w w:val="105"/>
          <w:sz w:val="21"/>
        </w:rPr>
        <w:t>to </w:t>
      </w:r>
      <w:r>
        <w:rPr>
          <w:w w:val="105"/>
          <w:sz w:val="21"/>
        </w:rPr>
        <w:t>Southwest</w:t>
      </w:r>
      <w:r>
        <w:rPr>
          <w:spacing w:val="-12"/>
          <w:w w:val="105"/>
          <w:sz w:val="21"/>
        </w:rPr>
        <w:t> </w:t>
      </w:r>
      <w:r>
        <w:rPr>
          <w:w w:val="105"/>
          <w:sz w:val="21"/>
        </w:rPr>
        <w:t>Quarterly</w:t>
      </w:r>
      <w:r>
        <w:rPr>
          <w:spacing w:val="-12"/>
          <w:w w:val="105"/>
          <w:sz w:val="21"/>
        </w:rPr>
        <w:t> </w:t>
      </w:r>
      <w:r>
        <w:rPr>
          <w:w w:val="105"/>
          <w:sz w:val="21"/>
        </w:rPr>
        <w:t>Report</w:t>
      </w:r>
      <w:r>
        <w:rPr>
          <w:spacing w:val="-13"/>
          <w:w w:val="105"/>
          <w:sz w:val="21"/>
        </w:rPr>
        <w:t> </w:t>
      </w:r>
      <w:r>
        <w:rPr>
          <w:w w:val="105"/>
          <w:sz w:val="21"/>
        </w:rPr>
        <w:t>on</w:t>
      </w:r>
      <w:r>
        <w:rPr>
          <w:spacing w:val="-13"/>
          <w:w w:val="105"/>
          <w:sz w:val="21"/>
        </w:rPr>
        <w:t> </w:t>
      </w:r>
      <w:r>
        <w:rPr>
          <w:w w:val="105"/>
          <w:sz w:val="21"/>
        </w:rPr>
        <w:t>Form</w:t>
      </w:r>
      <w:r>
        <w:rPr>
          <w:spacing w:val="-13"/>
          <w:w w:val="105"/>
          <w:sz w:val="21"/>
        </w:rPr>
        <w:t> </w:t>
      </w:r>
      <w:r>
        <w:rPr>
          <w:w w:val="105"/>
          <w:sz w:val="21"/>
        </w:rPr>
        <w:t>10-Q</w:t>
      </w:r>
      <w:r>
        <w:rPr>
          <w:spacing w:val="-13"/>
          <w:w w:val="105"/>
          <w:sz w:val="21"/>
        </w:rPr>
        <w:t> </w:t>
      </w:r>
      <w:r>
        <w:rPr>
          <w:w w:val="105"/>
          <w:sz w:val="21"/>
        </w:rPr>
        <w:t>for</w:t>
      </w:r>
      <w:r>
        <w:rPr>
          <w:spacing w:val="-13"/>
          <w:w w:val="105"/>
          <w:sz w:val="21"/>
        </w:rPr>
        <w:t> </w:t>
      </w:r>
      <w:r>
        <w:rPr>
          <w:w w:val="105"/>
          <w:sz w:val="21"/>
        </w:rPr>
        <w:t>the</w:t>
      </w:r>
      <w:r>
        <w:rPr>
          <w:spacing w:val="-13"/>
          <w:w w:val="105"/>
          <w:sz w:val="21"/>
        </w:rPr>
        <w:t> </w:t>
      </w:r>
      <w:r>
        <w:rPr>
          <w:w w:val="105"/>
          <w:sz w:val="21"/>
        </w:rPr>
        <w:t>quarter</w:t>
      </w:r>
      <w:r>
        <w:rPr>
          <w:spacing w:val="-13"/>
          <w:w w:val="105"/>
          <w:sz w:val="21"/>
        </w:rPr>
        <w:t> </w:t>
      </w:r>
      <w:r>
        <w:rPr>
          <w:w w:val="105"/>
          <w:sz w:val="21"/>
        </w:rPr>
        <w:t>ended</w:t>
      </w:r>
      <w:r>
        <w:rPr>
          <w:spacing w:val="-13"/>
          <w:w w:val="105"/>
          <w:sz w:val="21"/>
        </w:rPr>
        <w:t> </w:t>
      </w:r>
      <w:r>
        <w:rPr>
          <w:w w:val="105"/>
          <w:sz w:val="21"/>
        </w:rPr>
        <w:t>June</w:t>
      </w:r>
      <w:r>
        <w:rPr>
          <w:spacing w:val="-13"/>
          <w:w w:val="105"/>
          <w:sz w:val="21"/>
        </w:rPr>
        <w:t> </w:t>
      </w:r>
      <w:r>
        <w:rPr>
          <w:w w:val="105"/>
          <w:sz w:val="21"/>
        </w:rPr>
        <w:t>30,</w:t>
      </w:r>
      <w:r>
        <w:rPr>
          <w:spacing w:val="-13"/>
          <w:w w:val="105"/>
          <w:sz w:val="21"/>
        </w:rPr>
        <w:t> </w:t>
      </w:r>
      <w:r>
        <w:rPr>
          <w:w w:val="105"/>
          <w:sz w:val="21"/>
        </w:rPr>
        <w:t>1987</w:t>
      </w:r>
      <w:r>
        <w:rPr>
          <w:spacing w:val="-13"/>
          <w:w w:val="105"/>
          <w:sz w:val="21"/>
        </w:rPr>
        <w:t> </w:t>
      </w:r>
      <w:r>
        <w:rPr>
          <w:w w:val="105"/>
          <w:sz w:val="21"/>
        </w:rPr>
        <w:t>(File</w:t>
      </w:r>
      <w:r>
        <w:rPr>
          <w:spacing w:val="-13"/>
          <w:w w:val="105"/>
          <w:sz w:val="21"/>
        </w:rPr>
        <w:t> </w:t>
      </w:r>
      <w:r>
        <w:rPr>
          <w:w w:val="105"/>
          <w:sz w:val="21"/>
        </w:rPr>
        <w:t>No.</w:t>
      </w:r>
      <w:r>
        <w:rPr>
          <w:spacing w:val="-13"/>
          <w:w w:val="105"/>
          <w:sz w:val="21"/>
        </w:rPr>
        <w:t> </w:t>
      </w:r>
      <w:r>
        <w:rPr>
          <w:w w:val="105"/>
          <w:sz w:val="21"/>
        </w:rPr>
        <w:t>1-7259)).</w:t>
      </w:r>
    </w:p>
    <w:p>
      <w:pPr>
        <w:pStyle w:val="BodyText"/>
        <w:spacing w:before="1"/>
        <w:rPr>
          <w:sz w:val="34"/>
        </w:rPr>
      </w:pPr>
    </w:p>
    <w:p>
      <w:pPr>
        <w:pStyle w:val="ListParagraph"/>
        <w:numPr>
          <w:ilvl w:val="1"/>
          <w:numId w:val="11"/>
        </w:numPr>
        <w:tabs>
          <w:tab w:pos="834" w:val="left" w:leader="none"/>
        </w:tabs>
        <w:spacing w:line="256" w:lineRule="auto" w:before="0" w:after="0"/>
        <w:ind w:left="833" w:right="107" w:hanging="720"/>
        <w:jc w:val="both"/>
        <w:rPr>
          <w:sz w:val="21"/>
        </w:rPr>
      </w:pPr>
      <w:r>
        <w:rPr>
          <w:spacing w:val="3"/>
          <w:w w:val="105"/>
          <w:sz w:val="21"/>
        </w:rPr>
        <w:t>1996 stock option agreements between Southwest </w:t>
      </w:r>
      <w:r>
        <w:rPr>
          <w:spacing w:val="2"/>
          <w:w w:val="105"/>
          <w:sz w:val="21"/>
        </w:rPr>
        <w:t>and </w:t>
      </w:r>
      <w:r>
        <w:rPr>
          <w:spacing w:val="3"/>
          <w:w w:val="105"/>
          <w:sz w:val="21"/>
        </w:rPr>
        <w:t>Herbert </w:t>
      </w:r>
      <w:r>
        <w:rPr>
          <w:w w:val="105"/>
          <w:sz w:val="21"/>
        </w:rPr>
        <w:t>D. </w:t>
      </w:r>
      <w:r>
        <w:rPr>
          <w:spacing w:val="3"/>
          <w:w w:val="105"/>
          <w:sz w:val="21"/>
        </w:rPr>
        <w:t>Kelleher (incorporated </w:t>
      </w:r>
      <w:r>
        <w:rPr>
          <w:spacing w:val="4"/>
          <w:w w:val="105"/>
          <w:sz w:val="21"/>
        </w:rPr>
        <w:t>by </w:t>
      </w:r>
      <w:r>
        <w:rPr>
          <w:spacing w:val="3"/>
          <w:w w:val="105"/>
          <w:sz w:val="21"/>
        </w:rPr>
        <w:t>reference </w:t>
      </w:r>
      <w:r>
        <w:rPr>
          <w:w w:val="105"/>
          <w:sz w:val="21"/>
        </w:rPr>
        <w:t>to </w:t>
      </w:r>
      <w:r>
        <w:rPr>
          <w:spacing w:val="3"/>
          <w:w w:val="105"/>
          <w:sz w:val="21"/>
          <w:u w:val="single"/>
        </w:rPr>
        <w:t>Exhibit 10.8 </w:t>
      </w:r>
      <w:r>
        <w:rPr>
          <w:w w:val="105"/>
          <w:sz w:val="21"/>
        </w:rPr>
        <w:t>to </w:t>
      </w:r>
      <w:r>
        <w:rPr>
          <w:spacing w:val="3"/>
          <w:w w:val="105"/>
          <w:sz w:val="21"/>
        </w:rPr>
        <w:t>Southwest’s Annual Report </w:t>
      </w:r>
      <w:r>
        <w:rPr>
          <w:w w:val="105"/>
          <w:sz w:val="21"/>
        </w:rPr>
        <w:t>on </w:t>
      </w:r>
      <w:r>
        <w:rPr>
          <w:spacing w:val="3"/>
          <w:w w:val="105"/>
          <w:sz w:val="21"/>
        </w:rPr>
        <w:t>Form 10-K </w:t>
      </w:r>
      <w:r>
        <w:rPr>
          <w:spacing w:val="2"/>
          <w:w w:val="105"/>
          <w:sz w:val="21"/>
        </w:rPr>
        <w:t>for the </w:t>
      </w:r>
      <w:r>
        <w:rPr>
          <w:spacing w:val="3"/>
          <w:w w:val="105"/>
          <w:sz w:val="21"/>
        </w:rPr>
        <w:t>year </w:t>
      </w:r>
      <w:r>
        <w:rPr>
          <w:spacing w:val="4"/>
          <w:w w:val="105"/>
          <w:sz w:val="21"/>
        </w:rPr>
        <w:t>ended </w:t>
      </w:r>
      <w:r>
        <w:rPr>
          <w:w w:val="105"/>
          <w:sz w:val="21"/>
        </w:rPr>
        <w:t>December 31, 1996 (File No.</w:t>
      </w:r>
      <w:r>
        <w:rPr>
          <w:spacing w:val="-18"/>
          <w:w w:val="105"/>
          <w:sz w:val="21"/>
        </w:rPr>
        <w:t> </w:t>
      </w:r>
      <w:r>
        <w:rPr>
          <w:w w:val="105"/>
          <w:sz w:val="21"/>
        </w:rPr>
        <w:t>1-7259)).</w:t>
      </w:r>
    </w:p>
    <w:p>
      <w:pPr>
        <w:pStyle w:val="BodyText"/>
        <w:spacing w:before="10"/>
        <w:rPr>
          <w:sz w:val="33"/>
        </w:rPr>
      </w:pPr>
    </w:p>
    <w:p>
      <w:pPr>
        <w:pStyle w:val="ListParagraph"/>
        <w:numPr>
          <w:ilvl w:val="1"/>
          <w:numId w:val="11"/>
        </w:numPr>
        <w:tabs>
          <w:tab w:pos="834" w:val="left" w:leader="none"/>
        </w:tabs>
        <w:spacing w:line="254" w:lineRule="auto" w:before="0" w:after="0"/>
        <w:ind w:left="833" w:right="107" w:hanging="720"/>
        <w:jc w:val="both"/>
        <w:rPr>
          <w:sz w:val="21"/>
        </w:rPr>
      </w:pPr>
      <w:r>
        <w:rPr>
          <w:spacing w:val="3"/>
          <w:w w:val="105"/>
          <w:sz w:val="21"/>
        </w:rPr>
        <w:t>2001 stock option agreements between Southwest </w:t>
      </w:r>
      <w:r>
        <w:rPr>
          <w:spacing w:val="2"/>
          <w:w w:val="105"/>
          <w:sz w:val="21"/>
        </w:rPr>
        <w:t>and </w:t>
      </w:r>
      <w:r>
        <w:rPr>
          <w:spacing w:val="3"/>
          <w:w w:val="105"/>
          <w:sz w:val="21"/>
        </w:rPr>
        <w:t>Herbert </w:t>
      </w:r>
      <w:r>
        <w:rPr>
          <w:w w:val="105"/>
          <w:sz w:val="21"/>
        </w:rPr>
        <w:t>D. </w:t>
      </w:r>
      <w:r>
        <w:rPr>
          <w:spacing w:val="3"/>
          <w:w w:val="105"/>
          <w:sz w:val="21"/>
        </w:rPr>
        <w:t>Kelleher (incorporated </w:t>
      </w:r>
      <w:r>
        <w:rPr>
          <w:spacing w:val="4"/>
          <w:w w:val="105"/>
          <w:sz w:val="21"/>
        </w:rPr>
        <w:t>by </w:t>
      </w:r>
      <w:r>
        <w:rPr>
          <w:w w:val="105"/>
          <w:sz w:val="21"/>
        </w:rPr>
        <w:t>reference to </w:t>
      </w:r>
      <w:r>
        <w:rPr>
          <w:spacing w:val="2"/>
          <w:w w:val="105"/>
          <w:sz w:val="21"/>
          <w:u w:val="single"/>
        </w:rPr>
        <w:t>Exhibit </w:t>
      </w:r>
      <w:r>
        <w:rPr>
          <w:w w:val="105"/>
          <w:sz w:val="21"/>
          <w:u w:val="single"/>
        </w:rPr>
        <w:t>10 </w:t>
      </w:r>
      <w:r>
        <w:rPr>
          <w:w w:val="105"/>
          <w:sz w:val="21"/>
        </w:rPr>
        <w:t>to Southwest’s Quarterly Report on Form 10-Q for the quarter ended March</w:t>
      </w:r>
      <w:r>
        <w:rPr>
          <w:spacing w:val="-14"/>
          <w:w w:val="105"/>
          <w:sz w:val="21"/>
        </w:rPr>
        <w:t> </w:t>
      </w:r>
      <w:r>
        <w:rPr>
          <w:w w:val="105"/>
          <w:sz w:val="21"/>
        </w:rPr>
        <w:t>31,</w:t>
      </w:r>
      <w:r>
        <w:rPr>
          <w:spacing w:val="-14"/>
          <w:w w:val="105"/>
          <w:sz w:val="21"/>
        </w:rPr>
        <w:t> </w:t>
      </w:r>
      <w:r>
        <w:rPr>
          <w:w w:val="105"/>
          <w:sz w:val="21"/>
        </w:rPr>
        <w:t>2001</w:t>
      </w:r>
      <w:r>
        <w:rPr>
          <w:spacing w:val="-14"/>
          <w:w w:val="105"/>
          <w:sz w:val="21"/>
        </w:rPr>
        <w:t> </w:t>
      </w:r>
      <w:r>
        <w:rPr>
          <w:w w:val="105"/>
          <w:sz w:val="21"/>
        </w:rPr>
        <w:t>(File</w:t>
      </w:r>
      <w:r>
        <w:rPr>
          <w:spacing w:val="-14"/>
          <w:w w:val="105"/>
          <w:sz w:val="21"/>
        </w:rPr>
        <w:t> </w:t>
      </w:r>
      <w:r>
        <w:rPr>
          <w:w w:val="105"/>
          <w:sz w:val="21"/>
        </w:rPr>
        <w:t>No.</w:t>
      </w:r>
      <w:r>
        <w:rPr>
          <w:spacing w:val="-14"/>
          <w:w w:val="105"/>
          <w:sz w:val="21"/>
        </w:rPr>
        <w:t> </w:t>
      </w:r>
      <w:r>
        <w:rPr>
          <w:w w:val="105"/>
          <w:sz w:val="21"/>
        </w:rPr>
        <w:t>1-7259)).</w:t>
      </w:r>
    </w:p>
    <w:p>
      <w:pPr>
        <w:pStyle w:val="BodyText"/>
        <w:spacing w:before="1"/>
        <w:rPr>
          <w:sz w:val="34"/>
        </w:rPr>
      </w:pPr>
    </w:p>
    <w:p>
      <w:pPr>
        <w:pStyle w:val="ListParagraph"/>
        <w:numPr>
          <w:ilvl w:val="1"/>
          <w:numId w:val="11"/>
        </w:numPr>
        <w:tabs>
          <w:tab w:pos="834" w:val="left" w:leader="none"/>
        </w:tabs>
        <w:spacing w:line="256" w:lineRule="auto" w:before="0" w:after="0"/>
        <w:ind w:left="833" w:right="110" w:hanging="720"/>
        <w:jc w:val="both"/>
        <w:rPr>
          <w:sz w:val="21"/>
        </w:rPr>
      </w:pPr>
      <w:r>
        <w:rPr>
          <w:spacing w:val="2"/>
          <w:w w:val="105"/>
          <w:sz w:val="21"/>
        </w:rPr>
        <w:t>1991 Incentive Stock Option Plan (incorporated </w:t>
      </w:r>
      <w:r>
        <w:rPr>
          <w:w w:val="105"/>
          <w:sz w:val="21"/>
        </w:rPr>
        <w:t>by </w:t>
      </w:r>
      <w:r>
        <w:rPr>
          <w:spacing w:val="2"/>
          <w:w w:val="105"/>
          <w:sz w:val="21"/>
        </w:rPr>
        <w:t>reference </w:t>
      </w:r>
      <w:r>
        <w:rPr>
          <w:w w:val="105"/>
          <w:sz w:val="21"/>
        </w:rPr>
        <w:t>to </w:t>
      </w:r>
      <w:r>
        <w:rPr>
          <w:spacing w:val="2"/>
          <w:w w:val="105"/>
          <w:sz w:val="21"/>
          <w:u w:val="single"/>
        </w:rPr>
        <w:t>Exhibit 10.6 </w:t>
      </w:r>
      <w:r>
        <w:rPr>
          <w:w w:val="105"/>
          <w:sz w:val="21"/>
        </w:rPr>
        <w:t>to </w:t>
      </w:r>
      <w:r>
        <w:rPr>
          <w:spacing w:val="3"/>
          <w:w w:val="105"/>
          <w:sz w:val="21"/>
        </w:rPr>
        <w:t>Southwest’s </w:t>
      </w:r>
      <w:r>
        <w:rPr>
          <w:w w:val="105"/>
          <w:sz w:val="21"/>
        </w:rPr>
        <w:t>Annual</w:t>
      </w:r>
      <w:r>
        <w:rPr>
          <w:spacing w:val="-12"/>
          <w:w w:val="105"/>
          <w:sz w:val="21"/>
        </w:rPr>
        <w:t> </w:t>
      </w:r>
      <w:r>
        <w:rPr>
          <w:w w:val="105"/>
          <w:sz w:val="21"/>
        </w:rPr>
        <w:t>Report</w:t>
      </w:r>
      <w:r>
        <w:rPr>
          <w:spacing w:val="-12"/>
          <w:w w:val="105"/>
          <w:sz w:val="21"/>
        </w:rPr>
        <w:t> </w:t>
      </w:r>
      <w:r>
        <w:rPr>
          <w:w w:val="105"/>
          <w:sz w:val="21"/>
        </w:rPr>
        <w:t>on</w:t>
      </w:r>
      <w:r>
        <w:rPr>
          <w:spacing w:val="-12"/>
          <w:w w:val="105"/>
          <w:sz w:val="21"/>
        </w:rPr>
        <w:t> </w:t>
      </w:r>
      <w:r>
        <w:rPr>
          <w:w w:val="105"/>
          <w:sz w:val="21"/>
        </w:rPr>
        <w:t>Form</w:t>
      </w:r>
      <w:r>
        <w:rPr>
          <w:spacing w:val="-12"/>
          <w:w w:val="105"/>
          <w:sz w:val="21"/>
        </w:rPr>
        <w:t> </w:t>
      </w:r>
      <w:r>
        <w:rPr>
          <w:w w:val="105"/>
          <w:sz w:val="21"/>
        </w:rPr>
        <w:t>10-K</w:t>
      </w:r>
      <w:r>
        <w:rPr>
          <w:spacing w:val="-12"/>
          <w:w w:val="105"/>
          <w:sz w:val="21"/>
        </w:rPr>
        <w:t> </w:t>
      </w:r>
      <w:r>
        <w:rPr>
          <w:w w:val="105"/>
          <w:sz w:val="21"/>
        </w:rPr>
        <w:t>for</w:t>
      </w:r>
      <w:r>
        <w:rPr>
          <w:spacing w:val="-12"/>
          <w:w w:val="105"/>
          <w:sz w:val="21"/>
        </w:rPr>
        <w:t> </w:t>
      </w:r>
      <w:r>
        <w:rPr>
          <w:w w:val="105"/>
          <w:sz w:val="21"/>
        </w:rPr>
        <w:t>the</w:t>
      </w:r>
      <w:r>
        <w:rPr>
          <w:spacing w:val="-12"/>
          <w:w w:val="105"/>
          <w:sz w:val="21"/>
        </w:rPr>
        <w:t> </w:t>
      </w:r>
      <w:r>
        <w:rPr>
          <w:w w:val="105"/>
          <w:sz w:val="21"/>
        </w:rPr>
        <w:t>year</w:t>
      </w:r>
      <w:r>
        <w:rPr>
          <w:spacing w:val="-12"/>
          <w:w w:val="105"/>
          <w:sz w:val="21"/>
        </w:rPr>
        <w:t> </w:t>
      </w:r>
      <w:r>
        <w:rPr>
          <w:w w:val="105"/>
          <w:sz w:val="21"/>
        </w:rPr>
        <w:t>ended</w:t>
      </w:r>
      <w:r>
        <w:rPr>
          <w:spacing w:val="-12"/>
          <w:w w:val="105"/>
          <w:sz w:val="21"/>
        </w:rPr>
        <w:t> </w:t>
      </w:r>
      <w:r>
        <w:rPr>
          <w:w w:val="105"/>
          <w:sz w:val="21"/>
        </w:rPr>
        <w:t>December</w:t>
      </w:r>
      <w:r>
        <w:rPr>
          <w:spacing w:val="-12"/>
          <w:w w:val="105"/>
          <w:sz w:val="21"/>
        </w:rPr>
        <w:t> </w:t>
      </w:r>
      <w:r>
        <w:rPr>
          <w:w w:val="105"/>
          <w:sz w:val="21"/>
        </w:rPr>
        <w:t>31,</w:t>
      </w:r>
      <w:r>
        <w:rPr>
          <w:spacing w:val="-12"/>
          <w:w w:val="105"/>
          <w:sz w:val="21"/>
        </w:rPr>
        <w:t> </w:t>
      </w:r>
      <w:r>
        <w:rPr>
          <w:w w:val="105"/>
          <w:sz w:val="21"/>
        </w:rPr>
        <w:t>2002</w:t>
      </w:r>
      <w:r>
        <w:rPr>
          <w:spacing w:val="-12"/>
          <w:w w:val="105"/>
          <w:sz w:val="21"/>
        </w:rPr>
        <w:t> </w:t>
      </w:r>
      <w:r>
        <w:rPr>
          <w:w w:val="105"/>
          <w:sz w:val="21"/>
        </w:rPr>
        <w:t>(File</w:t>
      </w:r>
      <w:r>
        <w:rPr>
          <w:spacing w:val="-12"/>
          <w:w w:val="105"/>
          <w:sz w:val="21"/>
        </w:rPr>
        <w:t> </w:t>
      </w:r>
      <w:r>
        <w:rPr>
          <w:w w:val="105"/>
          <w:sz w:val="21"/>
        </w:rPr>
        <w:t>No.</w:t>
      </w:r>
      <w:r>
        <w:rPr>
          <w:spacing w:val="-12"/>
          <w:w w:val="105"/>
          <w:sz w:val="21"/>
        </w:rPr>
        <w:t> </w:t>
      </w:r>
      <w:r>
        <w:rPr>
          <w:w w:val="105"/>
          <w:sz w:val="21"/>
        </w:rPr>
        <w:t>1-7259)).</w:t>
      </w:r>
    </w:p>
    <w:p>
      <w:pPr>
        <w:pStyle w:val="BodyText"/>
        <w:spacing w:before="5"/>
        <w:rPr>
          <w:sz w:val="33"/>
        </w:rPr>
      </w:pPr>
    </w:p>
    <w:p>
      <w:pPr>
        <w:pStyle w:val="ListParagraph"/>
        <w:numPr>
          <w:ilvl w:val="1"/>
          <w:numId w:val="11"/>
        </w:numPr>
        <w:tabs>
          <w:tab w:pos="837" w:val="left" w:leader="none"/>
        </w:tabs>
        <w:spacing w:line="256" w:lineRule="auto" w:before="0" w:after="0"/>
        <w:ind w:left="833" w:right="114" w:hanging="720"/>
        <w:jc w:val="both"/>
        <w:rPr>
          <w:sz w:val="21"/>
        </w:rPr>
      </w:pPr>
      <w:r>
        <w:rPr>
          <w:w w:val="105"/>
          <w:sz w:val="21"/>
        </w:rPr>
        <w:t>1991 Non-Qualified Stock Option Plan (incorporated by reference to </w:t>
      </w:r>
      <w:r>
        <w:rPr>
          <w:w w:val="105"/>
          <w:sz w:val="21"/>
          <w:u w:val="single"/>
        </w:rPr>
        <w:t>Exhibit 10.7 </w:t>
      </w:r>
      <w:r>
        <w:rPr>
          <w:w w:val="105"/>
          <w:sz w:val="21"/>
        </w:rPr>
        <w:t>to Southwest’s Annual</w:t>
      </w:r>
      <w:r>
        <w:rPr>
          <w:spacing w:val="-12"/>
          <w:w w:val="105"/>
          <w:sz w:val="21"/>
        </w:rPr>
        <w:t> </w:t>
      </w:r>
      <w:r>
        <w:rPr>
          <w:w w:val="105"/>
          <w:sz w:val="21"/>
        </w:rPr>
        <w:t>Report</w:t>
      </w:r>
      <w:r>
        <w:rPr>
          <w:spacing w:val="-12"/>
          <w:w w:val="105"/>
          <w:sz w:val="21"/>
        </w:rPr>
        <w:t> </w:t>
      </w:r>
      <w:r>
        <w:rPr>
          <w:w w:val="105"/>
          <w:sz w:val="21"/>
        </w:rPr>
        <w:t>on</w:t>
      </w:r>
      <w:r>
        <w:rPr>
          <w:spacing w:val="-12"/>
          <w:w w:val="105"/>
          <w:sz w:val="21"/>
        </w:rPr>
        <w:t> </w:t>
      </w:r>
      <w:r>
        <w:rPr>
          <w:w w:val="105"/>
          <w:sz w:val="21"/>
        </w:rPr>
        <w:t>Form</w:t>
      </w:r>
      <w:r>
        <w:rPr>
          <w:spacing w:val="-12"/>
          <w:w w:val="105"/>
          <w:sz w:val="21"/>
        </w:rPr>
        <w:t> </w:t>
      </w:r>
      <w:r>
        <w:rPr>
          <w:w w:val="105"/>
          <w:sz w:val="21"/>
        </w:rPr>
        <w:t>10-K</w:t>
      </w:r>
      <w:r>
        <w:rPr>
          <w:spacing w:val="-12"/>
          <w:w w:val="105"/>
          <w:sz w:val="21"/>
        </w:rPr>
        <w:t> </w:t>
      </w:r>
      <w:r>
        <w:rPr>
          <w:w w:val="105"/>
          <w:sz w:val="21"/>
        </w:rPr>
        <w:t>for</w:t>
      </w:r>
      <w:r>
        <w:rPr>
          <w:spacing w:val="-12"/>
          <w:w w:val="105"/>
          <w:sz w:val="21"/>
        </w:rPr>
        <w:t> </w:t>
      </w:r>
      <w:r>
        <w:rPr>
          <w:w w:val="105"/>
          <w:sz w:val="21"/>
        </w:rPr>
        <w:t>the</w:t>
      </w:r>
      <w:r>
        <w:rPr>
          <w:spacing w:val="-12"/>
          <w:w w:val="105"/>
          <w:sz w:val="21"/>
        </w:rPr>
        <w:t> </w:t>
      </w:r>
      <w:r>
        <w:rPr>
          <w:w w:val="105"/>
          <w:sz w:val="21"/>
        </w:rPr>
        <w:t>year</w:t>
      </w:r>
      <w:r>
        <w:rPr>
          <w:spacing w:val="-12"/>
          <w:w w:val="105"/>
          <w:sz w:val="21"/>
        </w:rPr>
        <w:t> </w:t>
      </w:r>
      <w:r>
        <w:rPr>
          <w:w w:val="105"/>
          <w:sz w:val="21"/>
        </w:rPr>
        <w:t>ended</w:t>
      </w:r>
      <w:r>
        <w:rPr>
          <w:spacing w:val="-12"/>
          <w:w w:val="105"/>
          <w:sz w:val="21"/>
        </w:rPr>
        <w:t> </w:t>
      </w:r>
      <w:r>
        <w:rPr>
          <w:w w:val="105"/>
          <w:sz w:val="21"/>
        </w:rPr>
        <w:t>December</w:t>
      </w:r>
      <w:r>
        <w:rPr>
          <w:spacing w:val="-12"/>
          <w:w w:val="105"/>
          <w:sz w:val="21"/>
        </w:rPr>
        <w:t> </w:t>
      </w:r>
      <w:r>
        <w:rPr>
          <w:w w:val="105"/>
          <w:sz w:val="21"/>
        </w:rPr>
        <w:t>31,</w:t>
      </w:r>
      <w:r>
        <w:rPr>
          <w:spacing w:val="-12"/>
          <w:w w:val="105"/>
          <w:sz w:val="21"/>
        </w:rPr>
        <w:t> </w:t>
      </w:r>
      <w:r>
        <w:rPr>
          <w:w w:val="105"/>
          <w:sz w:val="21"/>
        </w:rPr>
        <w:t>2002</w:t>
      </w:r>
      <w:r>
        <w:rPr>
          <w:spacing w:val="-12"/>
          <w:w w:val="105"/>
          <w:sz w:val="21"/>
        </w:rPr>
        <w:t> </w:t>
      </w:r>
      <w:r>
        <w:rPr>
          <w:w w:val="105"/>
          <w:sz w:val="21"/>
        </w:rPr>
        <w:t>(File</w:t>
      </w:r>
      <w:r>
        <w:rPr>
          <w:spacing w:val="-12"/>
          <w:w w:val="105"/>
          <w:sz w:val="21"/>
        </w:rPr>
        <w:t> </w:t>
      </w:r>
      <w:r>
        <w:rPr>
          <w:w w:val="105"/>
          <w:sz w:val="21"/>
        </w:rPr>
        <w:t>No.</w:t>
      </w:r>
      <w:r>
        <w:rPr>
          <w:spacing w:val="-12"/>
          <w:w w:val="105"/>
          <w:sz w:val="21"/>
        </w:rPr>
        <w:t> </w:t>
      </w:r>
      <w:r>
        <w:rPr>
          <w:w w:val="105"/>
          <w:sz w:val="21"/>
        </w:rPr>
        <w:t>1-7259)).</w:t>
      </w:r>
    </w:p>
    <w:p>
      <w:pPr>
        <w:pStyle w:val="BodyText"/>
        <w:spacing w:before="5"/>
        <w:rPr>
          <w:sz w:val="33"/>
        </w:rPr>
      </w:pPr>
    </w:p>
    <w:p>
      <w:pPr>
        <w:pStyle w:val="ListParagraph"/>
        <w:numPr>
          <w:ilvl w:val="1"/>
          <w:numId w:val="11"/>
        </w:numPr>
        <w:tabs>
          <w:tab w:pos="837" w:val="left" w:leader="none"/>
        </w:tabs>
        <w:spacing w:line="256" w:lineRule="auto" w:before="0" w:after="0"/>
        <w:ind w:left="833" w:right="112" w:hanging="720"/>
        <w:jc w:val="both"/>
        <w:rPr>
          <w:sz w:val="21"/>
        </w:rPr>
      </w:pPr>
      <w:r>
        <w:rPr>
          <w:w w:val="105"/>
          <w:sz w:val="21"/>
        </w:rPr>
        <w:t>1991 Employee Stock Purchase Plan as amended September 21, 2000 (incorporated by reference to</w:t>
      </w:r>
      <w:r>
        <w:rPr>
          <w:spacing w:val="-14"/>
          <w:w w:val="105"/>
          <w:sz w:val="21"/>
        </w:rPr>
        <w:t> </w:t>
      </w:r>
      <w:r>
        <w:rPr>
          <w:w w:val="105"/>
          <w:sz w:val="21"/>
          <w:u w:val="single"/>
        </w:rPr>
        <w:t>Exhibit</w:t>
      </w:r>
      <w:r>
        <w:rPr>
          <w:spacing w:val="-14"/>
          <w:w w:val="105"/>
          <w:sz w:val="21"/>
          <w:u w:val="single"/>
        </w:rPr>
        <w:t> </w:t>
      </w:r>
      <w:r>
        <w:rPr>
          <w:w w:val="105"/>
          <w:sz w:val="21"/>
          <w:u w:val="single"/>
        </w:rPr>
        <w:t>4</w:t>
      </w:r>
      <w:r>
        <w:rPr>
          <w:spacing w:val="-17"/>
          <w:w w:val="105"/>
          <w:sz w:val="21"/>
          <w:u w:val="single"/>
        </w:rPr>
        <w:t> </w:t>
      </w:r>
      <w:r>
        <w:rPr>
          <w:w w:val="105"/>
          <w:sz w:val="21"/>
        </w:rPr>
        <w:t>to</w:t>
      </w:r>
      <w:r>
        <w:rPr>
          <w:spacing w:val="-14"/>
          <w:w w:val="105"/>
          <w:sz w:val="21"/>
        </w:rPr>
        <w:t> </w:t>
      </w:r>
      <w:r>
        <w:rPr>
          <w:w w:val="105"/>
          <w:sz w:val="21"/>
        </w:rPr>
        <w:t>Amendment</w:t>
      </w:r>
      <w:r>
        <w:rPr>
          <w:spacing w:val="-13"/>
          <w:w w:val="105"/>
          <w:sz w:val="21"/>
        </w:rPr>
        <w:t> </w:t>
      </w:r>
      <w:r>
        <w:rPr>
          <w:w w:val="105"/>
          <w:sz w:val="21"/>
        </w:rPr>
        <w:t>No.</w:t>
      </w:r>
      <w:r>
        <w:rPr>
          <w:spacing w:val="-14"/>
          <w:w w:val="105"/>
          <w:sz w:val="21"/>
        </w:rPr>
        <w:t> </w:t>
      </w:r>
      <w:r>
        <w:rPr>
          <w:w w:val="105"/>
          <w:sz w:val="21"/>
        </w:rPr>
        <w:t>1</w:t>
      </w:r>
      <w:r>
        <w:rPr>
          <w:spacing w:val="-14"/>
          <w:w w:val="105"/>
          <w:sz w:val="21"/>
        </w:rPr>
        <w:t> </w:t>
      </w:r>
      <w:r>
        <w:rPr>
          <w:w w:val="105"/>
          <w:sz w:val="21"/>
        </w:rPr>
        <w:t>to</w:t>
      </w:r>
      <w:r>
        <w:rPr>
          <w:spacing w:val="-14"/>
          <w:w w:val="105"/>
          <w:sz w:val="21"/>
        </w:rPr>
        <w:t> </w:t>
      </w:r>
      <w:r>
        <w:rPr>
          <w:w w:val="105"/>
          <w:sz w:val="21"/>
        </w:rPr>
        <w:t>Registration</w:t>
      </w:r>
      <w:r>
        <w:rPr>
          <w:spacing w:val="-14"/>
          <w:w w:val="105"/>
          <w:sz w:val="21"/>
        </w:rPr>
        <w:t> </w:t>
      </w:r>
      <w:r>
        <w:rPr>
          <w:w w:val="105"/>
          <w:sz w:val="21"/>
        </w:rPr>
        <w:t>Statement</w:t>
      </w:r>
      <w:r>
        <w:rPr>
          <w:spacing w:val="-13"/>
          <w:w w:val="105"/>
          <w:sz w:val="21"/>
        </w:rPr>
        <w:t> </w:t>
      </w:r>
      <w:r>
        <w:rPr>
          <w:w w:val="105"/>
          <w:sz w:val="21"/>
        </w:rPr>
        <w:t>on</w:t>
      </w:r>
      <w:r>
        <w:rPr>
          <w:spacing w:val="-14"/>
          <w:w w:val="105"/>
          <w:sz w:val="21"/>
        </w:rPr>
        <w:t> </w:t>
      </w:r>
      <w:r>
        <w:rPr>
          <w:w w:val="105"/>
          <w:sz w:val="21"/>
        </w:rPr>
        <w:t>Form</w:t>
      </w:r>
      <w:r>
        <w:rPr>
          <w:spacing w:val="-14"/>
          <w:w w:val="105"/>
          <w:sz w:val="21"/>
        </w:rPr>
        <w:t> </w:t>
      </w:r>
      <w:r>
        <w:rPr>
          <w:w w:val="105"/>
          <w:sz w:val="21"/>
        </w:rPr>
        <w:t>S-8</w:t>
      </w:r>
      <w:r>
        <w:rPr>
          <w:spacing w:val="-14"/>
          <w:w w:val="105"/>
          <w:sz w:val="21"/>
        </w:rPr>
        <w:t> </w:t>
      </w:r>
      <w:r>
        <w:rPr>
          <w:w w:val="105"/>
          <w:sz w:val="21"/>
        </w:rPr>
        <w:t>(file</w:t>
      </w:r>
      <w:r>
        <w:rPr>
          <w:spacing w:val="-14"/>
          <w:w w:val="105"/>
          <w:sz w:val="21"/>
        </w:rPr>
        <w:t> </w:t>
      </w:r>
      <w:r>
        <w:rPr>
          <w:w w:val="105"/>
          <w:sz w:val="21"/>
        </w:rPr>
        <w:t>No.</w:t>
      </w:r>
      <w:r>
        <w:rPr>
          <w:spacing w:val="-14"/>
          <w:w w:val="105"/>
          <w:sz w:val="21"/>
        </w:rPr>
        <w:t> </w:t>
      </w:r>
      <w:r>
        <w:rPr>
          <w:w w:val="105"/>
          <w:sz w:val="21"/>
        </w:rPr>
        <w:t>33-40653)).</w:t>
      </w:r>
    </w:p>
    <w:p>
      <w:pPr>
        <w:pStyle w:val="BodyText"/>
        <w:rPr>
          <w:sz w:val="24"/>
        </w:rPr>
      </w:pPr>
    </w:p>
    <w:p>
      <w:pPr>
        <w:pStyle w:val="ListParagraph"/>
        <w:numPr>
          <w:ilvl w:val="1"/>
          <w:numId w:val="11"/>
        </w:numPr>
        <w:tabs>
          <w:tab w:pos="834" w:val="left" w:leader="none"/>
        </w:tabs>
        <w:spacing w:line="259" w:lineRule="auto" w:before="113" w:after="0"/>
        <w:ind w:left="833" w:right="105" w:hanging="720"/>
        <w:jc w:val="both"/>
        <w:rPr>
          <w:sz w:val="21"/>
        </w:rPr>
      </w:pPr>
      <w:r>
        <w:rPr>
          <w:spacing w:val="4"/>
          <w:w w:val="105"/>
          <w:sz w:val="21"/>
        </w:rPr>
        <w:t>Southwest Airlines </w:t>
      </w:r>
      <w:r>
        <w:rPr>
          <w:spacing w:val="3"/>
          <w:w w:val="105"/>
          <w:sz w:val="21"/>
        </w:rPr>
        <w:t>Co. </w:t>
      </w:r>
      <w:r>
        <w:rPr>
          <w:spacing w:val="4"/>
          <w:w w:val="105"/>
          <w:sz w:val="21"/>
        </w:rPr>
        <w:t>Profit Sharing </w:t>
      </w:r>
      <w:r>
        <w:rPr>
          <w:spacing w:val="3"/>
          <w:w w:val="105"/>
          <w:sz w:val="21"/>
        </w:rPr>
        <w:t>Plan </w:t>
      </w:r>
      <w:r>
        <w:rPr>
          <w:spacing w:val="4"/>
          <w:w w:val="105"/>
          <w:sz w:val="21"/>
        </w:rPr>
        <w:t>(incorporated </w:t>
      </w:r>
      <w:r>
        <w:rPr>
          <w:w w:val="105"/>
          <w:sz w:val="21"/>
        </w:rPr>
        <w:t>by </w:t>
      </w:r>
      <w:r>
        <w:rPr>
          <w:spacing w:val="3"/>
          <w:w w:val="105"/>
          <w:sz w:val="21"/>
        </w:rPr>
        <w:t>reference </w:t>
      </w:r>
      <w:r>
        <w:rPr>
          <w:spacing w:val="2"/>
          <w:w w:val="105"/>
          <w:sz w:val="21"/>
        </w:rPr>
        <w:t>to </w:t>
      </w:r>
      <w:r>
        <w:rPr>
          <w:spacing w:val="4"/>
          <w:w w:val="105"/>
          <w:sz w:val="21"/>
          <w:u w:val="single"/>
        </w:rPr>
        <w:t>Exhibit </w:t>
      </w:r>
      <w:r>
        <w:rPr>
          <w:spacing w:val="3"/>
          <w:w w:val="105"/>
          <w:sz w:val="21"/>
          <w:u w:val="single"/>
        </w:rPr>
        <w:t>10.8 </w:t>
      </w:r>
      <w:r>
        <w:rPr>
          <w:spacing w:val="3"/>
          <w:w w:val="105"/>
          <w:sz w:val="21"/>
        </w:rPr>
        <w:t>to </w:t>
      </w:r>
      <w:r>
        <w:rPr>
          <w:w w:val="105"/>
          <w:sz w:val="21"/>
        </w:rPr>
        <w:t>Southwest’s Annual Report on Form 10-K for the year ended December 31, 2000 (File No. 1- 729)); Amendment No. 1 to Southwest Airlines Co. Profit Sharing Plan (incorporated by reference to </w:t>
      </w:r>
      <w:r>
        <w:rPr>
          <w:w w:val="105"/>
          <w:sz w:val="21"/>
          <w:u w:val="single"/>
        </w:rPr>
        <w:t>Exhibit 10.11 </w:t>
      </w:r>
      <w:r>
        <w:rPr>
          <w:w w:val="105"/>
          <w:sz w:val="21"/>
        </w:rPr>
        <w:t>to Southwest’s Annual Report on Form 10-K for the year ended December </w:t>
      </w:r>
      <w:r>
        <w:rPr>
          <w:spacing w:val="2"/>
          <w:w w:val="105"/>
          <w:sz w:val="21"/>
        </w:rPr>
        <w:t>31, </w:t>
      </w:r>
      <w:r>
        <w:rPr>
          <w:spacing w:val="3"/>
          <w:w w:val="105"/>
          <w:sz w:val="21"/>
        </w:rPr>
        <w:t>2001 (File </w:t>
      </w:r>
      <w:r>
        <w:rPr>
          <w:spacing w:val="2"/>
          <w:w w:val="105"/>
          <w:sz w:val="21"/>
        </w:rPr>
        <w:t>No. </w:t>
      </w:r>
      <w:r>
        <w:rPr>
          <w:spacing w:val="3"/>
          <w:w w:val="105"/>
          <w:sz w:val="21"/>
        </w:rPr>
        <w:t>1-7259)); Amendment </w:t>
      </w:r>
      <w:r>
        <w:rPr>
          <w:spacing w:val="2"/>
          <w:w w:val="105"/>
          <w:sz w:val="21"/>
        </w:rPr>
        <w:t>No. </w:t>
      </w:r>
      <w:r>
        <w:rPr>
          <w:w w:val="105"/>
          <w:sz w:val="21"/>
        </w:rPr>
        <w:t>2 to </w:t>
      </w:r>
      <w:r>
        <w:rPr>
          <w:spacing w:val="3"/>
          <w:w w:val="105"/>
          <w:sz w:val="21"/>
        </w:rPr>
        <w:t>Southwest Airlines </w:t>
      </w:r>
      <w:r>
        <w:rPr>
          <w:spacing w:val="2"/>
          <w:w w:val="105"/>
          <w:sz w:val="21"/>
        </w:rPr>
        <w:t>Co. </w:t>
      </w:r>
      <w:r>
        <w:rPr>
          <w:spacing w:val="3"/>
          <w:w w:val="105"/>
          <w:sz w:val="21"/>
        </w:rPr>
        <w:t>Profit Sharing </w:t>
      </w:r>
      <w:r>
        <w:rPr>
          <w:spacing w:val="4"/>
          <w:w w:val="105"/>
          <w:sz w:val="21"/>
        </w:rPr>
        <w:t>Plan </w:t>
      </w:r>
      <w:r>
        <w:rPr>
          <w:w w:val="105"/>
          <w:sz w:val="21"/>
        </w:rPr>
        <w:t>(incorporated by reference to </w:t>
      </w:r>
      <w:r>
        <w:rPr>
          <w:w w:val="105"/>
          <w:sz w:val="21"/>
          <w:u w:val="single"/>
        </w:rPr>
        <w:t>Exhibit 10.9 </w:t>
      </w:r>
      <w:r>
        <w:rPr>
          <w:w w:val="105"/>
          <w:sz w:val="21"/>
        </w:rPr>
        <w:t>to Southwest’s Annual Report on Form 10-K for </w:t>
      </w:r>
      <w:r>
        <w:rPr>
          <w:spacing w:val="2"/>
          <w:w w:val="105"/>
          <w:sz w:val="21"/>
        </w:rPr>
        <w:t>the </w:t>
      </w:r>
      <w:r>
        <w:rPr>
          <w:w w:val="105"/>
          <w:sz w:val="21"/>
        </w:rPr>
        <w:t>year ended December 31, 2002 (File No. 1-7259)); Amendment No. 3 to Southwest Airlines Co. Profit Sharing Plan (incorporated by reference to </w:t>
      </w:r>
      <w:r>
        <w:rPr>
          <w:w w:val="105"/>
          <w:sz w:val="21"/>
          <w:u w:val="single"/>
        </w:rPr>
        <w:t>Exhibit 10.1 </w:t>
      </w:r>
      <w:r>
        <w:rPr>
          <w:w w:val="105"/>
          <w:sz w:val="21"/>
        </w:rPr>
        <w:t>to Southwest’s Quarterly Report on </w:t>
      </w:r>
      <w:r>
        <w:rPr>
          <w:spacing w:val="3"/>
          <w:w w:val="105"/>
          <w:sz w:val="21"/>
        </w:rPr>
        <w:t>Form 10-Q </w:t>
      </w:r>
      <w:r>
        <w:rPr>
          <w:spacing w:val="2"/>
          <w:w w:val="105"/>
          <w:sz w:val="21"/>
        </w:rPr>
        <w:t>for the </w:t>
      </w:r>
      <w:r>
        <w:rPr>
          <w:spacing w:val="3"/>
          <w:w w:val="105"/>
          <w:sz w:val="21"/>
        </w:rPr>
        <w:t>quarter ended June </w:t>
      </w:r>
      <w:r>
        <w:rPr>
          <w:spacing w:val="2"/>
          <w:w w:val="105"/>
          <w:sz w:val="21"/>
        </w:rPr>
        <w:t>30, </w:t>
      </w:r>
      <w:r>
        <w:rPr>
          <w:spacing w:val="3"/>
          <w:w w:val="105"/>
          <w:sz w:val="21"/>
        </w:rPr>
        <w:t>2003 (File </w:t>
      </w:r>
      <w:r>
        <w:rPr>
          <w:spacing w:val="2"/>
          <w:w w:val="105"/>
          <w:sz w:val="21"/>
        </w:rPr>
        <w:t>No. </w:t>
      </w:r>
      <w:r>
        <w:rPr>
          <w:spacing w:val="3"/>
          <w:w w:val="105"/>
          <w:sz w:val="21"/>
        </w:rPr>
        <w:t>1-7259)); Amendment </w:t>
      </w:r>
      <w:r>
        <w:rPr>
          <w:spacing w:val="2"/>
          <w:w w:val="105"/>
          <w:sz w:val="21"/>
        </w:rPr>
        <w:t>No. </w:t>
      </w:r>
      <w:r>
        <w:rPr>
          <w:w w:val="105"/>
          <w:sz w:val="21"/>
        </w:rPr>
        <w:t>4 </w:t>
      </w:r>
      <w:r>
        <w:rPr>
          <w:spacing w:val="4"/>
          <w:w w:val="105"/>
          <w:sz w:val="21"/>
        </w:rPr>
        <w:t>to </w:t>
      </w:r>
      <w:r>
        <w:rPr>
          <w:w w:val="105"/>
          <w:sz w:val="21"/>
        </w:rPr>
        <w:t>Southwest</w:t>
      </w:r>
      <w:r>
        <w:rPr>
          <w:spacing w:val="-16"/>
          <w:w w:val="105"/>
          <w:sz w:val="21"/>
        </w:rPr>
        <w:t> </w:t>
      </w:r>
      <w:r>
        <w:rPr>
          <w:w w:val="105"/>
          <w:sz w:val="21"/>
        </w:rPr>
        <w:t>Airlines</w:t>
      </w:r>
      <w:r>
        <w:rPr>
          <w:spacing w:val="-16"/>
          <w:w w:val="105"/>
          <w:sz w:val="21"/>
        </w:rPr>
        <w:t> </w:t>
      </w:r>
      <w:r>
        <w:rPr>
          <w:w w:val="105"/>
          <w:sz w:val="21"/>
        </w:rPr>
        <w:t>Co.</w:t>
      </w:r>
      <w:r>
        <w:rPr>
          <w:spacing w:val="-17"/>
          <w:w w:val="105"/>
          <w:sz w:val="21"/>
        </w:rPr>
        <w:t> </w:t>
      </w:r>
      <w:r>
        <w:rPr>
          <w:w w:val="105"/>
          <w:sz w:val="21"/>
        </w:rPr>
        <w:t>Profit</w:t>
      </w:r>
      <w:r>
        <w:rPr>
          <w:spacing w:val="-17"/>
          <w:w w:val="105"/>
          <w:sz w:val="21"/>
        </w:rPr>
        <w:t> </w:t>
      </w:r>
      <w:r>
        <w:rPr>
          <w:w w:val="105"/>
          <w:sz w:val="21"/>
        </w:rPr>
        <w:t>Sharing</w:t>
      </w:r>
      <w:r>
        <w:rPr>
          <w:spacing w:val="-16"/>
          <w:w w:val="105"/>
          <w:sz w:val="21"/>
        </w:rPr>
        <w:t> </w:t>
      </w:r>
      <w:r>
        <w:rPr>
          <w:w w:val="105"/>
          <w:sz w:val="21"/>
        </w:rPr>
        <w:t>Plan.</w:t>
      </w:r>
    </w:p>
    <w:p>
      <w:pPr>
        <w:pStyle w:val="BodyText"/>
        <w:rPr>
          <w:sz w:val="20"/>
        </w:rPr>
      </w:pPr>
    </w:p>
    <w:p>
      <w:pPr>
        <w:pStyle w:val="BodyText"/>
        <w:rPr>
          <w:sz w:val="20"/>
        </w:rPr>
      </w:pPr>
    </w:p>
    <w:p>
      <w:pPr>
        <w:pStyle w:val="BodyText"/>
        <w:spacing w:before="249"/>
        <w:ind w:left="4098" w:right="4099"/>
        <w:jc w:val="center"/>
      </w:pPr>
      <w:r>
        <w:rPr>
          <w:w w:val="105"/>
        </w:rPr>
        <w:t>A-54</w:t>
      </w:r>
    </w:p>
    <w:p>
      <w:pPr>
        <w:spacing w:after="0"/>
        <w:jc w:val="center"/>
        <w:sectPr>
          <w:pgSz w:w="12240" w:h="15840"/>
          <w:pgMar w:top="1120" w:bottom="280" w:left="1240" w:right="1320"/>
        </w:sectPr>
      </w:pPr>
    </w:p>
    <w:p>
      <w:pPr>
        <w:pStyle w:val="ListParagraph"/>
        <w:numPr>
          <w:ilvl w:val="1"/>
          <w:numId w:val="11"/>
        </w:numPr>
        <w:tabs>
          <w:tab w:pos="834" w:val="left" w:leader="none"/>
        </w:tabs>
        <w:spacing w:line="259" w:lineRule="auto" w:before="98" w:after="0"/>
        <w:ind w:left="833" w:right="104" w:hanging="720"/>
        <w:jc w:val="both"/>
        <w:rPr>
          <w:sz w:val="21"/>
        </w:rPr>
      </w:pPr>
      <w:r>
        <w:rPr>
          <w:w w:val="105"/>
          <w:sz w:val="21"/>
        </w:rPr>
        <w:t>Southwest Airlines Co. 401(k) Plan (incorporated by reference to </w:t>
      </w:r>
      <w:r>
        <w:rPr>
          <w:w w:val="105"/>
          <w:sz w:val="21"/>
          <w:u w:val="single"/>
        </w:rPr>
        <w:t>Exhibit 10.12 </w:t>
      </w:r>
      <w:r>
        <w:rPr>
          <w:w w:val="105"/>
          <w:sz w:val="21"/>
        </w:rPr>
        <w:t>to Southwest’s </w:t>
      </w:r>
      <w:r>
        <w:rPr>
          <w:spacing w:val="3"/>
          <w:w w:val="105"/>
          <w:sz w:val="21"/>
        </w:rPr>
        <w:t>Annual </w:t>
      </w:r>
      <w:r>
        <w:rPr>
          <w:spacing w:val="4"/>
          <w:w w:val="105"/>
          <w:sz w:val="21"/>
        </w:rPr>
        <w:t>Report </w:t>
      </w:r>
      <w:r>
        <w:rPr>
          <w:spacing w:val="2"/>
          <w:w w:val="105"/>
          <w:sz w:val="21"/>
        </w:rPr>
        <w:t>on </w:t>
      </w:r>
      <w:r>
        <w:rPr>
          <w:spacing w:val="3"/>
          <w:w w:val="105"/>
          <w:sz w:val="21"/>
        </w:rPr>
        <w:t>Form 10-K for the year </w:t>
      </w:r>
      <w:r>
        <w:rPr>
          <w:spacing w:val="4"/>
          <w:w w:val="105"/>
          <w:sz w:val="21"/>
        </w:rPr>
        <w:t>ended </w:t>
      </w:r>
      <w:r>
        <w:rPr>
          <w:spacing w:val="3"/>
          <w:w w:val="105"/>
          <w:sz w:val="21"/>
        </w:rPr>
        <w:t>December 31, 2001 </w:t>
      </w:r>
      <w:r>
        <w:rPr>
          <w:spacing w:val="4"/>
          <w:w w:val="105"/>
          <w:sz w:val="21"/>
        </w:rPr>
        <w:t>(File </w:t>
      </w:r>
      <w:r>
        <w:rPr>
          <w:spacing w:val="2"/>
          <w:w w:val="105"/>
          <w:sz w:val="21"/>
        </w:rPr>
        <w:t>No. </w:t>
      </w:r>
      <w:r>
        <w:rPr>
          <w:spacing w:val="5"/>
          <w:w w:val="105"/>
          <w:sz w:val="21"/>
        </w:rPr>
        <w:t>1-7259)); </w:t>
      </w:r>
      <w:r>
        <w:rPr>
          <w:w w:val="105"/>
          <w:sz w:val="21"/>
        </w:rPr>
        <w:t>Amendment</w:t>
      </w:r>
      <w:r>
        <w:rPr>
          <w:spacing w:val="24"/>
          <w:w w:val="105"/>
          <w:sz w:val="21"/>
        </w:rPr>
        <w:t> </w:t>
      </w:r>
      <w:r>
        <w:rPr>
          <w:w w:val="105"/>
          <w:sz w:val="21"/>
        </w:rPr>
        <w:t>No.</w:t>
      </w:r>
      <w:r>
        <w:rPr>
          <w:spacing w:val="24"/>
          <w:w w:val="105"/>
          <w:sz w:val="21"/>
        </w:rPr>
        <w:t> </w:t>
      </w:r>
      <w:r>
        <w:rPr>
          <w:w w:val="105"/>
          <w:sz w:val="21"/>
        </w:rPr>
        <w:t>1</w:t>
      </w:r>
      <w:r>
        <w:rPr>
          <w:spacing w:val="24"/>
          <w:w w:val="105"/>
          <w:sz w:val="21"/>
        </w:rPr>
        <w:t> </w:t>
      </w:r>
      <w:r>
        <w:rPr>
          <w:w w:val="105"/>
          <w:sz w:val="21"/>
        </w:rPr>
        <w:t>to</w:t>
      </w:r>
      <w:r>
        <w:rPr>
          <w:spacing w:val="24"/>
          <w:w w:val="105"/>
          <w:sz w:val="21"/>
        </w:rPr>
        <w:t> </w:t>
      </w:r>
      <w:r>
        <w:rPr>
          <w:w w:val="105"/>
          <w:sz w:val="21"/>
        </w:rPr>
        <w:t>Southwest</w:t>
      </w:r>
      <w:r>
        <w:rPr>
          <w:spacing w:val="24"/>
          <w:w w:val="105"/>
          <w:sz w:val="21"/>
        </w:rPr>
        <w:t> </w:t>
      </w:r>
      <w:r>
        <w:rPr>
          <w:w w:val="105"/>
          <w:sz w:val="21"/>
        </w:rPr>
        <w:t>Airlines</w:t>
      </w:r>
      <w:r>
        <w:rPr>
          <w:spacing w:val="24"/>
          <w:w w:val="105"/>
          <w:sz w:val="21"/>
        </w:rPr>
        <w:t> </w:t>
      </w:r>
      <w:r>
        <w:rPr>
          <w:w w:val="105"/>
          <w:sz w:val="21"/>
        </w:rPr>
        <w:t>Co.</w:t>
      </w:r>
      <w:r>
        <w:rPr>
          <w:spacing w:val="24"/>
          <w:w w:val="105"/>
          <w:sz w:val="21"/>
        </w:rPr>
        <w:t> </w:t>
      </w:r>
      <w:r>
        <w:rPr>
          <w:w w:val="105"/>
          <w:sz w:val="21"/>
        </w:rPr>
        <w:t>401(k)</w:t>
      </w:r>
      <w:r>
        <w:rPr>
          <w:spacing w:val="24"/>
          <w:w w:val="105"/>
          <w:sz w:val="21"/>
        </w:rPr>
        <w:t> </w:t>
      </w:r>
      <w:r>
        <w:rPr>
          <w:w w:val="105"/>
          <w:sz w:val="21"/>
        </w:rPr>
        <w:t>Plan</w:t>
      </w:r>
      <w:r>
        <w:rPr>
          <w:spacing w:val="24"/>
          <w:w w:val="105"/>
          <w:sz w:val="21"/>
        </w:rPr>
        <w:t> </w:t>
      </w:r>
      <w:r>
        <w:rPr>
          <w:w w:val="105"/>
          <w:sz w:val="21"/>
        </w:rPr>
        <w:t>(incorporated</w:t>
      </w:r>
      <w:r>
        <w:rPr>
          <w:spacing w:val="24"/>
          <w:w w:val="105"/>
          <w:sz w:val="21"/>
        </w:rPr>
        <w:t> </w:t>
      </w:r>
      <w:r>
        <w:rPr>
          <w:w w:val="105"/>
          <w:sz w:val="21"/>
        </w:rPr>
        <w:t>by</w:t>
      </w:r>
      <w:r>
        <w:rPr>
          <w:spacing w:val="24"/>
          <w:w w:val="105"/>
          <w:sz w:val="21"/>
        </w:rPr>
        <w:t> </w:t>
      </w:r>
      <w:r>
        <w:rPr>
          <w:w w:val="105"/>
          <w:sz w:val="21"/>
        </w:rPr>
        <w:t>reference</w:t>
      </w:r>
      <w:r>
        <w:rPr>
          <w:spacing w:val="24"/>
          <w:w w:val="105"/>
          <w:sz w:val="21"/>
        </w:rPr>
        <w:t> </w:t>
      </w:r>
      <w:r>
        <w:rPr>
          <w:w w:val="105"/>
          <w:sz w:val="21"/>
        </w:rPr>
        <w:t>to</w:t>
      </w:r>
      <w:r>
        <w:rPr>
          <w:spacing w:val="24"/>
          <w:w w:val="105"/>
          <w:sz w:val="21"/>
        </w:rPr>
        <w:t> </w:t>
      </w:r>
      <w:r>
        <w:rPr>
          <w:w w:val="105"/>
          <w:sz w:val="21"/>
          <w:u w:val="single"/>
        </w:rPr>
        <w:t>Exhibit</w:t>
      </w:r>
    </w:p>
    <w:p>
      <w:pPr>
        <w:pStyle w:val="ListParagraph"/>
        <w:numPr>
          <w:ilvl w:val="1"/>
          <w:numId w:val="11"/>
        </w:numPr>
        <w:tabs>
          <w:tab w:pos="1405" w:val="left" w:leader="none"/>
        </w:tabs>
        <w:spacing w:line="256" w:lineRule="auto" w:before="3" w:after="0"/>
        <w:ind w:left="833" w:right="107" w:firstLine="0"/>
        <w:jc w:val="both"/>
        <w:rPr>
          <w:sz w:val="21"/>
        </w:rPr>
      </w:pPr>
      <w:r>
        <w:rPr>
          <w:w w:val="105"/>
          <w:sz w:val="21"/>
        </w:rPr>
        <w:t>to Southwest’s Annual Report on Form 10-K for the year ended December 31, 2002 (File No. 1-7259)); Amendment No. 2 to Southwest Airlines Co. 401(k) Plan (incorporated by reference to </w:t>
      </w:r>
      <w:r>
        <w:rPr>
          <w:w w:val="105"/>
          <w:sz w:val="21"/>
          <w:u w:val="single"/>
        </w:rPr>
        <w:t>Exhibit 10.10 </w:t>
      </w:r>
      <w:r>
        <w:rPr>
          <w:w w:val="105"/>
          <w:sz w:val="21"/>
        </w:rPr>
        <w:t>to Southwest’s Annual Report on Form 10-K for the year ended December </w:t>
      </w:r>
      <w:r>
        <w:rPr>
          <w:spacing w:val="2"/>
          <w:w w:val="105"/>
          <w:sz w:val="21"/>
        </w:rPr>
        <w:t>31, </w:t>
      </w:r>
      <w:r>
        <w:rPr>
          <w:w w:val="105"/>
          <w:sz w:val="21"/>
        </w:rPr>
        <w:t>2002 (File No. 1-7259)); Amendment No. 3 to Southwest Airlines Co. 401(k) Plan (incorporated by reference to </w:t>
      </w:r>
      <w:r>
        <w:rPr>
          <w:w w:val="105"/>
          <w:sz w:val="21"/>
          <w:u w:val="single"/>
        </w:rPr>
        <w:t>Exhibit 10.2 </w:t>
      </w:r>
      <w:r>
        <w:rPr>
          <w:w w:val="105"/>
          <w:sz w:val="21"/>
        </w:rPr>
        <w:t>to Southwest’s Quarterly Report on Form 10-Q for the quarter ended June</w:t>
      </w:r>
      <w:r>
        <w:rPr>
          <w:spacing w:val="-15"/>
          <w:w w:val="105"/>
          <w:sz w:val="21"/>
        </w:rPr>
        <w:t> </w:t>
      </w:r>
      <w:r>
        <w:rPr>
          <w:w w:val="105"/>
          <w:sz w:val="21"/>
        </w:rPr>
        <w:t>30,</w:t>
      </w:r>
      <w:r>
        <w:rPr>
          <w:spacing w:val="-15"/>
          <w:w w:val="105"/>
          <w:sz w:val="21"/>
        </w:rPr>
        <w:t> </w:t>
      </w:r>
      <w:r>
        <w:rPr>
          <w:w w:val="105"/>
          <w:sz w:val="21"/>
        </w:rPr>
        <w:t>2003</w:t>
      </w:r>
      <w:r>
        <w:rPr>
          <w:spacing w:val="-15"/>
          <w:w w:val="105"/>
          <w:sz w:val="21"/>
        </w:rPr>
        <w:t> </w:t>
      </w:r>
      <w:r>
        <w:rPr>
          <w:w w:val="105"/>
          <w:sz w:val="21"/>
        </w:rPr>
        <w:t>(File</w:t>
      </w:r>
      <w:r>
        <w:rPr>
          <w:spacing w:val="-15"/>
          <w:w w:val="105"/>
          <w:sz w:val="21"/>
        </w:rPr>
        <w:t> </w:t>
      </w:r>
      <w:r>
        <w:rPr>
          <w:w w:val="105"/>
          <w:sz w:val="21"/>
        </w:rPr>
        <w:t>No.</w:t>
      </w:r>
      <w:r>
        <w:rPr>
          <w:spacing w:val="-15"/>
          <w:w w:val="105"/>
          <w:sz w:val="21"/>
        </w:rPr>
        <w:t> </w:t>
      </w:r>
      <w:r>
        <w:rPr>
          <w:w w:val="105"/>
          <w:sz w:val="21"/>
        </w:rPr>
        <w:t>1-7259));</w:t>
      </w:r>
      <w:r>
        <w:rPr>
          <w:spacing w:val="-15"/>
          <w:w w:val="105"/>
          <w:sz w:val="21"/>
        </w:rPr>
        <w:t> </w:t>
      </w:r>
      <w:r>
        <w:rPr>
          <w:w w:val="105"/>
          <w:sz w:val="21"/>
        </w:rPr>
        <w:t>Amendment</w:t>
      </w:r>
      <w:r>
        <w:rPr>
          <w:spacing w:val="-14"/>
          <w:w w:val="105"/>
          <w:sz w:val="21"/>
        </w:rPr>
        <w:t> </w:t>
      </w:r>
      <w:r>
        <w:rPr>
          <w:w w:val="105"/>
          <w:sz w:val="21"/>
        </w:rPr>
        <w:t>No.</w:t>
      </w:r>
      <w:r>
        <w:rPr>
          <w:spacing w:val="-15"/>
          <w:w w:val="105"/>
          <w:sz w:val="21"/>
        </w:rPr>
        <w:t> </w:t>
      </w:r>
      <w:r>
        <w:rPr>
          <w:w w:val="105"/>
          <w:sz w:val="21"/>
        </w:rPr>
        <w:t>4</w:t>
      </w:r>
      <w:r>
        <w:rPr>
          <w:spacing w:val="-15"/>
          <w:w w:val="105"/>
          <w:sz w:val="21"/>
        </w:rPr>
        <w:t> </w:t>
      </w:r>
      <w:r>
        <w:rPr>
          <w:w w:val="105"/>
          <w:sz w:val="21"/>
        </w:rPr>
        <w:t>to</w:t>
      </w:r>
      <w:r>
        <w:rPr>
          <w:spacing w:val="-15"/>
          <w:w w:val="105"/>
          <w:sz w:val="21"/>
        </w:rPr>
        <w:t> </w:t>
      </w:r>
      <w:r>
        <w:rPr>
          <w:w w:val="105"/>
          <w:sz w:val="21"/>
        </w:rPr>
        <w:t>Southwest</w:t>
      </w:r>
      <w:r>
        <w:rPr>
          <w:spacing w:val="-14"/>
          <w:w w:val="105"/>
          <w:sz w:val="21"/>
        </w:rPr>
        <w:t> </w:t>
      </w:r>
      <w:r>
        <w:rPr>
          <w:w w:val="105"/>
          <w:sz w:val="21"/>
        </w:rPr>
        <w:t>Airlines</w:t>
      </w:r>
      <w:r>
        <w:rPr>
          <w:spacing w:val="-14"/>
          <w:w w:val="105"/>
          <w:sz w:val="21"/>
        </w:rPr>
        <w:t> </w:t>
      </w:r>
      <w:r>
        <w:rPr>
          <w:w w:val="105"/>
          <w:sz w:val="21"/>
        </w:rPr>
        <w:t>Co.</w:t>
      </w:r>
      <w:r>
        <w:rPr>
          <w:spacing w:val="-15"/>
          <w:w w:val="105"/>
          <w:sz w:val="21"/>
        </w:rPr>
        <w:t> </w:t>
      </w:r>
      <w:r>
        <w:rPr>
          <w:w w:val="105"/>
          <w:sz w:val="21"/>
        </w:rPr>
        <w:t>401(k)</w:t>
      </w:r>
      <w:r>
        <w:rPr>
          <w:spacing w:val="-15"/>
          <w:w w:val="105"/>
          <w:sz w:val="21"/>
        </w:rPr>
        <w:t> </w:t>
      </w:r>
      <w:r>
        <w:rPr>
          <w:w w:val="105"/>
          <w:sz w:val="21"/>
        </w:rPr>
        <w:t>Plan.</w:t>
      </w:r>
    </w:p>
    <w:p>
      <w:pPr>
        <w:pStyle w:val="BodyText"/>
        <w:spacing w:before="10"/>
        <w:rPr>
          <w:sz w:val="33"/>
        </w:rPr>
      </w:pPr>
    </w:p>
    <w:p>
      <w:pPr>
        <w:pStyle w:val="ListParagraph"/>
        <w:numPr>
          <w:ilvl w:val="1"/>
          <w:numId w:val="12"/>
        </w:numPr>
        <w:tabs>
          <w:tab w:pos="830" w:val="left" w:leader="none"/>
        </w:tabs>
        <w:spacing w:line="256" w:lineRule="auto" w:before="0" w:after="0"/>
        <w:ind w:left="833" w:right="109" w:hanging="720"/>
        <w:jc w:val="both"/>
        <w:rPr>
          <w:sz w:val="21"/>
        </w:rPr>
      </w:pPr>
      <w:r>
        <w:rPr>
          <w:spacing w:val="4"/>
          <w:w w:val="105"/>
          <w:sz w:val="21"/>
        </w:rPr>
        <w:t>Southwest Airlines </w:t>
      </w:r>
      <w:r>
        <w:rPr>
          <w:spacing w:val="3"/>
          <w:w w:val="105"/>
          <w:sz w:val="21"/>
        </w:rPr>
        <w:t>Co. 1995 </w:t>
      </w:r>
      <w:r>
        <w:rPr>
          <w:spacing w:val="4"/>
          <w:w w:val="105"/>
          <w:sz w:val="21"/>
        </w:rPr>
        <w:t>SWAPA Non-Qualified Stock Option </w:t>
      </w:r>
      <w:r>
        <w:rPr>
          <w:spacing w:val="3"/>
          <w:w w:val="105"/>
          <w:sz w:val="21"/>
        </w:rPr>
        <w:t>Plan </w:t>
      </w:r>
      <w:r>
        <w:rPr>
          <w:spacing w:val="4"/>
          <w:w w:val="105"/>
          <w:sz w:val="21"/>
        </w:rPr>
        <w:t>(incorporated </w:t>
      </w:r>
      <w:r>
        <w:rPr>
          <w:spacing w:val="5"/>
          <w:w w:val="105"/>
          <w:sz w:val="21"/>
        </w:rPr>
        <w:t>by </w:t>
      </w:r>
      <w:r>
        <w:rPr>
          <w:spacing w:val="2"/>
          <w:w w:val="105"/>
          <w:sz w:val="21"/>
        </w:rPr>
        <w:t>reference </w:t>
      </w:r>
      <w:r>
        <w:rPr>
          <w:w w:val="105"/>
          <w:sz w:val="21"/>
        </w:rPr>
        <w:t>to </w:t>
      </w:r>
      <w:r>
        <w:rPr>
          <w:spacing w:val="3"/>
          <w:w w:val="105"/>
          <w:sz w:val="21"/>
          <w:u w:val="single"/>
        </w:rPr>
        <w:t>Exhibit </w:t>
      </w:r>
      <w:r>
        <w:rPr>
          <w:spacing w:val="2"/>
          <w:w w:val="105"/>
          <w:sz w:val="21"/>
          <w:u w:val="single"/>
        </w:rPr>
        <w:t>10.14 </w:t>
      </w:r>
      <w:r>
        <w:rPr>
          <w:w w:val="105"/>
          <w:sz w:val="21"/>
        </w:rPr>
        <w:t>to </w:t>
      </w:r>
      <w:r>
        <w:rPr>
          <w:spacing w:val="2"/>
          <w:w w:val="105"/>
          <w:sz w:val="21"/>
        </w:rPr>
        <w:t>Southwest's </w:t>
      </w:r>
      <w:r>
        <w:rPr>
          <w:spacing w:val="3"/>
          <w:w w:val="105"/>
          <w:sz w:val="21"/>
        </w:rPr>
        <w:t>Annual Report </w:t>
      </w:r>
      <w:r>
        <w:rPr>
          <w:w w:val="105"/>
          <w:sz w:val="21"/>
        </w:rPr>
        <w:t>on </w:t>
      </w:r>
      <w:r>
        <w:rPr>
          <w:spacing w:val="3"/>
          <w:w w:val="105"/>
          <w:sz w:val="21"/>
        </w:rPr>
        <w:t>Form 10-K </w:t>
      </w:r>
      <w:r>
        <w:rPr>
          <w:spacing w:val="2"/>
          <w:w w:val="105"/>
          <w:sz w:val="21"/>
        </w:rPr>
        <w:t>for the </w:t>
      </w:r>
      <w:r>
        <w:rPr>
          <w:spacing w:val="3"/>
          <w:w w:val="105"/>
          <w:sz w:val="21"/>
        </w:rPr>
        <w:t>year </w:t>
      </w:r>
      <w:r>
        <w:rPr>
          <w:spacing w:val="4"/>
          <w:w w:val="105"/>
          <w:sz w:val="21"/>
        </w:rPr>
        <w:t>ended </w:t>
      </w:r>
      <w:r>
        <w:rPr>
          <w:w w:val="105"/>
          <w:sz w:val="21"/>
        </w:rPr>
        <w:t>December</w:t>
      </w:r>
      <w:r>
        <w:rPr>
          <w:spacing w:val="-14"/>
          <w:w w:val="105"/>
          <w:sz w:val="21"/>
        </w:rPr>
        <w:t> </w:t>
      </w:r>
      <w:r>
        <w:rPr>
          <w:w w:val="105"/>
          <w:sz w:val="21"/>
        </w:rPr>
        <w:t>31,</w:t>
      </w:r>
      <w:r>
        <w:rPr>
          <w:spacing w:val="-15"/>
          <w:w w:val="105"/>
          <w:sz w:val="21"/>
        </w:rPr>
        <w:t> </w:t>
      </w:r>
      <w:r>
        <w:rPr>
          <w:w w:val="105"/>
          <w:sz w:val="21"/>
        </w:rPr>
        <w:t>1994</w:t>
      </w:r>
      <w:r>
        <w:rPr>
          <w:spacing w:val="-15"/>
          <w:w w:val="105"/>
          <w:sz w:val="21"/>
        </w:rPr>
        <w:t> </w:t>
      </w:r>
      <w:r>
        <w:rPr>
          <w:w w:val="105"/>
          <w:sz w:val="21"/>
        </w:rPr>
        <w:t>(File</w:t>
      </w:r>
      <w:r>
        <w:rPr>
          <w:spacing w:val="-15"/>
          <w:w w:val="105"/>
          <w:sz w:val="21"/>
        </w:rPr>
        <w:t> </w:t>
      </w:r>
      <w:r>
        <w:rPr>
          <w:w w:val="105"/>
          <w:sz w:val="21"/>
        </w:rPr>
        <w:t>No.</w:t>
      </w:r>
      <w:r>
        <w:rPr>
          <w:spacing w:val="-15"/>
          <w:w w:val="105"/>
          <w:sz w:val="21"/>
        </w:rPr>
        <w:t> </w:t>
      </w:r>
      <w:r>
        <w:rPr>
          <w:w w:val="105"/>
          <w:sz w:val="21"/>
        </w:rPr>
        <w:t>1-7259)).</w:t>
      </w:r>
    </w:p>
    <w:p>
      <w:pPr>
        <w:pStyle w:val="BodyText"/>
        <w:spacing w:before="10"/>
        <w:rPr>
          <w:sz w:val="33"/>
        </w:rPr>
      </w:pPr>
    </w:p>
    <w:p>
      <w:pPr>
        <w:pStyle w:val="ListParagraph"/>
        <w:numPr>
          <w:ilvl w:val="1"/>
          <w:numId w:val="12"/>
        </w:numPr>
        <w:tabs>
          <w:tab w:pos="834" w:val="left" w:leader="none"/>
        </w:tabs>
        <w:spacing w:line="252" w:lineRule="auto" w:before="0" w:after="0"/>
        <w:ind w:left="833" w:right="113" w:hanging="720"/>
        <w:jc w:val="both"/>
        <w:rPr>
          <w:sz w:val="21"/>
        </w:rPr>
      </w:pPr>
      <w:r>
        <w:rPr>
          <w:w w:val="105"/>
          <w:sz w:val="21"/>
        </w:rPr>
        <w:t>1996 Incentive Stock Option Plan (incorporated by reference to </w:t>
      </w:r>
      <w:r>
        <w:rPr>
          <w:w w:val="105"/>
          <w:sz w:val="21"/>
          <w:u w:val="single"/>
        </w:rPr>
        <w:t>Exhibit 10.12 </w:t>
      </w:r>
      <w:r>
        <w:rPr>
          <w:w w:val="105"/>
          <w:sz w:val="21"/>
        </w:rPr>
        <w:t>to Southwest’s</w:t>
      </w:r>
      <w:r>
        <w:rPr>
          <w:spacing w:val="55"/>
          <w:w w:val="105"/>
          <w:sz w:val="21"/>
        </w:rPr>
        <w:t> </w:t>
      </w:r>
      <w:r>
        <w:rPr>
          <w:w w:val="105"/>
          <w:sz w:val="21"/>
        </w:rPr>
        <w:t>Annual</w:t>
      </w:r>
      <w:r>
        <w:rPr>
          <w:spacing w:val="-12"/>
          <w:w w:val="105"/>
          <w:sz w:val="21"/>
        </w:rPr>
        <w:t> </w:t>
      </w:r>
      <w:r>
        <w:rPr>
          <w:w w:val="105"/>
          <w:sz w:val="21"/>
        </w:rPr>
        <w:t>Report</w:t>
      </w:r>
      <w:r>
        <w:rPr>
          <w:spacing w:val="-12"/>
          <w:w w:val="105"/>
          <w:sz w:val="21"/>
        </w:rPr>
        <w:t> </w:t>
      </w:r>
      <w:r>
        <w:rPr>
          <w:w w:val="105"/>
          <w:sz w:val="21"/>
        </w:rPr>
        <w:t>on</w:t>
      </w:r>
      <w:r>
        <w:rPr>
          <w:spacing w:val="-12"/>
          <w:w w:val="105"/>
          <w:sz w:val="21"/>
        </w:rPr>
        <w:t> </w:t>
      </w:r>
      <w:r>
        <w:rPr>
          <w:w w:val="105"/>
          <w:sz w:val="21"/>
        </w:rPr>
        <w:t>Form</w:t>
      </w:r>
      <w:r>
        <w:rPr>
          <w:spacing w:val="-12"/>
          <w:w w:val="105"/>
          <w:sz w:val="21"/>
        </w:rPr>
        <w:t> </w:t>
      </w:r>
      <w:r>
        <w:rPr>
          <w:w w:val="105"/>
          <w:sz w:val="21"/>
        </w:rPr>
        <w:t>10-K</w:t>
      </w:r>
      <w:r>
        <w:rPr>
          <w:spacing w:val="-12"/>
          <w:w w:val="105"/>
          <w:sz w:val="21"/>
        </w:rPr>
        <w:t> </w:t>
      </w:r>
      <w:r>
        <w:rPr>
          <w:w w:val="105"/>
          <w:sz w:val="21"/>
        </w:rPr>
        <w:t>for</w:t>
      </w:r>
      <w:r>
        <w:rPr>
          <w:spacing w:val="-12"/>
          <w:w w:val="105"/>
          <w:sz w:val="21"/>
        </w:rPr>
        <w:t> </w:t>
      </w:r>
      <w:r>
        <w:rPr>
          <w:w w:val="105"/>
          <w:sz w:val="21"/>
        </w:rPr>
        <w:t>the</w:t>
      </w:r>
      <w:r>
        <w:rPr>
          <w:spacing w:val="-12"/>
          <w:w w:val="105"/>
          <w:sz w:val="21"/>
        </w:rPr>
        <w:t> </w:t>
      </w:r>
      <w:r>
        <w:rPr>
          <w:w w:val="105"/>
          <w:sz w:val="21"/>
        </w:rPr>
        <w:t>year</w:t>
      </w:r>
      <w:r>
        <w:rPr>
          <w:spacing w:val="-12"/>
          <w:w w:val="105"/>
          <w:sz w:val="21"/>
        </w:rPr>
        <w:t> </w:t>
      </w:r>
      <w:r>
        <w:rPr>
          <w:w w:val="105"/>
          <w:sz w:val="21"/>
        </w:rPr>
        <w:t>ended</w:t>
      </w:r>
      <w:r>
        <w:rPr>
          <w:spacing w:val="-12"/>
          <w:w w:val="105"/>
          <w:sz w:val="21"/>
        </w:rPr>
        <w:t> </w:t>
      </w:r>
      <w:r>
        <w:rPr>
          <w:w w:val="105"/>
          <w:sz w:val="21"/>
        </w:rPr>
        <w:t>December</w:t>
      </w:r>
      <w:r>
        <w:rPr>
          <w:spacing w:val="-12"/>
          <w:w w:val="105"/>
          <w:sz w:val="21"/>
        </w:rPr>
        <w:t> </w:t>
      </w:r>
      <w:r>
        <w:rPr>
          <w:w w:val="105"/>
          <w:sz w:val="21"/>
        </w:rPr>
        <w:t>31,</w:t>
      </w:r>
      <w:r>
        <w:rPr>
          <w:spacing w:val="-12"/>
          <w:w w:val="105"/>
          <w:sz w:val="21"/>
        </w:rPr>
        <w:t> </w:t>
      </w:r>
      <w:r>
        <w:rPr>
          <w:w w:val="105"/>
          <w:sz w:val="21"/>
        </w:rPr>
        <w:t>2002</w:t>
      </w:r>
      <w:r>
        <w:rPr>
          <w:spacing w:val="-12"/>
          <w:w w:val="105"/>
          <w:sz w:val="21"/>
        </w:rPr>
        <w:t> </w:t>
      </w:r>
      <w:r>
        <w:rPr>
          <w:w w:val="105"/>
          <w:sz w:val="21"/>
        </w:rPr>
        <w:t>(File</w:t>
      </w:r>
      <w:r>
        <w:rPr>
          <w:spacing w:val="-12"/>
          <w:w w:val="105"/>
          <w:sz w:val="21"/>
        </w:rPr>
        <w:t> </w:t>
      </w:r>
      <w:r>
        <w:rPr>
          <w:w w:val="105"/>
          <w:sz w:val="21"/>
        </w:rPr>
        <w:t>No.</w:t>
      </w:r>
      <w:r>
        <w:rPr>
          <w:spacing w:val="-12"/>
          <w:w w:val="105"/>
          <w:sz w:val="21"/>
        </w:rPr>
        <w:t> </w:t>
      </w:r>
      <w:r>
        <w:rPr>
          <w:w w:val="105"/>
          <w:sz w:val="21"/>
        </w:rPr>
        <w:t>1-7259)).</w:t>
      </w:r>
    </w:p>
    <w:p>
      <w:pPr>
        <w:pStyle w:val="BodyText"/>
        <w:spacing w:before="3"/>
        <w:rPr>
          <w:sz w:val="34"/>
        </w:rPr>
      </w:pPr>
    </w:p>
    <w:p>
      <w:pPr>
        <w:pStyle w:val="ListParagraph"/>
        <w:numPr>
          <w:ilvl w:val="1"/>
          <w:numId w:val="12"/>
        </w:numPr>
        <w:tabs>
          <w:tab w:pos="837" w:val="left" w:leader="none"/>
        </w:tabs>
        <w:spacing w:line="252" w:lineRule="auto" w:before="0" w:after="0"/>
        <w:ind w:left="833" w:right="114" w:hanging="720"/>
        <w:jc w:val="both"/>
        <w:rPr>
          <w:sz w:val="21"/>
        </w:rPr>
      </w:pPr>
      <w:r>
        <w:rPr>
          <w:w w:val="105"/>
          <w:sz w:val="21"/>
        </w:rPr>
        <w:t>1996 Non-Qualified Stock Option Plan (incorporated by reference to </w:t>
      </w:r>
      <w:r>
        <w:rPr>
          <w:w w:val="105"/>
          <w:sz w:val="21"/>
          <w:u w:val="single"/>
        </w:rPr>
        <w:t>Exhibit 10.13 </w:t>
      </w:r>
      <w:r>
        <w:rPr>
          <w:w w:val="105"/>
          <w:sz w:val="21"/>
        </w:rPr>
        <w:t>to Southwest’s Annual</w:t>
      </w:r>
      <w:r>
        <w:rPr>
          <w:spacing w:val="-12"/>
          <w:w w:val="105"/>
          <w:sz w:val="21"/>
        </w:rPr>
        <w:t> </w:t>
      </w:r>
      <w:r>
        <w:rPr>
          <w:w w:val="105"/>
          <w:sz w:val="21"/>
        </w:rPr>
        <w:t>Report</w:t>
      </w:r>
      <w:r>
        <w:rPr>
          <w:spacing w:val="-12"/>
          <w:w w:val="105"/>
          <w:sz w:val="21"/>
        </w:rPr>
        <w:t> </w:t>
      </w:r>
      <w:r>
        <w:rPr>
          <w:w w:val="105"/>
          <w:sz w:val="21"/>
        </w:rPr>
        <w:t>on</w:t>
      </w:r>
      <w:r>
        <w:rPr>
          <w:spacing w:val="-12"/>
          <w:w w:val="105"/>
          <w:sz w:val="21"/>
        </w:rPr>
        <w:t> </w:t>
      </w:r>
      <w:r>
        <w:rPr>
          <w:w w:val="105"/>
          <w:sz w:val="21"/>
        </w:rPr>
        <w:t>Form</w:t>
      </w:r>
      <w:r>
        <w:rPr>
          <w:spacing w:val="-12"/>
          <w:w w:val="105"/>
          <w:sz w:val="21"/>
        </w:rPr>
        <w:t> </w:t>
      </w:r>
      <w:r>
        <w:rPr>
          <w:w w:val="105"/>
          <w:sz w:val="21"/>
        </w:rPr>
        <w:t>10-K</w:t>
      </w:r>
      <w:r>
        <w:rPr>
          <w:spacing w:val="-12"/>
          <w:w w:val="105"/>
          <w:sz w:val="21"/>
        </w:rPr>
        <w:t> </w:t>
      </w:r>
      <w:r>
        <w:rPr>
          <w:w w:val="105"/>
          <w:sz w:val="21"/>
        </w:rPr>
        <w:t>for</w:t>
      </w:r>
      <w:r>
        <w:rPr>
          <w:spacing w:val="-12"/>
          <w:w w:val="105"/>
          <w:sz w:val="21"/>
        </w:rPr>
        <w:t> </w:t>
      </w:r>
      <w:r>
        <w:rPr>
          <w:w w:val="105"/>
          <w:sz w:val="21"/>
        </w:rPr>
        <w:t>the</w:t>
      </w:r>
      <w:r>
        <w:rPr>
          <w:spacing w:val="-12"/>
          <w:w w:val="105"/>
          <w:sz w:val="21"/>
        </w:rPr>
        <w:t> </w:t>
      </w:r>
      <w:r>
        <w:rPr>
          <w:w w:val="105"/>
          <w:sz w:val="21"/>
        </w:rPr>
        <w:t>year</w:t>
      </w:r>
      <w:r>
        <w:rPr>
          <w:spacing w:val="-12"/>
          <w:w w:val="105"/>
          <w:sz w:val="21"/>
        </w:rPr>
        <w:t> </w:t>
      </w:r>
      <w:r>
        <w:rPr>
          <w:w w:val="105"/>
          <w:sz w:val="21"/>
        </w:rPr>
        <w:t>ended</w:t>
      </w:r>
      <w:r>
        <w:rPr>
          <w:spacing w:val="-12"/>
          <w:w w:val="105"/>
          <w:sz w:val="21"/>
        </w:rPr>
        <w:t> </w:t>
      </w:r>
      <w:r>
        <w:rPr>
          <w:w w:val="105"/>
          <w:sz w:val="21"/>
        </w:rPr>
        <w:t>December</w:t>
      </w:r>
      <w:r>
        <w:rPr>
          <w:spacing w:val="-12"/>
          <w:w w:val="105"/>
          <w:sz w:val="21"/>
        </w:rPr>
        <w:t> </w:t>
      </w:r>
      <w:r>
        <w:rPr>
          <w:w w:val="105"/>
          <w:sz w:val="21"/>
        </w:rPr>
        <w:t>31,</w:t>
      </w:r>
      <w:r>
        <w:rPr>
          <w:spacing w:val="-12"/>
          <w:w w:val="105"/>
          <w:sz w:val="21"/>
        </w:rPr>
        <w:t> </w:t>
      </w:r>
      <w:r>
        <w:rPr>
          <w:w w:val="105"/>
          <w:sz w:val="21"/>
        </w:rPr>
        <w:t>2002</w:t>
      </w:r>
      <w:r>
        <w:rPr>
          <w:spacing w:val="-12"/>
          <w:w w:val="105"/>
          <w:sz w:val="21"/>
        </w:rPr>
        <w:t> </w:t>
      </w:r>
      <w:r>
        <w:rPr>
          <w:w w:val="105"/>
          <w:sz w:val="21"/>
        </w:rPr>
        <w:t>(File</w:t>
      </w:r>
      <w:r>
        <w:rPr>
          <w:spacing w:val="-12"/>
          <w:w w:val="105"/>
          <w:sz w:val="21"/>
        </w:rPr>
        <w:t> </w:t>
      </w:r>
      <w:r>
        <w:rPr>
          <w:w w:val="105"/>
          <w:sz w:val="21"/>
        </w:rPr>
        <w:t>No.</w:t>
      </w:r>
      <w:r>
        <w:rPr>
          <w:spacing w:val="-12"/>
          <w:w w:val="105"/>
          <w:sz w:val="21"/>
        </w:rPr>
        <w:t> </w:t>
      </w:r>
      <w:r>
        <w:rPr>
          <w:w w:val="105"/>
          <w:sz w:val="21"/>
        </w:rPr>
        <w:t>1-7259)).</w:t>
      </w:r>
    </w:p>
    <w:p>
      <w:pPr>
        <w:pStyle w:val="ListParagraph"/>
        <w:numPr>
          <w:ilvl w:val="1"/>
          <w:numId w:val="12"/>
        </w:numPr>
        <w:tabs>
          <w:tab w:pos="834" w:val="left" w:leader="none"/>
        </w:tabs>
        <w:spacing w:line="256" w:lineRule="auto" w:before="72" w:after="0"/>
        <w:ind w:left="833" w:right="106" w:hanging="720"/>
        <w:jc w:val="both"/>
        <w:rPr>
          <w:sz w:val="21"/>
        </w:rPr>
      </w:pPr>
      <w:r>
        <w:rPr>
          <w:spacing w:val="2"/>
          <w:w w:val="105"/>
          <w:sz w:val="21"/>
        </w:rPr>
        <w:t>Employment </w:t>
      </w:r>
      <w:r>
        <w:rPr>
          <w:spacing w:val="3"/>
          <w:w w:val="105"/>
          <w:sz w:val="21"/>
        </w:rPr>
        <w:t>Agreement </w:t>
      </w:r>
      <w:r>
        <w:rPr>
          <w:spacing w:val="2"/>
          <w:w w:val="105"/>
          <w:sz w:val="21"/>
        </w:rPr>
        <w:t>dated </w:t>
      </w:r>
      <w:r>
        <w:rPr>
          <w:w w:val="105"/>
          <w:sz w:val="21"/>
        </w:rPr>
        <w:t>as of </w:t>
      </w:r>
      <w:r>
        <w:rPr>
          <w:spacing w:val="2"/>
          <w:w w:val="105"/>
          <w:sz w:val="21"/>
        </w:rPr>
        <w:t>June </w:t>
      </w:r>
      <w:r>
        <w:rPr>
          <w:w w:val="105"/>
          <w:sz w:val="21"/>
        </w:rPr>
        <w:t>19, </w:t>
      </w:r>
      <w:r>
        <w:rPr>
          <w:spacing w:val="2"/>
          <w:w w:val="105"/>
          <w:sz w:val="21"/>
        </w:rPr>
        <w:t>2002 between Southwest and James </w:t>
      </w:r>
      <w:r>
        <w:rPr>
          <w:w w:val="105"/>
          <w:sz w:val="21"/>
        </w:rPr>
        <w:t>F. </w:t>
      </w:r>
      <w:r>
        <w:rPr>
          <w:spacing w:val="3"/>
          <w:w w:val="105"/>
          <w:sz w:val="21"/>
        </w:rPr>
        <w:t>Parker </w:t>
      </w:r>
      <w:r>
        <w:rPr>
          <w:w w:val="105"/>
          <w:sz w:val="21"/>
        </w:rPr>
        <w:t>(incorporated by reference to </w:t>
      </w:r>
      <w:r>
        <w:rPr>
          <w:w w:val="105"/>
          <w:sz w:val="21"/>
          <w:u w:val="single"/>
        </w:rPr>
        <w:t>Exhibit 10.16 </w:t>
      </w:r>
      <w:r>
        <w:rPr>
          <w:w w:val="105"/>
          <w:sz w:val="21"/>
        </w:rPr>
        <w:t>to Southwest’s Annual Report on Form 10-K for the year</w:t>
      </w:r>
      <w:r>
        <w:rPr>
          <w:spacing w:val="-14"/>
          <w:w w:val="105"/>
          <w:sz w:val="21"/>
        </w:rPr>
        <w:t> </w:t>
      </w:r>
      <w:r>
        <w:rPr>
          <w:w w:val="105"/>
          <w:sz w:val="21"/>
        </w:rPr>
        <w:t>ended</w:t>
      </w:r>
      <w:r>
        <w:rPr>
          <w:spacing w:val="-14"/>
          <w:w w:val="105"/>
          <w:sz w:val="21"/>
        </w:rPr>
        <w:t> </w:t>
      </w:r>
      <w:r>
        <w:rPr>
          <w:w w:val="105"/>
          <w:sz w:val="21"/>
        </w:rPr>
        <w:t>December</w:t>
      </w:r>
      <w:r>
        <w:rPr>
          <w:spacing w:val="-13"/>
          <w:w w:val="105"/>
          <w:sz w:val="21"/>
        </w:rPr>
        <w:t> </w:t>
      </w:r>
      <w:r>
        <w:rPr>
          <w:w w:val="105"/>
          <w:sz w:val="21"/>
        </w:rPr>
        <w:t>31,</w:t>
      </w:r>
      <w:r>
        <w:rPr>
          <w:spacing w:val="-14"/>
          <w:w w:val="105"/>
          <w:sz w:val="21"/>
        </w:rPr>
        <w:t> </w:t>
      </w:r>
      <w:r>
        <w:rPr>
          <w:w w:val="105"/>
          <w:sz w:val="21"/>
        </w:rPr>
        <w:t>2001</w:t>
      </w:r>
      <w:r>
        <w:rPr>
          <w:spacing w:val="-14"/>
          <w:w w:val="105"/>
          <w:sz w:val="21"/>
        </w:rPr>
        <w:t> </w:t>
      </w:r>
      <w:r>
        <w:rPr>
          <w:w w:val="105"/>
          <w:sz w:val="21"/>
        </w:rPr>
        <w:t>(File</w:t>
      </w:r>
      <w:r>
        <w:rPr>
          <w:spacing w:val="-14"/>
          <w:w w:val="105"/>
          <w:sz w:val="21"/>
        </w:rPr>
        <w:t> </w:t>
      </w:r>
      <w:r>
        <w:rPr>
          <w:w w:val="105"/>
          <w:sz w:val="21"/>
        </w:rPr>
        <w:t>No.</w:t>
      </w:r>
      <w:r>
        <w:rPr>
          <w:spacing w:val="-14"/>
          <w:w w:val="105"/>
          <w:sz w:val="21"/>
        </w:rPr>
        <w:t> </w:t>
      </w:r>
      <w:r>
        <w:rPr>
          <w:w w:val="105"/>
          <w:sz w:val="21"/>
        </w:rPr>
        <w:t>1-7259)).</w:t>
      </w:r>
    </w:p>
    <w:p>
      <w:pPr>
        <w:pStyle w:val="BodyText"/>
        <w:spacing w:before="10"/>
        <w:rPr>
          <w:sz w:val="33"/>
        </w:rPr>
      </w:pPr>
    </w:p>
    <w:p>
      <w:pPr>
        <w:pStyle w:val="ListParagraph"/>
        <w:numPr>
          <w:ilvl w:val="1"/>
          <w:numId w:val="12"/>
        </w:numPr>
        <w:tabs>
          <w:tab w:pos="834" w:val="left" w:leader="none"/>
        </w:tabs>
        <w:spacing w:line="254" w:lineRule="auto" w:before="0" w:after="0"/>
        <w:ind w:left="833" w:right="111" w:hanging="720"/>
        <w:jc w:val="both"/>
        <w:rPr>
          <w:sz w:val="21"/>
        </w:rPr>
      </w:pPr>
      <w:r>
        <w:rPr>
          <w:w w:val="105"/>
          <w:sz w:val="21"/>
        </w:rPr>
        <w:t>Employment </w:t>
      </w:r>
      <w:r>
        <w:rPr>
          <w:spacing w:val="2"/>
          <w:w w:val="105"/>
          <w:sz w:val="21"/>
        </w:rPr>
        <w:t>Agreement </w:t>
      </w:r>
      <w:r>
        <w:rPr>
          <w:w w:val="105"/>
          <w:sz w:val="21"/>
        </w:rPr>
        <w:t>dated as of June 19, 2002 between Southwest and Colleen C. Barrett (incorporated by reference to </w:t>
      </w:r>
      <w:r>
        <w:rPr>
          <w:w w:val="105"/>
          <w:sz w:val="21"/>
          <w:u w:val="single"/>
        </w:rPr>
        <w:t>Exhibit 10.17 </w:t>
      </w:r>
      <w:r>
        <w:rPr>
          <w:w w:val="105"/>
          <w:sz w:val="21"/>
        </w:rPr>
        <w:t>to Southwest’s Annual Report on Form 10-K for the year</w:t>
      </w:r>
      <w:r>
        <w:rPr>
          <w:spacing w:val="-14"/>
          <w:w w:val="105"/>
          <w:sz w:val="21"/>
        </w:rPr>
        <w:t> </w:t>
      </w:r>
      <w:r>
        <w:rPr>
          <w:w w:val="105"/>
          <w:sz w:val="21"/>
        </w:rPr>
        <w:t>ended</w:t>
      </w:r>
      <w:r>
        <w:rPr>
          <w:spacing w:val="-14"/>
          <w:w w:val="105"/>
          <w:sz w:val="21"/>
        </w:rPr>
        <w:t> </w:t>
      </w:r>
      <w:r>
        <w:rPr>
          <w:w w:val="105"/>
          <w:sz w:val="21"/>
        </w:rPr>
        <w:t>December</w:t>
      </w:r>
      <w:r>
        <w:rPr>
          <w:spacing w:val="-13"/>
          <w:w w:val="105"/>
          <w:sz w:val="21"/>
        </w:rPr>
        <w:t> </w:t>
      </w:r>
      <w:r>
        <w:rPr>
          <w:w w:val="105"/>
          <w:sz w:val="21"/>
        </w:rPr>
        <w:t>31,</w:t>
      </w:r>
      <w:r>
        <w:rPr>
          <w:spacing w:val="-14"/>
          <w:w w:val="105"/>
          <w:sz w:val="21"/>
        </w:rPr>
        <w:t> </w:t>
      </w:r>
      <w:r>
        <w:rPr>
          <w:w w:val="105"/>
          <w:sz w:val="21"/>
        </w:rPr>
        <w:t>2000</w:t>
      </w:r>
      <w:r>
        <w:rPr>
          <w:spacing w:val="-14"/>
          <w:w w:val="105"/>
          <w:sz w:val="21"/>
        </w:rPr>
        <w:t> </w:t>
      </w:r>
      <w:r>
        <w:rPr>
          <w:w w:val="105"/>
          <w:sz w:val="21"/>
        </w:rPr>
        <w:t>(File</w:t>
      </w:r>
      <w:r>
        <w:rPr>
          <w:spacing w:val="-14"/>
          <w:w w:val="105"/>
          <w:sz w:val="21"/>
        </w:rPr>
        <w:t> </w:t>
      </w:r>
      <w:r>
        <w:rPr>
          <w:w w:val="105"/>
          <w:sz w:val="21"/>
        </w:rPr>
        <w:t>No.</w:t>
      </w:r>
      <w:r>
        <w:rPr>
          <w:spacing w:val="-14"/>
          <w:w w:val="105"/>
          <w:sz w:val="21"/>
        </w:rPr>
        <w:t> </w:t>
      </w:r>
      <w:r>
        <w:rPr>
          <w:w w:val="105"/>
          <w:sz w:val="21"/>
        </w:rPr>
        <w:t>1-7259)).</w:t>
      </w:r>
    </w:p>
    <w:p>
      <w:pPr>
        <w:pStyle w:val="BodyText"/>
        <w:spacing w:before="1"/>
        <w:rPr>
          <w:sz w:val="34"/>
        </w:rPr>
      </w:pPr>
    </w:p>
    <w:p>
      <w:pPr>
        <w:pStyle w:val="ListParagraph"/>
        <w:numPr>
          <w:ilvl w:val="1"/>
          <w:numId w:val="12"/>
        </w:numPr>
        <w:tabs>
          <w:tab w:pos="838" w:val="left" w:leader="none"/>
        </w:tabs>
        <w:spacing w:line="256" w:lineRule="auto" w:before="0" w:after="0"/>
        <w:ind w:left="833" w:right="107" w:hanging="720"/>
        <w:jc w:val="both"/>
        <w:rPr>
          <w:sz w:val="21"/>
        </w:rPr>
      </w:pPr>
      <w:r>
        <w:rPr>
          <w:w w:val="105"/>
          <w:sz w:val="21"/>
        </w:rPr>
        <w:t>Southwest Airlines Co. Outside Director Incentive Plan (incorporated by reference to </w:t>
      </w:r>
      <w:r>
        <w:rPr>
          <w:w w:val="105"/>
          <w:sz w:val="21"/>
          <w:u w:val="single"/>
        </w:rPr>
        <w:t>Exhibit 10.1 </w:t>
      </w:r>
      <w:r>
        <w:rPr>
          <w:w w:val="105"/>
          <w:sz w:val="21"/>
        </w:rPr>
        <w:t>to Southwest’s Quarterly Report on Form 10-Q for the quarter ended March 31, 2002 (File No. 1- 7259)).</w:t>
      </w:r>
    </w:p>
    <w:p>
      <w:pPr>
        <w:pStyle w:val="BodyText"/>
        <w:spacing w:before="10"/>
        <w:rPr>
          <w:sz w:val="33"/>
        </w:rPr>
      </w:pPr>
    </w:p>
    <w:p>
      <w:pPr>
        <w:pStyle w:val="ListParagraph"/>
        <w:numPr>
          <w:ilvl w:val="1"/>
          <w:numId w:val="12"/>
        </w:numPr>
        <w:tabs>
          <w:tab w:pos="834" w:val="left" w:leader="none"/>
        </w:tabs>
        <w:spacing w:line="254" w:lineRule="auto" w:before="0" w:after="0"/>
        <w:ind w:left="833" w:right="107" w:hanging="720"/>
        <w:jc w:val="both"/>
        <w:rPr>
          <w:sz w:val="21"/>
        </w:rPr>
      </w:pPr>
      <w:r>
        <w:rPr>
          <w:spacing w:val="2"/>
          <w:w w:val="105"/>
          <w:sz w:val="21"/>
        </w:rPr>
        <w:t>1998 SAEA Non-Qualified Stock Option Plan (incorporated </w:t>
      </w:r>
      <w:r>
        <w:rPr>
          <w:w w:val="105"/>
          <w:sz w:val="21"/>
        </w:rPr>
        <w:t>by </w:t>
      </w:r>
      <w:r>
        <w:rPr>
          <w:spacing w:val="2"/>
          <w:w w:val="105"/>
          <w:sz w:val="21"/>
        </w:rPr>
        <w:t>reference </w:t>
      </w:r>
      <w:r>
        <w:rPr>
          <w:w w:val="105"/>
          <w:sz w:val="21"/>
        </w:rPr>
        <w:t>to </w:t>
      </w:r>
      <w:r>
        <w:rPr>
          <w:spacing w:val="2"/>
          <w:w w:val="105"/>
          <w:sz w:val="21"/>
          <w:u w:val="single"/>
        </w:rPr>
        <w:t>Exhibit 10.17 </w:t>
      </w:r>
      <w:r>
        <w:rPr>
          <w:spacing w:val="3"/>
          <w:w w:val="105"/>
          <w:sz w:val="21"/>
        </w:rPr>
        <w:t>to </w:t>
      </w:r>
      <w:r>
        <w:rPr>
          <w:w w:val="105"/>
          <w:sz w:val="21"/>
        </w:rPr>
        <w:t>Southwest’s Annual Report on Form 10-K for the year ended December 31, 2002 (File No. 1- 7259)).</w:t>
      </w:r>
    </w:p>
    <w:p>
      <w:pPr>
        <w:pStyle w:val="BodyText"/>
        <w:spacing w:before="1"/>
        <w:rPr>
          <w:sz w:val="34"/>
        </w:rPr>
      </w:pPr>
    </w:p>
    <w:p>
      <w:pPr>
        <w:pStyle w:val="ListParagraph"/>
        <w:numPr>
          <w:ilvl w:val="1"/>
          <w:numId w:val="12"/>
        </w:numPr>
        <w:tabs>
          <w:tab w:pos="834" w:val="left" w:leader="none"/>
        </w:tabs>
        <w:spacing w:line="256" w:lineRule="auto" w:before="0" w:after="0"/>
        <w:ind w:left="833" w:right="112" w:hanging="720"/>
        <w:jc w:val="both"/>
        <w:rPr>
          <w:sz w:val="21"/>
        </w:rPr>
      </w:pPr>
      <w:r>
        <w:rPr>
          <w:w w:val="105"/>
          <w:sz w:val="21"/>
        </w:rPr>
        <w:t>1999 SWAPIA Non-Qualified Stock Option Plan (incorporated by reference to </w:t>
      </w:r>
      <w:r>
        <w:rPr>
          <w:w w:val="105"/>
          <w:sz w:val="21"/>
          <w:u w:val="single"/>
        </w:rPr>
        <w:t>Exhibit 10.18 </w:t>
      </w:r>
      <w:r>
        <w:rPr>
          <w:w w:val="105"/>
          <w:sz w:val="21"/>
        </w:rPr>
        <w:t>to Southwest’s Annual Report on Form 10-K for the year ended December 31, 2002 (File No. 1- 7259)).</w:t>
      </w:r>
    </w:p>
    <w:p>
      <w:pPr>
        <w:pStyle w:val="BodyText"/>
        <w:spacing w:before="10"/>
        <w:rPr>
          <w:sz w:val="33"/>
        </w:rPr>
      </w:pPr>
    </w:p>
    <w:p>
      <w:pPr>
        <w:pStyle w:val="ListParagraph"/>
        <w:numPr>
          <w:ilvl w:val="1"/>
          <w:numId w:val="12"/>
        </w:numPr>
        <w:tabs>
          <w:tab w:pos="834" w:val="left" w:leader="none"/>
        </w:tabs>
        <w:spacing w:line="252" w:lineRule="auto" w:before="0" w:after="0"/>
        <w:ind w:left="833" w:right="105" w:hanging="720"/>
        <w:jc w:val="both"/>
        <w:rPr>
          <w:sz w:val="21"/>
        </w:rPr>
      </w:pPr>
      <w:r>
        <w:rPr>
          <w:spacing w:val="3"/>
          <w:w w:val="105"/>
          <w:sz w:val="21"/>
        </w:rPr>
        <w:t>LUV 2000 </w:t>
      </w:r>
      <w:r>
        <w:rPr>
          <w:spacing w:val="4"/>
          <w:w w:val="105"/>
          <w:sz w:val="21"/>
        </w:rPr>
        <w:t>Non-Qualified Stock Option </w:t>
      </w:r>
      <w:r>
        <w:rPr>
          <w:spacing w:val="3"/>
          <w:w w:val="105"/>
          <w:sz w:val="21"/>
        </w:rPr>
        <w:t>Plan </w:t>
      </w:r>
      <w:r>
        <w:rPr>
          <w:spacing w:val="4"/>
          <w:w w:val="105"/>
          <w:sz w:val="21"/>
        </w:rPr>
        <w:t>(incorporated </w:t>
      </w:r>
      <w:r>
        <w:rPr>
          <w:spacing w:val="2"/>
          <w:w w:val="105"/>
          <w:sz w:val="21"/>
        </w:rPr>
        <w:t>by </w:t>
      </w:r>
      <w:r>
        <w:rPr>
          <w:spacing w:val="4"/>
          <w:w w:val="105"/>
          <w:sz w:val="21"/>
        </w:rPr>
        <w:t>reference </w:t>
      </w:r>
      <w:r>
        <w:rPr>
          <w:spacing w:val="2"/>
          <w:w w:val="105"/>
          <w:sz w:val="21"/>
        </w:rPr>
        <w:t>to </w:t>
      </w:r>
      <w:r>
        <w:rPr>
          <w:spacing w:val="4"/>
          <w:w w:val="105"/>
          <w:sz w:val="21"/>
          <w:u w:val="single"/>
        </w:rPr>
        <w:t>Exhibit </w:t>
      </w:r>
      <w:r>
        <w:rPr>
          <w:spacing w:val="3"/>
          <w:w w:val="105"/>
          <w:sz w:val="21"/>
          <w:u w:val="single"/>
        </w:rPr>
        <w:t>4.1 </w:t>
      </w:r>
      <w:r>
        <w:rPr>
          <w:spacing w:val="5"/>
          <w:w w:val="105"/>
          <w:sz w:val="21"/>
        </w:rPr>
        <w:t>to </w:t>
      </w:r>
      <w:r>
        <w:rPr>
          <w:w w:val="105"/>
          <w:sz w:val="21"/>
        </w:rPr>
        <w:t>Registration</w:t>
      </w:r>
      <w:r>
        <w:rPr>
          <w:spacing w:val="-16"/>
          <w:w w:val="105"/>
          <w:sz w:val="21"/>
        </w:rPr>
        <w:t> </w:t>
      </w:r>
      <w:r>
        <w:rPr>
          <w:w w:val="105"/>
          <w:sz w:val="21"/>
        </w:rPr>
        <w:t>Statement</w:t>
      </w:r>
      <w:r>
        <w:rPr>
          <w:spacing w:val="-16"/>
          <w:w w:val="105"/>
          <w:sz w:val="21"/>
        </w:rPr>
        <w:t> </w:t>
      </w:r>
      <w:r>
        <w:rPr>
          <w:w w:val="105"/>
          <w:sz w:val="21"/>
        </w:rPr>
        <w:t>on</w:t>
      </w:r>
      <w:r>
        <w:rPr>
          <w:spacing w:val="-16"/>
          <w:w w:val="105"/>
          <w:sz w:val="21"/>
        </w:rPr>
        <w:t> </w:t>
      </w:r>
      <w:r>
        <w:rPr>
          <w:w w:val="105"/>
          <w:sz w:val="21"/>
        </w:rPr>
        <w:t>Form</w:t>
      </w:r>
      <w:r>
        <w:rPr>
          <w:spacing w:val="-16"/>
          <w:w w:val="105"/>
          <w:sz w:val="21"/>
        </w:rPr>
        <w:t> </w:t>
      </w:r>
      <w:r>
        <w:rPr>
          <w:w w:val="105"/>
          <w:sz w:val="21"/>
        </w:rPr>
        <w:t>S-8</w:t>
      </w:r>
      <w:r>
        <w:rPr>
          <w:spacing w:val="-16"/>
          <w:w w:val="105"/>
          <w:sz w:val="21"/>
        </w:rPr>
        <w:t> </w:t>
      </w:r>
      <w:r>
        <w:rPr>
          <w:w w:val="105"/>
          <w:sz w:val="21"/>
        </w:rPr>
        <w:t>(File</w:t>
      </w:r>
      <w:r>
        <w:rPr>
          <w:spacing w:val="-16"/>
          <w:w w:val="105"/>
          <w:sz w:val="21"/>
        </w:rPr>
        <w:t> </w:t>
      </w:r>
      <w:r>
        <w:rPr>
          <w:w w:val="105"/>
          <w:sz w:val="21"/>
        </w:rPr>
        <w:t>No.</w:t>
      </w:r>
      <w:r>
        <w:rPr>
          <w:spacing w:val="-16"/>
          <w:w w:val="105"/>
          <w:sz w:val="21"/>
        </w:rPr>
        <w:t> </w:t>
      </w:r>
      <w:r>
        <w:rPr>
          <w:w w:val="105"/>
          <w:sz w:val="21"/>
        </w:rPr>
        <w:t>333-53610)).</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pStyle w:val="BodyText"/>
        <w:spacing w:before="114"/>
        <w:ind w:left="4098" w:right="4099"/>
        <w:jc w:val="center"/>
      </w:pPr>
      <w:r>
        <w:rPr>
          <w:w w:val="105"/>
        </w:rPr>
        <w:t>A-55</w:t>
      </w:r>
    </w:p>
    <w:p>
      <w:pPr>
        <w:spacing w:after="0"/>
        <w:jc w:val="center"/>
        <w:sectPr>
          <w:pgSz w:w="12240" w:h="15840"/>
          <w:pgMar w:top="1120" w:bottom="280" w:left="1240" w:right="1320"/>
        </w:sectPr>
      </w:pPr>
    </w:p>
    <w:p>
      <w:pPr>
        <w:pStyle w:val="ListParagraph"/>
        <w:numPr>
          <w:ilvl w:val="1"/>
          <w:numId w:val="12"/>
        </w:numPr>
        <w:tabs>
          <w:tab w:pos="834" w:val="left" w:leader="none"/>
        </w:tabs>
        <w:spacing w:line="259" w:lineRule="auto" w:before="100" w:after="0"/>
        <w:ind w:left="833" w:right="103" w:hanging="720"/>
        <w:jc w:val="both"/>
        <w:rPr>
          <w:sz w:val="21"/>
        </w:rPr>
      </w:pPr>
      <w:r>
        <w:rPr>
          <w:spacing w:val="3"/>
          <w:w w:val="105"/>
          <w:sz w:val="21"/>
        </w:rPr>
        <w:t>2000 </w:t>
      </w:r>
      <w:r>
        <w:rPr>
          <w:spacing w:val="4"/>
          <w:w w:val="105"/>
          <w:sz w:val="21"/>
        </w:rPr>
        <w:t>Aircraft Appearance Technicians Non-Qualified Stock Option </w:t>
      </w:r>
      <w:r>
        <w:rPr>
          <w:spacing w:val="3"/>
          <w:w w:val="105"/>
          <w:sz w:val="21"/>
        </w:rPr>
        <w:t>Plan </w:t>
      </w:r>
      <w:r>
        <w:rPr>
          <w:spacing w:val="4"/>
          <w:w w:val="105"/>
          <w:sz w:val="21"/>
        </w:rPr>
        <w:t>(incorporated </w:t>
      </w:r>
      <w:r>
        <w:rPr>
          <w:spacing w:val="5"/>
          <w:w w:val="105"/>
          <w:sz w:val="21"/>
        </w:rPr>
        <w:t>by reference </w:t>
      </w:r>
      <w:r>
        <w:rPr>
          <w:spacing w:val="3"/>
          <w:w w:val="105"/>
          <w:sz w:val="21"/>
        </w:rPr>
        <w:t>to </w:t>
      </w:r>
      <w:r>
        <w:rPr>
          <w:spacing w:val="5"/>
          <w:w w:val="105"/>
          <w:sz w:val="21"/>
          <w:u w:val="single"/>
        </w:rPr>
        <w:t>Exhibit </w:t>
      </w:r>
      <w:r>
        <w:rPr>
          <w:spacing w:val="4"/>
          <w:w w:val="105"/>
          <w:sz w:val="21"/>
          <w:u w:val="single"/>
        </w:rPr>
        <w:t>4.1 </w:t>
      </w:r>
      <w:r>
        <w:rPr>
          <w:spacing w:val="3"/>
          <w:w w:val="105"/>
          <w:sz w:val="21"/>
        </w:rPr>
        <w:t>to </w:t>
      </w:r>
      <w:r>
        <w:rPr>
          <w:spacing w:val="5"/>
          <w:w w:val="105"/>
          <w:sz w:val="21"/>
        </w:rPr>
        <w:t>Registration Statement </w:t>
      </w:r>
      <w:r>
        <w:rPr>
          <w:spacing w:val="3"/>
          <w:w w:val="105"/>
          <w:sz w:val="21"/>
        </w:rPr>
        <w:t>on </w:t>
      </w:r>
      <w:r>
        <w:rPr>
          <w:spacing w:val="4"/>
          <w:w w:val="105"/>
          <w:sz w:val="21"/>
        </w:rPr>
        <w:t>Form S-8 (File No. </w:t>
      </w:r>
      <w:r>
        <w:rPr>
          <w:spacing w:val="6"/>
          <w:w w:val="105"/>
          <w:sz w:val="21"/>
        </w:rPr>
        <w:t>333-52388)); </w:t>
      </w:r>
      <w:r>
        <w:rPr>
          <w:w w:val="105"/>
          <w:sz w:val="21"/>
        </w:rPr>
        <w:t>Amendment No. 1 to 2000 Aircraft Appearance Technicians Non-Qualified Stock Option Plan (incorporated by reference to </w:t>
      </w:r>
      <w:r>
        <w:rPr>
          <w:w w:val="105"/>
          <w:sz w:val="21"/>
          <w:u w:val="single"/>
        </w:rPr>
        <w:t>Exhibit 10.4 </w:t>
      </w:r>
      <w:r>
        <w:rPr>
          <w:w w:val="105"/>
          <w:sz w:val="21"/>
        </w:rPr>
        <w:t>to Southwest’s Quarterly Report on Form 10-Q for the quarter</w:t>
      </w:r>
      <w:r>
        <w:rPr>
          <w:spacing w:val="-14"/>
          <w:w w:val="105"/>
          <w:sz w:val="21"/>
        </w:rPr>
        <w:t> </w:t>
      </w:r>
      <w:r>
        <w:rPr>
          <w:w w:val="105"/>
          <w:sz w:val="21"/>
        </w:rPr>
        <w:t>ended</w:t>
      </w:r>
      <w:r>
        <w:rPr>
          <w:spacing w:val="-14"/>
          <w:w w:val="105"/>
          <w:sz w:val="21"/>
        </w:rPr>
        <w:t> </w:t>
      </w:r>
      <w:r>
        <w:rPr>
          <w:w w:val="105"/>
          <w:sz w:val="21"/>
        </w:rPr>
        <w:t>June</w:t>
      </w:r>
      <w:r>
        <w:rPr>
          <w:spacing w:val="-14"/>
          <w:w w:val="105"/>
          <w:sz w:val="21"/>
        </w:rPr>
        <w:t> </w:t>
      </w:r>
      <w:r>
        <w:rPr>
          <w:w w:val="105"/>
          <w:sz w:val="21"/>
        </w:rPr>
        <w:t>30,</w:t>
      </w:r>
      <w:r>
        <w:rPr>
          <w:spacing w:val="-14"/>
          <w:w w:val="105"/>
          <w:sz w:val="21"/>
        </w:rPr>
        <w:t> </w:t>
      </w:r>
      <w:r>
        <w:rPr>
          <w:w w:val="105"/>
          <w:sz w:val="21"/>
        </w:rPr>
        <w:t>2003</w:t>
      </w:r>
      <w:r>
        <w:rPr>
          <w:spacing w:val="-14"/>
          <w:w w:val="105"/>
          <w:sz w:val="21"/>
        </w:rPr>
        <w:t> </w:t>
      </w:r>
      <w:r>
        <w:rPr>
          <w:w w:val="105"/>
          <w:sz w:val="21"/>
        </w:rPr>
        <w:t>(File</w:t>
      </w:r>
      <w:r>
        <w:rPr>
          <w:spacing w:val="-14"/>
          <w:w w:val="105"/>
          <w:sz w:val="21"/>
        </w:rPr>
        <w:t> </w:t>
      </w:r>
      <w:r>
        <w:rPr>
          <w:w w:val="105"/>
          <w:sz w:val="21"/>
        </w:rPr>
        <w:t>No.</w:t>
      </w:r>
      <w:r>
        <w:rPr>
          <w:spacing w:val="-14"/>
          <w:w w:val="105"/>
          <w:sz w:val="21"/>
        </w:rPr>
        <w:t> </w:t>
      </w:r>
      <w:r>
        <w:rPr>
          <w:w w:val="105"/>
          <w:sz w:val="21"/>
        </w:rPr>
        <w:t>1-7259)).</w:t>
      </w:r>
    </w:p>
    <w:p>
      <w:pPr>
        <w:pStyle w:val="BodyText"/>
        <w:spacing w:before="8"/>
        <w:rPr>
          <w:sz w:val="33"/>
        </w:rPr>
      </w:pPr>
    </w:p>
    <w:p>
      <w:pPr>
        <w:pStyle w:val="ListParagraph"/>
        <w:numPr>
          <w:ilvl w:val="1"/>
          <w:numId w:val="12"/>
        </w:numPr>
        <w:tabs>
          <w:tab w:pos="838" w:val="left" w:leader="none"/>
        </w:tabs>
        <w:spacing w:line="256" w:lineRule="auto" w:before="0" w:after="0"/>
        <w:ind w:left="833" w:right="109" w:hanging="720"/>
        <w:jc w:val="both"/>
        <w:rPr>
          <w:sz w:val="21"/>
        </w:rPr>
      </w:pPr>
      <w:r>
        <w:rPr>
          <w:w w:val="105"/>
          <w:sz w:val="21"/>
        </w:rPr>
        <w:t>2000 Stock Clerks Non-Qualified Stock Option Plan (incorporated by reference to </w:t>
      </w:r>
      <w:r>
        <w:rPr>
          <w:w w:val="105"/>
          <w:sz w:val="21"/>
          <w:u w:val="single"/>
        </w:rPr>
        <w:t>Exhibit 4.1 </w:t>
      </w:r>
      <w:r>
        <w:rPr>
          <w:w w:val="105"/>
          <w:sz w:val="21"/>
        </w:rPr>
        <w:t>to Registration Statement on Form S-8 (File No. 333-52390)); Amendment No. 1 to 2000 Stock</w:t>
      </w:r>
      <w:r>
        <w:rPr>
          <w:spacing w:val="55"/>
          <w:w w:val="105"/>
          <w:sz w:val="21"/>
        </w:rPr>
        <w:t> </w:t>
      </w:r>
      <w:r>
        <w:rPr>
          <w:w w:val="105"/>
          <w:sz w:val="21"/>
        </w:rPr>
        <w:t>Clerks Non-Qualified Stock Option Plan (incorporated by reference to </w:t>
      </w:r>
      <w:r>
        <w:rPr>
          <w:w w:val="105"/>
          <w:sz w:val="21"/>
          <w:u w:val="single"/>
        </w:rPr>
        <w:t>Exhibit 10.5 </w:t>
      </w:r>
      <w:r>
        <w:rPr>
          <w:w w:val="105"/>
          <w:sz w:val="21"/>
        </w:rPr>
        <w:t>to Southwest’s Quarterly</w:t>
      </w:r>
      <w:r>
        <w:rPr>
          <w:spacing w:val="-11"/>
          <w:w w:val="105"/>
          <w:sz w:val="21"/>
        </w:rPr>
        <w:t> </w:t>
      </w:r>
      <w:r>
        <w:rPr>
          <w:w w:val="105"/>
          <w:sz w:val="21"/>
        </w:rPr>
        <w:t>Report</w:t>
      </w:r>
      <w:r>
        <w:rPr>
          <w:spacing w:val="-12"/>
          <w:w w:val="105"/>
          <w:sz w:val="21"/>
        </w:rPr>
        <w:t> </w:t>
      </w:r>
      <w:r>
        <w:rPr>
          <w:w w:val="105"/>
          <w:sz w:val="21"/>
        </w:rPr>
        <w:t>on</w:t>
      </w:r>
      <w:r>
        <w:rPr>
          <w:spacing w:val="-12"/>
          <w:w w:val="105"/>
          <w:sz w:val="21"/>
        </w:rPr>
        <w:t> </w:t>
      </w:r>
      <w:r>
        <w:rPr>
          <w:w w:val="105"/>
          <w:sz w:val="21"/>
        </w:rPr>
        <w:t>Form</w:t>
      </w:r>
      <w:r>
        <w:rPr>
          <w:spacing w:val="-12"/>
          <w:w w:val="105"/>
          <w:sz w:val="21"/>
        </w:rPr>
        <w:t> </w:t>
      </w:r>
      <w:r>
        <w:rPr>
          <w:w w:val="105"/>
          <w:sz w:val="21"/>
        </w:rPr>
        <w:t>10-Q</w:t>
      </w:r>
      <w:r>
        <w:rPr>
          <w:spacing w:val="-12"/>
          <w:w w:val="105"/>
          <w:sz w:val="21"/>
        </w:rPr>
        <w:t> </w:t>
      </w:r>
      <w:r>
        <w:rPr>
          <w:w w:val="105"/>
          <w:sz w:val="21"/>
        </w:rPr>
        <w:t>for</w:t>
      </w:r>
      <w:r>
        <w:rPr>
          <w:spacing w:val="-12"/>
          <w:w w:val="105"/>
          <w:sz w:val="21"/>
        </w:rPr>
        <w:t> </w:t>
      </w:r>
      <w:r>
        <w:rPr>
          <w:w w:val="105"/>
          <w:sz w:val="21"/>
        </w:rPr>
        <w:t>the</w:t>
      </w:r>
      <w:r>
        <w:rPr>
          <w:spacing w:val="-12"/>
          <w:w w:val="105"/>
          <w:sz w:val="21"/>
        </w:rPr>
        <w:t> </w:t>
      </w:r>
      <w:r>
        <w:rPr>
          <w:w w:val="105"/>
          <w:sz w:val="21"/>
        </w:rPr>
        <w:t>quarter</w:t>
      </w:r>
      <w:r>
        <w:rPr>
          <w:spacing w:val="-12"/>
          <w:w w:val="105"/>
          <w:sz w:val="21"/>
        </w:rPr>
        <w:t> </w:t>
      </w:r>
      <w:r>
        <w:rPr>
          <w:w w:val="105"/>
          <w:sz w:val="21"/>
        </w:rPr>
        <w:t>ended</w:t>
      </w:r>
      <w:r>
        <w:rPr>
          <w:spacing w:val="-12"/>
          <w:w w:val="105"/>
          <w:sz w:val="21"/>
        </w:rPr>
        <w:t> </w:t>
      </w:r>
      <w:r>
        <w:rPr>
          <w:w w:val="105"/>
          <w:sz w:val="21"/>
        </w:rPr>
        <w:t>June</w:t>
      </w:r>
      <w:r>
        <w:rPr>
          <w:spacing w:val="-12"/>
          <w:w w:val="105"/>
          <w:sz w:val="21"/>
        </w:rPr>
        <w:t> </w:t>
      </w:r>
      <w:r>
        <w:rPr>
          <w:w w:val="105"/>
          <w:sz w:val="21"/>
        </w:rPr>
        <w:t>30,</w:t>
      </w:r>
      <w:r>
        <w:rPr>
          <w:spacing w:val="-12"/>
          <w:w w:val="105"/>
          <w:sz w:val="21"/>
        </w:rPr>
        <w:t> </w:t>
      </w:r>
      <w:r>
        <w:rPr>
          <w:w w:val="105"/>
          <w:sz w:val="21"/>
        </w:rPr>
        <w:t>2003</w:t>
      </w:r>
      <w:r>
        <w:rPr>
          <w:spacing w:val="-12"/>
          <w:w w:val="105"/>
          <w:sz w:val="21"/>
        </w:rPr>
        <w:t> </w:t>
      </w:r>
      <w:r>
        <w:rPr>
          <w:w w:val="105"/>
          <w:sz w:val="21"/>
        </w:rPr>
        <w:t>(File</w:t>
      </w:r>
      <w:r>
        <w:rPr>
          <w:spacing w:val="-12"/>
          <w:w w:val="105"/>
          <w:sz w:val="21"/>
        </w:rPr>
        <w:t> </w:t>
      </w:r>
      <w:r>
        <w:rPr>
          <w:w w:val="105"/>
          <w:sz w:val="21"/>
        </w:rPr>
        <w:t>No.</w:t>
      </w:r>
      <w:r>
        <w:rPr>
          <w:spacing w:val="-12"/>
          <w:w w:val="105"/>
          <w:sz w:val="21"/>
        </w:rPr>
        <w:t> </w:t>
      </w:r>
      <w:r>
        <w:rPr>
          <w:w w:val="105"/>
          <w:sz w:val="21"/>
        </w:rPr>
        <w:t>1-7259)).</w:t>
      </w:r>
    </w:p>
    <w:p>
      <w:pPr>
        <w:pStyle w:val="BodyText"/>
        <w:spacing w:before="5"/>
        <w:rPr>
          <w:sz w:val="33"/>
        </w:rPr>
      </w:pPr>
    </w:p>
    <w:p>
      <w:pPr>
        <w:pStyle w:val="ListParagraph"/>
        <w:numPr>
          <w:ilvl w:val="1"/>
          <w:numId w:val="12"/>
        </w:numPr>
        <w:tabs>
          <w:tab w:pos="838" w:val="left" w:leader="none"/>
        </w:tabs>
        <w:spacing w:line="259" w:lineRule="auto" w:before="1" w:after="0"/>
        <w:ind w:left="833" w:right="106" w:hanging="720"/>
        <w:jc w:val="both"/>
        <w:rPr>
          <w:sz w:val="21"/>
        </w:rPr>
      </w:pPr>
      <w:r>
        <w:rPr>
          <w:w w:val="105"/>
          <w:sz w:val="21"/>
        </w:rPr>
        <w:t>2000 Flight Simulator Technicians Non-Qualified Stock Option Plan (incorporated by reference to </w:t>
      </w:r>
      <w:r>
        <w:rPr>
          <w:w w:val="105"/>
          <w:sz w:val="21"/>
          <w:u w:val="single"/>
        </w:rPr>
        <w:t>Exhibit 4.1 </w:t>
      </w:r>
      <w:r>
        <w:rPr>
          <w:w w:val="105"/>
          <w:sz w:val="21"/>
        </w:rPr>
        <w:t>to Registration Statement on Form S-8 (File No. 333-53616)); Amendment No. 1 to 2000 Flight Simulator Technicians Non-Qualified Stock Option Plan  (incorporated by reference  to </w:t>
      </w:r>
      <w:r>
        <w:rPr>
          <w:w w:val="105"/>
          <w:sz w:val="21"/>
          <w:u w:val="single"/>
        </w:rPr>
        <w:t>Exhibit 10.6 </w:t>
      </w:r>
      <w:r>
        <w:rPr>
          <w:w w:val="105"/>
          <w:sz w:val="21"/>
        </w:rPr>
        <w:t>to Southwest’s Quarterly Report on Form 10-Q for the quarter ended June 30, 2003 (File No.</w:t>
      </w:r>
      <w:r>
        <w:rPr>
          <w:spacing w:val="-36"/>
          <w:w w:val="105"/>
          <w:sz w:val="21"/>
        </w:rPr>
        <w:t> </w:t>
      </w:r>
      <w:r>
        <w:rPr>
          <w:w w:val="105"/>
          <w:sz w:val="21"/>
        </w:rPr>
        <w:t>1-7259)).</w:t>
      </w:r>
    </w:p>
    <w:p>
      <w:pPr>
        <w:pStyle w:val="BodyText"/>
        <w:spacing w:before="8"/>
        <w:rPr>
          <w:sz w:val="33"/>
        </w:rPr>
      </w:pPr>
    </w:p>
    <w:p>
      <w:pPr>
        <w:pStyle w:val="ListParagraph"/>
        <w:numPr>
          <w:ilvl w:val="1"/>
          <w:numId w:val="12"/>
        </w:numPr>
        <w:tabs>
          <w:tab w:pos="834" w:val="left" w:leader="none"/>
        </w:tabs>
        <w:spacing w:line="252" w:lineRule="auto" w:before="0" w:after="0"/>
        <w:ind w:left="833" w:right="112" w:hanging="720"/>
        <w:jc w:val="both"/>
        <w:rPr>
          <w:sz w:val="21"/>
        </w:rPr>
      </w:pPr>
      <w:r>
        <w:rPr>
          <w:spacing w:val="2"/>
          <w:w w:val="105"/>
          <w:sz w:val="21"/>
        </w:rPr>
        <w:t>2002 SWAPA Non-Qualified Stock Option Plan (incorporated </w:t>
      </w:r>
      <w:r>
        <w:rPr>
          <w:w w:val="105"/>
          <w:sz w:val="21"/>
        </w:rPr>
        <w:t>by </w:t>
      </w:r>
      <w:r>
        <w:rPr>
          <w:spacing w:val="2"/>
          <w:w w:val="105"/>
          <w:sz w:val="21"/>
        </w:rPr>
        <w:t>reference </w:t>
      </w:r>
      <w:r>
        <w:rPr>
          <w:w w:val="105"/>
          <w:sz w:val="21"/>
        </w:rPr>
        <w:t>to </w:t>
      </w:r>
      <w:r>
        <w:rPr>
          <w:spacing w:val="2"/>
          <w:w w:val="105"/>
          <w:sz w:val="21"/>
          <w:u w:val="single"/>
        </w:rPr>
        <w:t>Exhibit </w:t>
      </w:r>
      <w:r>
        <w:rPr>
          <w:w w:val="105"/>
          <w:sz w:val="21"/>
          <w:u w:val="single"/>
        </w:rPr>
        <w:t>4.1 </w:t>
      </w:r>
      <w:r>
        <w:rPr>
          <w:spacing w:val="2"/>
          <w:w w:val="105"/>
          <w:sz w:val="21"/>
        </w:rPr>
        <w:t>to </w:t>
      </w:r>
      <w:r>
        <w:rPr>
          <w:w w:val="105"/>
          <w:sz w:val="21"/>
        </w:rPr>
        <w:t>Registration</w:t>
      </w:r>
      <w:r>
        <w:rPr>
          <w:spacing w:val="-16"/>
          <w:w w:val="105"/>
          <w:sz w:val="21"/>
        </w:rPr>
        <w:t> </w:t>
      </w:r>
      <w:r>
        <w:rPr>
          <w:w w:val="105"/>
          <w:sz w:val="21"/>
        </w:rPr>
        <w:t>Statement</w:t>
      </w:r>
      <w:r>
        <w:rPr>
          <w:spacing w:val="-16"/>
          <w:w w:val="105"/>
          <w:sz w:val="21"/>
        </w:rPr>
        <w:t> </w:t>
      </w:r>
      <w:r>
        <w:rPr>
          <w:w w:val="105"/>
          <w:sz w:val="21"/>
        </w:rPr>
        <w:t>on</w:t>
      </w:r>
      <w:r>
        <w:rPr>
          <w:spacing w:val="-16"/>
          <w:w w:val="105"/>
          <w:sz w:val="21"/>
        </w:rPr>
        <w:t> </w:t>
      </w:r>
      <w:r>
        <w:rPr>
          <w:w w:val="105"/>
          <w:sz w:val="21"/>
        </w:rPr>
        <w:t>Form</w:t>
      </w:r>
      <w:r>
        <w:rPr>
          <w:spacing w:val="-16"/>
          <w:w w:val="105"/>
          <w:sz w:val="21"/>
        </w:rPr>
        <w:t> </w:t>
      </w:r>
      <w:r>
        <w:rPr>
          <w:w w:val="105"/>
          <w:sz w:val="21"/>
        </w:rPr>
        <w:t>S-8</w:t>
      </w:r>
      <w:r>
        <w:rPr>
          <w:spacing w:val="-16"/>
          <w:w w:val="105"/>
          <w:sz w:val="21"/>
        </w:rPr>
        <w:t> </w:t>
      </w:r>
      <w:r>
        <w:rPr>
          <w:w w:val="105"/>
          <w:sz w:val="21"/>
        </w:rPr>
        <w:t>(File</w:t>
      </w:r>
      <w:r>
        <w:rPr>
          <w:spacing w:val="-16"/>
          <w:w w:val="105"/>
          <w:sz w:val="21"/>
        </w:rPr>
        <w:t> </w:t>
      </w:r>
      <w:r>
        <w:rPr>
          <w:w w:val="105"/>
          <w:sz w:val="21"/>
        </w:rPr>
        <w:t>No.</w:t>
      </w:r>
      <w:r>
        <w:rPr>
          <w:spacing w:val="-16"/>
          <w:w w:val="105"/>
          <w:sz w:val="21"/>
        </w:rPr>
        <w:t> </w:t>
      </w:r>
      <w:r>
        <w:rPr>
          <w:w w:val="105"/>
          <w:sz w:val="21"/>
        </w:rPr>
        <w:t>333-98761)).</w:t>
      </w:r>
    </w:p>
    <w:p>
      <w:pPr>
        <w:pStyle w:val="BodyText"/>
        <w:spacing w:before="3"/>
        <w:rPr>
          <w:sz w:val="34"/>
        </w:rPr>
      </w:pPr>
    </w:p>
    <w:p>
      <w:pPr>
        <w:pStyle w:val="ListParagraph"/>
        <w:numPr>
          <w:ilvl w:val="1"/>
          <w:numId w:val="12"/>
        </w:numPr>
        <w:tabs>
          <w:tab w:pos="837" w:val="left" w:leader="none"/>
        </w:tabs>
        <w:spacing w:line="252" w:lineRule="auto" w:before="0" w:after="0"/>
        <w:ind w:left="833" w:right="109" w:hanging="720"/>
        <w:jc w:val="both"/>
        <w:rPr>
          <w:sz w:val="21"/>
        </w:rPr>
      </w:pPr>
      <w:r>
        <w:rPr>
          <w:w w:val="105"/>
          <w:sz w:val="21"/>
        </w:rPr>
        <w:t>2002 Bonus SWAPA Non-Qualified Stock Option Plan (incorporated by reference to </w:t>
      </w:r>
      <w:r>
        <w:rPr>
          <w:w w:val="105"/>
          <w:sz w:val="21"/>
          <w:u w:val="single"/>
        </w:rPr>
        <w:t>Exhibit 4.1 </w:t>
      </w:r>
      <w:r>
        <w:rPr>
          <w:w w:val="105"/>
          <w:sz w:val="21"/>
        </w:rPr>
        <w:t>to</w:t>
      </w:r>
      <w:r>
        <w:rPr>
          <w:spacing w:val="-15"/>
          <w:w w:val="105"/>
          <w:sz w:val="21"/>
        </w:rPr>
        <w:t> </w:t>
      </w:r>
      <w:r>
        <w:rPr>
          <w:w w:val="105"/>
          <w:sz w:val="21"/>
        </w:rPr>
        <w:t>Registration</w:t>
      </w:r>
      <w:r>
        <w:rPr>
          <w:spacing w:val="-15"/>
          <w:w w:val="105"/>
          <w:sz w:val="21"/>
        </w:rPr>
        <w:t> </w:t>
      </w:r>
      <w:r>
        <w:rPr>
          <w:w w:val="105"/>
          <w:sz w:val="21"/>
        </w:rPr>
        <w:t>Statement</w:t>
      </w:r>
      <w:r>
        <w:rPr>
          <w:spacing w:val="-14"/>
          <w:w w:val="105"/>
          <w:sz w:val="21"/>
        </w:rPr>
        <w:t> </w:t>
      </w:r>
      <w:r>
        <w:rPr>
          <w:w w:val="105"/>
          <w:sz w:val="21"/>
        </w:rPr>
        <w:t>on</w:t>
      </w:r>
      <w:r>
        <w:rPr>
          <w:spacing w:val="-15"/>
          <w:w w:val="105"/>
          <w:sz w:val="21"/>
        </w:rPr>
        <w:t> </w:t>
      </w:r>
      <w:r>
        <w:rPr>
          <w:w w:val="105"/>
          <w:sz w:val="21"/>
        </w:rPr>
        <w:t>Form</w:t>
      </w:r>
      <w:r>
        <w:rPr>
          <w:spacing w:val="-15"/>
          <w:w w:val="105"/>
          <w:sz w:val="21"/>
        </w:rPr>
        <w:t> </w:t>
      </w:r>
      <w:r>
        <w:rPr>
          <w:w w:val="105"/>
          <w:sz w:val="21"/>
        </w:rPr>
        <w:t>S-8</w:t>
      </w:r>
      <w:r>
        <w:rPr>
          <w:spacing w:val="-15"/>
          <w:w w:val="105"/>
          <w:sz w:val="21"/>
        </w:rPr>
        <w:t> </w:t>
      </w:r>
      <w:r>
        <w:rPr>
          <w:w w:val="105"/>
          <w:sz w:val="21"/>
        </w:rPr>
        <w:t>(File</w:t>
      </w:r>
      <w:r>
        <w:rPr>
          <w:spacing w:val="-15"/>
          <w:w w:val="105"/>
          <w:sz w:val="21"/>
        </w:rPr>
        <w:t> </w:t>
      </w:r>
      <w:r>
        <w:rPr>
          <w:w w:val="105"/>
          <w:sz w:val="21"/>
        </w:rPr>
        <w:t>No.</w:t>
      </w:r>
      <w:r>
        <w:rPr>
          <w:spacing w:val="-15"/>
          <w:w w:val="105"/>
          <w:sz w:val="21"/>
        </w:rPr>
        <w:t> </w:t>
      </w:r>
      <w:r>
        <w:rPr>
          <w:w w:val="105"/>
          <w:sz w:val="21"/>
        </w:rPr>
        <w:t>333-98761)).</w:t>
      </w:r>
    </w:p>
    <w:p>
      <w:pPr>
        <w:pStyle w:val="BodyText"/>
        <w:spacing w:before="3"/>
        <w:rPr>
          <w:sz w:val="34"/>
        </w:rPr>
      </w:pPr>
    </w:p>
    <w:p>
      <w:pPr>
        <w:pStyle w:val="ListParagraph"/>
        <w:numPr>
          <w:ilvl w:val="1"/>
          <w:numId w:val="12"/>
        </w:numPr>
        <w:tabs>
          <w:tab w:pos="834" w:val="left" w:leader="none"/>
        </w:tabs>
        <w:spacing w:line="252" w:lineRule="auto" w:before="0" w:after="0"/>
        <w:ind w:left="833" w:right="109" w:hanging="720"/>
        <w:jc w:val="both"/>
        <w:rPr>
          <w:sz w:val="21"/>
        </w:rPr>
      </w:pPr>
      <w:r>
        <w:rPr>
          <w:spacing w:val="2"/>
          <w:w w:val="105"/>
          <w:sz w:val="21"/>
        </w:rPr>
        <w:t>2002 SWAPIA Non-Qualified Stock Option Plan (incorporated </w:t>
      </w:r>
      <w:r>
        <w:rPr>
          <w:w w:val="105"/>
          <w:sz w:val="21"/>
        </w:rPr>
        <w:t>by </w:t>
      </w:r>
      <w:r>
        <w:rPr>
          <w:spacing w:val="2"/>
          <w:w w:val="105"/>
          <w:sz w:val="21"/>
        </w:rPr>
        <w:t>reference </w:t>
      </w:r>
      <w:r>
        <w:rPr>
          <w:w w:val="105"/>
          <w:sz w:val="21"/>
        </w:rPr>
        <w:t>to </w:t>
      </w:r>
      <w:r>
        <w:rPr>
          <w:spacing w:val="2"/>
          <w:w w:val="105"/>
          <w:sz w:val="21"/>
          <w:u w:val="single"/>
        </w:rPr>
        <w:t>Exhibit </w:t>
      </w:r>
      <w:r>
        <w:rPr>
          <w:w w:val="105"/>
          <w:sz w:val="21"/>
          <w:u w:val="single"/>
        </w:rPr>
        <w:t>4.2 </w:t>
      </w:r>
      <w:r>
        <w:rPr>
          <w:w w:val="105"/>
          <w:sz w:val="21"/>
        </w:rPr>
        <w:t>to Registration</w:t>
      </w:r>
      <w:r>
        <w:rPr>
          <w:spacing w:val="-17"/>
          <w:w w:val="105"/>
          <w:sz w:val="21"/>
        </w:rPr>
        <w:t> </w:t>
      </w:r>
      <w:r>
        <w:rPr>
          <w:w w:val="105"/>
          <w:sz w:val="21"/>
        </w:rPr>
        <w:t>Statement</w:t>
      </w:r>
      <w:r>
        <w:rPr>
          <w:spacing w:val="-16"/>
          <w:w w:val="105"/>
          <w:sz w:val="21"/>
        </w:rPr>
        <w:t> </w:t>
      </w:r>
      <w:r>
        <w:rPr>
          <w:w w:val="105"/>
          <w:sz w:val="21"/>
        </w:rPr>
        <w:t>on</w:t>
      </w:r>
      <w:r>
        <w:rPr>
          <w:spacing w:val="-17"/>
          <w:w w:val="105"/>
          <w:sz w:val="21"/>
        </w:rPr>
        <w:t> </w:t>
      </w:r>
      <w:r>
        <w:rPr>
          <w:w w:val="105"/>
          <w:sz w:val="21"/>
        </w:rPr>
        <w:t>Form</w:t>
      </w:r>
      <w:r>
        <w:rPr>
          <w:spacing w:val="-17"/>
          <w:w w:val="105"/>
          <w:sz w:val="21"/>
        </w:rPr>
        <w:t> </w:t>
      </w:r>
      <w:r>
        <w:rPr>
          <w:w w:val="105"/>
          <w:sz w:val="21"/>
        </w:rPr>
        <w:t>S-8</w:t>
      </w:r>
      <w:r>
        <w:rPr>
          <w:spacing w:val="-17"/>
          <w:w w:val="105"/>
          <w:sz w:val="21"/>
        </w:rPr>
        <w:t> </w:t>
      </w:r>
      <w:r>
        <w:rPr>
          <w:w w:val="105"/>
          <w:sz w:val="21"/>
        </w:rPr>
        <w:t>(File</w:t>
      </w:r>
      <w:r>
        <w:rPr>
          <w:spacing w:val="-17"/>
          <w:w w:val="105"/>
          <w:sz w:val="21"/>
        </w:rPr>
        <w:t> </w:t>
      </w:r>
      <w:r>
        <w:rPr>
          <w:w w:val="105"/>
          <w:sz w:val="21"/>
        </w:rPr>
        <w:t>No.</w:t>
      </w:r>
      <w:r>
        <w:rPr>
          <w:spacing w:val="-17"/>
          <w:w w:val="105"/>
          <w:sz w:val="21"/>
        </w:rPr>
        <w:t> </w:t>
      </w:r>
      <w:r>
        <w:rPr>
          <w:w w:val="105"/>
          <w:sz w:val="21"/>
        </w:rPr>
        <w:t>333-100862)).</w:t>
      </w:r>
    </w:p>
    <w:p>
      <w:pPr>
        <w:pStyle w:val="BodyText"/>
        <w:spacing w:before="3"/>
        <w:rPr>
          <w:sz w:val="34"/>
        </w:rPr>
      </w:pPr>
    </w:p>
    <w:p>
      <w:pPr>
        <w:pStyle w:val="ListParagraph"/>
        <w:numPr>
          <w:ilvl w:val="1"/>
          <w:numId w:val="12"/>
        </w:numPr>
        <w:tabs>
          <w:tab w:pos="834" w:val="left" w:leader="none"/>
        </w:tabs>
        <w:spacing w:line="252" w:lineRule="auto" w:before="0" w:after="0"/>
        <w:ind w:left="833" w:right="113" w:hanging="720"/>
        <w:jc w:val="both"/>
        <w:rPr>
          <w:sz w:val="21"/>
        </w:rPr>
      </w:pPr>
      <w:r>
        <w:rPr>
          <w:w w:val="105"/>
          <w:sz w:val="21"/>
        </w:rPr>
        <w:t>2002 Mechanics Non-Qualified Stock Option Plan (incorporated by reference to </w:t>
      </w:r>
      <w:r>
        <w:rPr>
          <w:w w:val="105"/>
          <w:sz w:val="21"/>
          <w:u w:val="single"/>
        </w:rPr>
        <w:t>Exhibit 4.2 </w:t>
      </w:r>
      <w:r>
        <w:rPr>
          <w:w w:val="105"/>
          <w:sz w:val="21"/>
        </w:rPr>
        <w:t>to</w:t>
      </w:r>
      <w:r>
        <w:rPr>
          <w:spacing w:val="55"/>
          <w:w w:val="105"/>
          <w:sz w:val="21"/>
        </w:rPr>
        <w:t> </w:t>
      </w:r>
      <w:r>
        <w:rPr>
          <w:w w:val="105"/>
          <w:sz w:val="21"/>
        </w:rPr>
        <w:t>Registration</w:t>
      </w:r>
      <w:r>
        <w:rPr>
          <w:spacing w:val="-17"/>
          <w:w w:val="105"/>
          <w:sz w:val="21"/>
        </w:rPr>
        <w:t> </w:t>
      </w:r>
      <w:r>
        <w:rPr>
          <w:w w:val="105"/>
          <w:sz w:val="21"/>
        </w:rPr>
        <w:t>Statement</w:t>
      </w:r>
      <w:r>
        <w:rPr>
          <w:spacing w:val="-16"/>
          <w:w w:val="105"/>
          <w:sz w:val="21"/>
        </w:rPr>
        <w:t> </w:t>
      </w:r>
      <w:r>
        <w:rPr>
          <w:w w:val="105"/>
          <w:sz w:val="21"/>
        </w:rPr>
        <w:t>on</w:t>
      </w:r>
      <w:r>
        <w:rPr>
          <w:spacing w:val="-17"/>
          <w:w w:val="105"/>
          <w:sz w:val="21"/>
        </w:rPr>
        <w:t> </w:t>
      </w:r>
      <w:r>
        <w:rPr>
          <w:w w:val="105"/>
          <w:sz w:val="21"/>
        </w:rPr>
        <w:t>Form</w:t>
      </w:r>
      <w:r>
        <w:rPr>
          <w:spacing w:val="-17"/>
          <w:w w:val="105"/>
          <w:sz w:val="21"/>
        </w:rPr>
        <w:t> </w:t>
      </w:r>
      <w:r>
        <w:rPr>
          <w:w w:val="105"/>
          <w:sz w:val="21"/>
        </w:rPr>
        <w:t>S-8</w:t>
      </w:r>
      <w:r>
        <w:rPr>
          <w:spacing w:val="-17"/>
          <w:w w:val="105"/>
          <w:sz w:val="21"/>
        </w:rPr>
        <w:t> </w:t>
      </w:r>
      <w:r>
        <w:rPr>
          <w:w w:val="105"/>
          <w:sz w:val="21"/>
        </w:rPr>
        <w:t>(File</w:t>
      </w:r>
      <w:r>
        <w:rPr>
          <w:spacing w:val="-17"/>
          <w:w w:val="105"/>
          <w:sz w:val="21"/>
        </w:rPr>
        <w:t> </w:t>
      </w:r>
      <w:r>
        <w:rPr>
          <w:w w:val="105"/>
          <w:sz w:val="21"/>
        </w:rPr>
        <w:t>No.</w:t>
      </w:r>
      <w:r>
        <w:rPr>
          <w:spacing w:val="-17"/>
          <w:w w:val="105"/>
          <w:sz w:val="21"/>
        </w:rPr>
        <w:t> </w:t>
      </w:r>
      <w:r>
        <w:rPr>
          <w:w w:val="105"/>
          <w:sz w:val="21"/>
        </w:rPr>
        <w:t>333-100862)).</w:t>
      </w:r>
    </w:p>
    <w:p>
      <w:pPr>
        <w:pStyle w:val="BodyText"/>
        <w:spacing w:before="3"/>
        <w:rPr>
          <w:sz w:val="34"/>
        </w:rPr>
      </w:pPr>
    </w:p>
    <w:p>
      <w:pPr>
        <w:pStyle w:val="ListParagraph"/>
        <w:numPr>
          <w:ilvl w:val="1"/>
          <w:numId w:val="12"/>
        </w:numPr>
        <w:tabs>
          <w:tab w:pos="837" w:val="left" w:leader="none"/>
        </w:tabs>
        <w:spacing w:line="256" w:lineRule="auto" w:before="0" w:after="0"/>
        <w:ind w:left="833" w:right="107" w:hanging="720"/>
        <w:jc w:val="both"/>
        <w:rPr>
          <w:sz w:val="21"/>
        </w:rPr>
      </w:pPr>
      <w:r>
        <w:rPr>
          <w:w w:val="105"/>
          <w:sz w:val="21"/>
        </w:rPr>
        <w:t>2002 Ramp, Operations, Provisioning and Freight Non-Qualified Stock Option Plan (incorporated by reference to </w:t>
      </w:r>
      <w:r>
        <w:rPr>
          <w:w w:val="105"/>
          <w:sz w:val="21"/>
          <w:u w:val="single"/>
        </w:rPr>
        <w:t>Exhibit 10.27 </w:t>
      </w:r>
      <w:r>
        <w:rPr>
          <w:w w:val="105"/>
          <w:sz w:val="21"/>
        </w:rPr>
        <w:t>to Southwest’s Annual Report on Form 10-K for the year ended December</w:t>
      </w:r>
      <w:r>
        <w:rPr>
          <w:spacing w:val="-14"/>
          <w:w w:val="105"/>
          <w:sz w:val="21"/>
        </w:rPr>
        <w:t> </w:t>
      </w:r>
      <w:r>
        <w:rPr>
          <w:w w:val="105"/>
          <w:sz w:val="21"/>
        </w:rPr>
        <w:t>31,</w:t>
      </w:r>
      <w:r>
        <w:rPr>
          <w:spacing w:val="-15"/>
          <w:w w:val="105"/>
          <w:sz w:val="21"/>
        </w:rPr>
        <w:t> </w:t>
      </w:r>
      <w:r>
        <w:rPr>
          <w:w w:val="105"/>
          <w:sz w:val="21"/>
        </w:rPr>
        <w:t>2002</w:t>
      </w:r>
      <w:r>
        <w:rPr>
          <w:spacing w:val="-15"/>
          <w:w w:val="105"/>
          <w:sz w:val="21"/>
        </w:rPr>
        <w:t> </w:t>
      </w:r>
      <w:r>
        <w:rPr>
          <w:w w:val="105"/>
          <w:sz w:val="21"/>
        </w:rPr>
        <w:t>(File</w:t>
      </w:r>
      <w:r>
        <w:rPr>
          <w:spacing w:val="-15"/>
          <w:w w:val="105"/>
          <w:sz w:val="21"/>
        </w:rPr>
        <w:t> </w:t>
      </w:r>
      <w:r>
        <w:rPr>
          <w:w w:val="105"/>
          <w:sz w:val="21"/>
        </w:rPr>
        <w:t>No.</w:t>
      </w:r>
      <w:r>
        <w:rPr>
          <w:spacing w:val="-15"/>
          <w:w w:val="105"/>
          <w:sz w:val="21"/>
        </w:rPr>
        <w:t> </w:t>
      </w:r>
      <w:r>
        <w:rPr>
          <w:w w:val="105"/>
          <w:sz w:val="21"/>
        </w:rPr>
        <w:t>1-7259)).</w:t>
      </w:r>
    </w:p>
    <w:p>
      <w:pPr>
        <w:pStyle w:val="BodyText"/>
        <w:spacing w:before="10"/>
        <w:rPr>
          <w:sz w:val="33"/>
        </w:rPr>
      </w:pPr>
    </w:p>
    <w:p>
      <w:pPr>
        <w:pStyle w:val="ListParagraph"/>
        <w:numPr>
          <w:ilvl w:val="1"/>
          <w:numId w:val="12"/>
        </w:numPr>
        <w:tabs>
          <w:tab w:pos="838" w:val="left" w:leader="none"/>
        </w:tabs>
        <w:spacing w:line="256" w:lineRule="auto" w:before="0" w:after="0"/>
        <w:ind w:left="833" w:right="108" w:hanging="720"/>
        <w:jc w:val="both"/>
        <w:rPr>
          <w:sz w:val="21"/>
        </w:rPr>
      </w:pPr>
      <w:r>
        <w:rPr>
          <w:w w:val="105"/>
          <w:sz w:val="21"/>
        </w:rPr>
        <w:t>2002 Customer Service/Reservations Non-Qualified Stock Option Plan (incorporated by reference to </w:t>
      </w:r>
      <w:r>
        <w:rPr>
          <w:w w:val="105"/>
          <w:sz w:val="21"/>
          <w:u w:val="single"/>
        </w:rPr>
        <w:t>Exhibit 10.28 </w:t>
      </w:r>
      <w:r>
        <w:rPr>
          <w:w w:val="105"/>
          <w:sz w:val="21"/>
        </w:rPr>
        <w:t>to Southwest’s Annual Report on Form 10-K for the year ended December </w:t>
      </w:r>
      <w:r>
        <w:rPr>
          <w:spacing w:val="2"/>
          <w:w w:val="105"/>
          <w:sz w:val="21"/>
        </w:rPr>
        <w:t>31, </w:t>
      </w:r>
      <w:r>
        <w:rPr>
          <w:spacing w:val="3"/>
          <w:w w:val="105"/>
          <w:sz w:val="21"/>
        </w:rPr>
        <w:t>2002 (File </w:t>
      </w:r>
      <w:r>
        <w:rPr>
          <w:spacing w:val="2"/>
          <w:w w:val="105"/>
          <w:sz w:val="21"/>
        </w:rPr>
        <w:t>No. </w:t>
      </w:r>
      <w:r>
        <w:rPr>
          <w:spacing w:val="3"/>
          <w:w w:val="105"/>
          <w:sz w:val="21"/>
        </w:rPr>
        <w:t>1-7259))); Amendment </w:t>
      </w:r>
      <w:r>
        <w:rPr>
          <w:spacing w:val="2"/>
          <w:w w:val="105"/>
          <w:sz w:val="21"/>
        </w:rPr>
        <w:t>No. </w:t>
      </w:r>
      <w:r>
        <w:rPr>
          <w:w w:val="105"/>
          <w:sz w:val="21"/>
        </w:rPr>
        <w:t>1 to </w:t>
      </w:r>
      <w:r>
        <w:rPr>
          <w:spacing w:val="3"/>
          <w:w w:val="105"/>
          <w:sz w:val="21"/>
        </w:rPr>
        <w:t>2002 Customer Service/Reservations </w:t>
      </w:r>
      <w:r>
        <w:rPr>
          <w:spacing w:val="4"/>
          <w:w w:val="105"/>
          <w:sz w:val="21"/>
        </w:rPr>
        <w:t>Non- </w:t>
      </w:r>
      <w:r>
        <w:rPr>
          <w:w w:val="105"/>
          <w:sz w:val="21"/>
        </w:rPr>
        <w:t>Qualified Stock Option Plan (incorporated by reference to </w:t>
      </w:r>
      <w:r>
        <w:rPr>
          <w:w w:val="105"/>
          <w:sz w:val="21"/>
          <w:u w:val="single"/>
        </w:rPr>
        <w:t>Exhibit 4.3 </w:t>
      </w:r>
      <w:r>
        <w:rPr>
          <w:w w:val="105"/>
          <w:sz w:val="21"/>
        </w:rPr>
        <w:t>to Registration Statement on Form</w:t>
      </w:r>
      <w:r>
        <w:rPr>
          <w:spacing w:val="-16"/>
          <w:w w:val="105"/>
          <w:sz w:val="21"/>
        </w:rPr>
        <w:t> </w:t>
      </w:r>
      <w:r>
        <w:rPr>
          <w:w w:val="105"/>
          <w:sz w:val="21"/>
        </w:rPr>
        <w:t>S-8</w:t>
      </w:r>
      <w:r>
        <w:rPr>
          <w:spacing w:val="-16"/>
          <w:w w:val="105"/>
          <w:sz w:val="21"/>
        </w:rPr>
        <w:t> </w:t>
      </w:r>
      <w:r>
        <w:rPr>
          <w:w w:val="105"/>
          <w:sz w:val="21"/>
        </w:rPr>
        <w:t>(File</w:t>
      </w:r>
      <w:r>
        <w:rPr>
          <w:spacing w:val="-16"/>
          <w:w w:val="105"/>
          <w:sz w:val="21"/>
        </w:rPr>
        <w:t> </w:t>
      </w:r>
      <w:r>
        <w:rPr>
          <w:w w:val="105"/>
          <w:sz w:val="21"/>
        </w:rPr>
        <w:t>No.</w:t>
      </w:r>
      <w:r>
        <w:rPr>
          <w:spacing w:val="-16"/>
          <w:w w:val="105"/>
          <w:sz w:val="21"/>
        </w:rPr>
        <w:t> </w:t>
      </w:r>
      <w:r>
        <w:rPr>
          <w:w w:val="105"/>
          <w:sz w:val="21"/>
        </w:rPr>
        <w:t>333-104245)).</w:t>
      </w:r>
    </w:p>
    <w:p>
      <w:pPr>
        <w:pStyle w:val="BodyText"/>
        <w:spacing w:before="10"/>
        <w:rPr>
          <w:sz w:val="33"/>
        </w:rPr>
      </w:pPr>
    </w:p>
    <w:p>
      <w:pPr>
        <w:pStyle w:val="ListParagraph"/>
        <w:numPr>
          <w:ilvl w:val="1"/>
          <w:numId w:val="12"/>
        </w:numPr>
        <w:tabs>
          <w:tab w:pos="838" w:val="left" w:leader="none"/>
        </w:tabs>
        <w:spacing w:line="252" w:lineRule="auto" w:before="0" w:after="0"/>
        <w:ind w:left="833" w:right="110" w:hanging="720"/>
        <w:jc w:val="both"/>
        <w:rPr>
          <w:sz w:val="21"/>
        </w:rPr>
      </w:pPr>
      <w:r>
        <w:rPr>
          <w:w w:val="105"/>
          <w:sz w:val="21"/>
        </w:rPr>
        <w:t>2003 Non-Qualified Stock Option Plan (incorporated by reference to </w:t>
      </w:r>
      <w:r>
        <w:rPr>
          <w:w w:val="105"/>
          <w:sz w:val="21"/>
          <w:u w:val="single"/>
        </w:rPr>
        <w:t>Exhibit 10.3 </w:t>
      </w:r>
      <w:r>
        <w:rPr>
          <w:w w:val="105"/>
          <w:sz w:val="21"/>
        </w:rPr>
        <w:t>to Southwest’s Quarterly</w:t>
      </w:r>
      <w:r>
        <w:rPr>
          <w:spacing w:val="-11"/>
          <w:w w:val="105"/>
          <w:sz w:val="21"/>
        </w:rPr>
        <w:t> </w:t>
      </w:r>
      <w:r>
        <w:rPr>
          <w:w w:val="105"/>
          <w:sz w:val="21"/>
        </w:rPr>
        <w:t>Report</w:t>
      </w:r>
      <w:r>
        <w:rPr>
          <w:spacing w:val="-12"/>
          <w:w w:val="105"/>
          <w:sz w:val="21"/>
        </w:rPr>
        <w:t> </w:t>
      </w:r>
      <w:r>
        <w:rPr>
          <w:w w:val="105"/>
          <w:sz w:val="21"/>
        </w:rPr>
        <w:t>on</w:t>
      </w:r>
      <w:r>
        <w:rPr>
          <w:spacing w:val="-12"/>
          <w:w w:val="105"/>
          <w:sz w:val="21"/>
        </w:rPr>
        <w:t> </w:t>
      </w:r>
      <w:r>
        <w:rPr>
          <w:w w:val="105"/>
          <w:sz w:val="21"/>
        </w:rPr>
        <w:t>Form</w:t>
      </w:r>
      <w:r>
        <w:rPr>
          <w:spacing w:val="-12"/>
          <w:w w:val="105"/>
          <w:sz w:val="21"/>
        </w:rPr>
        <w:t> </w:t>
      </w:r>
      <w:r>
        <w:rPr>
          <w:w w:val="105"/>
          <w:sz w:val="21"/>
        </w:rPr>
        <w:t>10-Q</w:t>
      </w:r>
      <w:r>
        <w:rPr>
          <w:spacing w:val="-12"/>
          <w:w w:val="105"/>
          <w:sz w:val="21"/>
        </w:rPr>
        <w:t> </w:t>
      </w:r>
      <w:r>
        <w:rPr>
          <w:w w:val="105"/>
          <w:sz w:val="21"/>
        </w:rPr>
        <w:t>for</w:t>
      </w:r>
      <w:r>
        <w:rPr>
          <w:spacing w:val="-12"/>
          <w:w w:val="105"/>
          <w:sz w:val="21"/>
        </w:rPr>
        <w:t> </w:t>
      </w:r>
      <w:r>
        <w:rPr>
          <w:w w:val="105"/>
          <w:sz w:val="21"/>
        </w:rPr>
        <w:t>the</w:t>
      </w:r>
      <w:r>
        <w:rPr>
          <w:spacing w:val="-12"/>
          <w:w w:val="105"/>
          <w:sz w:val="21"/>
        </w:rPr>
        <w:t> </w:t>
      </w:r>
      <w:r>
        <w:rPr>
          <w:w w:val="105"/>
          <w:sz w:val="21"/>
        </w:rPr>
        <w:t>quarter</w:t>
      </w:r>
      <w:r>
        <w:rPr>
          <w:spacing w:val="-12"/>
          <w:w w:val="105"/>
          <w:sz w:val="21"/>
        </w:rPr>
        <w:t> </w:t>
      </w:r>
      <w:r>
        <w:rPr>
          <w:w w:val="105"/>
          <w:sz w:val="21"/>
        </w:rPr>
        <w:t>ended</w:t>
      </w:r>
      <w:r>
        <w:rPr>
          <w:spacing w:val="-12"/>
          <w:w w:val="105"/>
          <w:sz w:val="21"/>
        </w:rPr>
        <w:t> </w:t>
      </w:r>
      <w:r>
        <w:rPr>
          <w:w w:val="105"/>
          <w:sz w:val="21"/>
        </w:rPr>
        <w:t>June</w:t>
      </w:r>
      <w:r>
        <w:rPr>
          <w:spacing w:val="-12"/>
          <w:w w:val="105"/>
          <w:sz w:val="21"/>
        </w:rPr>
        <w:t> </w:t>
      </w:r>
      <w:r>
        <w:rPr>
          <w:w w:val="105"/>
          <w:sz w:val="21"/>
        </w:rPr>
        <w:t>30,</w:t>
      </w:r>
      <w:r>
        <w:rPr>
          <w:spacing w:val="-12"/>
          <w:w w:val="105"/>
          <w:sz w:val="21"/>
        </w:rPr>
        <w:t> </w:t>
      </w:r>
      <w:r>
        <w:rPr>
          <w:w w:val="105"/>
          <w:sz w:val="21"/>
        </w:rPr>
        <w:t>2003</w:t>
      </w:r>
      <w:r>
        <w:rPr>
          <w:spacing w:val="-12"/>
          <w:w w:val="105"/>
          <w:sz w:val="21"/>
        </w:rPr>
        <w:t> </w:t>
      </w:r>
      <w:r>
        <w:rPr>
          <w:w w:val="105"/>
          <w:sz w:val="21"/>
        </w:rPr>
        <w:t>(File</w:t>
      </w:r>
      <w:r>
        <w:rPr>
          <w:spacing w:val="-12"/>
          <w:w w:val="105"/>
          <w:sz w:val="21"/>
        </w:rPr>
        <w:t> </w:t>
      </w:r>
      <w:r>
        <w:rPr>
          <w:w w:val="105"/>
          <w:sz w:val="21"/>
        </w:rPr>
        <w:t>No.</w:t>
      </w:r>
      <w:r>
        <w:rPr>
          <w:spacing w:val="-12"/>
          <w:w w:val="105"/>
          <w:sz w:val="21"/>
        </w:rPr>
        <w:t> </w:t>
      </w:r>
      <w:r>
        <w:rPr>
          <w:w w:val="105"/>
          <w:sz w:val="21"/>
        </w:rPr>
        <w:t>1-7259)).</w:t>
      </w:r>
    </w:p>
    <w:p>
      <w:pPr>
        <w:pStyle w:val="BodyText"/>
        <w:spacing w:before="10"/>
        <w:rPr>
          <w:sz w:val="33"/>
        </w:rPr>
      </w:pPr>
    </w:p>
    <w:p>
      <w:pPr>
        <w:pStyle w:val="BodyText"/>
        <w:tabs>
          <w:tab w:pos="833" w:val="left" w:leader="none"/>
        </w:tabs>
        <w:ind w:left="113"/>
      </w:pPr>
      <w:r>
        <w:rPr>
          <w:w w:val="105"/>
        </w:rPr>
        <w:t>14</w:t>
        <w:tab/>
        <w:t>Code of</w:t>
      </w:r>
      <w:r>
        <w:rPr>
          <w:spacing w:val="-28"/>
          <w:w w:val="105"/>
        </w:rPr>
        <w:t> </w:t>
      </w:r>
      <w:r>
        <w:rPr>
          <w:w w:val="105"/>
        </w:rPr>
        <w:t>Ethics</w:t>
      </w:r>
    </w:p>
    <w:p>
      <w:pPr>
        <w:pStyle w:val="BodyText"/>
        <w:rPr>
          <w:sz w:val="20"/>
        </w:rPr>
      </w:pPr>
    </w:p>
    <w:p>
      <w:pPr>
        <w:pStyle w:val="BodyText"/>
        <w:rPr>
          <w:sz w:val="20"/>
        </w:rPr>
      </w:pPr>
    </w:p>
    <w:p>
      <w:pPr>
        <w:pStyle w:val="BodyText"/>
        <w:spacing w:before="6"/>
        <w:rPr>
          <w:sz w:val="20"/>
        </w:rPr>
      </w:pPr>
    </w:p>
    <w:p>
      <w:pPr>
        <w:pStyle w:val="BodyText"/>
        <w:spacing w:before="113"/>
        <w:ind w:left="4098" w:right="4099"/>
        <w:jc w:val="center"/>
      </w:pPr>
      <w:r>
        <w:rPr>
          <w:w w:val="105"/>
        </w:rPr>
        <w:t>A-56</w:t>
      </w:r>
    </w:p>
    <w:p>
      <w:pPr>
        <w:spacing w:after="0"/>
        <w:jc w:val="center"/>
        <w:sectPr>
          <w:pgSz w:w="12240" w:h="15840"/>
          <w:pgMar w:top="1440" w:bottom="280" w:left="1240" w:right="1320"/>
        </w:sectPr>
      </w:pPr>
    </w:p>
    <w:p>
      <w:pPr>
        <w:pStyle w:val="ListParagraph"/>
        <w:numPr>
          <w:ilvl w:val="0"/>
          <w:numId w:val="13"/>
        </w:numPr>
        <w:tabs>
          <w:tab w:pos="833" w:val="left" w:leader="none"/>
          <w:tab w:pos="834" w:val="left" w:leader="none"/>
        </w:tabs>
        <w:spacing w:line="256" w:lineRule="auto" w:before="98" w:after="0"/>
        <w:ind w:left="833" w:right="113" w:hanging="720"/>
        <w:jc w:val="left"/>
        <w:rPr>
          <w:sz w:val="21"/>
        </w:rPr>
      </w:pPr>
      <w:r>
        <w:rPr>
          <w:w w:val="105"/>
          <w:sz w:val="21"/>
        </w:rPr>
        <w:t>Subsidiaries of Southwest (incorporated by reference to </w:t>
      </w:r>
      <w:r>
        <w:rPr>
          <w:w w:val="105"/>
          <w:sz w:val="21"/>
          <w:u w:val="single"/>
        </w:rPr>
        <w:t>Exhibit 22 </w:t>
      </w:r>
      <w:r>
        <w:rPr>
          <w:w w:val="105"/>
          <w:sz w:val="21"/>
        </w:rPr>
        <w:t>to Southwest’s Annual Report on</w:t>
      </w:r>
      <w:r>
        <w:rPr>
          <w:spacing w:val="-12"/>
          <w:w w:val="105"/>
          <w:sz w:val="21"/>
        </w:rPr>
        <w:t> </w:t>
      </w:r>
      <w:r>
        <w:rPr>
          <w:w w:val="105"/>
          <w:sz w:val="21"/>
        </w:rPr>
        <w:t>Form</w:t>
      </w:r>
      <w:r>
        <w:rPr>
          <w:spacing w:val="-12"/>
          <w:w w:val="105"/>
          <w:sz w:val="21"/>
        </w:rPr>
        <w:t> </w:t>
      </w:r>
      <w:r>
        <w:rPr>
          <w:w w:val="105"/>
          <w:sz w:val="21"/>
        </w:rPr>
        <w:t>10-K</w:t>
      </w:r>
      <w:r>
        <w:rPr>
          <w:spacing w:val="-12"/>
          <w:w w:val="105"/>
          <w:sz w:val="21"/>
        </w:rPr>
        <w:t> </w:t>
      </w:r>
      <w:r>
        <w:rPr>
          <w:w w:val="105"/>
          <w:sz w:val="21"/>
        </w:rPr>
        <w:t>for</w:t>
      </w:r>
      <w:r>
        <w:rPr>
          <w:spacing w:val="-12"/>
          <w:w w:val="105"/>
          <w:sz w:val="21"/>
        </w:rPr>
        <w:t> </w:t>
      </w:r>
      <w:r>
        <w:rPr>
          <w:w w:val="105"/>
          <w:sz w:val="21"/>
        </w:rPr>
        <w:t>the</w:t>
      </w:r>
      <w:r>
        <w:rPr>
          <w:spacing w:val="-12"/>
          <w:w w:val="105"/>
          <w:sz w:val="21"/>
        </w:rPr>
        <w:t> </w:t>
      </w:r>
      <w:r>
        <w:rPr>
          <w:w w:val="105"/>
          <w:sz w:val="21"/>
        </w:rPr>
        <w:t>year</w:t>
      </w:r>
      <w:r>
        <w:rPr>
          <w:spacing w:val="-12"/>
          <w:w w:val="105"/>
          <w:sz w:val="21"/>
        </w:rPr>
        <w:t> </w:t>
      </w:r>
      <w:r>
        <w:rPr>
          <w:w w:val="105"/>
          <w:sz w:val="21"/>
        </w:rPr>
        <w:t>ended</w:t>
      </w:r>
      <w:r>
        <w:rPr>
          <w:spacing w:val="-12"/>
          <w:w w:val="105"/>
          <w:sz w:val="21"/>
        </w:rPr>
        <w:t> </w:t>
      </w:r>
      <w:r>
        <w:rPr>
          <w:w w:val="105"/>
          <w:sz w:val="21"/>
        </w:rPr>
        <w:t>December</w:t>
      </w:r>
      <w:r>
        <w:rPr>
          <w:spacing w:val="-11"/>
          <w:w w:val="105"/>
          <w:sz w:val="21"/>
        </w:rPr>
        <w:t> </w:t>
      </w:r>
      <w:r>
        <w:rPr>
          <w:w w:val="105"/>
          <w:sz w:val="21"/>
        </w:rPr>
        <w:t>31,</w:t>
      </w:r>
      <w:r>
        <w:rPr>
          <w:spacing w:val="-12"/>
          <w:w w:val="105"/>
          <w:sz w:val="21"/>
        </w:rPr>
        <w:t> </w:t>
      </w:r>
      <w:r>
        <w:rPr>
          <w:w w:val="105"/>
          <w:sz w:val="21"/>
        </w:rPr>
        <w:t>1997</w:t>
      </w:r>
      <w:r>
        <w:rPr>
          <w:spacing w:val="-12"/>
          <w:w w:val="105"/>
          <w:sz w:val="21"/>
        </w:rPr>
        <w:t> </w:t>
      </w:r>
      <w:r>
        <w:rPr>
          <w:w w:val="105"/>
          <w:sz w:val="21"/>
        </w:rPr>
        <w:t>(File</w:t>
      </w:r>
      <w:r>
        <w:rPr>
          <w:spacing w:val="-12"/>
          <w:w w:val="105"/>
          <w:sz w:val="21"/>
        </w:rPr>
        <w:t> </w:t>
      </w:r>
      <w:r>
        <w:rPr>
          <w:w w:val="105"/>
          <w:sz w:val="21"/>
        </w:rPr>
        <w:t>No.</w:t>
      </w:r>
      <w:r>
        <w:rPr>
          <w:spacing w:val="-12"/>
          <w:w w:val="105"/>
          <w:sz w:val="21"/>
        </w:rPr>
        <w:t> </w:t>
      </w:r>
      <w:r>
        <w:rPr>
          <w:w w:val="105"/>
          <w:sz w:val="21"/>
        </w:rPr>
        <w:t>1-7259)).</w:t>
      </w:r>
    </w:p>
    <w:p>
      <w:pPr>
        <w:pStyle w:val="BodyText"/>
        <w:spacing w:before="5"/>
        <w:rPr>
          <w:sz w:val="33"/>
        </w:rPr>
      </w:pPr>
    </w:p>
    <w:p>
      <w:pPr>
        <w:pStyle w:val="ListParagraph"/>
        <w:numPr>
          <w:ilvl w:val="0"/>
          <w:numId w:val="13"/>
        </w:numPr>
        <w:tabs>
          <w:tab w:pos="833" w:val="left" w:leader="none"/>
          <w:tab w:pos="834" w:val="left" w:leader="none"/>
        </w:tabs>
        <w:spacing w:line="240" w:lineRule="auto" w:before="0" w:after="0"/>
        <w:ind w:left="833" w:right="0" w:hanging="720"/>
        <w:jc w:val="left"/>
        <w:rPr>
          <w:sz w:val="21"/>
        </w:rPr>
      </w:pPr>
      <w:r>
        <w:rPr>
          <w:w w:val="105"/>
          <w:sz w:val="21"/>
        </w:rPr>
        <w:t>Consent</w:t>
      </w:r>
      <w:r>
        <w:rPr>
          <w:spacing w:val="-16"/>
          <w:w w:val="105"/>
          <w:sz w:val="21"/>
        </w:rPr>
        <w:t> </w:t>
      </w:r>
      <w:r>
        <w:rPr>
          <w:w w:val="105"/>
          <w:sz w:val="21"/>
        </w:rPr>
        <w:t>of</w:t>
      </w:r>
      <w:r>
        <w:rPr>
          <w:spacing w:val="-16"/>
          <w:w w:val="105"/>
          <w:sz w:val="21"/>
        </w:rPr>
        <w:t> </w:t>
      </w:r>
      <w:r>
        <w:rPr>
          <w:w w:val="105"/>
          <w:sz w:val="21"/>
        </w:rPr>
        <w:t>Ernst</w:t>
      </w:r>
      <w:r>
        <w:rPr>
          <w:spacing w:val="-16"/>
          <w:w w:val="105"/>
          <w:sz w:val="21"/>
        </w:rPr>
        <w:t> </w:t>
      </w:r>
      <w:r>
        <w:rPr>
          <w:w w:val="105"/>
          <w:sz w:val="21"/>
        </w:rPr>
        <w:t>&amp;</w:t>
      </w:r>
      <w:r>
        <w:rPr>
          <w:spacing w:val="-16"/>
          <w:w w:val="105"/>
          <w:sz w:val="21"/>
        </w:rPr>
        <w:t> </w:t>
      </w:r>
      <w:r>
        <w:rPr>
          <w:w w:val="105"/>
          <w:sz w:val="21"/>
        </w:rPr>
        <w:t>Young</w:t>
      </w:r>
      <w:r>
        <w:rPr>
          <w:spacing w:val="-16"/>
          <w:w w:val="105"/>
          <w:sz w:val="21"/>
        </w:rPr>
        <w:t> </w:t>
      </w:r>
      <w:r>
        <w:rPr>
          <w:w w:val="105"/>
          <w:sz w:val="21"/>
        </w:rPr>
        <w:t>LLP,</w:t>
      </w:r>
      <w:r>
        <w:rPr>
          <w:spacing w:val="-16"/>
          <w:w w:val="105"/>
          <w:sz w:val="21"/>
        </w:rPr>
        <w:t> </w:t>
      </w:r>
      <w:r>
        <w:rPr>
          <w:w w:val="105"/>
          <w:sz w:val="21"/>
        </w:rPr>
        <w:t>Independent</w:t>
      </w:r>
      <w:r>
        <w:rPr>
          <w:spacing w:val="-16"/>
          <w:w w:val="105"/>
          <w:sz w:val="21"/>
        </w:rPr>
        <w:t> </w:t>
      </w:r>
      <w:r>
        <w:rPr>
          <w:w w:val="105"/>
          <w:sz w:val="21"/>
        </w:rPr>
        <w:t>Auditors.</w:t>
      </w:r>
    </w:p>
    <w:p>
      <w:pPr>
        <w:pStyle w:val="ListParagraph"/>
        <w:numPr>
          <w:ilvl w:val="1"/>
          <w:numId w:val="14"/>
        </w:numPr>
        <w:tabs>
          <w:tab w:pos="833" w:val="left" w:leader="none"/>
          <w:tab w:pos="834" w:val="left" w:leader="none"/>
        </w:tabs>
        <w:spacing w:line="240" w:lineRule="auto" w:before="75" w:after="0"/>
        <w:ind w:left="833" w:right="0" w:hanging="720"/>
        <w:jc w:val="left"/>
        <w:rPr>
          <w:sz w:val="21"/>
        </w:rPr>
      </w:pPr>
      <w:r>
        <w:rPr>
          <w:w w:val="105"/>
          <w:sz w:val="21"/>
        </w:rPr>
        <w:t>Rule</w:t>
      </w:r>
      <w:r>
        <w:rPr>
          <w:spacing w:val="-18"/>
          <w:w w:val="105"/>
          <w:sz w:val="21"/>
        </w:rPr>
        <w:t> </w:t>
      </w:r>
      <w:r>
        <w:rPr>
          <w:w w:val="105"/>
          <w:sz w:val="21"/>
        </w:rPr>
        <w:t>13a-14(a)</w:t>
      </w:r>
      <w:r>
        <w:rPr>
          <w:spacing w:val="-18"/>
          <w:w w:val="105"/>
          <w:sz w:val="21"/>
        </w:rPr>
        <w:t> </w:t>
      </w:r>
      <w:r>
        <w:rPr>
          <w:w w:val="105"/>
          <w:sz w:val="21"/>
        </w:rPr>
        <w:t>Certification</w:t>
      </w:r>
      <w:r>
        <w:rPr>
          <w:spacing w:val="-18"/>
          <w:w w:val="105"/>
          <w:sz w:val="21"/>
        </w:rPr>
        <w:t> </w:t>
      </w:r>
      <w:r>
        <w:rPr>
          <w:w w:val="105"/>
          <w:sz w:val="21"/>
        </w:rPr>
        <w:t>of</w:t>
      </w:r>
      <w:r>
        <w:rPr>
          <w:spacing w:val="-18"/>
          <w:w w:val="105"/>
          <w:sz w:val="21"/>
        </w:rPr>
        <w:t> </w:t>
      </w:r>
      <w:r>
        <w:rPr>
          <w:w w:val="105"/>
          <w:sz w:val="21"/>
        </w:rPr>
        <w:t>Chief</w:t>
      </w:r>
      <w:r>
        <w:rPr>
          <w:spacing w:val="-18"/>
          <w:w w:val="105"/>
          <w:sz w:val="21"/>
        </w:rPr>
        <w:t> </w:t>
      </w:r>
      <w:r>
        <w:rPr>
          <w:w w:val="105"/>
          <w:sz w:val="21"/>
        </w:rPr>
        <w:t>Executive</w:t>
      </w:r>
      <w:r>
        <w:rPr>
          <w:spacing w:val="-18"/>
          <w:w w:val="105"/>
          <w:sz w:val="21"/>
        </w:rPr>
        <w:t> </w:t>
      </w:r>
      <w:r>
        <w:rPr>
          <w:w w:val="105"/>
          <w:sz w:val="21"/>
        </w:rPr>
        <w:t>Officer.</w:t>
      </w:r>
    </w:p>
    <w:p>
      <w:pPr>
        <w:pStyle w:val="BodyText"/>
        <w:spacing w:before="10"/>
        <w:rPr>
          <w:sz w:val="34"/>
        </w:rPr>
      </w:pPr>
    </w:p>
    <w:p>
      <w:pPr>
        <w:pStyle w:val="ListParagraph"/>
        <w:numPr>
          <w:ilvl w:val="1"/>
          <w:numId w:val="14"/>
        </w:numPr>
        <w:tabs>
          <w:tab w:pos="833" w:val="left" w:leader="none"/>
          <w:tab w:pos="834" w:val="left" w:leader="none"/>
        </w:tabs>
        <w:spacing w:line="240" w:lineRule="auto" w:before="0" w:after="0"/>
        <w:ind w:left="833" w:right="0" w:hanging="720"/>
        <w:jc w:val="left"/>
        <w:rPr>
          <w:sz w:val="21"/>
        </w:rPr>
      </w:pPr>
      <w:r>
        <w:rPr>
          <w:w w:val="105"/>
          <w:sz w:val="21"/>
        </w:rPr>
        <w:t>Rule</w:t>
      </w:r>
      <w:r>
        <w:rPr>
          <w:spacing w:val="-18"/>
          <w:w w:val="105"/>
          <w:sz w:val="21"/>
        </w:rPr>
        <w:t> </w:t>
      </w:r>
      <w:r>
        <w:rPr>
          <w:w w:val="105"/>
          <w:sz w:val="21"/>
        </w:rPr>
        <w:t>13a-14(a)</w:t>
      </w:r>
      <w:r>
        <w:rPr>
          <w:spacing w:val="-18"/>
          <w:w w:val="105"/>
          <w:sz w:val="21"/>
        </w:rPr>
        <w:t> </w:t>
      </w:r>
      <w:r>
        <w:rPr>
          <w:w w:val="105"/>
          <w:sz w:val="21"/>
        </w:rPr>
        <w:t>Certification</w:t>
      </w:r>
      <w:r>
        <w:rPr>
          <w:spacing w:val="-18"/>
          <w:w w:val="105"/>
          <w:sz w:val="21"/>
        </w:rPr>
        <w:t> </w:t>
      </w:r>
      <w:r>
        <w:rPr>
          <w:w w:val="105"/>
          <w:sz w:val="21"/>
        </w:rPr>
        <w:t>of</w:t>
      </w:r>
      <w:r>
        <w:rPr>
          <w:spacing w:val="-18"/>
          <w:w w:val="105"/>
          <w:sz w:val="21"/>
        </w:rPr>
        <w:t> </w:t>
      </w:r>
      <w:r>
        <w:rPr>
          <w:w w:val="105"/>
          <w:sz w:val="21"/>
        </w:rPr>
        <w:t>Chief</w:t>
      </w:r>
      <w:r>
        <w:rPr>
          <w:spacing w:val="-18"/>
          <w:w w:val="105"/>
          <w:sz w:val="21"/>
        </w:rPr>
        <w:t> </w:t>
      </w:r>
      <w:r>
        <w:rPr>
          <w:w w:val="105"/>
          <w:sz w:val="21"/>
        </w:rPr>
        <w:t>Financial</w:t>
      </w:r>
      <w:r>
        <w:rPr>
          <w:spacing w:val="-17"/>
          <w:w w:val="105"/>
          <w:sz w:val="21"/>
        </w:rPr>
        <w:t> </w:t>
      </w:r>
      <w:r>
        <w:rPr>
          <w:w w:val="105"/>
          <w:sz w:val="21"/>
        </w:rPr>
        <w:t>Officer.</w:t>
      </w:r>
    </w:p>
    <w:p>
      <w:pPr>
        <w:pStyle w:val="BodyText"/>
        <w:spacing w:before="10"/>
        <w:rPr>
          <w:sz w:val="34"/>
        </w:rPr>
      </w:pPr>
    </w:p>
    <w:p>
      <w:pPr>
        <w:pStyle w:val="ListParagraph"/>
        <w:numPr>
          <w:ilvl w:val="1"/>
          <w:numId w:val="15"/>
        </w:numPr>
        <w:tabs>
          <w:tab w:pos="833" w:val="left" w:leader="none"/>
          <w:tab w:pos="834" w:val="left" w:leader="none"/>
        </w:tabs>
        <w:spacing w:line="240" w:lineRule="auto" w:before="0" w:after="0"/>
        <w:ind w:left="833" w:right="0" w:hanging="720"/>
        <w:jc w:val="left"/>
        <w:rPr>
          <w:sz w:val="21"/>
        </w:rPr>
      </w:pPr>
      <w:r>
        <w:rPr>
          <w:w w:val="105"/>
          <w:sz w:val="21"/>
        </w:rPr>
        <w:t>Section</w:t>
      </w:r>
      <w:r>
        <w:rPr>
          <w:spacing w:val="-18"/>
          <w:w w:val="105"/>
          <w:sz w:val="21"/>
        </w:rPr>
        <w:t> </w:t>
      </w:r>
      <w:r>
        <w:rPr>
          <w:w w:val="105"/>
          <w:sz w:val="21"/>
        </w:rPr>
        <w:t>1350</w:t>
      </w:r>
      <w:r>
        <w:rPr>
          <w:spacing w:val="-18"/>
          <w:w w:val="105"/>
          <w:sz w:val="21"/>
        </w:rPr>
        <w:t> </w:t>
      </w:r>
      <w:r>
        <w:rPr>
          <w:w w:val="105"/>
          <w:sz w:val="21"/>
        </w:rPr>
        <w:t>Certification</w:t>
      </w:r>
      <w:r>
        <w:rPr>
          <w:spacing w:val="-18"/>
          <w:w w:val="105"/>
          <w:sz w:val="21"/>
        </w:rPr>
        <w:t> </w:t>
      </w:r>
      <w:r>
        <w:rPr>
          <w:w w:val="105"/>
          <w:sz w:val="21"/>
        </w:rPr>
        <w:t>of</w:t>
      </w:r>
      <w:r>
        <w:rPr>
          <w:spacing w:val="-18"/>
          <w:w w:val="105"/>
          <w:sz w:val="21"/>
        </w:rPr>
        <w:t> </w:t>
      </w:r>
      <w:r>
        <w:rPr>
          <w:w w:val="105"/>
          <w:sz w:val="21"/>
        </w:rPr>
        <w:t>Chief</w:t>
      </w:r>
      <w:r>
        <w:rPr>
          <w:spacing w:val="-18"/>
          <w:w w:val="105"/>
          <w:sz w:val="21"/>
        </w:rPr>
        <w:t> </w:t>
      </w:r>
      <w:r>
        <w:rPr>
          <w:w w:val="105"/>
          <w:sz w:val="21"/>
        </w:rPr>
        <w:t>Executive</w:t>
      </w:r>
      <w:r>
        <w:rPr>
          <w:spacing w:val="-18"/>
          <w:w w:val="105"/>
          <w:sz w:val="21"/>
        </w:rPr>
        <w:t> </w:t>
      </w:r>
      <w:r>
        <w:rPr>
          <w:w w:val="105"/>
          <w:sz w:val="21"/>
        </w:rPr>
        <w:t>Officer.</w:t>
      </w:r>
    </w:p>
    <w:p>
      <w:pPr>
        <w:pStyle w:val="BodyText"/>
        <w:spacing w:before="10"/>
        <w:rPr>
          <w:sz w:val="34"/>
        </w:rPr>
      </w:pPr>
    </w:p>
    <w:p>
      <w:pPr>
        <w:pStyle w:val="ListParagraph"/>
        <w:numPr>
          <w:ilvl w:val="1"/>
          <w:numId w:val="15"/>
        </w:numPr>
        <w:tabs>
          <w:tab w:pos="833" w:val="left" w:leader="none"/>
          <w:tab w:pos="834" w:val="left" w:leader="none"/>
        </w:tabs>
        <w:spacing w:line="240" w:lineRule="auto" w:before="0" w:after="0"/>
        <w:ind w:left="833" w:right="0" w:hanging="720"/>
        <w:jc w:val="left"/>
        <w:rPr>
          <w:sz w:val="21"/>
        </w:rPr>
      </w:pPr>
      <w:r>
        <w:rPr>
          <w:w w:val="105"/>
          <w:sz w:val="21"/>
        </w:rPr>
        <w:t>Section</w:t>
      </w:r>
      <w:r>
        <w:rPr>
          <w:spacing w:val="-19"/>
          <w:w w:val="105"/>
          <w:sz w:val="21"/>
        </w:rPr>
        <w:t> </w:t>
      </w:r>
      <w:r>
        <w:rPr>
          <w:w w:val="105"/>
          <w:sz w:val="21"/>
        </w:rPr>
        <w:t>1350</w:t>
      </w:r>
      <w:r>
        <w:rPr>
          <w:spacing w:val="-19"/>
          <w:w w:val="105"/>
          <w:sz w:val="21"/>
        </w:rPr>
        <w:t> </w:t>
      </w:r>
      <w:r>
        <w:rPr>
          <w:w w:val="105"/>
          <w:sz w:val="21"/>
        </w:rPr>
        <w:t>Certification</w:t>
      </w:r>
      <w:r>
        <w:rPr>
          <w:spacing w:val="-19"/>
          <w:w w:val="105"/>
          <w:sz w:val="21"/>
        </w:rPr>
        <w:t> </w:t>
      </w:r>
      <w:r>
        <w:rPr>
          <w:w w:val="105"/>
          <w:sz w:val="21"/>
        </w:rPr>
        <w:t>of</w:t>
      </w:r>
      <w:r>
        <w:rPr>
          <w:spacing w:val="-19"/>
          <w:w w:val="105"/>
          <w:sz w:val="21"/>
        </w:rPr>
        <w:t> </w:t>
      </w:r>
      <w:r>
        <w:rPr>
          <w:w w:val="105"/>
          <w:sz w:val="21"/>
        </w:rPr>
        <w:t>Chief</w:t>
      </w:r>
      <w:r>
        <w:rPr>
          <w:spacing w:val="-19"/>
          <w:w w:val="105"/>
          <w:sz w:val="21"/>
        </w:rPr>
        <w:t> </w:t>
      </w:r>
      <w:r>
        <w:rPr>
          <w:w w:val="105"/>
          <w:sz w:val="21"/>
        </w:rPr>
        <w:t>Financial</w:t>
      </w:r>
      <w:r>
        <w:rPr>
          <w:spacing w:val="-19"/>
          <w:w w:val="105"/>
          <w:sz w:val="21"/>
        </w:rPr>
        <w:t> </w:t>
      </w:r>
      <w:r>
        <w:rPr>
          <w:w w:val="105"/>
          <w:sz w:val="21"/>
        </w:rPr>
        <w:t>Officer.</w:t>
      </w:r>
    </w:p>
    <w:p>
      <w:pPr>
        <w:pStyle w:val="BodyText"/>
        <w:spacing w:before="10"/>
        <w:rPr>
          <w:sz w:val="34"/>
        </w:rPr>
      </w:pPr>
    </w:p>
    <w:p>
      <w:pPr>
        <w:pStyle w:val="BodyText"/>
        <w:spacing w:line="256" w:lineRule="auto"/>
        <w:ind w:left="113"/>
      </w:pPr>
      <w:r>
        <w:rPr>
          <w:w w:val="105"/>
        </w:rPr>
        <w:t>A copy of each exhibit may be obtained at a price of 15 cents per page, $10.00 minimum order, by writing to: Sr. Director of Investor Relations, Southwest Airlines Co., P.O. Box 36611, Dallas, Texas 75235-1611.</w:t>
      </w:r>
    </w:p>
    <w:p>
      <w:pPr>
        <w:pStyle w:val="BodyText"/>
        <w:spacing w:before="5"/>
        <w:rPr>
          <w:sz w:val="31"/>
        </w:rPr>
      </w:pPr>
    </w:p>
    <w:p>
      <w:pPr>
        <w:pStyle w:val="ListParagraph"/>
        <w:numPr>
          <w:ilvl w:val="0"/>
          <w:numId w:val="8"/>
        </w:numPr>
        <w:tabs>
          <w:tab w:pos="839" w:val="left" w:leader="none"/>
        </w:tabs>
        <w:spacing w:line="252" w:lineRule="auto" w:before="0" w:after="0"/>
        <w:ind w:left="838" w:right="107" w:hanging="720"/>
        <w:jc w:val="both"/>
        <w:rPr>
          <w:sz w:val="24"/>
        </w:rPr>
      </w:pPr>
      <w:r>
        <w:rPr>
          <w:w w:val="105"/>
          <w:sz w:val="21"/>
        </w:rPr>
        <w:t>On October 20, 2003, Southwest filed a current report on Form 8-K to furnish the Company's </w:t>
      </w:r>
      <w:r>
        <w:rPr>
          <w:spacing w:val="3"/>
          <w:w w:val="105"/>
          <w:sz w:val="21"/>
        </w:rPr>
        <w:t>public announcement </w:t>
      </w:r>
      <w:r>
        <w:rPr>
          <w:w w:val="105"/>
          <w:sz w:val="21"/>
        </w:rPr>
        <w:t>of </w:t>
      </w:r>
      <w:r>
        <w:rPr>
          <w:spacing w:val="2"/>
          <w:w w:val="105"/>
          <w:sz w:val="21"/>
        </w:rPr>
        <w:t>its </w:t>
      </w:r>
      <w:r>
        <w:rPr>
          <w:spacing w:val="3"/>
          <w:w w:val="105"/>
          <w:sz w:val="21"/>
        </w:rPr>
        <w:t>third quarter 2003 earnings </w:t>
      </w:r>
      <w:r>
        <w:rPr>
          <w:spacing w:val="2"/>
          <w:w w:val="105"/>
          <w:sz w:val="21"/>
        </w:rPr>
        <w:t>and </w:t>
      </w:r>
      <w:r>
        <w:rPr>
          <w:w w:val="105"/>
          <w:sz w:val="21"/>
        </w:rPr>
        <w:t>an </w:t>
      </w:r>
      <w:r>
        <w:rPr>
          <w:spacing w:val="3"/>
          <w:w w:val="105"/>
          <w:sz w:val="21"/>
        </w:rPr>
        <w:t>announcement regarding </w:t>
      </w:r>
      <w:r>
        <w:rPr>
          <w:spacing w:val="4"/>
          <w:w w:val="105"/>
          <w:sz w:val="21"/>
        </w:rPr>
        <w:t>the </w:t>
      </w:r>
      <w:r>
        <w:rPr>
          <w:w w:val="105"/>
          <w:sz w:val="21"/>
        </w:rPr>
        <w:t>payment</w:t>
      </w:r>
      <w:r>
        <w:rPr>
          <w:spacing w:val="-17"/>
          <w:w w:val="105"/>
          <w:sz w:val="21"/>
        </w:rPr>
        <w:t> </w:t>
      </w:r>
      <w:r>
        <w:rPr>
          <w:w w:val="105"/>
          <w:sz w:val="21"/>
        </w:rPr>
        <w:t>of</w:t>
      </w:r>
      <w:r>
        <w:rPr>
          <w:spacing w:val="-17"/>
          <w:w w:val="105"/>
          <w:sz w:val="21"/>
        </w:rPr>
        <w:t> </w:t>
      </w:r>
      <w:r>
        <w:rPr>
          <w:w w:val="105"/>
          <w:sz w:val="21"/>
        </w:rPr>
        <w:t>commissions</w:t>
      </w:r>
      <w:r>
        <w:rPr>
          <w:spacing w:val="-18"/>
          <w:w w:val="105"/>
          <w:sz w:val="21"/>
        </w:rPr>
        <w:t> </w:t>
      </w:r>
      <w:r>
        <w:rPr>
          <w:w w:val="105"/>
          <w:sz w:val="21"/>
        </w:rPr>
        <w:t>to</w:t>
      </w:r>
      <w:r>
        <w:rPr>
          <w:spacing w:val="-17"/>
          <w:w w:val="105"/>
          <w:sz w:val="21"/>
        </w:rPr>
        <w:t> </w:t>
      </w:r>
      <w:r>
        <w:rPr>
          <w:w w:val="105"/>
          <w:sz w:val="21"/>
        </w:rPr>
        <w:t>travel</w:t>
      </w:r>
      <w:r>
        <w:rPr>
          <w:spacing w:val="-17"/>
          <w:w w:val="105"/>
          <w:sz w:val="21"/>
        </w:rPr>
        <w:t> </w:t>
      </w:r>
      <w:r>
        <w:rPr>
          <w:w w:val="105"/>
          <w:sz w:val="21"/>
        </w:rPr>
        <w:t>agencies.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45"/>
        <w:ind w:left="4098" w:right="4099"/>
        <w:jc w:val="center"/>
      </w:pPr>
      <w:r>
        <w:rPr>
          <w:w w:val="105"/>
        </w:rPr>
        <w:t>A-57</w:t>
      </w:r>
    </w:p>
    <w:p>
      <w:pPr>
        <w:spacing w:after="0"/>
        <w:jc w:val="center"/>
        <w:sectPr>
          <w:pgSz w:w="12240" w:h="15840"/>
          <w:pgMar w:top="1120" w:bottom="280" w:left="1240" w:right="1320"/>
        </w:sectPr>
      </w:pPr>
    </w:p>
    <w:p>
      <w:pPr>
        <w:pStyle w:val="Heading2"/>
        <w:spacing w:before="95"/>
        <w:ind w:left="4098" w:right="4108"/>
        <w:jc w:val="center"/>
      </w:pPr>
      <w:bookmarkStart w:name="Signatures" w:id="68"/>
      <w:bookmarkEnd w:id="68"/>
      <w:r>
        <w:rPr>
          <w:b w:val="0"/>
        </w:rPr>
      </w:r>
      <w:r>
        <w:rPr>
          <w:w w:val="105"/>
        </w:rPr>
        <w:t>SIGNATURES</w:t>
      </w:r>
    </w:p>
    <w:p>
      <w:pPr>
        <w:pStyle w:val="BodyText"/>
        <w:spacing w:line="216" w:lineRule="exact" w:before="223"/>
        <w:ind w:left="113"/>
      </w:pPr>
      <w:r>
        <w:rPr>
          <w:w w:val="105"/>
        </w:rPr>
        <w:t>Pursuant to the requirements of Section 13 or 15(d) of the Securities Exchange Act of 1934, the registrant has duly caused this report to be signed on its behalf by the undersigned, thereunto duly authorized.</w:t>
      </w:r>
    </w:p>
    <w:p>
      <w:pPr>
        <w:pStyle w:val="BodyText"/>
        <w:spacing w:before="202"/>
        <w:ind w:left="4558"/>
      </w:pPr>
      <w:r>
        <w:rPr>
          <w:w w:val="105"/>
        </w:rPr>
        <w:t>SOUTHWEST AIRLINES CO.</w:t>
      </w:r>
    </w:p>
    <w:p>
      <w:pPr>
        <w:pStyle w:val="BodyText"/>
        <w:tabs>
          <w:tab w:pos="5144" w:val="left" w:leader="none"/>
        </w:tabs>
        <w:spacing w:line="231" w:lineRule="exact" w:before="200"/>
        <w:ind w:left="113"/>
      </w:pPr>
      <w:r>
        <w:rPr>
          <w:w w:val="105"/>
        </w:rPr>
        <w:t>January</w:t>
      </w:r>
      <w:r>
        <w:rPr>
          <w:spacing w:val="-9"/>
          <w:w w:val="105"/>
        </w:rPr>
        <w:t> </w:t>
      </w:r>
      <w:r>
        <w:rPr>
          <w:w w:val="105"/>
        </w:rPr>
        <w:t>28,</w:t>
      </w:r>
      <w:r>
        <w:rPr>
          <w:spacing w:val="-10"/>
          <w:w w:val="105"/>
        </w:rPr>
        <w:t> </w:t>
      </w:r>
      <w:r>
        <w:rPr>
          <w:w w:val="105"/>
        </w:rPr>
        <w:t>2004</w:t>
        <w:tab/>
        <w:t>By</w:t>
      </w:r>
      <w:r>
        <w:rPr>
          <w:spacing w:val="-11"/>
          <w:w w:val="105"/>
        </w:rPr>
        <w:t> </w:t>
      </w:r>
      <w:r>
        <w:rPr>
          <w:w w:val="105"/>
          <w:u w:val="single"/>
        </w:rPr>
        <w:t>/s/</w:t>
      </w:r>
      <w:r>
        <w:rPr>
          <w:spacing w:val="-11"/>
          <w:w w:val="105"/>
          <w:u w:val="single"/>
        </w:rPr>
        <w:t> </w:t>
      </w:r>
      <w:r>
        <w:rPr>
          <w:w w:val="105"/>
          <w:u w:val="single"/>
        </w:rPr>
        <w:t>Gary</w:t>
      </w:r>
      <w:r>
        <w:rPr>
          <w:spacing w:val="-11"/>
          <w:w w:val="105"/>
          <w:u w:val="single"/>
        </w:rPr>
        <w:t> </w:t>
      </w:r>
      <w:r>
        <w:rPr>
          <w:w w:val="105"/>
          <w:u w:val="single"/>
        </w:rPr>
        <w:t>C.</w:t>
      </w:r>
      <w:r>
        <w:rPr>
          <w:spacing w:val="-11"/>
          <w:w w:val="105"/>
          <w:u w:val="single"/>
        </w:rPr>
        <w:t> </w:t>
      </w:r>
      <w:r>
        <w:rPr>
          <w:w w:val="105"/>
          <w:u w:val="single"/>
        </w:rPr>
        <w:t>Kelly</w:t>
      </w:r>
    </w:p>
    <w:p>
      <w:pPr>
        <w:spacing w:line="261" w:lineRule="auto" w:before="0"/>
        <w:ind w:left="5153" w:right="2506" w:firstLine="0"/>
        <w:jc w:val="left"/>
        <w:rPr>
          <w:i/>
          <w:sz w:val="19"/>
        </w:rPr>
      </w:pPr>
      <w:r>
        <w:rPr>
          <w:w w:val="105"/>
          <w:sz w:val="21"/>
        </w:rPr>
        <w:t>Gary C. Kelly </w:t>
      </w:r>
      <w:r>
        <w:rPr>
          <w:i/>
          <w:w w:val="105"/>
          <w:sz w:val="19"/>
        </w:rPr>
        <w:t>Executive Vice</w:t>
      </w:r>
      <w:r>
        <w:rPr>
          <w:i/>
          <w:spacing w:val="-28"/>
          <w:w w:val="105"/>
          <w:sz w:val="19"/>
        </w:rPr>
        <w:t> </w:t>
      </w:r>
      <w:r>
        <w:rPr>
          <w:i/>
          <w:w w:val="105"/>
          <w:sz w:val="19"/>
        </w:rPr>
        <w:t>President, </w:t>
      </w:r>
      <w:r>
        <w:rPr>
          <w:i/>
          <w:w w:val="105"/>
          <w:sz w:val="19"/>
        </w:rPr>
        <w:t>Chief Financial</w:t>
      </w:r>
      <w:r>
        <w:rPr>
          <w:i/>
          <w:spacing w:val="-27"/>
          <w:w w:val="105"/>
          <w:sz w:val="19"/>
        </w:rPr>
        <w:t> </w:t>
      </w:r>
      <w:r>
        <w:rPr>
          <w:i/>
          <w:w w:val="105"/>
          <w:sz w:val="19"/>
        </w:rPr>
        <w:t>Officer</w:t>
      </w:r>
    </w:p>
    <w:p>
      <w:pPr>
        <w:pStyle w:val="BodyText"/>
        <w:spacing w:line="220" w:lineRule="exact" w:before="206"/>
        <w:ind w:left="113"/>
      </w:pPr>
      <w:r>
        <w:rPr>
          <w:w w:val="105"/>
        </w:rPr>
        <w:t>Pursuant to the requirements of the Securities Exchange Act of 1934, this report has been signed below by the following persons on January 28, 2004 on behalf of the registrant and in the capacities indicated.</w:t>
      </w:r>
    </w:p>
    <w:p>
      <w:pPr>
        <w:pStyle w:val="BodyText"/>
        <w:tabs>
          <w:tab w:pos="4433" w:val="left" w:leader="none"/>
        </w:tabs>
        <w:spacing w:before="201"/>
        <w:ind w:left="833"/>
      </w:pPr>
      <w:r>
        <w:rPr>
          <w:w w:val="105"/>
          <w:u w:val="single"/>
        </w:rPr>
        <w:t>Signature</w:t>
      </w:r>
      <w:r>
        <w:rPr>
          <w:w w:val="105"/>
        </w:rPr>
        <w:tab/>
      </w:r>
      <w:r>
        <w:rPr>
          <w:w w:val="105"/>
          <w:u w:val="single"/>
        </w:rPr>
        <w:t>Capacity</w:t>
      </w:r>
    </w:p>
    <w:p>
      <w:pPr>
        <w:pStyle w:val="BodyText"/>
        <w:tabs>
          <w:tab w:pos="2993" w:val="left" w:leader="none"/>
          <w:tab w:pos="3713" w:val="left" w:leader="none"/>
        </w:tabs>
        <w:spacing w:line="220" w:lineRule="exact" w:before="215"/>
        <w:ind w:left="113" w:right="2885"/>
      </w:pPr>
      <w:r>
        <w:rPr>
          <w:w w:val="105"/>
          <w:u w:val="single"/>
        </w:rPr>
        <w:t>/s/ Herbert</w:t>
      </w:r>
      <w:r>
        <w:rPr>
          <w:spacing w:val="-18"/>
          <w:w w:val="105"/>
          <w:u w:val="single"/>
        </w:rPr>
        <w:t> </w:t>
      </w:r>
      <w:r>
        <w:rPr>
          <w:w w:val="105"/>
          <w:u w:val="single"/>
        </w:rPr>
        <w:t>D.</w:t>
      </w:r>
      <w:r>
        <w:rPr>
          <w:spacing w:val="-9"/>
          <w:w w:val="105"/>
          <w:u w:val="single"/>
        </w:rPr>
        <w:t> </w:t>
      </w:r>
      <w:r>
        <w:rPr>
          <w:w w:val="105"/>
          <w:u w:val="single"/>
        </w:rPr>
        <w:t>Kelleher</w:t>
        <w:tab/>
      </w:r>
      <w:r>
        <w:rPr>
          <w:w w:val="105"/>
        </w:rPr>
        <w:tab/>
        <w:t>Chairman</w:t>
      </w:r>
      <w:r>
        <w:rPr>
          <w:spacing w:val="-14"/>
          <w:w w:val="105"/>
        </w:rPr>
        <w:t> </w:t>
      </w:r>
      <w:r>
        <w:rPr>
          <w:w w:val="105"/>
        </w:rPr>
        <w:t>of</w:t>
      </w:r>
      <w:r>
        <w:rPr>
          <w:spacing w:val="-14"/>
          <w:w w:val="105"/>
        </w:rPr>
        <w:t> </w:t>
      </w:r>
      <w:r>
        <w:rPr>
          <w:w w:val="105"/>
        </w:rPr>
        <w:t>the</w:t>
      </w:r>
      <w:r>
        <w:rPr>
          <w:spacing w:val="-14"/>
          <w:w w:val="105"/>
        </w:rPr>
        <w:t> </w:t>
      </w:r>
      <w:r>
        <w:rPr>
          <w:w w:val="105"/>
        </w:rPr>
        <w:t>Board</w:t>
      </w:r>
      <w:r>
        <w:rPr>
          <w:spacing w:val="-14"/>
          <w:w w:val="105"/>
        </w:rPr>
        <w:t> </w:t>
      </w:r>
      <w:r>
        <w:rPr>
          <w:w w:val="105"/>
        </w:rPr>
        <w:t>of</w:t>
      </w:r>
      <w:r>
        <w:rPr>
          <w:spacing w:val="-14"/>
          <w:w w:val="105"/>
        </w:rPr>
        <w:t> </w:t>
      </w:r>
      <w:r>
        <w:rPr>
          <w:w w:val="105"/>
        </w:rPr>
        <w:t>Directors</w:t>
      </w:r>
      <w:r>
        <w:rPr>
          <w:w w:val="102"/>
        </w:rPr>
        <w:t> </w:t>
      </w:r>
      <w:r>
        <w:rPr>
          <w:w w:val="105"/>
        </w:rPr>
        <w:t>Herbert D.</w:t>
      </w:r>
      <w:r>
        <w:rPr>
          <w:spacing w:val="-36"/>
          <w:w w:val="105"/>
        </w:rPr>
        <w:t> </w:t>
      </w:r>
      <w:r>
        <w:rPr>
          <w:w w:val="105"/>
        </w:rPr>
        <w:t>Kelleher</w:t>
      </w:r>
    </w:p>
    <w:p>
      <w:pPr>
        <w:pStyle w:val="BodyText"/>
        <w:tabs>
          <w:tab w:pos="2993" w:val="left" w:leader="none"/>
          <w:tab w:pos="3712" w:val="left" w:leader="none"/>
        </w:tabs>
        <w:spacing w:line="220" w:lineRule="exact" w:before="221"/>
        <w:ind w:left="113" w:right="2748"/>
      </w:pPr>
      <w:r>
        <w:rPr>
          <w:w w:val="105"/>
          <w:u w:val="single"/>
        </w:rPr>
        <w:t>/s/ James</w:t>
      </w:r>
      <w:r>
        <w:rPr>
          <w:spacing w:val="-16"/>
          <w:w w:val="105"/>
          <w:u w:val="single"/>
        </w:rPr>
        <w:t> </w:t>
      </w:r>
      <w:r>
        <w:rPr>
          <w:w w:val="105"/>
          <w:u w:val="single"/>
        </w:rPr>
        <w:t>F.</w:t>
      </w:r>
      <w:r>
        <w:rPr>
          <w:spacing w:val="-8"/>
          <w:w w:val="105"/>
          <w:u w:val="single"/>
        </w:rPr>
        <w:t> </w:t>
      </w:r>
      <w:r>
        <w:rPr>
          <w:w w:val="105"/>
          <w:u w:val="single"/>
        </w:rPr>
        <w:t>Parker</w:t>
        <w:tab/>
      </w:r>
      <w:r>
        <w:rPr>
          <w:w w:val="105"/>
        </w:rPr>
        <w:tab/>
        <w:t>Chief</w:t>
      </w:r>
      <w:r>
        <w:rPr>
          <w:spacing w:val="-18"/>
          <w:w w:val="105"/>
        </w:rPr>
        <w:t> </w:t>
      </w:r>
      <w:r>
        <w:rPr>
          <w:w w:val="105"/>
        </w:rPr>
        <w:t>Executive</w:t>
      </w:r>
      <w:r>
        <w:rPr>
          <w:spacing w:val="-18"/>
          <w:w w:val="105"/>
        </w:rPr>
        <w:t> </w:t>
      </w:r>
      <w:r>
        <w:rPr>
          <w:w w:val="105"/>
        </w:rPr>
        <w:t>Officer</w:t>
      </w:r>
      <w:r>
        <w:rPr>
          <w:spacing w:val="-17"/>
          <w:w w:val="105"/>
        </w:rPr>
        <w:t> </w:t>
      </w:r>
      <w:r>
        <w:rPr>
          <w:w w:val="105"/>
        </w:rPr>
        <w:t>and</w:t>
      </w:r>
      <w:r>
        <w:rPr>
          <w:spacing w:val="-18"/>
          <w:w w:val="105"/>
        </w:rPr>
        <w:t> </w:t>
      </w:r>
      <w:r>
        <w:rPr>
          <w:w w:val="105"/>
        </w:rPr>
        <w:t>Director</w:t>
      </w:r>
      <w:r>
        <w:rPr>
          <w:w w:val="102"/>
        </w:rPr>
        <w:t> </w:t>
      </w:r>
      <w:r>
        <w:rPr>
          <w:w w:val="105"/>
        </w:rPr>
        <w:t>James F.</w:t>
      </w:r>
      <w:r>
        <w:rPr>
          <w:spacing w:val="-30"/>
          <w:w w:val="105"/>
        </w:rPr>
        <w:t> </w:t>
      </w:r>
      <w:r>
        <w:rPr>
          <w:w w:val="105"/>
        </w:rPr>
        <w:t>Parker</w:t>
      </w:r>
    </w:p>
    <w:p>
      <w:pPr>
        <w:pStyle w:val="BodyText"/>
        <w:tabs>
          <w:tab w:pos="2993" w:val="left" w:leader="none"/>
          <w:tab w:pos="3713" w:val="left" w:leader="none"/>
        </w:tabs>
        <w:spacing w:line="220" w:lineRule="exact" w:before="216"/>
        <w:ind w:left="113" w:right="1834"/>
      </w:pPr>
      <w:r>
        <w:rPr>
          <w:w w:val="105"/>
          <w:u w:val="single"/>
        </w:rPr>
        <w:t>/s/ Colleen</w:t>
      </w:r>
      <w:r>
        <w:rPr>
          <w:spacing w:val="-17"/>
          <w:w w:val="105"/>
          <w:u w:val="single"/>
        </w:rPr>
        <w:t> </w:t>
      </w:r>
      <w:r>
        <w:rPr>
          <w:w w:val="105"/>
          <w:u w:val="single"/>
        </w:rPr>
        <w:t>C.</w:t>
      </w:r>
      <w:r>
        <w:rPr>
          <w:spacing w:val="-9"/>
          <w:w w:val="105"/>
          <w:u w:val="single"/>
        </w:rPr>
        <w:t> </w:t>
      </w:r>
      <w:r>
        <w:rPr>
          <w:w w:val="105"/>
          <w:u w:val="single"/>
        </w:rPr>
        <w:t>Barrett</w:t>
        <w:tab/>
      </w:r>
      <w:r>
        <w:rPr>
          <w:w w:val="105"/>
        </w:rPr>
        <w:tab/>
        <w:t>President,</w:t>
      </w:r>
      <w:r>
        <w:rPr>
          <w:spacing w:val="-17"/>
          <w:w w:val="105"/>
        </w:rPr>
        <w:t> </w:t>
      </w:r>
      <w:r>
        <w:rPr>
          <w:w w:val="105"/>
        </w:rPr>
        <w:t>Chief</w:t>
      </w:r>
      <w:r>
        <w:rPr>
          <w:spacing w:val="-18"/>
          <w:w w:val="105"/>
        </w:rPr>
        <w:t> </w:t>
      </w:r>
      <w:r>
        <w:rPr>
          <w:w w:val="105"/>
        </w:rPr>
        <w:t>Operating</w:t>
      </w:r>
      <w:r>
        <w:rPr>
          <w:spacing w:val="-17"/>
          <w:w w:val="105"/>
        </w:rPr>
        <w:t> </w:t>
      </w:r>
      <w:r>
        <w:rPr>
          <w:w w:val="105"/>
        </w:rPr>
        <w:t>Officer</w:t>
      </w:r>
      <w:r>
        <w:rPr>
          <w:spacing w:val="-17"/>
          <w:w w:val="105"/>
        </w:rPr>
        <w:t> </w:t>
      </w:r>
      <w:r>
        <w:rPr>
          <w:w w:val="105"/>
        </w:rPr>
        <w:t>and</w:t>
      </w:r>
      <w:r>
        <w:rPr>
          <w:spacing w:val="-18"/>
          <w:w w:val="105"/>
        </w:rPr>
        <w:t> </w:t>
      </w:r>
      <w:r>
        <w:rPr>
          <w:w w:val="105"/>
        </w:rPr>
        <w:t>Director</w:t>
      </w:r>
      <w:r>
        <w:rPr>
          <w:w w:val="102"/>
        </w:rPr>
        <w:t> </w:t>
      </w:r>
      <w:r>
        <w:rPr>
          <w:w w:val="105"/>
        </w:rPr>
        <w:t>Colleen C.</w:t>
      </w:r>
      <w:r>
        <w:rPr>
          <w:spacing w:val="-34"/>
          <w:w w:val="105"/>
        </w:rPr>
        <w:t> </w:t>
      </w:r>
      <w:r>
        <w:rPr>
          <w:w w:val="105"/>
        </w:rPr>
        <w:t>Barrett</w:t>
      </w:r>
    </w:p>
    <w:p>
      <w:pPr>
        <w:pStyle w:val="BodyText"/>
        <w:tabs>
          <w:tab w:pos="2993" w:val="left" w:leader="none"/>
          <w:tab w:pos="3713" w:val="left" w:leader="none"/>
        </w:tabs>
        <w:spacing w:line="220" w:lineRule="exact" w:before="221"/>
        <w:ind w:left="113" w:right="1343"/>
      </w:pPr>
      <w:r>
        <w:rPr>
          <w:w w:val="105"/>
          <w:u w:val="single"/>
        </w:rPr>
        <w:t>/s/ Gary</w:t>
      </w:r>
      <w:r>
        <w:rPr>
          <w:spacing w:val="-14"/>
          <w:w w:val="105"/>
          <w:u w:val="single"/>
        </w:rPr>
        <w:t> </w:t>
      </w:r>
      <w:r>
        <w:rPr>
          <w:w w:val="105"/>
          <w:u w:val="single"/>
        </w:rPr>
        <w:t>C.</w:t>
      </w:r>
      <w:r>
        <w:rPr>
          <w:spacing w:val="-7"/>
          <w:w w:val="105"/>
          <w:u w:val="single"/>
        </w:rPr>
        <w:t> </w:t>
      </w:r>
      <w:r>
        <w:rPr>
          <w:w w:val="105"/>
          <w:u w:val="single"/>
        </w:rPr>
        <w:t>Kelly</w:t>
        <w:tab/>
      </w:r>
      <w:r>
        <w:rPr>
          <w:w w:val="105"/>
        </w:rPr>
        <w:tab/>
        <w:t>Executive</w:t>
      </w:r>
      <w:r>
        <w:rPr>
          <w:spacing w:val="-17"/>
          <w:w w:val="105"/>
        </w:rPr>
        <w:t> </w:t>
      </w:r>
      <w:r>
        <w:rPr>
          <w:w w:val="105"/>
        </w:rPr>
        <w:t>Vice</w:t>
      </w:r>
      <w:r>
        <w:rPr>
          <w:spacing w:val="-17"/>
          <w:w w:val="105"/>
        </w:rPr>
        <w:t> </w:t>
      </w:r>
      <w:r>
        <w:rPr>
          <w:w w:val="105"/>
        </w:rPr>
        <w:t>President</w:t>
      </w:r>
      <w:r>
        <w:rPr>
          <w:spacing w:val="-16"/>
          <w:w w:val="105"/>
        </w:rPr>
        <w:t> </w:t>
      </w:r>
      <w:r>
        <w:rPr>
          <w:w w:val="105"/>
        </w:rPr>
        <w:t>and</w:t>
      </w:r>
      <w:r>
        <w:rPr>
          <w:spacing w:val="-17"/>
          <w:w w:val="105"/>
        </w:rPr>
        <w:t> </w:t>
      </w:r>
      <w:r>
        <w:rPr>
          <w:w w:val="105"/>
        </w:rPr>
        <w:t>Chief</w:t>
      </w:r>
      <w:r>
        <w:rPr>
          <w:spacing w:val="-17"/>
          <w:w w:val="105"/>
        </w:rPr>
        <w:t> </w:t>
      </w:r>
      <w:r>
        <w:rPr>
          <w:w w:val="105"/>
        </w:rPr>
        <w:t>Financial</w:t>
      </w:r>
      <w:r>
        <w:rPr>
          <w:spacing w:val="-16"/>
          <w:w w:val="105"/>
        </w:rPr>
        <w:t> </w:t>
      </w:r>
      <w:r>
        <w:rPr>
          <w:w w:val="105"/>
        </w:rPr>
        <w:t>Officer</w:t>
      </w:r>
      <w:r>
        <w:rPr>
          <w:w w:val="102"/>
        </w:rPr>
        <w:t> </w:t>
      </w:r>
      <w:r>
        <w:rPr>
          <w:w w:val="105"/>
        </w:rPr>
        <w:t>Gary</w:t>
      </w:r>
      <w:r>
        <w:rPr>
          <w:spacing w:val="-8"/>
          <w:w w:val="105"/>
        </w:rPr>
        <w:t> </w:t>
      </w:r>
      <w:r>
        <w:rPr>
          <w:w w:val="105"/>
        </w:rPr>
        <w:t>C.</w:t>
      </w:r>
      <w:r>
        <w:rPr>
          <w:spacing w:val="-8"/>
          <w:w w:val="105"/>
        </w:rPr>
        <w:t> </w:t>
      </w:r>
      <w:r>
        <w:rPr>
          <w:w w:val="105"/>
        </w:rPr>
        <w:t>Kelly</w:t>
        <w:tab/>
        <w:tab/>
        <w:t>(Chief</w:t>
      </w:r>
      <w:r>
        <w:rPr>
          <w:spacing w:val="-20"/>
          <w:w w:val="105"/>
        </w:rPr>
        <w:t> </w:t>
      </w:r>
      <w:r>
        <w:rPr>
          <w:w w:val="105"/>
        </w:rPr>
        <w:t>Financial</w:t>
      </w:r>
      <w:r>
        <w:rPr>
          <w:spacing w:val="-19"/>
          <w:w w:val="105"/>
        </w:rPr>
        <w:t> </w:t>
      </w:r>
      <w:r>
        <w:rPr>
          <w:w w:val="105"/>
        </w:rPr>
        <w:t>and</w:t>
      </w:r>
      <w:r>
        <w:rPr>
          <w:spacing w:val="-20"/>
          <w:w w:val="105"/>
        </w:rPr>
        <w:t> </w:t>
      </w:r>
      <w:r>
        <w:rPr>
          <w:w w:val="105"/>
        </w:rPr>
        <w:t>Accounting</w:t>
      </w:r>
      <w:r>
        <w:rPr>
          <w:spacing w:val="-19"/>
          <w:w w:val="105"/>
        </w:rPr>
        <w:t> </w:t>
      </w:r>
      <w:r>
        <w:rPr>
          <w:w w:val="105"/>
        </w:rPr>
        <w:t>Officer)</w:t>
      </w:r>
    </w:p>
    <w:p>
      <w:pPr>
        <w:pStyle w:val="BodyText"/>
        <w:tabs>
          <w:tab w:pos="2993" w:val="left" w:leader="none"/>
          <w:tab w:pos="3713" w:val="left" w:leader="none"/>
        </w:tabs>
        <w:spacing w:line="231" w:lineRule="exact" w:before="196"/>
        <w:ind w:left="113"/>
      </w:pPr>
      <w:r>
        <w:rPr>
          <w:w w:val="105"/>
          <w:u w:val="single"/>
        </w:rPr>
        <w:t>/s/ C.</w:t>
      </w:r>
      <w:r>
        <w:rPr>
          <w:spacing w:val="-17"/>
          <w:w w:val="105"/>
          <w:u w:val="single"/>
        </w:rPr>
        <w:t> </w:t>
      </w:r>
      <w:r>
        <w:rPr>
          <w:w w:val="105"/>
          <w:u w:val="single"/>
        </w:rPr>
        <w:t>Webb</w:t>
      </w:r>
      <w:r>
        <w:rPr>
          <w:spacing w:val="-9"/>
          <w:w w:val="105"/>
          <w:u w:val="single"/>
        </w:rPr>
        <w:t> </w:t>
      </w:r>
      <w:r>
        <w:rPr>
          <w:w w:val="105"/>
          <w:u w:val="single"/>
        </w:rPr>
        <w:t>Crockett</w:t>
        <w:tab/>
      </w:r>
      <w:r>
        <w:rPr>
          <w:w w:val="105"/>
        </w:rPr>
        <w:tab/>
        <w:t>Director</w:t>
      </w:r>
    </w:p>
    <w:p>
      <w:pPr>
        <w:pStyle w:val="BodyText"/>
        <w:spacing w:line="231" w:lineRule="exact"/>
        <w:ind w:left="113"/>
      </w:pPr>
      <w:r>
        <w:rPr>
          <w:w w:val="105"/>
        </w:rPr>
        <w:t>C. Webb Crockett</w:t>
      </w:r>
    </w:p>
    <w:p>
      <w:pPr>
        <w:pStyle w:val="BodyText"/>
        <w:tabs>
          <w:tab w:pos="2993" w:val="left" w:leader="none"/>
          <w:tab w:pos="3713" w:val="left" w:leader="none"/>
        </w:tabs>
        <w:spacing w:line="220" w:lineRule="exact" w:before="220"/>
        <w:ind w:left="113" w:right="5244"/>
      </w:pPr>
      <w:r>
        <w:rPr>
          <w:w w:val="105"/>
          <w:u w:val="single"/>
        </w:rPr>
        <w:t>/s/ William</w:t>
      </w:r>
      <w:r>
        <w:rPr>
          <w:spacing w:val="-22"/>
          <w:w w:val="105"/>
          <w:u w:val="single"/>
        </w:rPr>
        <w:t> </w:t>
      </w:r>
      <w:r>
        <w:rPr>
          <w:w w:val="105"/>
          <w:u w:val="single"/>
        </w:rPr>
        <w:t>H.</w:t>
      </w:r>
      <w:r>
        <w:rPr>
          <w:spacing w:val="-11"/>
          <w:w w:val="105"/>
          <w:u w:val="single"/>
        </w:rPr>
        <w:t> </w:t>
      </w:r>
      <w:r>
        <w:rPr>
          <w:w w:val="105"/>
          <w:u w:val="single"/>
        </w:rPr>
        <w:t>Cunningham</w:t>
        <w:tab/>
      </w:r>
      <w:r>
        <w:rPr>
          <w:w w:val="105"/>
        </w:rPr>
        <w:tab/>
      </w:r>
      <w:r>
        <w:rPr>
          <w:spacing w:val="-1"/>
        </w:rPr>
        <w:t>Director </w:t>
      </w:r>
      <w:r>
        <w:rPr>
          <w:w w:val="105"/>
        </w:rPr>
        <w:t>William</w:t>
      </w:r>
      <w:r>
        <w:rPr>
          <w:spacing w:val="-24"/>
          <w:w w:val="105"/>
        </w:rPr>
        <w:t> </w:t>
      </w:r>
      <w:r>
        <w:rPr>
          <w:w w:val="105"/>
        </w:rPr>
        <w:t>H.</w:t>
      </w:r>
      <w:r>
        <w:rPr>
          <w:spacing w:val="-24"/>
          <w:w w:val="105"/>
        </w:rPr>
        <w:t> </w:t>
      </w:r>
      <w:r>
        <w:rPr>
          <w:w w:val="105"/>
        </w:rPr>
        <w:t>Cunningham</w:t>
      </w:r>
    </w:p>
    <w:p>
      <w:pPr>
        <w:pStyle w:val="BodyText"/>
        <w:tabs>
          <w:tab w:pos="2993" w:val="left" w:leader="none"/>
          <w:tab w:pos="3713" w:val="left" w:leader="none"/>
        </w:tabs>
        <w:spacing w:line="220" w:lineRule="exact" w:before="216"/>
        <w:ind w:left="113" w:right="5244"/>
      </w:pPr>
      <w:r>
        <w:rPr>
          <w:w w:val="105"/>
          <w:u w:val="single"/>
        </w:rPr>
        <w:t>/s/ William</w:t>
      </w:r>
      <w:r>
        <w:rPr>
          <w:spacing w:val="-17"/>
          <w:w w:val="105"/>
          <w:u w:val="single"/>
        </w:rPr>
        <w:t> </w:t>
      </w:r>
      <w:r>
        <w:rPr>
          <w:w w:val="105"/>
          <w:u w:val="single"/>
        </w:rPr>
        <w:t>P.</w:t>
      </w:r>
      <w:r>
        <w:rPr>
          <w:spacing w:val="-9"/>
          <w:w w:val="105"/>
          <w:u w:val="single"/>
        </w:rPr>
        <w:t> </w:t>
      </w:r>
      <w:r>
        <w:rPr>
          <w:w w:val="105"/>
          <w:u w:val="single"/>
        </w:rPr>
        <w:t>Hobby</w:t>
        <w:tab/>
      </w:r>
      <w:r>
        <w:rPr>
          <w:w w:val="105"/>
        </w:rPr>
        <w:tab/>
      </w:r>
      <w:r>
        <w:rPr/>
        <w:t>Director </w:t>
      </w:r>
      <w:r>
        <w:rPr>
          <w:w w:val="105"/>
        </w:rPr>
        <w:t>William P.</w:t>
      </w:r>
      <w:r>
        <w:rPr>
          <w:spacing w:val="-35"/>
          <w:w w:val="105"/>
        </w:rPr>
        <w:t> </w:t>
      </w:r>
      <w:r>
        <w:rPr>
          <w:w w:val="105"/>
        </w:rPr>
        <w:t>Hobby</w:t>
      </w:r>
    </w:p>
    <w:p>
      <w:pPr>
        <w:pStyle w:val="BodyText"/>
        <w:tabs>
          <w:tab w:pos="2993" w:val="left" w:leader="none"/>
          <w:tab w:pos="3713" w:val="left" w:leader="none"/>
        </w:tabs>
        <w:spacing w:line="220" w:lineRule="exact" w:before="221"/>
        <w:ind w:left="113" w:right="5244"/>
      </w:pPr>
      <w:r>
        <w:rPr>
          <w:w w:val="105"/>
          <w:u w:val="single"/>
        </w:rPr>
        <w:t>/s/ Travis</w:t>
      </w:r>
      <w:r>
        <w:rPr>
          <w:spacing w:val="-17"/>
          <w:w w:val="105"/>
          <w:u w:val="single"/>
        </w:rPr>
        <w:t> </w:t>
      </w:r>
      <w:r>
        <w:rPr>
          <w:w w:val="105"/>
          <w:u w:val="single"/>
        </w:rPr>
        <w:t>C.</w:t>
      </w:r>
      <w:r>
        <w:rPr>
          <w:spacing w:val="-9"/>
          <w:w w:val="105"/>
          <w:u w:val="single"/>
        </w:rPr>
        <w:t> </w:t>
      </w:r>
      <w:r>
        <w:rPr>
          <w:w w:val="105"/>
          <w:u w:val="single"/>
        </w:rPr>
        <w:t>Johnson</w:t>
        <w:tab/>
      </w:r>
      <w:r>
        <w:rPr>
          <w:w w:val="105"/>
        </w:rPr>
        <w:tab/>
      </w:r>
      <w:r>
        <w:rPr/>
        <w:t>Director </w:t>
      </w:r>
      <w:r>
        <w:rPr>
          <w:w w:val="105"/>
        </w:rPr>
        <w:t>Travis C.</w:t>
      </w:r>
      <w:r>
        <w:rPr>
          <w:spacing w:val="-34"/>
          <w:w w:val="105"/>
        </w:rPr>
        <w:t> </w:t>
      </w:r>
      <w:r>
        <w:rPr>
          <w:w w:val="105"/>
        </w:rPr>
        <w:t>Johnson</w:t>
      </w:r>
    </w:p>
    <w:p>
      <w:pPr>
        <w:pStyle w:val="BodyText"/>
        <w:tabs>
          <w:tab w:pos="2993" w:val="left" w:leader="none"/>
          <w:tab w:pos="3713" w:val="left" w:leader="none"/>
        </w:tabs>
        <w:spacing w:line="231" w:lineRule="exact" w:before="196"/>
        <w:ind w:left="113"/>
      </w:pPr>
      <w:r>
        <w:rPr>
          <w:w w:val="105"/>
          <w:u w:val="single"/>
        </w:rPr>
        <w:t>/s/</w:t>
      </w:r>
      <w:r>
        <w:rPr>
          <w:spacing w:val="-8"/>
          <w:w w:val="105"/>
          <w:u w:val="single"/>
        </w:rPr>
        <w:t> </w:t>
      </w:r>
      <w:r>
        <w:rPr>
          <w:w w:val="105"/>
          <w:u w:val="single"/>
        </w:rPr>
        <w:t>R.W.</w:t>
      </w:r>
      <w:r>
        <w:rPr>
          <w:spacing w:val="-8"/>
          <w:w w:val="105"/>
          <w:u w:val="single"/>
        </w:rPr>
        <w:t> </w:t>
      </w:r>
      <w:r>
        <w:rPr>
          <w:w w:val="105"/>
          <w:u w:val="single"/>
        </w:rPr>
        <w:t>King</w:t>
        <w:tab/>
      </w:r>
      <w:r>
        <w:rPr>
          <w:w w:val="105"/>
        </w:rPr>
        <w:tab/>
        <w:t>Director</w:t>
      </w:r>
    </w:p>
    <w:p>
      <w:pPr>
        <w:pStyle w:val="BodyText"/>
        <w:spacing w:line="231" w:lineRule="exact"/>
        <w:ind w:left="113"/>
      </w:pPr>
      <w:r>
        <w:rPr>
          <w:w w:val="105"/>
        </w:rPr>
        <w:t>R. W. King</w:t>
      </w:r>
    </w:p>
    <w:p>
      <w:pPr>
        <w:pStyle w:val="BodyText"/>
        <w:tabs>
          <w:tab w:pos="2993" w:val="left" w:leader="none"/>
          <w:tab w:pos="3713" w:val="left" w:leader="none"/>
        </w:tabs>
        <w:spacing w:line="220" w:lineRule="exact" w:before="220"/>
        <w:ind w:left="113" w:right="5244"/>
      </w:pPr>
      <w:r>
        <w:rPr>
          <w:w w:val="105"/>
          <w:u w:val="single"/>
        </w:rPr>
        <w:t>/s/ John</w:t>
      </w:r>
      <w:r>
        <w:rPr>
          <w:spacing w:val="-17"/>
          <w:w w:val="105"/>
          <w:u w:val="single"/>
        </w:rPr>
        <w:t> </w:t>
      </w:r>
      <w:r>
        <w:rPr>
          <w:w w:val="105"/>
          <w:u w:val="single"/>
        </w:rPr>
        <w:t>T.</w:t>
      </w:r>
      <w:r>
        <w:rPr>
          <w:spacing w:val="-9"/>
          <w:w w:val="105"/>
          <w:u w:val="single"/>
        </w:rPr>
        <w:t> </w:t>
      </w:r>
      <w:r>
        <w:rPr>
          <w:w w:val="105"/>
          <w:u w:val="single"/>
        </w:rPr>
        <w:t>Montford</w:t>
        <w:tab/>
      </w:r>
      <w:r>
        <w:rPr>
          <w:w w:val="105"/>
        </w:rPr>
        <w:tab/>
      </w:r>
      <w:r>
        <w:rPr/>
        <w:t>Director </w:t>
      </w:r>
      <w:r>
        <w:rPr>
          <w:w w:val="105"/>
        </w:rPr>
        <w:t>John T.</w:t>
      </w:r>
      <w:r>
        <w:rPr>
          <w:spacing w:val="-33"/>
          <w:w w:val="105"/>
        </w:rPr>
        <w:t> </w:t>
      </w:r>
      <w:r>
        <w:rPr>
          <w:w w:val="105"/>
        </w:rPr>
        <w:t>Montford</w:t>
      </w:r>
    </w:p>
    <w:p>
      <w:pPr>
        <w:pStyle w:val="BodyText"/>
        <w:tabs>
          <w:tab w:pos="2993" w:val="left" w:leader="none"/>
          <w:tab w:pos="3713" w:val="left" w:leader="none"/>
        </w:tabs>
        <w:spacing w:line="220" w:lineRule="exact" w:before="216"/>
        <w:ind w:left="113" w:right="5244"/>
      </w:pPr>
      <w:r>
        <w:rPr>
          <w:w w:val="105"/>
          <w:u w:val="single"/>
        </w:rPr>
        <w:t>/s/ June</w:t>
      </w:r>
      <w:r>
        <w:rPr>
          <w:spacing w:val="-15"/>
          <w:w w:val="105"/>
          <w:u w:val="single"/>
        </w:rPr>
        <w:t> </w:t>
      </w:r>
      <w:r>
        <w:rPr>
          <w:w w:val="105"/>
          <w:u w:val="single"/>
        </w:rPr>
        <w:t>M.</w:t>
      </w:r>
      <w:r>
        <w:rPr>
          <w:spacing w:val="-8"/>
          <w:w w:val="105"/>
          <w:u w:val="single"/>
        </w:rPr>
        <w:t> </w:t>
      </w:r>
      <w:r>
        <w:rPr>
          <w:w w:val="105"/>
          <w:u w:val="single"/>
        </w:rPr>
        <w:t>Morris</w:t>
        <w:tab/>
      </w:r>
      <w:r>
        <w:rPr>
          <w:w w:val="105"/>
        </w:rPr>
        <w:tab/>
      </w:r>
      <w:r>
        <w:rPr/>
        <w:t>Director </w:t>
      </w:r>
      <w:r>
        <w:rPr>
          <w:w w:val="105"/>
        </w:rPr>
        <w:t>June M.</w:t>
      </w:r>
      <w:r>
        <w:rPr>
          <w:spacing w:val="-29"/>
          <w:w w:val="105"/>
        </w:rPr>
        <w:t> </w:t>
      </w:r>
      <w:r>
        <w:rPr>
          <w:w w:val="105"/>
        </w:rPr>
        <w:t>Morris</w:t>
      </w:r>
    </w:p>
    <w:p>
      <w:pPr>
        <w:spacing w:after="0" w:line="220" w:lineRule="exact"/>
        <w:sectPr>
          <w:pgSz w:w="12240" w:h="15840"/>
          <w:pgMar w:top="880" w:bottom="280" w:left="1240" w:right="1320"/>
        </w:sectPr>
      </w:pPr>
    </w:p>
    <w:p>
      <w:pPr>
        <w:pStyle w:val="BodyText"/>
        <w:spacing w:before="8"/>
        <w:rPr>
          <w:sz w:val="36"/>
        </w:rPr>
      </w:pPr>
    </w:p>
    <w:p>
      <w:pPr>
        <w:pStyle w:val="BodyText"/>
        <w:ind w:left="113"/>
      </w:pPr>
      <w:r>
        <w:rPr/>
        <w:pict>
          <v:line style="position:absolute;mso-position-horizontal-relative:page;mso-position-vertical-relative:paragraph;z-index:7072" from="67.680pt,-.277292pt" to="211.68pt,-.277292pt" stroked="true" strokeweight=".48004pt" strokecolor="#000000">
            <v:stroke dashstyle="solid"/>
            <w10:wrap type="none"/>
          </v:line>
        </w:pict>
      </w:r>
      <w:r>
        <w:rPr>
          <w:w w:val="105"/>
        </w:rPr>
        <w:t>Louis</w:t>
      </w:r>
      <w:r>
        <w:rPr>
          <w:spacing w:val="-26"/>
          <w:w w:val="105"/>
        </w:rPr>
        <w:t> </w:t>
      </w:r>
      <w:r>
        <w:rPr>
          <w:w w:val="105"/>
        </w:rPr>
        <w:t>Caldera</w:t>
      </w:r>
    </w:p>
    <w:p>
      <w:pPr>
        <w:pStyle w:val="BodyText"/>
        <w:spacing w:before="201"/>
        <w:ind w:left="113"/>
      </w:pPr>
      <w:r>
        <w:rPr/>
        <w:br w:type="column"/>
      </w:r>
      <w:r>
        <w:rPr>
          <w:w w:val="105"/>
        </w:rPr>
        <w:t>Director</w:t>
      </w:r>
    </w:p>
    <w:p>
      <w:pPr>
        <w:spacing w:after="0"/>
        <w:sectPr>
          <w:type w:val="continuous"/>
          <w:pgSz w:w="12240" w:h="15840"/>
          <w:pgMar w:top="320" w:bottom="280" w:left="1240" w:right="1320"/>
          <w:cols w:num="2" w:equalWidth="0">
            <w:col w:w="1333" w:space="2267"/>
            <w:col w:w="6080"/>
          </w:cols>
        </w:sectPr>
      </w:pPr>
    </w:p>
    <w:p>
      <w:pPr>
        <w:pStyle w:val="BodyText"/>
        <w:tabs>
          <w:tab w:pos="2993" w:val="left" w:leader="none"/>
          <w:tab w:pos="3713" w:val="left" w:leader="none"/>
        </w:tabs>
        <w:spacing w:line="220" w:lineRule="exact" w:before="215"/>
        <w:ind w:left="113" w:right="5244"/>
      </w:pPr>
      <w:r>
        <w:rPr>
          <w:w w:val="105"/>
          <w:u w:val="single"/>
        </w:rPr>
        <w:t>/s/</w:t>
      </w:r>
      <w:r>
        <w:rPr>
          <w:spacing w:val="-9"/>
          <w:w w:val="105"/>
          <w:u w:val="single"/>
        </w:rPr>
        <w:t> </w:t>
      </w:r>
      <w:r>
        <w:rPr>
          <w:w w:val="105"/>
          <w:u w:val="single"/>
        </w:rPr>
        <w:t>Nancy</w:t>
      </w:r>
      <w:r>
        <w:rPr>
          <w:spacing w:val="-9"/>
          <w:w w:val="105"/>
          <w:u w:val="single"/>
        </w:rPr>
        <w:t> </w:t>
      </w:r>
      <w:r>
        <w:rPr>
          <w:w w:val="105"/>
          <w:u w:val="single"/>
        </w:rPr>
        <w:t>Loeffler</w:t>
        <w:tab/>
      </w:r>
      <w:r>
        <w:rPr>
          <w:w w:val="105"/>
        </w:rPr>
        <w:tab/>
      </w:r>
      <w:r>
        <w:rPr/>
        <w:t>Director </w:t>
      </w:r>
      <w:r>
        <w:rPr>
          <w:w w:val="105"/>
        </w:rPr>
        <w:t>Nancy</w:t>
      </w:r>
      <w:r>
        <w:rPr>
          <w:spacing w:val="-29"/>
          <w:w w:val="105"/>
        </w:rPr>
        <w:t> </w:t>
      </w:r>
      <w:r>
        <w:rPr>
          <w:w w:val="105"/>
        </w:rPr>
        <w:t>Loeffler</w:t>
      </w:r>
    </w:p>
    <w:sectPr>
      <w:type w:val="continuous"/>
      <w:pgSz w:w="12240" w:h="15840"/>
      <w:pgMar w:top="320" w:bottom="280" w:left="124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ahoma">
    <w:altName w:val="Tahoma"/>
    <w:charset w:val="0"/>
    <w:family w:val="swiss"/>
    <w:pitch w:val="variable"/>
  </w:font>
  <w:font w:name="Arial Black">
    <w:altName w:val="Arial Black"/>
    <w:charset w:val="0"/>
    <w:family w:val="swiss"/>
    <w:pitch w:val="variable"/>
  </w:font>
  <w:font w:name="Trebuchet MS">
    <w:altName w:val="Trebuchet MS"/>
    <w:charset w:val="0"/>
    <w:family w:val="swiss"/>
    <w:pitch w:val="variable"/>
  </w:font>
  <w:font w:name="Symbol">
    <w:altName w:val="Symbol"/>
    <w:charset w:val="2"/>
    <w:family w:val="roman"/>
    <w:pitch w:val="variable"/>
  </w:font>
  <w:font w:name="Verdana">
    <w:altName w:val="Verdana"/>
    <w:charset w:val="0"/>
    <w:family w:val="swiss"/>
    <w:pitch w:val="variable"/>
  </w:font>
  <w:font w:name="Arial">
    <w:altName w:val="Arial"/>
    <w:charset w:val="0"/>
    <w:family w:val="swiss"/>
    <w:pitch w:val="variable"/>
  </w:font>
  <w:font w:name="Georgia">
    <w:altName w:val="Georgia"/>
    <w:charset w:val="0"/>
    <w:family w:val="roman"/>
    <w:pitch w:val="variable"/>
  </w:font>
  <w:font w:name="Book Antiqua">
    <w:altName w:val="Book Antiqua"/>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556" w:hanging="137"/>
      </w:pPr>
      <w:rPr>
        <w:rFonts w:hint="default" w:ascii="Arial" w:hAnsi="Arial" w:eastAsia="Arial" w:cs="Arial"/>
        <w:color w:val="EF3E23"/>
        <w:w w:val="142"/>
        <w:position w:val="-2"/>
        <w:sz w:val="18"/>
        <w:szCs w:val="18"/>
      </w:rPr>
    </w:lvl>
    <w:lvl w:ilvl="1">
      <w:start w:val="2"/>
      <w:numFmt w:val="decimal"/>
      <w:lvlText w:val="(%2)"/>
      <w:lvlJc w:val="left"/>
      <w:pPr>
        <w:ind w:left="889" w:hanging="270"/>
        <w:jc w:val="left"/>
      </w:pPr>
      <w:rPr>
        <w:rFonts w:hint="default" w:ascii="Book Antiqua" w:hAnsi="Book Antiqua" w:eastAsia="Book Antiqua" w:cs="Book Antiqua"/>
        <w:color w:val="231F20"/>
        <w:spacing w:val="-27"/>
        <w:w w:val="81"/>
        <w:position w:val="2"/>
        <w:sz w:val="17"/>
        <w:szCs w:val="17"/>
      </w:rPr>
    </w:lvl>
    <w:lvl w:ilvl="2">
      <w:start w:val="0"/>
      <w:numFmt w:val="bullet"/>
      <w:lvlText w:val="•"/>
      <w:lvlJc w:val="left"/>
      <w:pPr>
        <w:ind w:left="1116" w:hanging="270"/>
      </w:pPr>
      <w:rPr>
        <w:rFonts w:hint="default"/>
      </w:rPr>
    </w:lvl>
    <w:lvl w:ilvl="3">
      <w:start w:val="0"/>
      <w:numFmt w:val="bullet"/>
      <w:lvlText w:val="•"/>
      <w:lvlJc w:val="left"/>
      <w:pPr>
        <w:ind w:left="1352" w:hanging="270"/>
      </w:pPr>
      <w:rPr>
        <w:rFonts w:hint="default"/>
      </w:rPr>
    </w:lvl>
    <w:lvl w:ilvl="4">
      <w:start w:val="0"/>
      <w:numFmt w:val="bullet"/>
      <w:lvlText w:val="•"/>
      <w:lvlJc w:val="left"/>
      <w:pPr>
        <w:ind w:left="1589" w:hanging="270"/>
      </w:pPr>
      <w:rPr>
        <w:rFonts w:hint="default"/>
      </w:rPr>
    </w:lvl>
    <w:lvl w:ilvl="5">
      <w:start w:val="0"/>
      <w:numFmt w:val="bullet"/>
      <w:lvlText w:val="•"/>
      <w:lvlJc w:val="left"/>
      <w:pPr>
        <w:ind w:left="1825" w:hanging="270"/>
      </w:pPr>
      <w:rPr>
        <w:rFonts w:hint="default"/>
      </w:rPr>
    </w:lvl>
    <w:lvl w:ilvl="6">
      <w:start w:val="0"/>
      <w:numFmt w:val="bullet"/>
      <w:lvlText w:val="•"/>
      <w:lvlJc w:val="left"/>
      <w:pPr>
        <w:ind w:left="2062" w:hanging="270"/>
      </w:pPr>
      <w:rPr>
        <w:rFonts w:hint="default"/>
      </w:rPr>
    </w:lvl>
    <w:lvl w:ilvl="7">
      <w:start w:val="0"/>
      <w:numFmt w:val="bullet"/>
      <w:lvlText w:val="•"/>
      <w:lvlJc w:val="left"/>
      <w:pPr>
        <w:ind w:left="2298" w:hanging="270"/>
      </w:pPr>
      <w:rPr>
        <w:rFonts w:hint="default"/>
      </w:rPr>
    </w:lvl>
    <w:lvl w:ilvl="8">
      <w:start w:val="0"/>
      <w:numFmt w:val="bullet"/>
      <w:lvlText w:val="•"/>
      <w:lvlJc w:val="left"/>
      <w:pPr>
        <w:ind w:left="2535" w:hanging="270"/>
      </w:pPr>
      <w:rPr>
        <w:rFonts w:hint="default"/>
      </w:rPr>
    </w:lvl>
  </w:abstractNum>
  <w:abstractNum w:abstractNumId="0">
    <w:multiLevelType w:val="hybridMultilevel"/>
    <w:lvl w:ilvl="0">
      <w:start w:val="1"/>
      <w:numFmt w:val="decimal"/>
      <w:lvlText w:val="%1."/>
      <w:lvlJc w:val="left"/>
      <w:pPr>
        <w:ind w:left="660" w:hanging="181"/>
        <w:jc w:val="left"/>
      </w:pPr>
      <w:rPr>
        <w:rFonts w:hint="default" w:ascii="Book Antiqua" w:hAnsi="Book Antiqua" w:eastAsia="Book Antiqua" w:cs="Book Antiqua"/>
        <w:color w:val="231F20"/>
        <w:spacing w:val="-1"/>
        <w:w w:val="83"/>
        <w:sz w:val="17"/>
        <w:szCs w:val="17"/>
      </w:rPr>
    </w:lvl>
    <w:lvl w:ilvl="1">
      <w:start w:val="0"/>
      <w:numFmt w:val="bullet"/>
      <w:lvlText w:val="•"/>
      <w:lvlJc w:val="left"/>
      <w:pPr>
        <w:ind w:left="667" w:hanging="183"/>
      </w:pPr>
      <w:rPr>
        <w:rFonts w:hint="default" w:ascii="Book Antiqua" w:hAnsi="Book Antiqua" w:eastAsia="Book Antiqua" w:cs="Book Antiqua"/>
        <w:color w:val="231F20"/>
        <w:w w:val="54"/>
        <w:sz w:val="17"/>
        <w:szCs w:val="17"/>
      </w:rPr>
    </w:lvl>
    <w:lvl w:ilvl="2">
      <w:start w:val="0"/>
      <w:numFmt w:val="bullet"/>
      <w:lvlText w:val="•"/>
      <w:lvlJc w:val="left"/>
      <w:pPr>
        <w:ind w:left="1634" w:hanging="183"/>
      </w:pPr>
      <w:rPr>
        <w:rFonts w:hint="default"/>
      </w:rPr>
    </w:lvl>
    <w:lvl w:ilvl="3">
      <w:start w:val="0"/>
      <w:numFmt w:val="bullet"/>
      <w:lvlText w:val="•"/>
      <w:lvlJc w:val="left"/>
      <w:pPr>
        <w:ind w:left="2121" w:hanging="183"/>
      </w:pPr>
      <w:rPr>
        <w:rFonts w:hint="default"/>
      </w:rPr>
    </w:lvl>
    <w:lvl w:ilvl="4">
      <w:start w:val="0"/>
      <w:numFmt w:val="bullet"/>
      <w:lvlText w:val="•"/>
      <w:lvlJc w:val="left"/>
      <w:pPr>
        <w:ind w:left="2608" w:hanging="183"/>
      </w:pPr>
      <w:rPr>
        <w:rFonts w:hint="default"/>
      </w:rPr>
    </w:lvl>
    <w:lvl w:ilvl="5">
      <w:start w:val="0"/>
      <w:numFmt w:val="bullet"/>
      <w:lvlText w:val="•"/>
      <w:lvlJc w:val="left"/>
      <w:pPr>
        <w:ind w:left="3095" w:hanging="183"/>
      </w:pPr>
      <w:rPr>
        <w:rFonts w:hint="default"/>
      </w:rPr>
    </w:lvl>
    <w:lvl w:ilvl="6">
      <w:start w:val="0"/>
      <w:numFmt w:val="bullet"/>
      <w:lvlText w:val="•"/>
      <w:lvlJc w:val="left"/>
      <w:pPr>
        <w:ind w:left="3582" w:hanging="183"/>
      </w:pPr>
      <w:rPr>
        <w:rFonts w:hint="default"/>
      </w:rPr>
    </w:lvl>
    <w:lvl w:ilvl="7">
      <w:start w:val="0"/>
      <w:numFmt w:val="bullet"/>
      <w:lvlText w:val="•"/>
      <w:lvlJc w:val="left"/>
      <w:pPr>
        <w:ind w:left="4069" w:hanging="183"/>
      </w:pPr>
      <w:rPr>
        <w:rFonts w:hint="default"/>
      </w:rPr>
    </w:lvl>
    <w:lvl w:ilvl="8">
      <w:start w:val="0"/>
      <w:numFmt w:val="bullet"/>
      <w:lvlText w:val="•"/>
      <w:lvlJc w:val="left"/>
      <w:pPr>
        <w:ind w:left="4557" w:hanging="183"/>
      </w:pPr>
      <w:rPr>
        <w:rFonts w:hint="default"/>
      </w:rPr>
    </w:lvl>
  </w:abstractNum>
  <w:abstractNum w:abstractNumId="14">
    <w:multiLevelType w:val="hybridMultilevel"/>
    <w:lvl w:ilvl="0">
      <w:start w:val="32"/>
      <w:numFmt w:val="decimal"/>
      <w:lvlText w:val="%1"/>
      <w:lvlJc w:val="left"/>
      <w:pPr>
        <w:ind w:left="833" w:hanging="721"/>
        <w:jc w:val="left"/>
      </w:pPr>
      <w:rPr>
        <w:rFonts w:hint="default"/>
      </w:rPr>
    </w:lvl>
    <w:lvl w:ilvl="1">
      <w:start w:val="1"/>
      <w:numFmt w:val="decimal"/>
      <w:lvlText w:val="%1.%2"/>
      <w:lvlJc w:val="left"/>
      <w:pPr>
        <w:ind w:left="833" w:hanging="721"/>
        <w:jc w:val="left"/>
      </w:pPr>
      <w:rPr>
        <w:rFonts w:hint="default" w:ascii="Times New Roman" w:hAnsi="Times New Roman" w:eastAsia="Times New Roman" w:cs="Times New Roman"/>
        <w:w w:val="102"/>
        <w:sz w:val="21"/>
        <w:szCs w:val="21"/>
      </w:rPr>
    </w:lvl>
    <w:lvl w:ilvl="2">
      <w:start w:val="0"/>
      <w:numFmt w:val="bullet"/>
      <w:lvlText w:val="•"/>
      <w:lvlJc w:val="left"/>
      <w:pPr>
        <w:ind w:left="2608" w:hanging="721"/>
      </w:pPr>
      <w:rPr>
        <w:rFonts w:hint="default"/>
      </w:rPr>
    </w:lvl>
    <w:lvl w:ilvl="3">
      <w:start w:val="0"/>
      <w:numFmt w:val="bullet"/>
      <w:lvlText w:val="•"/>
      <w:lvlJc w:val="left"/>
      <w:pPr>
        <w:ind w:left="3492" w:hanging="721"/>
      </w:pPr>
      <w:rPr>
        <w:rFonts w:hint="default"/>
      </w:rPr>
    </w:lvl>
    <w:lvl w:ilvl="4">
      <w:start w:val="0"/>
      <w:numFmt w:val="bullet"/>
      <w:lvlText w:val="•"/>
      <w:lvlJc w:val="left"/>
      <w:pPr>
        <w:ind w:left="4376" w:hanging="721"/>
      </w:pPr>
      <w:rPr>
        <w:rFonts w:hint="default"/>
      </w:rPr>
    </w:lvl>
    <w:lvl w:ilvl="5">
      <w:start w:val="0"/>
      <w:numFmt w:val="bullet"/>
      <w:lvlText w:val="•"/>
      <w:lvlJc w:val="left"/>
      <w:pPr>
        <w:ind w:left="5260" w:hanging="721"/>
      </w:pPr>
      <w:rPr>
        <w:rFonts w:hint="default"/>
      </w:rPr>
    </w:lvl>
    <w:lvl w:ilvl="6">
      <w:start w:val="0"/>
      <w:numFmt w:val="bullet"/>
      <w:lvlText w:val="•"/>
      <w:lvlJc w:val="left"/>
      <w:pPr>
        <w:ind w:left="6144" w:hanging="721"/>
      </w:pPr>
      <w:rPr>
        <w:rFonts w:hint="default"/>
      </w:rPr>
    </w:lvl>
    <w:lvl w:ilvl="7">
      <w:start w:val="0"/>
      <w:numFmt w:val="bullet"/>
      <w:lvlText w:val="•"/>
      <w:lvlJc w:val="left"/>
      <w:pPr>
        <w:ind w:left="7028" w:hanging="721"/>
      </w:pPr>
      <w:rPr>
        <w:rFonts w:hint="default"/>
      </w:rPr>
    </w:lvl>
    <w:lvl w:ilvl="8">
      <w:start w:val="0"/>
      <w:numFmt w:val="bullet"/>
      <w:lvlText w:val="•"/>
      <w:lvlJc w:val="left"/>
      <w:pPr>
        <w:ind w:left="7912" w:hanging="721"/>
      </w:pPr>
      <w:rPr>
        <w:rFonts w:hint="default"/>
      </w:rPr>
    </w:lvl>
  </w:abstractNum>
  <w:abstractNum w:abstractNumId="13">
    <w:multiLevelType w:val="hybridMultilevel"/>
    <w:lvl w:ilvl="0">
      <w:start w:val="31"/>
      <w:numFmt w:val="decimal"/>
      <w:lvlText w:val="%1"/>
      <w:lvlJc w:val="left"/>
      <w:pPr>
        <w:ind w:left="833" w:hanging="721"/>
        <w:jc w:val="left"/>
      </w:pPr>
      <w:rPr>
        <w:rFonts w:hint="default"/>
      </w:rPr>
    </w:lvl>
    <w:lvl w:ilvl="1">
      <w:start w:val="1"/>
      <w:numFmt w:val="decimal"/>
      <w:lvlText w:val="%1.%2"/>
      <w:lvlJc w:val="left"/>
      <w:pPr>
        <w:ind w:left="833" w:hanging="721"/>
        <w:jc w:val="left"/>
      </w:pPr>
      <w:rPr>
        <w:rFonts w:hint="default" w:ascii="Times New Roman" w:hAnsi="Times New Roman" w:eastAsia="Times New Roman" w:cs="Times New Roman"/>
        <w:w w:val="102"/>
        <w:sz w:val="21"/>
        <w:szCs w:val="21"/>
      </w:rPr>
    </w:lvl>
    <w:lvl w:ilvl="2">
      <w:start w:val="0"/>
      <w:numFmt w:val="bullet"/>
      <w:lvlText w:val="•"/>
      <w:lvlJc w:val="left"/>
      <w:pPr>
        <w:ind w:left="2608" w:hanging="721"/>
      </w:pPr>
      <w:rPr>
        <w:rFonts w:hint="default"/>
      </w:rPr>
    </w:lvl>
    <w:lvl w:ilvl="3">
      <w:start w:val="0"/>
      <w:numFmt w:val="bullet"/>
      <w:lvlText w:val="•"/>
      <w:lvlJc w:val="left"/>
      <w:pPr>
        <w:ind w:left="3492" w:hanging="721"/>
      </w:pPr>
      <w:rPr>
        <w:rFonts w:hint="default"/>
      </w:rPr>
    </w:lvl>
    <w:lvl w:ilvl="4">
      <w:start w:val="0"/>
      <w:numFmt w:val="bullet"/>
      <w:lvlText w:val="•"/>
      <w:lvlJc w:val="left"/>
      <w:pPr>
        <w:ind w:left="4376" w:hanging="721"/>
      </w:pPr>
      <w:rPr>
        <w:rFonts w:hint="default"/>
      </w:rPr>
    </w:lvl>
    <w:lvl w:ilvl="5">
      <w:start w:val="0"/>
      <w:numFmt w:val="bullet"/>
      <w:lvlText w:val="•"/>
      <w:lvlJc w:val="left"/>
      <w:pPr>
        <w:ind w:left="5260" w:hanging="721"/>
      </w:pPr>
      <w:rPr>
        <w:rFonts w:hint="default"/>
      </w:rPr>
    </w:lvl>
    <w:lvl w:ilvl="6">
      <w:start w:val="0"/>
      <w:numFmt w:val="bullet"/>
      <w:lvlText w:val="•"/>
      <w:lvlJc w:val="left"/>
      <w:pPr>
        <w:ind w:left="6144" w:hanging="721"/>
      </w:pPr>
      <w:rPr>
        <w:rFonts w:hint="default"/>
      </w:rPr>
    </w:lvl>
    <w:lvl w:ilvl="7">
      <w:start w:val="0"/>
      <w:numFmt w:val="bullet"/>
      <w:lvlText w:val="•"/>
      <w:lvlJc w:val="left"/>
      <w:pPr>
        <w:ind w:left="7028" w:hanging="721"/>
      </w:pPr>
      <w:rPr>
        <w:rFonts w:hint="default"/>
      </w:rPr>
    </w:lvl>
    <w:lvl w:ilvl="8">
      <w:start w:val="0"/>
      <w:numFmt w:val="bullet"/>
      <w:lvlText w:val="•"/>
      <w:lvlJc w:val="left"/>
      <w:pPr>
        <w:ind w:left="7912" w:hanging="721"/>
      </w:pPr>
      <w:rPr>
        <w:rFonts w:hint="default"/>
      </w:rPr>
    </w:lvl>
  </w:abstractNum>
  <w:abstractNum w:abstractNumId="12">
    <w:multiLevelType w:val="hybridMultilevel"/>
    <w:lvl w:ilvl="0">
      <w:start w:val="22"/>
      <w:numFmt w:val="decimal"/>
      <w:lvlText w:val="%1"/>
      <w:lvlJc w:val="left"/>
      <w:pPr>
        <w:ind w:left="833" w:hanging="720"/>
        <w:jc w:val="left"/>
      </w:pPr>
      <w:rPr>
        <w:rFonts w:hint="default" w:ascii="Times New Roman" w:hAnsi="Times New Roman" w:eastAsia="Times New Roman" w:cs="Times New Roman"/>
        <w:w w:val="102"/>
        <w:sz w:val="21"/>
        <w:szCs w:val="21"/>
      </w:rPr>
    </w:lvl>
    <w:lvl w:ilvl="1">
      <w:start w:val="0"/>
      <w:numFmt w:val="bullet"/>
      <w:lvlText w:val="•"/>
      <w:lvlJc w:val="left"/>
      <w:pPr>
        <w:ind w:left="1724" w:hanging="720"/>
      </w:pPr>
      <w:rPr>
        <w:rFonts w:hint="default"/>
      </w:rPr>
    </w:lvl>
    <w:lvl w:ilvl="2">
      <w:start w:val="0"/>
      <w:numFmt w:val="bullet"/>
      <w:lvlText w:val="•"/>
      <w:lvlJc w:val="left"/>
      <w:pPr>
        <w:ind w:left="2608" w:hanging="720"/>
      </w:pPr>
      <w:rPr>
        <w:rFonts w:hint="default"/>
      </w:rPr>
    </w:lvl>
    <w:lvl w:ilvl="3">
      <w:start w:val="0"/>
      <w:numFmt w:val="bullet"/>
      <w:lvlText w:val="•"/>
      <w:lvlJc w:val="left"/>
      <w:pPr>
        <w:ind w:left="3492" w:hanging="720"/>
      </w:pPr>
      <w:rPr>
        <w:rFonts w:hint="default"/>
      </w:rPr>
    </w:lvl>
    <w:lvl w:ilvl="4">
      <w:start w:val="0"/>
      <w:numFmt w:val="bullet"/>
      <w:lvlText w:val="•"/>
      <w:lvlJc w:val="left"/>
      <w:pPr>
        <w:ind w:left="4376" w:hanging="720"/>
      </w:pPr>
      <w:rPr>
        <w:rFonts w:hint="default"/>
      </w:rPr>
    </w:lvl>
    <w:lvl w:ilvl="5">
      <w:start w:val="0"/>
      <w:numFmt w:val="bullet"/>
      <w:lvlText w:val="•"/>
      <w:lvlJc w:val="left"/>
      <w:pPr>
        <w:ind w:left="5260" w:hanging="720"/>
      </w:pPr>
      <w:rPr>
        <w:rFonts w:hint="default"/>
      </w:rPr>
    </w:lvl>
    <w:lvl w:ilvl="6">
      <w:start w:val="0"/>
      <w:numFmt w:val="bullet"/>
      <w:lvlText w:val="•"/>
      <w:lvlJc w:val="left"/>
      <w:pPr>
        <w:ind w:left="6144" w:hanging="720"/>
      </w:pPr>
      <w:rPr>
        <w:rFonts w:hint="default"/>
      </w:rPr>
    </w:lvl>
    <w:lvl w:ilvl="7">
      <w:start w:val="0"/>
      <w:numFmt w:val="bullet"/>
      <w:lvlText w:val="•"/>
      <w:lvlJc w:val="left"/>
      <w:pPr>
        <w:ind w:left="7028" w:hanging="720"/>
      </w:pPr>
      <w:rPr>
        <w:rFonts w:hint="default"/>
      </w:rPr>
    </w:lvl>
    <w:lvl w:ilvl="8">
      <w:start w:val="0"/>
      <w:numFmt w:val="bullet"/>
      <w:lvlText w:val="•"/>
      <w:lvlJc w:val="left"/>
      <w:pPr>
        <w:ind w:left="7912" w:hanging="720"/>
      </w:pPr>
      <w:rPr>
        <w:rFonts w:hint="default"/>
      </w:rPr>
    </w:lvl>
  </w:abstractNum>
  <w:abstractNum w:abstractNumId="11">
    <w:multiLevelType w:val="hybridMultilevel"/>
    <w:lvl w:ilvl="0">
      <w:start w:val="10"/>
      <w:numFmt w:val="decimal"/>
      <w:lvlText w:val="%1"/>
      <w:lvlJc w:val="left"/>
      <w:pPr>
        <w:ind w:left="833" w:hanging="717"/>
        <w:jc w:val="left"/>
      </w:pPr>
      <w:rPr>
        <w:rFonts w:hint="default"/>
      </w:rPr>
    </w:lvl>
    <w:lvl w:ilvl="1">
      <w:start w:val="10"/>
      <w:numFmt w:val="decimal"/>
      <w:lvlText w:val="%1.%2"/>
      <w:lvlJc w:val="left"/>
      <w:pPr>
        <w:ind w:left="833" w:hanging="717"/>
        <w:jc w:val="left"/>
      </w:pPr>
      <w:rPr>
        <w:rFonts w:hint="default" w:ascii="Times New Roman" w:hAnsi="Times New Roman" w:eastAsia="Times New Roman" w:cs="Times New Roman"/>
        <w:spacing w:val="0"/>
        <w:w w:val="102"/>
        <w:sz w:val="21"/>
        <w:szCs w:val="21"/>
      </w:rPr>
    </w:lvl>
    <w:lvl w:ilvl="2">
      <w:start w:val="0"/>
      <w:numFmt w:val="bullet"/>
      <w:lvlText w:val="•"/>
      <w:lvlJc w:val="left"/>
      <w:pPr>
        <w:ind w:left="2608" w:hanging="717"/>
      </w:pPr>
      <w:rPr>
        <w:rFonts w:hint="default"/>
      </w:rPr>
    </w:lvl>
    <w:lvl w:ilvl="3">
      <w:start w:val="0"/>
      <w:numFmt w:val="bullet"/>
      <w:lvlText w:val="•"/>
      <w:lvlJc w:val="left"/>
      <w:pPr>
        <w:ind w:left="3492" w:hanging="717"/>
      </w:pPr>
      <w:rPr>
        <w:rFonts w:hint="default"/>
      </w:rPr>
    </w:lvl>
    <w:lvl w:ilvl="4">
      <w:start w:val="0"/>
      <w:numFmt w:val="bullet"/>
      <w:lvlText w:val="•"/>
      <w:lvlJc w:val="left"/>
      <w:pPr>
        <w:ind w:left="4376" w:hanging="717"/>
      </w:pPr>
      <w:rPr>
        <w:rFonts w:hint="default"/>
      </w:rPr>
    </w:lvl>
    <w:lvl w:ilvl="5">
      <w:start w:val="0"/>
      <w:numFmt w:val="bullet"/>
      <w:lvlText w:val="•"/>
      <w:lvlJc w:val="left"/>
      <w:pPr>
        <w:ind w:left="5260" w:hanging="717"/>
      </w:pPr>
      <w:rPr>
        <w:rFonts w:hint="default"/>
      </w:rPr>
    </w:lvl>
    <w:lvl w:ilvl="6">
      <w:start w:val="0"/>
      <w:numFmt w:val="bullet"/>
      <w:lvlText w:val="•"/>
      <w:lvlJc w:val="left"/>
      <w:pPr>
        <w:ind w:left="6144" w:hanging="717"/>
      </w:pPr>
      <w:rPr>
        <w:rFonts w:hint="default"/>
      </w:rPr>
    </w:lvl>
    <w:lvl w:ilvl="7">
      <w:start w:val="0"/>
      <w:numFmt w:val="bullet"/>
      <w:lvlText w:val="•"/>
      <w:lvlJc w:val="left"/>
      <w:pPr>
        <w:ind w:left="7028" w:hanging="717"/>
      </w:pPr>
      <w:rPr>
        <w:rFonts w:hint="default"/>
      </w:rPr>
    </w:lvl>
    <w:lvl w:ilvl="8">
      <w:start w:val="0"/>
      <w:numFmt w:val="bullet"/>
      <w:lvlText w:val="•"/>
      <w:lvlJc w:val="left"/>
      <w:pPr>
        <w:ind w:left="7912" w:hanging="717"/>
      </w:pPr>
      <w:rPr>
        <w:rFonts w:hint="default"/>
      </w:rPr>
    </w:lvl>
  </w:abstractNum>
  <w:abstractNum w:abstractNumId="10">
    <w:multiLevelType w:val="hybridMultilevel"/>
    <w:lvl w:ilvl="0">
      <w:start w:val="10"/>
      <w:numFmt w:val="decimal"/>
      <w:lvlText w:val="%1"/>
      <w:lvlJc w:val="left"/>
      <w:pPr>
        <w:ind w:left="833" w:hanging="717"/>
        <w:jc w:val="left"/>
      </w:pPr>
      <w:rPr>
        <w:rFonts w:hint="default"/>
      </w:rPr>
    </w:lvl>
    <w:lvl w:ilvl="1">
      <w:start w:val="1"/>
      <w:numFmt w:val="decimal"/>
      <w:lvlText w:val="%1.%2"/>
      <w:lvlJc w:val="left"/>
      <w:pPr>
        <w:ind w:left="833" w:hanging="717"/>
        <w:jc w:val="right"/>
      </w:pPr>
      <w:rPr>
        <w:rFonts w:hint="default" w:ascii="Times New Roman" w:hAnsi="Times New Roman" w:eastAsia="Times New Roman" w:cs="Times New Roman"/>
        <w:spacing w:val="0"/>
        <w:w w:val="102"/>
        <w:sz w:val="21"/>
        <w:szCs w:val="21"/>
      </w:rPr>
    </w:lvl>
    <w:lvl w:ilvl="2">
      <w:start w:val="0"/>
      <w:numFmt w:val="bullet"/>
      <w:lvlText w:val="•"/>
      <w:lvlJc w:val="left"/>
      <w:pPr>
        <w:ind w:left="2608" w:hanging="717"/>
      </w:pPr>
      <w:rPr>
        <w:rFonts w:hint="default"/>
      </w:rPr>
    </w:lvl>
    <w:lvl w:ilvl="3">
      <w:start w:val="0"/>
      <w:numFmt w:val="bullet"/>
      <w:lvlText w:val="•"/>
      <w:lvlJc w:val="left"/>
      <w:pPr>
        <w:ind w:left="3492" w:hanging="717"/>
      </w:pPr>
      <w:rPr>
        <w:rFonts w:hint="default"/>
      </w:rPr>
    </w:lvl>
    <w:lvl w:ilvl="4">
      <w:start w:val="0"/>
      <w:numFmt w:val="bullet"/>
      <w:lvlText w:val="•"/>
      <w:lvlJc w:val="left"/>
      <w:pPr>
        <w:ind w:left="4376" w:hanging="717"/>
      </w:pPr>
      <w:rPr>
        <w:rFonts w:hint="default"/>
      </w:rPr>
    </w:lvl>
    <w:lvl w:ilvl="5">
      <w:start w:val="0"/>
      <w:numFmt w:val="bullet"/>
      <w:lvlText w:val="•"/>
      <w:lvlJc w:val="left"/>
      <w:pPr>
        <w:ind w:left="5260" w:hanging="717"/>
      </w:pPr>
      <w:rPr>
        <w:rFonts w:hint="default"/>
      </w:rPr>
    </w:lvl>
    <w:lvl w:ilvl="6">
      <w:start w:val="0"/>
      <w:numFmt w:val="bullet"/>
      <w:lvlText w:val="•"/>
      <w:lvlJc w:val="left"/>
      <w:pPr>
        <w:ind w:left="6144" w:hanging="717"/>
      </w:pPr>
      <w:rPr>
        <w:rFonts w:hint="default"/>
      </w:rPr>
    </w:lvl>
    <w:lvl w:ilvl="7">
      <w:start w:val="0"/>
      <w:numFmt w:val="bullet"/>
      <w:lvlText w:val="•"/>
      <w:lvlJc w:val="left"/>
      <w:pPr>
        <w:ind w:left="7028" w:hanging="717"/>
      </w:pPr>
      <w:rPr>
        <w:rFonts w:hint="default"/>
      </w:rPr>
    </w:lvl>
    <w:lvl w:ilvl="8">
      <w:start w:val="0"/>
      <w:numFmt w:val="bullet"/>
      <w:lvlText w:val="•"/>
      <w:lvlJc w:val="left"/>
      <w:pPr>
        <w:ind w:left="7912" w:hanging="717"/>
      </w:pPr>
      <w:rPr>
        <w:rFonts w:hint="default"/>
      </w:rPr>
    </w:lvl>
  </w:abstractNum>
  <w:abstractNum w:abstractNumId="9">
    <w:multiLevelType w:val="hybridMultilevel"/>
    <w:lvl w:ilvl="0">
      <w:start w:val="4"/>
      <w:numFmt w:val="decimal"/>
      <w:lvlText w:val="%1"/>
      <w:lvlJc w:val="left"/>
      <w:pPr>
        <w:ind w:left="833" w:hanging="720"/>
        <w:jc w:val="left"/>
      </w:pPr>
      <w:rPr>
        <w:rFonts w:hint="default"/>
      </w:rPr>
    </w:lvl>
    <w:lvl w:ilvl="1">
      <w:start w:val="1"/>
      <w:numFmt w:val="decimal"/>
      <w:lvlText w:val="%1.%2"/>
      <w:lvlJc w:val="left"/>
      <w:pPr>
        <w:ind w:left="833" w:hanging="720"/>
        <w:jc w:val="left"/>
      </w:pPr>
      <w:rPr>
        <w:rFonts w:hint="default" w:ascii="Times New Roman" w:hAnsi="Times New Roman" w:eastAsia="Times New Roman" w:cs="Times New Roman"/>
        <w:w w:val="102"/>
        <w:sz w:val="21"/>
        <w:szCs w:val="21"/>
      </w:rPr>
    </w:lvl>
    <w:lvl w:ilvl="2">
      <w:start w:val="0"/>
      <w:numFmt w:val="bullet"/>
      <w:lvlText w:val="•"/>
      <w:lvlJc w:val="left"/>
      <w:pPr>
        <w:ind w:left="2608" w:hanging="720"/>
      </w:pPr>
      <w:rPr>
        <w:rFonts w:hint="default"/>
      </w:rPr>
    </w:lvl>
    <w:lvl w:ilvl="3">
      <w:start w:val="0"/>
      <w:numFmt w:val="bullet"/>
      <w:lvlText w:val="•"/>
      <w:lvlJc w:val="left"/>
      <w:pPr>
        <w:ind w:left="3492" w:hanging="720"/>
      </w:pPr>
      <w:rPr>
        <w:rFonts w:hint="default"/>
      </w:rPr>
    </w:lvl>
    <w:lvl w:ilvl="4">
      <w:start w:val="0"/>
      <w:numFmt w:val="bullet"/>
      <w:lvlText w:val="•"/>
      <w:lvlJc w:val="left"/>
      <w:pPr>
        <w:ind w:left="4376" w:hanging="720"/>
      </w:pPr>
      <w:rPr>
        <w:rFonts w:hint="default"/>
      </w:rPr>
    </w:lvl>
    <w:lvl w:ilvl="5">
      <w:start w:val="0"/>
      <w:numFmt w:val="bullet"/>
      <w:lvlText w:val="•"/>
      <w:lvlJc w:val="left"/>
      <w:pPr>
        <w:ind w:left="5260" w:hanging="720"/>
      </w:pPr>
      <w:rPr>
        <w:rFonts w:hint="default"/>
      </w:rPr>
    </w:lvl>
    <w:lvl w:ilvl="6">
      <w:start w:val="0"/>
      <w:numFmt w:val="bullet"/>
      <w:lvlText w:val="•"/>
      <w:lvlJc w:val="left"/>
      <w:pPr>
        <w:ind w:left="6144" w:hanging="720"/>
      </w:pPr>
      <w:rPr>
        <w:rFonts w:hint="default"/>
      </w:rPr>
    </w:lvl>
    <w:lvl w:ilvl="7">
      <w:start w:val="0"/>
      <w:numFmt w:val="bullet"/>
      <w:lvlText w:val="•"/>
      <w:lvlJc w:val="left"/>
      <w:pPr>
        <w:ind w:left="7028" w:hanging="720"/>
      </w:pPr>
      <w:rPr>
        <w:rFonts w:hint="default"/>
      </w:rPr>
    </w:lvl>
    <w:lvl w:ilvl="8">
      <w:start w:val="0"/>
      <w:numFmt w:val="bullet"/>
      <w:lvlText w:val="•"/>
      <w:lvlJc w:val="left"/>
      <w:pPr>
        <w:ind w:left="7912" w:hanging="720"/>
      </w:pPr>
      <w:rPr>
        <w:rFonts w:hint="default"/>
      </w:rPr>
    </w:lvl>
  </w:abstractNum>
  <w:abstractNum w:abstractNumId="8">
    <w:multiLevelType w:val="hybridMultilevel"/>
    <w:lvl w:ilvl="0">
      <w:start w:val="3"/>
      <w:numFmt w:val="decimal"/>
      <w:lvlText w:val="%1"/>
      <w:lvlJc w:val="left"/>
      <w:pPr>
        <w:ind w:left="833" w:hanging="720"/>
        <w:jc w:val="left"/>
      </w:pPr>
      <w:rPr>
        <w:rFonts w:hint="default"/>
      </w:rPr>
    </w:lvl>
    <w:lvl w:ilvl="1">
      <w:start w:val="1"/>
      <w:numFmt w:val="decimal"/>
      <w:lvlText w:val="%1.%2"/>
      <w:lvlJc w:val="left"/>
      <w:pPr>
        <w:ind w:left="833" w:hanging="720"/>
        <w:jc w:val="left"/>
      </w:pPr>
      <w:rPr>
        <w:rFonts w:hint="default" w:ascii="Times New Roman" w:hAnsi="Times New Roman" w:eastAsia="Times New Roman" w:cs="Times New Roman"/>
        <w:w w:val="102"/>
        <w:sz w:val="21"/>
        <w:szCs w:val="21"/>
      </w:rPr>
    </w:lvl>
    <w:lvl w:ilvl="2">
      <w:start w:val="0"/>
      <w:numFmt w:val="bullet"/>
      <w:lvlText w:val="•"/>
      <w:lvlJc w:val="left"/>
      <w:pPr>
        <w:ind w:left="2608" w:hanging="720"/>
      </w:pPr>
      <w:rPr>
        <w:rFonts w:hint="default"/>
      </w:rPr>
    </w:lvl>
    <w:lvl w:ilvl="3">
      <w:start w:val="0"/>
      <w:numFmt w:val="bullet"/>
      <w:lvlText w:val="•"/>
      <w:lvlJc w:val="left"/>
      <w:pPr>
        <w:ind w:left="3492" w:hanging="720"/>
      </w:pPr>
      <w:rPr>
        <w:rFonts w:hint="default"/>
      </w:rPr>
    </w:lvl>
    <w:lvl w:ilvl="4">
      <w:start w:val="0"/>
      <w:numFmt w:val="bullet"/>
      <w:lvlText w:val="•"/>
      <w:lvlJc w:val="left"/>
      <w:pPr>
        <w:ind w:left="4376" w:hanging="720"/>
      </w:pPr>
      <w:rPr>
        <w:rFonts w:hint="default"/>
      </w:rPr>
    </w:lvl>
    <w:lvl w:ilvl="5">
      <w:start w:val="0"/>
      <w:numFmt w:val="bullet"/>
      <w:lvlText w:val="•"/>
      <w:lvlJc w:val="left"/>
      <w:pPr>
        <w:ind w:left="5260" w:hanging="720"/>
      </w:pPr>
      <w:rPr>
        <w:rFonts w:hint="default"/>
      </w:rPr>
    </w:lvl>
    <w:lvl w:ilvl="6">
      <w:start w:val="0"/>
      <w:numFmt w:val="bullet"/>
      <w:lvlText w:val="•"/>
      <w:lvlJc w:val="left"/>
      <w:pPr>
        <w:ind w:left="6144" w:hanging="720"/>
      </w:pPr>
      <w:rPr>
        <w:rFonts w:hint="default"/>
      </w:rPr>
    </w:lvl>
    <w:lvl w:ilvl="7">
      <w:start w:val="0"/>
      <w:numFmt w:val="bullet"/>
      <w:lvlText w:val="•"/>
      <w:lvlJc w:val="left"/>
      <w:pPr>
        <w:ind w:left="7028" w:hanging="720"/>
      </w:pPr>
      <w:rPr>
        <w:rFonts w:hint="default"/>
      </w:rPr>
    </w:lvl>
    <w:lvl w:ilvl="8">
      <w:start w:val="0"/>
      <w:numFmt w:val="bullet"/>
      <w:lvlText w:val="•"/>
      <w:lvlJc w:val="left"/>
      <w:pPr>
        <w:ind w:left="7912" w:hanging="720"/>
      </w:pPr>
      <w:rPr>
        <w:rFonts w:hint="default"/>
      </w:rPr>
    </w:lvl>
  </w:abstractNum>
  <w:abstractNum w:abstractNumId="7">
    <w:multiLevelType w:val="hybridMultilevel"/>
    <w:lvl w:ilvl="0">
      <w:start w:val="1"/>
      <w:numFmt w:val="lowerLetter"/>
      <w:lvlText w:val="(%1)"/>
      <w:lvlJc w:val="left"/>
      <w:pPr>
        <w:ind w:left="838" w:hanging="720"/>
        <w:jc w:val="left"/>
      </w:pPr>
      <w:rPr>
        <w:rFonts w:hint="default"/>
        <w:w w:val="102"/>
      </w:rPr>
    </w:lvl>
    <w:lvl w:ilvl="1">
      <w:start w:val="0"/>
      <w:numFmt w:val="bullet"/>
      <w:lvlText w:val="•"/>
      <w:lvlJc w:val="left"/>
      <w:pPr>
        <w:ind w:left="1724" w:hanging="720"/>
      </w:pPr>
      <w:rPr>
        <w:rFonts w:hint="default"/>
      </w:rPr>
    </w:lvl>
    <w:lvl w:ilvl="2">
      <w:start w:val="0"/>
      <w:numFmt w:val="bullet"/>
      <w:lvlText w:val="•"/>
      <w:lvlJc w:val="left"/>
      <w:pPr>
        <w:ind w:left="2608" w:hanging="720"/>
      </w:pPr>
      <w:rPr>
        <w:rFonts w:hint="default"/>
      </w:rPr>
    </w:lvl>
    <w:lvl w:ilvl="3">
      <w:start w:val="0"/>
      <w:numFmt w:val="bullet"/>
      <w:lvlText w:val="•"/>
      <w:lvlJc w:val="left"/>
      <w:pPr>
        <w:ind w:left="3492" w:hanging="720"/>
      </w:pPr>
      <w:rPr>
        <w:rFonts w:hint="default"/>
      </w:rPr>
    </w:lvl>
    <w:lvl w:ilvl="4">
      <w:start w:val="0"/>
      <w:numFmt w:val="bullet"/>
      <w:lvlText w:val="•"/>
      <w:lvlJc w:val="left"/>
      <w:pPr>
        <w:ind w:left="4376" w:hanging="720"/>
      </w:pPr>
      <w:rPr>
        <w:rFonts w:hint="default"/>
      </w:rPr>
    </w:lvl>
    <w:lvl w:ilvl="5">
      <w:start w:val="0"/>
      <w:numFmt w:val="bullet"/>
      <w:lvlText w:val="•"/>
      <w:lvlJc w:val="left"/>
      <w:pPr>
        <w:ind w:left="5260" w:hanging="720"/>
      </w:pPr>
      <w:rPr>
        <w:rFonts w:hint="default"/>
      </w:rPr>
    </w:lvl>
    <w:lvl w:ilvl="6">
      <w:start w:val="0"/>
      <w:numFmt w:val="bullet"/>
      <w:lvlText w:val="•"/>
      <w:lvlJc w:val="left"/>
      <w:pPr>
        <w:ind w:left="6144" w:hanging="720"/>
      </w:pPr>
      <w:rPr>
        <w:rFonts w:hint="default"/>
      </w:rPr>
    </w:lvl>
    <w:lvl w:ilvl="7">
      <w:start w:val="0"/>
      <w:numFmt w:val="bullet"/>
      <w:lvlText w:val="•"/>
      <w:lvlJc w:val="left"/>
      <w:pPr>
        <w:ind w:left="7028" w:hanging="720"/>
      </w:pPr>
      <w:rPr>
        <w:rFonts w:hint="default"/>
      </w:rPr>
    </w:lvl>
    <w:lvl w:ilvl="8">
      <w:start w:val="0"/>
      <w:numFmt w:val="bullet"/>
      <w:lvlText w:val="•"/>
      <w:lvlJc w:val="left"/>
      <w:pPr>
        <w:ind w:left="7912" w:hanging="720"/>
      </w:pPr>
      <w:rPr>
        <w:rFonts w:hint="default"/>
      </w:rPr>
    </w:lvl>
  </w:abstractNum>
  <w:abstractNum w:abstractNumId="6">
    <w:multiLevelType w:val="hybridMultilevel"/>
    <w:lvl w:ilvl="0">
      <w:start w:val="16"/>
      <w:numFmt w:val="decimal"/>
      <w:lvlText w:val="%1."/>
      <w:lvlJc w:val="left"/>
      <w:pPr>
        <w:ind w:left="480" w:hanging="365"/>
        <w:jc w:val="left"/>
      </w:pPr>
      <w:rPr>
        <w:rFonts w:hint="default" w:ascii="Times New Roman" w:hAnsi="Times New Roman" w:eastAsia="Times New Roman" w:cs="Times New Roman"/>
        <w:b/>
        <w:bCs/>
        <w:color w:val="0000FF"/>
        <w:spacing w:val="-3"/>
        <w:w w:val="102"/>
        <w:sz w:val="21"/>
        <w:szCs w:val="21"/>
      </w:rPr>
    </w:lvl>
    <w:lvl w:ilvl="1">
      <w:start w:val="2"/>
      <w:numFmt w:val="decimal"/>
      <w:lvlText w:val="%2."/>
      <w:lvlJc w:val="left"/>
      <w:pPr>
        <w:ind w:left="1553" w:hanging="721"/>
        <w:jc w:val="left"/>
      </w:pPr>
      <w:rPr>
        <w:rFonts w:hint="default" w:ascii="Times New Roman" w:hAnsi="Times New Roman" w:eastAsia="Times New Roman" w:cs="Times New Roman"/>
        <w:w w:val="102"/>
        <w:sz w:val="21"/>
        <w:szCs w:val="21"/>
      </w:rPr>
    </w:lvl>
    <w:lvl w:ilvl="2">
      <w:start w:val="0"/>
      <w:numFmt w:val="bullet"/>
      <w:lvlText w:val="•"/>
      <w:lvlJc w:val="left"/>
      <w:pPr>
        <w:ind w:left="2462" w:hanging="721"/>
      </w:pPr>
      <w:rPr>
        <w:rFonts w:hint="default"/>
      </w:rPr>
    </w:lvl>
    <w:lvl w:ilvl="3">
      <w:start w:val="0"/>
      <w:numFmt w:val="bullet"/>
      <w:lvlText w:val="•"/>
      <w:lvlJc w:val="left"/>
      <w:pPr>
        <w:ind w:left="3364" w:hanging="721"/>
      </w:pPr>
      <w:rPr>
        <w:rFonts w:hint="default"/>
      </w:rPr>
    </w:lvl>
    <w:lvl w:ilvl="4">
      <w:start w:val="0"/>
      <w:numFmt w:val="bullet"/>
      <w:lvlText w:val="•"/>
      <w:lvlJc w:val="left"/>
      <w:pPr>
        <w:ind w:left="4266" w:hanging="721"/>
      </w:pPr>
      <w:rPr>
        <w:rFonts w:hint="default"/>
      </w:rPr>
    </w:lvl>
    <w:lvl w:ilvl="5">
      <w:start w:val="0"/>
      <w:numFmt w:val="bullet"/>
      <w:lvlText w:val="•"/>
      <w:lvlJc w:val="left"/>
      <w:pPr>
        <w:ind w:left="5168" w:hanging="721"/>
      </w:pPr>
      <w:rPr>
        <w:rFonts w:hint="default"/>
      </w:rPr>
    </w:lvl>
    <w:lvl w:ilvl="6">
      <w:start w:val="0"/>
      <w:numFmt w:val="bullet"/>
      <w:lvlText w:val="•"/>
      <w:lvlJc w:val="left"/>
      <w:pPr>
        <w:ind w:left="6071" w:hanging="721"/>
      </w:pPr>
      <w:rPr>
        <w:rFonts w:hint="default"/>
      </w:rPr>
    </w:lvl>
    <w:lvl w:ilvl="7">
      <w:start w:val="0"/>
      <w:numFmt w:val="bullet"/>
      <w:lvlText w:val="•"/>
      <w:lvlJc w:val="left"/>
      <w:pPr>
        <w:ind w:left="6973" w:hanging="721"/>
      </w:pPr>
      <w:rPr>
        <w:rFonts w:hint="default"/>
      </w:rPr>
    </w:lvl>
    <w:lvl w:ilvl="8">
      <w:start w:val="0"/>
      <w:numFmt w:val="bullet"/>
      <w:lvlText w:val="•"/>
      <w:lvlJc w:val="left"/>
      <w:pPr>
        <w:ind w:left="7875" w:hanging="721"/>
      </w:pPr>
      <w:rPr>
        <w:rFonts w:hint="default"/>
      </w:rPr>
    </w:lvl>
  </w:abstractNum>
  <w:abstractNum w:abstractNumId="5">
    <w:multiLevelType w:val="hybridMultilevel"/>
    <w:lvl w:ilvl="0">
      <w:start w:val="13"/>
      <w:numFmt w:val="decimal"/>
      <w:lvlText w:val="%1."/>
      <w:lvlJc w:val="left"/>
      <w:pPr>
        <w:ind w:left="452" w:hanging="317"/>
        <w:jc w:val="left"/>
      </w:pPr>
      <w:rPr>
        <w:rFonts w:hint="default" w:ascii="Times New Roman" w:hAnsi="Times New Roman" w:eastAsia="Times New Roman" w:cs="Times New Roman"/>
        <w:b/>
        <w:bCs/>
        <w:color w:val="0000FF"/>
        <w:spacing w:val="-3"/>
        <w:w w:val="102"/>
        <w:sz w:val="21"/>
        <w:szCs w:val="21"/>
      </w:rPr>
    </w:lvl>
    <w:lvl w:ilvl="1">
      <w:start w:val="0"/>
      <w:numFmt w:val="bullet"/>
      <w:lvlText w:val="•"/>
      <w:lvlJc w:val="left"/>
      <w:pPr>
        <w:ind w:left="1404" w:hanging="317"/>
      </w:pPr>
      <w:rPr>
        <w:rFonts w:hint="default"/>
      </w:rPr>
    </w:lvl>
    <w:lvl w:ilvl="2">
      <w:start w:val="0"/>
      <w:numFmt w:val="bullet"/>
      <w:lvlText w:val="•"/>
      <w:lvlJc w:val="left"/>
      <w:pPr>
        <w:ind w:left="2348" w:hanging="317"/>
      </w:pPr>
      <w:rPr>
        <w:rFonts w:hint="default"/>
      </w:rPr>
    </w:lvl>
    <w:lvl w:ilvl="3">
      <w:start w:val="0"/>
      <w:numFmt w:val="bullet"/>
      <w:lvlText w:val="•"/>
      <w:lvlJc w:val="left"/>
      <w:pPr>
        <w:ind w:left="3292" w:hanging="317"/>
      </w:pPr>
      <w:rPr>
        <w:rFonts w:hint="default"/>
      </w:rPr>
    </w:lvl>
    <w:lvl w:ilvl="4">
      <w:start w:val="0"/>
      <w:numFmt w:val="bullet"/>
      <w:lvlText w:val="•"/>
      <w:lvlJc w:val="left"/>
      <w:pPr>
        <w:ind w:left="4236" w:hanging="317"/>
      </w:pPr>
      <w:rPr>
        <w:rFonts w:hint="default"/>
      </w:rPr>
    </w:lvl>
    <w:lvl w:ilvl="5">
      <w:start w:val="0"/>
      <w:numFmt w:val="bullet"/>
      <w:lvlText w:val="•"/>
      <w:lvlJc w:val="left"/>
      <w:pPr>
        <w:ind w:left="5180" w:hanging="317"/>
      </w:pPr>
      <w:rPr>
        <w:rFonts w:hint="default"/>
      </w:rPr>
    </w:lvl>
    <w:lvl w:ilvl="6">
      <w:start w:val="0"/>
      <w:numFmt w:val="bullet"/>
      <w:lvlText w:val="•"/>
      <w:lvlJc w:val="left"/>
      <w:pPr>
        <w:ind w:left="6124" w:hanging="317"/>
      </w:pPr>
      <w:rPr>
        <w:rFonts w:hint="default"/>
      </w:rPr>
    </w:lvl>
    <w:lvl w:ilvl="7">
      <w:start w:val="0"/>
      <w:numFmt w:val="bullet"/>
      <w:lvlText w:val="•"/>
      <w:lvlJc w:val="left"/>
      <w:pPr>
        <w:ind w:left="7068" w:hanging="317"/>
      </w:pPr>
      <w:rPr>
        <w:rFonts w:hint="default"/>
      </w:rPr>
    </w:lvl>
    <w:lvl w:ilvl="8">
      <w:start w:val="0"/>
      <w:numFmt w:val="bullet"/>
      <w:lvlText w:val="•"/>
      <w:lvlJc w:val="left"/>
      <w:pPr>
        <w:ind w:left="8012" w:hanging="317"/>
      </w:pPr>
      <w:rPr>
        <w:rFonts w:hint="default"/>
      </w:rPr>
    </w:lvl>
  </w:abstractNum>
  <w:abstractNum w:abstractNumId="4">
    <w:multiLevelType w:val="hybridMultilevel"/>
    <w:lvl w:ilvl="0">
      <w:start w:val="1"/>
      <w:numFmt w:val="decimal"/>
      <w:lvlText w:val="%1."/>
      <w:lvlJc w:val="left"/>
      <w:pPr>
        <w:ind w:left="322" w:hanging="207"/>
        <w:jc w:val="left"/>
      </w:pPr>
      <w:rPr>
        <w:rFonts w:hint="default" w:ascii="Times New Roman" w:hAnsi="Times New Roman" w:eastAsia="Times New Roman" w:cs="Times New Roman"/>
        <w:b/>
        <w:bCs/>
        <w:color w:val="0000FF"/>
        <w:spacing w:val="-3"/>
        <w:w w:val="102"/>
        <w:sz w:val="21"/>
        <w:szCs w:val="21"/>
      </w:rPr>
    </w:lvl>
    <w:lvl w:ilvl="1">
      <w:start w:val="0"/>
      <w:numFmt w:val="bullet"/>
      <w:lvlText w:val="•"/>
      <w:lvlJc w:val="left"/>
      <w:pPr>
        <w:ind w:left="1276" w:hanging="207"/>
      </w:pPr>
      <w:rPr>
        <w:rFonts w:hint="default"/>
      </w:rPr>
    </w:lvl>
    <w:lvl w:ilvl="2">
      <w:start w:val="0"/>
      <w:numFmt w:val="bullet"/>
      <w:lvlText w:val="•"/>
      <w:lvlJc w:val="left"/>
      <w:pPr>
        <w:ind w:left="2232" w:hanging="207"/>
      </w:pPr>
      <w:rPr>
        <w:rFonts w:hint="default"/>
      </w:rPr>
    </w:lvl>
    <w:lvl w:ilvl="3">
      <w:start w:val="0"/>
      <w:numFmt w:val="bullet"/>
      <w:lvlText w:val="•"/>
      <w:lvlJc w:val="left"/>
      <w:pPr>
        <w:ind w:left="3188" w:hanging="207"/>
      </w:pPr>
      <w:rPr>
        <w:rFonts w:hint="default"/>
      </w:rPr>
    </w:lvl>
    <w:lvl w:ilvl="4">
      <w:start w:val="0"/>
      <w:numFmt w:val="bullet"/>
      <w:lvlText w:val="•"/>
      <w:lvlJc w:val="left"/>
      <w:pPr>
        <w:ind w:left="4144" w:hanging="207"/>
      </w:pPr>
      <w:rPr>
        <w:rFonts w:hint="default"/>
      </w:rPr>
    </w:lvl>
    <w:lvl w:ilvl="5">
      <w:start w:val="0"/>
      <w:numFmt w:val="bullet"/>
      <w:lvlText w:val="•"/>
      <w:lvlJc w:val="left"/>
      <w:pPr>
        <w:ind w:left="5100" w:hanging="207"/>
      </w:pPr>
      <w:rPr>
        <w:rFonts w:hint="default"/>
      </w:rPr>
    </w:lvl>
    <w:lvl w:ilvl="6">
      <w:start w:val="0"/>
      <w:numFmt w:val="bullet"/>
      <w:lvlText w:val="•"/>
      <w:lvlJc w:val="left"/>
      <w:pPr>
        <w:ind w:left="6056" w:hanging="207"/>
      </w:pPr>
      <w:rPr>
        <w:rFonts w:hint="default"/>
      </w:rPr>
    </w:lvl>
    <w:lvl w:ilvl="7">
      <w:start w:val="0"/>
      <w:numFmt w:val="bullet"/>
      <w:lvlText w:val="•"/>
      <w:lvlJc w:val="left"/>
      <w:pPr>
        <w:ind w:left="7012" w:hanging="207"/>
      </w:pPr>
      <w:rPr>
        <w:rFonts w:hint="default"/>
      </w:rPr>
    </w:lvl>
    <w:lvl w:ilvl="8">
      <w:start w:val="0"/>
      <w:numFmt w:val="bullet"/>
      <w:lvlText w:val="•"/>
      <w:lvlJc w:val="left"/>
      <w:pPr>
        <w:ind w:left="7968" w:hanging="207"/>
      </w:pPr>
      <w:rPr>
        <w:rFonts w:hint="default"/>
      </w:rPr>
    </w:lvl>
  </w:abstractNum>
  <w:abstractNum w:abstractNumId="3">
    <w:multiLevelType w:val="hybridMultilevel"/>
    <w:lvl w:ilvl="0">
      <w:start w:val="0"/>
      <w:numFmt w:val="bullet"/>
      <w:lvlText w:val=""/>
      <w:lvlJc w:val="left"/>
      <w:pPr>
        <w:ind w:left="476" w:hanging="360"/>
      </w:pPr>
      <w:rPr>
        <w:rFonts w:hint="default" w:ascii="Symbol" w:hAnsi="Symbol" w:eastAsia="Symbol" w:cs="Symbol"/>
        <w:w w:val="102"/>
        <w:sz w:val="21"/>
        <w:szCs w:val="21"/>
      </w:rPr>
    </w:lvl>
    <w:lvl w:ilvl="1">
      <w:start w:val="0"/>
      <w:numFmt w:val="bullet"/>
      <w:lvlText w:val="•"/>
      <w:lvlJc w:val="left"/>
      <w:pPr>
        <w:ind w:left="1420" w:hanging="360"/>
      </w:pPr>
      <w:rPr>
        <w:rFonts w:hint="default"/>
      </w:rPr>
    </w:lvl>
    <w:lvl w:ilvl="2">
      <w:start w:val="0"/>
      <w:numFmt w:val="bullet"/>
      <w:lvlText w:val="•"/>
      <w:lvlJc w:val="left"/>
      <w:pPr>
        <w:ind w:left="2360" w:hanging="360"/>
      </w:pPr>
      <w:rPr>
        <w:rFonts w:hint="default"/>
      </w:rPr>
    </w:lvl>
    <w:lvl w:ilvl="3">
      <w:start w:val="0"/>
      <w:numFmt w:val="bullet"/>
      <w:lvlText w:val="•"/>
      <w:lvlJc w:val="left"/>
      <w:pPr>
        <w:ind w:left="3300" w:hanging="360"/>
      </w:pPr>
      <w:rPr>
        <w:rFonts w:hint="default"/>
      </w:rPr>
    </w:lvl>
    <w:lvl w:ilvl="4">
      <w:start w:val="0"/>
      <w:numFmt w:val="bullet"/>
      <w:lvlText w:val="•"/>
      <w:lvlJc w:val="left"/>
      <w:pPr>
        <w:ind w:left="4240" w:hanging="360"/>
      </w:pPr>
      <w:rPr>
        <w:rFonts w:hint="default"/>
      </w:rPr>
    </w:lvl>
    <w:lvl w:ilvl="5">
      <w:start w:val="0"/>
      <w:numFmt w:val="bullet"/>
      <w:lvlText w:val="•"/>
      <w:lvlJc w:val="left"/>
      <w:pPr>
        <w:ind w:left="5180" w:hanging="360"/>
      </w:pPr>
      <w:rPr>
        <w:rFonts w:hint="default"/>
      </w:rPr>
    </w:lvl>
    <w:lvl w:ilvl="6">
      <w:start w:val="0"/>
      <w:numFmt w:val="bullet"/>
      <w:lvlText w:val="•"/>
      <w:lvlJc w:val="left"/>
      <w:pPr>
        <w:ind w:left="6120" w:hanging="360"/>
      </w:pPr>
      <w:rPr>
        <w:rFonts w:hint="default"/>
      </w:rPr>
    </w:lvl>
    <w:lvl w:ilvl="7">
      <w:start w:val="0"/>
      <w:numFmt w:val="bullet"/>
      <w:lvlText w:val="•"/>
      <w:lvlJc w:val="left"/>
      <w:pPr>
        <w:ind w:left="7060" w:hanging="360"/>
      </w:pPr>
      <w:rPr>
        <w:rFonts w:hint="default"/>
      </w:rPr>
    </w:lvl>
    <w:lvl w:ilvl="8">
      <w:start w:val="0"/>
      <w:numFmt w:val="bullet"/>
      <w:lvlText w:val="•"/>
      <w:lvlJc w:val="left"/>
      <w:pPr>
        <w:ind w:left="8000" w:hanging="360"/>
      </w:pPr>
      <w:rPr>
        <w:rFonts w:hint="default"/>
      </w:rPr>
    </w:lvl>
  </w:abstractNum>
  <w:abstractNum w:abstractNumId="2">
    <w:multiLevelType w:val="hybridMultilevel"/>
    <w:lvl w:ilvl="0">
      <w:start w:val="1"/>
      <w:numFmt w:val="decimal"/>
      <w:lvlText w:val="(%1)"/>
      <w:lvlJc w:val="left"/>
      <w:pPr>
        <w:ind w:left="429" w:hanging="273"/>
        <w:jc w:val="left"/>
      </w:pPr>
      <w:rPr>
        <w:rFonts w:hint="default" w:ascii="Arial" w:hAnsi="Arial" w:eastAsia="Arial" w:cs="Arial"/>
        <w:w w:val="130"/>
        <w:sz w:val="14"/>
        <w:szCs w:val="14"/>
      </w:rPr>
    </w:lvl>
    <w:lvl w:ilvl="1">
      <w:start w:val="0"/>
      <w:numFmt w:val="bullet"/>
      <w:lvlText w:val="•"/>
      <w:lvlJc w:val="left"/>
      <w:pPr>
        <w:ind w:left="980" w:hanging="273"/>
      </w:pPr>
      <w:rPr>
        <w:rFonts w:hint="default"/>
      </w:rPr>
    </w:lvl>
    <w:lvl w:ilvl="2">
      <w:start w:val="0"/>
      <w:numFmt w:val="bullet"/>
      <w:lvlText w:val="•"/>
      <w:lvlJc w:val="left"/>
      <w:pPr>
        <w:ind w:left="1968" w:hanging="273"/>
      </w:pPr>
      <w:rPr>
        <w:rFonts w:hint="default"/>
      </w:rPr>
    </w:lvl>
    <w:lvl w:ilvl="3">
      <w:start w:val="0"/>
      <w:numFmt w:val="bullet"/>
      <w:lvlText w:val="•"/>
      <w:lvlJc w:val="left"/>
      <w:pPr>
        <w:ind w:left="2957" w:hanging="273"/>
      </w:pPr>
      <w:rPr>
        <w:rFonts w:hint="default"/>
      </w:rPr>
    </w:lvl>
    <w:lvl w:ilvl="4">
      <w:start w:val="0"/>
      <w:numFmt w:val="bullet"/>
      <w:lvlText w:val="•"/>
      <w:lvlJc w:val="left"/>
      <w:pPr>
        <w:ind w:left="3946" w:hanging="273"/>
      </w:pPr>
      <w:rPr>
        <w:rFonts w:hint="default"/>
      </w:rPr>
    </w:lvl>
    <w:lvl w:ilvl="5">
      <w:start w:val="0"/>
      <w:numFmt w:val="bullet"/>
      <w:lvlText w:val="•"/>
      <w:lvlJc w:val="left"/>
      <w:pPr>
        <w:ind w:left="4935" w:hanging="273"/>
      </w:pPr>
      <w:rPr>
        <w:rFonts w:hint="default"/>
      </w:rPr>
    </w:lvl>
    <w:lvl w:ilvl="6">
      <w:start w:val="0"/>
      <w:numFmt w:val="bullet"/>
      <w:lvlText w:val="•"/>
      <w:lvlJc w:val="left"/>
      <w:pPr>
        <w:ind w:left="5924" w:hanging="273"/>
      </w:pPr>
      <w:rPr>
        <w:rFonts w:hint="default"/>
      </w:rPr>
    </w:lvl>
    <w:lvl w:ilvl="7">
      <w:start w:val="0"/>
      <w:numFmt w:val="bullet"/>
      <w:lvlText w:val="•"/>
      <w:lvlJc w:val="left"/>
      <w:pPr>
        <w:ind w:left="6913" w:hanging="273"/>
      </w:pPr>
      <w:rPr>
        <w:rFonts w:hint="default"/>
      </w:rPr>
    </w:lvl>
    <w:lvl w:ilvl="8">
      <w:start w:val="0"/>
      <w:numFmt w:val="bullet"/>
      <w:lvlText w:val="•"/>
      <w:lvlJc w:val="left"/>
      <w:pPr>
        <w:ind w:left="7902" w:hanging="273"/>
      </w:pPr>
      <w:rPr>
        <w:rFonts w:hint="default"/>
      </w:rPr>
    </w:lvl>
  </w:abstractNum>
  <w:num w:numId="2">
    <w:abstractNumId w:val="1"/>
  </w:num>
  <w:num w:numId="1">
    <w:abstractNumId w:val="0"/>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1"/>
      <w:szCs w:val="21"/>
    </w:rPr>
  </w:style>
  <w:style w:styleId="Heading1" w:type="paragraph">
    <w:name w:val="Heading 1"/>
    <w:basedOn w:val="Normal"/>
    <w:uiPriority w:val="1"/>
    <w:qFormat/>
    <w:pPr>
      <w:spacing w:before="11"/>
      <w:outlineLvl w:val="1"/>
    </w:pPr>
    <w:rPr>
      <w:rFonts w:ascii="Tahoma" w:hAnsi="Tahoma" w:eastAsia="Tahoma" w:cs="Tahoma"/>
      <w:sz w:val="22"/>
      <w:szCs w:val="22"/>
      <w:u w:val="single" w:color="000000"/>
    </w:rPr>
  </w:style>
  <w:style w:styleId="Heading2" w:type="paragraph">
    <w:name w:val="Heading 2"/>
    <w:basedOn w:val="Normal"/>
    <w:uiPriority w:val="1"/>
    <w:qFormat/>
    <w:pPr>
      <w:ind w:left="115"/>
      <w:outlineLvl w:val="2"/>
    </w:pPr>
    <w:rPr>
      <w:rFonts w:ascii="Times New Roman" w:hAnsi="Times New Roman" w:eastAsia="Times New Roman" w:cs="Times New Roman"/>
      <w:b/>
      <w:bCs/>
      <w:sz w:val="21"/>
      <w:szCs w:val="21"/>
    </w:rPr>
  </w:style>
  <w:style w:styleId="Heading3" w:type="paragraph">
    <w:name w:val="Heading 3"/>
    <w:basedOn w:val="Normal"/>
    <w:uiPriority w:val="1"/>
    <w:qFormat/>
    <w:pPr>
      <w:ind w:left="113"/>
      <w:outlineLvl w:val="3"/>
    </w:pPr>
    <w:rPr>
      <w:rFonts w:ascii="Times New Roman" w:hAnsi="Times New Roman" w:eastAsia="Times New Roman" w:cs="Times New Roman"/>
      <w:b/>
      <w:bCs/>
      <w:i/>
      <w:sz w:val="21"/>
      <w:szCs w:val="21"/>
    </w:rPr>
  </w:style>
  <w:style w:styleId="ListParagraph" w:type="paragraph">
    <w:name w:val="List Paragraph"/>
    <w:basedOn w:val="Normal"/>
    <w:uiPriority w:val="1"/>
    <w:qFormat/>
    <w:pPr>
      <w:ind w:left="833" w:hanging="720"/>
      <w:jc w:val="both"/>
    </w:pPr>
    <w:rPr>
      <w:rFonts w:ascii="Times New Roman" w:hAnsi="Times New Roman" w:eastAsia="Times New Roman" w:cs="Times New Roman"/>
    </w:rPr>
  </w:style>
  <w:style w:styleId="TableParagraph" w:type="paragraph">
    <w:name w:val="Table Paragraph"/>
    <w:basedOn w:val="Normal"/>
    <w:uiPriority w:val="1"/>
    <w:qFormat/>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jpe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hyperlink" Target="http://www.southwest.com/" TargetMode="External"/><Relationship Id="rId4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GSD&amp;M Mythos Group</dc:creator>
  <dc:subject>2003 Southwest Airlines Annual Report</dc:subject>
  <dc:title>SWA AR 2003</dc:title>
  <dcterms:created xsi:type="dcterms:W3CDTF">2018-01-03T22:42:53Z</dcterms:created>
  <dcterms:modified xsi:type="dcterms:W3CDTF">2018-01-03T22:42:53Z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2004-03-30T00:00:00Z</vt:filetime>
  </property>
  <property fmtid="{D5CDD505-2E9C-101B-9397-08002B2CF9AE}" pid="3" name="Creator">
    <vt:lpwstr>QuarkXPress(tm) 6.0</vt:lpwstr>
  </property>
  <property fmtid="{D5CDD505-2E9C-101B-9397-08002B2CF9AE}" pid="4" name="LastSaved">
    <vt:filetime>2018-01-04T00:00:00Z</vt:filetime>
  </property>
</Properties>
</file>