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48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健康管理连锁平台</w:t>
      </w:r>
    </w:p>
    <w:p>
      <w:pPr>
        <w:spacing w:before="48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招商加盟计划书</w:t>
      </w:r>
    </w:p>
    <w:p>
      <w:pPr>
        <w:jc w:val="center"/>
      </w:pPr>
      <w:r>
        <w:rPr>
          <w:rFonts w:ascii="微软雅黑" w:hAnsi="微软雅黑" w:eastAsia="微软雅黑"/>
          <w:b/>
          <w:color w:val="1F2D3D"/>
          <w:sz w:val="28"/>
        </w:rPr>
        <w:t>智能检测 + AI 专业服务 + 数字化管理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一、市场机会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b w:val="0"/>
          <w:sz w:val="22"/>
        </w:rPr>
        <w:t>大健康产业持续高速增长，养生馆、中医馆、美容院普遍面临获客难、留客难、专业人才稀缺、管理粗放三大痛点。我们以「智能检测 + AI 专业服务 + 数字化管理」三位一体，为门店提供可快速复制的整体解决方案。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二、平台对标与差异化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传统养生馆</w:t>
            </w:r>
          </w:p>
        </w:tc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美团/点评</w:t>
            </w:r>
          </w:p>
        </w:tc>
        <w:tc>
          <w:tcPr>
            <w:tcW w:type="dxa" w:w="3402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本平台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获客工具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发传单/老客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团购引流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60秒检测+40份报告+AI解读，体验式获客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专业能力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依赖老师傅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调理方案 + 远程医师会诊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客户管理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手工记账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客户/预约/订单/报表一体化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复购机制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检测套餐 + 疗程方案 + AI 报告持续触达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门店赋能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平台抽佣高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总部系统赋能，按服务分润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/>
          <w:sz w:val="22"/>
        </w:rPr>
        <w:t>对标结论：我们不是做流量平台，而是做门店经营系统 + 专业服务供应链，门店粘性更高、总部利润更厚。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三、加盟模式与费用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金额（参考）</w:t>
            </w:r>
          </w:p>
        </w:tc>
        <w:tc>
          <w:tcPr>
            <w:tcW w:type="dxa" w:w="3969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加盟费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¥3万–¥10万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按城市/区域分级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设备费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¥3,980–¥9,800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Quantum Analyzer 检测仪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软件年费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¥2,999–¥19,999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按版本（基础/专业/旗舰）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保证金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¥1万–¥5万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可退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分润机制：门店向总部申请 AI 服务按次付费（报告解读 ¥9.9、调理方案 ¥99、远程会诊 ¥99），总部统一配置 AI 与医师资源。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四、加盟商收益测算（单店示例）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收入项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测算</w:t>
            </w:r>
          </w:p>
        </w:tc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月收入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检测体验（60 单 × ¥99）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× 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¥5,940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调理套餐（15 单 × ¥1999）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15 × 1999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¥29,985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年度管家（5 单 × ¥3999）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× 3999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¥19,995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¥55,920/月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18"/>
        </w:rPr>
        <w:t>扣除房租人工与耗材后，单店毛利空间可观，加盟商 6–12 个月可回本（以实际经营为准）。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五、总部八大支持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1. 系统支持：总部统一部署，门店安装即用。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2. AI 支持：调理方案、报告解读一键申请。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3. 远程会诊：复杂客户总部医师远程支持。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4. 培训支持：设备操作、检测话术、套餐销售培训。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5. 供应链支持：理调耗材集采，降低成本。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6. 营销支持：公众号模板消息、报告分享裂变。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7. 数据支持：经营报表，辅助门店决策。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8. 品牌支持：统一品牌形象与推广素材。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六、招商政策与流程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招商对象：现有养生馆、中医馆、美容院、健康管理中心，以及有健康行业经验的创业者、区域合伙人。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入驻流程：提交加盟申请 → 总部审核签约缴费 → 开通账号、设备发货 → 培训上线正式营业。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区域保护：按城市/商圈授予区域独家权，保障加盟商利益；首批优先开放 1–2 个试点城市。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七、加盟保障与风险提示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总部承诺系统 24 小时稳定运行，数据每日自动备份；门店数据独立隔离，客户隐私安全。加盟投资有风险，收益受门店选址、经营能力等因素影响，请理性评估。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