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00" w:rsidRDefault="00B34690">
      <w:pPr>
        <w:rPr>
          <w:b/>
          <w:sz w:val="36"/>
          <w:szCs w:val="36"/>
        </w:rPr>
      </w:pPr>
      <w:r w:rsidRPr="00392B33">
        <w:rPr>
          <w:b/>
          <w:color w:val="C00000"/>
          <w:sz w:val="36"/>
          <w:szCs w:val="36"/>
        </w:rPr>
        <w:t>Betting overview</w:t>
      </w:r>
      <w:r w:rsidR="00065FF4" w:rsidRPr="00392B33">
        <w:rPr>
          <w:b/>
          <w:color w:val="C00000"/>
          <w:sz w:val="36"/>
          <w:szCs w:val="36"/>
        </w:rPr>
        <w:t xml:space="preserve"> BetSafe at 11.05.12.</w:t>
      </w:r>
    </w:p>
    <w:p w:rsidR="00694C1C" w:rsidRDefault="00694C1C" w:rsidP="00694C1C">
      <w:pPr>
        <w:jc w:val="left"/>
        <w:rPr>
          <w:b/>
          <w:sz w:val="36"/>
          <w:szCs w:val="36"/>
        </w:rPr>
      </w:pPr>
    </w:p>
    <w:p w:rsidR="00694C1C" w:rsidRDefault="008A7888" w:rsidP="008B71FD">
      <w:pPr>
        <w:rPr>
          <w:sz w:val="28"/>
          <w:szCs w:val="28"/>
        </w:rPr>
      </w:pPr>
      <w:r w:rsidRPr="00434759">
        <w:rPr>
          <w:noProof/>
          <w:lang w:eastAsia="hr-H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-3175</wp:posOffset>
            </wp:positionV>
            <wp:extent cx="274320" cy="274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7DF">
        <w:rPr>
          <w:sz w:val="28"/>
          <w:szCs w:val="28"/>
        </w:rPr>
        <w:t xml:space="preserve">   </w:t>
      </w:r>
      <w:r w:rsidR="00434759">
        <w:rPr>
          <w:sz w:val="28"/>
          <w:szCs w:val="28"/>
        </w:rPr>
        <w:t xml:space="preserve">    </w:t>
      </w:r>
      <w:r w:rsidR="00694C1C" w:rsidRPr="00694C1C">
        <w:rPr>
          <w:sz w:val="28"/>
          <w:szCs w:val="28"/>
        </w:rPr>
        <w:t xml:space="preserve">Date announced: </w:t>
      </w:r>
      <w:r w:rsidR="00694C1C">
        <w:rPr>
          <w:sz w:val="28"/>
          <w:szCs w:val="28"/>
        </w:rPr>
        <w:t xml:space="preserve"> 2012-05-12</w:t>
      </w:r>
    </w:p>
    <w:p w:rsidR="00D62CE3" w:rsidRDefault="00D62CE3"/>
    <w:tbl>
      <w:tblPr>
        <w:tblStyle w:val="LightList-Accent2"/>
        <w:tblW w:w="0" w:type="auto"/>
        <w:jc w:val="center"/>
        <w:tblLook w:val="04A0"/>
      </w:tblPr>
      <w:tblGrid>
        <w:gridCol w:w="2302"/>
        <w:gridCol w:w="2275"/>
      </w:tblGrid>
      <w:tr w:rsidR="00065FF4" w:rsidTr="00905C59">
        <w:trPr>
          <w:cnfStyle w:val="1000000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065FF4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w="2275" w:type="dxa"/>
          </w:tcPr>
          <w:p w:rsidR="00065FF4" w:rsidRPr="00905C59" w:rsidRDefault="00065FF4" w:rsidP="00065FF4">
            <w:pPr>
              <w:cnfStyle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Blizzard</w:t>
            </w:r>
            <w:r w:rsidR="001D3169">
              <w:rPr>
                <w:rStyle w:val="FootnoteReference"/>
                <w:b w:val="0"/>
              </w:rPr>
              <w:footnoteReference w:id="1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1.4500134</w:t>
            </w:r>
            <w:r w:rsidR="001D3169">
              <w:rPr>
                <w:rStyle w:val="EndnoteReference"/>
              </w:rPr>
              <w:endnoteReference w:id="1"/>
            </w:r>
          </w:p>
        </w:tc>
      </w:tr>
      <w:tr w:rsidR="00065FF4" w:rsidTr="00905C59">
        <w:trPr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Sandstorm</w:t>
            </w:r>
            <w:r w:rsidR="001D3169">
              <w:rPr>
                <w:rStyle w:val="FootnoteReference"/>
                <w:b w:val="0"/>
              </w:rPr>
              <w:footnoteReference w:id="2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000000"/>
            </w:pPr>
            <w:r>
              <w:t>1.5500134</w:t>
            </w:r>
            <w:r w:rsidR="001D3169">
              <w:rPr>
                <w:rStyle w:val="EndnoteReference"/>
              </w:rPr>
              <w:endnoteReference w:id="2"/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Earth</w:t>
            </w:r>
            <w:r w:rsidR="001D3169">
              <w:rPr>
                <w:rStyle w:val="FootnoteReference"/>
                <w:b w:val="0"/>
              </w:rPr>
              <w:footnoteReference w:id="3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1.2500134</w:t>
            </w:r>
            <w:r w:rsidR="001D3169">
              <w:rPr>
                <w:rStyle w:val="EndnoteReference"/>
              </w:rPr>
              <w:endnoteReference w:id="3"/>
            </w:r>
          </w:p>
        </w:tc>
      </w:tr>
      <w:tr w:rsidR="00065FF4" w:rsidTr="00905C59">
        <w:trPr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Cat</w:t>
            </w:r>
            <w:r w:rsidR="001D3169">
              <w:rPr>
                <w:rStyle w:val="FootnoteReference"/>
                <w:b w:val="0"/>
              </w:rPr>
              <w:footnoteReference w:id="4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000000"/>
            </w:pPr>
            <w:r>
              <w:t>2.4500134</w:t>
            </w:r>
            <w:r w:rsidR="001D3169">
              <w:rPr>
                <w:rStyle w:val="EndnoteReference"/>
              </w:rPr>
              <w:endnoteReference w:id="4"/>
            </w:r>
          </w:p>
        </w:tc>
      </w:tr>
    </w:tbl>
    <w:p w:rsidR="00D62CE3" w:rsidRDefault="00D62CE3"/>
    <w:p w:rsidR="00B7219E" w:rsidRDefault="00B7219E">
      <w:pPr>
        <w:sectPr w:rsidR="00B7219E" w:rsidSect="00CE4813">
          <w:headerReference w:type="default" r:id="rId8"/>
          <w:footerReference w:type="default" r:id="rId9"/>
          <w:pgSz w:w="11906" w:h="16838"/>
          <w:pgMar w:top="1417" w:right="1417" w:bottom="1417" w:left="1417" w:header="1008" w:footer="2736" w:gutter="0"/>
          <w:cols w:space="708"/>
          <w:docGrid w:linePitch="360"/>
        </w:sectPr>
      </w:pPr>
    </w:p>
    <w:p w:rsidR="007B6800" w:rsidRDefault="00B34690">
      <w:pPr>
        <w:rPr>
          <w:b/>
          <w:sz w:val="36"/>
          <w:szCs w:val="36"/>
        </w:rPr>
      </w:pPr>
      <w:r w:rsidRPr="00392B33">
        <w:rPr>
          <w:b/>
          <w:color w:val="C00000"/>
          <w:sz w:val="36"/>
          <w:szCs w:val="36"/>
        </w:rPr>
        <w:lastRenderedPageBreak/>
        <w:t>Betting overview</w:t>
      </w:r>
      <w:r w:rsidR="00065FF4" w:rsidRPr="00392B33">
        <w:rPr>
          <w:b/>
          <w:color w:val="C00000"/>
          <w:sz w:val="36"/>
          <w:szCs w:val="36"/>
        </w:rPr>
        <w:t xml:space="preserve"> BetUnsafe at 12.04.14.</w:t>
      </w:r>
    </w:p>
    <w:p w:rsidR="00694C1C" w:rsidRDefault="00694C1C" w:rsidP="00694C1C">
      <w:pPr>
        <w:jc w:val="left"/>
        <w:rPr>
          <w:b/>
          <w:sz w:val="36"/>
          <w:szCs w:val="36"/>
        </w:rPr>
      </w:pPr>
    </w:p>
    <w:p w:rsidR="00694C1C" w:rsidRDefault="008A7888" w:rsidP="008B71FD">
      <w:pPr>
        <w:rPr>
          <w:sz w:val="28"/>
          <w:szCs w:val="28"/>
        </w:rPr>
      </w:pPr>
      <w:r w:rsidRPr="00434759"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-3175</wp:posOffset>
            </wp:positionV>
            <wp:extent cx="274320" cy="27432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7DF">
        <w:rPr>
          <w:sz w:val="28"/>
          <w:szCs w:val="28"/>
        </w:rPr>
        <w:t xml:space="preserve">   </w:t>
      </w:r>
      <w:r w:rsidR="00434759">
        <w:rPr>
          <w:sz w:val="28"/>
          <w:szCs w:val="28"/>
        </w:rPr>
        <w:t xml:space="preserve">    </w:t>
      </w:r>
      <w:r w:rsidR="00694C1C" w:rsidRPr="00694C1C">
        <w:rPr>
          <w:sz w:val="28"/>
          <w:szCs w:val="28"/>
        </w:rPr>
        <w:t xml:space="preserve">Date announced: </w:t>
      </w:r>
      <w:r w:rsidR="00694C1C">
        <w:rPr>
          <w:sz w:val="28"/>
          <w:szCs w:val="28"/>
        </w:rPr>
        <w:t xml:space="preserve"> 2014-04-12</w:t>
      </w:r>
    </w:p>
    <w:p w:rsidR="00D62CE3" w:rsidRDefault="00D62CE3"/>
    <w:tbl>
      <w:tblPr>
        <w:tblStyle w:val="LightList-Accent2"/>
        <w:tblW w:w="0" w:type="auto"/>
        <w:jc w:val="center"/>
        <w:tblLook w:val="04A0"/>
      </w:tblPr>
      <w:tblGrid>
        <w:gridCol w:w="2302"/>
        <w:gridCol w:w="2275"/>
      </w:tblGrid>
      <w:tr w:rsidR="00065FF4" w:rsidTr="00905C59">
        <w:trPr>
          <w:cnfStyle w:val="1000000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065FF4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w="2275" w:type="dxa"/>
          </w:tcPr>
          <w:p w:rsidR="00065FF4" w:rsidRPr="00905C59" w:rsidRDefault="00065FF4" w:rsidP="00065FF4">
            <w:pPr>
              <w:cnfStyle w:val="10000000000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Blizzard</w:t>
            </w:r>
            <w:r w:rsidR="001D3169">
              <w:rPr>
                <w:rStyle w:val="FootnoteReference"/>
                <w:b w:val="0"/>
              </w:rPr>
              <w:footnoteReference w:id="5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2.42</w:t>
            </w:r>
            <w:r w:rsidR="001D3169">
              <w:rPr>
                <w:rStyle w:val="EndnoteReference"/>
              </w:rPr>
              <w:endnoteReference w:id="5"/>
            </w:r>
          </w:p>
        </w:tc>
      </w:tr>
      <w:tr w:rsidR="00065FF4" w:rsidTr="00905C59">
        <w:trPr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Earth</w:t>
            </w:r>
            <w:r w:rsidR="001D3169">
              <w:rPr>
                <w:rStyle w:val="FootnoteReference"/>
                <w:b w:val="0"/>
              </w:rPr>
              <w:footnoteReference w:id="6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000000"/>
            </w:pPr>
            <w:r>
              <w:t>1.5500134</w:t>
            </w:r>
            <w:r w:rsidR="001D3169">
              <w:rPr>
                <w:rStyle w:val="EndnoteReference"/>
              </w:rPr>
              <w:endnoteReference w:id="6"/>
            </w:r>
          </w:p>
        </w:tc>
      </w:tr>
      <w:tr w:rsidR="00065FF4" w:rsidTr="00905C59">
        <w:trPr>
          <w:cnfStyle w:val="000000100000"/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Sandstorm</w:t>
            </w:r>
            <w:r w:rsidR="001D3169">
              <w:rPr>
                <w:rStyle w:val="FootnoteReference"/>
                <w:b w:val="0"/>
              </w:rPr>
              <w:footnoteReference w:id="7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/>
            </w:pPr>
            <w:r>
              <w:t>1.00134</w:t>
            </w:r>
            <w:r w:rsidR="001D3169">
              <w:rPr>
                <w:rStyle w:val="EndnoteReference"/>
              </w:rPr>
              <w:endnoteReference w:id="7"/>
            </w:r>
          </w:p>
        </w:tc>
      </w:tr>
      <w:tr w:rsidR="00065FF4" w:rsidTr="00905C59">
        <w:trPr>
          <w:jc w:val="center"/>
        </w:trPr>
        <w:tc>
          <w:tcPr>
            <w:cnfStyle w:val="00100000000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Cat</w:t>
            </w:r>
            <w:r w:rsidR="001D3169">
              <w:rPr>
                <w:rStyle w:val="FootnoteReference"/>
                <w:b w:val="0"/>
              </w:rPr>
              <w:footnoteReference w:id="8"/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000000"/>
            </w:pPr>
            <w:r>
              <w:t>2.0134</w:t>
            </w:r>
            <w:r w:rsidR="001D3169">
              <w:rPr>
                <w:rStyle w:val="EndnoteReference"/>
              </w:rPr>
              <w:endnoteReference w:id="8"/>
            </w:r>
          </w:p>
        </w:tc>
      </w:tr>
    </w:tbl>
    <w:p w:rsidR="00D62CE3" w:rsidRDefault="00D62CE3">
      <w:bookmarkStart w:id="0" w:name="_GoBack"/>
      <w:bookmarkEnd w:id="0"/>
    </w:p>
    <w:sectPr w:rsidR="00D62CE3" w:rsidSect="00CE4813">
      <w:headerReference w:type="default" r:id="rId10"/>
      <w:footerReference w:type="default" r:id="rId11"/>
      <w:pgSz w:w="11906" w:h="16838"/>
      <w:pgMar w:top="1417" w:right="1417" w:bottom="1417" w:left="1417" w:header="1008" w:footer="27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B23" w:rsidRDefault="00A85B23" w:rsidP="00D62CE3">
      <w:r>
        <w:separator/>
      </w:r>
    </w:p>
  </w:endnote>
  <w:endnote w:type="continuationSeparator" w:id="0">
    <w:p w:rsidR="00A85B23" w:rsidRDefault="00A85B23" w:rsidP="00D62CE3">
      <w:r>
        <w:continuationSeparator/>
      </w:r>
    </w:p>
  </w:endnote>
  <w:endnote w:id="1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Blizzard are 1.4500134</w:t>
      </w:r>
    </w:p>
  </w:endnote>
  <w:endnote w:id="2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Sandstorm are 1.5500134</w:t>
      </w:r>
    </w:p>
  </w:endnote>
  <w:endnote w:id="3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Earth are 1.2500134</w:t>
      </w:r>
    </w:p>
  </w:endnote>
  <w:endnote w:id="4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Cat are 2.4500134</w:t>
      </w:r>
    </w:p>
  </w:endnote>
  <w:endnote w:id="5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Blizzard are 2.42</w:t>
      </w:r>
    </w:p>
  </w:endnote>
  <w:endnote w:id="6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Earth are 1.5500134</w:t>
      </w:r>
    </w:p>
  </w:endnote>
  <w:endnote w:id="7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Sandstorm are 1.00134</w:t>
      </w:r>
    </w:p>
  </w:endnote>
  <w:endnote w:id="8">
    <w:p w:rsidR="001D3169" w:rsidRPr="001D3169" w:rsidRDefault="001D3169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Odds for Cat are 2.0134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7364095</wp:posOffset>
          </wp:positionV>
          <wp:extent cx="2181225" cy="153352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ses-silhuet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62CF" w:rsidRDefault="00B462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7364095</wp:posOffset>
          </wp:positionV>
          <wp:extent cx="2181225" cy="1533525"/>
          <wp:effectExtent l="0" t="0" r="0" b="0"/>
          <wp:wrapSquare wrapText="bothSides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ses-silhuet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62CF" w:rsidRDefault="00B462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B23" w:rsidRDefault="00A85B23" w:rsidP="00D62CE3">
      <w:r>
        <w:separator/>
      </w:r>
    </w:p>
  </w:footnote>
  <w:footnote w:type="continuationSeparator" w:id="0">
    <w:p w:rsidR="00A85B23" w:rsidRDefault="00A85B23" w:rsidP="00D62CE3">
      <w:r>
        <w:continuationSeparator/>
      </w:r>
    </w:p>
  </w:footnote>
  <w:footnote w:id="1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Blizzard</w:t>
      </w:r>
    </w:p>
  </w:footnote>
  <w:footnote w:id="2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Sandstorm</w:t>
      </w:r>
    </w:p>
  </w:footnote>
  <w:footnote w:id="3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Earth</w:t>
      </w:r>
    </w:p>
  </w:footnote>
  <w:footnote w:id="4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Cat</w:t>
      </w:r>
    </w:p>
  </w:footnote>
  <w:footnote w:id="5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Blizzard</w:t>
      </w:r>
    </w:p>
  </w:footnote>
  <w:footnote w:id="6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Earth</w:t>
      </w:r>
    </w:p>
  </w:footnote>
  <w:footnote w:id="7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Sandstorm</w:t>
      </w:r>
    </w:p>
  </w:footnote>
  <w:footnote w:id="8">
    <w:p w:rsidR="001D3169" w:rsidRPr="001D3169" w:rsidRDefault="001D31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Horse: Cat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 w:rsidP="00B462CF">
    <w:pPr>
      <w:pStyle w:val="Header"/>
      <w:jc w:val="both"/>
    </w:pPr>
    <w:r>
      <w:rPr>
        <w:noProof/>
        <w:lang w:eastAsia="hr-H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2213610</wp:posOffset>
          </wp:positionH>
          <wp:positionV relativeFrom="margin">
            <wp:posOffset>-1028700</wp:posOffset>
          </wp:positionV>
          <wp:extent cx="1238250" cy="7620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ing-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CF" w:rsidRDefault="00B462CF" w:rsidP="00B462CF">
    <w:pPr>
      <w:pStyle w:val="Header"/>
      <w:jc w:val="both"/>
    </w:pPr>
    <w:r>
      <w:rPr>
        <w:noProof/>
        <w:lang w:eastAsia="hr-H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2213610</wp:posOffset>
          </wp:positionH>
          <wp:positionV relativeFrom="margin">
            <wp:posOffset>-1028700</wp:posOffset>
          </wp:positionV>
          <wp:extent cx="1238250" cy="762000"/>
          <wp:effectExtent l="0" t="0" r="0" b="0"/>
          <wp:wrapSquare wrapText="bothSides"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ing-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o="urn:schemas-microsoft-com:office:office" xmlns:v="urn:schemas-microsoft-com:vml" xmlns:w10="urn:schemas-microsoft-com:office:word"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40"/>
  <w:drawingGridVerticalSpacing w:val="187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62CE3"/>
    <w:rsid w:val="00065FF4"/>
    <w:rsid w:val="00081310"/>
    <w:rsid w:val="0010150C"/>
    <w:rsid w:val="00115CF8"/>
    <w:rsid w:val="0012068C"/>
    <w:rsid w:val="001D3169"/>
    <w:rsid w:val="001D4B3D"/>
    <w:rsid w:val="00224A07"/>
    <w:rsid w:val="002B0596"/>
    <w:rsid w:val="002D288F"/>
    <w:rsid w:val="00392B33"/>
    <w:rsid w:val="003E292F"/>
    <w:rsid w:val="0042188B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2727"/>
    <w:rsid w:val="009B0586"/>
    <w:rsid w:val="00A15F7E"/>
    <w:rsid w:val="00A45254"/>
    <w:rsid w:val="00A85B23"/>
    <w:rsid w:val="00AE28B1"/>
    <w:rsid w:val="00B34690"/>
    <w:rsid w:val="00B462CF"/>
    <w:rsid w:val="00B658F4"/>
    <w:rsid w:val="00B7219E"/>
    <w:rsid w:val="00BF099C"/>
    <w:rsid w:val="00C20304"/>
    <w:rsid w:val="00C51B9C"/>
    <w:rsid w:val="00CC77DF"/>
    <w:rsid w:val="00CE4813"/>
    <w:rsid w:val="00CF6F16"/>
    <w:rsid w:val="00D62CE3"/>
    <w:rsid w:val="00D71437"/>
    <w:rsid w:val="00DF3780"/>
    <w:rsid w:val="00E016C9"/>
    <w:rsid w:val="00E300EE"/>
    <w:rsid w:val="00E97818"/>
    <w:rsid w:val="00EB54D9"/>
    <w:rsid w:val="00EC24A8"/>
    <w:rsid w:val="00EE2EE9"/>
    <w:rsid w:val="00F7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E3"/>
  </w:style>
  <w:style w:type="paragraph" w:styleId="Footer">
    <w:name w:val="footer"/>
    <w:basedOn w:val="Normal"/>
    <w:link w:val="Foot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7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1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1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169"/>
    <w:rPr>
      <w:vertAlign w:val="superscript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BE988-5A53-413B-9013-12E1BFD7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4</cp:revision>
  <dcterms:created xsi:type="dcterms:W3CDTF">2017-07-29T10:15:00Z</dcterms:created>
  <dcterms:modified xsi:type="dcterms:W3CDTF">2017-07-29T10:23:00Z</dcterms:modified>
</cp:coreProperties>
</file>