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120" w:line="276"/>
              <w:jc w:val="center"/>
            </w:pPr>
            <w:r>
              <w:rPr>
                <w:rFonts w:ascii="Calibri" w:cs="Calibri" w:eastAsia="Calibri" w:hAnsi="Calibri"/>
                <w:b/>
                <w:bCs/>
                <w:i w:val="false"/>
                <w:iCs w:val="false"/>
                <w:color w:val="7799BB"/>
                <w:sz w:val="15"/>
                <w:szCs w:val="15"/>
              </w:rPr>
              <w:t xml:space="preserve">MELBOURNE  ·  APRIL 2026  ·  FIRST INTAKE</w:t>
            </w:r>
          </w:p>
          <w:p>
            <w:pPr>
              <w:spacing w:before="0" w:after="20" w:line="276"/>
              <w:jc w:val="center"/>
            </w:pPr>
            <w:r>
              <w:rPr>
                <w:rFonts w:ascii="Calibri" w:cs="Calibri" w:eastAsia="Calibri" w:hAnsi="Calibri"/>
                <w:b/>
                <w:bCs/>
                <w:i w:val="false"/>
                <w:iCs w:val="false"/>
                <w:color w:val="FFFFFF"/>
                <w:sz w:val="44"/>
                <w:szCs w:val="44"/>
              </w:rPr>
              <w:t xml:space="preserve">RAJASTHAN ROYALS ACADEMY</w:t>
            </w:r>
          </w:p>
          <w:p>
            <w:pPr>
              <w:spacing w:before="0" w:after="60" w:line="276"/>
              <w:jc w:val="center"/>
            </w:pPr>
            <w:r>
              <w:rPr>
                <w:rFonts w:ascii="Calibri" w:cs="Calibri" w:eastAsia="Calibri" w:hAnsi="Calibri"/>
                <w:b/>
                <w:bCs/>
                <w:i w:val="false"/>
                <w:iCs w:val="false"/>
                <w:color w:val="E11F8F"/>
                <w:sz w:val="44"/>
                <w:szCs w:val="44"/>
              </w:rPr>
              <w:t xml:space="preserve">ELITE PROGRAM</w:t>
            </w:r>
          </w:p>
          <w:p>
            <w:pPr>
              <w:spacing w:before="0" w:after="120" w:line="276"/>
              <w:jc w:val="center"/>
            </w:pPr>
            <w:r>
              <w:rPr>
                <w:rFonts w:ascii="Calibri" w:cs="Calibri" w:eastAsia="Calibri" w:hAnsi="Calibri"/>
                <w:b/>
                <w:bCs/>
                <w:i w:val="false"/>
                <w:iCs w:val="false"/>
                <w:color w:val="99AABB"/>
                <w:sz w:val="22"/>
                <w:szCs w:val="22"/>
              </w:rPr>
              <w:t xml:space="preserve">PROGRAM GUIDE</w:t>
            </w:r>
          </w:p>
          <w:p>
            <w:pPr>
              <w:spacing w:before="0" w:after="80" w:line="276"/>
              <w:jc w:val="center"/>
            </w:pPr>
            <w:r>
              <w:rPr>
                <w:rFonts w:ascii="Calibri" w:cs="Calibri" w:eastAsia="Calibri" w:hAnsi="Calibri"/>
                <w:b w:val="false"/>
                <w:bCs w:val="false"/>
                <w:i/>
                <w:iCs/>
                <w:color w:val="CCDDE8"/>
                <w:sz w:val="20"/>
                <w:szCs w:val="20"/>
              </w:rPr>
              <w:t xml:space="preserve">The first IPL franchise academy in Melbourne. This pathway has never existed in Australia before.</w:t>
            </w:r>
          </w:p>
          <w:p>
            <w:pPr>
              <w:spacing w:before="40" w:after="0" w:line="276"/>
              <w:jc w:val="center"/>
            </w:pPr>
            <w:r>
              <w:rPr>
                <w:rFonts w:ascii="Calibri" w:cs="Calibri" w:eastAsia="Calibri" w:hAnsi="Calibri"/>
                <w:b/>
                <w:bCs/>
                <w:i w:val="false"/>
                <w:iCs w:val="false"/>
                <w:color w:val="E11F8F"/>
                <w:sz w:val="18"/>
                <w:szCs w:val="18"/>
              </w:rPr>
              <w:t xml:space="preserve">DISCOVER  ·  DEVELOP  ·  ELEVATE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927"/>
        <w:gridCol w:w="1927"/>
        <w:gridCol w:w="1927"/>
        <w:gridCol w:w="1927"/>
      </w:tblGrid>
      <w:tr>
        <w:tc>
          <w:tcPr>
            <w:tcW w:type="dxa" w:w="1927"/>
            <w:tcBorders>
              <w:top w:val="none" w:color="FFFFFF" w:sz="0"/>
              <w:left w:val="none" w:color="FFFFFF" w:sz="0"/>
              <w:bottom w:val="none" w:color="FFFFFF" w:sz="0"/>
              <w:right w:val="single" w:color="001D48" w:sz="6"/>
            </w:tcBorders>
            <w:shd w:fill="1226AA" w:val="clear"/>
            <w:tcMar>
              <w:top w:type="dxa" w:w="100"/>
              <w:left w:type="dxa" w:w="60"/>
              <w:bottom w:type="dxa" w:w="100"/>
              <w:right w:type="dxa" w:w="60"/>
            </w:tcMar>
            <w:vAlign w:val="center"/>
          </w:tcPr>
          <w:p>
            <w:pPr>
              <w:spacing w:before="0" w:after="0" w:line="276"/>
              <w:jc w:val="center"/>
            </w:pPr>
            <w:r>
              <w:rPr>
                <w:rFonts w:ascii="Calibri" w:cs="Calibri" w:eastAsia="Calibri" w:hAnsi="Calibri"/>
                <w:b/>
                <w:bCs/>
                <w:i w:val="false"/>
                <w:iCs w:val="false"/>
                <w:color w:val="FFFFFF"/>
                <w:sz w:val="17"/>
                <w:szCs w:val="17"/>
              </w:rPr>
              <w:t xml:space="preserve">12 WEEKS</w:t>
            </w:r>
          </w:p>
        </w:tc>
        <w:tc>
          <w:tcPr>
            <w:tcW w:type="dxa" w:w="1927"/>
            <w:tcBorders>
              <w:top w:val="none" w:color="FFFFFF" w:sz="0"/>
              <w:left w:val="none" w:color="FFFFFF" w:sz="0"/>
              <w:bottom w:val="none" w:color="FFFFFF" w:sz="0"/>
              <w:right w:val="single" w:color="001D48" w:sz="6"/>
            </w:tcBorders>
            <w:shd w:fill="1226AA" w:val="clear"/>
            <w:tcMar>
              <w:top w:type="dxa" w:w="100"/>
              <w:left w:type="dxa" w:w="60"/>
              <w:bottom w:type="dxa" w:w="100"/>
              <w:right w:type="dxa" w:w="60"/>
            </w:tcMar>
            <w:vAlign w:val="center"/>
          </w:tcPr>
          <w:p>
            <w:pPr>
              <w:spacing w:before="0" w:after="0" w:line="276"/>
              <w:jc w:val="center"/>
            </w:pPr>
            <w:r>
              <w:rPr>
                <w:rFonts w:ascii="Calibri" w:cs="Calibri" w:eastAsia="Calibri" w:hAnsi="Calibri"/>
                <w:b/>
                <w:bCs/>
                <w:i w:val="false"/>
                <w:iCs w:val="false"/>
                <w:color w:val="FFFFFF"/>
                <w:sz w:val="17"/>
                <w:szCs w:val="17"/>
              </w:rPr>
              <w:t xml:space="preserve">120 PLAYERS</w:t>
            </w:r>
          </w:p>
        </w:tc>
        <w:tc>
          <w:tcPr>
            <w:tcW w:type="dxa" w:w="1927"/>
            <w:tcBorders>
              <w:top w:val="none" w:color="FFFFFF" w:sz="0"/>
              <w:left w:val="none" w:color="FFFFFF" w:sz="0"/>
              <w:bottom w:val="none" w:color="FFFFFF" w:sz="0"/>
              <w:right w:val="single" w:color="001D48" w:sz="6"/>
            </w:tcBorders>
            <w:shd w:fill="1226AA" w:val="clear"/>
            <w:tcMar>
              <w:top w:type="dxa" w:w="100"/>
              <w:left w:type="dxa" w:w="60"/>
              <w:bottom w:type="dxa" w:w="100"/>
              <w:right w:type="dxa" w:w="60"/>
            </w:tcMar>
            <w:vAlign w:val="center"/>
          </w:tcPr>
          <w:p>
            <w:pPr>
              <w:spacing w:before="0" w:after="0" w:line="276"/>
              <w:jc w:val="center"/>
            </w:pPr>
            <w:r>
              <w:rPr>
                <w:rFonts w:ascii="Calibri" w:cs="Calibri" w:eastAsia="Calibri" w:hAnsi="Calibri"/>
                <w:b/>
                <w:bCs/>
                <w:i w:val="false"/>
                <w:iCs w:val="false"/>
                <w:color w:val="FFFFFF"/>
                <w:sz w:val="17"/>
                <w:szCs w:val="17"/>
              </w:rPr>
              <w:t xml:space="preserve">10 SQUADS</w:t>
            </w:r>
          </w:p>
        </w:tc>
        <w:tc>
          <w:tcPr>
            <w:tcW w:type="dxa" w:w="1927"/>
            <w:tcBorders>
              <w:top w:val="none" w:color="FFFFFF" w:sz="0"/>
              <w:left w:val="none" w:color="FFFFFF" w:sz="0"/>
              <w:bottom w:val="none" w:color="FFFFFF" w:sz="0"/>
              <w:right w:val="single" w:color="001D48" w:sz="6"/>
            </w:tcBorders>
            <w:shd w:fill="1226AA" w:val="clear"/>
            <w:tcMar>
              <w:top w:type="dxa" w:w="100"/>
              <w:left w:type="dxa" w:w="60"/>
              <w:bottom w:type="dxa" w:w="100"/>
              <w:right w:type="dxa" w:w="60"/>
            </w:tcMar>
            <w:vAlign w:val="center"/>
          </w:tcPr>
          <w:p>
            <w:pPr>
              <w:spacing w:before="0" w:after="0" w:line="276"/>
              <w:jc w:val="center"/>
            </w:pPr>
            <w:r>
              <w:rPr>
                <w:rFonts w:ascii="Calibri" w:cs="Calibri" w:eastAsia="Calibri" w:hAnsi="Calibri"/>
                <w:b/>
                <w:bCs/>
                <w:i w:val="false"/>
                <w:iCs w:val="false"/>
                <w:color w:val="FFFFFF"/>
                <w:sz w:val="17"/>
                <w:szCs w:val="17"/>
              </w:rPr>
              <w:t xml:space="preserve">4 HRS / WEEK</w:t>
            </w:r>
          </w:p>
        </w:tc>
        <w:tc>
          <w:tcPr>
            <w:tcW w:type="dxa" w:w="1927"/>
            <w:tcBorders>
              <w:top w:val="none" w:color="FFFFFF" w:sz="0"/>
              <w:left w:val="none" w:color="FFFFFF" w:sz="0"/>
              <w:bottom w:val="none" w:color="FFFFFF" w:sz="0"/>
              <w:right w:val="none" w:color="FFFFFF" w:sz="0"/>
            </w:tcBorders>
            <w:shd w:fill="1226AA" w:val="clear"/>
            <w:tcMar>
              <w:top w:type="dxa" w:w="100"/>
              <w:left w:type="dxa" w:w="60"/>
              <w:bottom w:type="dxa" w:w="100"/>
              <w:right w:type="dxa" w:w="60"/>
            </w:tcMar>
            <w:vAlign w:val="center"/>
          </w:tcPr>
          <w:p>
            <w:pPr>
              <w:spacing w:before="0" w:after="0" w:line="276"/>
              <w:jc w:val="center"/>
            </w:pPr>
            <w:r>
              <w:rPr>
                <w:rFonts w:ascii="Calibri" w:cs="Calibri" w:eastAsia="Calibri" w:hAnsi="Calibri"/>
                <w:b/>
                <w:bCs/>
                <w:i w:val="false"/>
                <w:iCs w:val="false"/>
                <w:color w:val="FFFFFF"/>
                <w:sz w:val="17"/>
                <w:szCs w:val="17"/>
              </w:rPr>
              <w:t xml:space="preserve">IPL FRANCHISE</w:t>
            </w:r>
          </w:p>
        </w:tc>
      </w:tr>
    </w:tbl>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1D48"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01   </w:t>
            </w:r>
            <w:r>
              <w:rPr>
                <w:rFonts w:ascii="Calibri" w:cs="Calibri" w:eastAsia="Calibri" w:hAnsi="Calibri"/>
                <w:b/>
                <w:bCs/>
                <w:i w:val="false"/>
                <w:iCs w:val="false"/>
                <w:color w:val="FFFFFF"/>
                <w:sz w:val="26"/>
                <w:szCs w:val="26"/>
              </w:rPr>
              <w:t xml:space="preserve">PROGRAM AT A GLANCE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Everything you need to know about how the program runs, where it runs, and what to expect from day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WHEN</w:t>
            </w:r>
          </w:p>
          <w:p>
            <w:pPr>
              <w:spacing w:before="0" w:after="0" w:line="276"/>
              <w:jc w:val="left"/>
            </w:pPr>
            <w:r>
              <w:rPr>
                <w:rFonts w:ascii="Calibri" w:cs="Calibri" w:eastAsia="Calibri" w:hAnsi="Calibri"/>
                <w:b w:val="false"/>
                <w:bCs w:val="false"/>
                <w:i w:val="false"/>
                <w:iCs w:val="false"/>
                <w:color w:val="444444"/>
                <w:sz w:val="18"/>
                <w:szCs w:val="18"/>
              </w:rPr>
              <w:t xml:space="preserve">Early April 2026 — two sessions per week, one weeknight evening, one weekend session.</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WHERE</w:t>
            </w:r>
          </w:p>
          <w:p>
            <w:pPr>
              <w:spacing w:before="0" w:after="0" w:line="276"/>
              <w:jc w:val="left"/>
            </w:pPr>
            <w:r>
              <w:rPr>
                <w:rFonts w:ascii="Calibri" w:cs="Calibri" w:eastAsia="Calibri" w:hAnsi="Calibri"/>
                <w:b w:val="false"/>
                <w:bCs w:val="false"/>
                <w:i w:val="false"/>
                <w:iCs w:val="false"/>
                <w:color w:val="444444"/>
                <w:sz w:val="18"/>
                <w:szCs w:val="18"/>
              </w:rPr>
              <w:t xml:space="preserve">Cutting Edge Cricket, Melbourne. Primarily indoor — 7 lanes. Outdoor components weather dependent.</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DURATION</w:t>
            </w:r>
          </w:p>
          <w:p>
            <w:pPr>
              <w:spacing w:before="0" w:after="0" w:line="276"/>
              <w:jc w:val="left"/>
            </w:pPr>
            <w:r>
              <w:rPr>
                <w:rFonts w:ascii="Calibri" w:cs="Calibri" w:eastAsia="Calibri" w:hAnsi="Calibri"/>
                <w:b w:val="false"/>
                <w:bCs w:val="false"/>
                <w:i w:val="false"/>
                <w:iCs w:val="false"/>
                <w:color w:val="444444"/>
                <w:sz w:val="18"/>
                <w:szCs w:val="18"/>
              </w:rPr>
              <w:t xml:space="preserve">12 weeks. 4 hours per week, every week — 48 hours of elite coaching across the program.</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SESSIONS</w:t>
            </w:r>
          </w:p>
          <w:p>
            <w:pPr>
              <w:spacing w:before="0" w:after="0" w:line="276"/>
              <w:jc w:val="left"/>
            </w:pPr>
            <w:r>
              <w:rPr>
                <w:rFonts w:ascii="Calibri" w:cs="Calibri" w:eastAsia="Calibri" w:hAnsi="Calibri"/>
                <w:b w:val="false"/>
                <w:bCs w:val="false"/>
                <w:i w:val="false"/>
                <w:iCs w:val="false"/>
                <w:color w:val="444444"/>
                <w:sz w:val="18"/>
                <w:szCs w:val="18"/>
              </w:rPr>
              <w:t xml:space="preserve">24+ sessions total. 2 hours per session across all three program phases.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SQUADS</w:t>
            </w:r>
          </w:p>
          <w:p>
            <w:pPr>
              <w:spacing w:before="0" w:after="0" w:line="276"/>
              <w:jc w:val="left"/>
            </w:pPr>
            <w:r>
              <w:rPr>
                <w:rFonts w:ascii="Calibri" w:cs="Calibri" w:eastAsia="Calibri" w:hAnsi="Calibri"/>
                <w:b w:val="false"/>
                <w:bCs w:val="false"/>
                <w:i w:val="false"/>
                <w:iCs w:val="false"/>
                <w:color w:val="444444"/>
                <w:sz w:val="18"/>
                <w:szCs w:val="18"/>
              </w:rPr>
              <w:t xml:space="preserve">10 squads of 12 players each. Placed where the coaching and performance team believes you'll achieve the most growth.</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FORMAT</w:t>
            </w:r>
          </w:p>
          <w:p>
            <w:pPr>
              <w:spacing w:before="0" w:after="0" w:line="276"/>
              <w:jc w:val="left"/>
            </w:pPr>
            <w:r>
              <w:rPr>
                <w:rFonts w:ascii="Calibri" w:cs="Calibri" w:eastAsia="Calibri" w:hAnsi="Calibri"/>
                <w:b w:val="false"/>
                <w:bCs w:val="false"/>
                <w:i w:val="false"/>
                <w:iCs w:val="false"/>
                <w:color w:val="444444"/>
                <w:sz w:val="18"/>
                <w:szCs w:val="18"/>
              </w:rPr>
              <w:t xml:space="preserve">70% builds the core T20 skills that elevate performance across all formats. 30% applies those skills under match conditions.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E11F8F"/>
                <w:sz w:val="17"/>
                <w:szCs w:val="17"/>
              </w:rPr>
              <w:t xml:space="preserve">WHO</w:t>
            </w:r>
          </w:p>
          <w:p>
            <w:pPr>
              <w:spacing w:before="0" w:after="0" w:line="276"/>
              <w:jc w:val="left"/>
            </w:pPr>
            <w:r>
              <w:rPr>
                <w:rFonts w:ascii="Calibri" w:cs="Calibri" w:eastAsia="Calibri" w:hAnsi="Calibri"/>
                <w:b w:val="false"/>
                <w:bCs w:val="false"/>
                <w:i w:val="false"/>
                <w:iCs w:val="false"/>
                <w:color w:val="444444"/>
                <w:sz w:val="19"/>
                <w:szCs w:val="19"/>
              </w:rPr>
              <w:t xml:space="preserve">Ages 11 through open age adults — we select on talent, not age. VMCU level or equivalent potential. ~120 players. Places are limited and performance-based.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none" w:color="FFFFFF" w:sz="0"/>
              <w:left w:val="none" w:color="FFFFFF" w:sz="0"/>
              <w:bottom w:val="none" w:color="FFFFFF" w:sz="0"/>
              <w:right w:val="none" w:color="FFFFFF" w:sz="0"/>
            </w:tcBorders>
            <w:shd w:fill="001D48" w:val="clear"/>
            <w:tcMar>
              <w:top w:type="dxa" w:w="140"/>
              <w:left w:type="dxa" w:w="180"/>
              <w:bottom w:type="dxa" w:w="140"/>
              <w:right w:type="dxa" w:w="120"/>
            </w:tcMar>
            <w:vAlign w:val="top"/>
          </w:tcPr>
          <w:p>
            <w:pPr>
              <w:spacing w:before="0" w:after="20" w:line="276"/>
              <w:jc w:val="left"/>
            </w:pPr>
            <w:r>
              <w:rPr>
                <w:rFonts w:ascii="Calibri" w:cs="Calibri" w:eastAsia="Calibri" w:hAnsi="Calibri"/>
                <w:b/>
                <w:bCs/>
                <w:i w:val="false"/>
                <w:iCs w:val="false"/>
                <w:color w:val="AACCEE"/>
                <w:sz w:val="14"/>
                <w:szCs w:val="14"/>
              </w:rPr>
              <w:t xml:space="preserve">PHASE 1</w:t>
            </w:r>
          </w:p>
          <w:p>
            <w:pPr>
              <w:spacing w:before="0" w:after="20" w:line="276"/>
              <w:jc w:val="left"/>
            </w:pPr>
            <w:r>
              <w:rPr>
                <w:rFonts w:ascii="Calibri" w:cs="Calibri" w:eastAsia="Calibri" w:hAnsi="Calibri"/>
                <w:b/>
                <w:bCs/>
                <w:i w:val="false"/>
                <w:iCs w:val="false"/>
                <w:color w:val="FFFFFF"/>
                <w:sz w:val="28"/>
                <w:szCs w:val="28"/>
              </w:rPr>
              <w:t xml:space="preserve">EXPLORE</w:t>
            </w:r>
          </w:p>
          <w:p>
            <w:pPr>
              <w:spacing w:before="0" w:after="40" w:line="276"/>
              <w:jc w:val="left"/>
            </w:pPr>
            <w:r>
              <w:rPr>
                <w:rFonts w:ascii="Calibri" w:cs="Calibri" w:eastAsia="Calibri" w:hAnsi="Calibri"/>
                <w:b w:val="false"/>
                <w:bCs w:val="false"/>
                <w:i/>
                <w:iCs/>
                <w:color w:val="DDEEFF"/>
                <w:sz w:val="17"/>
                <w:szCs w:val="17"/>
              </w:rPr>
              <w:t xml:space="preserve">Weeks 1–4</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Shot exploration and range-building</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Creativity and self-expression</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Spin variation and playing spin</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Movement patterns and triggers</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Royals Player DNA completed. Goals set.</w:t>
            </w:r>
          </w:p>
        </w:tc>
        <w:tc>
          <w:tcPr>
            <w:tcW w:type="dxa" w:w="3212"/>
            <w:tcBorders>
              <w:top w:val="none" w:color="FFFFFF" w:sz="0"/>
              <w:left w:val="none" w:color="FFFFFF" w:sz="0"/>
              <w:bottom w:val="none" w:color="FFFFFF" w:sz="0"/>
              <w:right w:val="none" w:color="FFFFFF" w:sz="0"/>
            </w:tcBorders>
            <w:shd w:fill="1226AA" w:val="clear"/>
            <w:tcMar>
              <w:top w:type="dxa" w:w="140"/>
              <w:left w:type="dxa" w:w="180"/>
              <w:bottom w:type="dxa" w:w="140"/>
              <w:right w:type="dxa" w:w="120"/>
            </w:tcMar>
            <w:vAlign w:val="top"/>
          </w:tcPr>
          <w:p>
            <w:pPr>
              <w:spacing w:before="0" w:after="20" w:line="276"/>
              <w:jc w:val="left"/>
            </w:pPr>
            <w:r>
              <w:rPr>
                <w:rFonts w:ascii="Calibri" w:cs="Calibri" w:eastAsia="Calibri" w:hAnsi="Calibri"/>
                <w:b/>
                <w:bCs/>
                <w:i w:val="false"/>
                <w:iCs w:val="false"/>
                <w:color w:val="AACCEE"/>
                <w:sz w:val="14"/>
                <w:szCs w:val="14"/>
              </w:rPr>
              <w:t xml:space="preserve">PHASE 2</w:t>
            </w:r>
          </w:p>
          <w:p>
            <w:pPr>
              <w:spacing w:before="0" w:after="20" w:line="276"/>
              <w:jc w:val="left"/>
            </w:pPr>
            <w:r>
              <w:rPr>
                <w:rFonts w:ascii="Calibri" w:cs="Calibri" w:eastAsia="Calibri" w:hAnsi="Calibri"/>
                <w:b/>
                <w:bCs/>
                <w:i w:val="false"/>
                <w:iCs w:val="false"/>
                <w:color w:val="FFFFFF"/>
                <w:sz w:val="28"/>
                <w:szCs w:val="28"/>
              </w:rPr>
              <w:t xml:space="preserve">CHALLENGE</w:t>
            </w:r>
          </w:p>
          <w:p>
            <w:pPr>
              <w:spacing w:before="0" w:after="40" w:line="276"/>
              <w:jc w:val="left"/>
            </w:pPr>
            <w:r>
              <w:rPr>
                <w:rFonts w:ascii="Calibri" w:cs="Calibri" w:eastAsia="Calibri" w:hAnsi="Calibri"/>
                <w:b w:val="false"/>
                <w:bCs w:val="false"/>
                <w:i/>
                <w:iCs/>
                <w:color w:val="DDEEFF"/>
                <w:sz w:val="17"/>
                <w:szCs w:val="17"/>
              </w:rPr>
              <w:t xml:space="preserve">Weeks 5–8</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Constraints-led deliberate practice</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Pressure simulation drills</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Decision-making under pressure</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Tactical problem solving</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Week 8 structured de-load</w:t>
            </w:r>
          </w:p>
        </w:tc>
        <w:tc>
          <w:tcPr>
            <w:tcW w:type="dxa" w:w="3212"/>
            <w:tcBorders>
              <w:top w:val="none" w:color="FFFFFF" w:sz="0"/>
              <w:left w:val="none" w:color="FFFFFF" w:sz="0"/>
              <w:bottom w:val="none" w:color="FFFFFF" w:sz="0"/>
              <w:right w:val="none" w:color="FFFFFF" w:sz="0"/>
            </w:tcBorders>
            <w:shd w:fill="E11F8F" w:val="clear"/>
            <w:tcMar>
              <w:top w:type="dxa" w:w="140"/>
              <w:left w:type="dxa" w:w="180"/>
              <w:bottom w:type="dxa" w:w="140"/>
              <w:right w:type="dxa" w:w="120"/>
            </w:tcMar>
            <w:vAlign w:val="top"/>
          </w:tcPr>
          <w:p>
            <w:pPr>
              <w:spacing w:before="0" w:after="20" w:line="276"/>
              <w:jc w:val="left"/>
            </w:pPr>
            <w:r>
              <w:rPr>
                <w:rFonts w:ascii="Calibri" w:cs="Calibri" w:eastAsia="Calibri" w:hAnsi="Calibri"/>
                <w:b/>
                <w:bCs/>
                <w:i w:val="false"/>
                <w:iCs w:val="false"/>
                <w:color w:val="AACCEE"/>
                <w:sz w:val="14"/>
                <w:szCs w:val="14"/>
              </w:rPr>
              <w:t xml:space="preserve">PHASE 3</w:t>
            </w:r>
          </w:p>
          <w:p>
            <w:pPr>
              <w:spacing w:before="0" w:after="20" w:line="276"/>
              <w:jc w:val="left"/>
            </w:pPr>
            <w:r>
              <w:rPr>
                <w:rFonts w:ascii="Calibri" w:cs="Calibri" w:eastAsia="Calibri" w:hAnsi="Calibri"/>
                <w:b/>
                <w:bCs/>
                <w:i w:val="false"/>
                <w:iCs w:val="false"/>
                <w:color w:val="FFFFFF"/>
                <w:sz w:val="28"/>
                <w:szCs w:val="28"/>
              </w:rPr>
              <w:t xml:space="preserve">EXECUTE</w:t>
            </w:r>
          </w:p>
          <w:p>
            <w:pPr>
              <w:spacing w:before="0" w:after="40" w:line="276"/>
              <w:jc w:val="left"/>
            </w:pPr>
            <w:r>
              <w:rPr>
                <w:rFonts w:ascii="Calibri" w:cs="Calibri" w:eastAsia="Calibri" w:hAnsi="Calibri"/>
                <w:b w:val="false"/>
                <w:bCs w:val="false"/>
                <w:i/>
                <w:iCs/>
                <w:color w:val="DDEEFF"/>
                <w:sz w:val="17"/>
                <w:szCs w:val="17"/>
              </w:rPr>
              <w:t xml:space="preserve">Weeks 9–12</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Match simulations from minute one</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High-volume competitive play</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T20 role clarity</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Week 12 showcase &amp; re-assessment</w:t>
            </w:r>
          </w:p>
          <w:p>
            <w:pPr>
              <w:spacing w:before="0" w:after="16" w:line="276"/>
              <w:jc w:val="left"/>
            </w:pPr>
            <w:r>
              <w:rPr>
                <w:rFonts w:ascii="Calibri" w:cs="Calibri" w:eastAsia="Calibri" w:hAnsi="Calibri"/>
                <w:b w:val="false"/>
                <w:bCs w:val="false"/>
                <w:i w:val="false"/>
                <w:iCs w:val="false"/>
                <w:color w:val="AACCEE"/>
                <w:sz w:val="16"/>
                <w:szCs w:val="16"/>
              </w:rPr>
              <w:t xml:space="preserve">→  </w:t>
            </w:r>
            <w:r>
              <w:rPr>
                <w:rFonts w:ascii="Calibri" w:cs="Calibri" w:eastAsia="Calibri" w:hAnsi="Calibri"/>
                <w:b w:val="false"/>
                <w:bCs w:val="false"/>
                <w:i w:val="false"/>
                <w:iCs w:val="false"/>
                <w:color w:val="FFFFFF"/>
                <w:sz w:val="16"/>
                <w:szCs w:val="16"/>
              </w:rPr>
              <w:t xml:space="preserve">IDP and Royals Player DNA finalised</w:t>
            </w:r>
          </w:p>
        </w:tc>
      </w:tr>
    </w:tbl>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26AA"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02   </w:t>
            </w:r>
            <w:r>
              <w:rPr>
                <w:rFonts w:ascii="Calibri" w:cs="Calibri" w:eastAsia="Calibri" w:hAnsi="Calibri"/>
                <w:b/>
                <w:bCs/>
                <w:i w:val="false"/>
                <w:iCs w:val="false"/>
                <w:color w:val="FFFFFF"/>
                <w:sz w:val="26"/>
                <w:szCs w:val="26"/>
              </w:rPr>
              <w:t xml:space="preserve">WHAT'S INCLUDED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Every element of the program is designed to develop the complete T20 cricketer — technically, tactically, mentally, and physically.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70" w:line="276"/>
              <w:jc w:val="left"/>
            </w:pPr>
            <w:r>
              <w:rPr>
                <w:rFonts w:ascii="Calibri" w:cs="Calibri" w:eastAsia="Calibri" w:hAnsi="Calibri"/>
                <w:b/>
                <w:bCs/>
                <w:i w:val="false"/>
                <w:iCs w:val="false"/>
                <w:color w:val="FFFFFF"/>
                <w:sz w:val="24"/>
                <w:szCs w:val="24"/>
              </w:rPr>
              <w:t xml:space="preserve">ROYALS PLAYER DNA</w:t>
            </w:r>
            <w:r>
              <w:rPr>
                <w:rFonts w:ascii="Calibri" w:cs="Calibri" w:eastAsia="Calibri" w:hAnsi="Calibri"/>
                <w:b/>
                <w:bCs/>
                <w:i w:val="false"/>
                <w:iCs w:val="false"/>
                <w:color w:val="E11F8F"/>
                <w:sz w:val="15"/>
                <w:szCs w:val="15"/>
              </w:rPr>
              <w:t xml:space="preserve">   ★ HERO FEATURE</w:t>
            </w:r>
          </w:p>
          <w:p>
            <w:pPr>
              <w:spacing w:before="0" w:after="70" w:line="276"/>
              <w:jc w:val="left"/>
            </w:pPr>
            <w:r>
              <w:rPr>
                <w:rFonts w:ascii="Calibri" w:cs="Calibri" w:eastAsia="Calibri" w:hAnsi="Calibri"/>
                <w:b w:val="false"/>
                <w:bCs w:val="false"/>
                <w:i w:val="false"/>
                <w:iCs w:val="false"/>
                <w:color w:val="CCDDE8"/>
                <w:sz w:val="19"/>
                <w:szCs w:val="19"/>
              </w:rPr>
              <w:t xml:space="preserve">A proprietary assessment exclusive to the Rajasthan Royals Academy Melbourne — and the foundation of everything that follows. Coaches assess you across 6 domains and nearly 40 individual skill dimensions: Technical Batting, Technical Bowling, Fielding, Game Intelligence, Physical/Athletic, and Mental/Character. Coaches assess you. You assess yourself. The system combines both.</w:t>
            </w:r>
          </w:p>
          <w:p>
            <w:pPr>
              <w:spacing w:before="0" w:after="0" w:line="276"/>
              <w:jc w:val="left"/>
            </w:pPr>
            <w:r>
              <w:rPr>
                <w:rFonts w:ascii="Calibri" w:cs="Calibri" w:eastAsia="Calibri" w:hAnsi="Calibri"/>
                <w:b w:val="false"/>
                <w:bCs w:val="false"/>
                <w:i/>
                <w:iCs/>
                <w:color w:val="E11F8F"/>
                <w:sz w:val="17"/>
                <w:szCs w:val="17"/>
              </w:rPr>
              <w:t xml:space="preserve">Your domain scores and ranking data are private to you — they are never shared publicly or with other players.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INDIVIDUAL DEVELOPMENT PLAN</w:t>
            </w:r>
          </w:p>
          <w:p>
            <w:pPr>
              <w:spacing w:before="0" w:after="0" w:line="276"/>
              <w:jc w:val="left"/>
            </w:pPr>
            <w:r>
              <w:rPr>
                <w:rFonts w:ascii="Calibri" w:cs="Calibri" w:eastAsia="Calibri" w:hAnsi="Calibri"/>
                <w:b w:val="false"/>
                <w:bCs w:val="false"/>
                <w:i w:val="false"/>
                <w:iCs w:val="false"/>
                <w:color w:val="444444"/>
                <w:sz w:val="18"/>
                <w:szCs w:val="18"/>
              </w:rPr>
              <w:t xml:space="preserve">A living, personalised roadmap built from your Royals Player DNA. Our coaches teach the "how" and "why," not just the "what" — building confident, self-directed learners who own their development journey. Yours to keep.</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SQUAD TRAINING</w:t>
            </w:r>
          </w:p>
          <w:p>
            <w:pPr>
              <w:spacing w:before="0" w:after="0" w:line="276"/>
              <w:jc w:val="left"/>
            </w:pPr>
            <w:r>
              <w:rPr>
                <w:rFonts w:ascii="Calibri" w:cs="Calibri" w:eastAsia="Calibri" w:hAnsi="Calibri"/>
                <w:b w:val="false"/>
                <w:bCs w:val="false"/>
                <w:i w:val="false"/>
                <w:iCs w:val="false"/>
                <w:color w:val="444444"/>
                <w:sz w:val="18"/>
                <w:szCs w:val="18"/>
              </w:rPr>
              <w:t xml:space="preserve">Two sessions per week in squads of 12. A dedicated Squad Coach tracks your development across all 12 weeks. Every session ends with a 45-minute competitive block.</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E11F8F"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E11F8F"/>
                <w:sz w:val="17"/>
                <w:szCs w:val="17"/>
              </w:rPr>
              <w:t xml:space="preserve">2-ON-1 SESSIONS</w:t>
            </w:r>
          </w:p>
          <w:p>
            <w:pPr>
              <w:spacing w:before="0" w:after="0" w:line="276"/>
              <w:jc w:val="left"/>
            </w:pPr>
            <w:r>
              <w:rPr>
                <w:rFonts w:ascii="Calibri" w:cs="Calibri" w:eastAsia="Calibri" w:hAnsi="Calibri"/>
                <w:b w:val="false"/>
                <w:bCs w:val="false"/>
                <w:i w:val="false"/>
                <w:iCs w:val="false"/>
                <w:color w:val="444444"/>
                <w:sz w:val="18"/>
                <w:szCs w:val="18"/>
              </w:rPr>
              <w:t xml:space="preserve">A dedicated coach working with two players simultaneously — combining expert instruction with structured peer-to-peer learning. Embedded by design, not added as an extra.</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SPECIALIST COACHING</w:t>
            </w:r>
          </w:p>
          <w:p>
            <w:pPr>
              <w:spacing w:before="0" w:after="0" w:line="276"/>
              <w:jc w:val="left"/>
            </w:pPr>
            <w:r>
              <w:rPr>
                <w:rFonts w:ascii="Calibri" w:cs="Calibri" w:eastAsia="Calibri" w:hAnsi="Calibri"/>
                <w:b w:val="false"/>
                <w:bCs w:val="false"/>
                <w:i w:val="false"/>
                <w:iCs w:val="false"/>
                <w:color w:val="444444"/>
                <w:sz w:val="18"/>
                <w:szCs w:val="18"/>
              </w:rPr>
              <w:t xml:space="preserve">A rotating roster of specialist coaches and mentors targeting the skill areas that define modern T20 cricket. Assigned based on squad and individual needs at each phase.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VIDEO ANALYSIS &amp; TECHNOLOGY</w:t>
            </w:r>
          </w:p>
          <w:p>
            <w:pPr>
              <w:spacing w:before="0" w:after="0" w:line="276"/>
              <w:jc w:val="left"/>
            </w:pPr>
            <w:r>
              <w:rPr>
                <w:rFonts w:ascii="Calibri" w:cs="Calibri" w:eastAsia="Calibri" w:hAnsi="Calibri"/>
                <w:b w:val="false"/>
                <w:bCs w:val="false"/>
                <w:i w:val="false"/>
                <w:iCs w:val="false"/>
                <w:color w:val="444444"/>
                <w:sz w:val="18"/>
                <w:szCs w:val="18"/>
              </w:rPr>
              <w:t xml:space="preserve">State-of-the-art technology and video analysis providing instant feedback on your development. Performance data reviewed by Royals Group coaches globally through the Royals Academy Management System.</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E11F8F"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E11F8F"/>
                <w:sz w:val="17"/>
                <w:szCs w:val="17"/>
              </w:rPr>
              <w:t xml:space="preserve">MATCH &amp; SCENARIO SIMULATION</w:t>
            </w:r>
          </w:p>
          <w:p>
            <w:pPr>
              <w:spacing w:before="0" w:after="0" w:line="276"/>
              <w:jc w:val="left"/>
            </w:pPr>
            <w:r>
              <w:rPr>
                <w:rFonts w:ascii="Calibri" w:cs="Calibri" w:eastAsia="Calibri" w:hAnsi="Calibri"/>
                <w:b w:val="false"/>
                <w:bCs w:val="false"/>
                <w:i w:val="false"/>
                <w:iCs w:val="false"/>
                <w:color w:val="444444"/>
                <w:sz w:val="18"/>
                <w:szCs w:val="18"/>
              </w:rPr>
              <w:t xml:space="preserve">Indoor scenario sessions at Cutting Edge Cricket. Scoreboard pressure, T20 phase scenarios, match-up training. Skills forged in context — train decisions, not just movements.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360 PLAYER DEVELOPMENT</w:t>
            </w:r>
          </w:p>
          <w:p>
            <w:pPr>
              <w:spacing w:before="0" w:after="0" w:line="276"/>
              <w:jc w:val="left"/>
            </w:pPr>
            <w:r>
              <w:rPr>
                <w:rFonts w:ascii="Calibri" w:cs="Calibri" w:eastAsia="Calibri" w:hAnsi="Calibri"/>
                <w:b w:val="false"/>
                <w:bCs w:val="false"/>
                <w:i w:val="false"/>
                <w:iCs w:val="false"/>
                <w:color w:val="444444"/>
                <w:sz w:val="18"/>
                <w:szCs w:val="18"/>
              </w:rPr>
              <w:t xml:space="preserve">Sessions in nutrition, sports and performance psychology, strength and conditioning, and body management — developing the whole cricketer, not just cricket skills.</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OFFICIAL ROYALS APPAREL</w:t>
            </w:r>
          </w:p>
          <w:p>
            <w:pPr>
              <w:spacing w:before="0" w:after="0" w:line="276"/>
              <w:jc w:val="left"/>
            </w:pPr>
            <w:r>
              <w:rPr>
                <w:rFonts w:ascii="Calibri" w:cs="Calibri" w:eastAsia="Calibri" w:hAnsi="Calibri"/>
                <w:b w:val="false"/>
                <w:bCs w:val="false"/>
                <w:i w:val="false"/>
                <w:iCs w:val="false"/>
                <w:color w:val="444444"/>
                <w:sz w:val="18"/>
                <w:szCs w:val="18"/>
              </w:rPr>
              <w:t xml:space="preserve">Every player receives an official Royals Academy apparel pack: hat, training shirt, and training shorts. Additional apparel available for Academy players to purchase.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1D48"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03   </w:t>
            </w:r>
            <w:r>
              <w:rPr>
                <w:rFonts w:ascii="Calibri" w:cs="Calibri" w:eastAsia="Calibri" w:hAnsi="Calibri"/>
                <w:b/>
                <w:bCs/>
                <w:i w:val="false"/>
                <w:iCs w:val="false"/>
                <w:color w:val="FFFFFF"/>
                <w:sz w:val="26"/>
                <w:szCs w:val="26"/>
              </w:rPr>
              <w:t xml:space="preserve">YOUR INDIVIDUAL DEVELOPMENT PLAN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Your IDP is a personalised, phase-mapped development roadmap — not a generic program outline. It addresses the whole player: skills, fitness, mindset, recovery, and life.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001D48"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1</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You set your goals before the program begins</w:t>
            </w:r>
          </w:p>
          <w:p>
            <w:pPr>
              <w:spacing w:before="0" w:after="0" w:line="276"/>
              <w:jc w:val="left"/>
            </w:pPr>
            <w:r>
              <w:rPr>
                <w:rFonts w:ascii="Calibri" w:cs="Calibri" w:eastAsia="Calibri" w:hAnsi="Calibri"/>
                <w:b w:val="false"/>
                <w:bCs w:val="false"/>
                <w:i w:val="false"/>
                <w:iCs w:val="false"/>
                <w:color w:val="444444"/>
                <w:sz w:val="18"/>
                <w:szCs w:val="18"/>
              </w:rPr>
              <w:t xml:space="preserve">Before Week 1, you set clear, intentional goals informed by what your Royals Player DNA reveals — and shaped by your own personal ambitions. The best development plans sit at the intersection of evidence and intention.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1226AA"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2</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Your Royals Player DNA builds the plan</w:t>
            </w:r>
          </w:p>
          <w:p>
            <w:pPr>
              <w:spacing w:before="0" w:after="0" w:line="276"/>
              <w:jc w:val="left"/>
            </w:pPr>
            <w:r>
              <w:rPr>
                <w:rFonts w:ascii="Calibri" w:cs="Calibri" w:eastAsia="Calibri" w:hAnsi="Calibri"/>
                <w:b w:val="false"/>
                <w:bCs w:val="false"/>
                <w:i w:val="false"/>
                <w:iCs w:val="false"/>
                <w:color w:val="444444"/>
                <w:sz w:val="18"/>
                <w:szCs w:val="18"/>
              </w:rPr>
              <w:t xml:space="preserve">Domain score gaps tell the coaching team where to focus. If Technical scores are strong but Game Intelligence shows a gap, your IDP says: technical foundation is solid — the development priority is T20 phase-specific decision-making under pressure.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001D48"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3</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Explore (Weeks 1–4) — range-building and baseline</w:t>
            </w:r>
          </w:p>
          <w:p>
            <w:pPr>
              <w:spacing w:before="0" w:after="0" w:line="276"/>
              <w:jc w:val="left"/>
            </w:pPr>
            <w:r>
              <w:rPr>
                <w:rFonts w:ascii="Calibri" w:cs="Calibri" w:eastAsia="Calibri" w:hAnsi="Calibri"/>
                <w:b w:val="false"/>
                <w:bCs w:val="false"/>
                <w:i w:val="false"/>
                <w:iCs w:val="false"/>
                <w:color w:val="444444"/>
                <w:sz w:val="18"/>
                <w:szCs w:val="18"/>
              </w:rPr>
              <w:t xml:space="preserve">Shot exploration, creative freedom, spin variation, movement patterns. Royals Player DNA completed early and development priorities locked in. 10 minutes of structured IDP reflection after every session.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1226AA"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4</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Challenge (Weeks 5–8) — deliberate practice on your gaps</w:t>
            </w:r>
          </w:p>
          <w:p>
            <w:pPr>
              <w:spacing w:before="0" w:after="0" w:line="276"/>
              <w:jc w:val="left"/>
            </w:pPr>
            <w:r>
              <w:rPr>
                <w:rFonts w:ascii="Calibri" w:cs="Calibri" w:eastAsia="Calibri" w:hAnsi="Calibri"/>
                <w:b w:val="false"/>
                <w:bCs w:val="false"/>
                <w:i w:val="false"/>
                <w:iCs w:val="false"/>
                <w:color w:val="444444"/>
                <w:sz w:val="18"/>
                <w:szCs w:val="18"/>
              </w:rPr>
              <w:t xml:space="preserve">Coaching intensifies around the 2–3 priority areas your Royals Player DNA revealed. Powerplay tactics, Death overs pressure, middle-overs decision-making. Week 8 is a structured de-load.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E11F8F"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5</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Execute (Weeks 9–12) — match pressure from minute one</w:t>
            </w:r>
          </w:p>
          <w:p>
            <w:pPr>
              <w:spacing w:before="0" w:after="0" w:line="276"/>
              <w:jc w:val="left"/>
            </w:pPr>
            <w:r>
              <w:rPr>
                <w:rFonts w:ascii="Calibri" w:cs="Calibri" w:eastAsia="Calibri" w:hAnsi="Calibri"/>
                <w:b w:val="false"/>
                <w:bCs w:val="false"/>
                <w:i w:val="false"/>
                <w:iCs w:val="false"/>
                <w:color w:val="444444"/>
                <w:sz w:val="18"/>
                <w:szCs w:val="18"/>
              </w:rPr>
              <w:t xml:space="preserve">Match simulation, T20 role clarity, and showcase performance. Week 12 formal re-assessment shows exactly where your scores moved — by how much, and in which areas.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001D48"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6</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You journal after every session</w:t>
            </w:r>
          </w:p>
          <w:p>
            <w:pPr>
              <w:spacing w:before="0" w:after="0" w:line="276"/>
              <w:jc w:val="left"/>
            </w:pPr>
            <w:r>
              <w:rPr>
                <w:rFonts w:ascii="Calibri" w:cs="Calibri" w:eastAsia="Calibri" w:hAnsi="Calibri"/>
                <w:b w:val="false"/>
                <w:bCs w:val="false"/>
                <w:i w:val="false"/>
                <w:iCs w:val="false"/>
                <w:color w:val="444444"/>
                <w:sz w:val="18"/>
                <w:szCs w:val="18"/>
              </w:rPr>
              <w:t xml:space="preserve">After every session you log what you worked on, what clicked, and what to revisit. Week by week these entries build a learning profile that is uniquely yours.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1226AA"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7</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Coaches load feedback at key review points</w:t>
            </w:r>
          </w:p>
          <w:p>
            <w:pPr>
              <w:spacing w:before="0" w:after="0" w:line="276"/>
              <w:jc w:val="left"/>
            </w:pPr>
            <w:r>
              <w:rPr>
                <w:rFonts w:ascii="Calibri" w:cs="Calibri" w:eastAsia="Calibri" w:hAnsi="Calibri"/>
                <w:b w:val="false"/>
                <w:bCs w:val="false"/>
                <w:i w:val="false"/>
                <w:iCs w:val="false"/>
                <w:color w:val="444444"/>
                <w:sz w:val="18"/>
                <w:szCs w:val="18"/>
              </w:rPr>
              <w:t xml:space="preserve">At the end of each phase, your Squad Coach formally updates your IDP based on training and match simulation observations. Your IDP always reflects where you actually are — not just where you started.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9078"/>
      </w:tblGrid>
      <w:tr>
        <w:tc>
          <w:tcPr>
            <w:tcW w:type="dxa" w:w="560"/>
            <w:tcBorders>
              <w:top w:val="none" w:color="FFFFFF" w:sz="0"/>
              <w:left w:val="none" w:color="FFFFFF" w:sz="0"/>
              <w:bottom w:val="none" w:color="FFFFFF" w:sz="0"/>
              <w:right w:val="none" w:color="FFFFFF" w:sz="0"/>
            </w:tcBorders>
            <w:shd w:fill="E11F8F" w:val="clear"/>
            <w:tcMar>
              <w:top w:type="dxa" w:w="80"/>
              <w:left w:type="dxa" w:w="120"/>
              <w:bottom w:type="dxa" w:w="80"/>
              <w:right w:type="dxa" w:w="120"/>
            </w:tcMar>
            <w:vAlign w:val="top"/>
          </w:tcPr>
          <w:p>
            <w:pPr>
              <w:spacing w:before="0" w:after="0" w:line="276"/>
              <w:jc w:val="center"/>
            </w:pPr>
            <w:r>
              <w:rPr>
                <w:rFonts w:ascii="Calibri" w:cs="Calibri" w:eastAsia="Calibri" w:hAnsi="Calibri"/>
                <w:b/>
                <w:bCs/>
                <w:i w:val="false"/>
                <w:iCs w:val="false"/>
                <w:color w:val="FFFFFF"/>
                <w:sz w:val="28"/>
                <w:szCs w:val="28"/>
              </w:rPr>
              <w:t xml:space="preserve">8</w:t>
            </w:r>
          </w:p>
        </w:tc>
        <w:tc>
          <w:tcPr>
            <w:tcW w:type="dxa" w:w="907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40" w:line="276"/>
              <w:jc w:val="left"/>
            </w:pPr>
            <w:r>
              <w:rPr>
                <w:rFonts w:ascii="Calibri" w:cs="Calibri" w:eastAsia="Calibri" w:hAnsi="Calibri"/>
                <w:b/>
                <w:bCs/>
                <w:i w:val="false"/>
                <w:iCs w:val="false"/>
                <w:color w:val="001D48"/>
                <w:sz w:val="20"/>
                <w:szCs w:val="20"/>
              </w:rPr>
              <w:t xml:space="preserve">You take it with you at the end of 12 weeks</w:t>
            </w:r>
          </w:p>
          <w:p>
            <w:pPr>
              <w:spacing w:before="0" w:after="0" w:line="276"/>
              <w:jc w:val="left"/>
            </w:pPr>
            <w:r>
              <w:rPr>
                <w:rFonts w:ascii="Calibri" w:cs="Calibri" w:eastAsia="Calibri" w:hAnsi="Calibri"/>
                <w:b w:val="false"/>
                <w:bCs w:val="false"/>
                <w:i w:val="false"/>
                <w:iCs w:val="false"/>
                <w:color w:val="444444"/>
                <w:sz w:val="18"/>
                <w:szCs w:val="18"/>
              </w:rPr>
              <w:t xml:space="preserve">Your IDP and Royals Player DNA are yours to keep — a professional-grade blueprint for your continued development. Take it into any coaching environment, armed with evidence-based self-knowledge.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0" w:line="276"/>
              <w:jc w:val="center"/>
            </w:pPr>
            <w:r>
              <w:rPr>
                <w:rFonts w:ascii="Calibri" w:cs="Calibri" w:eastAsia="Calibri" w:hAnsi="Calibri"/>
                <w:b/>
                <w:bCs/>
                <w:i/>
                <w:iCs/>
                <w:color w:val="FFFFFF"/>
                <w:sz w:val="22"/>
                <w:szCs w:val="22"/>
              </w:rPr>
              <w:t xml:space="preserve">"Most players guess at what they need to work on. You'll know."</w:t>
            </w:r>
          </w:p>
        </w:tc>
      </w:tr>
    </w:tbl>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11F8F"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04   </w:t>
            </w:r>
            <w:r>
              <w:rPr>
                <w:rFonts w:ascii="Calibri" w:cs="Calibri" w:eastAsia="Calibri" w:hAnsi="Calibri"/>
                <w:b/>
                <w:bCs/>
                <w:i w:val="false"/>
                <w:iCs w:val="false"/>
                <w:color w:val="FFFFFF"/>
                <w:sz w:val="26"/>
                <w:szCs w:val="26"/>
              </w:rPr>
              <w:t xml:space="preserve">SPECIALIST COACHING</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A rotating roster of specialist coaches and mentors delivers targeted sessions across the skill areas that define modern T20 cricket. Specialist blocks are assigned to squads based on the coaching team's assessment of group and individual needs throughout the program.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POWER AND 360-DEGREE HITTING</w:t>
            </w:r>
          </w:p>
          <w:p>
            <w:pPr>
              <w:spacing w:before="0" w:after="0" w:line="276"/>
              <w:jc w:val="left"/>
            </w:pPr>
            <w:r>
              <w:rPr>
                <w:rFonts w:ascii="Calibri" w:cs="Calibri" w:eastAsia="Calibri" w:hAnsi="Calibri"/>
                <w:b w:val="false"/>
                <w:bCs w:val="false"/>
                <w:i w:val="false"/>
                <w:iCs w:val="false"/>
                <w:color w:val="444444"/>
                <w:sz w:val="18"/>
                <w:szCs w:val="18"/>
              </w:rPr>
              <w:t xml:space="preserve">The ability to hit boundaries in any direction, at any stage of an innings, is no longer optional in T20 cricket. Builds the full range of scoring options — from Powerplay aggression to unconventional boundary-hitting — so no bowler can set a field that cuts you off.</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INNOVATIVE SHOT RANGE DEVELOPMENT</w:t>
            </w:r>
          </w:p>
          <w:p>
            <w:pPr>
              <w:spacing w:before="0" w:after="0" w:line="276"/>
              <w:jc w:val="left"/>
            </w:pPr>
            <w:r>
              <w:rPr>
                <w:rFonts w:ascii="Calibri" w:cs="Calibri" w:eastAsia="Calibri" w:hAnsi="Calibri"/>
                <w:b w:val="false"/>
                <w:bCs w:val="false"/>
                <w:i w:val="false"/>
                <w:iCs w:val="false"/>
                <w:color w:val="444444"/>
                <w:sz w:val="18"/>
                <w:szCs w:val="18"/>
              </w:rPr>
              <w:t xml:space="preserve">Modern T20 rewards batters who can score in areas traditional technique doesn't cover. Sweeps, ramps, scoops, switch hits, reverse strokes — the technical foundation and creative confidence to develop shots that bowlers and fielding captains simply can't plan for.</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E11F8F"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E11F8F"/>
                <w:sz w:val="17"/>
                <w:szCs w:val="17"/>
              </w:rPr>
              <w:t xml:space="preserve">DEATH BOWLING AND YORKER EXECUTION</w:t>
            </w:r>
          </w:p>
          <w:p>
            <w:pPr>
              <w:spacing w:before="0" w:after="0" w:line="276"/>
              <w:jc w:val="left"/>
            </w:pPr>
            <w:r>
              <w:rPr>
                <w:rFonts w:ascii="Calibri" w:cs="Calibri" w:eastAsia="Calibri" w:hAnsi="Calibri"/>
                <w:b w:val="false"/>
                <w:bCs w:val="false"/>
                <w:i w:val="false"/>
                <w:iCs w:val="false"/>
                <w:color w:val="444444"/>
                <w:sz w:val="18"/>
                <w:szCs w:val="18"/>
              </w:rPr>
              <w:t xml:space="preserve">The last four overs are where T20 games are decided. Yorker precision, pace variation, slower ball deception, and the mental composure to execute under maximum pressure when the game is on the line.</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SPIN MASTERY AND VARIATION</w:t>
            </w:r>
          </w:p>
          <w:p>
            <w:pPr>
              <w:spacing w:before="0" w:after="0" w:line="276"/>
              <w:jc w:val="left"/>
            </w:pPr>
            <w:r>
              <w:rPr>
                <w:rFonts w:ascii="Calibri" w:cs="Calibri" w:eastAsia="Calibri" w:hAnsi="Calibri"/>
                <w:b w:val="false"/>
                <w:bCs w:val="false"/>
                <w:i w:val="false"/>
                <w:iCs w:val="false"/>
                <w:color w:val="444444"/>
                <w:sz w:val="18"/>
                <w:szCs w:val="18"/>
              </w:rPr>
              <w:t xml:space="preserve">Effective spin in T20 is about control, deception, and taking the game away from a batter at the right moment. Stock ball accuracy, flight and loop, wrong'uns, arm balls — and the tactical intelligence to know when and where each variation is the right weapon.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WICKETKEEPING CRAFT</w:t>
            </w:r>
          </w:p>
          <w:p>
            <w:pPr>
              <w:spacing w:before="0" w:after="0" w:line="276"/>
              <w:jc w:val="left"/>
            </w:pPr>
            <w:r>
              <w:rPr>
                <w:rFonts w:ascii="Calibri" w:cs="Calibri" w:eastAsia="Calibri" w:hAnsi="Calibri"/>
                <w:b w:val="false"/>
                <w:bCs w:val="false"/>
                <w:i w:val="false"/>
                <w:iCs w:val="false"/>
                <w:color w:val="444444"/>
                <w:sz w:val="18"/>
                <w:szCs w:val="18"/>
              </w:rPr>
              <w:t xml:space="preserve">Modern T20 keeping demands explosive athleticism, technical precision, and match intelligence. Stance and footwork, standing-up skills, glove work in high-pressure moments, and reading bowlers and batters — separating good keepers from exceptional ones.</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E11F8F"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E11F8F"/>
                <w:sz w:val="17"/>
                <w:szCs w:val="17"/>
              </w:rPr>
              <w:t xml:space="preserve">GAME-CHANGING FIELDING</w:t>
            </w:r>
          </w:p>
          <w:p>
            <w:pPr>
              <w:spacing w:before="0" w:after="0" w:line="276"/>
              <w:jc w:val="left"/>
            </w:pPr>
            <w:r>
              <w:rPr>
                <w:rFonts w:ascii="Calibri" w:cs="Calibri" w:eastAsia="Calibri" w:hAnsi="Calibri"/>
                <w:b w:val="false"/>
                <w:bCs w:val="false"/>
                <w:i w:val="false"/>
                <w:iCs w:val="false"/>
                <w:color w:val="444444"/>
                <w:sz w:val="18"/>
                <w:szCs w:val="18"/>
              </w:rPr>
              <w:t xml:space="preserve">Elite fielders don't just save runs — they change the momentum of matches. Ground coverage, long-barrier and sliding technique, direct-hit accuracy, and high-pressure catching that turns half-chances into wickets. Millimetres matter and this is where they're trained.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29"/>
        <w:gridCol w:w="180"/>
        <w:gridCol w:w="4729"/>
      </w:tblGrid>
      <w:tr>
        <w:tc>
          <w:tcPr>
            <w:tcW w:type="dxa" w:w="4729"/>
            <w:tcBorders>
              <w:top w:val="none" w:color="FFFFFF" w:sz="0"/>
              <w:left w:val="single" w:color="001D48"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001D48"/>
                <w:sz w:val="17"/>
                <w:szCs w:val="17"/>
              </w:rPr>
              <w:t xml:space="preserve">STRENGTH AND CONDITIONING</w:t>
            </w:r>
          </w:p>
          <w:p>
            <w:pPr>
              <w:spacing w:before="0" w:after="0" w:line="276"/>
              <w:jc w:val="left"/>
            </w:pPr>
            <w:r>
              <w:rPr>
                <w:rFonts w:ascii="Calibri" w:cs="Calibri" w:eastAsia="Calibri" w:hAnsi="Calibri"/>
                <w:b w:val="false"/>
                <w:bCs w:val="false"/>
                <w:i w:val="false"/>
                <w:iCs w:val="false"/>
                <w:color w:val="444444"/>
                <w:sz w:val="18"/>
                <w:szCs w:val="18"/>
              </w:rPr>
              <w:t xml:space="preserve">Cricket-specific athleticism built for T20 performance: explosive power for hitting, bowling endurance, speed and agility in the field, and recovery management across a full 12 weeks. S&amp;C integrated to keep players performing at their peak throughout the program.</w:t>
            </w:r>
          </w:p>
        </w:tc>
        <w:tc>
          <w:tcPr>
            <w:tcW w:type="dxa" w:w="1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0" w:after="0" w:line="276"/>
              <w:jc w:val="left"/>
            </w:pPr>
            <w:r>
              <w:rPr>
                <w:rFonts w:ascii="Calibri" w:cs="Calibri" w:eastAsia="Calibri" w:hAnsi="Calibri"/>
                <w:b w:val="false"/>
                <w:bCs w:val="false"/>
                <w:i w:val="false"/>
                <w:iCs w:val="false"/>
                <w:color w:val="444444"/>
                <w:sz w:val="20"/>
                <w:szCs w:val="20"/>
              </w:rPr>
              <w:t xml:space="preserve"/>
            </w:r>
          </w:p>
        </w:tc>
        <w:tc>
          <w:tcPr>
            <w:tcW w:type="dxa" w:w="4729"/>
            <w:tcBorders>
              <w:top w:val="none" w:color="FFFFFF" w:sz="0"/>
              <w:left w:val="single" w:color="1226AA" w:sz="20"/>
              <w:bottom w:val="none" w:color="FFFFFF" w:sz="0"/>
              <w:right w:val="none" w:color="FFFFFF" w:sz="0"/>
            </w:tcBorders>
            <w:shd w:fill="F4F6FB" w:val="clear"/>
            <w:tcMar>
              <w:top w:type="dxa" w:w="100"/>
              <w:left w:type="dxa" w:w="180"/>
              <w:bottom w:type="dxa" w:w="100"/>
              <w:right w:type="dxa" w:w="100"/>
            </w:tcMar>
          </w:tcPr>
          <w:p>
            <w:pPr>
              <w:spacing w:before="0" w:after="50" w:line="276"/>
              <w:jc w:val="left"/>
            </w:pPr>
            <w:r>
              <w:rPr>
                <w:rFonts w:ascii="Calibri" w:cs="Calibri" w:eastAsia="Calibri" w:hAnsi="Calibri"/>
                <w:b/>
                <w:bCs/>
                <w:i w:val="false"/>
                <w:iCs w:val="false"/>
                <w:color w:val="1226AA"/>
                <w:sz w:val="17"/>
                <w:szCs w:val="17"/>
              </w:rPr>
              <w:t xml:space="preserve">MENTAL PERFORMANCE AND WINNING T20 MINDSET</w:t>
            </w:r>
          </w:p>
          <w:p>
            <w:pPr>
              <w:spacing w:before="0" w:after="0" w:line="276"/>
              <w:jc w:val="left"/>
            </w:pPr>
            <w:r>
              <w:rPr>
                <w:rFonts w:ascii="Calibri" w:cs="Calibri" w:eastAsia="Calibri" w:hAnsi="Calibri"/>
                <w:b w:val="false"/>
                <w:bCs w:val="false"/>
                <w:i w:val="false"/>
                <w:iCs w:val="false"/>
                <w:color w:val="444444"/>
                <w:sz w:val="18"/>
                <w:szCs w:val="18"/>
              </w:rPr>
              <w:t xml:space="preserve">Elite T20 cricketers make better decisions faster, manage risk more accurately, and execute under pressure more consistently. Pre-performance routines, pressure management, acceptable risk decision-making, and the self-awareness to back your game when it matters most.</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1D48"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05   </w:t>
            </w:r>
            <w:r>
              <w:rPr>
                <w:rFonts w:ascii="Calibri" w:cs="Calibri" w:eastAsia="Calibri" w:hAnsi="Calibri"/>
                <w:b/>
                <w:bCs/>
                <w:i w:val="false"/>
                <w:iCs w:val="false"/>
                <w:color w:val="FFFFFF"/>
                <w:sz w:val="26"/>
                <w:szCs w:val="26"/>
              </w:rPr>
              <w:t xml:space="preserve">THE ROYALS GROUP CONNECTION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Being part of the Rajasthan Royals Academy Melbourne means being connected to one of the world's most respected cricket organisations — and being visible to the people inside it who identify, develop, and elevate talent.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1D48"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001D48"/>
                <w:sz w:val="17"/>
                <w:szCs w:val="17"/>
              </w:rPr>
              <w:t xml:space="preserve">ROYALS GROUP OVERSIGHT</w:t>
            </w:r>
          </w:p>
          <w:p>
            <w:pPr>
              <w:spacing w:before="0" w:after="0" w:line="276"/>
              <w:jc w:val="left"/>
            </w:pPr>
            <w:r>
              <w:rPr>
                <w:rFonts w:ascii="Calibri" w:cs="Calibri" w:eastAsia="Calibri" w:hAnsi="Calibri"/>
                <w:b w:val="false"/>
                <w:bCs w:val="false"/>
                <w:i w:val="false"/>
                <w:iCs w:val="false"/>
                <w:color w:val="444444"/>
                <w:sz w:val="19"/>
                <w:szCs w:val="19"/>
              </w:rPr>
              <w:t xml:space="preserve">Your development is tracked through the Royals Academy Management System. Performance reviewed at the end of each phase. Royals Group coaches across Jaipur, South Africa, and Barbados can see your progress.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6AA"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1226AA"/>
                <w:sz w:val="17"/>
                <w:szCs w:val="17"/>
              </w:rPr>
              <w:t xml:space="preserve">ROYALS ECOSYSTEM ACCESS</w:t>
            </w:r>
          </w:p>
          <w:p>
            <w:pPr>
              <w:spacing w:before="0" w:after="0" w:line="276"/>
              <w:jc w:val="left"/>
            </w:pPr>
            <w:r>
              <w:rPr>
                <w:rFonts w:ascii="Calibri" w:cs="Calibri" w:eastAsia="Calibri" w:hAnsi="Calibri"/>
                <w:b w:val="false"/>
                <w:bCs w:val="false"/>
                <w:i w:val="false"/>
                <w:iCs w:val="false"/>
                <w:color w:val="444444"/>
                <w:sz w:val="19"/>
                <w:szCs w:val="19"/>
              </w:rPr>
              <w:t xml:space="preserve">From time to time, key personnel from within the Royals ecosystem — coaches, scouts, franchise players — connect with the Elite Program through online mentoring sessions and in-person visits.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E11F8F"/>
                <w:sz w:val="17"/>
                <w:szCs w:val="17"/>
              </w:rPr>
              <w:t xml:space="preserve">PERFORMANCE VISIBILITY</w:t>
            </w:r>
          </w:p>
          <w:p>
            <w:pPr>
              <w:spacing w:before="0" w:after="0" w:line="276"/>
              <w:jc w:val="left"/>
            </w:pPr>
            <w:r>
              <w:rPr>
                <w:rFonts w:ascii="Calibri" w:cs="Calibri" w:eastAsia="Calibri" w:hAnsi="Calibri"/>
                <w:b w:val="false"/>
                <w:bCs w:val="false"/>
                <w:i w:val="false"/>
                <w:iCs w:val="false"/>
                <w:color w:val="444444"/>
                <w:sz w:val="19"/>
                <w:szCs w:val="19"/>
              </w:rPr>
              <w:t xml:space="preserve">Being in the system means being seen. Your performance is visible to the people who make decisions about pathways, trials, and opportunities across the entire Royals Group.</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p>
      <w:pPr>
        <w:pBdr>
          <w:bottom w:val="single" w:color="E0E4F0" w:sz="4"/>
        </w:pBdr>
        <w:spacing w:before="60" w:after="60" w:line="276"/>
        <w:jc w:val="left"/>
      </w:pPr>
      <w:r>
        <w:rPr>
          <w:rFonts w:ascii="Calibri" w:cs="Calibri" w:eastAsia="Calibri" w:hAnsi="Calibri"/>
          <w:b w:val="false"/>
          <w:bCs w:val="false"/>
          <w:i w:val="false"/>
          <w:iCs w:val="false"/>
          <w:color w:val="444444"/>
          <w:sz w:val="20"/>
          <w:szCs w:val="20"/>
        </w:rPr>
        <w:t xml:space="preserve"/>
      </w:r>
    </w:p>
    <w:p>
      <w:pPr>
        <w:spacing w:before="80" w:after="40" w:line="276"/>
        <w:jc w:val="left"/>
      </w:pPr>
      <w:r>
        <w:rPr>
          <w:rFonts w:ascii="Calibri" w:cs="Calibri" w:eastAsia="Calibri" w:hAnsi="Calibri"/>
          <w:b/>
          <w:bCs/>
          <w:i w:val="false"/>
          <w:iCs w:val="false"/>
          <w:color w:val="001D48"/>
          <w:sz w:val="20"/>
          <w:szCs w:val="20"/>
        </w:rPr>
        <w:t xml:space="preserve">GAMES, CAMPS &amp; PATHWAY OPPORTUNITIES</w:t>
      </w:r>
    </w:p>
    <w:p>
      <w:pPr>
        <w:spacing w:before="0" w:after="80" w:line="276"/>
        <w:jc w:val="left"/>
      </w:pPr>
      <w:r>
        <w:rPr>
          <w:rFonts w:ascii="Calibri" w:cs="Calibri" w:eastAsia="Calibri" w:hAnsi="Calibri"/>
          <w:b w:val="false"/>
          <w:bCs w:val="false"/>
          <w:i/>
          <w:iCs/>
          <w:color w:val="444444"/>
          <w:sz w:val="18"/>
          <w:szCs w:val="18"/>
        </w:rPr>
        <w:t xml:space="preserve">All pathway opportunities are performance-based — earned through consistent training and match performance, not guaranteed to all participants.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8998"/>
      </w:tblGrid>
      <w:tr>
        <w:tc>
          <w:tcPr>
            <w:tcW w:type="dxa" w:w="640"/>
            <w:tcBorders>
              <w:top w:val="none" w:color="FFFFFF" w:sz="0"/>
              <w:left w:val="none" w:color="FFFFFF" w:sz="0"/>
              <w:bottom w:val="none" w:color="FFFFFF" w:sz="0"/>
              <w:right w:val="none" w:color="FFFFFF" w:sz="0"/>
            </w:tcBorders>
            <w:shd w:fill="001D48" w:val="clear"/>
            <w:tcMar>
              <w:top w:type="dxa" w:w="100"/>
              <w:left w:type="dxa" w:w="100"/>
              <w:bottom w:type="dxa" w:w="100"/>
              <w:right w:type="dxa" w:w="100"/>
            </w:tcMar>
            <w:vAlign w:val="center"/>
          </w:tcPr>
          <w:p>
            <w:pPr>
              <w:spacing w:before="0" w:after="0" w:line="276"/>
              <w:jc w:val="center"/>
            </w:pPr>
            <w:r>
              <w:rPr>
                <w:rFonts w:ascii="Calibri" w:cs="Calibri" w:eastAsia="Calibri" w:hAnsi="Calibri"/>
                <w:b/>
                <w:bCs/>
                <w:i w:val="false"/>
                <w:iCs w:val="false"/>
                <w:color w:val="FFFFFF"/>
                <w:sz w:val="40"/>
                <w:szCs w:val="40"/>
              </w:rPr>
              <w:t xml:space="preserve">01</w:t>
            </w:r>
          </w:p>
        </w:tc>
        <w:tc>
          <w:tcPr>
            <w:tcW w:type="dxa" w:w="8998"/>
            <w:tcBorders>
              <w:top w:val="single" w:color="E0E4F0" w:sz="4"/>
              <w:left w:val="single" w:color="E0E4F0" w:sz="4"/>
              <w:bottom w:val="single" w:color="E0E4F0" w:sz="4"/>
              <w:right w:val="single" w:color="E0E4F0" w:sz="4"/>
            </w:tcBorders>
            <w:shd w:fill="F4F6FB" w:val="clear"/>
            <w:tcMar>
              <w:top w:type="dxa" w:w="100"/>
              <w:left w:type="dxa" w:w="200"/>
              <w:bottom w:type="dxa" w:w="100"/>
              <w:right w:type="dxa" w:w="140"/>
            </w:tcMar>
          </w:tcPr>
          <w:p>
            <w:pPr>
              <w:spacing w:before="0" w:after="40" w:line="276"/>
              <w:jc w:val="left"/>
            </w:pPr>
            <w:r>
              <w:rPr>
                <w:rFonts w:ascii="Calibri" w:cs="Calibri" w:eastAsia="Calibri" w:hAnsi="Calibri"/>
                <w:b/>
                <w:bCs/>
                <w:i w:val="false"/>
                <w:iCs w:val="false"/>
                <w:color w:val="001D48"/>
                <w:sz w:val="20"/>
                <w:szCs w:val="20"/>
              </w:rPr>
              <w:t xml:space="preserve">Academy Match Play</w:t>
            </w:r>
          </w:p>
          <w:p>
            <w:pPr>
              <w:spacing w:before="0" w:after="40" w:line="276"/>
              <w:jc w:val="left"/>
            </w:pPr>
            <w:r>
              <w:rPr>
                <w:rFonts w:ascii="Calibri" w:cs="Calibri" w:eastAsia="Calibri" w:hAnsi="Calibri"/>
                <w:b w:val="false"/>
                <w:bCs w:val="false"/>
                <w:i w:val="false"/>
                <w:iCs w:val="false"/>
                <w:color w:val="444444"/>
                <w:sz w:val="18"/>
                <w:szCs w:val="18"/>
              </w:rPr>
              <w:t xml:space="preserve">Players who demonstrate outstanding skill development and performance may be selected to play matches for the Rajasthan Royals Academy Melbourne against external opposition — in single games or tournament play through the second half of 2026.</w:t>
            </w:r>
          </w:p>
          <w:p>
            <w:pPr>
              <w:spacing w:before="0" w:after="0" w:line="276"/>
              <w:jc w:val="left"/>
            </w:pPr>
            <w:r>
              <w:rPr>
                <w:rFonts w:ascii="Calibri" w:cs="Calibri" w:eastAsia="Calibri" w:hAnsi="Calibri"/>
                <w:b w:val="false"/>
                <w:bCs w:val="false"/>
                <w:i/>
                <w:iCs/>
                <w:color w:val="888888"/>
                <w:sz w:val="16"/>
                <w:szCs w:val="16"/>
              </w:rPr>
              <w:t xml:space="preserve">Performance-based selection</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8998"/>
      </w:tblGrid>
      <w:tr>
        <w:tc>
          <w:tcPr>
            <w:tcW w:type="dxa" w:w="640"/>
            <w:tcBorders>
              <w:top w:val="none" w:color="FFFFFF" w:sz="0"/>
              <w:left w:val="none" w:color="FFFFFF" w:sz="0"/>
              <w:bottom w:val="none" w:color="FFFFFF" w:sz="0"/>
              <w:right w:val="none" w:color="FFFFFF" w:sz="0"/>
            </w:tcBorders>
            <w:shd w:fill="1226AA" w:val="clear"/>
            <w:tcMar>
              <w:top w:type="dxa" w:w="100"/>
              <w:left w:type="dxa" w:w="100"/>
              <w:bottom w:type="dxa" w:w="100"/>
              <w:right w:type="dxa" w:w="100"/>
            </w:tcMar>
            <w:vAlign w:val="center"/>
          </w:tcPr>
          <w:p>
            <w:pPr>
              <w:spacing w:before="0" w:after="0" w:line="276"/>
              <w:jc w:val="center"/>
            </w:pPr>
            <w:r>
              <w:rPr>
                <w:rFonts w:ascii="Calibri" w:cs="Calibri" w:eastAsia="Calibri" w:hAnsi="Calibri"/>
                <w:b/>
                <w:bCs/>
                <w:i w:val="false"/>
                <w:iCs w:val="false"/>
                <w:color w:val="FFFFFF"/>
                <w:sz w:val="40"/>
                <w:szCs w:val="40"/>
              </w:rPr>
              <w:t xml:space="preserve">02</w:t>
            </w:r>
          </w:p>
        </w:tc>
        <w:tc>
          <w:tcPr>
            <w:tcW w:type="dxa" w:w="8998"/>
            <w:tcBorders>
              <w:top w:val="single" w:color="E0E4F0" w:sz="4"/>
              <w:left w:val="single" w:color="E0E4F0" w:sz="4"/>
              <w:bottom w:val="single" w:color="E0E4F0" w:sz="4"/>
              <w:right w:val="single" w:color="E0E4F0" w:sz="4"/>
            </w:tcBorders>
            <w:shd w:fill="F4F6FB" w:val="clear"/>
            <w:tcMar>
              <w:top w:type="dxa" w:w="100"/>
              <w:left w:type="dxa" w:w="200"/>
              <w:bottom w:type="dxa" w:w="100"/>
              <w:right w:type="dxa" w:w="140"/>
            </w:tcMar>
          </w:tcPr>
          <w:p>
            <w:pPr>
              <w:spacing w:before="0" w:after="40" w:line="276"/>
              <w:jc w:val="left"/>
            </w:pPr>
            <w:r>
              <w:rPr>
                <w:rFonts w:ascii="Calibri" w:cs="Calibri" w:eastAsia="Calibri" w:hAnsi="Calibri"/>
                <w:b/>
                <w:bCs/>
                <w:i w:val="false"/>
                <w:iCs w:val="false"/>
                <w:color w:val="001D48"/>
                <w:sz w:val="20"/>
                <w:szCs w:val="20"/>
              </w:rPr>
              <w:t xml:space="preserve">Royals High Performance Centre — Jaipur, India</w:t>
            </w:r>
          </w:p>
          <w:p>
            <w:pPr>
              <w:spacing w:before="0" w:after="40" w:line="276"/>
              <w:jc w:val="left"/>
            </w:pPr>
            <w:r>
              <w:rPr>
                <w:rFonts w:ascii="Calibri" w:cs="Calibri" w:eastAsia="Calibri" w:hAnsi="Calibri"/>
                <w:b w:val="false"/>
                <w:bCs w:val="false"/>
                <w:i w:val="false"/>
                <w:iCs w:val="false"/>
                <w:color w:val="444444"/>
                <w:sz w:val="18"/>
                <w:szCs w:val="18"/>
              </w:rPr>
              <w:t xml:space="preserve">Each year, talented cricketers from the Elite Program may be invited to the Rajasthan Royals High Performance Centre in Jaipur, India — developing in a different cricketing environment with Royals Jaipur-based coaching staff.</w:t>
            </w:r>
          </w:p>
          <w:p>
            <w:pPr>
              <w:spacing w:before="0" w:after="0" w:line="276"/>
              <w:jc w:val="left"/>
            </w:pPr>
            <w:r>
              <w:rPr>
                <w:rFonts w:ascii="Calibri" w:cs="Calibri" w:eastAsia="Calibri" w:hAnsi="Calibri"/>
                <w:b w:val="false"/>
                <w:bCs w:val="false"/>
                <w:i/>
                <w:iCs/>
                <w:color w:val="888888"/>
                <w:sz w:val="16"/>
                <w:szCs w:val="16"/>
              </w:rPr>
              <w:t xml:space="preserve">By invitation — performance-based</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0"/>
        <w:gridCol w:w="8998"/>
      </w:tblGrid>
      <w:tr>
        <w:tc>
          <w:tcPr>
            <w:tcW w:type="dxa" w:w="640"/>
            <w:tcBorders>
              <w:top w:val="none" w:color="FFFFFF" w:sz="0"/>
              <w:left w:val="none" w:color="FFFFFF" w:sz="0"/>
              <w:bottom w:val="none" w:color="FFFFFF" w:sz="0"/>
              <w:right w:val="none" w:color="FFFFFF" w:sz="0"/>
            </w:tcBorders>
            <w:shd w:fill="E11F8F" w:val="clear"/>
            <w:tcMar>
              <w:top w:type="dxa" w:w="100"/>
              <w:left w:type="dxa" w:w="100"/>
              <w:bottom w:type="dxa" w:w="100"/>
              <w:right w:type="dxa" w:w="100"/>
            </w:tcMar>
            <w:vAlign w:val="center"/>
          </w:tcPr>
          <w:p>
            <w:pPr>
              <w:spacing w:before="0" w:after="0" w:line="276"/>
              <w:jc w:val="center"/>
            </w:pPr>
            <w:r>
              <w:rPr>
                <w:rFonts w:ascii="Calibri" w:cs="Calibri" w:eastAsia="Calibri" w:hAnsi="Calibri"/>
                <w:b/>
                <w:bCs/>
                <w:i w:val="false"/>
                <w:iCs w:val="false"/>
                <w:color w:val="FFFFFF"/>
                <w:sz w:val="40"/>
                <w:szCs w:val="40"/>
              </w:rPr>
              <w:t xml:space="preserve">03</w:t>
            </w:r>
          </w:p>
        </w:tc>
        <w:tc>
          <w:tcPr>
            <w:tcW w:type="dxa" w:w="8998"/>
            <w:tcBorders>
              <w:top w:val="single" w:color="E0E4F0" w:sz="4"/>
              <w:left w:val="single" w:color="E0E4F0" w:sz="4"/>
              <w:bottom w:val="single" w:color="E0E4F0" w:sz="4"/>
              <w:right w:val="single" w:color="E0E4F0" w:sz="4"/>
            </w:tcBorders>
            <w:shd w:fill="F4F6FB" w:val="clear"/>
            <w:tcMar>
              <w:top w:type="dxa" w:w="100"/>
              <w:left w:type="dxa" w:w="200"/>
              <w:bottom w:type="dxa" w:w="100"/>
              <w:right w:type="dxa" w:w="140"/>
            </w:tcMar>
          </w:tcPr>
          <w:p>
            <w:pPr>
              <w:spacing w:before="0" w:after="40" w:line="276"/>
              <w:jc w:val="left"/>
            </w:pPr>
            <w:r>
              <w:rPr>
                <w:rFonts w:ascii="Calibri" w:cs="Calibri" w:eastAsia="Calibri" w:hAnsi="Calibri"/>
                <w:b/>
                <w:bCs/>
                <w:i w:val="false"/>
                <w:iCs w:val="false"/>
                <w:color w:val="001D48"/>
                <w:sz w:val="20"/>
                <w:szCs w:val="20"/>
              </w:rPr>
              <w:t xml:space="preserve">Franchise Trial Opportunities</w:t>
            </w:r>
          </w:p>
          <w:p>
            <w:pPr>
              <w:spacing w:before="0" w:after="40" w:line="276"/>
              <w:jc w:val="left"/>
            </w:pPr>
            <w:r>
              <w:rPr>
                <w:rFonts w:ascii="Calibri" w:cs="Calibri" w:eastAsia="Calibri" w:hAnsi="Calibri"/>
                <w:b w:val="false"/>
                <w:bCs w:val="false"/>
                <w:i w:val="false"/>
                <w:iCs w:val="false"/>
                <w:color w:val="444444"/>
                <w:sz w:val="18"/>
                <w:szCs w:val="18"/>
              </w:rPr>
              <w:t xml:space="preserve">Elite players who show exceptional development and growth may be offered opportunities to trial with Rajasthan Royals, Paarl Royals, or Barbados Royals. Every player in the Elite Program is visible to the people who make those decisions.</w:t>
            </w:r>
          </w:p>
          <w:p>
            <w:pPr>
              <w:spacing w:before="0" w:after="0" w:line="276"/>
              <w:jc w:val="left"/>
            </w:pPr>
            <w:r>
              <w:rPr>
                <w:rFonts w:ascii="Calibri" w:cs="Calibri" w:eastAsia="Calibri" w:hAnsi="Calibri"/>
                <w:b w:val="false"/>
                <w:bCs w:val="false"/>
                <w:i/>
                <w:iCs/>
                <w:color w:val="888888"/>
                <w:sz w:val="16"/>
                <w:szCs w:val="16"/>
              </w:rPr>
              <w:t xml:space="preserve">By invitation — exceptional performance only</w:t>
            </w:r>
          </w:p>
        </w:tc>
      </w:tr>
    </w:tbl>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26AA"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06   </w:t>
            </w:r>
            <w:r>
              <w:rPr>
                <w:rFonts w:ascii="Calibri" w:cs="Calibri" w:eastAsia="Calibri" w:hAnsi="Calibri"/>
                <w:b/>
                <w:bCs/>
                <w:i w:val="false"/>
                <w:iCs w:val="false"/>
                <w:color w:val="FFFFFF"/>
                <w:sz w:val="26"/>
                <w:szCs w:val="26"/>
              </w:rPr>
              <w:t xml:space="preserve">CRICKET LEADERSHIP TEAM</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The Elite Program is led by a coaching group with direct Royals Group connection, Premier Cricket pathway experience, and formal accreditation through the official Royals Coaching 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1D48" w:sz="20"/>
              <w:bottom w:val="none" w:color="FFFFFF" w:sz="0"/>
              <w:right w:val="none" w:color="FFFFFF" w:sz="0"/>
            </w:tcBorders>
            <w:shd w:fill="F4F6FB" w:val="clear"/>
            <w:tcMar>
              <w:top w:type="dxa" w:w="120"/>
              <w:left w:type="dxa" w:w="200"/>
              <w:bottom w:type="dxa" w:w="120"/>
              <w:right w:type="dxa" w:w="160"/>
            </w:tcMar>
          </w:tcPr>
          <w:p>
            <w:pPr>
              <w:spacing w:before="0" w:after="30" w:line="276"/>
              <w:jc w:val="left"/>
            </w:pPr>
            <w:r>
              <w:rPr>
                <w:rFonts w:ascii="Calibri" w:cs="Calibri" w:eastAsia="Calibri" w:hAnsi="Calibri"/>
                <w:b/>
                <w:bCs/>
                <w:i w:val="false"/>
                <w:iCs w:val="false"/>
                <w:color w:val="001D48"/>
                <w:sz w:val="24"/>
                <w:szCs w:val="24"/>
              </w:rPr>
              <w:t xml:space="preserve">Siddhartha Lahiri</w:t>
            </w:r>
          </w:p>
          <w:p>
            <w:pPr>
              <w:spacing w:before="0" w:after="60" w:line="276"/>
              <w:jc w:val="left"/>
            </w:pPr>
            <w:r>
              <w:rPr>
                <w:rFonts w:ascii="Calibri" w:cs="Calibri" w:eastAsia="Calibri" w:hAnsi="Calibri"/>
                <w:b/>
                <w:bCs/>
                <w:i w:val="false"/>
                <w:iCs w:val="false"/>
                <w:color w:val="E11F8F"/>
                <w:sz w:val="17"/>
                <w:szCs w:val="17"/>
              </w:rPr>
              <w:t xml:space="preserve">Head of International Player Development, Royals Group</w:t>
            </w:r>
          </w:p>
          <w:p>
            <w:pPr>
              <w:spacing w:before="0" w:after="0" w:line="276"/>
              <w:jc w:val="left"/>
            </w:pPr>
            <w:r>
              <w:rPr>
                <w:rFonts w:ascii="Calibri" w:cs="Calibri" w:eastAsia="Calibri" w:hAnsi="Calibri"/>
                <w:b w:val="false"/>
                <w:bCs w:val="false"/>
                <w:i w:val="false"/>
                <w:iCs w:val="false"/>
                <w:color w:val="444444"/>
                <w:sz w:val="18"/>
                <w:szCs w:val="18"/>
              </w:rPr>
              <w:t xml:space="preserve">Siddhartha leads player development strategy across the entire Royals Group — Rajasthan Royals (IPL), Paarl Royals (SA20), and Barbados Royals (CPL). He oversees the assessment framework and connects the Melbourne program directly to the global Royals network.</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6AA" w:sz="20"/>
              <w:bottom w:val="none" w:color="FFFFFF" w:sz="0"/>
              <w:right w:val="none" w:color="FFFFFF" w:sz="0"/>
            </w:tcBorders>
            <w:shd w:fill="F4F6FB" w:val="clear"/>
            <w:tcMar>
              <w:top w:type="dxa" w:w="120"/>
              <w:left w:type="dxa" w:w="200"/>
              <w:bottom w:type="dxa" w:w="120"/>
              <w:right w:type="dxa" w:w="160"/>
            </w:tcMar>
          </w:tcPr>
          <w:p>
            <w:pPr>
              <w:spacing w:before="0" w:after="30" w:line="276"/>
              <w:jc w:val="left"/>
            </w:pPr>
            <w:r>
              <w:rPr>
                <w:rFonts w:ascii="Calibri" w:cs="Calibri" w:eastAsia="Calibri" w:hAnsi="Calibri"/>
                <w:b/>
                <w:bCs/>
                <w:i w:val="false"/>
                <w:iCs w:val="false"/>
                <w:color w:val="001D48"/>
                <w:sz w:val="24"/>
                <w:szCs w:val="24"/>
              </w:rPr>
              <w:t xml:space="preserve">Andy Crook</w:t>
            </w:r>
          </w:p>
          <w:p>
            <w:pPr>
              <w:spacing w:before="0" w:after="60" w:line="276"/>
              <w:jc w:val="left"/>
            </w:pPr>
            <w:r>
              <w:rPr>
                <w:rFonts w:ascii="Calibri" w:cs="Calibri" w:eastAsia="Calibri" w:hAnsi="Calibri"/>
                <w:b/>
                <w:bCs/>
                <w:i w:val="false"/>
                <w:iCs w:val="false"/>
                <w:color w:val="1226AA"/>
                <w:sz w:val="17"/>
                <w:szCs w:val="17"/>
              </w:rPr>
              <w:t xml:space="preserve">Managing Director, Rajasthan Royals Academy Australia</w:t>
            </w:r>
          </w:p>
          <w:p>
            <w:pPr>
              <w:spacing w:before="0" w:after="0" w:line="276"/>
              <w:jc w:val="left"/>
            </w:pPr>
            <w:r>
              <w:rPr>
                <w:rFonts w:ascii="Calibri" w:cs="Calibri" w:eastAsia="Calibri" w:hAnsi="Calibri"/>
                <w:b w:val="false"/>
                <w:bCs w:val="false"/>
                <w:i w:val="false"/>
                <w:iCs w:val="false"/>
                <w:color w:val="444444"/>
                <w:sz w:val="18"/>
                <w:szCs w:val="18"/>
              </w:rPr>
              <w:t xml:space="preserve">Andy leads the operations and strategic direction of the Rajasthan Royals Academy across Australia. He brings extensive experience in elite player development, coaching systems design, and connecting emerging talent to professional pathways.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1D48" w:sz="20"/>
              <w:bottom w:val="none" w:color="FFFFFF" w:sz="0"/>
              <w:right w:val="none" w:color="FFFFFF" w:sz="0"/>
            </w:tcBorders>
            <w:shd w:fill="F4F6FB" w:val="clear"/>
            <w:tcMar>
              <w:top w:type="dxa" w:w="120"/>
              <w:left w:type="dxa" w:w="200"/>
              <w:bottom w:type="dxa" w:w="120"/>
              <w:right w:type="dxa" w:w="160"/>
            </w:tcMar>
          </w:tcPr>
          <w:p>
            <w:pPr>
              <w:spacing w:before="0" w:after="30" w:line="276"/>
              <w:jc w:val="left"/>
            </w:pPr>
            <w:r>
              <w:rPr>
                <w:rFonts w:ascii="Calibri" w:cs="Calibri" w:eastAsia="Calibri" w:hAnsi="Calibri"/>
                <w:b/>
                <w:bCs/>
                <w:i w:val="false"/>
                <w:iCs w:val="false"/>
                <w:color w:val="001D48"/>
                <w:sz w:val="24"/>
                <w:szCs w:val="24"/>
              </w:rPr>
              <w:t xml:space="preserve">Steven Crook</w:t>
            </w:r>
          </w:p>
          <w:p>
            <w:pPr>
              <w:spacing w:before="0" w:after="60" w:line="276"/>
              <w:jc w:val="left"/>
            </w:pPr>
            <w:r>
              <w:rPr>
                <w:rFonts w:ascii="Calibri" w:cs="Calibri" w:eastAsia="Calibri" w:hAnsi="Calibri"/>
                <w:b/>
                <w:bCs/>
                <w:i w:val="false"/>
                <w:iCs w:val="false"/>
                <w:color w:val="E11F8F"/>
                <w:sz w:val="17"/>
                <w:szCs w:val="17"/>
              </w:rPr>
              <w:t xml:space="preserve">Director of Talent, Rajasthan Royals Academy Australia</w:t>
            </w:r>
          </w:p>
          <w:p>
            <w:pPr>
              <w:spacing w:before="0" w:after="0" w:line="276"/>
              <w:jc w:val="left"/>
            </w:pPr>
            <w:r>
              <w:rPr>
                <w:rFonts w:ascii="Calibri" w:cs="Calibri" w:eastAsia="Calibri" w:hAnsi="Calibri"/>
                <w:b w:val="false"/>
                <w:bCs w:val="false"/>
                <w:i w:val="false"/>
                <w:iCs w:val="false"/>
                <w:color w:val="444444"/>
                <w:sz w:val="18"/>
                <w:szCs w:val="18"/>
              </w:rPr>
              <w:t xml:space="preserve">Steven brings 330+ professional matches and two T20 Blast titles to his role leading talent identification. His playing career across Lancashire, Middlesex, and Northamptonshire gives him direct understanding of what it takes to develop and perform at elite level.</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6AA" w:sz="20"/>
              <w:bottom w:val="none" w:color="FFFFFF" w:sz="0"/>
              <w:right w:val="none" w:color="FFFFFF" w:sz="0"/>
            </w:tcBorders>
            <w:shd w:fill="F4F6FB" w:val="clear"/>
            <w:tcMar>
              <w:top w:type="dxa" w:w="120"/>
              <w:left w:type="dxa" w:w="200"/>
              <w:bottom w:type="dxa" w:w="120"/>
              <w:right w:type="dxa" w:w="160"/>
            </w:tcMar>
          </w:tcPr>
          <w:p>
            <w:pPr>
              <w:spacing w:before="0" w:after="30" w:line="276"/>
              <w:jc w:val="left"/>
            </w:pPr>
            <w:r>
              <w:rPr>
                <w:rFonts w:ascii="Calibri" w:cs="Calibri" w:eastAsia="Calibri" w:hAnsi="Calibri"/>
                <w:b/>
                <w:bCs/>
                <w:i w:val="false"/>
                <w:iCs w:val="false"/>
                <w:color w:val="001D48"/>
                <w:sz w:val="24"/>
                <w:szCs w:val="24"/>
              </w:rPr>
              <w:t xml:space="preserve">Alex Lewis</w:t>
            </w:r>
          </w:p>
          <w:p>
            <w:pPr>
              <w:spacing w:before="0" w:after="60" w:line="276"/>
              <w:jc w:val="left"/>
            </w:pPr>
            <w:r>
              <w:rPr>
                <w:rFonts w:ascii="Calibri" w:cs="Calibri" w:eastAsia="Calibri" w:hAnsi="Calibri"/>
                <w:b/>
                <w:bCs/>
                <w:i w:val="false"/>
                <w:iCs w:val="false"/>
                <w:color w:val="1226AA"/>
                <w:sz w:val="17"/>
                <w:szCs w:val="17"/>
              </w:rPr>
              <w:t xml:space="preserve">Head Coach — Elite Program</w:t>
            </w:r>
          </w:p>
          <w:p>
            <w:pPr>
              <w:spacing w:before="0" w:after="0" w:line="276"/>
              <w:jc w:val="left"/>
            </w:pPr>
            <w:r>
              <w:rPr>
                <w:rFonts w:ascii="Calibri" w:cs="Calibri" w:eastAsia="Calibri" w:hAnsi="Calibri"/>
                <w:b w:val="false"/>
                <w:bCs w:val="false"/>
                <w:i w:val="false"/>
                <w:iCs w:val="false"/>
                <w:color w:val="444444"/>
                <w:sz w:val="18"/>
                <w:szCs w:val="18"/>
              </w:rPr>
              <w:t xml:space="preserve">Alex has 20+ years of experience producing players for Premier Cricket and the representative pathway. As Head Coach, Alex leads day-to-day coaching operations, squad allocation, and the development of every player in the program.</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p>
      <w:pPr>
        <w:pBdr>
          <w:bottom w:val="single" w:color="E0E4F0" w:sz="4"/>
        </w:pBdr>
        <w:spacing w:before="60" w:after="60" w:line="276"/>
        <w:jc w:val="left"/>
      </w:pPr>
      <w:r>
        <w:rPr>
          <w:rFonts w:ascii="Calibri" w:cs="Calibri" w:eastAsia="Calibri" w:hAnsi="Calibri"/>
          <w:b w:val="false"/>
          <w:bCs w:val="false"/>
          <w:i w:val="false"/>
          <w:iCs w:val="false"/>
          <w:color w:val="444444"/>
          <w:sz w:val="20"/>
          <w:szCs w:val="20"/>
        </w:rPr>
        <w:t xml:space="preserve"/>
      </w:r>
    </w:p>
    <w:p>
      <w:pPr>
        <w:spacing w:before="60" w:after="40" w:line="276"/>
        <w:jc w:val="left"/>
      </w:pPr>
      <w:r>
        <w:rPr>
          <w:rFonts w:ascii="Calibri" w:cs="Calibri" w:eastAsia="Calibri" w:hAnsi="Calibri"/>
          <w:b/>
          <w:bCs/>
          <w:i w:val="false"/>
          <w:iCs w:val="false"/>
          <w:color w:val="001D48"/>
          <w:sz w:val="18"/>
          <w:szCs w:val="18"/>
        </w:rPr>
        <w:t xml:space="preserve">COACHING STRUCTURE</w:t>
      </w:r>
    </w:p>
    <w:p>
      <w:pPr>
        <w:spacing w:before="0" w:after="40" w:line="276"/>
        <w:jc w:val="left"/>
      </w:pPr>
      <w:r>
        <w:rPr>
          <w:rFonts w:ascii="Calibri" w:cs="Calibri" w:eastAsia="Calibri" w:hAnsi="Calibri"/>
          <w:b/>
          <w:bCs/>
          <w:i w:val="false"/>
          <w:iCs w:val="false"/>
          <w:color w:val="001D48"/>
          <w:sz w:val="18"/>
          <w:szCs w:val="18"/>
        </w:rPr>
        <w:t xml:space="preserve">Head Coach</w:t>
      </w:r>
      <w:r>
        <w:rPr>
          <w:rFonts w:ascii="Calibri" w:cs="Calibri" w:eastAsia="Calibri" w:hAnsi="Calibri"/>
          <w:b w:val="false"/>
          <w:bCs w:val="false"/>
          <w:i w:val="false"/>
          <w:iCs w:val="false"/>
          <w:color w:val="444444"/>
          <w:sz w:val="18"/>
          <w:szCs w:val="18"/>
        </w:rPr>
        <w:t xml:space="preserve">  →  Squad Coach  →  Assistant Coach  →  Sessional Coach  →  Specialist Coach  →  Mentor Coach</w:t>
      </w:r>
    </w:p>
    <w:p>
      <w:pPr>
        <w:spacing w:before="0" w:after="40" w:line="276"/>
        <w:jc w:val="left"/>
      </w:pPr>
      <w:r>
        <w:rPr>
          <w:rFonts w:ascii="Calibri" w:cs="Calibri" w:eastAsia="Calibri" w:hAnsi="Calibri"/>
          <w:b w:val="false"/>
          <w:bCs w:val="false"/>
          <w:i/>
          <w:iCs/>
          <w:color w:val="444444"/>
          <w:sz w:val="18"/>
          <w:szCs w:val="18"/>
        </w:rPr>
        <w:t xml:space="preserve">All coaches are accredited through the official Royals Coaching Hub. Our coaching philosophy: teach the "how" and the "why", not just the "what."</w:t>
      </w:r>
    </w:p>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E11F8F"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07   </w:t>
            </w:r>
            <w:r>
              <w:rPr>
                <w:rFonts w:ascii="Calibri" w:cs="Calibri" w:eastAsia="Calibri" w:hAnsi="Calibri"/>
                <w:b/>
                <w:bCs/>
                <w:i w:val="false"/>
                <w:iCs w:val="false"/>
                <w:color w:val="FFFFFF"/>
                <w:sz w:val="26"/>
                <w:szCs w:val="26"/>
              </w:rPr>
              <w:t xml:space="preserve">THE ROYALS WAY</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Cricket is a vehicle to shape confident, curious, resilient people. The Royals Way is a living philosophy that guides how we scout, coach, play, learn, and lead — from backyard to stadium.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1.  </w:t>
            </w:r>
            <w:r>
              <w:rPr>
                <w:rFonts w:ascii="Calibri" w:cs="Calibri" w:eastAsia="Calibri" w:hAnsi="Calibri"/>
                <w:b/>
                <w:bCs/>
                <w:i w:val="false"/>
                <w:iCs w:val="false"/>
                <w:color w:val="001D48"/>
                <w:sz w:val="19"/>
                <w:szCs w:val="19"/>
              </w:rPr>
              <w:t xml:space="preserve">Talent First — Discover · Back · Elevate  </w:t>
            </w:r>
            <w:r>
              <w:rPr>
                <w:rFonts w:ascii="Calibri" w:cs="Calibri" w:eastAsia="Calibri" w:hAnsi="Calibri"/>
                <w:b w:val="false"/>
                <w:bCs w:val="false"/>
                <w:i w:val="false"/>
                <w:iCs w:val="false"/>
                <w:color w:val="444444"/>
                <w:sz w:val="18"/>
                <w:szCs w:val="18"/>
              </w:rPr>
              <w:t xml:space="preserve">— We identify potential before it's obvious and invest early. Selection skews toward growth, not pedigree. We stretch, then support.</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2.  </w:t>
            </w:r>
            <w:r>
              <w:rPr>
                <w:rFonts w:ascii="Calibri" w:cs="Calibri" w:eastAsia="Calibri" w:hAnsi="Calibri"/>
                <w:b/>
                <w:bCs/>
                <w:i w:val="false"/>
                <w:iCs w:val="false"/>
                <w:color w:val="001D48"/>
                <w:sz w:val="19"/>
                <w:szCs w:val="19"/>
              </w:rPr>
              <w:t xml:space="preserve">Play the Future — Lead with Innovation  </w:t>
            </w:r>
            <w:r>
              <w:rPr>
                <w:rFonts w:ascii="Calibri" w:cs="Calibri" w:eastAsia="Calibri" w:hAnsi="Calibri"/>
                <w:b w:val="false"/>
                <w:bCs w:val="false"/>
                <w:i w:val="false"/>
                <w:iCs w:val="false"/>
                <w:color w:val="444444"/>
                <w:sz w:val="18"/>
                <w:szCs w:val="18"/>
              </w:rPr>
              <w:t xml:space="preserve">— Technology and data inform decisions, not replace judgment. Short learning cycles. Evidence-led coaching calls.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3.  </w:t>
            </w:r>
            <w:r>
              <w:rPr>
                <w:rFonts w:ascii="Calibri" w:cs="Calibri" w:eastAsia="Calibri" w:hAnsi="Calibri"/>
                <w:b/>
                <w:bCs/>
                <w:i w:val="false"/>
                <w:iCs w:val="false"/>
                <w:color w:val="001D48"/>
                <w:sz w:val="19"/>
                <w:szCs w:val="19"/>
              </w:rPr>
              <w:t xml:space="preserve">Learn by Doing — Context over Theory  </w:t>
            </w:r>
            <w:r>
              <w:rPr>
                <w:rFonts w:ascii="Calibri" w:cs="Calibri" w:eastAsia="Calibri" w:hAnsi="Calibri"/>
                <w:b w:val="false"/>
                <w:bCs w:val="false"/>
                <w:i w:val="false"/>
                <w:iCs w:val="false"/>
                <w:color w:val="444444"/>
                <w:sz w:val="18"/>
                <w:szCs w:val="18"/>
              </w:rPr>
              <w:t xml:space="preserve">— Skills forged in match simulations and scenarios. Leadership practiced, not preached. Mistake → Lesson → Adjustment.</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4.  </w:t>
            </w:r>
            <w:r>
              <w:rPr>
                <w:rFonts w:ascii="Calibri" w:cs="Calibri" w:eastAsia="Calibri" w:hAnsi="Calibri"/>
                <w:b/>
                <w:bCs/>
                <w:i w:val="false"/>
                <w:iCs w:val="false"/>
                <w:color w:val="001D48"/>
                <w:sz w:val="19"/>
                <w:szCs w:val="19"/>
              </w:rPr>
              <w:t xml:space="preserve">Play Bold — Courage is Trainable  </w:t>
            </w:r>
            <w:r>
              <w:rPr>
                <w:rFonts w:ascii="Calibri" w:cs="Calibri" w:eastAsia="Calibri" w:hAnsi="Calibri"/>
                <w:b w:val="false"/>
                <w:bCs w:val="false"/>
                <w:i w:val="false"/>
                <w:iCs w:val="false"/>
                <w:color w:val="444444"/>
                <w:sz w:val="18"/>
                <w:szCs w:val="18"/>
              </w:rPr>
              <w:t xml:space="preserve">— We reward intent and intelligent risk. Confidence built through preparation and trust. Options created, not just outcomes.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5.  </w:t>
            </w:r>
            <w:r>
              <w:rPr>
                <w:rFonts w:ascii="Calibri" w:cs="Calibri" w:eastAsia="Calibri" w:hAnsi="Calibri"/>
                <w:b/>
                <w:bCs/>
                <w:i w:val="false"/>
                <w:iCs w:val="false"/>
                <w:color w:val="001D48"/>
                <w:sz w:val="19"/>
                <w:szCs w:val="19"/>
              </w:rPr>
              <w:t xml:space="preserve">Joy, Curiosity &amp; Lifelong Learning  </w:t>
            </w:r>
            <w:r>
              <w:rPr>
                <w:rFonts w:ascii="Calibri" w:cs="Calibri" w:eastAsia="Calibri" w:hAnsi="Calibri"/>
                <w:b w:val="false"/>
                <w:bCs w:val="false"/>
                <w:i w:val="false"/>
                <w:iCs w:val="false"/>
                <w:color w:val="444444"/>
                <w:sz w:val="18"/>
                <w:szCs w:val="18"/>
              </w:rPr>
              <w:t xml:space="preserve">— Keep the game fun, the mind open. Cross-learning broadens game intelligence. Coaches stay students first.</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6.  </w:t>
            </w:r>
            <w:r>
              <w:rPr>
                <w:rFonts w:ascii="Calibri" w:cs="Calibri" w:eastAsia="Calibri" w:hAnsi="Calibri"/>
                <w:b/>
                <w:bCs/>
                <w:i w:val="false"/>
                <w:iCs w:val="false"/>
                <w:color w:val="001D48"/>
                <w:sz w:val="19"/>
                <w:szCs w:val="19"/>
              </w:rPr>
              <w:t xml:space="preserve">Holistic Development — The Whole Person  </w:t>
            </w:r>
            <w:r>
              <w:rPr>
                <w:rFonts w:ascii="Calibri" w:cs="Calibri" w:eastAsia="Calibri" w:hAnsi="Calibri"/>
                <w:b w:val="false"/>
                <w:bCs w:val="false"/>
                <w:i w:val="false"/>
                <w:iCs w:val="false"/>
                <w:color w:val="444444"/>
                <w:sz w:val="18"/>
                <w:szCs w:val="18"/>
              </w:rPr>
              <w:t xml:space="preserve">— Performance = Skills × Fitness × Mindset × Recovery × Life. Nutrition, sleep, mental skills, character.</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E4F0" w:sz="4"/>
              <w:left w:val="single" w:color="E0E4F0" w:sz="4"/>
              <w:bottom w:val="single" w:color="E0E4F0" w:sz="4"/>
              <w:right w:val="single" w:color="E0E4F0" w:sz="4"/>
            </w:tcBorders>
            <w:shd w:fill="F4F6FB" w:val="clear"/>
            <w:tcMar>
              <w:top w:type="dxa" w:w="80"/>
              <w:left w:type="dxa" w:w="180"/>
              <w:bottom w:type="dxa" w:w="80"/>
              <w:right w:type="dxa" w:w="140"/>
            </w:tcMar>
          </w:tcPr>
          <w:p>
            <w:pPr>
              <w:spacing w:before="0" w:after="0" w:line="276"/>
              <w:jc w:val="left"/>
            </w:pPr>
            <w:r>
              <w:rPr>
                <w:rFonts w:ascii="Calibri" w:cs="Calibri" w:eastAsia="Calibri" w:hAnsi="Calibri"/>
                <w:b/>
                <w:bCs/>
                <w:i w:val="false"/>
                <w:iCs w:val="false"/>
                <w:color w:val="C8D0E8"/>
                <w:sz w:val="22"/>
                <w:szCs w:val="22"/>
              </w:rPr>
              <w:t xml:space="preserve">7.  </w:t>
            </w:r>
            <w:r>
              <w:rPr>
                <w:rFonts w:ascii="Calibri" w:cs="Calibri" w:eastAsia="Calibri" w:hAnsi="Calibri"/>
                <w:b/>
                <w:bCs/>
                <w:i w:val="false"/>
                <w:iCs w:val="false"/>
                <w:color w:val="001D48"/>
                <w:sz w:val="19"/>
                <w:szCs w:val="19"/>
              </w:rPr>
              <w:t xml:space="preserve">Fairness &amp; Inclusion — Respect is Non-Negotiable  </w:t>
            </w:r>
            <w:r>
              <w:rPr>
                <w:rFonts w:ascii="Calibri" w:cs="Calibri" w:eastAsia="Calibri" w:hAnsi="Calibri"/>
                <w:b w:val="false"/>
                <w:bCs w:val="false"/>
                <w:i w:val="false"/>
                <w:iCs w:val="false"/>
                <w:color w:val="444444"/>
                <w:sz w:val="18"/>
                <w:szCs w:val="18"/>
              </w:rPr>
              <w:t xml:space="preserve">— Every learner gets dignity of attention. No favourites. Diverse backgrounds make us better and braver. Great coaching creates great people.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40" w:line="276"/>
              <w:jc w:val="center"/>
            </w:pPr>
            <w:r>
              <w:rPr>
                <w:rFonts w:ascii="Calibri" w:cs="Calibri" w:eastAsia="Calibri" w:hAnsi="Calibri"/>
                <w:b/>
                <w:bCs/>
                <w:i/>
                <w:iCs/>
                <w:color w:val="FFFFFF"/>
                <w:sz w:val="20"/>
                <w:szCs w:val="20"/>
              </w:rPr>
              <w:t xml:space="preserve">"We don't wait for the finished product — we back talent early and teach boldly. We value courage over comfort, curiosity over ego, and joy over jargon."</w:t>
            </w:r>
          </w:p>
          <w:p>
            <w:pPr>
              <w:spacing w:before="0" w:after="0" w:line="276"/>
              <w:jc w:val="center"/>
            </w:pPr>
            <w:r>
              <w:rPr>
                <w:rFonts w:ascii="Calibri" w:cs="Calibri" w:eastAsia="Calibri" w:hAnsi="Calibri"/>
                <w:b/>
                <w:bCs/>
                <w:i w:val="false"/>
                <w:iCs w:val="false"/>
                <w:color w:val="E11F8F"/>
                <w:sz w:val="16"/>
                <w:szCs w:val="16"/>
              </w:rPr>
              <w:t xml:space="preserve">— THE ROYALS WAY</w:t>
            </w:r>
          </w:p>
        </w:tc>
      </w:tr>
    </w:tbl>
    <w:p>
      <w:r>
        <w:br/>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001D48" w:val="clear"/>
            <w:tcMar>
              <w:top w:type="dxa" w:w="120"/>
              <w:left w:type="dxa" w:w="240"/>
              <w:bottom w:type="dxa" w:w="120"/>
              <w:right w:type="dxa" w:w="240"/>
            </w:tcMar>
          </w:tcPr>
          <w:p>
            <w:pPr>
              <w:spacing w:before="0" w:after="0" w:line="276"/>
              <w:jc w:val="left"/>
            </w:pPr>
            <w:r>
              <w:rPr>
                <w:rFonts w:ascii="Calibri" w:cs="Calibri" w:eastAsia="Calibri" w:hAnsi="Calibri"/>
                <w:b w:val="false"/>
                <w:bCs w:val="false"/>
                <w:i w:val="false"/>
                <w:iCs w:val="false"/>
                <w:color w:val="AABBDD"/>
                <w:sz w:val="15"/>
                <w:szCs w:val="15"/>
              </w:rPr>
              <w:t xml:space="preserve">08   </w:t>
            </w:r>
            <w:r>
              <w:rPr>
                <w:rFonts w:ascii="Calibri" w:cs="Calibri" w:eastAsia="Calibri" w:hAnsi="Calibri"/>
                <w:b/>
                <w:bCs/>
                <w:i w:val="false"/>
                <w:iCs w:val="false"/>
                <w:color w:val="FFFFFF"/>
                <w:sz w:val="26"/>
                <w:szCs w:val="26"/>
              </w:rPr>
              <w:t xml:space="preserve">BEYOND THE 12 WEEKS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40" w:after="80" w:line="276"/>
        <w:jc w:val="left"/>
      </w:pPr>
      <w:r>
        <w:rPr>
          <w:rFonts w:ascii="Calibri" w:cs="Calibri" w:eastAsia="Calibri" w:hAnsi="Calibri"/>
          <w:b w:val="false"/>
          <w:bCs w:val="false"/>
          <w:i/>
          <w:iCs/>
          <w:color w:val="444444"/>
          <w:sz w:val="19"/>
          <w:szCs w:val="19"/>
        </w:rPr>
        <w:t xml:space="preserve">The 12 weeks are the entry point, not the destination. The Royals journey does not end at Week 12. It starts there.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01D48"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001D48"/>
                <w:sz w:val="17"/>
                <w:szCs w:val="17"/>
              </w:rPr>
              <w:t xml:space="preserve">YOUR BLUEPRINT</w:t>
            </w:r>
          </w:p>
          <w:p>
            <w:pPr>
              <w:spacing w:before="0" w:after="0" w:line="276"/>
              <w:jc w:val="left"/>
            </w:pPr>
            <w:r>
              <w:rPr>
                <w:rFonts w:ascii="Calibri" w:cs="Calibri" w:eastAsia="Calibri" w:hAnsi="Calibri"/>
                <w:b w:val="false"/>
                <w:bCs w:val="false"/>
                <w:i w:val="false"/>
                <w:iCs w:val="false"/>
                <w:color w:val="444444"/>
                <w:sz w:val="19"/>
                <w:szCs w:val="19"/>
              </w:rPr>
              <w:t xml:space="preserve">Your IDP and Royals Player DNA are yours to keep — a professional-grade blueprint you take into any coaching environment. Armed with evidence-based self-knowledge, you can have more productive conversations with any coach, anywhere.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6AA"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1226AA"/>
                <w:sz w:val="17"/>
                <w:szCs w:val="17"/>
              </w:rPr>
              <w:t xml:space="preserve">MASTERCLASS PROGRAMS</w:t>
            </w:r>
          </w:p>
          <w:p>
            <w:pPr>
              <w:spacing w:before="0" w:after="0" w:line="276"/>
              <w:jc w:val="left"/>
            </w:pPr>
            <w:r>
              <w:rPr>
                <w:rFonts w:ascii="Calibri" w:cs="Calibri" w:eastAsia="Calibri" w:hAnsi="Calibri"/>
                <w:b w:val="false"/>
                <w:bCs w:val="false"/>
                <w:i w:val="false"/>
                <w:iCs w:val="false"/>
                <w:color w:val="444444"/>
                <w:sz w:val="19"/>
                <w:szCs w:val="19"/>
              </w:rPr>
              <w:t xml:space="preserve">Throughout the year the Academy offers expert masterclass programs targeting specific skill areas. Because the Academy knows your profile and your learning journey, it can point you toward the programs that will make the most difference.</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E11F8F"/>
                <w:sz w:val="17"/>
                <w:szCs w:val="17"/>
              </w:rPr>
              <w:t xml:space="preserve">PART OF THE SYSTEM</w:t>
            </w:r>
          </w:p>
          <w:p>
            <w:pPr>
              <w:spacing w:before="0" w:after="0" w:line="276"/>
              <w:jc w:val="left"/>
            </w:pPr>
            <w:r>
              <w:rPr>
                <w:rFonts w:ascii="Calibri" w:cs="Calibri" w:eastAsia="Calibri" w:hAnsi="Calibri"/>
                <w:b w:val="false"/>
                <w:bCs w:val="false"/>
                <w:i w:val="false"/>
                <w:iCs w:val="false"/>
                <w:color w:val="444444"/>
                <w:sz w:val="19"/>
                <w:szCs w:val="19"/>
              </w:rPr>
              <w:t xml:space="preserve">You remain part of the Rajasthan Royals Academy Melbourne. Various opportunities will be extended to you — performance-based match opportunities, masterclasses, and potential pathway conversations as your development continues.</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p>
      <w:pPr>
        <w:pBdr>
          <w:bottom w:val="single" w:color="E0E4F0" w:sz="4"/>
        </w:pBdr>
        <w:spacing w:before="60" w:after="60" w:line="276"/>
        <w:jc w:val="left"/>
      </w:pPr>
      <w:r>
        <w:rPr>
          <w:rFonts w:ascii="Calibri" w:cs="Calibri" w:eastAsia="Calibri" w:hAnsi="Calibri"/>
          <w:b w:val="false"/>
          <w:bCs w:val="false"/>
          <w:i w:val="false"/>
          <w:iCs w:val="false"/>
          <w:color w:val="444444"/>
          <w:sz w:val="20"/>
          <w:szCs w:val="20"/>
        </w:rPr>
        <w:t xml:space="preserve"/>
      </w:r>
    </w:p>
    <w:p>
      <w:pPr>
        <w:spacing w:before="80" w:after="80" w:line="276"/>
        <w:jc w:val="left"/>
      </w:pPr>
      <w:r>
        <w:rPr>
          <w:rFonts w:ascii="Calibri" w:cs="Calibri" w:eastAsia="Calibri" w:hAnsi="Calibri"/>
          <w:b/>
          <w:bCs/>
          <w:i w:val="false"/>
          <w:iCs w:val="false"/>
          <w:color w:val="001D48"/>
          <w:sz w:val="26"/>
          <w:szCs w:val="26"/>
        </w:rPr>
        <w:t xml:space="preserve">09   YOUR INVESTMENT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60" w:line="276"/>
              <w:jc w:val="center"/>
            </w:pPr>
            <w:r>
              <w:rPr>
                <w:rFonts w:ascii="Calibri" w:cs="Calibri" w:eastAsia="Calibri" w:hAnsi="Calibri"/>
                <w:b/>
                <w:bCs/>
                <w:i w:val="false"/>
                <w:iCs w:val="false"/>
                <w:color w:val="FFFFFF"/>
                <w:sz w:val="80"/>
                <w:szCs w:val="80"/>
              </w:rPr>
              <w:t xml:space="preserve">$3,995</w:t>
            </w:r>
          </w:p>
          <w:p>
            <w:pPr>
              <w:spacing w:before="0" w:after="60" w:line="276"/>
              <w:jc w:val="center"/>
            </w:pPr>
            <w:r>
              <w:rPr>
                <w:rFonts w:ascii="Calibri" w:cs="Calibri" w:eastAsia="Calibri" w:hAnsi="Calibri"/>
                <w:b/>
                <w:bCs/>
                <w:i w:val="false"/>
                <w:iCs w:val="false"/>
                <w:color w:val="99AABB"/>
                <w:sz w:val="18"/>
                <w:szCs w:val="18"/>
              </w:rPr>
              <w:t xml:space="preserve">2026 ELITE PROGRAM</w:t>
            </w:r>
          </w:p>
          <w:p>
            <w:pPr>
              <w:spacing w:before="0" w:after="0" w:line="276"/>
              <w:jc w:val="center"/>
            </w:pPr>
            <w:r>
              <w:rPr>
                <w:rFonts w:ascii="Calibri" w:cs="Calibri" w:eastAsia="Calibri" w:hAnsi="Calibri"/>
                <w:b w:val="false"/>
                <w:bCs w:val="false"/>
                <w:i/>
                <w:iCs/>
                <w:color w:val="CCDDE8"/>
                <w:sz w:val="18"/>
                <w:szCs w:val="18"/>
              </w:rPr>
              <w:t xml:space="preserve">24+ sessions over 12 weeks  ·  Approximately $160 per session  ·  Approximately $50 per hour of elite coaching</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226AA" w:sz="20"/>
              <w:bottom w:val="none" w:color="FFFFFF" w:sz="0"/>
              <w:right w:val="none" w:color="FFFFFF" w:sz="0"/>
            </w:tcBorders>
            <w:shd w:fill="F4F6FB" w:val="clear"/>
            <w:tcMar>
              <w:top w:type="dxa" w:w="100"/>
              <w:left w:type="dxa" w:w="180"/>
              <w:bottom w:type="dxa" w:w="100"/>
              <w:right w:type="dxa" w:w="160"/>
            </w:tcMar>
          </w:tcPr>
          <w:p>
            <w:pPr>
              <w:spacing w:before="0" w:after="50" w:line="276"/>
              <w:jc w:val="left"/>
            </w:pPr>
            <w:r>
              <w:rPr>
                <w:rFonts w:ascii="Calibri" w:cs="Calibri" w:eastAsia="Calibri" w:hAnsi="Calibri"/>
                <w:b/>
                <w:bCs/>
                <w:i w:val="false"/>
                <w:iCs w:val="false"/>
                <w:color w:val="1226AA"/>
                <w:sz w:val="17"/>
                <w:szCs w:val="17"/>
              </w:rPr>
              <w:t xml:space="preserve">PAYMENT OPTIONS</w:t>
            </w:r>
          </w:p>
          <w:p>
            <w:pPr>
              <w:spacing w:before="0" w:after="0" w:line="276"/>
              <w:jc w:val="left"/>
            </w:pPr>
            <w:r>
              <w:rPr>
                <w:rFonts w:ascii="Calibri" w:cs="Calibri" w:eastAsia="Calibri" w:hAnsi="Calibri"/>
                <w:b w:val="false"/>
                <w:bCs w:val="false"/>
                <w:i w:val="false"/>
                <w:iCs w:val="false"/>
                <w:color w:val="444444"/>
                <w:sz w:val="19"/>
                <w:szCs w:val="19"/>
              </w:rPr>
              <w:t xml:space="preserve">A deposit is required to confirm your place. Staged payment plans and alternative payment options are available. Speak to the team about what works for you.</w:t>
            </w:r>
          </w:p>
        </w:tc>
      </w:tr>
    </w:tbl>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p>
      <w:pPr>
        <w:spacing w:before="0" w:after="60" w:line="276"/>
        <w:jc w:val="left"/>
      </w:pPr>
      <w:r>
        <w:rPr>
          <w:rFonts w:ascii="Calibri" w:cs="Calibri" w:eastAsia="Calibri" w:hAnsi="Calibri"/>
          <w:b w:val="false"/>
          <w:bCs w:val="false"/>
          <w:i w:val="false"/>
          <w:iCs w:val="false"/>
          <w:color w:val="444444"/>
          <w:sz w:val="20"/>
          <w:szCs w:val="20"/>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11F8F" w:sz="20"/>
              <w:bottom w:val="none" w:color="FFFFFF" w:sz="0"/>
              <w:right w:val="none" w:color="FFFFFF" w:sz="0"/>
            </w:tcBorders>
            <w:shd w:fill="001D48" w:val="clear"/>
            <w:tcMar>
              <w:top w:type="dxa" w:w="140"/>
              <w:left w:type="dxa" w:w="240"/>
              <w:bottom w:type="dxa" w:w="140"/>
              <w:right w:type="dxa" w:w="240"/>
            </w:tcMar>
          </w:tcPr>
          <w:p>
            <w:pPr>
              <w:spacing w:before="0" w:after="0" w:line="276"/>
              <w:jc w:val="center"/>
            </w:pPr>
            <w:r>
              <w:rPr>
                <w:rFonts w:ascii="Calibri" w:cs="Calibri" w:eastAsia="Calibri" w:hAnsi="Calibri"/>
                <w:b/>
                <w:bCs/>
                <w:i/>
                <w:iCs/>
                <w:color w:val="FFFFFF"/>
                <w:sz w:val="22"/>
                <w:szCs w:val="22"/>
              </w:rPr>
              <w:t xml:space="preserve">"The Royals journey does not end at Week 12. It starts there."</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2026-02-22T22:01:52.101Z</dcterms:created>
  <dcterms:modified xsi:type="dcterms:W3CDTF">2026-02-22T22:01:52.102Z</dcterms:modified>
</cp:coreProperties>
</file>

<file path=docProps/custom.xml><?xml version="1.0" encoding="utf-8"?>
<Properties xmlns="http://schemas.openxmlformats.org/officeDocument/2006/custom-properties" xmlns:vt="http://schemas.openxmlformats.org/officeDocument/2006/docPropsVTypes"/>
</file>