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 use the correct colours and fonts as described in the RR Brand Guidelines PDF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Luahan dre Pretorious image as hero shot on landing page it has quality characteristics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have identified a number of images to go into the section where we describe the 4 key coaching elements as an overview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added images to work alongside Steven Crook quote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added general images of 5 of Royals younger brigade including Maphaka, Sooryavanchi, Parag, Jaiswal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primary headline to something like: </w:t>
      </w:r>
      <w:r w:rsidDel="00000000" w:rsidR="00000000" w:rsidRPr="00000000">
        <w:rPr>
          <w:i w:val="1"/>
          <w:iCs w:val="1"/>
          <w:rtl w:val="0"/>
        </w:rPr>
        <w:t xml:space="preserve">‘Want to star in the T20 game?’ </w:t>
      </w:r>
      <w:r w:rsidDel="00000000" w:rsidR="00000000" w:rsidRPr="00000000">
        <w:rPr>
          <w:rtl w:val="0"/>
        </w:rPr>
        <w:t xml:space="preserve">and then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create a subheading that works along side of it that doesn’t infer everyone can be a star at the highest level, but that the program is about starring at what ever level you play at, however recognising this Academy still provides pathway opportunties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