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21A2" w14:textId="77777777" w:rsidR="009776EE" w:rsidRDefault="00000000">
      <w:pPr>
        <w:spacing w:before="2400"/>
        <w:jc w:val="center"/>
      </w:pPr>
      <w:r>
        <w:rPr>
          <w:rFonts w:ascii="Aptos Display" w:hAnsi="Aptos Display"/>
          <w:b/>
          <w:color w:val="1F4E79"/>
          <w:sz w:val="52"/>
        </w:rPr>
        <w:t>Retail Banking Customer Churn</w:t>
      </w:r>
      <w:r>
        <w:rPr>
          <w:rFonts w:ascii="Aptos Display" w:hAnsi="Aptos Display"/>
          <w:b/>
          <w:color w:val="1F4E79"/>
          <w:sz w:val="52"/>
        </w:rPr>
        <w:br/>
        <w:t>Prediction &amp; Retention Strategy Report</w:t>
      </w:r>
    </w:p>
    <w:p w14:paraId="3EBB1ED1" w14:textId="77777777" w:rsidR="009776EE" w:rsidRDefault="00000000">
      <w:pPr>
        <w:spacing w:before="320"/>
        <w:jc w:val="center"/>
      </w:pPr>
      <w:r>
        <w:rPr>
          <w:color w:val="595959"/>
          <w:sz w:val="26"/>
        </w:rPr>
        <w:t>Exploratory Data Analysis, Tableau Dashboard Insights, and Strategic Recommendations</w:t>
      </w:r>
    </w:p>
    <w:p w14:paraId="2B99FF09" w14:textId="173D7824" w:rsidR="009776EE" w:rsidRDefault="00000000">
      <w:pPr>
        <w:spacing w:before="900"/>
        <w:jc w:val="center"/>
      </w:pPr>
      <w:r>
        <w:rPr>
          <w:color w:val="595959"/>
          <w:sz w:val="21"/>
        </w:rPr>
        <w:t>Prepared for: Data Analyst Portfolio</w:t>
      </w:r>
      <w:r>
        <w:rPr>
          <w:color w:val="595959"/>
          <w:sz w:val="21"/>
        </w:rPr>
        <w:br/>
        <w:t xml:space="preserve">Prepared by: </w:t>
      </w:r>
      <w:r w:rsidR="00984930">
        <w:rPr>
          <w:rFonts w:eastAsia="新細明體" w:hint="eastAsia"/>
          <w:color w:val="595959"/>
          <w:sz w:val="21"/>
          <w:lang w:eastAsia="zh-TW"/>
        </w:rPr>
        <w:t>Leung Hoi Kit</w:t>
      </w:r>
      <w:r>
        <w:rPr>
          <w:color w:val="595959"/>
          <w:sz w:val="21"/>
        </w:rPr>
        <w:t>I</w:t>
      </w:r>
      <w:r>
        <w:rPr>
          <w:color w:val="595959"/>
          <w:sz w:val="21"/>
        </w:rPr>
        <w:br/>
        <w:t>Date: 14 August 2026</w:t>
      </w:r>
    </w:p>
    <w:p w14:paraId="4DD9BE35" w14:textId="77777777" w:rsidR="009776EE" w:rsidRDefault="00000000">
      <w:r>
        <w:br w:type="page"/>
      </w:r>
    </w:p>
    <w:p w14:paraId="3562CB1A" w14:textId="77777777" w:rsidR="009776EE" w:rsidRDefault="00000000">
      <w:pPr>
        <w:pStyle w:val="1"/>
      </w:pPr>
      <w:r>
        <w:lastRenderedPageBreak/>
        <w:t>1. Executive Summary</w:t>
      </w:r>
    </w:p>
    <w:p w14:paraId="2A1661BD" w14:textId="77777777" w:rsidR="009776EE" w:rsidRDefault="00000000">
      <w:pPr>
        <w:spacing w:after="120"/>
      </w:pPr>
      <w:r>
        <w:t>In the competitive retail banking sector, understanding and mitigating customer churn is vital for maintaining sustainable asset scale and profitability. This report presents a comprehensive analysis of a standardized retail banking dataset comprising 10,000 customer records. By combining exploratory data analysis (EDA), interactive Tableau visualizations, and descriptive segment modeling, this study examines the structural drivers of customer attrition.</w:t>
      </w:r>
    </w:p>
    <w:p w14:paraId="37B05977" w14:textId="77777777" w:rsidR="009776EE" w:rsidRDefault="00000000">
      <w:pPr>
        <w:spacing w:after="120"/>
      </w:pPr>
      <w:r>
        <w:t>The overarching churn rate across the portfolio stands at 20.37%. However, granular segmentation reveals extreme variance across geographies, age brackets, and member activity statuses. Notably, customers located in Germany, mature cohorts aged 51–60, and inactive members exhibit disproportionately high attrition rates. Based on these findings, targeted retention strategies and strategic recommendations are proposed to optimize resource allocation and safeguard high-risk customer segments.</w:t>
      </w:r>
    </w:p>
    <w:p w14:paraId="036500DA" w14:textId="77777777" w:rsidR="009776EE" w:rsidRDefault="00000000">
      <w:pPr>
        <w:pStyle w:val="1"/>
      </w:pPr>
      <w:r>
        <w:t>2. Data Overview &amp; Methodology</w:t>
      </w:r>
    </w:p>
    <w:p w14:paraId="54DE5DC5" w14:textId="77777777" w:rsidR="009776EE" w:rsidRDefault="00000000">
      <w:pPr>
        <w:spacing w:after="120"/>
      </w:pPr>
      <w:r>
        <w:t>The underlying dataset contains 10,000 verified customer observations and 15 analytical fields, capturing customer demographics (geography, gender, age), financial indicators (credit score, balance, estimated salary, product holdings), behavioral flags (credit card ownership, active membership), and the target variable (churn status).</w:t>
      </w:r>
    </w:p>
    <w:p w14:paraId="71C03FB5" w14:textId="77777777" w:rsidR="009776EE" w:rsidRDefault="00000000">
      <w:pPr>
        <w:spacing w:after="120"/>
      </w:pPr>
      <w:r>
        <w:t>To ensure high analytical rigor and professional presentation, the data pipeline was validated via Python to confirm zero missing values and unique customer identifiers. An interactive Tableau dashboard was subsequently constructed to enable multi-dimensional filtering and cross-sectional analysis.</w:t>
      </w:r>
    </w:p>
    <w:tbl>
      <w:tblPr>
        <w:tblStyle w:val="aff2"/>
        <w:tblW w:w="0" w:type="auto"/>
        <w:jc w:val="center"/>
        <w:tblLook w:val="04A0" w:firstRow="1" w:lastRow="0" w:firstColumn="1" w:lastColumn="0" w:noHBand="0" w:noVBand="1"/>
      </w:tblPr>
      <w:tblGrid>
        <w:gridCol w:w="3312"/>
        <w:gridCol w:w="3312"/>
        <w:gridCol w:w="3312"/>
      </w:tblGrid>
      <w:tr w:rsidR="009776EE" w14:paraId="4B26111F" w14:textId="77777777">
        <w:trPr>
          <w:jc w:val="center"/>
        </w:trPr>
        <w:tc>
          <w:tcPr>
            <w:tcW w:w="3312" w:type="dxa"/>
            <w:shd w:val="clear" w:color="auto" w:fill="1F4E79"/>
            <w:vAlign w:val="center"/>
          </w:tcPr>
          <w:p w14:paraId="7758E73B" w14:textId="77777777" w:rsidR="009776EE" w:rsidRDefault="00000000">
            <w:r>
              <w:rPr>
                <w:b/>
                <w:color w:val="FFFFFF"/>
                <w:sz w:val="19"/>
              </w:rPr>
              <w:t>Core Metric</w:t>
            </w:r>
          </w:p>
        </w:tc>
        <w:tc>
          <w:tcPr>
            <w:tcW w:w="3312" w:type="dxa"/>
            <w:shd w:val="clear" w:color="auto" w:fill="1F4E79"/>
            <w:vAlign w:val="center"/>
          </w:tcPr>
          <w:p w14:paraId="28ABB29A" w14:textId="77777777" w:rsidR="009776EE" w:rsidRDefault="00000000">
            <w:r>
              <w:rPr>
                <w:b/>
                <w:color w:val="FFFFFF"/>
                <w:sz w:val="19"/>
              </w:rPr>
              <w:t>Quantitative Value</w:t>
            </w:r>
          </w:p>
        </w:tc>
        <w:tc>
          <w:tcPr>
            <w:tcW w:w="3312" w:type="dxa"/>
            <w:shd w:val="clear" w:color="auto" w:fill="1F4E79"/>
            <w:vAlign w:val="center"/>
          </w:tcPr>
          <w:p w14:paraId="5DEF94A3" w14:textId="77777777" w:rsidR="009776EE" w:rsidRDefault="00000000">
            <w:r>
              <w:rPr>
                <w:b/>
                <w:color w:val="FFFFFF"/>
                <w:sz w:val="19"/>
              </w:rPr>
              <w:t>Business Definition &amp; Baseline</w:t>
            </w:r>
          </w:p>
        </w:tc>
      </w:tr>
      <w:tr w:rsidR="009776EE" w14:paraId="1A7A1C05" w14:textId="77777777">
        <w:trPr>
          <w:jc w:val="center"/>
        </w:trPr>
        <w:tc>
          <w:tcPr>
            <w:tcW w:w="3312" w:type="dxa"/>
            <w:vAlign w:val="center"/>
          </w:tcPr>
          <w:p w14:paraId="0E6BBF49" w14:textId="77777777" w:rsidR="009776EE" w:rsidRDefault="00000000">
            <w:r>
              <w:rPr>
                <w:sz w:val="19"/>
              </w:rPr>
              <w:t>Total Customers</w:t>
            </w:r>
          </w:p>
        </w:tc>
        <w:tc>
          <w:tcPr>
            <w:tcW w:w="3312" w:type="dxa"/>
            <w:vAlign w:val="center"/>
          </w:tcPr>
          <w:p w14:paraId="56961202" w14:textId="77777777" w:rsidR="009776EE" w:rsidRDefault="00000000">
            <w:r>
              <w:rPr>
                <w:sz w:val="19"/>
              </w:rPr>
              <w:t>10,000</w:t>
            </w:r>
          </w:p>
        </w:tc>
        <w:tc>
          <w:tcPr>
            <w:tcW w:w="3312" w:type="dxa"/>
            <w:vAlign w:val="center"/>
          </w:tcPr>
          <w:p w14:paraId="563DC34C" w14:textId="77777777" w:rsidR="009776EE" w:rsidRDefault="00000000">
            <w:r>
              <w:rPr>
                <w:sz w:val="19"/>
              </w:rPr>
              <w:t>Total active analytical sample size</w:t>
            </w:r>
          </w:p>
        </w:tc>
      </w:tr>
      <w:tr w:rsidR="009776EE" w14:paraId="098E3DDB" w14:textId="77777777">
        <w:trPr>
          <w:jc w:val="center"/>
        </w:trPr>
        <w:tc>
          <w:tcPr>
            <w:tcW w:w="3312" w:type="dxa"/>
            <w:vAlign w:val="center"/>
          </w:tcPr>
          <w:p w14:paraId="5991A463" w14:textId="77777777" w:rsidR="009776EE" w:rsidRDefault="00000000">
            <w:r>
              <w:rPr>
                <w:sz w:val="19"/>
              </w:rPr>
              <w:t>Exited Customers</w:t>
            </w:r>
          </w:p>
        </w:tc>
        <w:tc>
          <w:tcPr>
            <w:tcW w:w="3312" w:type="dxa"/>
            <w:vAlign w:val="center"/>
          </w:tcPr>
          <w:p w14:paraId="435C4920" w14:textId="77777777" w:rsidR="009776EE" w:rsidRDefault="00000000">
            <w:r>
              <w:rPr>
                <w:sz w:val="19"/>
              </w:rPr>
              <w:t>2,037</w:t>
            </w:r>
          </w:p>
        </w:tc>
        <w:tc>
          <w:tcPr>
            <w:tcW w:w="3312" w:type="dxa"/>
            <w:vAlign w:val="center"/>
          </w:tcPr>
          <w:p w14:paraId="466E1E53" w14:textId="77777777" w:rsidR="009776EE" w:rsidRDefault="00000000">
            <w:r>
              <w:rPr>
                <w:sz w:val="19"/>
              </w:rPr>
              <w:t>Customers who terminated their accounts</w:t>
            </w:r>
          </w:p>
        </w:tc>
      </w:tr>
      <w:tr w:rsidR="009776EE" w14:paraId="3BB45254" w14:textId="77777777">
        <w:trPr>
          <w:jc w:val="center"/>
        </w:trPr>
        <w:tc>
          <w:tcPr>
            <w:tcW w:w="3312" w:type="dxa"/>
            <w:vAlign w:val="center"/>
          </w:tcPr>
          <w:p w14:paraId="30E7BD05" w14:textId="77777777" w:rsidR="009776EE" w:rsidRDefault="00000000">
            <w:r>
              <w:rPr>
                <w:sz w:val="19"/>
              </w:rPr>
              <w:t>Overall Churn Rate</w:t>
            </w:r>
          </w:p>
        </w:tc>
        <w:tc>
          <w:tcPr>
            <w:tcW w:w="3312" w:type="dxa"/>
            <w:vAlign w:val="center"/>
          </w:tcPr>
          <w:p w14:paraId="454B4714" w14:textId="77777777" w:rsidR="009776EE" w:rsidRDefault="00000000">
            <w:r>
              <w:rPr>
                <w:sz w:val="19"/>
              </w:rPr>
              <w:t>20.37%</w:t>
            </w:r>
          </w:p>
        </w:tc>
        <w:tc>
          <w:tcPr>
            <w:tcW w:w="3312" w:type="dxa"/>
            <w:vAlign w:val="center"/>
          </w:tcPr>
          <w:p w14:paraId="73F29112" w14:textId="77777777" w:rsidR="009776EE" w:rsidRDefault="00000000">
            <w:r>
              <w:rPr>
                <w:sz w:val="19"/>
              </w:rPr>
              <w:t>Portfolio-wide customer attrition benchmark</w:t>
            </w:r>
          </w:p>
        </w:tc>
      </w:tr>
      <w:tr w:rsidR="009776EE" w14:paraId="756553C3" w14:textId="77777777">
        <w:trPr>
          <w:jc w:val="center"/>
        </w:trPr>
        <w:tc>
          <w:tcPr>
            <w:tcW w:w="3312" w:type="dxa"/>
            <w:vAlign w:val="center"/>
          </w:tcPr>
          <w:p w14:paraId="0FC744D9" w14:textId="77777777" w:rsidR="009776EE" w:rsidRDefault="00000000">
            <w:r>
              <w:rPr>
                <w:sz w:val="19"/>
              </w:rPr>
              <w:t>Active Member Rate</w:t>
            </w:r>
          </w:p>
        </w:tc>
        <w:tc>
          <w:tcPr>
            <w:tcW w:w="3312" w:type="dxa"/>
            <w:vAlign w:val="center"/>
          </w:tcPr>
          <w:p w14:paraId="6AA8F49F" w14:textId="77777777" w:rsidR="009776EE" w:rsidRDefault="00000000">
            <w:r>
              <w:rPr>
                <w:sz w:val="19"/>
              </w:rPr>
              <w:t>51.51%</w:t>
            </w:r>
          </w:p>
        </w:tc>
        <w:tc>
          <w:tcPr>
            <w:tcW w:w="3312" w:type="dxa"/>
            <w:vAlign w:val="center"/>
          </w:tcPr>
          <w:p w14:paraId="6EBD7603" w14:textId="77777777" w:rsidR="009776EE" w:rsidRDefault="00000000">
            <w:r>
              <w:rPr>
                <w:sz w:val="19"/>
              </w:rPr>
              <w:t>Proportion of regularly active members</w:t>
            </w:r>
          </w:p>
        </w:tc>
      </w:tr>
      <w:tr w:rsidR="009776EE" w14:paraId="5BA306FF" w14:textId="77777777">
        <w:trPr>
          <w:jc w:val="center"/>
        </w:trPr>
        <w:tc>
          <w:tcPr>
            <w:tcW w:w="3312" w:type="dxa"/>
            <w:vAlign w:val="center"/>
          </w:tcPr>
          <w:p w14:paraId="4B4B57A6" w14:textId="77777777" w:rsidR="009776EE" w:rsidRDefault="00000000">
            <w:r>
              <w:rPr>
                <w:sz w:val="19"/>
              </w:rPr>
              <w:t>Average Account Balance</w:t>
            </w:r>
          </w:p>
        </w:tc>
        <w:tc>
          <w:tcPr>
            <w:tcW w:w="3312" w:type="dxa"/>
            <w:vAlign w:val="center"/>
          </w:tcPr>
          <w:p w14:paraId="246E663B" w14:textId="77777777" w:rsidR="009776EE" w:rsidRDefault="00000000">
            <w:r>
              <w:rPr>
                <w:sz w:val="19"/>
              </w:rPr>
              <w:t>$76,485.89</w:t>
            </w:r>
          </w:p>
        </w:tc>
        <w:tc>
          <w:tcPr>
            <w:tcW w:w="3312" w:type="dxa"/>
            <w:vAlign w:val="center"/>
          </w:tcPr>
          <w:p w14:paraId="3A54A0A1" w14:textId="77777777" w:rsidR="009776EE" w:rsidRDefault="00000000">
            <w:r>
              <w:rPr>
                <w:sz w:val="19"/>
              </w:rPr>
              <w:t>Mean deposit and asset balance across cohort</w:t>
            </w:r>
          </w:p>
        </w:tc>
      </w:tr>
    </w:tbl>
    <w:p w14:paraId="18503B8E" w14:textId="77777777" w:rsidR="009776EE" w:rsidRDefault="009776EE"/>
    <w:p w14:paraId="59098509" w14:textId="77777777" w:rsidR="009776EE" w:rsidRDefault="00000000">
      <w:pPr>
        <w:pStyle w:val="1"/>
      </w:pPr>
      <w:r>
        <w:t>3. Exploratory Data Analysis &amp; Visual Insights</w:t>
      </w:r>
    </w:p>
    <w:p w14:paraId="5D418AED" w14:textId="77777777" w:rsidR="009776EE" w:rsidRDefault="00000000">
      <w:pPr>
        <w:pStyle w:val="21"/>
      </w:pPr>
      <w:r>
        <w:t>3.1 Overall Customer Churn Distribution</w:t>
      </w:r>
    </w:p>
    <w:p w14:paraId="367B8C13" w14:textId="77777777" w:rsidR="009776EE" w:rsidRDefault="00000000">
      <w:pPr>
        <w:spacing w:after="120"/>
      </w:pPr>
      <w:r>
        <w:t>Among the 10,000 analyzed customers, 7,963 maintained their banking relationship (79.63%), while 2,037 churned (20.37%). This baseline indicates that approximately one in every five customers terminates their account, highlighting a significant exposure to acquisition cost erosion.</w:t>
      </w:r>
    </w:p>
    <w:p w14:paraId="3CB996E9" w14:textId="77777777" w:rsidR="009776EE" w:rsidRDefault="00000000">
      <w:pPr>
        <w:jc w:val="center"/>
      </w:pPr>
      <w:r>
        <w:rPr>
          <w:noProof/>
        </w:rPr>
        <w:lastRenderedPageBreak/>
        <w:drawing>
          <wp:inline distT="0" distB="0" distL="0" distR="0" wp14:anchorId="08E49BA0" wp14:editId="45330C56">
            <wp:extent cx="5669280" cy="6144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hurn_distribution.png"/>
                    <pic:cNvPicPr/>
                  </pic:nvPicPr>
                  <pic:blipFill>
                    <a:blip r:embed="rId8"/>
                    <a:stretch>
                      <a:fillRect/>
                    </a:stretch>
                  </pic:blipFill>
                  <pic:spPr>
                    <a:xfrm>
                      <a:off x="0" y="0"/>
                      <a:ext cx="5669280" cy="6144509"/>
                    </a:xfrm>
                    <a:prstGeom prst="rect">
                      <a:avLst/>
                    </a:prstGeom>
                  </pic:spPr>
                </pic:pic>
              </a:graphicData>
            </a:graphic>
          </wp:inline>
        </w:drawing>
      </w:r>
    </w:p>
    <w:p w14:paraId="36DF329A" w14:textId="77777777" w:rsidR="009776EE" w:rsidRDefault="00000000">
      <w:pPr>
        <w:jc w:val="center"/>
      </w:pPr>
      <w:r>
        <w:rPr>
          <w:i/>
          <w:sz w:val="18"/>
        </w:rPr>
        <w:t>Figure 1: Customer Churn Distribution</w:t>
      </w:r>
    </w:p>
    <w:p w14:paraId="2BA4FC23" w14:textId="77777777" w:rsidR="009776EE" w:rsidRDefault="00000000">
      <w:pPr>
        <w:pStyle w:val="21"/>
      </w:pPr>
      <w:r>
        <w:t>3.2 Geographical Risk Analysis</w:t>
      </w:r>
    </w:p>
    <w:p w14:paraId="73699B69" w14:textId="77777777" w:rsidR="009776EE" w:rsidRDefault="00000000">
      <w:pPr>
        <w:spacing w:after="120"/>
      </w:pPr>
      <w:r>
        <w:t>Geographic segmentation reveals stark contrasts in customer retention. While France and Spain account for larger customer bases (5,014 and 2,477 customers respectively) with moderate churn rates (16.15% and 16.67%), the German market exhibits an alarming churn rate of 32.44%—more than double the rate observed in France and Spain.</w:t>
      </w:r>
    </w:p>
    <w:p w14:paraId="357BFD09" w14:textId="77777777" w:rsidR="009776EE" w:rsidRDefault="00000000">
      <w:pPr>
        <w:jc w:val="center"/>
      </w:pPr>
      <w:r>
        <w:rPr>
          <w:noProof/>
        </w:rPr>
        <w:lastRenderedPageBreak/>
        <w:drawing>
          <wp:inline distT="0" distB="0" distL="0" distR="0" wp14:anchorId="526D1675" wp14:editId="3E0370D4">
            <wp:extent cx="5669280" cy="2998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hurn_by_geography.png"/>
                    <pic:cNvPicPr/>
                  </pic:nvPicPr>
                  <pic:blipFill>
                    <a:blip r:embed="rId9"/>
                    <a:stretch>
                      <a:fillRect/>
                    </a:stretch>
                  </pic:blipFill>
                  <pic:spPr>
                    <a:xfrm>
                      <a:off x="0" y="0"/>
                      <a:ext cx="5669280" cy="2998177"/>
                    </a:xfrm>
                    <a:prstGeom prst="rect">
                      <a:avLst/>
                    </a:prstGeom>
                  </pic:spPr>
                </pic:pic>
              </a:graphicData>
            </a:graphic>
          </wp:inline>
        </w:drawing>
      </w:r>
    </w:p>
    <w:p w14:paraId="70A71FB4" w14:textId="77777777" w:rsidR="009776EE" w:rsidRDefault="00000000">
      <w:pPr>
        <w:jc w:val="center"/>
      </w:pPr>
      <w:r>
        <w:rPr>
          <w:i/>
          <w:sz w:val="18"/>
        </w:rPr>
        <w:t>Figure 2: Churn by Geography</w:t>
      </w:r>
    </w:p>
    <w:tbl>
      <w:tblPr>
        <w:tblStyle w:val="aff2"/>
        <w:tblW w:w="0" w:type="auto"/>
        <w:jc w:val="center"/>
        <w:tblLook w:val="04A0" w:firstRow="1" w:lastRow="0" w:firstColumn="1" w:lastColumn="0" w:noHBand="0" w:noVBand="1"/>
      </w:tblPr>
      <w:tblGrid>
        <w:gridCol w:w="1987"/>
        <w:gridCol w:w="1987"/>
        <w:gridCol w:w="1987"/>
        <w:gridCol w:w="1987"/>
        <w:gridCol w:w="1987"/>
      </w:tblGrid>
      <w:tr w:rsidR="009776EE" w14:paraId="7EAD3D21" w14:textId="77777777">
        <w:trPr>
          <w:jc w:val="center"/>
        </w:trPr>
        <w:tc>
          <w:tcPr>
            <w:tcW w:w="1987" w:type="dxa"/>
            <w:shd w:val="clear" w:color="auto" w:fill="1F4E79"/>
            <w:vAlign w:val="center"/>
          </w:tcPr>
          <w:p w14:paraId="567829A3" w14:textId="77777777" w:rsidR="009776EE" w:rsidRDefault="00000000">
            <w:r>
              <w:rPr>
                <w:b/>
                <w:color w:val="FFFFFF"/>
                <w:sz w:val="19"/>
              </w:rPr>
              <w:t>Geography</w:t>
            </w:r>
          </w:p>
        </w:tc>
        <w:tc>
          <w:tcPr>
            <w:tcW w:w="1987" w:type="dxa"/>
            <w:shd w:val="clear" w:color="auto" w:fill="1F4E79"/>
            <w:vAlign w:val="center"/>
          </w:tcPr>
          <w:p w14:paraId="5AE225C2" w14:textId="77777777" w:rsidR="009776EE" w:rsidRDefault="00000000">
            <w:r>
              <w:rPr>
                <w:b/>
                <w:color w:val="FFFFFF"/>
                <w:sz w:val="19"/>
              </w:rPr>
              <w:t>Total Customers</w:t>
            </w:r>
          </w:p>
        </w:tc>
        <w:tc>
          <w:tcPr>
            <w:tcW w:w="1987" w:type="dxa"/>
            <w:shd w:val="clear" w:color="auto" w:fill="1F4E79"/>
            <w:vAlign w:val="center"/>
          </w:tcPr>
          <w:p w14:paraId="30CF719F" w14:textId="77777777" w:rsidR="009776EE" w:rsidRDefault="00000000">
            <w:r>
              <w:rPr>
                <w:b/>
                <w:color w:val="FFFFFF"/>
                <w:sz w:val="19"/>
              </w:rPr>
              <w:t>Stayed</w:t>
            </w:r>
          </w:p>
        </w:tc>
        <w:tc>
          <w:tcPr>
            <w:tcW w:w="1987" w:type="dxa"/>
            <w:shd w:val="clear" w:color="auto" w:fill="1F4E79"/>
            <w:vAlign w:val="center"/>
          </w:tcPr>
          <w:p w14:paraId="2146BB0D" w14:textId="77777777" w:rsidR="009776EE" w:rsidRDefault="00000000">
            <w:r>
              <w:rPr>
                <w:b/>
                <w:color w:val="FFFFFF"/>
                <w:sz w:val="19"/>
              </w:rPr>
              <w:t>Exited</w:t>
            </w:r>
          </w:p>
        </w:tc>
        <w:tc>
          <w:tcPr>
            <w:tcW w:w="1987" w:type="dxa"/>
            <w:shd w:val="clear" w:color="auto" w:fill="1F4E79"/>
            <w:vAlign w:val="center"/>
          </w:tcPr>
          <w:p w14:paraId="3182B6D8" w14:textId="77777777" w:rsidR="009776EE" w:rsidRDefault="00000000">
            <w:r>
              <w:rPr>
                <w:b/>
                <w:color w:val="FFFFFF"/>
                <w:sz w:val="19"/>
              </w:rPr>
              <w:t>Churn Rate (%)</w:t>
            </w:r>
          </w:p>
        </w:tc>
      </w:tr>
      <w:tr w:rsidR="009776EE" w14:paraId="0A7DF496" w14:textId="77777777">
        <w:trPr>
          <w:jc w:val="center"/>
        </w:trPr>
        <w:tc>
          <w:tcPr>
            <w:tcW w:w="1987" w:type="dxa"/>
            <w:vAlign w:val="center"/>
          </w:tcPr>
          <w:p w14:paraId="570F11D3" w14:textId="77777777" w:rsidR="009776EE" w:rsidRDefault="00000000">
            <w:r>
              <w:rPr>
                <w:sz w:val="19"/>
              </w:rPr>
              <w:t>Germany</w:t>
            </w:r>
          </w:p>
        </w:tc>
        <w:tc>
          <w:tcPr>
            <w:tcW w:w="1987" w:type="dxa"/>
            <w:vAlign w:val="center"/>
          </w:tcPr>
          <w:p w14:paraId="782BA8C9" w14:textId="77777777" w:rsidR="009776EE" w:rsidRDefault="00000000">
            <w:r>
              <w:rPr>
                <w:sz w:val="19"/>
              </w:rPr>
              <w:t>2,509</w:t>
            </w:r>
          </w:p>
        </w:tc>
        <w:tc>
          <w:tcPr>
            <w:tcW w:w="1987" w:type="dxa"/>
            <w:vAlign w:val="center"/>
          </w:tcPr>
          <w:p w14:paraId="3DF71EC1" w14:textId="77777777" w:rsidR="009776EE" w:rsidRDefault="00000000">
            <w:r>
              <w:rPr>
                <w:sz w:val="19"/>
              </w:rPr>
              <w:t>1,695</w:t>
            </w:r>
          </w:p>
        </w:tc>
        <w:tc>
          <w:tcPr>
            <w:tcW w:w="1987" w:type="dxa"/>
            <w:vAlign w:val="center"/>
          </w:tcPr>
          <w:p w14:paraId="4C63B624" w14:textId="77777777" w:rsidR="009776EE" w:rsidRDefault="00000000">
            <w:r>
              <w:rPr>
                <w:sz w:val="19"/>
              </w:rPr>
              <w:t>814</w:t>
            </w:r>
          </w:p>
        </w:tc>
        <w:tc>
          <w:tcPr>
            <w:tcW w:w="1987" w:type="dxa"/>
            <w:vAlign w:val="center"/>
          </w:tcPr>
          <w:p w14:paraId="284F6FBA" w14:textId="77777777" w:rsidR="009776EE" w:rsidRDefault="00000000">
            <w:r>
              <w:rPr>
                <w:sz w:val="19"/>
              </w:rPr>
              <w:t>32.44%</w:t>
            </w:r>
          </w:p>
        </w:tc>
      </w:tr>
      <w:tr w:rsidR="009776EE" w14:paraId="338AB12A" w14:textId="77777777">
        <w:trPr>
          <w:jc w:val="center"/>
        </w:trPr>
        <w:tc>
          <w:tcPr>
            <w:tcW w:w="1987" w:type="dxa"/>
            <w:vAlign w:val="center"/>
          </w:tcPr>
          <w:p w14:paraId="1D1CD2F2" w14:textId="77777777" w:rsidR="009776EE" w:rsidRDefault="00000000">
            <w:r>
              <w:rPr>
                <w:sz w:val="19"/>
              </w:rPr>
              <w:t>Spain</w:t>
            </w:r>
          </w:p>
        </w:tc>
        <w:tc>
          <w:tcPr>
            <w:tcW w:w="1987" w:type="dxa"/>
            <w:vAlign w:val="center"/>
          </w:tcPr>
          <w:p w14:paraId="75D54715" w14:textId="77777777" w:rsidR="009776EE" w:rsidRDefault="00000000">
            <w:r>
              <w:rPr>
                <w:sz w:val="19"/>
              </w:rPr>
              <w:t>2,477</w:t>
            </w:r>
          </w:p>
        </w:tc>
        <w:tc>
          <w:tcPr>
            <w:tcW w:w="1987" w:type="dxa"/>
            <w:vAlign w:val="center"/>
          </w:tcPr>
          <w:p w14:paraId="1214E12D" w14:textId="77777777" w:rsidR="009776EE" w:rsidRDefault="00000000">
            <w:r>
              <w:rPr>
                <w:sz w:val="19"/>
              </w:rPr>
              <w:t>2,064</w:t>
            </w:r>
          </w:p>
        </w:tc>
        <w:tc>
          <w:tcPr>
            <w:tcW w:w="1987" w:type="dxa"/>
            <w:vAlign w:val="center"/>
          </w:tcPr>
          <w:p w14:paraId="460F283B" w14:textId="77777777" w:rsidR="009776EE" w:rsidRDefault="00000000">
            <w:r>
              <w:rPr>
                <w:sz w:val="19"/>
              </w:rPr>
              <w:t>413</w:t>
            </w:r>
          </w:p>
        </w:tc>
        <w:tc>
          <w:tcPr>
            <w:tcW w:w="1987" w:type="dxa"/>
            <w:vAlign w:val="center"/>
          </w:tcPr>
          <w:p w14:paraId="4E8731B4" w14:textId="77777777" w:rsidR="009776EE" w:rsidRDefault="00000000">
            <w:r>
              <w:rPr>
                <w:sz w:val="19"/>
              </w:rPr>
              <w:t>16.67%</w:t>
            </w:r>
          </w:p>
        </w:tc>
      </w:tr>
      <w:tr w:rsidR="009776EE" w14:paraId="418540EB" w14:textId="77777777">
        <w:trPr>
          <w:jc w:val="center"/>
        </w:trPr>
        <w:tc>
          <w:tcPr>
            <w:tcW w:w="1987" w:type="dxa"/>
            <w:vAlign w:val="center"/>
          </w:tcPr>
          <w:p w14:paraId="6ABB6BE0" w14:textId="77777777" w:rsidR="009776EE" w:rsidRDefault="00000000">
            <w:r>
              <w:rPr>
                <w:sz w:val="19"/>
              </w:rPr>
              <w:t>France</w:t>
            </w:r>
          </w:p>
        </w:tc>
        <w:tc>
          <w:tcPr>
            <w:tcW w:w="1987" w:type="dxa"/>
            <w:vAlign w:val="center"/>
          </w:tcPr>
          <w:p w14:paraId="3326657D" w14:textId="77777777" w:rsidR="009776EE" w:rsidRDefault="00000000">
            <w:r>
              <w:rPr>
                <w:sz w:val="19"/>
              </w:rPr>
              <w:t>5,014</w:t>
            </w:r>
          </w:p>
        </w:tc>
        <w:tc>
          <w:tcPr>
            <w:tcW w:w="1987" w:type="dxa"/>
            <w:vAlign w:val="center"/>
          </w:tcPr>
          <w:p w14:paraId="63104293" w14:textId="77777777" w:rsidR="009776EE" w:rsidRDefault="00000000">
            <w:r>
              <w:rPr>
                <w:sz w:val="19"/>
              </w:rPr>
              <w:t>4,204</w:t>
            </w:r>
          </w:p>
        </w:tc>
        <w:tc>
          <w:tcPr>
            <w:tcW w:w="1987" w:type="dxa"/>
            <w:vAlign w:val="center"/>
          </w:tcPr>
          <w:p w14:paraId="01D6FD43" w14:textId="77777777" w:rsidR="009776EE" w:rsidRDefault="00000000">
            <w:r>
              <w:rPr>
                <w:sz w:val="19"/>
              </w:rPr>
              <w:t>810</w:t>
            </w:r>
          </w:p>
        </w:tc>
        <w:tc>
          <w:tcPr>
            <w:tcW w:w="1987" w:type="dxa"/>
            <w:vAlign w:val="center"/>
          </w:tcPr>
          <w:p w14:paraId="2FBEB07C" w14:textId="77777777" w:rsidR="009776EE" w:rsidRDefault="00000000">
            <w:r>
              <w:rPr>
                <w:sz w:val="19"/>
              </w:rPr>
              <w:t>16.15%</w:t>
            </w:r>
          </w:p>
        </w:tc>
      </w:tr>
    </w:tbl>
    <w:p w14:paraId="301846DF" w14:textId="77777777" w:rsidR="009776EE" w:rsidRDefault="009776EE"/>
    <w:p w14:paraId="2E63A823" w14:textId="77777777" w:rsidR="009776EE" w:rsidRDefault="00000000">
      <w:pPr>
        <w:pStyle w:val="21"/>
      </w:pPr>
      <w:r>
        <w:t>3.3 Gender and Age Demographics</w:t>
      </w:r>
    </w:p>
    <w:p w14:paraId="4036195C" w14:textId="77777777" w:rsidR="009776EE" w:rsidRDefault="00000000">
      <w:pPr>
        <w:spacing w:after="120"/>
      </w:pPr>
      <w:r>
        <w:t>Female customers display a higher propensity to churn (25.07%, 1,139 exits) compared to male customers (16.46%, 898 exits). Furthermore, age analysis demonstrates a pronounced lifecycle risk pattern: churn is minimal among young adults (7.56% for ages 18–30) and seniors (9.93% for ages 70+), but escalates sharply starting in middle age, peaking at 30.79% for ages 41–50 and reaching 56.04% for the 51–60 age cohort.</w:t>
      </w:r>
    </w:p>
    <w:p w14:paraId="7677C5AC" w14:textId="77777777" w:rsidR="009776EE" w:rsidRDefault="00000000">
      <w:pPr>
        <w:jc w:val="center"/>
      </w:pPr>
      <w:r>
        <w:rPr>
          <w:noProof/>
        </w:rPr>
        <w:drawing>
          <wp:inline distT="0" distB="0" distL="0" distR="0" wp14:anchorId="250C4531" wp14:editId="62C729E9">
            <wp:extent cx="5669280" cy="2998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hurn_by_gender.png"/>
                    <pic:cNvPicPr/>
                  </pic:nvPicPr>
                  <pic:blipFill>
                    <a:blip r:embed="rId10"/>
                    <a:stretch>
                      <a:fillRect/>
                    </a:stretch>
                  </pic:blipFill>
                  <pic:spPr>
                    <a:xfrm>
                      <a:off x="0" y="0"/>
                      <a:ext cx="5669280" cy="2998177"/>
                    </a:xfrm>
                    <a:prstGeom prst="rect">
                      <a:avLst/>
                    </a:prstGeom>
                  </pic:spPr>
                </pic:pic>
              </a:graphicData>
            </a:graphic>
          </wp:inline>
        </w:drawing>
      </w:r>
    </w:p>
    <w:p w14:paraId="6BE73CDC" w14:textId="77777777" w:rsidR="009776EE" w:rsidRDefault="00000000">
      <w:pPr>
        <w:jc w:val="center"/>
      </w:pPr>
      <w:r>
        <w:rPr>
          <w:i/>
          <w:sz w:val="18"/>
        </w:rPr>
        <w:t>Figure 3: Churn by Gender</w:t>
      </w:r>
    </w:p>
    <w:p w14:paraId="2116BAFC" w14:textId="77777777" w:rsidR="009776EE" w:rsidRDefault="00000000">
      <w:pPr>
        <w:jc w:val="center"/>
      </w:pPr>
      <w:r>
        <w:rPr>
          <w:noProof/>
        </w:rPr>
        <w:lastRenderedPageBreak/>
        <w:drawing>
          <wp:inline distT="0" distB="0" distL="0" distR="0" wp14:anchorId="0D9FC9EE" wp14:editId="461273B8">
            <wp:extent cx="5669280" cy="2998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hurn_by_age_group.png"/>
                    <pic:cNvPicPr/>
                  </pic:nvPicPr>
                  <pic:blipFill>
                    <a:blip r:embed="rId11"/>
                    <a:stretch>
                      <a:fillRect/>
                    </a:stretch>
                  </pic:blipFill>
                  <pic:spPr>
                    <a:xfrm>
                      <a:off x="0" y="0"/>
                      <a:ext cx="5669280" cy="2998177"/>
                    </a:xfrm>
                    <a:prstGeom prst="rect">
                      <a:avLst/>
                    </a:prstGeom>
                  </pic:spPr>
                </pic:pic>
              </a:graphicData>
            </a:graphic>
          </wp:inline>
        </w:drawing>
      </w:r>
    </w:p>
    <w:p w14:paraId="00102127" w14:textId="77777777" w:rsidR="009776EE" w:rsidRDefault="00000000">
      <w:pPr>
        <w:jc w:val="center"/>
      </w:pPr>
      <w:r>
        <w:rPr>
          <w:i/>
          <w:sz w:val="18"/>
        </w:rPr>
        <w:t>Figure 4: Churn by Age Group</w:t>
      </w:r>
    </w:p>
    <w:tbl>
      <w:tblPr>
        <w:tblStyle w:val="aff2"/>
        <w:tblW w:w="0" w:type="auto"/>
        <w:jc w:val="center"/>
        <w:tblLook w:val="04A0" w:firstRow="1" w:lastRow="0" w:firstColumn="1" w:lastColumn="0" w:noHBand="0" w:noVBand="1"/>
      </w:tblPr>
      <w:tblGrid>
        <w:gridCol w:w="1987"/>
        <w:gridCol w:w="1987"/>
        <w:gridCol w:w="1987"/>
        <w:gridCol w:w="1987"/>
        <w:gridCol w:w="1987"/>
      </w:tblGrid>
      <w:tr w:rsidR="009776EE" w14:paraId="5A72FA0C" w14:textId="77777777">
        <w:trPr>
          <w:jc w:val="center"/>
        </w:trPr>
        <w:tc>
          <w:tcPr>
            <w:tcW w:w="1987" w:type="dxa"/>
            <w:shd w:val="clear" w:color="auto" w:fill="1F4E79"/>
            <w:vAlign w:val="center"/>
          </w:tcPr>
          <w:p w14:paraId="05D49336" w14:textId="77777777" w:rsidR="009776EE" w:rsidRDefault="00000000">
            <w:r>
              <w:rPr>
                <w:b/>
                <w:color w:val="FFFFFF"/>
                <w:sz w:val="19"/>
              </w:rPr>
              <w:t>Age Group</w:t>
            </w:r>
          </w:p>
        </w:tc>
        <w:tc>
          <w:tcPr>
            <w:tcW w:w="1987" w:type="dxa"/>
            <w:shd w:val="clear" w:color="auto" w:fill="1F4E79"/>
            <w:vAlign w:val="center"/>
          </w:tcPr>
          <w:p w14:paraId="47204161" w14:textId="77777777" w:rsidR="009776EE" w:rsidRDefault="00000000">
            <w:r>
              <w:rPr>
                <w:b/>
                <w:color w:val="FFFFFF"/>
                <w:sz w:val="19"/>
              </w:rPr>
              <w:t>Total Customers</w:t>
            </w:r>
          </w:p>
        </w:tc>
        <w:tc>
          <w:tcPr>
            <w:tcW w:w="1987" w:type="dxa"/>
            <w:shd w:val="clear" w:color="auto" w:fill="1F4E79"/>
            <w:vAlign w:val="center"/>
          </w:tcPr>
          <w:p w14:paraId="3B7907AA" w14:textId="77777777" w:rsidR="009776EE" w:rsidRDefault="00000000">
            <w:r>
              <w:rPr>
                <w:b/>
                <w:color w:val="FFFFFF"/>
                <w:sz w:val="19"/>
              </w:rPr>
              <w:t>Stayed</w:t>
            </w:r>
          </w:p>
        </w:tc>
        <w:tc>
          <w:tcPr>
            <w:tcW w:w="1987" w:type="dxa"/>
            <w:shd w:val="clear" w:color="auto" w:fill="1F4E79"/>
            <w:vAlign w:val="center"/>
          </w:tcPr>
          <w:p w14:paraId="2D27DBD3" w14:textId="77777777" w:rsidR="009776EE" w:rsidRDefault="00000000">
            <w:r>
              <w:rPr>
                <w:b/>
                <w:color w:val="FFFFFF"/>
                <w:sz w:val="19"/>
              </w:rPr>
              <w:t>Exited</w:t>
            </w:r>
          </w:p>
        </w:tc>
        <w:tc>
          <w:tcPr>
            <w:tcW w:w="1987" w:type="dxa"/>
            <w:shd w:val="clear" w:color="auto" w:fill="1F4E79"/>
            <w:vAlign w:val="center"/>
          </w:tcPr>
          <w:p w14:paraId="6D290A09" w14:textId="77777777" w:rsidR="009776EE" w:rsidRDefault="00000000">
            <w:r>
              <w:rPr>
                <w:b/>
                <w:color w:val="FFFFFF"/>
                <w:sz w:val="19"/>
              </w:rPr>
              <w:t>Churn Rate (%)</w:t>
            </w:r>
          </w:p>
        </w:tc>
      </w:tr>
      <w:tr w:rsidR="009776EE" w14:paraId="5CB2A420" w14:textId="77777777">
        <w:trPr>
          <w:jc w:val="center"/>
        </w:trPr>
        <w:tc>
          <w:tcPr>
            <w:tcW w:w="1987" w:type="dxa"/>
            <w:vAlign w:val="center"/>
          </w:tcPr>
          <w:p w14:paraId="07EF8517" w14:textId="77777777" w:rsidR="009776EE" w:rsidRDefault="00000000">
            <w:r>
              <w:rPr>
                <w:sz w:val="19"/>
              </w:rPr>
              <w:t>18–30</w:t>
            </w:r>
          </w:p>
        </w:tc>
        <w:tc>
          <w:tcPr>
            <w:tcW w:w="1987" w:type="dxa"/>
            <w:vAlign w:val="center"/>
          </w:tcPr>
          <w:p w14:paraId="0AD177F5" w14:textId="77777777" w:rsidR="009776EE" w:rsidRDefault="00000000">
            <w:r>
              <w:rPr>
                <w:sz w:val="19"/>
              </w:rPr>
              <w:t>1,641</w:t>
            </w:r>
          </w:p>
        </w:tc>
        <w:tc>
          <w:tcPr>
            <w:tcW w:w="1987" w:type="dxa"/>
            <w:vAlign w:val="center"/>
          </w:tcPr>
          <w:p w14:paraId="20F3B91D" w14:textId="77777777" w:rsidR="009776EE" w:rsidRDefault="00000000">
            <w:r>
              <w:rPr>
                <w:sz w:val="19"/>
              </w:rPr>
              <w:t>1,517</w:t>
            </w:r>
          </w:p>
        </w:tc>
        <w:tc>
          <w:tcPr>
            <w:tcW w:w="1987" w:type="dxa"/>
            <w:vAlign w:val="center"/>
          </w:tcPr>
          <w:p w14:paraId="41114F79" w14:textId="77777777" w:rsidR="009776EE" w:rsidRDefault="00000000">
            <w:r>
              <w:rPr>
                <w:sz w:val="19"/>
              </w:rPr>
              <w:t>124</w:t>
            </w:r>
          </w:p>
        </w:tc>
        <w:tc>
          <w:tcPr>
            <w:tcW w:w="1987" w:type="dxa"/>
            <w:vAlign w:val="center"/>
          </w:tcPr>
          <w:p w14:paraId="5022A8CD" w14:textId="77777777" w:rsidR="009776EE" w:rsidRDefault="00000000">
            <w:r>
              <w:rPr>
                <w:sz w:val="19"/>
              </w:rPr>
              <w:t>7.56%</w:t>
            </w:r>
          </w:p>
        </w:tc>
      </w:tr>
      <w:tr w:rsidR="009776EE" w14:paraId="3DD36E4B" w14:textId="77777777">
        <w:trPr>
          <w:jc w:val="center"/>
        </w:trPr>
        <w:tc>
          <w:tcPr>
            <w:tcW w:w="1987" w:type="dxa"/>
            <w:vAlign w:val="center"/>
          </w:tcPr>
          <w:p w14:paraId="4C4F4FCB" w14:textId="77777777" w:rsidR="009776EE" w:rsidRDefault="00000000">
            <w:r>
              <w:rPr>
                <w:sz w:val="19"/>
              </w:rPr>
              <w:t>31–40</w:t>
            </w:r>
          </w:p>
        </w:tc>
        <w:tc>
          <w:tcPr>
            <w:tcW w:w="1987" w:type="dxa"/>
            <w:vAlign w:val="center"/>
          </w:tcPr>
          <w:p w14:paraId="19B4F55E" w14:textId="77777777" w:rsidR="009776EE" w:rsidRDefault="00000000">
            <w:r>
              <w:rPr>
                <w:sz w:val="19"/>
              </w:rPr>
              <w:t>4,346</w:t>
            </w:r>
          </w:p>
        </w:tc>
        <w:tc>
          <w:tcPr>
            <w:tcW w:w="1987" w:type="dxa"/>
            <w:vAlign w:val="center"/>
          </w:tcPr>
          <w:p w14:paraId="4E35C9B9" w14:textId="77777777" w:rsidR="009776EE" w:rsidRDefault="00000000">
            <w:r>
              <w:rPr>
                <w:sz w:val="19"/>
              </w:rPr>
              <w:t>3,873</w:t>
            </w:r>
          </w:p>
        </w:tc>
        <w:tc>
          <w:tcPr>
            <w:tcW w:w="1987" w:type="dxa"/>
            <w:vAlign w:val="center"/>
          </w:tcPr>
          <w:p w14:paraId="0088AF5A" w14:textId="77777777" w:rsidR="009776EE" w:rsidRDefault="00000000">
            <w:r>
              <w:rPr>
                <w:sz w:val="19"/>
              </w:rPr>
              <w:t>473</w:t>
            </w:r>
          </w:p>
        </w:tc>
        <w:tc>
          <w:tcPr>
            <w:tcW w:w="1987" w:type="dxa"/>
            <w:vAlign w:val="center"/>
          </w:tcPr>
          <w:p w14:paraId="16BBCDD0" w14:textId="77777777" w:rsidR="009776EE" w:rsidRDefault="00000000">
            <w:r>
              <w:rPr>
                <w:sz w:val="19"/>
              </w:rPr>
              <w:t>10.88%</w:t>
            </w:r>
          </w:p>
        </w:tc>
      </w:tr>
      <w:tr w:rsidR="009776EE" w14:paraId="607DD953" w14:textId="77777777">
        <w:trPr>
          <w:jc w:val="center"/>
        </w:trPr>
        <w:tc>
          <w:tcPr>
            <w:tcW w:w="1987" w:type="dxa"/>
            <w:vAlign w:val="center"/>
          </w:tcPr>
          <w:p w14:paraId="733B0E65" w14:textId="77777777" w:rsidR="009776EE" w:rsidRDefault="00000000">
            <w:r>
              <w:rPr>
                <w:sz w:val="19"/>
              </w:rPr>
              <w:t>41–50</w:t>
            </w:r>
          </w:p>
        </w:tc>
        <w:tc>
          <w:tcPr>
            <w:tcW w:w="1987" w:type="dxa"/>
            <w:vAlign w:val="center"/>
          </w:tcPr>
          <w:p w14:paraId="3BA42470" w14:textId="77777777" w:rsidR="009776EE" w:rsidRDefault="00000000">
            <w:r>
              <w:rPr>
                <w:sz w:val="19"/>
              </w:rPr>
              <w:t>2,618</w:t>
            </w:r>
          </w:p>
        </w:tc>
        <w:tc>
          <w:tcPr>
            <w:tcW w:w="1987" w:type="dxa"/>
            <w:vAlign w:val="center"/>
          </w:tcPr>
          <w:p w14:paraId="2316BE52" w14:textId="77777777" w:rsidR="009776EE" w:rsidRDefault="00000000">
            <w:r>
              <w:rPr>
                <w:sz w:val="19"/>
              </w:rPr>
              <w:t>1,812</w:t>
            </w:r>
          </w:p>
        </w:tc>
        <w:tc>
          <w:tcPr>
            <w:tcW w:w="1987" w:type="dxa"/>
            <w:vAlign w:val="center"/>
          </w:tcPr>
          <w:p w14:paraId="3A901D44" w14:textId="77777777" w:rsidR="009776EE" w:rsidRDefault="00000000">
            <w:r>
              <w:rPr>
                <w:sz w:val="19"/>
              </w:rPr>
              <w:t>806</w:t>
            </w:r>
          </w:p>
        </w:tc>
        <w:tc>
          <w:tcPr>
            <w:tcW w:w="1987" w:type="dxa"/>
            <w:vAlign w:val="center"/>
          </w:tcPr>
          <w:p w14:paraId="45BF8C80" w14:textId="77777777" w:rsidR="009776EE" w:rsidRDefault="00000000">
            <w:r>
              <w:rPr>
                <w:sz w:val="19"/>
              </w:rPr>
              <w:t>30.79%</w:t>
            </w:r>
          </w:p>
        </w:tc>
      </w:tr>
      <w:tr w:rsidR="009776EE" w14:paraId="29EDAE0A" w14:textId="77777777">
        <w:trPr>
          <w:jc w:val="center"/>
        </w:trPr>
        <w:tc>
          <w:tcPr>
            <w:tcW w:w="1987" w:type="dxa"/>
            <w:vAlign w:val="center"/>
          </w:tcPr>
          <w:p w14:paraId="5707224A" w14:textId="77777777" w:rsidR="009776EE" w:rsidRDefault="00000000">
            <w:r>
              <w:rPr>
                <w:sz w:val="19"/>
              </w:rPr>
              <w:t>51–60</w:t>
            </w:r>
          </w:p>
        </w:tc>
        <w:tc>
          <w:tcPr>
            <w:tcW w:w="1987" w:type="dxa"/>
            <w:vAlign w:val="center"/>
          </w:tcPr>
          <w:p w14:paraId="47BB4241" w14:textId="77777777" w:rsidR="009776EE" w:rsidRDefault="00000000">
            <w:r>
              <w:rPr>
                <w:sz w:val="19"/>
              </w:rPr>
              <w:t>869</w:t>
            </w:r>
          </w:p>
        </w:tc>
        <w:tc>
          <w:tcPr>
            <w:tcW w:w="1987" w:type="dxa"/>
            <w:vAlign w:val="center"/>
          </w:tcPr>
          <w:p w14:paraId="75E99B7D" w14:textId="77777777" w:rsidR="009776EE" w:rsidRDefault="00000000">
            <w:r>
              <w:rPr>
                <w:sz w:val="19"/>
              </w:rPr>
              <w:t>382</w:t>
            </w:r>
          </w:p>
        </w:tc>
        <w:tc>
          <w:tcPr>
            <w:tcW w:w="1987" w:type="dxa"/>
            <w:vAlign w:val="center"/>
          </w:tcPr>
          <w:p w14:paraId="1DFF0F7C" w14:textId="77777777" w:rsidR="009776EE" w:rsidRDefault="00000000">
            <w:r>
              <w:rPr>
                <w:sz w:val="19"/>
              </w:rPr>
              <w:t>487</w:t>
            </w:r>
          </w:p>
        </w:tc>
        <w:tc>
          <w:tcPr>
            <w:tcW w:w="1987" w:type="dxa"/>
            <w:vAlign w:val="center"/>
          </w:tcPr>
          <w:p w14:paraId="5D01D24D" w14:textId="77777777" w:rsidR="009776EE" w:rsidRDefault="00000000">
            <w:r>
              <w:rPr>
                <w:sz w:val="19"/>
              </w:rPr>
              <w:t>56.04%</w:t>
            </w:r>
          </w:p>
        </w:tc>
      </w:tr>
      <w:tr w:rsidR="009776EE" w14:paraId="5F904205" w14:textId="77777777">
        <w:trPr>
          <w:jc w:val="center"/>
        </w:trPr>
        <w:tc>
          <w:tcPr>
            <w:tcW w:w="1987" w:type="dxa"/>
            <w:vAlign w:val="center"/>
          </w:tcPr>
          <w:p w14:paraId="1E3A75D9" w14:textId="77777777" w:rsidR="009776EE" w:rsidRDefault="00000000">
            <w:r>
              <w:rPr>
                <w:sz w:val="19"/>
              </w:rPr>
              <w:t>61–70</w:t>
            </w:r>
          </w:p>
        </w:tc>
        <w:tc>
          <w:tcPr>
            <w:tcW w:w="1987" w:type="dxa"/>
            <w:vAlign w:val="center"/>
          </w:tcPr>
          <w:p w14:paraId="43C7D2DC" w14:textId="77777777" w:rsidR="009776EE" w:rsidRDefault="00000000">
            <w:r>
              <w:rPr>
                <w:sz w:val="19"/>
              </w:rPr>
              <w:t>375</w:t>
            </w:r>
          </w:p>
        </w:tc>
        <w:tc>
          <w:tcPr>
            <w:tcW w:w="1987" w:type="dxa"/>
            <w:vAlign w:val="center"/>
          </w:tcPr>
          <w:p w14:paraId="63F11145" w14:textId="77777777" w:rsidR="009776EE" w:rsidRDefault="00000000">
            <w:r>
              <w:rPr>
                <w:sz w:val="19"/>
              </w:rPr>
              <w:t>243</w:t>
            </w:r>
          </w:p>
        </w:tc>
        <w:tc>
          <w:tcPr>
            <w:tcW w:w="1987" w:type="dxa"/>
            <w:vAlign w:val="center"/>
          </w:tcPr>
          <w:p w14:paraId="32306B9E" w14:textId="77777777" w:rsidR="009776EE" w:rsidRDefault="00000000">
            <w:r>
              <w:rPr>
                <w:sz w:val="19"/>
              </w:rPr>
              <w:t>132</w:t>
            </w:r>
          </w:p>
        </w:tc>
        <w:tc>
          <w:tcPr>
            <w:tcW w:w="1987" w:type="dxa"/>
            <w:vAlign w:val="center"/>
          </w:tcPr>
          <w:p w14:paraId="069D674A" w14:textId="77777777" w:rsidR="009776EE" w:rsidRDefault="00000000">
            <w:r>
              <w:rPr>
                <w:sz w:val="19"/>
              </w:rPr>
              <w:t>35.20%</w:t>
            </w:r>
          </w:p>
        </w:tc>
      </w:tr>
      <w:tr w:rsidR="009776EE" w14:paraId="75C1D855" w14:textId="77777777">
        <w:trPr>
          <w:jc w:val="center"/>
        </w:trPr>
        <w:tc>
          <w:tcPr>
            <w:tcW w:w="1987" w:type="dxa"/>
            <w:vAlign w:val="center"/>
          </w:tcPr>
          <w:p w14:paraId="3C41A63D" w14:textId="77777777" w:rsidR="009776EE" w:rsidRDefault="00000000">
            <w:r>
              <w:rPr>
                <w:sz w:val="19"/>
              </w:rPr>
              <w:t>70+</w:t>
            </w:r>
          </w:p>
        </w:tc>
        <w:tc>
          <w:tcPr>
            <w:tcW w:w="1987" w:type="dxa"/>
            <w:vAlign w:val="center"/>
          </w:tcPr>
          <w:p w14:paraId="3D9345A1" w14:textId="77777777" w:rsidR="009776EE" w:rsidRDefault="00000000">
            <w:r>
              <w:rPr>
                <w:sz w:val="19"/>
              </w:rPr>
              <w:t>151</w:t>
            </w:r>
          </w:p>
        </w:tc>
        <w:tc>
          <w:tcPr>
            <w:tcW w:w="1987" w:type="dxa"/>
            <w:vAlign w:val="center"/>
          </w:tcPr>
          <w:p w14:paraId="55E318AA" w14:textId="77777777" w:rsidR="009776EE" w:rsidRDefault="00000000">
            <w:r>
              <w:rPr>
                <w:sz w:val="19"/>
              </w:rPr>
              <w:t>136</w:t>
            </w:r>
          </w:p>
        </w:tc>
        <w:tc>
          <w:tcPr>
            <w:tcW w:w="1987" w:type="dxa"/>
            <w:vAlign w:val="center"/>
          </w:tcPr>
          <w:p w14:paraId="0436102C" w14:textId="77777777" w:rsidR="009776EE" w:rsidRDefault="00000000">
            <w:r>
              <w:rPr>
                <w:sz w:val="19"/>
              </w:rPr>
              <w:t>15</w:t>
            </w:r>
          </w:p>
        </w:tc>
        <w:tc>
          <w:tcPr>
            <w:tcW w:w="1987" w:type="dxa"/>
            <w:vAlign w:val="center"/>
          </w:tcPr>
          <w:p w14:paraId="2917165E" w14:textId="77777777" w:rsidR="009776EE" w:rsidRDefault="00000000">
            <w:r>
              <w:rPr>
                <w:sz w:val="19"/>
              </w:rPr>
              <w:t>9.93%</w:t>
            </w:r>
          </w:p>
        </w:tc>
      </w:tr>
    </w:tbl>
    <w:p w14:paraId="289519F5" w14:textId="77777777" w:rsidR="009776EE" w:rsidRDefault="009776EE"/>
    <w:p w14:paraId="7B11A730" w14:textId="77777777" w:rsidR="009776EE" w:rsidRDefault="00000000">
      <w:pPr>
        <w:pStyle w:val="21"/>
      </w:pPr>
      <w:r>
        <w:t>3.4 Member Activity Impact</w:t>
      </w:r>
    </w:p>
    <w:p w14:paraId="6F47DECF" w14:textId="77777777" w:rsidR="009776EE" w:rsidRDefault="00000000">
      <w:pPr>
        <w:spacing w:after="120"/>
      </w:pPr>
      <w:r>
        <w:t>Member engagement is a critical determinant of retention. Among the 5,151 active members, the churn rate is restricted to 14.27%. Conversely, among the 4,849 inactive members, churn surges to 26.85%. This underscores the efficacy of digital engagement and proactive outreach in mitigating attrition risk.</w:t>
      </w:r>
    </w:p>
    <w:p w14:paraId="333BAD80" w14:textId="77777777" w:rsidR="009776EE" w:rsidRDefault="00000000">
      <w:pPr>
        <w:jc w:val="center"/>
      </w:pPr>
      <w:r>
        <w:rPr>
          <w:noProof/>
        </w:rPr>
        <w:drawing>
          <wp:inline distT="0" distB="0" distL="0" distR="0" wp14:anchorId="4CEE45E4" wp14:editId="6BFC12D1">
            <wp:extent cx="5669280" cy="2998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hurn_by_active_status.png"/>
                    <pic:cNvPicPr/>
                  </pic:nvPicPr>
                  <pic:blipFill>
                    <a:blip r:embed="rId12"/>
                    <a:stretch>
                      <a:fillRect/>
                    </a:stretch>
                  </pic:blipFill>
                  <pic:spPr>
                    <a:xfrm>
                      <a:off x="0" y="0"/>
                      <a:ext cx="5669280" cy="2998177"/>
                    </a:xfrm>
                    <a:prstGeom prst="rect">
                      <a:avLst/>
                    </a:prstGeom>
                  </pic:spPr>
                </pic:pic>
              </a:graphicData>
            </a:graphic>
          </wp:inline>
        </w:drawing>
      </w:r>
    </w:p>
    <w:p w14:paraId="137BDC8C" w14:textId="77777777" w:rsidR="009776EE" w:rsidRDefault="00000000">
      <w:pPr>
        <w:jc w:val="center"/>
      </w:pPr>
      <w:r>
        <w:rPr>
          <w:i/>
          <w:sz w:val="18"/>
        </w:rPr>
        <w:lastRenderedPageBreak/>
        <w:t>Figure 5: Churn by Active-Member Status</w:t>
      </w:r>
    </w:p>
    <w:p w14:paraId="11C8A08F" w14:textId="77777777" w:rsidR="009776EE" w:rsidRDefault="00000000">
      <w:pPr>
        <w:pStyle w:val="1"/>
      </w:pPr>
      <w:r>
        <w:t>4. Strategic Recommendations &amp; Action Plan</w:t>
      </w:r>
    </w:p>
    <w:p w14:paraId="58C43C2E" w14:textId="77777777" w:rsidR="009776EE" w:rsidRDefault="00000000">
      <w:pPr>
        <w:spacing w:after="120"/>
      </w:pPr>
      <w:r>
        <w:t>Based on the quantitative findings and visual insights, management should prioritize the following four strategic initiatives:</w:t>
      </w:r>
    </w:p>
    <w:p w14:paraId="7B458D52" w14:textId="77777777" w:rsidR="009776EE" w:rsidRDefault="00000000">
      <w:pPr>
        <w:spacing w:after="120"/>
      </w:pPr>
      <w:r>
        <w:t>1. Launch Germany-Specific Retention Taskforce: Address the 32.44% attrition rate in Germany by reviewing localized product pricing, fee structures, and competitive offerings against regional retail banks.</w:t>
      </w:r>
    </w:p>
    <w:p w14:paraId="364B701C" w14:textId="77777777" w:rsidR="009776EE" w:rsidRDefault="00000000">
      <w:pPr>
        <w:spacing w:after="120"/>
      </w:pPr>
      <w:r>
        <w:t>2. Dedicated Relationship Management for Ages 41–60: Given the severe drop-off observed in middle-aged cohorts (peaking at 56.04% for ages 51–60), assign dedicated financial advisors to provide personalized wealth management and asset-planning consultations.</w:t>
      </w:r>
    </w:p>
    <w:p w14:paraId="0718BC9D" w14:textId="77777777" w:rsidR="009776EE" w:rsidRDefault="00000000">
      <w:pPr>
        <w:spacing w:after="120"/>
      </w:pPr>
      <w:r>
        <w:t>3. Automated Inactive-Member Re-engagement Campaigns: Implement targeted digital marketing and incentive campaigns for the 4,849 inactive members to bridge engagement gaps and reduce their 26.85% churn baseline.</w:t>
      </w:r>
    </w:p>
    <w:p w14:paraId="5B088FBA" w14:textId="77777777" w:rsidR="009776EE" w:rsidRDefault="00000000">
      <w:pPr>
        <w:spacing w:after="120"/>
      </w:pPr>
      <w:r>
        <w:t>4. Female Segment Experience Review: Conduct qualitative user research to identify unmet financial or service needs among female account holders, ensuring equitable product satisfaction.</w:t>
      </w:r>
    </w:p>
    <w:tbl>
      <w:tblPr>
        <w:tblStyle w:val="aff2"/>
        <w:tblW w:w="0" w:type="auto"/>
        <w:jc w:val="center"/>
        <w:tblLook w:val="04A0" w:firstRow="1" w:lastRow="0" w:firstColumn="1" w:lastColumn="0" w:noHBand="0" w:noVBand="1"/>
      </w:tblPr>
      <w:tblGrid>
        <w:gridCol w:w="1987"/>
        <w:gridCol w:w="1987"/>
        <w:gridCol w:w="1987"/>
        <w:gridCol w:w="1987"/>
        <w:gridCol w:w="1987"/>
      </w:tblGrid>
      <w:tr w:rsidR="009776EE" w14:paraId="67B1BA3F" w14:textId="77777777">
        <w:trPr>
          <w:jc w:val="center"/>
        </w:trPr>
        <w:tc>
          <w:tcPr>
            <w:tcW w:w="1987" w:type="dxa"/>
            <w:shd w:val="clear" w:color="auto" w:fill="1F4E79"/>
            <w:vAlign w:val="center"/>
          </w:tcPr>
          <w:p w14:paraId="727EB15A" w14:textId="77777777" w:rsidR="009776EE" w:rsidRDefault="00000000">
            <w:r>
              <w:rPr>
                <w:b/>
                <w:color w:val="FFFFFF"/>
                <w:sz w:val="19"/>
              </w:rPr>
              <w:t>Priority</w:t>
            </w:r>
          </w:p>
        </w:tc>
        <w:tc>
          <w:tcPr>
            <w:tcW w:w="1987" w:type="dxa"/>
            <w:shd w:val="clear" w:color="auto" w:fill="1F4E79"/>
            <w:vAlign w:val="center"/>
          </w:tcPr>
          <w:p w14:paraId="0166C149" w14:textId="77777777" w:rsidR="009776EE" w:rsidRDefault="00000000">
            <w:r>
              <w:rPr>
                <w:b/>
                <w:color w:val="FFFFFF"/>
                <w:sz w:val="19"/>
              </w:rPr>
              <w:t>Target Segment</w:t>
            </w:r>
          </w:p>
        </w:tc>
        <w:tc>
          <w:tcPr>
            <w:tcW w:w="1987" w:type="dxa"/>
            <w:shd w:val="clear" w:color="auto" w:fill="1F4E79"/>
            <w:vAlign w:val="center"/>
          </w:tcPr>
          <w:p w14:paraId="5E11BD19" w14:textId="77777777" w:rsidR="009776EE" w:rsidRDefault="00000000">
            <w:r>
              <w:rPr>
                <w:b/>
                <w:color w:val="FFFFFF"/>
                <w:sz w:val="19"/>
              </w:rPr>
              <w:t>Risk Signal</w:t>
            </w:r>
          </w:p>
        </w:tc>
        <w:tc>
          <w:tcPr>
            <w:tcW w:w="1987" w:type="dxa"/>
            <w:shd w:val="clear" w:color="auto" w:fill="1F4E79"/>
            <w:vAlign w:val="center"/>
          </w:tcPr>
          <w:p w14:paraId="69904F08" w14:textId="77777777" w:rsidR="009776EE" w:rsidRDefault="00000000">
            <w:r>
              <w:rPr>
                <w:b/>
                <w:color w:val="FFFFFF"/>
                <w:sz w:val="19"/>
              </w:rPr>
              <w:t>Recommended Action</w:t>
            </w:r>
          </w:p>
        </w:tc>
        <w:tc>
          <w:tcPr>
            <w:tcW w:w="1987" w:type="dxa"/>
            <w:shd w:val="clear" w:color="auto" w:fill="1F4E79"/>
            <w:vAlign w:val="center"/>
          </w:tcPr>
          <w:p w14:paraId="6034E13D" w14:textId="77777777" w:rsidR="009776EE" w:rsidRDefault="00000000">
            <w:r>
              <w:rPr>
                <w:b/>
                <w:color w:val="FFFFFF"/>
                <w:sz w:val="19"/>
              </w:rPr>
              <w:t>Success Metric</w:t>
            </w:r>
          </w:p>
        </w:tc>
      </w:tr>
      <w:tr w:rsidR="009776EE" w14:paraId="0C4EC9B4" w14:textId="77777777">
        <w:trPr>
          <w:jc w:val="center"/>
        </w:trPr>
        <w:tc>
          <w:tcPr>
            <w:tcW w:w="1987" w:type="dxa"/>
            <w:vAlign w:val="center"/>
          </w:tcPr>
          <w:p w14:paraId="284301F8" w14:textId="77777777" w:rsidR="009776EE" w:rsidRDefault="00000000">
            <w:r>
              <w:rPr>
                <w:sz w:val="19"/>
              </w:rPr>
              <w:t>High</w:t>
            </w:r>
          </w:p>
        </w:tc>
        <w:tc>
          <w:tcPr>
            <w:tcW w:w="1987" w:type="dxa"/>
            <w:vAlign w:val="center"/>
          </w:tcPr>
          <w:p w14:paraId="2DAF3CF8" w14:textId="77777777" w:rsidR="009776EE" w:rsidRDefault="00000000">
            <w:r>
              <w:rPr>
                <w:sz w:val="19"/>
              </w:rPr>
              <w:t>Germany</w:t>
            </w:r>
          </w:p>
        </w:tc>
        <w:tc>
          <w:tcPr>
            <w:tcW w:w="1987" w:type="dxa"/>
            <w:vAlign w:val="center"/>
          </w:tcPr>
          <w:p w14:paraId="36C2C093" w14:textId="77777777" w:rsidR="009776EE" w:rsidRDefault="00000000">
            <w:r>
              <w:rPr>
                <w:sz w:val="19"/>
              </w:rPr>
              <w:t>32.44% Churn Rate</w:t>
            </w:r>
          </w:p>
        </w:tc>
        <w:tc>
          <w:tcPr>
            <w:tcW w:w="1987" w:type="dxa"/>
            <w:vAlign w:val="center"/>
          </w:tcPr>
          <w:p w14:paraId="68629001" w14:textId="77777777" w:rsidR="009776EE" w:rsidRDefault="00000000">
            <w:r>
              <w:rPr>
                <w:sz w:val="19"/>
              </w:rPr>
              <w:t>Audit local pricing &amp; competitive positioning</w:t>
            </w:r>
          </w:p>
        </w:tc>
        <w:tc>
          <w:tcPr>
            <w:tcW w:w="1987" w:type="dxa"/>
            <w:vAlign w:val="center"/>
          </w:tcPr>
          <w:p w14:paraId="283B76F1" w14:textId="77777777" w:rsidR="009776EE" w:rsidRDefault="00000000">
            <w:r>
              <w:rPr>
                <w:sz w:val="19"/>
              </w:rPr>
              <w:t>90-Day Retention Rate</w:t>
            </w:r>
          </w:p>
        </w:tc>
      </w:tr>
      <w:tr w:rsidR="009776EE" w14:paraId="793606EA" w14:textId="77777777">
        <w:trPr>
          <w:jc w:val="center"/>
        </w:trPr>
        <w:tc>
          <w:tcPr>
            <w:tcW w:w="1987" w:type="dxa"/>
            <w:vAlign w:val="center"/>
          </w:tcPr>
          <w:p w14:paraId="459CC32D" w14:textId="77777777" w:rsidR="009776EE" w:rsidRDefault="00000000">
            <w:r>
              <w:rPr>
                <w:sz w:val="19"/>
              </w:rPr>
              <w:t>High</w:t>
            </w:r>
          </w:p>
        </w:tc>
        <w:tc>
          <w:tcPr>
            <w:tcW w:w="1987" w:type="dxa"/>
            <w:vAlign w:val="center"/>
          </w:tcPr>
          <w:p w14:paraId="29F86573" w14:textId="77777777" w:rsidR="009776EE" w:rsidRDefault="00000000">
            <w:r>
              <w:rPr>
                <w:sz w:val="19"/>
              </w:rPr>
              <w:t>Ages 51–60</w:t>
            </w:r>
          </w:p>
        </w:tc>
        <w:tc>
          <w:tcPr>
            <w:tcW w:w="1987" w:type="dxa"/>
            <w:vAlign w:val="center"/>
          </w:tcPr>
          <w:p w14:paraId="3958A6EC" w14:textId="77777777" w:rsidR="009776EE" w:rsidRDefault="00000000">
            <w:r>
              <w:rPr>
                <w:sz w:val="19"/>
              </w:rPr>
              <w:t>56.04% Churn Rate</w:t>
            </w:r>
          </w:p>
        </w:tc>
        <w:tc>
          <w:tcPr>
            <w:tcW w:w="1987" w:type="dxa"/>
            <w:vAlign w:val="center"/>
          </w:tcPr>
          <w:p w14:paraId="190883C7" w14:textId="77777777" w:rsidR="009776EE" w:rsidRDefault="00000000">
            <w:r>
              <w:rPr>
                <w:sz w:val="19"/>
              </w:rPr>
              <w:t>Deploy dedicated advisory &amp; loyalty perks</w:t>
            </w:r>
          </w:p>
        </w:tc>
        <w:tc>
          <w:tcPr>
            <w:tcW w:w="1987" w:type="dxa"/>
            <w:vAlign w:val="center"/>
          </w:tcPr>
          <w:p w14:paraId="76B42D2D" w14:textId="77777777" w:rsidR="009776EE" w:rsidRDefault="00000000">
            <w:r>
              <w:rPr>
                <w:sz w:val="19"/>
              </w:rPr>
              <w:t>Segment Attrition Rate</w:t>
            </w:r>
          </w:p>
        </w:tc>
      </w:tr>
      <w:tr w:rsidR="009776EE" w14:paraId="20875D27" w14:textId="77777777">
        <w:trPr>
          <w:jc w:val="center"/>
        </w:trPr>
        <w:tc>
          <w:tcPr>
            <w:tcW w:w="1987" w:type="dxa"/>
            <w:vAlign w:val="center"/>
          </w:tcPr>
          <w:p w14:paraId="28B42AAE" w14:textId="77777777" w:rsidR="009776EE" w:rsidRDefault="00000000">
            <w:r>
              <w:rPr>
                <w:sz w:val="19"/>
              </w:rPr>
              <w:t>Medium-High</w:t>
            </w:r>
          </w:p>
        </w:tc>
        <w:tc>
          <w:tcPr>
            <w:tcW w:w="1987" w:type="dxa"/>
            <w:vAlign w:val="center"/>
          </w:tcPr>
          <w:p w14:paraId="22D62FCD" w14:textId="77777777" w:rsidR="009776EE" w:rsidRDefault="00000000">
            <w:r>
              <w:rPr>
                <w:sz w:val="19"/>
              </w:rPr>
              <w:t>Inactive Members</w:t>
            </w:r>
          </w:p>
        </w:tc>
        <w:tc>
          <w:tcPr>
            <w:tcW w:w="1987" w:type="dxa"/>
            <w:vAlign w:val="center"/>
          </w:tcPr>
          <w:p w14:paraId="0DF4961B" w14:textId="77777777" w:rsidR="009776EE" w:rsidRDefault="00000000">
            <w:r>
              <w:rPr>
                <w:sz w:val="19"/>
              </w:rPr>
              <w:t>26.85% Churn Rate</w:t>
            </w:r>
          </w:p>
        </w:tc>
        <w:tc>
          <w:tcPr>
            <w:tcW w:w="1987" w:type="dxa"/>
            <w:vAlign w:val="center"/>
          </w:tcPr>
          <w:p w14:paraId="7B2F39FC" w14:textId="77777777" w:rsidR="009776EE" w:rsidRDefault="00000000">
            <w:r>
              <w:rPr>
                <w:sz w:val="19"/>
              </w:rPr>
              <w:t>Execute automated re-engagement workflows</w:t>
            </w:r>
          </w:p>
        </w:tc>
        <w:tc>
          <w:tcPr>
            <w:tcW w:w="1987" w:type="dxa"/>
            <w:vAlign w:val="center"/>
          </w:tcPr>
          <w:p w14:paraId="5DD070E1" w14:textId="77777777" w:rsidR="009776EE" w:rsidRDefault="00000000">
            <w:r>
              <w:rPr>
                <w:sz w:val="19"/>
              </w:rPr>
              <w:t>Active Member Ratio</w:t>
            </w:r>
          </w:p>
        </w:tc>
      </w:tr>
      <w:tr w:rsidR="009776EE" w14:paraId="2E08E8B1" w14:textId="77777777">
        <w:trPr>
          <w:jc w:val="center"/>
        </w:trPr>
        <w:tc>
          <w:tcPr>
            <w:tcW w:w="1987" w:type="dxa"/>
            <w:vAlign w:val="center"/>
          </w:tcPr>
          <w:p w14:paraId="040D6CD9" w14:textId="77777777" w:rsidR="009776EE" w:rsidRDefault="00000000">
            <w:r>
              <w:rPr>
                <w:sz w:val="19"/>
              </w:rPr>
              <w:t>Medium</w:t>
            </w:r>
          </w:p>
        </w:tc>
        <w:tc>
          <w:tcPr>
            <w:tcW w:w="1987" w:type="dxa"/>
            <w:vAlign w:val="center"/>
          </w:tcPr>
          <w:p w14:paraId="121585D8" w14:textId="77777777" w:rsidR="009776EE" w:rsidRDefault="00000000">
            <w:r>
              <w:rPr>
                <w:sz w:val="19"/>
              </w:rPr>
              <w:t>Female Customers</w:t>
            </w:r>
          </w:p>
        </w:tc>
        <w:tc>
          <w:tcPr>
            <w:tcW w:w="1987" w:type="dxa"/>
            <w:vAlign w:val="center"/>
          </w:tcPr>
          <w:p w14:paraId="5EBC6E1B" w14:textId="77777777" w:rsidR="009776EE" w:rsidRDefault="00000000">
            <w:r>
              <w:rPr>
                <w:sz w:val="19"/>
              </w:rPr>
              <w:t>25.07% Churn Rate</w:t>
            </w:r>
          </w:p>
        </w:tc>
        <w:tc>
          <w:tcPr>
            <w:tcW w:w="1987" w:type="dxa"/>
            <w:vAlign w:val="center"/>
          </w:tcPr>
          <w:p w14:paraId="7DD8FC50" w14:textId="77777777" w:rsidR="009776EE" w:rsidRDefault="00000000">
            <w:r>
              <w:rPr>
                <w:sz w:val="19"/>
              </w:rPr>
              <w:t>Conduct qualitative surveys &amp; UX audits</w:t>
            </w:r>
          </w:p>
        </w:tc>
        <w:tc>
          <w:tcPr>
            <w:tcW w:w="1987" w:type="dxa"/>
            <w:vAlign w:val="center"/>
          </w:tcPr>
          <w:p w14:paraId="08548898" w14:textId="77777777" w:rsidR="009776EE" w:rsidRDefault="00000000">
            <w:r>
              <w:rPr>
                <w:sz w:val="19"/>
              </w:rPr>
              <w:t>Customer Satisfaction Score</w:t>
            </w:r>
          </w:p>
        </w:tc>
      </w:tr>
    </w:tbl>
    <w:p w14:paraId="26D38DFE" w14:textId="77777777" w:rsidR="009776EE" w:rsidRDefault="009776EE"/>
    <w:p w14:paraId="1CFB0BE3" w14:textId="77777777" w:rsidR="009776EE" w:rsidRDefault="00000000">
      <w:pPr>
        <w:pStyle w:val="1"/>
      </w:pPr>
      <w:r>
        <w:t>5. Project Limitations &amp; Future Scope</w:t>
      </w:r>
    </w:p>
    <w:p w14:paraId="6603C94C" w14:textId="77777777" w:rsidR="009776EE" w:rsidRDefault="00000000">
      <w:pPr>
        <w:spacing w:after="120"/>
      </w:pPr>
      <w:r>
        <w:t>While this report provides actionable descriptive insights, certain limitations should be noted. The dataset represents a cross-sectional sample without longitudinal tracking, precluding causal inference between demographic attributes and churn events. Furthermore, technical identifiers such as CustomerId were programmatically generated to support Tableau integration and do not reflect internal bank CRM primary keys.</w:t>
      </w:r>
    </w:p>
    <w:p w14:paraId="3A4E4D8A" w14:textId="77777777" w:rsidR="009776EE" w:rsidRDefault="00000000">
      <w:pPr>
        <w:spacing w:after="120"/>
      </w:pPr>
      <w:r>
        <w:t>Future iterations of this portfolio project will incorporate time-series behavioral tracking, customer service interaction logs, and transactional frequency metrics to transition from descriptive risk scoring to predictive survival analysis.</w:t>
      </w:r>
    </w:p>
    <w:p w14:paraId="6901744F" w14:textId="77777777" w:rsidR="009776EE" w:rsidRDefault="00000000">
      <w:pPr>
        <w:pStyle w:val="1"/>
      </w:pPr>
      <w:r>
        <w:t>References</w:t>
      </w:r>
    </w:p>
    <w:p w14:paraId="77D7D7FB" w14:textId="77777777" w:rsidR="009776EE" w:rsidRDefault="00000000">
      <w:pPr>
        <w:spacing w:after="120"/>
      </w:pPr>
      <w:r>
        <w:t>[1] Bank Customer Churn Dataset (10,000 Records, Standardized Analytics Release). Prepared for Retail Banking Portfolio Analysis, 2026.</w:t>
      </w:r>
    </w:p>
    <w:p w14:paraId="2E85BDDB" w14:textId="77777777" w:rsidR="009776EE" w:rsidRDefault="00000000">
      <w:pPr>
        <w:spacing w:after="120"/>
      </w:pPr>
      <w:r>
        <w:t>[2] Tableau Desktop &amp; Interactive Dashboard Technical Documentation, Version 2026.1.</w:t>
      </w:r>
    </w:p>
    <w:p w14:paraId="5BD15632" w14:textId="77777777" w:rsidR="009776EE" w:rsidRDefault="00000000">
      <w:pPr>
        <w:spacing w:after="120"/>
      </w:pPr>
      <w:r>
        <w:t>[3] Python Software Foundation. Python 3.11 Standard Library and Pandas/Matplotlib Data Analysis Framework.</w:t>
      </w:r>
    </w:p>
    <w:sectPr w:rsidR="009776EE"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D0CEB" w14:textId="77777777" w:rsidR="00356CA7" w:rsidRDefault="00356CA7">
      <w:pPr>
        <w:spacing w:after="0" w:line="240" w:lineRule="auto"/>
      </w:pPr>
      <w:r>
        <w:separator/>
      </w:r>
    </w:p>
  </w:endnote>
  <w:endnote w:type="continuationSeparator" w:id="0">
    <w:p w14:paraId="7BF41158" w14:textId="77777777" w:rsidR="00356CA7" w:rsidRDefault="00356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48BE" w14:textId="77777777" w:rsidR="009776EE" w:rsidRDefault="00000000">
    <w:pPr>
      <w:pStyle w:val="a7"/>
      <w:jc w:val="center"/>
    </w:pPr>
    <w:r>
      <w:rPr>
        <w:color w:val="808080"/>
        <w:sz w:val="17"/>
      </w:rPr>
      <w:t>Retail Banking Customer Churn Analysis | Data Analyst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5F66" w14:textId="77777777" w:rsidR="00356CA7" w:rsidRDefault="00356CA7">
      <w:pPr>
        <w:spacing w:after="0" w:line="240" w:lineRule="auto"/>
      </w:pPr>
      <w:r>
        <w:separator/>
      </w:r>
    </w:p>
  </w:footnote>
  <w:footnote w:type="continuationSeparator" w:id="0">
    <w:p w14:paraId="6D10D16C" w14:textId="77777777" w:rsidR="00356CA7" w:rsidRDefault="00356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09508931">
    <w:abstractNumId w:val="8"/>
  </w:num>
  <w:num w:numId="2" w16cid:durableId="184171162">
    <w:abstractNumId w:val="6"/>
  </w:num>
  <w:num w:numId="3" w16cid:durableId="608395919">
    <w:abstractNumId w:val="5"/>
  </w:num>
  <w:num w:numId="4" w16cid:durableId="1970740359">
    <w:abstractNumId w:val="4"/>
  </w:num>
  <w:num w:numId="5" w16cid:durableId="1065180800">
    <w:abstractNumId w:val="7"/>
  </w:num>
  <w:num w:numId="6" w16cid:durableId="2021810662">
    <w:abstractNumId w:val="3"/>
  </w:num>
  <w:num w:numId="7" w16cid:durableId="469202970">
    <w:abstractNumId w:val="2"/>
  </w:num>
  <w:num w:numId="8" w16cid:durableId="418142337">
    <w:abstractNumId w:val="1"/>
  </w:num>
  <w:num w:numId="9" w16cid:durableId="116412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EA9"/>
    <w:rsid w:val="0029639D"/>
    <w:rsid w:val="00326F90"/>
    <w:rsid w:val="00356CA7"/>
    <w:rsid w:val="009776EE"/>
    <w:rsid w:val="0098493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B9BF1"/>
  <w14:defaultImageDpi w14:val="300"/>
  <w15:docId w15:val="{327A06DF-3BC6-45E6-8B65-8D78A5F64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1032</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Leung</cp:lastModifiedBy>
  <cp:revision>2</cp:revision>
  <dcterms:created xsi:type="dcterms:W3CDTF">2013-12-23T23:15:00Z</dcterms:created>
  <dcterms:modified xsi:type="dcterms:W3CDTF">2026-08-14T16:00:00Z</dcterms:modified>
  <cp:category/>
</cp:coreProperties>
</file>