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2" w:lineRule="auto"/>
        <w:rPr>
          <w:rFonts w:ascii="Arial"/>
          <w:sz w:val="21"/>
        </w:rPr>
      </w:pPr>
    </w:p>
    <w:p>
      <w:pPr>
        <w:spacing w:before="140" w:line="222" w:lineRule="auto"/>
        <w:ind w:left="1255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color w:val="FF0000"/>
          <w:sz w:val="43"/>
          <w:szCs w:val="43"/>
          <w14:textOutline w14:w="7972" w14:cap="sq" w14:cmpd="sng">
            <w14:solidFill>
              <w14:srgbClr w14:val="FF0000"/>
            </w14:solidFill>
            <w14:prstDash w14:val="solid"/>
            <w14:bevel/>
          </w14:textOutline>
        </w:rPr>
        <w:t>股债联动精选池</w:t>
      </w:r>
      <w:r>
        <w:rPr>
          <w:rFonts w:ascii="宋体" w:hAnsi="宋体" w:eastAsia="宋体" w:cs="宋体"/>
          <w:color w:val="FF0000"/>
          <w:sz w:val="43"/>
          <w:szCs w:val="43"/>
        </w:rPr>
        <w:t xml:space="preserve"> </w:t>
      </w:r>
      <w:r>
        <w:rPr>
          <w:rFonts w:ascii="宋体" w:hAnsi="宋体" w:eastAsia="宋体" w:cs="宋体"/>
          <w:color w:val="FF0000"/>
          <w:sz w:val="43"/>
          <w:szCs w:val="43"/>
          <w14:textOutline w14:w="7972" w14:cap="sq" w14:cmpd="sng">
            <w14:solidFill>
              <w14:srgbClr w14:val="FF0000"/>
            </w14:solidFill>
            <w14:prstDash w14:val="solid"/>
            <w14:bevel/>
          </w14:textOutline>
        </w:rPr>
        <w:t>(</w:t>
      </w:r>
      <w:r>
        <w:rPr>
          <w:rFonts w:hint="eastAsia" w:ascii="Calibri" w:hAnsi="Calibri" w:eastAsia="宋体" w:cs="Calibri"/>
          <w:b/>
          <w:bCs/>
          <w:color w:val="FF0000"/>
          <w:sz w:val="43"/>
          <w:szCs w:val="43"/>
          <w:lang w:val="en-US" w:eastAsia="zh-CN"/>
        </w:rPr>
        <w:t>4</w:t>
      </w:r>
      <w:r>
        <w:rPr>
          <w:rFonts w:ascii="宋体" w:hAnsi="宋体" w:eastAsia="宋体" w:cs="宋体"/>
          <w:color w:val="FF0000"/>
          <w:sz w:val="43"/>
          <w:szCs w:val="43"/>
          <w14:textOutline w14:w="7972" w14:cap="sq" w14:cmpd="sng">
            <w14:solidFill>
              <w14:srgbClr w14:val="FF0000"/>
            </w14:solidFill>
            <w14:prstDash w14:val="solid"/>
            <w14:bevel/>
          </w14:textOutline>
        </w:rPr>
        <w:t>月</w:t>
      </w:r>
      <w:r>
        <w:rPr>
          <w:rFonts w:ascii="Calibri" w:hAnsi="Calibri" w:eastAsia="Calibri" w:cs="Calibri"/>
          <w:b/>
          <w:bCs/>
          <w:color w:val="FF0000"/>
          <w:sz w:val="43"/>
          <w:szCs w:val="43"/>
        </w:rPr>
        <w:t>1</w:t>
      </w:r>
      <w:r>
        <w:rPr>
          <w:rFonts w:hint="eastAsia" w:ascii="Calibri" w:hAnsi="Calibri" w:eastAsia="宋体" w:cs="Calibri"/>
          <w:b/>
          <w:bCs/>
          <w:color w:val="FF0000"/>
          <w:sz w:val="43"/>
          <w:szCs w:val="43"/>
          <w:lang w:val="en-US" w:eastAsia="zh-CN"/>
        </w:rPr>
        <w:t>2</w:t>
      </w:r>
      <w:r>
        <w:rPr>
          <w:rFonts w:ascii="宋体" w:hAnsi="宋体" w:eastAsia="宋体" w:cs="宋体"/>
          <w:color w:val="FF0000"/>
          <w:sz w:val="43"/>
          <w:szCs w:val="43"/>
          <w14:textOutline w14:w="7972" w14:cap="sq" w14:cmpd="sng">
            <w14:solidFill>
              <w14:srgbClr w14:val="FF0000"/>
            </w14:solidFill>
            <w14:prstDash w14:val="solid"/>
            <w14:bevel/>
          </w14:textOutline>
        </w:rPr>
        <w:t>日)</w:t>
      </w:r>
    </w:p>
    <w:p>
      <w:pPr>
        <w:spacing w:line="352" w:lineRule="auto"/>
        <w:rPr>
          <w:rFonts w:ascii="Arial"/>
          <w:sz w:val="21"/>
        </w:rPr>
      </w:pPr>
    </w:p>
    <w:p>
      <w:pPr>
        <w:rPr>
          <w:rFonts w:hint="default" w:ascii="Arial"/>
          <w:color w:val="FF0000"/>
          <w:sz w:val="21"/>
          <w:lang w:val="en-US"/>
        </w:rPr>
      </w:pPr>
      <w:r>
        <w:rPr>
          <w:rFonts w:ascii="宋体" w:hAnsi="宋体" w:eastAsia="宋体" w:cs="宋体"/>
          <w:color w:val="FF0000"/>
          <w:spacing w:val="-6"/>
          <w:sz w:val="28"/>
          <w:szCs w:val="28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筛选</w:t>
      </w:r>
      <w:r>
        <w:rPr>
          <w:rFonts w:ascii="宋体" w:hAnsi="宋体" w:eastAsia="宋体" w:cs="宋体"/>
          <w:color w:val="FF0000"/>
          <w:spacing w:val="-5"/>
          <w:sz w:val="28"/>
          <w:szCs w:val="28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条</w:t>
      </w:r>
      <w:r>
        <w:rPr>
          <w:rFonts w:ascii="宋体" w:hAnsi="宋体" w:eastAsia="宋体" w:cs="宋体"/>
          <w:color w:val="FF0000"/>
          <w:spacing w:val="-3"/>
          <w:sz w:val="28"/>
          <w:szCs w:val="28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件：价格小于</w:t>
      </w:r>
      <w:r>
        <w:rPr>
          <w:rFonts w:ascii="宋体" w:hAnsi="宋体" w:eastAsia="宋体" w:cs="宋体"/>
          <w:color w:val="FF0000"/>
          <w:spacing w:val="-3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FF0000"/>
          <w:spacing w:val="-3"/>
          <w:sz w:val="28"/>
          <w:szCs w:val="28"/>
        </w:rPr>
        <w:t>130</w:t>
      </w:r>
      <w:r>
        <w:rPr>
          <w:rFonts w:ascii="Calibri" w:hAnsi="Calibri" w:eastAsia="Calibri" w:cs="Calibri"/>
          <w:color w:val="FF0000"/>
          <w:spacing w:val="-3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FF0000"/>
          <w:spacing w:val="-3"/>
          <w:sz w:val="28"/>
          <w:szCs w:val="28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元；正股市值小于</w:t>
      </w:r>
      <w:r>
        <w:rPr>
          <w:rFonts w:ascii="宋体" w:hAnsi="宋体" w:eastAsia="宋体" w:cs="宋体"/>
          <w:color w:val="FF0000"/>
          <w:spacing w:val="-3"/>
          <w:sz w:val="28"/>
          <w:szCs w:val="28"/>
        </w:rPr>
        <w:t xml:space="preserve"> </w:t>
      </w:r>
      <w:r>
        <w:rPr>
          <w:rFonts w:hint="eastAsia" w:ascii="Calibri" w:hAnsi="Calibri" w:eastAsia="宋体" w:cs="Calibri"/>
          <w:b/>
          <w:bCs/>
          <w:color w:val="FF0000"/>
          <w:spacing w:val="-3"/>
          <w:sz w:val="28"/>
          <w:szCs w:val="28"/>
          <w:lang w:val="en-US" w:eastAsia="zh-CN"/>
        </w:rPr>
        <w:t>80</w:t>
      </w:r>
      <w:r>
        <w:rPr>
          <w:rFonts w:ascii="Calibri" w:hAnsi="Calibri" w:eastAsia="Calibri" w:cs="Calibri"/>
          <w:color w:val="FF0000"/>
          <w:spacing w:val="-3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FF0000"/>
          <w:spacing w:val="-3"/>
          <w:sz w:val="28"/>
          <w:szCs w:val="28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亿；可转债剩余规模</w:t>
      </w:r>
      <w:r>
        <w:rPr>
          <w:rFonts w:ascii="宋体" w:hAnsi="宋体" w:eastAsia="宋体" w:cs="宋体"/>
          <w:color w:val="FF0000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FF0000"/>
          <w:spacing w:val="-16"/>
          <w:sz w:val="28"/>
          <w:szCs w:val="28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小于</w:t>
      </w:r>
      <w:r>
        <w:rPr>
          <w:rFonts w:ascii="宋体" w:hAnsi="宋体" w:eastAsia="宋体" w:cs="宋体"/>
          <w:color w:val="FF0000"/>
          <w:spacing w:val="-15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FF0000"/>
          <w:spacing w:val="-8"/>
          <w:sz w:val="28"/>
          <w:szCs w:val="28"/>
        </w:rPr>
        <w:t>5</w:t>
      </w:r>
      <w:r>
        <w:rPr>
          <w:rFonts w:ascii="Calibri" w:hAnsi="Calibri" w:eastAsia="Calibri" w:cs="Calibri"/>
          <w:color w:val="FF0000"/>
          <w:spacing w:val="-8"/>
          <w:sz w:val="28"/>
          <w:szCs w:val="28"/>
        </w:rPr>
        <w:t xml:space="preserve"> </w:t>
      </w:r>
      <w:r>
        <w:rPr>
          <w:rFonts w:ascii="宋体" w:hAnsi="宋体" w:eastAsia="宋体" w:cs="宋体"/>
          <w:color w:val="FF0000"/>
          <w:spacing w:val="-8"/>
          <w:sz w:val="28"/>
          <w:szCs w:val="28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亿；转股溢价率低于</w:t>
      </w:r>
      <w:r>
        <w:rPr>
          <w:rFonts w:ascii="宋体" w:hAnsi="宋体" w:eastAsia="宋体" w:cs="宋体"/>
          <w:color w:val="FF0000"/>
          <w:spacing w:val="-8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FF0000"/>
          <w:spacing w:val="-8"/>
          <w:sz w:val="28"/>
          <w:szCs w:val="28"/>
        </w:rPr>
        <w:t>30%</w:t>
      </w:r>
      <w:r>
        <w:rPr>
          <w:rFonts w:ascii="宋体" w:hAnsi="宋体" w:eastAsia="宋体" w:cs="宋体"/>
          <w:color w:val="FF0000"/>
          <w:spacing w:val="-8"/>
          <w:sz w:val="28"/>
          <w:szCs w:val="28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；换手率大于</w:t>
      </w:r>
      <w:r>
        <w:rPr>
          <w:rFonts w:ascii="宋体" w:hAnsi="宋体" w:eastAsia="宋体" w:cs="宋体"/>
          <w:color w:val="FF0000"/>
          <w:spacing w:val="-8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FF0000"/>
          <w:spacing w:val="-8"/>
          <w:sz w:val="28"/>
          <w:szCs w:val="28"/>
        </w:rPr>
        <w:t>1%</w:t>
      </w:r>
      <w:r>
        <w:rPr>
          <w:rFonts w:ascii="宋体" w:hAnsi="宋体" w:eastAsia="宋体" w:cs="宋体"/>
          <w:color w:val="FF0000"/>
          <w:spacing w:val="-8"/>
          <w:sz w:val="28"/>
          <w:szCs w:val="28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。</w:t>
      </w:r>
      <w:r>
        <w:rPr>
          <w:rFonts w:ascii="宋体" w:hAnsi="宋体" w:eastAsia="宋体" w:cs="宋体"/>
          <w:spacing w:val="-8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(筛选条件为模糊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1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定义，当其他条件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足够优秀时，可以适当放宽筛选范围)</w:t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br w:type="textWrapping"/>
      </w:r>
      <w:r>
        <w:rPr>
          <w:rFonts w:ascii="宋体" w:hAnsi="宋体" w:eastAsia="宋体" w:cs="宋体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br w:type="textWrapping"/>
      </w:r>
      <w:r>
        <w:rPr>
          <w:rFonts w:hint="eastAsia" w:ascii="Calibri" w:hAnsi="Calibri" w:eastAsia="Calibri" w:cs="Calibri"/>
          <w:b/>
          <w:bCs/>
          <w:color w:val="FF0000"/>
          <w:spacing w:val="-12"/>
          <w:sz w:val="28"/>
          <w:szCs w:val="28"/>
          <w:shd w:val="clear" w:fill="FFFF00"/>
          <w:lang w:val="en-US" w:eastAsia="zh-CN"/>
        </w:rPr>
        <w:t>1、众兴转债（正股众兴菌业）</w:t>
      </w:r>
      <w:r>
        <w:rPr>
          <w:rFonts w:ascii="Calibri" w:hAnsi="Calibri" w:eastAsia="Calibri" w:cs="Calibri"/>
          <w:b/>
          <w:bCs/>
          <w:color w:val="FF0000"/>
          <w:spacing w:val="-12"/>
          <w:sz w:val="28"/>
          <w:szCs w:val="28"/>
          <w:shd w:val="clear" w:fill="FFFF00"/>
        </w:rPr>
        <w:br w:type="textWrapping"/>
      </w:r>
      <w:r>
        <w:rPr>
          <w:rFonts w:ascii="Calibri" w:hAnsi="Calibri" w:eastAsia="Calibri" w:cs="Calibri"/>
          <w:b/>
          <w:bCs/>
          <w:color w:val="FF0000"/>
          <w:spacing w:val="-12"/>
          <w:sz w:val="28"/>
          <w:szCs w:val="28"/>
          <w:shd w:val="clear" w:fill="FFFF00"/>
        </w:rPr>
        <w:br w:type="textWrapping"/>
      </w:r>
      <w:r>
        <w:rPr>
          <w:rFonts w:ascii="宋体" w:hAnsi="宋体" w:eastAsia="宋体" w:cs="宋体"/>
          <w:color w:val="FF0000"/>
          <w:spacing w:val="-7"/>
          <w:sz w:val="28"/>
          <w:szCs w:val="28"/>
        </w:rPr>
        <w:t>入</w:t>
      </w:r>
      <w:r>
        <w:rPr>
          <w:rFonts w:hint="eastAsia" w:ascii="宋体" w:hAnsi="宋体" w:eastAsia="宋体" w:cs="宋体"/>
          <w:color w:val="FF0000"/>
          <w:spacing w:val="-7"/>
          <w:sz w:val="28"/>
          <w:szCs w:val="28"/>
          <w:lang w:val="en-US" w:eastAsia="zh-CN"/>
        </w:rPr>
        <w:t>选</w:t>
      </w:r>
      <w:r>
        <w:rPr>
          <w:rFonts w:ascii="宋体" w:hAnsi="宋体" w:eastAsia="宋体" w:cs="宋体"/>
          <w:color w:val="FF0000"/>
          <w:spacing w:val="-7"/>
          <w:sz w:val="28"/>
          <w:szCs w:val="28"/>
        </w:rPr>
        <w:t>理由：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t>众兴菌业一季报业绩超预期</w:t>
      </w:r>
      <w:r>
        <w:rPr>
          <w:rFonts w:ascii="宋体" w:hAnsi="宋体" w:eastAsia="宋体" w:cs="宋体"/>
          <w:spacing w:val="-7"/>
          <w:sz w:val="28"/>
          <w:szCs w:val="28"/>
        </w:rPr>
        <w:t>，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t>迎来了资金关注，股价走出了连续涨停行情，众兴转债交易活跃度提升。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t>众兴菌业市值47亿，众兴转债剩余规模 4 亿，当前价格120元，溢价率16%，具备较强的股债联动性。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t>但是业绩披露之后，股价短期涨幅较大，不宜追高操作，可以观察正股的上涨力度，适当把握众兴转债的低吸机会。</w:t>
      </w:r>
      <w:r>
        <w:rPr>
          <w:rFonts w:hint="eastAsia" w:ascii="宋体" w:hAnsi="宋体" w:eastAsia="宋体" w:cs="宋体"/>
          <w:color w:val="FF0000"/>
          <w:spacing w:val="-7"/>
          <w:sz w:val="28"/>
          <w:szCs w:val="28"/>
          <w:lang w:val="en-US" w:eastAsia="zh-CN"/>
        </w:rPr>
        <w:t>（重点强调，交易活跃的转债，只能低吸，切勿追高，如果不给低吸的机会，宁可放弃也不参与）</w:t>
      </w:r>
    </w:p>
    <w:p>
      <w:pPr>
        <w:spacing w:before="91" w:line="239" w:lineRule="auto"/>
        <w:ind w:left="31" w:right="76" w:hanging="4"/>
        <w:rPr>
          <w:rFonts w:ascii="宋体" w:hAnsi="宋体" w:eastAsia="宋体" w:cs="宋体"/>
          <w:sz w:val="28"/>
          <w:szCs w:val="28"/>
        </w:rPr>
      </w:pPr>
    </w:p>
    <w:p>
      <w:pPr>
        <w:spacing w:before="258" w:line="236" w:lineRule="auto"/>
        <w:ind w:left="34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Calibri" w:hAnsi="Calibri" w:eastAsia="宋体" w:cs="Calibri"/>
          <w:b/>
          <w:bCs/>
          <w:color w:val="FF0000"/>
          <w:spacing w:val="-14"/>
          <w:sz w:val="28"/>
          <w:szCs w:val="28"/>
          <w:shd w:val="clear" w:fill="FFFF00"/>
          <w:lang w:val="en-US" w:eastAsia="zh-CN"/>
        </w:rPr>
        <w:t>2</w:t>
      </w:r>
      <w:r>
        <w:rPr>
          <w:rFonts w:ascii="宋体" w:hAnsi="宋体" w:eastAsia="宋体" w:cs="宋体"/>
          <w:color w:val="FF0000"/>
          <w:spacing w:val="-11"/>
          <w:sz w:val="28"/>
          <w:szCs w:val="28"/>
          <w:shd w:val="clear" w:fill="FFFF00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、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shd w:val="clear" w:fill="FFFF00"/>
          <w:lang w:val="en-US" w:eastAsia="zh-CN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吉视</w:t>
      </w:r>
      <w:r>
        <w:rPr>
          <w:rFonts w:ascii="宋体" w:hAnsi="宋体" w:eastAsia="宋体" w:cs="宋体"/>
          <w:color w:val="FF0000"/>
          <w:spacing w:val="-11"/>
          <w:sz w:val="28"/>
          <w:szCs w:val="28"/>
          <w:shd w:val="clear" w:fill="FFFF00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转债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shd w:val="clear" w:fill="FFFF00"/>
          <w:lang w:eastAsia="zh-CN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（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shd w:val="clear" w:fill="FFFF00"/>
          <w:lang w:val="en-US" w:eastAsia="zh-CN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正股吉视传媒</w:t>
      </w:r>
      <w:r>
        <w:rPr>
          <w:rFonts w:hint="eastAsia" w:ascii="宋体" w:hAnsi="宋体" w:eastAsia="宋体" w:cs="宋体"/>
          <w:color w:val="FF0000"/>
          <w:spacing w:val="-11"/>
          <w:sz w:val="28"/>
          <w:szCs w:val="28"/>
          <w:shd w:val="clear" w:fill="FFFF00"/>
          <w:lang w:eastAsia="zh-CN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）</w:t>
      </w:r>
    </w:p>
    <w:p>
      <w:pPr>
        <w:spacing w:before="262" w:line="255" w:lineRule="auto"/>
        <w:ind w:left="26" w:right="76" w:hanging="3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color w:val="FF0000"/>
          <w:spacing w:val="-6"/>
          <w:sz w:val="28"/>
          <w:szCs w:val="28"/>
        </w:rPr>
        <w:t>入</w:t>
      </w:r>
      <w:r>
        <w:rPr>
          <w:rFonts w:hint="eastAsia" w:ascii="宋体" w:hAnsi="宋体" w:eastAsia="宋体" w:cs="宋体"/>
          <w:color w:val="FF0000"/>
          <w:spacing w:val="-6"/>
          <w:sz w:val="28"/>
          <w:szCs w:val="28"/>
          <w:lang w:val="en-US" w:eastAsia="zh-CN"/>
        </w:rPr>
        <w:t>选</w:t>
      </w:r>
      <w:r>
        <w:rPr>
          <w:rFonts w:ascii="宋体" w:hAnsi="宋体" w:eastAsia="宋体" w:cs="宋体"/>
          <w:color w:val="FF0000"/>
          <w:spacing w:val="-6"/>
          <w:sz w:val="28"/>
          <w:szCs w:val="28"/>
        </w:rPr>
        <w:t>理由</w:t>
      </w:r>
      <w:r>
        <w:rPr>
          <w:rFonts w:ascii="宋体" w:hAnsi="宋体" w:eastAsia="宋体" w:cs="宋体"/>
          <w:color w:val="FF0000"/>
          <w:spacing w:val="-5"/>
          <w:sz w:val="28"/>
          <w:szCs w:val="28"/>
        </w:rPr>
        <w:t>：</w:t>
      </w:r>
      <w:r>
        <w:rPr>
          <w:rFonts w:hint="eastAsia" w:ascii="宋体" w:hAnsi="宋体" w:eastAsia="宋体" w:cs="宋体"/>
          <w:spacing w:val="-3"/>
          <w:sz w:val="28"/>
          <w:szCs w:val="28"/>
          <w:lang w:val="en-US" w:eastAsia="zh-CN"/>
        </w:rPr>
        <w:t>传媒板块从2015年股灾后，连续调整了七年，板块整体估值回归合理偏低区间，今年经济复苏行情，传媒板块整体受益，从一季度资金炒作TMT的力度判断，</w:t>
      </w:r>
      <w:r>
        <w:rPr>
          <w:rFonts w:hint="eastAsia" w:ascii="宋体" w:hAnsi="宋体" w:eastAsia="宋体" w:cs="宋体"/>
          <w:color w:val="FF0000"/>
          <w:spacing w:val="-3"/>
          <w:sz w:val="28"/>
          <w:szCs w:val="28"/>
          <w:lang w:val="en-US" w:eastAsia="zh-CN"/>
        </w:rPr>
        <w:t>传媒板块的修复行情还在路上。</w:t>
      </w:r>
    </w:p>
    <w:p>
      <w:pPr>
        <w:spacing w:before="246" w:line="376" w:lineRule="exact"/>
        <w:ind w:left="29"/>
      </w:pPr>
      <w:r>
        <w:rPr>
          <w:rFonts w:hint="eastAsia" w:ascii="宋体" w:hAnsi="宋体" w:eastAsia="宋体" w:cs="宋体"/>
          <w:spacing w:val="-8"/>
          <w:position w:val="1"/>
          <w:sz w:val="28"/>
          <w:szCs w:val="28"/>
          <w:lang w:val="en-US" w:eastAsia="zh-CN"/>
        </w:rPr>
        <w:t>吉视</w:t>
      </w:r>
      <w:r>
        <w:rPr>
          <w:rFonts w:ascii="宋体" w:hAnsi="宋体" w:eastAsia="宋体" w:cs="宋体"/>
          <w:spacing w:val="-8"/>
          <w:position w:val="1"/>
          <w:sz w:val="28"/>
          <w:szCs w:val="28"/>
        </w:rPr>
        <w:t>转债</w:t>
      </w:r>
      <w:r>
        <w:rPr>
          <w:rFonts w:hint="eastAsia" w:ascii="宋体" w:hAnsi="宋体" w:eastAsia="宋体" w:cs="宋体"/>
          <w:spacing w:val="-8"/>
          <w:position w:val="1"/>
          <w:sz w:val="28"/>
          <w:szCs w:val="28"/>
          <w:lang w:val="en-US" w:eastAsia="zh-CN"/>
        </w:rPr>
        <w:t>剩余年限0.7年，正股市值72亿，转债规模11亿（偏大），但是吉视转债当前的价格只有116元，溢价率17%，</w:t>
      </w:r>
      <w:r>
        <w:rPr>
          <w:rFonts w:ascii="宋体" w:hAnsi="宋体" w:eastAsia="宋体" w:cs="宋体"/>
          <w:spacing w:val="-8"/>
          <w:position w:val="1"/>
          <w:sz w:val="28"/>
          <w:szCs w:val="28"/>
        </w:rPr>
        <w:t>具有较高的股债联动性</w:t>
      </w:r>
      <w:r>
        <w:rPr>
          <w:rFonts w:hint="eastAsia" w:ascii="宋体" w:hAnsi="宋体" w:eastAsia="宋体" w:cs="宋体"/>
          <w:spacing w:val="-8"/>
          <w:position w:val="1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pacing w:val="-8"/>
          <w:position w:val="1"/>
          <w:sz w:val="28"/>
          <w:szCs w:val="28"/>
          <w:lang w:eastAsia="zh-CN"/>
        </w:rPr>
        <w:br w:type="textWrapping"/>
      </w:r>
      <w:r>
        <w:rPr>
          <w:rFonts w:hint="eastAsia" w:ascii="宋体" w:hAnsi="宋体" w:eastAsia="宋体" w:cs="宋体"/>
          <w:spacing w:val="-8"/>
          <w:position w:val="1"/>
          <w:sz w:val="28"/>
          <w:szCs w:val="28"/>
          <w:lang w:eastAsia="zh-CN"/>
        </w:rPr>
        <w:br w:type="textWrapping"/>
      </w:r>
      <w:r>
        <w:rPr>
          <w:rFonts w:hint="eastAsia" w:ascii="宋体" w:hAnsi="宋体" w:eastAsia="宋体" w:cs="宋体"/>
          <w:spacing w:val="-8"/>
          <w:position w:val="1"/>
          <w:sz w:val="28"/>
          <w:szCs w:val="28"/>
          <w:lang w:val="en-US" w:eastAsia="zh-CN"/>
        </w:rPr>
        <w:t>吉视传媒目前账面现金不到5亿，不足以覆盖吉视转债的规模，公司面临较大的到期赎回压力，在最后的0.7年里，有促进吉视转债进行转股的动力。</w:t>
      </w:r>
      <w:r>
        <w:rPr>
          <w:rFonts w:ascii="宋体" w:hAnsi="宋体" w:eastAsia="宋体" w:cs="宋体"/>
          <w:color w:val="FF0000"/>
          <w:sz w:val="28"/>
          <w:szCs w:val="28"/>
        </w:rPr>
        <w:br w:type="textWrapping"/>
      </w:r>
    </w:p>
    <w:p>
      <w:pPr>
        <w:spacing w:before="316" w:line="236" w:lineRule="auto"/>
        <w:ind w:left="26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Calibri" w:hAnsi="Calibri" w:eastAsia="宋体" w:cs="Calibri"/>
          <w:b/>
          <w:bCs/>
          <w:color w:val="FF0000"/>
          <w:spacing w:val="-12"/>
          <w:sz w:val="28"/>
          <w:szCs w:val="28"/>
          <w:shd w:val="clear" w:fill="FFFF00"/>
          <w:lang w:val="en-US" w:eastAsia="zh-CN"/>
        </w:rPr>
        <w:t>3</w:t>
      </w:r>
      <w:r>
        <w:rPr>
          <w:rFonts w:ascii="Calibri" w:hAnsi="Calibri" w:eastAsia="Calibri" w:cs="Calibri"/>
          <w:color w:val="FF0000"/>
          <w:spacing w:val="-10"/>
          <w:sz w:val="28"/>
          <w:szCs w:val="28"/>
          <w:shd w:val="clear" w:fill="FFFF00"/>
        </w:rPr>
        <w:t xml:space="preserve"> </w:t>
      </w:r>
      <w:r>
        <w:rPr>
          <w:rFonts w:ascii="宋体" w:hAnsi="宋体" w:eastAsia="宋体" w:cs="宋体"/>
          <w:color w:val="FF0000"/>
          <w:spacing w:val="-10"/>
          <w:sz w:val="28"/>
          <w:szCs w:val="28"/>
          <w:shd w:val="clear" w:fill="FFFF00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、</w:t>
      </w:r>
      <w:r>
        <w:rPr>
          <w:rFonts w:hint="eastAsia" w:ascii="宋体" w:hAnsi="宋体" w:eastAsia="宋体" w:cs="宋体"/>
          <w:color w:val="FF0000"/>
          <w:spacing w:val="-10"/>
          <w:sz w:val="28"/>
          <w:szCs w:val="28"/>
          <w:shd w:val="clear" w:fill="FFFF00"/>
          <w:lang w:val="en-US" w:eastAsia="zh-CN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国祯</w:t>
      </w:r>
      <w:r>
        <w:rPr>
          <w:rFonts w:ascii="宋体" w:hAnsi="宋体" w:eastAsia="宋体" w:cs="宋体"/>
          <w:color w:val="FF0000"/>
          <w:spacing w:val="-10"/>
          <w:sz w:val="28"/>
          <w:szCs w:val="28"/>
          <w:shd w:val="clear" w:fill="FFFF00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转债</w:t>
      </w:r>
      <w:r>
        <w:rPr>
          <w:rFonts w:hint="eastAsia" w:ascii="宋体" w:hAnsi="宋体" w:eastAsia="宋体" w:cs="宋体"/>
          <w:color w:val="FF0000"/>
          <w:spacing w:val="-10"/>
          <w:sz w:val="28"/>
          <w:szCs w:val="28"/>
          <w:shd w:val="clear" w:fill="FFFF00"/>
          <w:lang w:eastAsia="zh-CN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（</w:t>
      </w:r>
      <w:r>
        <w:rPr>
          <w:rFonts w:hint="eastAsia" w:ascii="宋体" w:hAnsi="宋体" w:eastAsia="宋体" w:cs="宋体"/>
          <w:color w:val="FF0000"/>
          <w:spacing w:val="-10"/>
          <w:sz w:val="28"/>
          <w:szCs w:val="28"/>
          <w:shd w:val="clear" w:fill="FFFF00"/>
          <w:lang w:val="en-US" w:eastAsia="zh-CN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正股节能国祯</w:t>
      </w:r>
      <w:r>
        <w:rPr>
          <w:rFonts w:hint="eastAsia" w:ascii="宋体" w:hAnsi="宋体" w:eastAsia="宋体" w:cs="宋体"/>
          <w:color w:val="FF0000"/>
          <w:spacing w:val="-10"/>
          <w:sz w:val="28"/>
          <w:szCs w:val="28"/>
          <w:shd w:val="clear" w:fill="FFFF00"/>
          <w:lang w:eastAsia="zh-CN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）</w:t>
      </w:r>
    </w:p>
    <w:p>
      <w:pPr>
        <w:spacing w:before="260" w:line="250" w:lineRule="auto"/>
        <w:ind w:left="24" w:right="76" w:hanging="1"/>
        <w:rPr>
          <w:rFonts w:ascii="Arial"/>
          <w:sz w:val="21"/>
        </w:rPr>
      </w:pPr>
      <w:r>
        <w:rPr>
          <w:rFonts w:ascii="宋体" w:hAnsi="宋体" w:eastAsia="宋体" w:cs="宋体"/>
          <w:color w:val="FF0000"/>
          <w:spacing w:val="-7"/>
          <w:sz w:val="28"/>
          <w:szCs w:val="28"/>
        </w:rPr>
        <w:t>入</w:t>
      </w:r>
      <w:r>
        <w:rPr>
          <w:rFonts w:hint="eastAsia" w:ascii="宋体" w:hAnsi="宋体" w:eastAsia="宋体" w:cs="宋体"/>
          <w:color w:val="FF0000"/>
          <w:spacing w:val="-7"/>
          <w:sz w:val="28"/>
          <w:szCs w:val="28"/>
          <w:lang w:val="en-US" w:eastAsia="zh-CN"/>
        </w:rPr>
        <w:t>选</w:t>
      </w:r>
      <w:r>
        <w:rPr>
          <w:rFonts w:ascii="宋体" w:hAnsi="宋体" w:eastAsia="宋体" w:cs="宋体"/>
          <w:color w:val="FF0000"/>
          <w:spacing w:val="-7"/>
          <w:sz w:val="28"/>
          <w:szCs w:val="28"/>
        </w:rPr>
        <w:t>理由：</w:t>
      </w:r>
      <w:r>
        <w:rPr>
          <w:rFonts w:ascii="宋体" w:hAnsi="宋体" w:eastAsia="宋体" w:cs="宋体"/>
          <w:spacing w:val="-7"/>
          <w:sz w:val="28"/>
          <w:szCs w:val="28"/>
        </w:rPr>
        <w:t>正股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t>节能国祯</w:t>
      </w:r>
      <w:r>
        <w:rPr>
          <w:rFonts w:ascii="宋体" w:hAnsi="宋体" w:eastAsia="宋体" w:cs="宋体"/>
          <w:spacing w:val="-7"/>
          <w:sz w:val="28"/>
          <w:szCs w:val="28"/>
        </w:rPr>
        <w:t>，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t>是中国节能环保集团旗下子公司，基本面优秀，股价从2015年股灾调整至今，估值已经回到合理偏低区间，目前技术面走出反转趋势，均线呈多头排列。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t>同样作为节能环保集团旗下的节能铁汉，目前正在筹备重大资产重组（停牌中，10个交易日内复牌），如果节能铁汉复牌后大涨，有望刺激节能国祯跟涨。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t>国祯转债剩余年限0.6年，规模只有2.5亿，当前价格115，溢价率33%，具备较强的股债联动性，只要正股涨停，就会出现情绪面的炒作。</w:t>
      </w:r>
      <w:r>
        <w:rPr>
          <w:rFonts w:hint="eastAsia" w:ascii="宋体" w:hAnsi="宋体" w:eastAsia="宋体" w:cs="宋体"/>
          <w:spacing w:val="-7"/>
          <w:sz w:val="28"/>
          <w:szCs w:val="28"/>
          <w:lang w:val="en-US" w:eastAsia="zh-CN"/>
        </w:rPr>
        <w:br w:type="textWrapping"/>
      </w:r>
    </w:p>
    <w:p>
      <w:pPr>
        <w:spacing w:before="92" w:line="247" w:lineRule="auto"/>
        <w:ind w:left="25" w:firstLine="1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pacing w:val="-6"/>
          <w:sz w:val="28"/>
          <w:szCs w:val="28"/>
          <w:shd w:val="clear" w:fill="FFFF00"/>
          <w:lang w:val="en-US" w:eastAsia="zh-CN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温馨</w:t>
      </w:r>
      <w:r>
        <w:rPr>
          <w:rFonts w:ascii="宋体" w:hAnsi="宋体" w:eastAsia="宋体" w:cs="宋体"/>
          <w:color w:val="FF0000"/>
          <w:spacing w:val="-6"/>
          <w:sz w:val="28"/>
          <w:szCs w:val="28"/>
          <w:shd w:val="clear" w:fill="FFFF00"/>
          <w14:textOutline w14:w="5103" w14:cap="sq" w14:cmpd="sng">
            <w14:solidFill>
              <w14:srgbClr w14:val="FF0000"/>
            </w14:solidFill>
            <w14:prstDash w14:val="solid"/>
            <w14:bevel/>
          </w14:textOutline>
        </w:rPr>
        <w:t>提示：</w:t>
      </w:r>
      <w:r>
        <w:rPr>
          <w:rFonts w:ascii="宋体" w:hAnsi="宋体" w:eastAsia="宋体" w:cs="宋体"/>
          <w:spacing w:val="-4"/>
          <w:sz w:val="28"/>
          <w:szCs w:val="28"/>
        </w:rPr>
        <w:t>以</w:t>
      </w:r>
      <w:r>
        <w:rPr>
          <w:rFonts w:ascii="宋体" w:hAnsi="宋体" w:eastAsia="宋体" w:cs="宋体"/>
          <w:spacing w:val="-3"/>
          <w:sz w:val="28"/>
          <w:szCs w:val="28"/>
        </w:rPr>
        <w:t>上精选仅为教学案例分析和逻辑分享，具体到买卖点的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6"/>
          <w:sz w:val="28"/>
          <w:szCs w:val="28"/>
        </w:rPr>
        <w:t>把握，还需</w:t>
      </w:r>
      <w:r>
        <w:rPr>
          <w:rFonts w:ascii="宋体" w:hAnsi="宋体" w:eastAsia="宋体" w:cs="宋体"/>
          <w:spacing w:val="-3"/>
          <w:sz w:val="28"/>
          <w:szCs w:val="28"/>
        </w:rPr>
        <w:t>要具备一定的技术分析能力，在后期的课程中，还会有买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4"/>
          <w:sz w:val="28"/>
          <w:szCs w:val="28"/>
        </w:rPr>
        <w:t>卖择时的教学，</w:t>
      </w:r>
      <w:r>
        <w:rPr>
          <w:rFonts w:ascii="宋体" w:hAnsi="宋体" w:eastAsia="宋体" w:cs="宋体"/>
          <w:spacing w:val="-2"/>
          <w:sz w:val="28"/>
          <w:szCs w:val="28"/>
        </w:rPr>
        <w:t>对于新手小白而言，建议多看少动，实战机会多多，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ascii="宋体" w:hAnsi="宋体" w:eastAsia="宋体" w:cs="宋体"/>
          <w:spacing w:val="-1"/>
          <w:sz w:val="28"/>
          <w:szCs w:val="28"/>
        </w:rPr>
        <w:t>理论逻辑通了，渔获便会</w:t>
      </w:r>
      <w:r>
        <w:rPr>
          <w:rFonts w:ascii="宋体" w:hAnsi="宋体" w:eastAsia="宋体" w:cs="宋体"/>
          <w:sz w:val="28"/>
          <w:szCs w:val="28"/>
        </w:rPr>
        <w:t>手到擒来！</w:t>
      </w:r>
      <w:bookmarkStart w:id="0" w:name="_GoBack"/>
      <w:bookmarkEnd w:id="0"/>
    </w:p>
    <w:sectPr>
      <w:pgSz w:w="11906" w:h="16839"/>
      <w:pgMar w:top="1431" w:right="1768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2M2NTFmZmE1NGMxZDI1NzE4MjZkNjQ0NDc1NTRlM2QifQ=="/>
  </w:docVars>
  <w:rsids>
    <w:rsidRoot w:val="00000000"/>
    <w:rsid w:val="274A2E4A"/>
    <w:rsid w:val="52A974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645</Words>
  <Characters>680</Characters>
  <TotalTime>7</TotalTime>
  <ScaleCrop>false</ScaleCrop>
  <LinksUpToDate>false</LinksUpToDate>
  <CharactersWithSpaces>696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2023-02-19T16:28:00Z</dcterms:created>
  <dc:creator>DELL-PC</dc:creator>
  <cp:lastModifiedBy>若木</cp:lastModifiedBy>
  <dcterms:modified xsi:type="dcterms:W3CDTF">2023-04-12T03:53:05Z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2023-04-12T10:11:05Z</vt:filetime>
  </property>
  <property fmtid="{D5CDD505-2E9C-101B-9397-08002B2CF9AE}" pid="4" name="KSOProductBuildVer">
    <vt:lpwstr>2052-11.1.0.14036</vt:lpwstr>
  </property>
  <property fmtid="{D5CDD505-2E9C-101B-9397-08002B2CF9AE}" pid="5" name="ICV">
    <vt:lpwstr>DCA0A1EA42B345AD84D66E994C323818_12</vt:lpwstr>
  </property>
</Properties>
</file>