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DF" w:rsidRPr="006E76DF" w:rsidRDefault="009207B5">
      <w:pPr>
        <w:rPr>
          <w:u w:val="single"/>
        </w:rPr>
      </w:pPr>
      <w:r>
        <w:rPr>
          <w:u w:val="single"/>
        </w:rPr>
        <w:t>The role of</w:t>
      </w:r>
      <w:r w:rsidR="009C2602">
        <w:rPr>
          <w:u w:val="single"/>
        </w:rPr>
        <w:t xml:space="preserve"> fundamental</w:t>
      </w:r>
      <w:r>
        <w:rPr>
          <w:u w:val="single"/>
        </w:rPr>
        <w:t xml:space="preserve"> stellar parameters in </w:t>
      </w:r>
      <w:r w:rsidR="009C2602">
        <w:rPr>
          <w:u w:val="single"/>
        </w:rPr>
        <w:t>determining ages via interstellar extinction</w:t>
      </w:r>
    </w:p>
    <w:p w:rsidR="00A67BC9" w:rsidRDefault="005B70CC">
      <w:r>
        <w:t xml:space="preserve">When estimating the ages of </w:t>
      </w:r>
      <w:r w:rsidR="009207B5">
        <w:t xml:space="preserve">globular </w:t>
      </w:r>
      <w:r>
        <w:t xml:space="preserve">clusters, </w:t>
      </w:r>
      <w:r w:rsidR="009C2602">
        <w:t xml:space="preserve">an isochrone, which is calculated directly from stellar evolution models, must be fitted to the cluster’s observed colour-magnitude diagram (CMD) to derive an estimate of the cluster age. These isochrones give absolute-magnitude CMDs, and thus require the addition of an extinction parameter to account for the distance to the cluster and </w:t>
      </w:r>
      <w:r w:rsidR="00854398">
        <w:t>the interstellar environment between the cluster and the observer. The current treatment of extinction for clusters assumes a constant extinction for all stellar objects in the cluster.</w:t>
      </w:r>
    </w:p>
    <w:p w:rsidR="00854398" w:rsidRDefault="00854398">
      <w:r>
        <w:t>In this project,</w:t>
      </w:r>
      <w:r w:rsidR="00996DFE">
        <w:t xml:space="preserve"> a grid</w:t>
      </w:r>
      <w:r>
        <w:t xml:space="preserve"> </w:t>
      </w:r>
      <w:r w:rsidR="00996DFE">
        <w:t xml:space="preserve">of </w:t>
      </w:r>
      <w:r>
        <w:t>ATLAS9 stellar atmosphere models</w:t>
      </w:r>
      <w:r w:rsidR="003A7C86">
        <w:t xml:space="preserve"> w</w:t>
      </w:r>
      <w:r w:rsidR="00996DFE">
        <w:t>as</w:t>
      </w:r>
      <w:r w:rsidR="003A7C86">
        <w:t xml:space="preserve"> employed, covering objects with effective temperatures in the range 3,500K </w:t>
      </w:r>
      <w:r w:rsidR="003A7C86">
        <w:rPr>
          <w:rFonts w:cstheme="minorHAnsi"/>
        </w:rPr>
        <w:t xml:space="preserve">≤ </w:t>
      </w:r>
      <w:proofErr w:type="spellStart"/>
      <w:r w:rsidR="003A7C86" w:rsidRPr="003A7C86">
        <w:rPr>
          <w:i/>
        </w:rPr>
        <w:t>T</w:t>
      </w:r>
      <w:r w:rsidR="003A7C86" w:rsidRPr="003A7C86">
        <w:rPr>
          <w:vertAlign w:val="subscript"/>
        </w:rPr>
        <w:t>eff</w:t>
      </w:r>
      <w:proofErr w:type="spellEnd"/>
      <w:r w:rsidR="003A7C86" w:rsidRPr="003A7C86">
        <w:t xml:space="preserve"> </w:t>
      </w:r>
      <w:r w:rsidR="003A7C86">
        <w:rPr>
          <w:rFonts w:cstheme="minorHAnsi"/>
        </w:rPr>
        <w:t>≤</w:t>
      </w:r>
      <w:r w:rsidR="003A7C86">
        <w:t xml:space="preserve"> 50,000K, surface gravities in the range 0.0 </w:t>
      </w:r>
      <w:r w:rsidR="003A7C86">
        <w:rPr>
          <w:rFonts w:cstheme="minorHAnsi"/>
        </w:rPr>
        <w:t>≤ log(</w:t>
      </w:r>
      <w:r w:rsidR="003A7C86" w:rsidRPr="003A7C86">
        <w:rPr>
          <w:rFonts w:cstheme="minorHAnsi"/>
          <w:i/>
        </w:rPr>
        <w:t>g</w:t>
      </w:r>
      <w:r w:rsidR="003A7C86">
        <w:rPr>
          <w:rFonts w:cstheme="minorHAnsi"/>
        </w:rPr>
        <w:t>) ≤ 5.0</w:t>
      </w:r>
      <w:r w:rsidR="003A7C86">
        <w:t xml:space="preserve"> and metallicities in the range -2.0 </w:t>
      </w:r>
      <w:r w:rsidR="003A7C86">
        <w:rPr>
          <w:rFonts w:cstheme="minorHAnsi"/>
        </w:rPr>
        <w:t xml:space="preserve">≤ [Fe/H] ≤ 0.5. These </w:t>
      </w:r>
      <w:r w:rsidR="003A7C86" w:rsidRPr="0073557B">
        <w:rPr>
          <w:rFonts w:cstheme="minorHAnsi"/>
        </w:rPr>
        <w:t>spectra</w:t>
      </w:r>
      <w:r w:rsidR="0073557B" w:rsidRPr="0073557B">
        <w:rPr>
          <w:rFonts w:cstheme="minorHAnsi"/>
        </w:rPr>
        <w:t>l energy distributions</w:t>
      </w:r>
      <w:r w:rsidR="003A7C86">
        <w:rPr>
          <w:rFonts w:cstheme="minorHAnsi"/>
        </w:rPr>
        <w:t xml:space="preserve"> </w:t>
      </w:r>
      <w:r>
        <w:t>were combined with the response functions for wide-field filters in the Gaia, HST ACS and HST WFC3 systems</w:t>
      </w:r>
      <w:r w:rsidR="005915A0">
        <w:t xml:space="preserve"> and the equations for wavelength dependent of extinction from </w:t>
      </w:r>
      <w:proofErr w:type="spellStart"/>
      <w:r w:rsidR="005915A0">
        <w:t>Cardelli</w:t>
      </w:r>
      <w:proofErr w:type="spellEnd"/>
      <w:r w:rsidR="005915A0">
        <w:t>, Clayton &amp; Mathis (1989, hereafter CCM89)</w:t>
      </w:r>
      <w:r w:rsidR="00E20139">
        <w:t xml:space="preserve"> to produce tables of bolometric corrections</w:t>
      </w:r>
      <w:r w:rsidR="005915A0">
        <w:t xml:space="preserve"> (BCs) via the standard equations</w:t>
      </w:r>
      <w:r>
        <w:t xml:space="preserve">. </w:t>
      </w:r>
      <w:r w:rsidR="005915A0">
        <w:t xml:space="preserve">Two </w:t>
      </w:r>
      <w:r w:rsidR="003A7C86">
        <w:t>sets</w:t>
      </w:r>
      <w:r w:rsidR="005915A0">
        <w:t xml:space="preserve"> of BC data were produced</w:t>
      </w:r>
      <w:r w:rsidR="003A7C86">
        <w:t xml:space="preserve"> for each filter</w:t>
      </w:r>
      <w:r w:rsidR="005915A0">
        <w:t xml:space="preserve">, one at zero extinction and the other at a Johnson </w:t>
      </w:r>
      <w:r w:rsidR="005915A0" w:rsidRPr="005915A0">
        <w:rPr>
          <w:i/>
        </w:rPr>
        <w:t>V</w:t>
      </w:r>
      <w:r w:rsidR="005915A0">
        <w:t xml:space="preserve">-band extinction value of </w:t>
      </w:r>
      <w:r w:rsidR="005915A0" w:rsidRPr="005915A0">
        <w:rPr>
          <w:i/>
        </w:rPr>
        <w:t>A</w:t>
      </w:r>
      <w:r w:rsidR="005915A0" w:rsidRPr="005915A0">
        <w:rPr>
          <w:i/>
          <w:vertAlign w:val="subscript"/>
        </w:rPr>
        <w:t>v</w:t>
      </w:r>
      <w:r w:rsidR="005915A0">
        <w:t xml:space="preserve"> = 1</w:t>
      </w:r>
      <w:r w:rsidR="003A7C86">
        <w:t>. The difference between these</w:t>
      </w:r>
      <w:r w:rsidR="008109B6">
        <w:t xml:space="preserve"> two datasets</w:t>
      </w:r>
      <w:r w:rsidR="003A7C86">
        <w:t xml:space="preserve"> represents the ratio of extinction in each filter to </w:t>
      </w:r>
      <w:r w:rsidR="003A7C86" w:rsidRPr="005915A0">
        <w:rPr>
          <w:i/>
        </w:rPr>
        <w:t>A</w:t>
      </w:r>
      <w:r w:rsidR="003A7C86" w:rsidRPr="005915A0">
        <w:rPr>
          <w:i/>
          <w:vertAlign w:val="subscript"/>
        </w:rPr>
        <w:t>v</w:t>
      </w:r>
      <w:r w:rsidR="0073557B">
        <w:t xml:space="preserve">, </w:t>
      </w:r>
      <w:proofErr w:type="spellStart"/>
      <w:r w:rsidR="0073557B" w:rsidRPr="005915A0">
        <w:rPr>
          <w:i/>
        </w:rPr>
        <w:t>A</w:t>
      </w:r>
      <w:r w:rsidR="0073557B">
        <w:rPr>
          <w:i/>
          <w:vertAlign w:val="subscript"/>
        </w:rPr>
        <w:t>filter</w:t>
      </w:r>
      <w:proofErr w:type="spellEnd"/>
      <w:r w:rsidR="0073557B">
        <w:t>/</w:t>
      </w:r>
      <w:r w:rsidR="0073557B" w:rsidRPr="005915A0">
        <w:rPr>
          <w:i/>
        </w:rPr>
        <w:t>A</w:t>
      </w:r>
      <w:r w:rsidR="0073557B" w:rsidRPr="005915A0">
        <w:rPr>
          <w:i/>
          <w:vertAlign w:val="subscript"/>
        </w:rPr>
        <w:t>v</w:t>
      </w:r>
      <w:r w:rsidR="005915A0">
        <w:t xml:space="preserve">. </w:t>
      </w:r>
      <w:r>
        <w:t xml:space="preserve">The </w:t>
      </w:r>
      <w:r w:rsidR="003A7C86">
        <w:t xml:space="preserve">overall </w:t>
      </w:r>
      <w:r>
        <w:t>spectr</w:t>
      </w:r>
      <w:r w:rsidR="00E20139">
        <w:t>al</w:t>
      </w:r>
      <w:r>
        <w:t xml:space="preserve"> range covered by the</w:t>
      </w:r>
      <w:r w:rsidR="003A7C86">
        <w:t>se</w:t>
      </w:r>
      <w:r>
        <w:t xml:space="preserve"> filters</w:t>
      </w:r>
      <w:r w:rsidR="005915A0">
        <w:t xml:space="preserve"> </w:t>
      </w:r>
      <w:r>
        <w:t xml:space="preserve">runs from </w:t>
      </w:r>
      <w:r w:rsidR="008109B6">
        <w:t xml:space="preserve">the </w:t>
      </w:r>
      <w:r w:rsidR="00E20139">
        <w:t xml:space="preserve">soft-ultraviolet (UV) to </w:t>
      </w:r>
      <w:r w:rsidR="008109B6">
        <w:t xml:space="preserve">the </w:t>
      </w:r>
      <w:r>
        <w:t>near</w:t>
      </w:r>
      <w:r w:rsidR="00E20139">
        <w:t>-infrared (IR).</w:t>
      </w:r>
    </w:p>
    <w:p w:rsidR="00A67BC9" w:rsidRDefault="00A67BC9">
      <w:r>
        <w:t xml:space="preserve">Overall, the results show significant variation of </w:t>
      </w:r>
      <w:proofErr w:type="spellStart"/>
      <w:r w:rsidR="00CD3652" w:rsidRPr="005915A0">
        <w:rPr>
          <w:i/>
        </w:rPr>
        <w:t>A</w:t>
      </w:r>
      <w:r w:rsidR="00CD3652">
        <w:rPr>
          <w:i/>
          <w:vertAlign w:val="subscript"/>
        </w:rPr>
        <w:t>filter</w:t>
      </w:r>
      <w:proofErr w:type="spellEnd"/>
      <w:r w:rsidR="00CD3652">
        <w:t>/</w:t>
      </w:r>
      <w:r w:rsidR="00CD3652" w:rsidRPr="005915A0">
        <w:rPr>
          <w:i/>
        </w:rPr>
        <w:t>A</w:t>
      </w:r>
      <w:r w:rsidR="00CD3652" w:rsidRPr="005915A0">
        <w:rPr>
          <w:i/>
          <w:vertAlign w:val="subscript"/>
        </w:rPr>
        <w:t>v</w:t>
      </w:r>
      <w:r>
        <w:t xml:space="preserve"> with </w:t>
      </w:r>
      <w:proofErr w:type="spellStart"/>
      <w:r w:rsidRPr="003A7C86">
        <w:rPr>
          <w:i/>
        </w:rPr>
        <w:t>T</w:t>
      </w:r>
      <w:r w:rsidRPr="003A7C86">
        <w:rPr>
          <w:vertAlign w:val="subscript"/>
        </w:rPr>
        <w:t>eff</w:t>
      </w:r>
      <w:proofErr w:type="spellEnd"/>
      <w:r>
        <w:t xml:space="preserve">, </w:t>
      </w:r>
      <w:r>
        <w:rPr>
          <w:rFonts w:cstheme="minorHAnsi"/>
        </w:rPr>
        <w:t>log(</w:t>
      </w:r>
      <w:r w:rsidRPr="003A7C86">
        <w:rPr>
          <w:rFonts w:cstheme="minorHAnsi"/>
          <w:i/>
        </w:rPr>
        <w:t>g</w:t>
      </w:r>
      <w:r>
        <w:rPr>
          <w:rFonts w:cstheme="minorHAnsi"/>
        </w:rPr>
        <w:t>) and</w:t>
      </w:r>
      <w:r>
        <w:t xml:space="preserve"> </w:t>
      </w:r>
      <w:r>
        <w:rPr>
          <w:rFonts w:cstheme="minorHAnsi"/>
        </w:rPr>
        <w:t>[Fe/H]</w:t>
      </w:r>
      <w:r w:rsidR="00CD3652">
        <w:rPr>
          <w:rFonts w:cstheme="minorHAnsi"/>
        </w:rPr>
        <w:t xml:space="preserve">, with low </w:t>
      </w:r>
      <w:proofErr w:type="spellStart"/>
      <w:r w:rsidR="00CD3652" w:rsidRPr="003A7C86">
        <w:rPr>
          <w:i/>
        </w:rPr>
        <w:t>T</w:t>
      </w:r>
      <w:r w:rsidR="00CD3652" w:rsidRPr="003A7C86">
        <w:rPr>
          <w:vertAlign w:val="subscript"/>
        </w:rPr>
        <w:t>eff</w:t>
      </w:r>
      <w:proofErr w:type="spellEnd"/>
      <w:r w:rsidR="00CD3652">
        <w:t xml:space="preserve"> values </w:t>
      </w:r>
      <w:r w:rsidR="008109B6">
        <w:t xml:space="preserve">producing the largest effects, with a decrease in </w:t>
      </w:r>
      <w:proofErr w:type="spellStart"/>
      <w:r w:rsidR="00CD3652" w:rsidRPr="005915A0">
        <w:rPr>
          <w:i/>
        </w:rPr>
        <w:t>A</w:t>
      </w:r>
      <w:r w:rsidR="00CD3652">
        <w:rPr>
          <w:i/>
          <w:vertAlign w:val="subscript"/>
        </w:rPr>
        <w:t>filter</w:t>
      </w:r>
      <w:proofErr w:type="spellEnd"/>
      <w:r w:rsidR="00CD3652">
        <w:t>/</w:t>
      </w:r>
      <w:r w:rsidR="00CD3652" w:rsidRPr="005915A0">
        <w:rPr>
          <w:i/>
        </w:rPr>
        <w:t>A</w:t>
      </w:r>
      <w:r w:rsidR="00CD3652" w:rsidRPr="005915A0">
        <w:rPr>
          <w:i/>
          <w:vertAlign w:val="subscript"/>
        </w:rPr>
        <w:t>v</w:t>
      </w:r>
      <w:r w:rsidR="008109B6">
        <w:t>, which</w:t>
      </w:r>
      <w:r w:rsidR="00CD3652">
        <w:t xml:space="preserve"> becomes constant </w:t>
      </w:r>
      <w:r w:rsidR="00996DFE">
        <w:t xml:space="preserve">for </w:t>
      </w:r>
      <w:proofErr w:type="spellStart"/>
      <w:r w:rsidR="00996DFE" w:rsidRPr="003A7C86">
        <w:rPr>
          <w:i/>
        </w:rPr>
        <w:t>T</w:t>
      </w:r>
      <w:r w:rsidR="00996DFE" w:rsidRPr="003A7C86">
        <w:rPr>
          <w:vertAlign w:val="subscript"/>
        </w:rPr>
        <w:t>eff</w:t>
      </w:r>
      <w:proofErr w:type="spellEnd"/>
      <w:r w:rsidR="00996DFE">
        <w:t xml:space="preserve"> </w:t>
      </w:r>
      <w:r w:rsidR="00996DFE">
        <w:rPr>
          <w:rFonts w:cstheme="minorHAnsi"/>
        </w:rPr>
        <w:t>≥</w:t>
      </w:r>
      <w:r w:rsidR="00996DFE">
        <w:t xml:space="preserve"> 10,000K in all cases</w:t>
      </w:r>
      <w:r>
        <w:rPr>
          <w:rFonts w:cstheme="minorHAnsi"/>
        </w:rPr>
        <w:t xml:space="preserve">. </w:t>
      </w:r>
      <w:r>
        <w:t>Analytical mathematical</w:t>
      </w:r>
      <w:r w:rsidR="0073557B">
        <w:t xml:space="preserve"> models were created and fitted to these results, describing them accurately to within </w:t>
      </w:r>
      <w:r w:rsidR="0073557B">
        <w:rPr>
          <w:rFonts w:cstheme="minorHAnsi"/>
        </w:rPr>
        <w:t>δ(</w:t>
      </w:r>
      <w:proofErr w:type="spellStart"/>
      <w:r w:rsidR="0073557B" w:rsidRPr="005915A0">
        <w:rPr>
          <w:i/>
        </w:rPr>
        <w:t>A</w:t>
      </w:r>
      <w:r w:rsidR="0073557B">
        <w:rPr>
          <w:i/>
          <w:vertAlign w:val="subscript"/>
        </w:rPr>
        <w:t>filter</w:t>
      </w:r>
      <w:proofErr w:type="spellEnd"/>
      <w:r w:rsidR="0073557B">
        <w:t>/</w:t>
      </w:r>
      <w:r w:rsidR="0073557B" w:rsidRPr="005915A0">
        <w:rPr>
          <w:i/>
        </w:rPr>
        <w:t>A</w:t>
      </w:r>
      <w:r w:rsidR="0073557B" w:rsidRPr="005915A0">
        <w:rPr>
          <w:i/>
          <w:vertAlign w:val="subscript"/>
        </w:rPr>
        <w:t>v</w:t>
      </w:r>
      <w:r w:rsidR="0073557B">
        <w:t xml:space="preserve">) = </w:t>
      </w:r>
      <w:r w:rsidR="0073557B">
        <w:rPr>
          <w:rFonts w:cstheme="minorHAnsi"/>
        </w:rPr>
        <w:t xml:space="preserve">± </w:t>
      </w:r>
      <w:r w:rsidR="0073557B">
        <w:t xml:space="preserve">0.1 for UV filters and to within </w:t>
      </w:r>
      <w:r w:rsidR="0073557B">
        <w:rPr>
          <w:rFonts w:cstheme="minorHAnsi"/>
        </w:rPr>
        <w:t>δ(</w:t>
      </w:r>
      <w:proofErr w:type="spellStart"/>
      <w:r w:rsidR="0073557B" w:rsidRPr="005915A0">
        <w:rPr>
          <w:i/>
        </w:rPr>
        <w:t>A</w:t>
      </w:r>
      <w:r w:rsidR="0073557B">
        <w:rPr>
          <w:i/>
          <w:vertAlign w:val="subscript"/>
        </w:rPr>
        <w:t>filter</w:t>
      </w:r>
      <w:proofErr w:type="spellEnd"/>
      <w:r w:rsidR="0073557B">
        <w:t>/</w:t>
      </w:r>
      <w:r w:rsidR="0073557B" w:rsidRPr="005915A0">
        <w:rPr>
          <w:i/>
        </w:rPr>
        <w:t>A</w:t>
      </w:r>
      <w:r w:rsidR="0073557B" w:rsidRPr="005915A0">
        <w:rPr>
          <w:i/>
          <w:vertAlign w:val="subscript"/>
        </w:rPr>
        <w:t>v</w:t>
      </w:r>
      <w:r w:rsidR="0073557B">
        <w:t xml:space="preserve">) = </w:t>
      </w:r>
      <w:r w:rsidR="0073557B">
        <w:rPr>
          <w:rFonts w:cstheme="minorHAnsi"/>
        </w:rPr>
        <w:t>±</w:t>
      </w:r>
      <w:r w:rsidR="0073557B">
        <w:rPr>
          <w:rFonts w:cstheme="minorHAnsi"/>
        </w:rPr>
        <w:t xml:space="preserve"> </w:t>
      </w:r>
      <w:r w:rsidR="0073557B">
        <w:t>0.</w:t>
      </w:r>
      <w:r w:rsidR="0073557B">
        <w:t>0</w:t>
      </w:r>
      <w:r w:rsidR="0073557B">
        <w:t>1</w:t>
      </w:r>
      <w:r w:rsidR="0073557B">
        <w:t>-0.03</w:t>
      </w:r>
      <w:r w:rsidR="00CD3652">
        <w:t xml:space="preserve"> (depending on the exact filter) for visible and near-IR filters</w:t>
      </w:r>
      <w:r w:rsidR="00996DFE">
        <w:t>. The forms and coefficients for these models are presented</w:t>
      </w:r>
      <w:r w:rsidR="00CD3652">
        <w:t xml:space="preserve">. The accuracy for </w:t>
      </w:r>
      <w:proofErr w:type="spellStart"/>
      <w:r w:rsidR="00996DFE" w:rsidRPr="003A7C86">
        <w:rPr>
          <w:i/>
        </w:rPr>
        <w:t>T</w:t>
      </w:r>
      <w:r w:rsidR="00996DFE" w:rsidRPr="003A7C86">
        <w:rPr>
          <w:vertAlign w:val="subscript"/>
        </w:rPr>
        <w:t>eff</w:t>
      </w:r>
      <w:proofErr w:type="spellEnd"/>
      <w:r w:rsidR="00996DFE">
        <w:t xml:space="preserve"> &lt; 3,500K </w:t>
      </w:r>
      <w:r w:rsidR="00CD3652">
        <w:t xml:space="preserve">is </w:t>
      </w:r>
      <w:r w:rsidR="00996DFE">
        <w:t>unknown, but likely to be l</w:t>
      </w:r>
      <w:r w:rsidR="00DF4F4F">
        <w:t>ower</w:t>
      </w:r>
      <w:r w:rsidR="00996DFE">
        <w:t xml:space="preserve"> than </w:t>
      </w:r>
      <w:r w:rsidR="00DF4F4F">
        <w:t>for</w:t>
      </w:r>
      <w:r w:rsidR="00996DFE">
        <w:t xml:space="preserve"> </w:t>
      </w:r>
      <w:r w:rsidR="00DF4F4F">
        <w:t>the</w:t>
      </w:r>
      <w:r w:rsidR="00996DFE">
        <w:t xml:space="preserve"> </w:t>
      </w:r>
      <w:proofErr w:type="spellStart"/>
      <w:r w:rsidR="00996DFE" w:rsidRPr="003A7C86">
        <w:rPr>
          <w:i/>
        </w:rPr>
        <w:t>T</w:t>
      </w:r>
      <w:r w:rsidR="00996DFE" w:rsidRPr="003A7C86">
        <w:rPr>
          <w:vertAlign w:val="subscript"/>
        </w:rPr>
        <w:t>eff</w:t>
      </w:r>
      <w:proofErr w:type="spellEnd"/>
      <w:r w:rsidR="00996DFE">
        <w:t xml:space="preserve"> values</w:t>
      </w:r>
      <w:r w:rsidR="00DF4F4F">
        <w:t xml:space="preserve"> covered by the ATLAS9 grid</w:t>
      </w:r>
      <w:r w:rsidR="00996DFE">
        <w:t>.</w:t>
      </w:r>
    </w:p>
    <w:p w:rsidR="00C758D2" w:rsidRDefault="00996DFE">
      <w:r>
        <w:t xml:space="preserve">These extinction models are then applied to stellar isochrones obtained from the </w:t>
      </w:r>
      <w:proofErr w:type="spellStart"/>
      <w:r>
        <w:t>BaSTI</w:t>
      </w:r>
      <w:proofErr w:type="spellEnd"/>
      <w:r>
        <w:t xml:space="preserve"> stellar model database and then compared to the same isochrones</w:t>
      </w:r>
      <w:r w:rsidR="001927F7">
        <w:t xml:space="preserve"> when treated using a constant global extinction, as plotted in several common CMD axes from </w:t>
      </w:r>
      <w:r w:rsidR="0060207C">
        <w:t>the systems.</w:t>
      </w:r>
      <w:r w:rsidR="00A6058C">
        <w:t xml:space="preserve"> </w:t>
      </w:r>
      <w:r w:rsidR="0060207C">
        <w:t>The apparent ages produced by both treatments were compared using the main-sequence turn-off (MSTO)</w:t>
      </w:r>
      <w:r w:rsidR="001927F7">
        <w:t>.</w:t>
      </w:r>
    </w:p>
    <w:p w:rsidR="00B21BCF" w:rsidRDefault="001927F7">
      <w:r>
        <w:t xml:space="preserve">The </w:t>
      </w:r>
      <w:r w:rsidR="0060207C">
        <w:t>first</w:t>
      </w:r>
      <w:r>
        <w:t xml:space="preserve"> conclusion to be drawn </w:t>
      </w:r>
      <w:r w:rsidR="0060207C">
        <w:t>from this comparison is that the</w:t>
      </w:r>
      <w:r w:rsidR="00C758D2">
        <w:t xml:space="preserve"> choice of model for the constant extinction value is crucial. If each filter is given a value for a model with </w:t>
      </w:r>
      <w:proofErr w:type="spellStart"/>
      <w:r w:rsidR="00C758D2" w:rsidRPr="003A7C86">
        <w:rPr>
          <w:i/>
        </w:rPr>
        <w:t>T</w:t>
      </w:r>
      <w:r w:rsidR="00C758D2" w:rsidRPr="003A7C86">
        <w:rPr>
          <w:vertAlign w:val="subscript"/>
        </w:rPr>
        <w:t>eff</w:t>
      </w:r>
      <w:proofErr w:type="spellEnd"/>
      <w:r w:rsidR="00C758D2">
        <w:t xml:space="preserve"> </w:t>
      </w:r>
      <w:r w:rsidR="00C758D2">
        <w:rPr>
          <w:rFonts w:cstheme="minorHAnsi"/>
        </w:rPr>
        <w:t>≥</w:t>
      </w:r>
      <w:r w:rsidR="00C758D2">
        <w:t xml:space="preserve"> 10,000K</w:t>
      </w:r>
      <w:r w:rsidR="00C758D2">
        <w:t>, the entire isochrone may be</w:t>
      </w:r>
      <w:r w:rsidR="00C208BE">
        <w:t>come</w:t>
      </w:r>
      <w:r w:rsidR="00C758D2">
        <w:t xml:space="preserve"> significantly </w:t>
      </w:r>
      <w:r w:rsidR="00C208BE">
        <w:t>redder</w:t>
      </w:r>
      <w:r w:rsidR="00C758D2">
        <w:t xml:space="preserve"> in colour, depending on the filters involved.</w:t>
      </w:r>
    </w:p>
    <w:p w:rsidR="00B21BCF" w:rsidRDefault="00C208BE">
      <w:r>
        <w:t xml:space="preserve">If each filter is given a value such that the main sequences of both treatments are </w:t>
      </w:r>
      <w:r>
        <w:t>align</w:t>
      </w:r>
      <w:r>
        <w:t>ed (</w:t>
      </w:r>
      <w:proofErr w:type="spellStart"/>
      <w:r w:rsidRPr="003A7C86">
        <w:rPr>
          <w:i/>
        </w:rPr>
        <w:t>T</w:t>
      </w:r>
      <w:r w:rsidRPr="003A7C86">
        <w:rPr>
          <w:vertAlign w:val="subscript"/>
        </w:rPr>
        <w:t>eff</w:t>
      </w:r>
      <w:proofErr w:type="spellEnd"/>
      <w:r>
        <w:t xml:space="preserve"> </w:t>
      </w:r>
      <w:r>
        <w:rPr>
          <w:rFonts w:cstheme="minorHAnsi"/>
        </w:rPr>
        <w:t xml:space="preserve">= </w:t>
      </w:r>
      <w:r w:rsidR="00B21BCF">
        <w:t>5</w:t>
      </w:r>
      <w:r>
        <w:t>,000K</w:t>
      </w:r>
      <w:r>
        <w:t>, log(</w:t>
      </w:r>
      <w:r w:rsidRPr="00C208BE">
        <w:rPr>
          <w:i/>
        </w:rPr>
        <w:t>g</w:t>
      </w:r>
      <w:r>
        <w:t>) = 5.0, [Fe/H] = 0.0 was the specific model used</w:t>
      </w:r>
      <w:r w:rsidR="00B21BCF">
        <w:t xml:space="preserve"> here</w:t>
      </w:r>
      <w:r>
        <w:t>),</w:t>
      </w:r>
      <w:r w:rsidR="00B21BCF">
        <w:t xml:space="preserve"> it can be seen that, to a greater or lesser degree depending on the specific CMD</w:t>
      </w:r>
      <w:r w:rsidR="00C752BC">
        <w:t xml:space="preserve"> and the distance to the cluster</w:t>
      </w:r>
      <w:r w:rsidR="00B21BCF">
        <w:t xml:space="preserve">, the MSTO for the </w:t>
      </w:r>
      <w:r w:rsidR="00B21BCF">
        <w:t>10Gyr</w:t>
      </w:r>
      <w:r w:rsidR="00B21BCF">
        <w:t xml:space="preserve"> isochrone with function-form extinction occurs further down the</w:t>
      </w:r>
      <w:r w:rsidR="008109B6">
        <w:t xml:space="preserve"> projected</w:t>
      </w:r>
      <w:r w:rsidR="00B21BCF">
        <w:t xml:space="preserve"> MS than for a 10Gyr fixed-extinction isochrone. At the same time, the 10Gyr function-form isochrone produces a red giant branch (RGB) which is bluer than the 10Gyr fixed-extinction isochrone.</w:t>
      </w:r>
    </w:p>
    <w:p w:rsidR="00C752BC" w:rsidRPr="00996DFE" w:rsidRDefault="00B21BCF">
      <w:r>
        <w:t>Thus, using a fixed extinction produces a MSTO</w:t>
      </w:r>
      <w:r w:rsidRPr="00B21BCF">
        <w:t xml:space="preserve"> </w:t>
      </w:r>
      <w:r>
        <w:t xml:space="preserve">that </w:t>
      </w:r>
      <w:r>
        <w:t>mimick</w:t>
      </w:r>
      <w:r>
        <w:t>s that of</w:t>
      </w:r>
      <w:r>
        <w:t xml:space="preserve"> a younger isochrone</w:t>
      </w:r>
      <w:r>
        <w:t xml:space="preserve"> </w:t>
      </w:r>
      <w:r w:rsidR="00C752BC">
        <w:t>using the models used in this project, while</w:t>
      </w:r>
      <w:r w:rsidRPr="00B21BCF">
        <w:t xml:space="preserve"> </w:t>
      </w:r>
      <w:r>
        <w:t>mimicking an older isochrone</w:t>
      </w:r>
      <w:r w:rsidR="00C752BC">
        <w:t xml:space="preserve"> in the RGB. </w:t>
      </w:r>
      <w:r w:rsidR="00C10670">
        <w:t xml:space="preserve">This </w:t>
      </w:r>
      <w:r w:rsidR="00C752BC">
        <w:t xml:space="preserve">could impact significantly upon </w:t>
      </w:r>
      <w:r w:rsidR="00C10670">
        <w:t xml:space="preserve">globular </w:t>
      </w:r>
      <w:r w:rsidR="00C752BC">
        <w:t>cluster age estimates.</w:t>
      </w:r>
      <w:bookmarkStart w:id="0" w:name="_GoBack"/>
      <w:bookmarkEnd w:id="0"/>
    </w:p>
    <w:sectPr w:rsidR="00C752BC" w:rsidRPr="0099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CC"/>
    <w:rsid w:val="001927F7"/>
    <w:rsid w:val="002327AE"/>
    <w:rsid w:val="003A7C86"/>
    <w:rsid w:val="005915A0"/>
    <w:rsid w:val="005B70CC"/>
    <w:rsid w:val="0060207C"/>
    <w:rsid w:val="006E76DF"/>
    <w:rsid w:val="0073557B"/>
    <w:rsid w:val="008109B6"/>
    <w:rsid w:val="00854398"/>
    <w:rsid w:val="009207B5"/>
    <w:rsid w:val="00922A83"/>
    <w:rsid w:val="009613C9"/>
    <w:rsid w:val="00996DFE"/>
    <w:rsid w:val="009C2602"/>
    <w:rsid w:val="00A6058C"/>
    <w:rsid w:val="00A67BC9"/>
    <w:rsid w:val="00A878F7"/>
    <w:rsid w:val="00B21BCF"/>
    <w:rsid w:val="00C10670"/>
    <w:rsid w:val="00C208BE"/>
    <w:rsid w:val="00C752BC"/>
    <w:rsid w:val="00C758D2"/>
    <w:rsid w:val="00CA694D"/>
    <w:rsid w:val="00CD3652"/>
    <w:rsid w:val="00DF4F4F"/>
    <w:rsid w:val="00E20139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CAAD"/>
  <w15:chartTrackingRefBased/>
  <w15:docId w15:val="{DAECF933-E50B-406D-9277-E0540445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L-W</dc:creator>
  <cp:keywords/>
  <dc:description/>
  <cp:lastModifiedBy>Alex L-W</cp:lastModifiedBy>
  <cp:revision>7</cp:revision>
  <dcterms:created xsi:type="dcterms:W3CDTF">2019-02-25T09:58:00Z</dcterms:created>
  <dcterms:modified xsi:type="dcterms:W3CDTF">2019-02-26T19:18:00Z</dcterms:modified>
</cp:coreProperties>
</file>