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D65A7" w14:textId="77777777" w:rsidR="005A36CE" w:rsidRDefault="005A36CE"/>
    <w:p w14:paraId="0B365190" w14:textId="77777777" w:rsidR="005A36CE" w:rsidRDefault="005A36CE"/>
    <w:p w14:paraId="3DE3B7A3" w14:textId="77777777" w:rsidR="005A36CE" w:rsidRDefault="005A36CE"/>
    <w:p w14:paraId="6408B623" w14:textId="77777777" w:rsidR="005A36CE" w:rsidRPr="003E7478" w:rsidRDefault="00000000">
      <w:pPr>
        <w:jc w:val="center"/>
      </w:pPr>
      <w:r>
        <w:rPr>
          <w:rFonts w:ascii="Calibri Light" w:hAnsi="Calibri Light"/>
          <w:b/>
          <w:color w:val="14345C"/>
          <w:sz w:val="72"/>
        </w:rPr>
        <w:t xml:space="preserve">NexaTel Customer Churn </w:t>
      </w:r>
      <w:r w:rsidRPr="003E7478">
        <w:rPr>
          <w:rFonts w:ascii="Calibri Light" w:hAnsi="Calibri Light"/>
          <w:b/>
          <w:color w:val="14345C"/>
          <w:sz w:val="72"/>
        </w:rPr>
        <w:t>Analysis</w:t>
      </w:r>
    </w:p>
    <w:p w14:paraId="3D405952" w14:textId="77777777" w:rsidR="005A36CE" w:rsidRPr="003E7478" w:rsidRDefault="00000000">
      <w:pPr>
        <w:jc w:val="center"/>
        <w:rPr>
          <w:sz w:val="28"/>
          <w:szCs w:val="28"/>
        </w:rPr>
      </w:pPr>
      <w:r w:rsidRPr="003E7478">
        <w:rPr>
          <w:color w:val="595959"/>
          <w:sz w:val="40"/>
          <w:szCs w:val="28"/>
        </w:rPr>
        <w:t>Comprehensive Executive Summary &amp; Business Intelligence Deployment</w:t>
      </w:r>
    </w:p>
    <w:p w14:paraId="68AF7B40" w14:textId="77777777" w:rsidR="005A36CE" w:rsidRPr="003E7478" w:rsidRDefault="00000000">
      <w:pPr>
        <w:rPr>
          <w:sz w:val="28"/>
          <w:szCs w:val="28"/>
        </w:rPr>
      </w:pPr>
      <w:r w:rsidRPr="003E7478">
        <w:rPr>
          <w:sz w:val="28"/>
          <w:szCs w:val="28"/>
        </w:rPr>
        <w:br/>
      </w:r>
      <w:r w:rsidRPr="003E7478">
        <w:rPr>
          <w:sz w:val="28"/>
          <w:szCs w:val="28"/>
        </w:rPr>
        <w:br/>
      </w:r>
      <w:r w:rsidRPr="003E7478">
        <w:rPr>
          <w:sz w:val="28"/>
          <w:szCs w:val="28"/>
        </w:rPr>
        <w:br/>
      </w:r>
      <w:r w:rsidRPr="003E7478">
        <w:rPr>
          <w:sz w:val="28"/>
          <w:szCs w:val="28"/>
        </w:rPr>
        <w:br/>
      </w:r>
    </w:p>
    <w:p w14:paraId="65894A7F" w14:textId="77777777" w:rsidR="003E7478" w:rsidRDefault="00000000">
      <w:pPr>
        <w:jc w:val="center"/>
        <w:rPr>
          <w:b/>
          <w:color w:val="14345C"/>
          <w:sz w:val="36"/>
          <w:szCs w:val="32"/>
        </w:rPr>
      </w:pPr>
      <w:r w:rsidRPr="003E7478">
        <w:rPr>
          <w:b/>
          <w:color w:val="14345C"/>
          <w:sz w:val="36"/>
          <w:szCs w:val="32"/>
        </w:rPr>
        <w:t>Prepared by:</w:t>
      </w:r>
      <w:r w:rsidRPr="003E7478">
        <w:rPr>
          <w:b/>
          <w:color w:val="14345C"/>
          <w:sz w:val="36"/>
          <w:szCs w:val="32"/>
        </w:rPr>
        <w:br/>
        <w:t>Saurabh Kumar Ranjan</w:t>
      </w:r>
    </w:p>
    <w:p w14:paraId="3E26FFE8" w14:textId="77777777" w:rsidR="003E7478" w:rsidRDefault="00000000">
      <w:pPr>
        <w:jc w:val="center"/>
        <w:rPr>
          <w:b/>
          <w:color w:val="14345C"/>
          <w:sz w:val="36"/>
          <w:szCs w:val="32"/>
        </w:rPr>
      </w:pPr>
      <w:r w:rsidRPr="003E7478">
        <w:rPr>
          <w:b/>
          <w:color w:val="14345C"/>
          <w:sz w:val="36"/>
          <w:szCs w:val="32"/>
        </w:rPr>
        <w:br/>
        <w:t>Data Analyst &amp; Business Intelligence Specialist</w:t>
      </w:r>
    </w:p>
    <w:p w14:paraId="2F1825A3" w14:textId="5DAC82E9" w:rsidR="005A36CE" w:rsidRPr="003E7478" w:rsidRDefault="00000000">
      <w:pPr>
        <w:jc w:val="center"/>
        <w:rPr>
          <w:sz w:val="32"/>
          <w:szCs w:val="32"/>
        </w:rPr>
      </w:pPr>
      <w:r w:rsidRPr="003E7478">
        <w:rPr>
          <w:b/>
          <w:color w:val="14345C"/>
          <w:sz w:val="36"/>
          <w:szCs w:val="32"/>
        </w:rPr>
        <w:br/>
        <w:t>October 2026</w:t>
      </w:r>
    </w:p>
    <w:p w14:paraId="4C689A75" w14:textId="77777777" w:rsidR="005A36CE" w:rsidRPr="003E7478" w:rsidRDefault="00000000">
      <w:pPr>
        <w:rPr>
          <w:sz w:val="28"/>
          <w:szCs w:val="28"/>
        </w:rPr>
      </w:pPr>
      <w:r w:rsidRPr="003E7478">
        <w:rPr>
          <w:sz w:val="28"/>
          <w:szCs w:val="28"/>
        </w:rPr>
        <w:br w:type="page"/>
      </w:r>
    </w:p>
    <w:p w14:paraId="63FA55D7" w14:textId="77777777" w:rsidR="005A36CE" w:rsidRPr="003E7478" w:rsidRDefault="00000000">
      <w:pPr>
        <w:pStyle w:val="Heading1"/>
        <w:spacing w:after="240"/>
        <w:rPr>
          <w:rFonts w:ascii="Times New Roman" w:hAnsi="Times New Roman" w:cs="Times New Roman"/>
          <w:b w:val="0"/>
          <w:bCs w:val="0"/>
        </w:rPr>
      </w:pPr>
      <w:r w:rsidRPr="003E7478">
        <w:rPr>
          <w:rFonts w:ascii="Times New Roman" w:hAnsi="Times New Roman" w:cs="Times New Roman"/>
          <w:b w:val="0"/>
          <w:bCs w:val="0"/>
          <w:color w:val="14345C"/>
          <w:sz w:val="36"/>
        </w:rPr>
        <w:lastRenderedPageBreak/>
        <w:t>1. Executive Overview</w:t>
      </w:r>
    </w:p>
    <w:p w14:paraId="4568463E" w14:textId="77777777" w:rsidR="003E7478" w:rsidRDefault="00000000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 xml:space="preserve">This document serves as the final capstone report for the NexaTel Customer Churn Analysis project. </w:t>
      </w:r>
    </w:p>
    <w:p w14:paraId="704A089C" w14:textId="77777777" w:rsidR="003E7478" w:rsidRDefault="00000000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 xml:space="preserve">Spanning from initial raw data extraction to advanced Python-based statistical modeling and final deployment via a 5-page interactive Power BI dashboard, this project successfully bridges the gap between raw data and executive decision-making. </w:t>
      </w:r>
    </w:p>
    <w:p w14:paraId="15BC030F" w14:textId="4C5B9403" w:rsidR="005A36CE" w:rsidRPr="003E7478" w:rsidRDefault="00000000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The core finding reveals an unsustainable 18.45% blended churn rate, costing the business ₹2.24 Million in Monthly Recurring Revenue (MRR).</w:t>
      </w:r>
    </w:p>
    <w:p w14:paraId="68CE03C7" w14:textId="77777777" w:rsidR="005A36CE" w:rsidRPr="003E7478" w:rsidRDefault="00000000">
      <w:pPr>
        <w:pStyle w:val="Heading1"/>
        <w:spacing w:after="240"/>
        <w:rPr>
          <w:rFonts w:ascii="Times New Roman" w:hAnsi="Times New Roman" w:cs="Times New Roman"/>
          <w:b w:val="0"/>
          <w:bCs w:val="0"/>
        </w:rPr>
      </w:pPr>
      <w:r w:rsidRPr="003E7478">
        <w:rPr>
          <w:rFonts w:ascii="Times New Roman" w:hAnsi="Times New Roman" w:cs="Times New Roman"/>
          <w:b w:val="0"/>
          <w:bCs w:val="0"/>
          <w:color w:val="14345C"/>
          <w:sz w:val="36"/>
        </w:rPr>
        <w:t>2. Phase 1 &amp; 2: Data Engineering &amp; Statistical Discovery</w:t>
      </w:r>
    </w:p>
    <w:p w14:paraId="4273E560" w14:textId="77777777" w:rsidR="005A36CE" w:rsidRPr="003E7478" w:rsidRDefault="00000000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Rigorous programmatic data cleansing and Exploratory Data Analysis (EDA) were executed using Python (Pandas, Seaborn, Matplotlib), revealing severe structural deficits in customer retention:</w:t>
      </w:r>
    </w:p>
    <w:p w14:paraId="733365EB" w14:textId="77777777" w:rsidR="005A36CE" w:rsidRDefault="00000000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The Early-Life Crisis: </w:t>
      </w:r>
      <w:r w:rsidRPr="003E7478">
        <w:rPr>
          <w:rFonts w:ascii="Times New Roman" w:hAnsi="Times New Roman" w:cs="Times New Roman"/>
        </w:rPr>
        <w:t>Approximately 74.9% of all customer defection occurs within the first 90 days of onboarding.</w:t>
      </w:r>
    </w:p>
    <w:p w14:paraId="2585A3F4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</w:p>
    <w:p w14:paraId="15D9E49B" w14:textId="77777777" w:rsidR="005A36CE" w:rsidRDefault="00000000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Data Quality Remediation: </w:t>
      </w:r>
      <w:r w:rsidRPr="003E7478">
        <w:rPr>
          <w:rFonts w:ascii="Times New Roman" w:hAnsi="Times New Roman" w:cs="Times New Roman"/>
        </w:rPr>
        <w:t>Processed missing values, deduplicated 344 exact billing rows, capped 4,480 extreme data usage outliers using the IQR method, and established robust 1-to-Many relational models.</w:t>
      </w:r>
    </w:p>
    <w:p w14:paraId="1C4B41A2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46793788" w14:textId="2674F7A8" w:rsidR="003E7478" w:rsidRPr="003E7478" w:rsidRDefault="00000000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Unresolved Support Compounding: </w:t>
      </w:r>
      <w:r w:rsidRPr="003E7478">
        <w:rPr>
          <w:rFonts w:ascii="Times New Roman" w:hAnsi="Times New Roman" w:cs="Times New Roman"/>
        </w:rPr>
        <w:t xml:space="preserve">Customers with zero support tickets have a 15.1% churn rate. </w:t>
      </w:r>
    </w:p>
    <w:p w14:paraId="6D07EA83" w14:textId="0134404F" w:rsidR="003E7478" w:rsidRPr="003E7478" w:rsidRDefault="00000000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 xml:space="preserve">This skyrockets to </w:t>
      </w:r>
      <w:proofErr w:type="gramStart"/>
      <w:r w:rsidR="003E7478">
        <w:rPr>
          <w:rFonts w:ascii="Times New Roman" w:hAnsi="Times New Roman" w:cs="Times New Roman"/>
        </w:rPr>
        <w:t>an</w:t>
      </w:r>
      <w:proofErr w:type="gramEnd"/>
      <w:r w:rsidRPr="003E7478">
        <w:rPr>
          <w:rFonts w:ascii="Times New Roman" w:hAnsi="Times New Roman" w:cs="Times New Roman"/>
        </w:rPr>
        <w:t xml:space="preserve"> critical 48.4% when a customer experiences three or more unresolved complaints.</w:t>
      </w:r>
    </w:p>
    <w:p w14:paraId="1FAD69E5" w14:textId="77777777" w:rsidR="003E7478" w:rsidRDefault="003E7478">
      <w:pPr>
        <w:pStyle w:val="Heading1"/>
        <w:spacing w:after="240"/>
        <w:rPr>
          <w:rFonts w:ascii="Times New Roman" w:hAnsi="Times New Roman" w:cs="Times New Roman"/>
          <w:b w:val="0"/>
          <w:bCs w:val="0"/>
          <w:color w:val="14345C"/>
          <w:sz w:val="36"/>
        </w:rPr>
      </w:pPr>
    </w:p>
    <w:p w14:paraId="3F3729E5" w14:textId="77777777" w:rsidR="003E7478" w:rsidRDefault="003E7478" w:rsidP="003E7478"/>
    <w:p w14:paraId="6E7D10B2" w14:textId="77777777" w:rsidR="003E7478" w:rsidRDefault="003E7478" w:rsidP="003E7478"/>
    <w:p w14:paraId="5FC831EA" w14:textId="77777777" w:rsidR="003E7478" w:rsidRDefault="003E7478" w:rsidP="003E7478"/>
    <w:p w14:paraId="2805ED7F" w14:textId="77777777" w:rsidR="003E7478" w:rsidRDefault="003E7478" w:rsidP="003E7478"/>
    <w:p w14:paraId="4ED61120" w14:textId="77777777" w:rsidR="003E7478" w:rsidRDefault="003E7478" w:rsidP="003E7478"/>
    <w:p w14:paraId="2D6C9F00" w14:textId="77777777" w:rsidR="003E7478" w:rsidRDefault="003E7478" w:rsidP="003E7478"/>
    <w:p w14:paraId="51DD4FA1" w14:textId="77777777" w:rsidR="003E7478" w:rsidRPr="003E7478" w:rsidRDefault="003E7478" w:rsidP="003E7478">
      <w:pPr>
        <w:pStyle w:val="Heading1"/>
        <w:spacing w:after="240"/>
        <w:rPr>
          <w:rFonts w:ascii="Times New Roman" w:hAnsi="Times New Roman" w:cs="Times New Roman"/>
          <w:b w:val="0"/>
          <w:bCs w:val="0"/>
        </w:rPr>
      </w:pPr>
      <w:r w:rsidRPr="003E7478">
        <w:rPr>
          <w:rFonts w:ascii="Times New Roman" w:hAnsi="Times New Roman" w:cs="Times New Roman"/>
          <w:b w:val="0"/>
          <w:bCs w:val="0"/>
          <w:color w:val="14345C"/>
          <w:sz w:val="36"/>
        </w:rPr>
        <w:lastRenderedPageBreak/>
        <w:t>3. Phase 3 &amp; 4: Power BI Business Intelligence Deployment</w:t>
      </w:r>
    </w:p>
    <w:p w14:paraId="3244B45F" w14:textId="77777777" w:rsidR="003E7478" w:rsidRPr="003E7478" w:rsidRDefault="003E7478" w:rsidP="003E7478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The diagnostic findings from Python were translated into a fully relational, 5-page Power BI dashboard designed for executive leadership. Key dashboard metrics include:</w:t>
      </w:r>
    </w:p>
    <w:p w14:paraId="10C87509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Financial Bleed (Page 1): </w:t>
      </w:r>
      <w:r w:rsidRPr="003E7478">
        <w:rPr>
          <w:rFonts w:ascii="Times New Roman" w:hAnsi="Times New Roman" w:cs="Times New Roman"/>
        </w:rPr>
        <w:t>The overall active churn rate sits at 18.45%, directly accounting for ₹2.24M in lost MRR.</w:t>
      </w:r>
    </w:p>
    <w:p w14:paraId="6123B246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</w:p>
    <w:p w14:paraId="753E898C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Demographic Vulnerability (Page 2): </w:t>
      </w:r>
      <w:r w:rsidRPr="003E7478">
        <w:rPr>
          <w:rFonts w:ascii="Times New Roman" w:hAnsi="Times New Roman" w:cs="Times New Roman"/>
        </w:rPr>
        <w:t>Churn is heavily concentrated in the Mass-market segment (26.17%) and highly volatile among month-to-month contract holders (22.34% churn vs 7.85% for annual).</w:t>
      </w:r>
    </w:p>
    <w:p w14:paraId="0BC55551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7B2FB14C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Support Friction (Page 3): </w:t>
      </w:r>
      <w:r w:rsidRPr="003E7478">
        <w:rPr>
          <w:rFonts w:ascii="Times New Roman" w:hAnsi="Times New Roman" w:cs="Times New Roman"/>
        </w:rPr>
        <w:t>Unresolved tickets act as the primary catalyst for defection, driving a 25.59% churn rate. 'Network Coverage' and 'Customer Service' complaints represent the largest raw financial drains (~₹221K and ~₹190K respectively).</w:t>
      </w:r>
    </w:p>
    <w:p w14:paraId="09509645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6FB1B0F5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Regional Infrastructure (Page 4): </w:t>
      </w:r>
      <w:r w:rsidRPr="003E7478">
        <w:rPr>
          <w:rFonts w:ascii="Times New Roman" w:hAnsi="Times New Roman" w:cs="Times New Roman"/>
        </w:rPr>
        <w:t>Despite comparable incomes, Tier-2 cities represent a massive regional vulnerability, bleeding ₹1.01M in MRR, indicating localized network strain and infrastructure decay.</w:t>
      </w:r>
    </w:p>
    <w:p w14:paraId="6B771996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34A71A1D" w14:textId="1C9F064C" w:rsidR="003E7478" w:rsidRP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Campaign Inefficacy (Page 5): </w:t>
      </w:r>
      <w:r w:rsidRPr="003E7478">
        <w:rPr>
          <w:rFonts w:ascii="Times New Roman" w:hAnsi="Times New Roman" w:cs="Times New Roman"/>
        </w:rPr>
        <w:t xml:space="preserve">Current retention marketing is failing. </w:t>
      </w:r>
    </w:p>
    <w:p w14:paraId="0EDEAD0E" w14:textId="2179AEDC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The 'At-Risk Outreach' campaign is the costliest failure (losing ~₹145K in MRR). Over half of targeted customers fail to convert, with 29.12% actively declining offers and 25.41% giving no response.</w:t>
      </w:r>
    </w:p>
    <w:p w14:paraId="053B5A61" w14:textId="77777777" w:rsidR="003E7478" w:rsidRDefault="003E7478">
      <w:pPr>
        <w:pStyle w:val="Heading1"/>
        <w:spacing w:after="240"/>
        <w:rPr>
          <w:rFonts w:ascii="Times New Roman" w:hAnsi="Times New Roman" w:cs="Times New Roman"/>
          <w:b w:val="0"/>
          <w:bCs w:val="0"/>
          <w:color w:val="14345C"/>
          <w:sz w:val="36"/>
        </w:rPr>
      </w:pPr>
    </w:p>
    <w:p w14:paraId="1A683AA4" w14:textId="77777777" w:rsidR="003E7478" w:rsidRDefault="003E7478" w:rsidP="003E7478"/>
    <w:p w14:paraId="750D5CC8" w14:textId="77777777" w:rsidR="003E7478" w:rsidRDefault="003E7478" w:rsidP="003E7478"/>
    <w:p w14:paraId="403D1D8A" w14:textId="77777777" w:rsidR="003E7478" w:rsidRDefault="003E7478" w:rsidP="003E7478"/>
    <w:p w14:paraId="1F0EB1D1" w14:textId="77777777" w:rsidR="003E7478" w:rsidRDefault="003E7478" w:rsidP="003E7478"/>
    <w:p w14:paraId="4ED156C9" w14:textId="77777777" w:rsidR="003E7478" w:rsidRDefault="003E7478" w:rsidP="003E7478"/>
    <w:p w14:paraId="74297F71" w14:textId="77777777" w:rsidR="003E7478" w:rsidRDefault="003E7478" w:rsidP="003E7478"/>
    <w:p w14:paraId="000CEAAD" w14:textId="77777777" w:rsidR="003E7478" w:rsidRDefault="003E7478" w:rsidP="003E7478"/>
    <w:p w14:paraId="5BECA5A7" w14:textId="77777777" w:rsidR="003E7478" w:rsidRDefault="003E7478" w:rsidP="003E7478"/>
    <w:p w14:paraId="6EEB7405" w14:textId="77777777" w:rsidR="003E7478" w:rsidRPr="003E7478" w:rsidRDefault="003E7478" w:rsidP="003E7478">
      <w:pPr>
        <w:pStyle w:val="Heading1"/>
        <w:spacing w:after="240"/>
        <w:rPr>
          <w:rFonts w:ascii="Times New Roman" w:hAnsi="Times New Roman" w:cs="Times New Roman"/>
          <w:b w:val="0"/>
          <w:bCs w:val="0"/>
        </w:rPr>
      </w:pPr>
      <w:r w:rsidRPr="003E7478">
        <w:rPr>
          <w:rFonts w:ascii="Times New Roman" w:hAnsi="Times New Roman" w:cs="Times New Roman"/>
          <w:b w:val="0"/>
          <w:bCs w:val="0"/>
          <w:color w:val="14345C"/>
          <w:sz w:val="36"/>
        </w:rPr>
        <w:lastRenderedPageBreak/>
        <w:t>4. Strategic Action Plan</w:t>
      </w:r>
    </w:p>
    <w:p w14:paraId="59CED16F" w14:textId="77777777" w:rsidR="003E7478" w:rsidRPr="003E7478" w:rsidRDefault="003E7478" w:rsidP="003E7478">
      <w:pPr>
        <w:spacing w:after="240"/>
        <w:jc w:val="both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To immediately halt the INR 2.24 Million monthly revenue bleed, leadership must execute the following targeted, data-backed interventions:</w:t>
      </w:r>
    </w:p>
    <w:p w14:paraId="6E4585A2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Mandate First-Contact Resolution (FCR): </w:t>
      </w:r>
      <w:r w:rsidRPr="003E7478">
        <w:rPr>
          <w:rFonts w:ascii="Times New Roman" w:hAnsi="Times New Roman" w:cs="Times New Roman"/>
        </w:rPr>
        <w:t>Given that unresolved tickets drive churn up to 25.59%, support operations must pivot immediately to strict FCR protocols and implement mandatory emergency escalations for network-related tickets.</w:t>
      </w:r>
    </w:p>
    <w:p w14:paraId="0CD13CBA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</w:p>
    <w:p w14:paraId="7C2490C8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Overhaul the 90-Day Onboarding Window: </w:t>
      </w:r>
      <w:r w:rsidRPr="003E7478">
        <w:rPr>
          <w:rFonts w:ascii="Times New Roman" w:hAnsi="Times New Roman" w:cs="Times New Roman"/>
        </w:rPr>
        <w:t>With ~75% of churn happening in early life, and mass-market monthly subscribers proving highly volatile, new customer journey mapping must be redesigned from day zero.</w:t>
      </w:r>
    </w:p>
    <w:p w14:paraId="1B446471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21D34F4E" w14:textId="77777777" w:rsid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Reallocate Capital to Tier-2 Infrastructure: </w:t>
      </w:r>
      <w:r w:rsidRPr="003E7478">
        <w:rPr>
          <w:rFonts w:ascii="Times New Roman" w:hAnsi="Times New Roman" w:cs="Times New Roman"/>
        </w:rPr>
        <w:t>Pause aggressive acquisition spending and reallocate budgets toward upgrading tower networks in high-density Tier-2 zones to protect the ₹1.01M MRR currently at risk.</w:t>
      </w:r>
    </w:p>
    <w:p w14:paraId="0A3369B1" w14:textId="77777777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rPr>
          <w:rFonts w:ascii="Times New Roman" w:hAnsi="Times New Roman" w:cs="Times New Roman"/>
        </w:rPr>
      </w:pPr>
    </w:p>
    <w:p w14:paraId="4C8AC768" w14:textId="305823BB" w:rsidR="003E7478" w:rsidRPr="003E7478" w:rsidRDefault="003E7478" w:rsidP="003E7478">
      <w:pPr>
        <w:pStyle w:val="ListBullet"/>
        <w:spacing w:after="1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14345C"/>
        </w:rPr>
        <w:t xml:space="preserve">Redesign Retention Offers: </w:t>
      </w:r>
      <w:r w:rsidRPr="003E7478">
        <w:rPr>
          <w:rFonts w:ascii="Times New Roman" w:hAnsi="Times New Roman" w:cs="Times New Roman"/>
        </w:rPr>
        <w:t xml:space="preserve">Retire the 'Renewal Nudge' (22.06% churn) and restructure the 'At-Risk Outreach' campaign. </w:t>
      </w:r>
    </w:p>
    <w:p w14:paraId="4296268C" w14:textId="32E68F1A" w:rsidR="003E7478" w:rsidRPr="003E7478" w:rsidRDefault="003E7478" w:rsidP="003E7478">
      <w:pPr>
        <w:pStyle w:val="ListBullet"/>
        <w:numPr>
          <w:ilvl w:val="0"/>
          <w:numId w:val="0"/>
        </w:numPr>
        <w:spacing w:after="160"/>
        <w:ind w:left="360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t>Future discounts must be deeply discounted or replaced with value-add services to combat the current ~54% rejection/ignore rate.</w:t>
      </w:r>
    </w:p>
    <w:p w14:paraId="1551A014" w14:textId="77777777" w:rsidR="003E7478" w:rsidRPr="003E7478" w:rsidRDefault="003E7478" w:rsidP="003E7478">
      <w:pPr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</w:rPr>
        <w:br/>
      </w:r>
      <w:r w:rsidRPr="003E7478">
        <w:rPr>
          <w:rFonts w:ascii="Times New Roman" w:hAnsi="Times New Roman" w:cs="Times New Roman"/>
        </w:rPr>
        <w:br/>
      </w:r>
      <w:r w:rsidRPr="003E7478">
        <w:rPr>
          <w:rFonts w:ascii="Times New Roman" w:hAnsi="Times New Roman" w:cs="Times New Roman"/>
        </w:rPr>
        <w:br/>
      </w:r>
    </w:p>
    <w:p w14:paraId="7776E339" w14:textId="77777777" w:rsidR="003E7478" w:rsidRPr="003E7478" w:rsidRDefault="003E7478" w:rsidP="003E7478">
      <w:pPr>
        <w:jc w:val="center"/>
        <w:rPr>
          <w:rFonts w:ascii="Times New Roman" w:hAnsi="Times New Roman" w:cs="Times New Roman"/>
        </w:rPr>
      </w:pPr>
      <w:r w:rsidRPr="003E7478">
        <w:rPr>
          <w:rFonts w:ascii="Times New Roman" w:hAnsi="Times New Roman" w:cs="Times New Roman"/>
          <w:color w:val="595959"/>
          <w:sz w:val="20"/>
        </w:rPr>
        <w:t>— End of Comprehensive Final Report —</w:t>
      </w:r>
    </w:p>
    <w:p w14:paraId="17AD503A" w14:textId="77777777" w:rsidR="003E7478" w:rsidRPr="003E7478" w:rsidRDefault="003E7478" w:rsidP="003E7478"/>
    <w:sectPr w:rsidR="003E7478" w:rsidRPr="003E7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550046">
    <w:abstractNumId w:val="8"/>
  </w:num>
  <w:num w:numId="2" w16cid:durableId="360473535">
    <w:abstractNumId w:val="6"/>
  </w:num>
  <w:num w:numId="3" w16cid:durableId="1950505187">
    <w:abstractNumId w:val="5"/>
  </w:num>
  <w:num w:numId="4" w16cid:durableId="1057363024">
    <w:abstractNumId w:val="4"/>
  </w:num>
  <w:num w:numId="5" w16cid:durableId="689063908">
    <w:abstractNumId w:val="7"/>
  </w:num>
  <w:num w:numId="6" w16cid:durableId="1500458327">
    <w:abstractNumId w:val="3"/>
  </w:num>
  <w:num w:numId="7" w16cid:durableId="1978948627">
    <w:abstractNumId w:val="2"/>
  </w:num>
  <w:num w:numId="8" w16cid:durableId="850950390">
    <w:abstractNumId w:val="1"/>
  </w:num>
  <w:num w:numId="9" w16cid:durableId="1179393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478"/>
    <w:rsid w:val="005A36CE"/>
    <w:rsid w:val="005B0A88"/>
    <w:rsid w:val="006A3677"/>
    <w:rsid w:val="009C59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B8A8E"/>
  <w14:defaultImageDpi w14:val="300"/>
  <w15:docId w15:val="{AD18D6F1-CEE0-BB4F-802A-75EDC06C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Ranjan</cp:lastModifiedBy>
  <cp:revision>2</cp:revision>
  <dcterms:created xsi:type="dcterms:W3CDTF">2026-10-03T20:36:00Z</dcterms:created>
  <dcterms:modified xsi:type="dcterms:W3CDTF">2026-10-03T20:36:00Z</dcterms:modified>
  <cp:category/>
</cp:coreProperties>
</file>