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0" w:after="240" w:line="240" w:lineRule="auto"/>
        <w:ind w:firstLine="0"/>
        <w:jc w:val="center"/>
      </w:pPr>
      <w:r>
        <w:rPr>
          <w:noProof/>
        </w:rPr>
        <w:drawing>
          <wp:inline distT="0" distB="0" distL="0" distR="0">
            <wp:extent cx="2015999" cy="823199"/>
            <wp:effectExtent l="0" t="0" r="0" b="0"/>
            <wp:docPr id="121" name="Imagem 121" descr="Logótipo da Universidade Politécnica do Cávado e do 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m 121"/>
                    <pic:cNvPicPr/>
                  </pic:nvPicPr>
                  <pic:blipFill>
                    <a:blip r:embed="rId300"/>
                    <a:stretch>
                      <a:fillRect/>
                    </a:stretch>
                  </pic:blipFill>
                  <pic:spPr>
                    <a:xfrm>
                      <a:off x="0" y="0"/>
                      <a:ext cx="2015999" cy="823199"/>
                    </a:xfrm>
                    <a:prstGeom prst="rect">
                      <a:avLst/>
                    </a:prstGeom>
                  </pic:spPr>
                </pic:pic>
              </a:graphicData>
            </a:graphic>
          </wp:inline>
        </w:drawing>
      </w:r>
      <w:r>
        <w:t xml:space="preserve">    </w:t>
      </w:r>
      <w:r>
        <w:rPr>
          <w:noProof/>
        </w:rPr>
        <w:drawing>
          <wp:inline distT="0" distB="0" distL="0" distR="0">
            <wp:extent cx="1655999" cy="568559"/>
            <wp:effectExtent l="0" t="0" r="0" b="0"/>
            <wp:docPr id="122" name="Imagem 122" descr="Logótipo da Escola Superior de Tecnolo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m 122"/>
                    <pic:cNvPicPr/>
                  </pic:nvPicPr>
                  <pic:blipFill>
                    <a:blip r:embed="rId301"/>
                    <a:stretch>
                      <a:fillRect/>
                    </a:stretch>
                  </pic:blipFill>
                  <pic:spPr>
                    <a:xfrm>
                      <a:off x="0" y="0"/>
                      <a:ext cx="1655999" cy="568559"/>
                    </a:xfrm>
                    <a:prstGeom prst="rect">
                      <a:avLst/>
                    </a:prstGeom>
                  </pic:spPr>
                </pic:pic>
              </a:graphicData>
            </a:graphic>
          </wp:inline>
        </w:drawing>
      </w:r>
    </w:p>
    <w:p/>
    <w:p/>
    <w:p/>
    <w:p>
      <w:pPr>
        <w:pStyle w:val="Ttulo"/>
        <w:ind w:firstLine="0"/>
      </w:pPr>
      <w:r>
        <w:rPr>
          <w:b/>
          <w:bCs/>
        </w:rPr>
        <w:t xml:space="preserve">Pipeline ETL para Análise do Poder de Compra no Setor Tecnológico</w:t>
      </w:r>
    </w:p>
    <w:p>
      <w:pPr>
        <w:pStyle w:val="Ttulo"/>
        <w:ind w:firstLine="0"/>
      </w:pPr>
      <w:r>
        <w:rPr>
          <w:i/>
          <w:iCs/>
        </w:rPr>
        <w:t xml:space="preserve">Tech Purchasing Power</w:t>
      </w:r>
    </w:p>
    <w:p/>
    <w:p>
      <w:pPr>
        <w:pStyle w:val="Autor"/>
        <w:ind w:firstLine="0"/>
      </w:pPr>
      <w:r>
        <w:t xml:space="preserve">Trabalho Prático I</w:t>
      </w:r>
    </w:p>
    <w:p>
      <w:pPr>
        <w:pStyle w:val="Autor"/>
        <w:ind w:firstLine="0"/>
      </w:pPr>
      <w:r>
        <w:t xml:space="preserve">Integração de Sistemas de Informação</w:t>
      </w:r>
    </w:p>
    <w:p/>
    <w:p>
      <w:pPr>
        <w:pStyle w:val="Autor"/>
        <w:ind w:firstLine="0"/>
      </w:pPr>
      <w:r>
        <w:t xml:space="preserve">Alexandre Silva</w:t>
      </w:r>
    </w:p>
    <w:p>
      <w:pPr>
        <w:pStyle w:val="Autor"/>
        <w:ind w:firstLine="0"/>
      </w:pPr>
      <w:r>
        <w:t xml:space="preserve">Nº 29382</w:t>
      </w:r>
    </w:p>
    <w:p/>
    <w:p>
      <w:pPr>
        <w:pStyle w:val="Autor"/>
        <w:ind w:firstLine="0"/>
      </w:pPr>
      <w:r>
        <w:t xml:space="preserve">Orientação</w:t>
      </w:r>
    </w:p>
    <w:p>
      <w:pPr>
        <w:pStyle w:val="Autor"/>
        <w:ind w:firstLine="0"/>
      </w:pPr>
      <w:r>
        <w:t xml:space="preserve">Luís Ferreira</w:t>
      </w:r>
    </w:p>
    <w:p/>
    <w:p/>
    <w:p>
      <w:pPr>
        <w:pStyle w:val="RodapdaCapa"/>
        <w:ind w:firstLine="0"/>
      </w:pPr>
      <w:r>
        <w:t xml:space="preserve">Ano letivo 2026/2027</w:t>
      </w:r>
    </w:p>
    <w:p/>
    <w:p/>
    <w:p>
      <w:pPr>
        <w:pStyle w:val="RodapdaCapa"/>
        <w:ind w:firstLine="0"/>
      </w:pPr>
      <w:r>
        <w:t xml:space="preserve">Licenciatura em Engenharia de Sistemas Informáticos</w:t>
      </w:r>
    </w:p>
    <w:p>
      <w:pPr>
        <w:pStyle w:val="RodapdaCapa"/>
        <w:ind w:firstLine="0"/>
      </w:pPr>
      <w:r>
        <w:t xml:space="preserve">Escola Superior de Tecnologia</w:t>
      </w:r>
    </w:p>
    <w:p>
      <w:pPr>
        <w:pStyle w:val="RodapdaCapa"/>
        <w:ind w:firstLine="0"/>
      </w:pPr>
      <w:r>
        <w:t xml:space="preserve">Universidade Politécnica do Cávado e do Ave</w:t>
      </w:r>
    </w:p>
    <w:p w14:paraId="226BAA08" w14:textId="77777777" w:rsidR="00DC0777" w:rsidRDefault="00DC0777" w:rsidP="00E50E37">
      <w:pPr>
        <w:sectPr w:rsidR="00DC0777" w:rsidSect="00DC0777">
          <w:footerReference w:type="even" r:id="rId10"/>
          <w:footerReference w:type="default" r:id="rId11"/>
          <w:footerReference w:type="first" r:id="rId12"/>
          <w:pgSz w:w="11906" w:h="16838"/>
          <w:pgMar w:top="1418" w:right="1134" w:bottom="1134" w:left="1701" w:header="709" w:footer="709" w:gutter="0"/>
          <w:pgNumType w:fmt="upperRoman"/>
          <w:cols w:space="708"/>
          <w:titlePg/>
          <w:docGrid w:linePitch="360"/>
        </w:sectPr>
      </w:pPr>
    </w:p>
    <w:p/>
    <w:p/>
    <w:p/>
    <w:p/>
    <w:p/>
    <w:p/>
    <w:p>
      <w:pPr>
        <w:keepNext/>
        <w:spacing w:before="200" w:after="120"/>
        <w:ind w:firstLine="0"/>
        <w:jc w:val="left"/>
      </w:pPr>
      <w:r>
        <w:rPr>
          <w:b/>
          <w:bCs/>
        </w:rPr>
        <w:t xml:space="preserve">Identificação do Grupo</w:t>
      </w:r>
    </w:p>
    <w:p>
      <w:pPr>
        <w:ind w:firstLine="0"/>
        <w:jc w:val="left"/>
      </w:pPr>
      <w:r>
        <w:t xml:space="preserve">O presente trabalho foi realizado a título individual, pelo elemento identificado na tabela seguinte, no âmbito da unidade curricular de Integração de Sistemas de Informação (ISI).</w:t>
      </w:r>
    </w:p>
    <w:p>
      <w:pPr>
        <w:spacing w:before="0" w:after="0" w:line="120" w:lineRule="exact"/>
        <w:ind w:firstLine="0"/>
      </w:pPr>
    </w:p>
    <w:tbl>
      <w:tblPr>
        <w:tblStyle w:val="Tabelacomgrelha"/>
        <w:tblW w:w="9071" w:type="dxa"/>
        <w:jc w:val="center"/>
        <w:tblLayout w:type="fixed"/>
        <w:tblCellMar>
          <w:top w:w="30" w:type="dxa"/>
          <w:left w:w="100" w:type="dxa"/>
          <w:bottom w:w="30" w:type="dxa"/>
          <w:right w:w="100" w:type="dxa"/>
        </w:tblCellMar>
        <w:tblLook w:val="04A0" w:firstRow="1" w:lastRow="0" w:firstColumn="0" w:lastColumn="0" w:noHBand="0" w:noVBand="1"/>
      </w:tblPr>
      <w:tblGrid>
        <w:gridCol w:w="5400"/>
        <w:gridCol w:w="3671"/>
      </w:tblGrid>
      <w:tr>
        <w:trPr>
          <w:cantSplit/>
          <w:tblHeader/>
        </w:trPr>
        <w:tc>
          <w:tcPr>
            <w:tcW w:w="5400" w:type="dxa"/>
            <w:shd w:val="clear" w:color="auto" w:fill="D9D9D9"/>
            <w:vAlign w:val="center"/>
          </w:tcPr>
          <w:p>
            <w:pPr>
              <w:keepNext/>
              <w:spacing w:before="50" w:after="50" w:line="240" w:lineRule="auto"/>
              <w:ind w:firstLine="0"/>
              <w:jc w:val="center"/>
            </w:pPr>
            <w:r>
              <w:rPr>
                <w:b/>
                <w:bCs/>
                <w:sz w:val="22"/>
                <w:szCs w:val="22"/>
              </w:rPr>
              <w:t xml:space="preserve">Elemento</w:t>
            </w:r>
          </w:p>
        </w:tc>
        <w:tc>
          <w:tcPr>
            <w:tcW w:w="3671" w:type="dxa"/>
            <w:shd w:val="clear" w:color="auto" w:fill="D9D9D9"/>
            <w:vAlign w:val="center"/>
          </w:tcPr>
          <w:p>
            <w:pPr>
              <w:keepNext/>
              <w:spacing w:before="50" w:after="50" w:line="240" w:lineRule="auto"/>
              <w:ind w:firstLine="0"/>
              <w:jc w:val="center"/>
            </w:pPr>
            <w:r>
              <w:rPr>
                <w:b/>
                <w:bCs/>
                <w:sz w:val="22"/>
                <w:szCs w:val="22"/>
              </w:rPr>
              <w:t xml:space="preserve">Número de aluno</w:t>
            </w:r>
          </w:p>
        </w:tc>
      </w:tr>
      <w:tr>
        <w:trPr>
          <w:cantSplit/>
        </w:trPr>
        <w:tc>
          <w:tcPr>
            <w:tcW w:w="5400" w:type="dxa"/>
            <w:vAlign w:val="center"/>
          </w:tcPr>
          <w:p>
            <w:pPr>
              <w:spacing w:before="50" w:after="50" w:line="240" w:lineRule="auto"/>
              <w:ind w:firstLine="0"/>
              <w:jc w:val="left"/>
            </w:pPr>
            <w:r>
              <w:rPr>
                <w:sz w:val="22"/>
                <w:szCs w:val="22"/>
              </w:rPr>
              <w:t xml:space="preserve">Alexandre Silva</w:t>
            </w:r>
          </w:p>
        </w:tc>
        <w:tc>
          <w:tcPr>
            <w:tcW w:w="3671" w:type="dxa"/>
            <w:vAlign w:val="center"/>
          </w:tcPr>
          <w:p>
            <w:pPr>
              <w:spacing w:before="50" w:after="50" w:line="240" w:lineRule="auto"/>
              <w:ind w:firstLine="0"/>
              <w:jc w:val="left"/>
            </w:pPr>
            <w:r>
              <w:rPr>
                <w:sz w:val="22"/>
                <w:szCs w:val="22"/>
              </w:rPr>
              <w:t xml:space="preserve">29382</w:t>
            </w:r>
          </w:p>
        </w:tc>
      </w:tr>
    </w:tbl>
    <w:p>
      <w:pPr>
        <w:keepNext/>
        <w:spacing w:before="200" w:after="120"/>
        <w:ind w:firstLine="0"/>
        <w:jc w:val="left"/>
      </w:pPr>
      <w:r>
        <w:rPr>
          <w:b/>
          <w:bCs/>
        </w:rPr>
        <w:t xml:space="preserve">Orientação</w:t>
      </w:r>
    </w:p>
    <w:p>
      <w:pPr>
        <w:ind w:firstLine="0"/>
        <w:jc w:val="left"/>
      </w:pPr>
      <w:r>
        <w:t xml:space="preserve">Luís Ferreira</w:t>
      </w:r>
    </w:p>
    <w:p>
      <w:pPr>
        <w:ind w:firstLine="0"/>
        <w:jc w:val="left"/>
      </w:pPr>
      <w:r>
        <w:t xml:space="preserve">Docente da unidade curricular de Integração de Sistemas de Informação</w:t>
      </w:r>
    </w:p>
    <w:p>
      <w:pPr>
        <w:keepNext/>
        <w:spacing w:before="200" w:after="120"/>
        <w:ind w:firstLine="0"/>
        <w:jc w:val="left"/>
      </w:pPr>
      <w:r>
        <w:rPr>
          <w:b/>
          <w:bCs/>
        </w:rPr>
        <w:t xml:space="preserve">Informação sobre o Trabalho</w:t>
      </w:r>
    </w:p>
    <w:p>
      <w:pPr>
        <w:spacing w:before="0" w:after="0" w:line="120" w:lineRule="exact"/>
        <w:ind w:firstLine="0"/>
      </w:pPr>
    </w:p>
    <w:tbl>
      <w:tblPr>
        <w:tblStyle w:val="Tabelacomgrelha"/>
        <w:tblW w:w="9071" w:type="dxa"/>
        <w:jc w:val="center"/>
        <w:tblLayout w:type="fixed"/>
        <w:tblCellMar>
          <w:top w:w="30" w:type="dxa"/>
          <w:left w:w="100" w:type="dxa"/>
          <w:bottom w:w="30" w:type="dxa"/>
          <w:right w:w="100" w:type="dxa"/>
        </w:tblCellMar>
        <w:tblLook w:val="04A0" w:firstRow="1" w:lastRow="0" w:firstColumn="0" w:lastColumn="0" w:noHBand="0" w:noVBand="1"/>
      </w:tblPr>
      <w:tblGrid>
        <w:gridCol w:w="2700"/>
        <w:gridCol w:w="6371"/>
      </w:tblGrid>
      <w:tr>
        <w:trPr>
          <w:cantSplit/>
          <w:tblHeader/>
        </w:trPr>
        <w:tc>
          <w:tcPr>
            <w:tcW w:w="2700" w:type="dxa"/>
            <w:shd w:val="clear" w:color="auto" w:fill="D9D9D9"/>
            <w:vAlign w:val="center"/>
          </w:tcPr>
          <w:p>
            <w:pPr>
              <w:keepNext/>
              <w:spacing w:before="50" w:after="50" w:line="240" w:lineRule="auto"/>
              <w:ind w:firstLine="0"/>
              <w:jc w:val="center"/>
            </w:pPr>
            <w:r>
              <w:rPr>
                <w:b/>
                <w:bCs/>
                <w:sz w:val="22"/>
                <w:szCs w:val="22"/>
              </w:rPr>
              <w:t xml:space="preserve">Campo</w:t>
            </w:r>
          </w:p>
        </w:tc>
        <w:tc>
          <w:tcPr>
            <w:tcW w:w="6371" w:type="dxa"/>
            <w:shd w:val="clear" w:color="auto" w:fill="D9D9D9"/>
            <w:vAlign w:val="center"/>
          </w:tcPr>
          <w:p>
            <w:pPr>
              <w:keepNext/>
              <w:spacing w:before="50" w:after="50" w:line="240" w:lineRule="auto"/>
              <w:ind w:firstLine="0"/>
              <w:jc w:val="center"/>
            </w:pPr>
            <w:r>
              <w:rPr>
                <w:b/>
                <w:bCs/>
                <w:sz w:val="22"/>
                <w:szCs w:val="22"/>
              </w:rPr>
              <w:t xml:space="preserve">Detalhe</w:t>
            </w:r>
          </w:p>
        </w:tc>
      </w:tr>
      <w:tr>
        <w:trPr>
          <w:cantSplit/>
        </w:trPr>
        <w:tc>
          <w:tcPr>
            <w:tcW w:w="2700" w:type="dxa"/>
            <w:vAlign w:val="center"/>
          </w:tcPr>
          <w:p>
            <w:pPr>
              <w:spacing w:before="50" w:after="50" w:line="240" w:lineRule="auto"/>
              <w:ind w:firstLine="0"/>
              <w:jc w:val="left"/>
            </w:pPr>
            <w:r>
              <w:rPr>
                <w:sz w:val="22"/>
                <w:szCs w:val="22"/>
              </w:rPr>
              <w:t xml:space="preserve">Tema</w:t>
            </w:r>
          </w:p>
        </w:tc>
        <w:tc>
          <w:tcPr>
            <w:tcW w:w="6371" w:type="dxa"/>
            <w:vAlign w:val="center"/>
          </w:tcPr>
          <w:p>
            <w:pPr>
              <w:spacing w:before="50" w:after="50" w:line="240" w:lineRule="auto"/>
              <w:ind w:firstLine="0"/>
              <w:jc w:val="left"/>
            </w:pPr>
            <w:r>
              <w:rPr>
                <w:sz w:val="22"/>
                <w:szCs w:val="22"/>
              </w:rPr>
              <w:t xml:space="preserve">Pipeline ETL para Análise do Poder de Compra no Setor Tecnológico (</w:t>
            </w:r>
            <w:r>
              <w:rPr>
                <w:i/>
                <w:iCs/>
                <w:sz w:val="22"/>
                <w:szCs w:val="22"/>
              </w:rPr>
              <w:t xml:space="preserve">Tech Purchasing Power</w:t>
            </w:r>
            <w:r>
              <w:rPr>
                <w:sz w:val="22"/>
                <w:szCs w:val="22"/>
              </w:rPr>
              <w:t xml:space="preserve">)</w:t>
            </w:r>
          </w:p>
        </w:tc>
      </w:tr>
      <w:tr>
        <w:trPr>
          <w:cantSplit/>
        </w:trPr>
        <w:tc>
          <w:tcPr>
            <w:tcW w:w="2700" w:type="dxa"/>
            <w:vAlign w:val="center"/>
          </w:tcPr>
          <w:p>
            <w:pPr>
              <w:spacing w:before="50" w:after="50" w:line="240" w:lineRule="auto"/>
              <w:ind w:firstLine="0"/>
              <w:jc w:val="left"/>
            </w:pPr>
            <w:r>
              <w:rPr>
                <w:sz w:val="22"/>
                <w:szCs w:val="22"/>
              </w:rPr>
              <w:t xml:space="preserve">Curso</w:t>
            </w:r>
          </w:p>
        </w:tc>
        <w:tc>
          <w:tcPr>
            <w:tcW w:w="6371" w:type="dxa"/>
            <w:vAlign w:val="center"/>
          </w:tcPr>
          <w:p>
            <w:pPr>
              <w:spacing w:before="50" w:after="50" w:line="240" w:lineRule="auto"/>
              <w:ind w:firstLine="0"/>
              <w:jc w:val="left"/>
            </w:pPr>
            <w:r>
              <w:rPr>
                <w:sz w:val="22"/>
                <w:szCs w:val="22"/>
              </w:rPr>
              <w:t xml:space="preserve">Licenciatura em Engenharia de Sistemas Informáticos</w:t>
            </w:r>
          </w:p>
        </w:tc>
      </w:tr>
      <w:tr>
        <w:trPr>
          <w:cantSplit/>
        </w:trPr>
        <w:tc>
          <w:tcPr>
            <w:tcW w:w="2700" w:type="dxa"/>
            <w:vAlign w:val="center"/>
          </w:tcPr>
          <w:p>
            <w:pPr>
              <w:spacing w:before="50" w:after="50" w:line="240" w:lineRule="auto"/>
              <w:ind w:firstLine="0"/>
              <w:jc w:val="left"/>
            </w:pPr>
            <w:r>
              <w:rPr>
                <w:sz w:val="22"/>
                <w:szCs w:val="22"/>
              </w:rPr>
              <w:t xml:space="preserve">Ano letivo</w:t>
            </w:r>
          </w:p>
        </w:tc>
        <w:tc>
          <w:tcPr>
            <w:tcW w:w="6371" w:type="dxa"/>
            <w:vAlign w:val="center"/>
          </w:tcPr>
          <w:p>
            <w:pPr>
              <w:spacing w:before="50" w:after="50" w:line="240" w:lineRule="auto"/>
              <w:ind w:firstLine="0"/>
              <w:jc w:val="left"/>
            </w:pPr>
            <w:r>
              <w:rPr>
                <w:sz w:val="22"/>
                <w:szCs w:val="22"/>
              </w:rPr>
              <w:t xml:space="preserve">2026/2027</w:t>
            </w:r>
          </w:p>
        </w:tc>
      </w:tr>
      <w:tr>
        <w:trPr>
          <w:cantSplit/>
        </w:trPr>
        <w:tc>
          <w:tcPr>
            <w:tcW w:w="2700" w:type="dxa"/>
            <w:vAlign w:val="center"/>
          </w:tcPr>
          <w:p>
            <w:pPr>
              <w:spacing w:before="50" w:after="50" w:line="240" w:lineRule="auto"/>
              <w:ind w:firstLine="0"/>
              <w:jc w:val="left"/>
            </w:pPr>
            <w:r>
              <w:rPr>
                <w:sz w:val="22"/>
                <w:szCs w:val="22"/>
              </w:rPr>
              <w:t xml:space="preserve">Email</w:t>
            </w:r>
          </w:p>
        </w:tc>
        <w:tc>
          <w:tcPr>
            <w:tcW w:w="6371" w:type="dxa"/>
            <w:vAlign w:val="center"/>
          </w:tcPr>
          <w:p>
            <w:pPr>
              <w:spacing w:before="50" w:after="50" w:line="240" w:lineRule="auto"/>
              <w:ind w:firstLine="0"/>
              <w:jc w:val="left"/>
            </w:pPr>
            <w:r>
              <w:rPr>
                <w:sz w:val="22"/>
                <w:szCs w:val="22"/>
              </w:rPr>
              <w:t xml:space="preserve">asilvaofficial@gmail.com</w:t>
            </w:r>
          </w:p>
        </w:tc>
      </w:tr>
      <w:tr>
        <w:trPr>
          <w:cantSplit/>
        </w:trPr>
        <w:tc>
          <w:tcPr>
            <w:tcW w:w="2700" w:type="dxa"/>
            <w:vAlign w:val="center"/>
          </w:tcPr>
          <w:p>
            <w:pPr>
              <w:spacing w:before="50" w:after="50" w:line="240" w:lineRule="auto"/>
              <w:ind w:firstLine="0"/>
              <w:jc w:val="left"/>
            </w:pPr>
            <w:r>
              <w:rPr>
                <w:sz w:val="22"/>
                <w:szCs w:val="22"/>
              </w:rPr>
              <w:t xml:space="preserve">Plataformas utilizadas</w:t>
            </w:r>
          </w:p>
        </w:tc>
        <w:tc>
          <w:tcPr>
            <w:tcW w:w="6371" w:type="dxa"/>
            <w:vAlign w:val="center"/>
          </w:tcPr>
          <w:p>
            <w:pPr>
              <w:spacing w:before="50" w:after="50" w:line="240" w:lineRule="auto"/>
              <w:ind w:firstLine="0"/>
              <w:jc w:val="left"/>
            </w:pPr>
            <w:r>
              <w:rPr>
                <w:sz w:val="22"/>
                <w:szCs w:val="22"/>
              </w:rPr>
              <w:t xml:space="preserve">KNIME Analytics Platform, Node-RED, RabbitMQ, PostgreSQL, Grafana e Docker</w:t>
            </w:r>
          </w:p>
        </w:tc>
      </w:tr>
      <w:tr>
        <w:trPr>
          <w:cantSplit/>
        </w:trPr>
        <w:tc>
          <w:tcPr>
            <w:tcW w:w="2700" w:type="dxa"/>
            <w:vAlign w:val="center"/>
          </w:tcPr>
          <w:p>
            <w:pPr>
              <w:spacing w:before="50" w:after="50" w:line="240" w:lineRule="auto"/>
              <w:ind w:firstLine="0"/>
              <w:jc w:val="left"/>
            </w:pPr>
            <w:r>
              <w:rPr>
                <w:sz w:val="22"/>
                <w:szCs w:val="22"/>
              </w:rPr>
              <w:t xml:space="preserve">Repositório Git</w:t>
            </w:r>
          </w:p>
        </w:tc>
        <w:tc>
          <w:tcPr>
            <w:tcW w:w="6371" w:type="dxa"/>
            <w:vAlign w:val="center"/>
          </w:tcPr>
          <w:p>
            <w:pPr>
              <w:spacing w:before="50" w:after="50" w:line="240" w:lineRule="auto"/>
              <w:ind w:firstLine="0"/>
              <w:jc w:val="left"/>
            </w:pPr>
            <w:r>
              <w:rPr>
                <w:sz w:val="22"/>
                <w:szCs w:val="22"/>
              </w:rPr>
              <w:t xml:space="preserve">https://github.com/Alexms22/tech-purchasing-power</w:t>
            </w:r>
          </w:p>
        </w:tc>
      </w:tr>
    </w:tbl>
    <w:p>
      <w:pPr>
        <w:pStyle w:val="TituloNoNumerado"/>
        <w:pageBreakBefore/>
        <w:spacing w:before="240" w:after="360"/>
        <w:ind w:firstLine="0"/>
      </w:pPr>
      <w:r>
        <w:t xml:space="preserve">RESUMO</w:t>
      </w:r>
    </w:p>
    <w:p>
      <w:r>
        <w:t xml:space="preserve">O presente relatório documenta o Trabalho Prático I da unidade curricular de Integração de Sistemas de Informação, dedicado à conceção e implementação de um pipeline ETL para a análise do poder de compra no setor tecnológico (Tech Purchasing Power). O problema abordado prende-se com a dificuldade de comparar ofertas de emprego tecnológicas a nível mundial, uma vez que os salários surgem em moedas e periodicidades distintas, as localizações são inconsistentes e o salário bruto não traduz o poder de compra real depois de descontados os impostos, a renda e o custo de vida.</w:t>
      </w:r>
    </w:p>
    <w:p>
      <w:r>
        <w:t xml:space="preserve">Para o resolver, desenvolveu-se uma arquitetura híbrida com duas vias complementares. A via em lote, implementada no KNIME Analytics Platform, consome três formatos distintos — JSON de APIs REST, CSV de um ficheiro histórico e HTML extraído por XPath da página de índices da Numbeo —, concatena e padroniza as ofertas, cruza-as com os indicadores económicos de cada país e calcula a Poupança Anual Estimada. A via contínua, implementada em Node-RED com RabbitMQ, recolhe novas ofertas de hora a hora, normaliza-as e persiste-as por escrita por cima, despachando ainda alertas automáticos via Telegram. Ambas convergem para a mesma base de dados PostgreSQL, executada em Docker, que alimenta um dashboard interativo no Grafana com filtros dinâmicos por país e nível de experiência.</w:t>
      </w:r>
    </w:p>
    <w:p>
      <w:r>
        <w:t xml:space="preserve">Os resultados mostram que o salário bruto mais elevado nem sempre corresponde à maior capacidade de poupança: os Estados Unidos e o Canadá lideram a poupança anual média estimada, acima dos 60 mil euros, enquanto Singapura, apesar dos salários elevados, apresenta valores substancialmente inferiores. A solução demonstra a eficácia de combinar processamento analítico em lote com ingestão contínua desacoplada na integração de dados heterogéneos.</w:t>
      </w:r>
    </w:p>
    <w:p>
      <w:pPr>
        <w:spacing w:before="200"/>
        <w:ind w:firstLine="0"/>
      </w:pPr>
      <w:r>
        <w:rPr>
          <w:b/>
          <w:bCs/>
        </w:rPr>
        <w:t xml:space="preserve">Palavras-chave:</w:t>
      </w:r>
      <w:r>
        <w:t xml:space="preserve"> ETL; Integração de Sistemas de Informação; KNIME; Node-RED; RabbitMQ; PostgreSQL; Grafana; Docker; poder de compra.</w:t>
      </w:r>
    </w:p>
    <w:p>
      <w:pPr>
        <w:pStyle w:val="TituloNoNumerado"/>
        <w:pageBreakBefore/>
        <w:spacing w:before="240" w:after="360"/>
        <w:ind w:firstLine="0"/>
      </w:pPr>
      <w:r>
        <w:rPr>
          <w:lang w:val="en-US"/>
        </w:rPr>
        <w:t xml:space="preserve">ABSTRACT</w:t>
      </w:r>
    </w:p>
    <w:p>
      <w:r>
        <w:rPr>
          <w:lang w:val="en-US"/>
        </w:rPr>
        <w:t xml:space="preserve">This report documents Practical Assignment I of the Information Systems Integration course, which focuses on the design and implementation of an ETL pipeline for analysing purchasing power in the technology sector (Tech Purchasing Power). The problem addressed is the difficulty of comparing technology job offers worldwide: salaries are expressed in different currencies and time periods, locations are inconsistent, and gross salary does not reflect real purchasing power once taxes, rent and cost of living are taken into account.</w:t>
      </w:r>
    </w:p>
    <w:p>
      <w:r>
        <w:rPr>
          <w:lang w:val="en-US"/>
        </w:rPr>
        <w:t xml:space="preserve">To solve it, a hybrid architecture with two complementary paths was developed. The batch path, built in KNIME Analytics Platform, consumes three distinct formats — JSON from REST APIs, CSV from a historical file, and HTML scraped with XPath from the Numbeo index page —, concatenates and standardises the offers, joins them with each country economic indicators and computes an Estimated Annual Savings figure. The streaming path, built in Node-RED with RabbitMQ, collects new offers hourly, normalises them and stores them through an upsert, while dispatching automatic Telegram alerts. Both converge on the same PostgreSQL database, running in Docker, which feeds an interactive Grafana dashboard with dynamic filters by country and experience level.</w:t>
      </w:r>
    </w:p>
    <w:p>
      <w:r>
        <w:rPr>
          <w:lang w:val="en-US"/>
        </w:rPr>
        <w:t xml:space="preserve">The results show that the highest gross salary does not always correspond to the greatest saving capacity: the United States and Canada lead the estimated average annual savings, above 60 thousand euros, whereas Singapore, despite high salaries, shows substantially lower values. The solution demonstrates the effectiveness of combining batch analytical processing with decoupled continuous ingestion when integrating heterogeneous data.</w:t>
      </w:r>
    </w:p>
    <w:p>
      <w:pPr>
        <w:spacing w:before="200"/>
        <w:ind w:firstLine="0"/>
      </w:pPr>
      <w:r>
        <w:rPr>
          <w:b/>
          <w:bCs/>
          <w:lang w:val="en-US"/>
        </w:rPr>
        <w:t xml:space="preserve">Keywords:</w:t>
      </w:r>
      <w:r>
        <w:rPr>
          <w:lang w:val="en-US"/>
        </w:rPr>
        <w:t xml:space="preserve"> ETL; Information Systems Integration; KNIME; Node-RED; RabbitMQ; PostgreSQL; Grafana; Docker; purchasing power.</w:t>
      </w:r>
    </w:p>
    <w:p>
      <w:pPr>
        <w:pStyle w:val="TituloNoNumerado"/>
        <w:pageBreakBefore/>
        <w:spacing w:before="240" w:after="360"/>
        <w:ind w:firstLine="0"/>
      </w:pPr>
      <w:r>
        <w:t xml:space="preserve">ÍNDICE</w:t>
      </w:r>
    </w:p>
    <w:p>
      <w:pPr>
        <w:pStyle w:val="ndice1"/>
        <w:tabs>
          <w:tab w:val="left" w:pos="440"/>
          <w:tab w:val="right" w:leader="dot" w:pos="9071"/>
        </w:tabs>
        <w:spacing w:before="90" w:after="30" w:line="264" w:lineRule="auto"/>
        <w:ind w:left="0" w:firstLine="0"/>
        <w:jc w:val="left"/>
      </w:pPr>
      <w:r>
        <w:fldChar w:fldCharType="begin"/>
      </w:r>
      <w:r>
        <w:instrText xml:space="preserve"> TOC \o "1-3" \h \z \u </w:instrText>
      </w:r>
      <w:r>
        <w:fldChar w:fldCharType="separate"/>
      </w:r>
      <w:hyperlink w:anchor="_Toc_cap1" w:history="1">
        <w:r>
          <w:rPr>
            <w:b/>
            <w:bCs/>
            <w:sz w:val="22"/>
            <w:szCs w:val="22"/>
          </w:rPr>
          <w:t xml:space="preserve">1.</w:t>
        </w:r>
        <w:r>
          <w:tab/>
        </w:r>
        <w:r>
          <w:rPr>
            <w:b/>
            <w:bCs/>
            <w:sz w:val="22"/>
            <w:szCs w:val="22"/>
          </w:rPr>
          <w:t xml:space="preserve">Introdução e Enquadramento</w:t>
        </w:r>
        <w:r>
          <w:tab/>
        </w:r>
        <w:r>
          <w:rPr>
            <w:sz w:val="22"/>
            <w:szCs w:val="22"/>
          </w:rPr>
          <w:fldChar w:fldCharType="begin"/>
        </w:r>
        <w:r>
          <w:rPr>
            <w:sz w:val="22"/>
            <w:szCs w:val="22"/>
          </w:rPr>
          <w:instrText xml:space="preserve"> PAGEREF _Toc_cap1 \h </w:instrText>
        </w:r>
        <w:r>
          <w:rPr>
            <w:sz w:val="22"/>
            <w:szCs w:val="22"/>
          </w:rPr>
          <w:fldChar w:fldCharType="separate"/>
        </w:r>
        <w:r>
          <w:rPr>
            <w:sz w:val="22"/>
            <w:szCs w:val="22"/>
          </w:rPr>
          <w:t xml:space="preserve">1</w:t>
        </w:r>
        <w:r>
          <w:rPr>
            <w:sz w:val="22"/>
            <w:szCs w:val="22"/>
          </w:rPr>
          <w:fldChar w:fldCharType="end"/>
        </w:r>
      </w:hyperlink>
    </w:p>
    <w:p>
      <w:pPr>
        <w:pStyle w:val="ndice2"/>
        <w:tabs>
          <w:tab w:val="left" w:pos="1000"/>
          <w:tab w:val="right" w:leader="dot" w:pos="9071"/>
        </w:tabs>
        <w:spacing w:before="0" w:after="30" w:line="264" w:lineRule="auto"/>
        <w:ind w:left="300" w:firstLine="0"/>
        <w:jc w:val="left"/>
      </w:pPr>
      <w:hyperlink w:anchor="_Toc_enq" w:history="1">
        <w:r>
          <w:rPr>
            <w:sz w:val="22"/>
            <w:szCs w:val="22"/>
          </w:rPr>
          <w:t xml:space="preserve">1.1.</w:t>
        </w:r>
        <w:r>
          <w:tab/>
        </w:r>
        <w:r>
          <w:rPr>
            <w:sz w:val="22"/>
            <w:szCs w:val="22"/>
          </w:rPr>
          <w:t xml:space="preserve">Enquadramento e Contexto</w:t>
        </w:r>
        <w:r>
          <w:tab/>
        </w:r>
        <w:r>
          <w:rPr>
            <w:sz w:val="22"/>
            <w:szCs w:val="22"/>
          </w:rPr>
          <w:fldChar w:fldCharType="begin"/>
        </w:r>
        <w:r>
          <w:rPr>
            <w:sz w:val="22"/>
            <w:szCs w:val="22"/>
          </w:rPr>
          <w:instrText xml:space="preserve"> PAGEREF _Toc_enq \h </w:instrText>
        </w:r>
        <w:r>
          <w:rPr>
            <w:sz w:val="22"/>
            <w:szCs w:val="22"/>
          </w:rPr>
          <w:fldChar w:fldCharType="separate"/>
        </w:r>
        <w:r>
          <w:rPr>
            <w:sz w:val="22"/>
            <w:szCs w:val="22"/>
          </w:rPr>
          <w:t xml:space="preserve">1</w:t>
        </w:r>
        <w:r>
          <w:rPr>
            <w:sz w:val="22"/>
            <w:szCs w:val="22"/>
          </w:rPr>
          <w:fldChar w:fldCharType="end"/>
        </w:r>
      </w:hyperlink>
    </w:p>
    <w:p>
      <w:pPr>
        <w:pStyle w:val="ndice2"/>
        <w:tabs>
          <w:tab w:val="left" w:pos="1000"/>
          <w:tab w:val="right" w:leader="dot" w:pos="9071"/>
        </w:tabs>
        <w:spacing w:before="0" w:after="30" w:line="264" w:lineRule="auto"/>
        <w:ind w:left="300" w:firstLine="0"/>
        <w:jc w:val="left"/>
      </w:pPr>
      <w:hyperlink w:anchor="_Toc_prob" w:history="1">
        <w:r>
          <w:rPr>
            <w:sz w:val="22"/>
            <w:szCs w:val="22"/>
          </w:rPr>
          <w:t xml:space="preserve">1.2.</w:t>
        </w:r>
        <w:r>
          <w:tab/>
        </w:r>
        <w:r>
          <w:rPr>
            <w:sz w:val="22"/>
            <w:szCs w:val="22"/>
          </w:rPr>
          <w:t xml:space="preserve">Descrição do Problema e sua Relevância</w:t>
        </w:r>
        <w:r>
          <w:tab/>
        </w:r>
        <w:r>
          <w:rPr>
            <w:sz w:val="22"/>
            <w:szCs w:val="22"/>
          </w:rPr>
          <w:fldChar w:fldCharType="begin"/>
        </w:r>
        <w:r>
          <w:rPr>
            <w:sz w:val="22"/>
            <w:szCs w:val="22"/>
          </w:rPr>
          <w:instrText xml:space="preserve"> PAGEREF _Toc_prob \h </w:instrText>
        </w:r>
        <w:r>
          <w:rPr>
            <w:sz w:val="22"/>
            <w:szCs w:val="22"/>
          </w:rPr>
          <w:fldChar w:fldCharType="separate"/>
        </w:r>
        <w:r>
          <w:rPr>
            <w:sz w:val="22"/>
            <w:szCs w:val="22"/>
          </w:rPr>
          <w:t xml:space="preserve">2</w:t>
        </w:r>
        <w:r>
          <w:rPr>
            <w:sz w:val="22"/>
            <w:szCs w:val="22"/>
          </w:rPr>
          <w:fldChar w:fldCharType="end"/>
        </w:r>
      </w:hyperlink>
    </w:p>
    <w:p>
      <w:pPr>
        <w:pStyle w:val="ndice2"/>
        <w:tabs>
          <w:tab w:val="left" w:pos="1000"/>
          <w:tab w:val="right" w:leader="dot" w:pos="9071"/>
        </w:tabs>
        <w:spacing w:before="0" w:after="30" w:line="264" w:lineRule="auto"/>
        <w:ind w:left="300" w:firstLine="0"/>
        <w:jc w:val="left"/>
      </w:pPr>
      <w:hyperlink w:anchor="_Toc_obj" w:history="1">
        <w:r>
          <w:rPr>
            <w:sz w:val="22"/>
            <w:szCs w:val="22"/>
          </w:rPr>
          <w:t xml:space="preserve">1.3.</w:t>
        </w:r>
        <w:r>
          <w:tab/>
        </w:r>
        <w:r>
          <w:rPr>
            <w:sz w:val="22"/>
            <w:szCs w:val="22"/>
          </w:rPr>
          <w:t xml:space="preserve">Motivação e Objetivos</w:t>
        </w:r>
        <w:r>
          <w:tab/>
        </w:r>
        <w:r>
          <w:rPr>
            <w:sz w:val="22"/>
            <w:szCs w:val="22"/>
          </w:rPr>
          <w:fldChar w:fldCharType="begin"/>
        </w:r>
        <w:r>
          <w:rPr>
            <w:sz w:val="22"/>
            <w:szCs w:val="22"/>
          </w:rPr>
          <w:instrText xml:space="preserve"> PAGEREF _Toc_obj \h </w:instrText>
        </w:r>
        <w:r>
          <w:rPr>
            <w:sz w:val="22"/>
            <w:szCs w:val="22"/>
          </w:rPr>
          <w:fldChar w:fldCharType="separate"/>
        </w:r>
        <w:r>
          <w:rPr>
            <w:sz w:val="22"/>
            <w:szCs w:val="22"/>
          </w:rPr>
          <w:t xml:space="preserve">2</w:t>
        </w:r>
        <w:r>
          <w:rPr>
            <w:sz w:val="22"/>
            <w:szCs w:val="22"/>
          </w:rPr>
          <w:fldChar w:fldCharType="end"/>
        </w:r>
      </w:hyperlink>
    </w:p>
    <w:p>
      <w:pPr>
        <w:pStyle w:val="ndice2"/>
        <w:tabs>
          <w:tab w:val="left" w:pos="1000"/>
          <w:tab w:val="right" w:leader="dot" w:pos="9071"/>
        </w:tabs>
        <w:spacing w:before="0" w:after="30" w:line="264" w:lineRule="auto"/>
        <w:ind w:left="300" w:firstLine="0"/>
        <w:jc w:val="left"/>
      </w:pPr>
      <w:hyperlink w:anchor="_Toc_met" w:history="1">
        <w:r>
          <w:rPr>
            <w:sz w:val="22"/>
            <w:szCs w:val="22"/>
          </w:rPr>
          <w:t xml:space="preserve">1.4.</w:t>
        </w:r>
        <w:r>
          <w:tab/>
        </w:r>
        <w:r>
          <w:rPr>
            <w:sz w:val="22"/>
            <w:szCs w:val="22"/>
          </w:rPr>
          <w:t xml:space="preserve">Metodologia e Estrutura do Documento</w:t>
        </w:r>
        <w:r>
          <w:tab/>
        </w:r>
        <w:r>
          <w:rPr>
            <w:sz w:val="22"/>
            <w:szCs w:val="22"/>
          </w:rPr>
          <w:fldChar w:fldCharType="begin"/>
        </w:r>
        <w:r>
          <w:rPr>
            <w:sz w:val="22"/>
            <w:szCs w:val="22"/>
          </w:rPr>
          <w:instrText xml:space="preserve"> PAGEREF _Toc_met \h </w:instrText>
        </w:r>
        <w:r>
          <w:rPr>
            <w:sz w:val="22"/>
            <w:szCs w:val="22"/>
          </w:rPr>
          <w:fldChar w:fldCharType="separate"/>
        </w:r>
        <w:r>
          <w:rPr>
            <w:sz w:val="22"/>
            <w:szCs w:val="22"/>
          </w:rPr>
          <w:t xml:space="preserve">3</w:t>
        </w:r>
        <w:r>
          <w:rPr>
            <w:sz w:val="22"/>
            <w:szCs w:val="22"/>
          </w:rPr>
          <w:fldChar w:fldCharType="end"/>
        </w:r>
      </w:hyperlink>
    </w:p>
    <w:p>
      <w:pPr>
        <w:pStyle w:val="ndice1"/>
        <w:tabs>
          <w:tab w:val="left" w:pos="440"/>
          <w:tab w:val="right" w:leader="dot" w:pos="9071"/>
        </w:tabs>
        <w:spacing w:before="90" w:after="30" w:line="264" w:lineRule="auto"/>
        <w:ind w:left="0" w:firstLine="0"/>
        <w:jc w:val="left"/>
      </w:pPr>
      <w:hyperlink w:anchor="_Toc_cap2" w:history="1">
        <w:r>
          <w:rPr>
            <w:b/>
            <w:bCs/>
            <w:sz w:val="22"/>
            <w:szCs w:val="22"/>
          </w:rPr>
          <w:t xml:space="preserve">2.</w:t>
        </w:r>
        <w:r>
          <w:tab/>
        </w:r>
        <w:r>
          <w:rPr>
            <w:b/>
            <w:bCs/>
            <w:sz w:val="22"/>
            <w:szCs w:val="22"/>
          </w:rPr>
          <w:t xml:space="preserve">Estratégia Utilizada e Arquitetura</w:t>
        </w:r>
        <w:r>
          <w:tab/>
        </w:r>
        <w:r>
          <w:rPr>
            <w:sz w:val="22"/>
            <w:szCs w:val="22"/>
          </w:rPr>
          <w:fldChar w:fldCharType="begin"/>
        </w:r>
        <w:r>
          <w:rPr>
            <w:sz w:val="22"/>
            <w:szCs w:val="22"/>
          </w:rPr>
          <w:instrText xml:space="preserve"> PAGEREF _Toc_cap2 \h </w:instrText>
        </w:r>
        <w:r>
          <w:rPr>
            <w:sz w:val="22"/>
            <w:szCs w:val="22"/>
          </w:rPr>
          <w:fldChar w:fldCharType="separate"/>
        </w:r>
        <w:r>
          <w:rPr>
            <w:sz w:val="22"/>
            <w:szCs w:val="22"/>
          </w:rPr>
          <w:t xml:space="preserve">5</w:t>
        </w:r>
        <w:r>
          <w:rPr>
            <w:sz w:val="22"/>
            <w:szCs w:val="22"/>
          </w:rPr>
          <w:fldChar w:fldCharType="end"/>
        </w:r>
      </w:hyperlink>
    </w:p>
    <w:p>
      <w:pPr>
        <w:pStyle w:val="ndice2"/>
        <w:tabs>
          <w:tab w:val="left" w:pos="1000"/>
          <w:tab w:val="right" w:leader="dot" w:pos="9071"/>
        </w:tabs>
        <w:spacing w:before="0" w:after="30" w:line="264" w:lineRule="auto"/>
        <w:ind w:left="300" w:firstLine="0"/>
        <w:jc w:val="left"/>
      </w:pPr>
      <w:hyperlink w:anchor="_Toc_hibrida" w:history="1">
        <w:r>
          <w:rPr>
            <w:sz w:val="22"/>
            <w:szCs w:val="22"/>
          </w:rPr>
          <w:t xml:space="preserve">2.1.</w:t>
        </w:r>
        <w:r>
          <w:tab/>
        </w:r>
        <w:r>
          <w:rPr>
            <w:sz w:val="22"/>
            <w:szCs w:val="22"/>
          </w:rPr>
          <w:t xml:space="preserve">Arquitetura Híbrida: Processamento em Lote e Contínuo</w:t>
        </w:r>
        <w:r>
          <w:tab/>
        </w:r>
        <w:r>
          <w:rPr>
            <w:sz w:val="22"/>
            <w:szCs w:val="22"/>
          </w:rPr>
          <w:fldChar w:fldCharType="begin"/>
        </w:r>
        <w:r>
          <w:rPr>
            <w:sz w:val="22"/>
            <w:szCs w:val="22"/>
          </w:rPr>
          <w:instrText xml:space="preserve"> PAGEREF _Toc_hibrida \h </w:instrText>
        </w:r>
        <w:r>
          <w:rPr>
            <w:sz w:val="22"/>
            <w:szCs w:val="22"/>
          </w:rPr>
          <w:fldChar w:fldCharType="separate"/>
        </w:r>
        <w:r>
          <w:rPr>
            <w:sz w:val="22"/>
            <w:szCs w:val="22"/>
          </w:rPr>
          <w:t xml:space="preserve">5</w:t>
        </w:r>
        <w:r>
          <w:rPr>
            <w:sz w:val="22"/>
            <w:szCs w:val="22"/>
          </w:rPr>
          <w:fldChar w:fldCharType="end"/>
        </w:r>
      </w:hyperlink>
    </w:p>
    <w:p>
      <w:pPr>
        <w:pStyle w:val="ndice2"/>
        <w:tabs>
          <w:tab w:val="left" w:pos="1000"/>
          <w:tab w:val="right" w:leader="dot" w:pos="9071"/>
        </w:tabs>
        <w:spacing w:before="0" w:after="30" w:line="264" w:lineRule="auto"/>
        <w:ind w:left="300" w:firstLine="0"/>
        <w:jc w:val="left"/>
      </w:pPr>
      <w:hyperlink w:anchor="_Toc_docker" w:history="1">
        <w:r>
          <w:rPr>
            <w:sz w:val="22"/>
            <w:szCs w:val="22"/>
          </w:rPr>
          <w:t xml:space="preserve">2.2.</w:t>
        </w:r>
        <w:r>
          <w:tab/>
        </w:r>
        <w:r>
          <w:rPr>
            <w:sz w:val="22"/>
            <w:szCs w:val="22"/>
          </w:rPr>
          <w:t xml:space="preserve">Ambiente Contentorizado (Docker)</w:t>
        </w:r>
        <w:r>
          <w:tab/>
        </w:r>
        <w:r>
          <w:rPr>
            <w:sz w:val="22"/>
            <w:szCs w:val="22"/>
          </w:rPr>
          <w:fldChar w:fldCharType="begin"/>
        </w:r>
        <w:r>
          <w:rPr>
            <w:sz w:val="22"/>
            <w:szCs w:val="22"/>
          </w:rPr>
          <w:instrText xml:space="preserve"> PAGEREF _Toc_docker \h </w:instrText>
        </w:r>
        <w:r>
          <w:rPr>
            <w:sz w:val="22"/>
            <w:szCs w:val="22"/>
          </w:rPr>
          <w:fldChar w:fldCharType="separate"/>
        </w:r>
        <w:r>
          <w:rPr>
            <w:sz w:val="22"/>
            <w:szCs w:val="22"/>
          </w:rPr>
          <w:t xml:space="preserve">7</w:t>
        </w:r>
        <w:r>
          <w:rPr>
            <w:sz w:val="22"/>
            <w:szCs w:val="22"/>
          </w:rPr>
          <w:fldChar w:fldCharType="end"/>
        </w:r>
      </w:hyperlink>
    </w:p>
    <w:p>
      <w:pPr>
        <w:pStyle w:val="ndice2"/>
        <w:tabs>
          <w:tab w:val="left" w:pos="1000"/>
          <w:tab w:val="right" w:leader="dot" w:pos="9071"/>
        </w:tabs>
        <w:spacing w:before="0" w:after="30" w:line="264" w:lineRule="auto"/>
        <w:ind w:left="300" w:firstLine="0"/>
        <w:jc w:val="left"/>
      </w:pPr>
      <w:hyperlink w:anchor="_Toc_escolhas" w:history="1">
        <w:r>
          <w:rPr>
            <w:sz w:val="22"/>
            <w:szCs w:val="22"/>
          </w:rPr>
          <w:t xml:space="preserve">2.3.</w:t>
        </w:r>
        <w:r>
          <w:tab/>
        </w:r>
        <w:r>
          <w:rPr>
            <w:sz w:val="22"/>
            <w:szCs w:val="22"/>
          </w:rPr>
          <w:t xml:space="preserve">Justificação das Escolhas Tecnológicas</w:t>
        </w:r>
        <w:r>
          <w:tab/>
        </w:r>
        <w:r>
          <w:rPr>
            <w:sz w:val="22"/>
            <w:szCs w:val="22"/>
          </w:rPr>
          <w:fldChar w:fldCharType="begin"/>
        </w:r>
        <w:r>
          <w:rPr>
            <w:sz w:val="22"/>
            <w:szCs w:val="22"/>
          </w:rPr>
          <w:instrText xml:space="preserve"> PAGEREF _Toc_escolhas \h </w:instrText>
        </w:r>
        <w:r>
          <w:rPr>
            <w:sz w:val="22"/>
            <w:szCs w:val="22"/>
          </w:rPr>
          <w:fldChar w:fldCharType="separate"/>
        </w:r>
        <w:r>
          <w:rPr>
            <w:sz w:val="22"/>
            <w:szCs w:val="22"/>
          </w:rPr>
          <w:t xml:space="preserve">8</w:t>
        </w:r>
        <w:r>
          <w:rPr>
            <w:sz w:val="22"/>
            <w:szCs w:val="22"/>
          </w:rPr>
          <w:fldChar w:fldCharType="end"/>
        </w:r>
      </w:hyperlink>
    </w:p>
    <w:p>
      <w:pPr>
        <w:pStyle w:val="ndice2"/>
        <w:tabs>
          <w:tab w:val="left" w:pos="1000"/>
          <w:tab w:val="right" w:leader="dot" w:pos="9071"/>
        </w:tabs>
        <w:spacing w:before="0" w:after="30" w:line="264" w:lineRule="auto"/>
        <w:ind w:left="300" w:firstLine="0"/>
        <w:jc w:val="left"/>
      </w:pPr>
      <w:hyperlink w:anchor="_Toc_evolucao" w:history="1">
        <w:r>
          <w:rPr>
            <w:sz w:val="22"/>
            <w:szCs w:val="22"/>
          </w:rPr>
          <w:t xml:space="preserve">2.4.</w:t>
        </w:r>
        <w:r>
          <w:tab/>
        </w:r>
        <w:r>
          <w:rPr>
            <w:sz w:val="22"/>
            <w:szCs w:val="22"/>
          </w:rPr>
          <w:t xml:space="preserve">Evolução da Solução e Abordagens Exploradas</w:t>
        </w:r>
        <w:r>
          <w:tab/>
        </w:r>
        <w:r>
          <w:rPr>
            <w:sz w:val="22"/>
            <w:szCs w:val="22"/>
          </w:rPr>
          <w:fldChar w:fldCharType="begin"/>
        </w:r>
        <w:r>
          <w:rPr>
            <w:sz w:val="22"/>
            <w:szCs w:val="22"/>
          </w:rPr>
          <w:instrText xml:space="preserve"> PAGEREF _Toc_evolucao \h </w:instrText>
        </w:r>
        <w:r>
          <w:rPr>
            <w:sz w:val="22"/>
            <w:szCs w:val="22"/>
          </w:rPr>
          <w:fldChar w:fldCharType="separate"/>
        </w:r>
        <w:r>
          <w:rPr>
            <w:sz w:val="22"/>
            <w:szCs w:val="22"/>
          </w:rPr>
          <w:t xml:space="preserve">9</w:t>
        </w:r>
        <w:r>
          <w:rPr>
            <w:sz w:val="22"/>
            <w:szCs w:val="22"/>
          </w:rPr>
          <w:fldChar w:fldCharType="end"/>
        </w:r>
      </w:hyperlink>
    </w:p>
    <w:p>
      <w:pPr>
        <w:pStyle w:val="ndice3"/>
        <w:tabs>
          <w:tab w:val="left" w:pos="1750"/>
          <w:tab w:val="right" w:leader="dot" w:pos="9071"/>
        </w:tabs>
        <w:spacing w:before="0" w:after="30" w:line="264" w:lineRule="auto"/>
        <w:ind w:left="600" w:firstLine="0"/>
        <w:jc w:val="left"/>
      </w:pPr>
      <w:hyperlink w:anchor="_Toc_nosql" w:history="1">
        <w:r>
          <w:rPr>
            <w:sz w:val="22"/>
            <w:szCs w:val="22"/>
          </w:rPr>
          <w:t xml:space="preserve">2.4.1.</w:t>
        </w:r>
        <w:r>
          <w:tab/>
        </w:r>
        <w:r>
          <w:rPr>
            <w:sz w:val="22"/>
            <w:szCs w:val="22"/>
          </w:rPr>
          <w:t xml:space="preserve">Tentativa de Diversificação com MongoDB</w:t>
        </w:r>
        <w:r>
          <w:tab/>
        </w:r>
        <w:r>
          <w:rPr>
            <w:sz w:val="22"/>
            <w:szCs w:val="22"/>
          </w:rPr>
          <w:fldChar w:fldCharType="begin"/>
        </w:r>
        <w:r>
          <w:rPr>
            <w:sz w:val="22"/>
            <w:szCs w:val="22"/>
          </w:rPr>
          <w:instrText xml:space="preserve"> PAGEREF _Toc_nosql \h </w:instrText>
        </w:r>
        <w:r>
          <w:rPr>
            <w:sz w:val="22"/>
            <w:szCs w:val="22"/>
          </w:rPr>
          <w:fldChar w:fldCharType="separate"/>
        </w:r>
        <w:r>
          <w:rPr>
            <w:sz w:val="22"/>
            <w:szCs w:val="22"/>
          </w:rPr>
          <w:t xml:space="preserve">10</w:t>
        </w:r>
        <w:r>
          <w:rPr>
            <w:sz w:val="22"/>
            <w:szCs w:val="22"/>
          </w:rPr>
          <w:fldChar w:fldCharType="end"/>
        </w:r>
      </w:hyperlink>
    </w:p>
    <w:p>
      <w:pPr>
        <w:pStyle w:val="ndice3"/>
        <w:tabs>
          <w:tab w:val="left" w:pos="1750"/>
          <w:tab w:val="right" w:leader="dot" w:pos="9071"/>
        </w:tabs>
        <w:spacing w:before="0" w:after="30" w:line="264" w:lineRule="auto"/>
        <w:ind w:left="600" w:firstLine="0"/>
        <w:jc w:val="left"/>
      </w:pPr>
      <w:hyperlink w:anchor="_Toc_porque_pg" w:history="1">
        <w:r>
          <w:rPr>
            <w:sz w:val="22"/>
            <w:szCs w:val="22"/>
          </w:rPr>
          <w:t xml:space="preserve">2.4.2.</w:t>
        </w:r>
        <w:r>
          <w:tab/>
        </w:r>
        <w:r>
          <w:rPr>
            <w:sz w:val="22"/>
            <w:szCs w:val="22"/>
          </w:rPr>
          <w:t xml:space="preserve">Justificação da Opção Final pelo PostgreSQL</w:t>
        </w:r>
        <w:r>
          <w:tab/>
        </w:r>
        <w:r>
          <w:rPr>
            <w:sz w:val="22"/>
            <w:szCs w:val="22"/>
          </w:rPr>
          <w:fldChar w:fldCharType="begin"/>
        </w:r>
        <w:r>
          <w:rPr>
            <w:sz w:val="22"/>
            <w:szCs w:val="22"/>
          </w:rPr>
          <w:instrText xml:space="preserve"> PAGEREF _Toc_porque_pg \h </w:instrText>
        </w:r>
        <w:r>
          <w:rPr>
            <w:sz w:val="22"/>
            <w:szCs w:val="22"/>
          </w:rPr>
          <w:fldChar w:fldCharType="separate"/>
        </w:r>
        <w:r>
          <w:rPr>
            <w:sz w:val="22"/>
            <w:szCs w:val="22"/>
          </w:rPr>
          <w:t xml:space="preserve">10</w:t>
        </w:r>
        <w:r>
          <w:rPr>
            <w:sz w:val="22"/>
            <w:szCs w:val="22"/>
          </w:rPr>
          <w:fldChar w:fldCharType="end"/>
        </w:r>
      </w:hyperlink>
    </w:p>
    <w:p>
      <w:pPr>
        <w:pStyle w:val="ndice2"/>
        <w:tabs>
          <w:tab w:val="left" w:pos="1000"/>
          <w:tab w:val="right" w:leader="dot" w:pos="9071"/>
        </w:tabs>
        <w:spacing w:before="0" w:after="30" w:line="264" w:lineRule="auto"/>
        <w:ind w:left="300" w:firstLine="0"/>
        <w:jc w:val="left"/>
      </w:pPr>
      <w:hyperlink w:anchor="_Toc_cobertura" w:history="1">
        <w:r>
          <w:rPr>
            <w:sz w:val="22"/>
            <w:szCs w:val="22"/>
          </w:rPr>
          <w:t xml:space="preserve">2.5.</w:t>
        </w:r>
        <w:r>
          <w:tab/>
        </w:r>
        <w:r>
          <w:rPr>
            <w:sz w:val="22"/>
            <w:szCs w:val="22"/>
          </w:rPr>
          <w:t xml:space="preserve">Cobertura das Fases do ETL</w:t>
        </w:r>
        <w:r>
          <w:tab/>
        </w:r>
        <w:r>
          <w:rPr>
            <w:sz w:val="22"/>
            <w:szCs w:val="22"/>
          </w:rPr>
          <w:fldChar w:fldCharType="begin"/>
        </w:r>
        <w:r>
          <w:rPr>
            <w:sz w:val="22"/>
            <w:szCs w:val="22"/>
          </w:rPr>
          <w:instrText xml:space="preserve"> PAGEREF _Toc_cobertura \h </w:instrText>
        </w:r>
        <w:r>
          <w:rPr>
            <w:sz w:val="22"/>
            <w:szCs w:val="22"/>
          </w:rPr>
          <w:fldChar w:fldCharType="separate"/>
        </w:r>
        <w:r>
          <w:rPr>
            <w:sz w:val="22"/>
            <w:szCs w:val="22"/>
          </w:rPr>
          <w:t xml:space="preserve">11</w:t>
        </w:r>
        <w:r>
          <w:rPr>
            <w:sz w:val="22"/>
            <w:szCs w:val="22"/>
          </w:rPr>
          <w:fldChar w:fldCharType="end"/>
        </w:r>
      </w:hyperlink>
    </w:p>
    <w:p>
      <w:pPr>
        <w:pStyle w:val="ndice3"/>
        <w:tabs>
          <w:tab w:val="left" w:pos="1750"/>
          <w:tab w:val="right" w:leader="dot" w:pos="9071"/>
        </w:tabs>
        <w:spacing w:before="0" w:after="30" w:line="264" w:lineRule="auto"/>
        <w:ind w:left="600" w:firstLine="0"/>
        <w:jc w:val="left"/>
      </w:pPr>
      <w:hyperlink w:anchor="_Toc_f1" w:history="1">
        <w:r>
          <w:rPr>
            <w:sz w:val="22"/>
            <w:szCs w:val="22"/>
          </w:rPr>
          <w:t xml:space="preserve">2.5.1.</w:t>
        </w:r>
        <w:r>
          <w:tab/>
        </w:r>
        <w:r>
          <w:rPr>
            <w:sz w:val="22"/>
            <w:szCs w:val="22"/>
          </w:rPr>
          <w:t xml:space="preserve">Fase 1 – Recolha e Preparação de Dados (E)</w:t>
        </w:r>
        <w:r>
          <w:tab/>
        </w:r>
        <w:r>
          <w:rPr>
            <w:sz w:val="22"/>
            <w:szCs w:val="22"/>
          </w:rPr>
          <w:fldChar w:fldCharType="begin"/>
        </w:r>
        <w:r>
          <w:rPr>
            <w:sz w:val="22"/>
            <w:szCs w:val="22"/>
          </w:rPr>
          <w:instrText xml:space="preserve"> PAGEREF _Toc_f1 \h </w:instrText>
        </w:r>
        <w:r>
          <w:rPr>
            <w:sz w:val="22"/>
            <w:szCs w:val="22"/>
          </w:rPr>
          <w:fldChar w:fldCharType="separate"/>
        </w:r>
        <w:r>
          <w:rPr>
            <w:sz w:val="22"/>
            <w:szCs w:val="22"/>
          </w:rPr>
          <w:t xml:space="preserve">11</w:t>
        </w:r>
        <w:r>
          <w:rPr>
            <w:sz w:val="22"/>
            <w:szCs w:val="22"/>
          </w:rPr>
          <w:fldChar w:fldCharType="end"/>
        </w:r>
      </w:hyperlink>
    </w:p>
    <w:p>
      <w:pPr>
        <w:pStyle w:val="ndice3"/>
        <w:tabs>
          <w:tab w:val="left" w:pos="1750"/>
          <w:tab w:val="right" w:leader="dot" w:pos="9071"/>
        </w:tabs>
        <w:spacing w:before="0" w:after="30" w:line="264" w:lineRule="auto"/>
        <w:ind w:left="600" w:firstLine="0"/>
        <w:jc w:val="left"/>
      </w:pPr>
      <w:hyperlink w:anchor="_Toc_f2" w:history="1">
        <w:r>
          <w:rPr>
            <w:sz w:val="22"/>
            <w:szCs w:val="22"/>
          </w:rPr>
          <w:t xml:space="preserve">2.5.2.</w:t>
        </w:r>
        <w:r>
          <w:tab/>
        </w:r>
        <w:r>
          <w:rPr>
            <w:sz w:val="22"/>
            <w:szCs w:val="22"/>
          </w:rPr>
          <w:t xml:space="preserve">Fase 2 – Processamento e Transformação de Dados (T)</w:t>
        </w:r>
        <w:r>
          <w:tab/>
        </w:r>
        <w:r>
          <w:rPr>
            <w:sz w:val="22"/>
            <w:szCs w:val="22"/>
          </w:rPr>
          <w:fldChar w:fldCharType="begin"/>
        </w:r>
        <w:r>
          <w:rPr>
            <w:sz w:val="22"/>
            <w:szCs w:val="22"/>
          </w:rPr>
          <w:instrText xml:space="preserve"> PAGEREF _Toc_f2 \h </w:instrText>
        </w:r>
        <w:r>
          <w:rPr>
            <w:sz w:val="22"/>
            <w:szCs w:val="22"/>
          </w:rPr>
          <w:fldChar w:fldCharType="separate"/>
        </w:r>
        <w:r>
          <w:rPr>
            <w:sz w:val="22"/>
            <w:szCs w:val="22"/>
          </w:rPr>
          <w:t xml:space="preserve">11</w:t>
        </w:r>
        <w:r>
          <w:rPr>
            <w:sz w:val="22"/>
            <w:szCs w:val="22"/>
          </w:rPr>
          <w:fldChar w:fldCharType="end"/>
        </w:r>
      </w:hyperlink>
    </w:p>
    <w:p>
      <w:pPr>
        <w:pStyle w:val="ndice3"/>
        <w:tabs>
          <w:tab w:val="left" w:pos="1750"/>
          <w:tab w:val="right" w:leader="dot" w:pos="9071"/>
        </w:tabs>
        <w:spacing w:before="0" w:after="30" w:line="264" w:lineRule="auto"/>
        <w:ind w:left="600" w:firstLine="0"/>
        <w:jc w:val="left"/>
      </w:pPr>
      <w:hyperlink w:anchor="_Toc_f3" w:history="1">
        <w:r>
          <w:rPr>
            <w:sz w:val="22"/>
            <w:szCs w:val="22"/>
          </w:rPr>
          <w:t xml:space="preserve">2.5.3.</w:t>
        </w:r>
        <w:r>
          <w:tab/>
        </w:r>
        <w:r>
          <w:rPr>
            <w:sz w:val="22"/>
            <w:szCs w:val="22"/>
          </w:rPr>
          <w:t xml:space="preserve">Fase 3 – Persistência e Exportação (L)</w:t>
        </w:r>
        <w:r>
          <w:tab/>
        </w:r>
        <w:r>
          <w:rPr>
            <w:sz w:val="22"/>
            <w:szCs w:val="22"/>
          </w:rPr>
          <w:fldChar w:fldCharType="begin"/>
        </w:r>
        <w:r>
          <w:rPr>
            <w:sz w:val="22"/>
            <w:szCs w:val="22"/>
          </w:rPr>
          <w:instrText xml:space="preserve"> PAGEREF _Toc_f3 \h </w:instrText>
        </w:r>
        <w:r>
          <w:rPr>
            <w:sz w:val="22"/>
            <w:szCs w:val="22"/>
          </w:rPr>
          <w:fldChar w:fldCharType="separate"/>
        </w:r>
        <w:r>
          <w:rPr>
            <w:sz w:val="22"/>
            <w:szCs w:val="22"/>
          </w:rPr>
          <w:t xml:space="preserve">11</w:t>
        </w:r>
        <w:r>
          <w:rPr>
            <w:sz w:val="22"/>
            <w:szCs w:val="22"/>
          </w:rPr>
          <w:fldChar w:fldCharType="end"/>
        </w:r>
      </w:hyperlink>
    </w:p>
    <w:p>
      <w:pPr>
        <w:pStyle w:val="ndice1"/>
        <w:tabs>
          <w:tab w:val="left" w:pos="440"/>
          <w:tab w:val="right" w:leader="dot" w:pos="9071"/>
        </w:tabs>
        <w:spacing w:before="90" w:after="30" w:line="264" w:lineRule="auto"/>
        <w:ind w:left="0" w:firstLine="0"/>
        <w:jc w:val="left"/>
      </w:pPr>
      <w:hyperlink w:anchor="_Toc_cap3" w:history="1">
        <w:r>
          <w:rPr>
            <w:b/>
            <w:bCs/>
            <w:sz w:val="22"/>
            <w:szCs w:val="22"/>
          </w:rPr>
          <w:t xml:space="preserve">3.</w:t>
        </w:r>
        <w:r>
          <w:tab/>
        </w:r>
        <w:r>
          <w:rPr>
            <w:b/>
            <w:bCs/>
            <w:sz w:val="22"/>
            <w:szCs w:val="22"/>
          </w:rPr>
          <w:t xml:space="preserve">Transformações</w:t>
        </w:r>
        <w:r>
          <w:tab/>
        </w:r>
        <w:r>
          <w:rPr>
            <w:sz w:val="22"/>
            <w:szCs w:val="22"/>
          </w:rPr>
          <w:fldChar w:fldCharType="begin"/>
        </w:r>
        <w:r>
          <w:rPr>
            <w:sz w:val="22"/>
            <w:szCs w:val="22"/>
          </w:rPr>
          <w:instrText xml:space="preserve"> PAGEREF _Toc_cap3 \h </w:instrText>
        </w:r>
        <w:r>
          <w:rPr>
            <w:sz w:val="22"/>
            <w:szCs w:val="22"/>
          </w:rPr>
          <w:fldChar w:fldCharType="separate"/>
        </w:r>
        <w:r>
          <w:rPr>
            <w:sz w:val="22"/>
            <w:szCs w:val="22"/>
          </w:rPr>
          <w:t xml:space="preserve">13</w:t>
        </w:r>
        <w:r>
          <w:rPr>
            <w:sz w:val="22"/>
            <w:szCs w:val="22"/>
          </w:rPr>
          <w:fldChar w:fldCharType="end"/>
        </w:r>
      </w:hyperlink>
    </w:p>
    <w:p>
      <w:pPr>
        <w:pStyle w:val="ndice2"/>
        <w:tabs>
          <w:tab w:val="left" w:pos="1000"/>
          <w:tab w:val="right" w:leader="dot" w:pos="9071"/>
        </w:tabs>
        <w:spacing w:before="0" w:after="30" w:line="264" w:lineRule="auto"/>
        <w:ind w:left="300" w:firstLine="0"/>
        <w:jc w:val="left"/>
      </w:pPr>
      <w:hyperlink w:anchor="_Toc_knime" w:history="1">
        <w:r>
          <w:rPr>
            <w:sz w:val="22"/>
            <w:szCs w:val="22"/>
          </w:rPr>
          <w:t xml:space="preserve">3.1.</w:t>
        </w:r>
        <w:r>
          <w:tab/>
        </w:r>
        <w:r>
          <w:rPr>
            <w:sz w:val="22"/>
            <w:szCs w:val="22"/>
          </w:rPr>
          <w:t xml:space="preserve">Via em Lote: Workflow no KNIME Analytics Platform</w:t>
        </w:r>
        <w:r>
          <w:tab/>
        </w:r>
        <w:r>
          <w:rPr>
            <w:sz w:val="22"/>
            <w:szCs w:val="22"/>
          </w:rPr>
          <w:fldChar w:fldCharType="begin"/>
        </w:r>
        <w:r>
          <w:rPr>
            <w:sz w:val="22"/>
            <w:szCs w:val="22"/>
          </w:rPr>
          <w:instrText xml:space="preserve"> PAGEREF _Toc_knime \h </w:instrText>
        </w:r>
        <w:r>
          <w:rPr>
            <w:sz w:val="22"/>
            <w:szCs w:val="22"/>
          </w:rPr>
          <w:fldChar w:fldCharType="separate"/>
        </w:r>
        <w:r>
          <w:rPr>
            <w:sz w:val="22"/>
            <w:szCs w:val="22"/>
          </w:rPr>
          <w:t xml:space="preserve">13</w:t>
        </w:r>
        <w:r>
          <w:rPr>
            <w:sz w:val="22"/>
            <w:szCs w:val="22"/>
          </w:rPr>
          <w:fldChar w:fldCharType="end"/>
        </w:r>
      </w:hyperlink>
    </w:p>
    <w:p>
      <w:pPr>
        <w:pStyle w:val="ndice3"/>
        <w:tabs>
          <w:tab w:val="left" w:pos="1750"/>
          <w:tab w:val="right" w:leader="dot" w:pos="9071"/>
        </w:tabs>
        <w:spacing w:before="0" w:after="30" w:line="264" w:lineRule="auto"/>
        <w:ind w:left="600" w:firstLine="0"/>
        <w:jc w:val="left"/>
      </w:pPr>
      <w:hyperlink w:anchor="_Toc_ramo1" w:history="1">
        <w:r>
          <w:rPr>
            <w:sz w:val="22"/>
            <w:szCs w:val="22"/>
          </w:rPr>
          <w:t xml:space="preserve">3.1.1.</w:t>
        </w:r>
        <w:r>
          <w:tab/>
        </w:r>
        <w:r>
          <w:rPr>
            <w:sz w:val="22"/>
            <w:szCs w:val="22"/>
          </w:rPr>
          <w:t xml:space="preserve">Ramo 1 – Extração via API REST (JSON)</w:t>
        </w:r>
        <w:r>
          <w:tab/>
        </w:r>
        <w:r>
          <w:rPr>
            <w:sz w:val="22"/>
            <w:szCs w:val="22"/>
          </w:rPr>
          <w:fldChar w:fldCharType="begin"/>
        </w:r>
        <w:r>
          <w:rPr>
            <w:sz w:val="22"/>
            <w:szCs w:val="22"/>
          </w:rPr>
          <w:instrText xml:space="preserve"> PAGEREF _Toc_ramo1 \h </w:instrText>
        </w:r>
        <w:r>
          <w:rPr>
            <w:sz w:val="22"/>
            <w:szCs w:val="22"/>
          </w:rPr>
          <w:fldChar w:fldCharType="separate"/>
        </w:r>
        <w:r>
          <w:rPr>
            <w:sz w:val="22"/>
            <w:szCs w:val="22"/>
          </w:rPr>
          <w:t xml:space="preserve">14</w:t>
        </w:r>
        <w:r>
          <w:rPr>
            <w:sz w:val="22"/>
            <w:szCs w:val="22"/>
          </w:rPr>
          <w:fldChar w:fldCharType="end"/>
        </w:r>
      </w:hyperlink>
    </w:p>
    <w:p>
      <w:pPr>
        <w:pStyle w:val="ndice3"/>
        <w:tabs>
          <w:tab w:val="left" w:pos="1750"/>
          <w:tab w:val="right" w:leader="dot" w:pos="9071"/>
        </w:tabs>
        <w:spacing w:before="0" w:after="30" w:line="264" w:lineRule="auto"/>
        <w:ind w:left="600" w:firstLine="0"/>
        <w:jc w:val="left"/>
      </w:pPr>
      <w:hyperlink w:anchor="_Toc_ramo2" w:history="1">
        <w:r>
          <w:rPr>
            <w:sz w:val="22"/>
            <w:szCs w:val="22"/>
          </w:rPr>
          <w:t xml:space="preserve">3.1.2.</w:t>
        </w:r>
        <w:r>
          <w:tab/>
        </w:r>
        <w:r>
          <w:rPr>
            <w:sz w:val="22"/>
            <w:szCs w:val="22"/>
          </w:rPr>
          <w:t xml:space="preserve">Ramo 2 – Extração em Lote de Ficheiro Local (CSV)</w:t>
        </w:r>
        <w:r>
          <w:tab/>
        </w:r>
        <w:r>
          <w:rPr>
            <w:sz w:val="22"/>
            <w:szCs w:val="22"/>
          </w:rPr>
          <w:fldChar w:fldCharType="begin"/>
        </w:r>
        <w:r>
          <w:rPr>
            <w:sz w:val="22"/>
            <w:szCs w:val="22"/>
          </w:rPr>
          <w:instrText xml:space="preserve"> PAGEREF _Toc_ramo2 \h </w:instrText>
        </w:r>
        <w:r>
          <w:rPr>
            <w:sz w:val="22"/>
            <w:szCs w:val="22"/>
          </w:rPr>
          <w:fldChar w:fldCharType="separate"/>
        </w:r>
        <w:r>
          <w:rPr>
            <w:sz w:val="22"/>
            <w:szCs w:val="22"/>
          </w:rPr>
          <w:t xml:space="preserve">15</w:t>
        </w:r>
        <w:r>
          <w:rPr>
            <w:sz w:val="22"/>
            <w:szCs w:val="22"/>
          </w:rPr>
          <w:fldChar w:fldCharType="end"/>
        </w:r>
      </w:hyperlink>
    </w:p>
    <w:p>
      <w:pPr>
        <w:pStyle w:val="ndice3"/>
        <w:tabs>
          <w:tab w:val="left" w:pos="1750"/>
          <w:tab w:val="right" w:leader="dot" w:pos="9071"/>
        </w:tabs>
        <w:spacing w:before="0" w:after="30" w:line="264" w:lineRule="auto"/>
        <w:ind w:left="600" w:firstLine="0"/>
        <w:jc w:val="left"/>
      </w:pPr>
      <w:hyperlink w:anchor="_Toc_ramo3" w:history="1">
        <w:r>
          <w:rPr>
            <w:sz w:val="22"/>
            <w:szCs w:val="22"/>
          </w:rPr>
          <w:t xml:space="preserve">3.1.3.</w:t>
        </w:r>
        <w:r>
          <w:tab/>
        </w:r>
        <w:r>
          <w:rPr>
            <w:sz w:val="22"/>
            <w:szCs w:val="22"/>
          </w:rPr>
          <w:t xml:space="preserve">Ramo 3 – Extração Web com XPath (HTML)</w:t>
        </w:r>
        <w:r>
          <w:tab/>
        </w:r>
        <w:r>
          <w:rPr>
            <w:sz w:val="22"/>
            <w:szCs w:val="22"/>
          </w:rPr>
          <w:fldChar w:fldCharType="begin"/>
        </w:r>
        <w:r>
          <w:rPr>
            <w:sz w:val="22"/>
            <w:szCs w:val="22"/>
          </w:rPr>
          <w:instrText xml:space="preserve"> PAGEREF _Toc_ramo3 \h </w:instrText>
        </w:r>
        <w:r>
          <w:rPr>
            <w:sz w:val="22"/>
            <w:szCs w:val="22"/>
          </w:rPr>
          <w:fldChar w:fldCharType="separate"/>
        </w:r>
        <w:r>
          <w:rPr>
            <w:sz w:val="22"/>
            <w:szCs w:val="22"/>
          </w:rPr>
          <w:t xml:space="preserve">15</w:t>
        </w:r>
        <w:r>
          <w:rPr>
            <w:sz w:val="22"/>
            <w:szCs w:val="22"/>
          </w:rPr>
          <w:fldChar w:fldCharType="end"/>
        </w:r>
      </w:hyperlink>
    </w:p>
    <w:p>
      <w:pPr>
        <w:pStyle w:val="ndice3"/>
        <w:tabs>
          <w:tab w:val="left" w:pos="1750"/>
          <w:tab w:val="right" w:leader="dot" w:pos="9071"/>
        </w:tabs>
        <w:spacing w:before="0" w:after="30" w:line="264" w:lineRule="auto"/>
        <w:ind w:left="600" w:firstLine="0"/>
        <w:jc w:val="left"/>
      </w:pPr>
      <w:hyperlink w:anchor="_Toc_fusao" w:history="1">
        <w:r>
          <w:rPr>
            <w:sz w:val="22"/>
            <w:szCs w:val="22"/>
          </w:rPr>
          <w:t xml:space="preserve">3.1.4.</w:t>
        </w:r>
        <w:r>
          <w:tab/>
        </w:r>
        <w:r>
          <w:rPr>
            <w:sz w:val="22"/>
            <w:szCs w:val="22"/>
          </w:rPr>
          <w:t xml:space="preserve">Fusão e Padronização Global</w:t>
        </w:r>
        <w:r>
          <w:tab/>
        </w:r>
        <w:r>
          <w:rPr>
            <w:sz w:val="22"/>
            <w:szCs w:val="22"/>
          </w:rPr>
          <w:fldChar w:fldCharType="begin"/>
        </w:r>
        <w:r>
          <w:rPr>
            <w:sz w:val="22"/>
            <w:szCs w:val="22"/>
          </w:rPr>
          <w:instrText xml:space="preserve"> PAGEREF _Toc_fusao \h </w:instrText>
        </w:r>
        <w:r>
          <w:rPr>
            <w:sz w:val="22"/>
            <w:szCs w:val="22"/>
          </w:rPr>
          <w:fldChar w:fldCharType="separate"/>
        </w:r>
        <w:r>
          <w:rPr>
            <w:sz w:val="22"/>
            <w:szCs w:val="22"/>
          </w:rPr>
          <w:t xml:space="preserve">16</w:t>
        </w:r>
        <w:r>
          <w:rPr>
            <w:sz w:val="22"/>
            <w:szCs w:val="22"/>
          </w:rPr>
          <w:fldChar w:fldCharType="end"/>
        </w:r>
      </w:hyperlink>
    </w:p>
    <w:p>
      <w:pPr>
        <w:pStyle w:val="ndice3"/>
        <w:tabs>
          <w:tab w:val="left" w:pos="1750"/>
          <w:tab w:val="right" w:leader="dot" w:pos="9071"/>
        </w:tabs>
        <w:spacing w:before="0" w:after="30" w:line="264" w:lineRule="auto"/>
        <w:ind w:left="600" w:firstLine="0"/>
        <w:jc w:val="left"/>
      </w:pPr>
      <w:hyperlink w:anchor="_Toc_calculo" w:history="1">
        <w:r>
          <w:rPr>
            <w:sz w:val="22"/>
            <w:szCs w:val="22"/>
          </w:rPr>
          <w:t xml:space="preserve">3.1.5.</w:t>
        </w:r>
        <w:r>
          <w:tab/>
        </w:r>
        <w:r>
          <w:rPr>
            <w:sz w:val="22"/>
            <w:szCs w:val="22"/>
          </w:rPr>
          <w:t xml:space="preserve">Cruzamento, Modelação Fiscal e Cálculo da Poupança</w:t>
        </w:r>
        <w:r>
          <w:tab/>
        </w:r>
        <w:r>
          <w:rPr>
            <w:sz w:val="22"/>
            <w:szCs w:val="22"/>
          </w:rPr>
          <w:fldChar w:fldCharType="begin"/>
        </w:r>
        <w:r>
          <w:rPr>
            <w:sz w:val="22"/>
            <w:szCs w:val="22"/>
          </w:rPr>
          <w:instrText xml:space="preserve"> PAGEREF _Toc_calculo \h </w:instrText>
        </w:r>
        <w:r>
          <w:rPr>
            <w:sz w:val="22"/>
            <w:szCs w:val="22"/>
          </w:rPr>
          <w:fldChar w:fldCharType="separate"/>
        </w:r>
        <w:r>
          <w:rPr>
            <w:sz w:val="22"/>
            <w:szCs w:val="22"/>
          </w:rPr>
          <w:t xml:space="preserve">17</w:t>
        </w:r>
        <w:r>
          <w:rPr>
            <w:sz w:val="22"/>
            <w:szCs w:val="22"/>
          </w:rPr>
          <w:fldChar w:fldCharType="end"/>
        </w:r>
      </w:hyperlink>
    </w:p>
    <w:p>
      <w:pPr>
        <w:pStyle w:val="ndice2"/>
        <w:tabs>
          <w:tab w:val="left" w:pos="1000"/>
          <w:tab w:val="right" w:leader="dot" w:pos="9071"/>
        </w:tabs>
        <w:spacing w:before="0" w:after="30" w:line="264" w:lineRule="auto"/>
        <w:ind w:left="300" w:firstLine="0"/>
        <w:jc w:val="left"/>
      </w:pPr>
      <w:hyperlink w:anchor="_Toc_nodered" w:history="1">
        <w:r>
          <w:rPr>
            <w:sz w:val="22"/>
            <w:szCs w:val="22"/>
          </w:rPr>
          <w:t xml:space="preserve">3.2.</w:t>
        </w:r>
        <w:r>
          <w:tab/>
        </w:r>
        <w:r>
          <w:rPr>
            <w:sz w:val="22"/>
            <w:szCs w:val="22"/>
          </w:rPr>
          <w:t xml:space="preserve">Via Contínua: Transformações no Node-RED</w:t>
        </w:r>
        <w:r>
          <w:tab/>
        </w:r>
        <w:r>
          <w:rPr>
            <w:sz w:val="22"/>
            <w:szCs w:val="22"/>
          </w:rPr>
          <w:fldChar w:fldCharType="begin"/>
        </w:r>
        <w:r>
          <w:rPr>
            <w:sz w:val="22"/>
            <w:szCs w:val="22"/>
          </w:rPr>
          <w:instrText xml:space="preserve"> PAGEREF _Toc_nodered \h </w:instrText>
        </w:r>
        <w:r>
          <w:rPr>
            <w:sz w:val="22"/>
            <w:szCs w:val="22"/>
          </w:rPr>
          <w:fldChar w:fldCharType="separate"/>
        </w:r>
        <w:r>
          <w:rPr>
            <w:sz w:val="22"/>
            <w:szCs w:val="22"/>
          </w:rPr>
          <w:t xml:space="preserve">18</w:t>
        </w:r>
        <w:r>
          <w:rPr>
            <w:sz w:val="22"/>
            <w:szCs w:val="22"/>
          </w:rPr>
          <w:fldChar w:fldCharType="end"/>
        </w:r>
      </w:hyperlink>
    </w:p>
    <w:p>
      <w:pPr>
        <w:pStyle w:val="ndice3"/>
        <w:tabs>
          <w:tab w:val="left" w:pos="1750"/>
          <w:tab w:val="right" w:leader="dot" w:pos="9071"/>
        </w:tabs>
        <w:spacing w:before="0" w:after="30" w:line="264" w:lineRule="auto"/>
        <w:ind w:left="600" w:firstLine="0"/>
        <w:jc w:val="left"/>
      </w:pPr>
      <w:hyperlink w:anchor="_Toc_nrprep" w:history="1">
        <w:r>
          <w:rPr>
            <w:sz w:val="22"/>
            <w:szCs w:val="22"/>
          </w:rPr>
          <w:t xml:space="preserve">3.2.1.</w:t>
        </w:r>
        <w:r>
          <w:tab/>
        </w:r>
        <w:r>
          <w:rPr>
            <w:sz w:val="22"/>
            <w:szCs w:val="22"/>
          </w:rPr>
          <w:t xml:space="preserve">Preparação dos Termos e Chamadas às APIs</w:t>
        </w:r>
        <w:r>
          <w:tab/>
        </w:r>
        <w:r>
          <w:rPr>
            <w:sz w:val="22"/>
            <w:szCs w:val="22"/>
          </w:rPr>
          <w:fldChar w:fldCharType="begin"/>
        </w:r>
        <w:r>
          <w:rPr>
            <w:sz w:val="22"/>
            <w:szCs w:val="22"/>
          </w:rPr>
          <w:instrText xml:space="preserve"> PAGEREF _Toc_nrprep \h </w:instrText>
        </w:r>
        <w:r>
          <w:rPr>
            <w:sz w:val="22"/>
            <w:szCs w:val="22"/>
          </w:rPr>
          <w:fldChar w:fldCharType="separate"/>
        </w:r>
        <w:r>
          <w:rPr>
            <w:sz w:val="22"/>
            <w:szCs w:val="22"/>
          </w:rPr>
          <w:t xml:space="preserve">18</w:t>
        </w:r>
        <w:r>
          <w:rPr>
            <w:sz w:val="22"/>
            <w:szCs w:val="22"/>
          </w:rPr>
          <w:fldChar w:fldCharType="end"/>
        </w:r>
      </w:hyperlink>
    </w:p>
    <w:p>
      <w:pPr>
        <w:pStyle w:val="ndice3"/>
        <w:tabs>
          <w:tab w:val="left" w:pos="1750"/>
          <w:tab w:val="right" w:leader="dot" w:pos="9071"/>
        </w:tabs>
        <w:spacing w:before="0" w:after="30" w:line="264" w:lineRule="auto"/>
        <w:ind w:left="600" w:firstLine="0"/>
        <w:jc w:val="left"/>
      </w:pPr>
      <w:hyperlink w:anchor="_Toc_normal" w:history="1">
        <w:r>
          <w:rPr>
            <w:sz w:val="22"/>
            <w:szCs w:val="22"/>
          </w:rPr>
          <w:t xml:space="preserve">3.2.2.</w:t>
        </w:r>
        <w:r>
          <w:tab/>
        </w:r>
        <w:r>
          <w:rPr>
            <w:sz w:val="22"/>
            <w:szCs w:val="22"/>
          </w:rPr>
          <w:t xml:space="preserve">Regras de Negócio no Nó Normal Data</w:t>
        </w:r>
        <w:r>
          <w:tab/>
        </w:r>
        <w:r>
          <w:rPr>
            <w:sz w:val="22"/>
            <w:szCs w:val="22"/>
          </w:rPr>
          <w:fldChar w:fldCharType="begin"/>
        </w:r>
        <w:r>
          <w:rPr>
            <w:sz w:val="22"/>
            <w:szCs w:val="22"/>
          </w:rPr>
          <w:instrText xml:space="preserve"> PAGEREF _Toc_normal \h </w:instrText>
        </w:r>
        <w:r>
          <w:rPr>
            <w:sz w:val="22"/>
            <w:szCs w:val="22"/>
          </w:rPr>
          <w:fldChar w:fldCharType="separate"/>
        </w:r>
        <w:r>
          <w:rPr>
            <w:sz w:val="22"/>
            <w:szCs w:val="22"/>
          </w:rPr>
          <w:t xml:space="preserve">19</w:t>
        </w:r>
        <w:r>
          <w:rPr>
            <w:sz w:val="22"/>
            <w:szCs w:val="22"/>
          </w:rPr>
          <w:fldChar w:fldCharType="end"/>
        </w:r>
      </w:hyperlink>
    </w:p>
    <w:p>
      <w:pPr>
        <w:pStyle w:val="ndice3"/>
        <w:tabs>
          <w:tab w:val="left" w:pos="1750"/>
          <w:tab w:val="right" w:leader="dot" w:pos="9071"/>
        </w:tabs>
        <w:spacing w:before="0" w:after="30" w:line="264" w:lineRule="auto"/>
        <w:ind w:left="600" w:firstLine="0"/>
        <w:jc w:val="left"/>
      </w:pPr>
      <w:hyperlink w:anchor="_Toc_rebuild" w:history="1">
        <w:r>
          <w:rPr>
            <w:sz w:val="22"/>
            <w:szCs w:val="22"/>
          </w:rPr>
          <w:t xml:space="preserve">3.2.3.</w:t>
        </w:r>
        <w:r>
          <w:tab/>
        </w:r>
        <w:r>
          <w:rPr>
            <w:sz w:val="22"/>
            <w:szCs w:val="22"/>
          </w:rPr>
          <w:t xml:space="preserve">Reconstrução e Validação de Parâmetros (Rebuild Params)</w:t>
        </w:r>
        <w:r>
          <w:tab/>
        </w:r>
        <w:r>
          <w:rPr>
            <w:sz w:val="22"/>
            <w:szCs w:val="22"/>
          </w:rPr>
          <w:fldChar w:fldCharType="begin"/>
        </w:r>
        <w:r>
          <w:rPr>
            <w:sz w:val="22"/>
            <w:szCs w:val="22"/>
          </w:rPr>
          <w:instrText xml:space="preserve"> PAGEREF _Toc_rebuild \h </w:instrText>
        </w:r>
        <w:r>
          <w:rPr>
            <w:sz w:val="22"/>
            <w:szCs w:val="22"/>
          </w:rPr>
          <w:fldChar w:fldCharType="separate"/>
        </w:r>
        <w:r>
          <w:rPr>
            <w:sz w:val="22"/>
            <w:szCs w:val="22"/>
          </w:rPr>
          <w:t xml:space="preserve">20</w:t>
        </w:r>
        <w:r>
          <w:rPr>
            <w:sz w:val="22"/>
            <w:szCs w:val="22"/>
          </w:rPr>
          <w:fldChar w:fldCharType="end"/>
        </w:r>
      </w:hyperlink>
    </w:p>
    <w:p>
      <w:pPr>
        <w:pStyle w:val="ndice1"/>
        <w:tabs>
          <w:tab w:val="left" w:pos="440"/>
          <w:tab w:val="right" w:leader="dot" w:pos="9071"/>
        </w:tabs>
        <w:spacing w:before="90" w:after="30" w:line="264" w:lineRule="auto"/>
        <w:ind w:left="0" w:firstLine="0"/>
        <w:jc w:val="left"/>
      </w:pPr>
      <w:hyperlink w:anchor="_Toc_cap4" w:history="1">
        <w:r>
          <w:rPr>
            <w:b/>
            <w:bCs/>
            <w:sz w:val="22"/>
            <w:szCs w:val="22"/>
          </w:rPr>
          <w:t xml:space="preserve">4.</w:t>
        </w:r>
        <w:r>
          <w:tab/>
        </w:r>
        <w:r>
          <w:rPr>
            <w:b/>
            <w:bCs/>
            <w:sz w:val="22"/>
            <w:szCs w:val="22"/>
          </w:rPr>
          <w:t xml:space="preserve">Jobs e Persistência de Dados</w:t>
        </w:r>
        <w:r>
          <w:tab/>
        </w:r>
        <w:r>
          <w:rPr>
            <w:sz w:val="22"/>
            <w:szCs w:val="22"/>
          </w:rPr>
          <w:fldChar w:fldCharType="begin"/>
        </w:r>
        <w:r>
          <w:rPr>
            <w:sz w:val="22"/>
            <w:szCs w:val="22"/>
          </w:rPr>
          <w:instrText xml:space="preserve"> PAGEREF _Toc_cap4 \h </w:instrText>
        </w:r>
        <w:r>
          <w:rPr>
            <w:sz w:val="22"/>
            <w:szCs w:val="22"/>
          </w:rPr>
          <w:fldChar w:fldCharType="separate"/>
        </w:r>
        <w:r>
          <w:rPr>
            <w:sz w:val="22"/>
            <w:szCs w:val="22"/>
          </w:rPr>
          <w:t xml:space="preserve">21</w:t>
        </w:r>
        <w:r>
          <w:rPr>
            <w:sz w:val="22"/>
            <w:szCs w:val="22"/>
          </w:rPr>
          <w:fldChar w:fldCharType="end"/>
        </w:r>
      </w:hyperlink>
    </w:p>
    <w:p>
      <w:pPr>
        <w:pStyle w:val="ndice2"/>
        <w:tabs>
          <w:tab w:val="left" w:pos="1000"/>
          <w:tab w:val="right" w:leader="dot" w:pos="9071"/>
        </w:tabs>
        <w:spacing w:before="0" w:after="30" w:line="264" w:lineRule="auto"/>
        <w:ind w:left="300" w:firstLine="0"/>
        <w:jc w:val="left"/>
      </w:pPr>
      <w:hyperlink w:anchor="_Toc_jobknime" w:history="1">
        <w:r>
          <w:rPr>
            <w:sz w:val="22"/>
            <w:szCs w:val="22"/>
          </w:rPr>
          <w:t xml:space="preserve">4.1.</w:t>
        </w:r>
        <w:r>
          <w:tab/>
        </w:r>
        <w:r>
          <w:rPr>
            <w:sz w:val="22"/>
            <w:szCs w:val="22"/>
          </w:rPr>
          <w:t xml:space="preserve">Job de Execução Cíclica no KNIME</w:t>
        </w:r>
        <w:r>
          <w:tab/>
        </w:r>
        <w:r>
          <w:rPr>
            <w:sz w:val="22"/>
            <w:szCs w:val="22"/>
          </w:rPr>
          <w:fldChar w:fldCharType="begin"/>
        </w:r>
        <w:r>
          <w:rPr>
            <w:sz w:val="22"/>
            <w:szCs w:val="22"/>
          </w:rPr>
          <w:instrText xml:space="preserve"> PAGEREF _Toc_jobknime \h </w:instrText>
        </w:r>
        <w:r>
          <w:rPr>
            <w:sz w:val="22"/>
            <w:szCs w:val="22"/>
          </w:rPr>
          <w:fldChar w:fldCharType="separate"/>
        </w:r>
        <w:r>
          <w:rPr>
            <w:sz w:val="22"/>
            <w:szCs w:val="22"/>
          </w:rPr>
          <w:t xml:space="preserve">21</w:t>
        </w:r>
        <w:r>
          <w:rPr>
            <w:sz w:val="22"/>
            <w:szCs w:val="22"/>
          </w:rPr>
          <w:fldChar w:fldCharType="end"/>
        </w:r>
      </w:hyperlink>
    </w:p>
    <w:p>
      <w:pPr>
        <w:pStyle w:val="ndice2"/>
        <w:tabs>
          <w:tab w:val="left" w:pos="1000"/>
          <w:tab w:val="right" w:leader="dot" w:pos="9071"/>
        </w:tabs>
        <w:spacing w:before="0" w:after="30" w:line="264" w:lineRule="auto"/>
        <w:ind w:left="300" w:firstLine="0"/>
        <w:jc w:val="left"/>
      </w:pPr>
      <w:hyperlink w:anchor="_Toc_jobnr" w:history="1">
        <w:r>
          <w:rPr>
            <w:sz w:val="22"/>
            <w:szCs w:val="22"/>
          </w:rPr>
          <w:t xml:space="preserve">4.2.</w:t>
        </w:r>
        <w:r>
          <w:tab/>
        </w:r>
        <w:r>
          <w:rPr>
            <w:sz w:val="22"/>
            <w:szCs w:val="22"/>
          </w:rPr>
          <w:t xml:space="preserve">Job de Agendamento e Mensageria Assíncrona (RabbitMQ)</w:t>
        </w:r>
        <w:r>
          <w:tab/>
        </w:r>
        <w:r>
          <w:rPr>
            <w:sz w:val="22"/>
            <w:szCs w:val="22"/>
          </w:rPr>
          <w:fldChar w:fldCharType="begin"/>
        </w:r>
        <w:r>
          <w:rPr>
            <w:sz w:val="22"/>
            <w:szCs w:val="22"/>
          </w:rPr>
          <w:instrText xml:space="preserve"> PAGEREF _Toc_jobnr \h </w:instrText>
        </w:r>
        <w:r>
          <w:rPr>
            <w:sz w:val="22"/>
            <w:szCs w:val="22"/>
          </w:rPr>
          <w:fldChar w:fldCharType="separate"/>
        </w:r>
        <w:r>
          <w:rPr>
            <w:sz w:val="22"/>
            <w:szCs w:val="22"/>
          </w:rPr>
          <w:t xml:space="preserve">21</w:t>
        </w:r>
        <w:r>
          <w:rPr>
            <w:sz w:val="22"/>
            <w:szCs w:val="22"/>
          </w:rPr>
          <w:fldChar w:fldCharType="end"/>
        </w:r>
      </w:hyperlink>
    </w:p>
    <w:p>
      <w:pPr>
        <w:pStyle w:val="ndice2"/>
        <w:tabs>
          <w:tab w:val="left" w:pos="1000"/>
          <w:tab w:val="right" w:leader="dot" w:pos="9071"/>
        </w:tabs>
        <w:spacing w:before="0" w:after="30" w:line="264" w:lineRule="auto"/>
        <w:ind w:left="300" w:firstLine="0"/>
        <w:jc w:val="left"/>
      </w:pPr>
      <w:hyperlink w:anchor="_Toc_load" w:history="1">
        <w:r>
          <w:rPr>
            <w:sz w:val="22"/>
            <w:szCs w:val="22"/>
          </w:rPr>
          <w:t xml:space="preserve">4.3.</w:t>
        </w:r>
        <w:r>
          <w:tab/>
        </w:r>
        <w:r>
          <w:rPr>
            <w:sz w:val="22"/>
            <w:szCs w:val="22"/>
          </w:rPr>
          <w:t xml:space="preserve">Job de Carregamento e Escrita por Cima (Upsert)</w:t>
        </w:r>
        <w:r>
          <w:tab/>
        </w:r>
        <w:r>
          <w:rPr>
            <w:sz w:val="22"/>
            <w:szCs w:val="22"/>
          </w:rPr>
          <w:fldChar w:fldCharType="begin"/>
        </w:r>
        <w:r>
          <w:rPr>
            <w:sz w:val="22"/>
            <w:szCs w:val="22"/>
          </w:rPr>
          <w:instrText xml:space="preserve"> PAGEREF _Toc_load \h </w:instrText>
        </w:r>
        <w:r>
          <w:rPr>
            <w:sz w:val="22"/>
            <w:szCs w:val="22"/>
          </w:rPr>
          <w:fldChar w:fldCharType="separate"/>
        </w:r>
        <w:r>
          <w:rPr>
            <w:sz w:val="22"/>
            <w:szCs w:val="22"/>
          </w:rPr>
          <w:t xml:space="preserve">23</w:t>
        </w:r>
        <w:r>
          <w:rPr>
            <w:sz w:val="22"/>
            <w:szCs w:val="22"/>
          </w:rPr>
          <w:fldChar w:fldCharType="end"/>
        </w:r>
      </w:hyperlink>
    </w:p>
    <w:p>
      <w:pPr>
        <w:pStyle w:val="ndice2"/>
        <w:tabs>
          <w:tab w:val="left" w:pos="1000"/>
          <w:tab w:val="right" w:leader="dot" w:pos="9071"/>
        </w:tabs>
        <w:spacing w:before="0" w:after="30" w:line="264" w:lineRule="auto"/>
        <w:ind w:left="300" w:firstLine="0"/>
        <w:jc w:val="left"/>
      </w:pPr>
      <w:hyperlink w:anchor="_Toc_modelo" w:history="1">
        <w:r>
          <w:rPr>
            <w:sz w:val="22"/>
            <w:szCs w:val="22"/>
          </w:rPr>
          <w:t xml:space="preserve">4.4.</w:t>
        </w:r>
        <w:r>
          <w:tab/>
        </w:r>
        <w:r>
          <w:rPr>
            <w:sz w:val="22"/>
            <w:szCs w:val="22"/>
          </w:rPr>
          <w:t xml:space="preserve">Modelo de Dados no PostgreSQL</w:t>
        </w:r>
        <w:r>
          <w:tab/>
        </w:r>
        <w:r>
          <w:rPr>
            <w:sz w:val="22"/>
            <w:szCs w:val="22"/>
          </w:rPr>
          <w:fldChar w:fldCharType="begin"/>
        </w:r>
        <w:r>
          <w:rPr>
            <w:sz w:val="22"/>
            <w:szCs w:val="22"/>
          </w:rPr>
          <w:instrText xml:space="preserve"> PAGEREF _Toc_modelo \h </w:instrText>
        </w:r>
        <w:r>
          <w:rPr>
            <w:sz w:val="22"/>
            <w:szCs w:val="22"/>
          </w:rPr>
          <w:fldChar w:fldCharType="separate"/>
        </w:r>
        <w:r>
          <w:rPr>
            <w:sz w:val="22"/>
            <w:szCs w:val="22"/>
          </w:rPr>
          <w:t xml:space="preserve">23</w:t>
        </w:r>
        <w:r>
          <w:rPr>
            <w:sz w:val="22"/>
            <w:szCs w:val="22"/>
          </w:rPr>
          <w:fldChar w:fldCharType="end"/>
        </w:r>
      </w:hyperlink>
    </w:p>
    <w:p>
      <w:pPr>
        <w:pStyle w:val="ndice3"/>
        <w:tabs>
          <w:tab w:val="left" w:pos="1750"/>
          <w:tab w:val="right" w:leader="dot" w:pos="9071"/>
        </w:tabs>
        <w:spacing w:before="0" w:after="30" w:line="264" w:lineRule="auto"/>
        <w:ind w:left="600" w:firstLine="0"/>
        <w:jc w:val="left"/>
      </w:pPr>
      <w:hyperlink w:anchor="_Toc_tabbatch" w:history="1">
        <w:r>
          <w:rPr>
            <w:sz w:val="22"/>
            <w:szCs w:val="22"/>
          </w:rPr>
          <w:t xml:space="preserve">4.4.1.</w:t>
        </w:r>
        <w:r>
          <w:tab/>
        </w:r>
        <w:r>
          <w:rPr>
            <w:sz w:val="22"/>
            <w:szCs w:val="22"/>
          </w:rPr>
          <w:t xml:space="preserve">Tabela ofertas_emprego (via em lote)</w:t>
        </w:r>
        <w:r>
          <w:tab/>
        </w:r>
        <w:r>
          <w:rPr>
            <w:sz w:val="22"/>
            <w:szCs w:val="22"/>
          </w:rPr>
          <w:fldChar w:fldCharType="begin"/>
        </w:r>
        <w:r>
          <w:rPr>
            <w:sz w:val="22"/>
            <w:szCs w:val="22"/>
          </w:rPr>
          <w:instrText xml:space="preserve"> PAGEREF _Toc_tabbatch \h </w:instrText>
        </w:r>
        <w:r>
          <w:rPr>
            <w:sz w:val="22"/>
            <w:szCs w:val="22"/>
          </w:rPr>
          <w:fldChar w:fldCharType="separate"/>
        </w:r>
        <w:r>
          <w:rPr>
            <w:sz w:val="22"/>
            <w:szCs w:val="22"/>
          </w:rPr>
          <w:t xml:space="preserve">24</w:t>
        </w:r>
        <w:r>
          <w:rPr>
            <w:sz w:val="22"/>
            <w:szCs w:val="22"/>
          </w:rPr>
          <w:fldChar w:fldCharType="end"/>
        </w:r>
      </w:hyperlink>
    </w:p>
    <w:p>
      <w:pPr>
        <w:pStyle w:val="ndice3"/>
        <w:tabs>
          <w:tab w:val="left" w:pos="1750"/>
          <w:tab w:val="right" w:leader="dot" w:pos="9071"/>
        </w:tabs>
        <w:spacing w:before="0" w:after="30" w:line="264" w:lineRule="auto"/>
        <w:ind w:left="600" w:firstLine="0"/>
        <w:jc w:val="left"/>
      </w:pPr>
      <w:hyperlink w:anchor="_Toc_tabstream" w:history="1">
        <w:r>
          <w:rPr>
            <w:sz w:val="22"/>
            <w:szCs w:val="22"/>
          </w:rPr>
          <w:t xml:space="preserve">4.4.2.</w:t>
        </w:r>
        <w:r>
          <w:tab/>
        </w:r>
        <w:r>
          <w:rPr>
            <w:sz w:val="22"/>
            <w:szCs w:val="22"/>
          </w:rPr>
          <w:t xml:space="preserve">Tabela vagas_nodered (via contínua)</w:t>
        </w:r>
        <w:r>
          <w:tab/>
        </w:r>
        <w:r>
          <w:rPr>
            <w:sz w:val="22"/>
            <w:szCs w:val="22"/>
          </w:rPr>
          <w:fldChar w:fldCharType="begin"/>
        </w:r>
        <w:r>
          <w:rPr>
            <w:sz w:val="22"/>
            <w:szCs w:val="22"/>
          </w:rPr>
          <w:instrText xml:space="preserve"> PAGEREF _Toc_tabstream \h </w:instrText>
        </w:r>
        <w:r>
          <w:rPr>
            <w:sz w:val="22"/>
            <w:szCs w:val="22"/>
          </w:rPr>
          <w:fldChar w:fldCharType="separate"/>
        </w:r>
        <w:r>
          <w:rPr>
            <w:sz w:val="22"/>
            <w:szCs w:val="22"/>
          </w:rPr>
          <w:t xml:space="preserve">24</w:t>
        </w:r>
        <w:r>
          <w:rPr>
            <w:sz w:val="22"/>
            <w:szCs w:val="22"/>
          </w:rPr>
          <w:fldChar w:fldCharType="end"/>
        </w:r>
      </w:hyperlink>
    </w:p>
    <w:p>
      <w:pPr>
        <w:pStyle w:val="ndice2"/>
        <w:tabs>
          <w:tab w:val="left" w:pos="1000"/>
          <w:tab w:val="right" w:leader="dot" w:pos="9071"/>
        </w:tabs>
        <w:spacing w:before="0" w:after="30" w:line="264" w:lineRule="auto"/>
        <w:ind w:left="300" w:firstLine="0"/>
        <w:jc w:val="left"/>
      </w:pPr>
      <w:hyperlink w:anchor="_Toc_telegram" w:history="1">
        <w:r>
          <w:rPr>
            <w:sz w:val="22"/>
            <w:szCs w:val="22"/>
          </w:rPr>
          <w:t xml:space="preserve">4.5.</w:t>
        </w:r>
        <w:r>
          <w:tab/>
        </w:r>
        <w:r>
          <w:rPr>
            <w:sz w:val="22"/>
            <w:szCs w:val="22"/>
          </w:rPr>
          <w:t xml:space="preserve">Job de Notificação: Alertas em Tempo Real via Telegram</w:t>
        </w:r>
        <w:r>
          <w:tab/>
        </w:r>
        <w:r>
          <w:rPr>
            <w:sz w:val="22"/>
            <w:szCs w:val="22"/>
          </w:rPr>
          <w:fldChar w:fldCharType="begin"/>
        </w:r>
        <w:r>
          <w:rPr>
            <w:sz w:val="22"/>
            <w:szCs w:val="22"/>
          </w:rPr>
          <w:instrText xml:space="preserve"> PAGEREF _Toc_telegram \h </w:instrText>
        </w:r>
        <w:r>
          <w:rPr>
            <w:sz w:val="22"/>
            <w:szCs w:val="22"/>
          </w:rPr>
          <w:fldChar w:fldCharType="separate"/>
        </w:r>
        <w:r>
          <w:rPr>
            <w:sz w:val="22"/>
            <w:szCs w:val="22"/>
          </w:rPr>
          <w:t xml:space="preserve">25</w:t>
        </w:r>
        <w:r>
          <w:rPr>
            <w:sz w:val="22"/>
            <w:szCs w:val="22"/>
          </w:rPr>
          <w:fldChar w:fldCharType="end"/>
        </w:r>
      </w:hyperlink>
    </w:p>
    <w:p>
      <w:pPr>
        <w:pStyle w:val="ndice2"/>
        <w:tabs>
          <w:tab w:val="left" w:pos="1000"/>
          <w:tab w:val="right" w:leader="dot" w:pos="9071"/>
        </w:tabs>
        <w:spacing w:before="0" w:after="30" w:line="264" w:lineRule="auto"/>
        <w:ind w:left="300" w:firstLine="0"/>
        <w:jc w:val="left"/>
      </w:pPr>
      <w:hyperlink w:anchor="_Toc_diag" w:history="1">
        <w:r>
          <w:rPr>
            <w:sz w:val="22"/>
            <w:szCs w:val="22"/>
          </w:rPr>
          <w:t xml:space="preserve">4.6.</w:t>
        </w:r>
        <w:r>
          <w:tab/>
        </w:r>
        <w:r>
          <w:rPr>
            <w:sz w:val="22"/>
            <w:szCs w:val="22"/>
          </w:rPr>
          <w:t xml:space="preserve">Diagnóstico Operacional e Limitações</w:t>
        </w:r>
        <w:r>
          <w:tab/>
        </w:r>
        <w:r>
          <w:rPr>
            <w:sz w:val="22"/>
            <w:szCs w:val="22"/>
          </w:rPr>
          <w:fldChar w:fldCharType="begin"/>
        </w:r>
        <w:r>
          <w:rPr>
            <w:sz w:val="22"/>
            <w:szCs w:val="22"/>
          </w:rPr>
          <w:instrText xml:space="preserve"> PAGEREF _Toc_diag \h </w:instrText>
        </w:r>
        <w:r>
          <w:rPr>
            <w:sz w:val="22"/>
            <w:szCs w:val="22"/>
          </w:rPr>
          <w:fldChar w:fldCharType="separate"/>
        </w:r>
        <w:r>
          <w:rPr>
            <w:sz w:val="22"/>
            <w:szCs w:val="22"/>
          </w:rPr>
          <w:t xml:space="preserve">27</w:t>
        </w:r>
        <w:r>
          <w:rPr>
            <w:sz w:val="22"/>
            <w:szCs w:val="22"/>
          </w:rPr>
          <w:fldChar w:fldCharType="end"/>
        </w:r>
      </w:hyperlink>
    </w:p>
    <w:p>
      <w:pPr>
        <w:pStyle w:val="ndice1"/>
        <w:tabs>
          <w:tab w:val="left" w:pos="440"/>
          <w:tab w:val="right" w:leader="dot" w:pos="9071"/>
        </w:tabs>
        <w:spacing w:before="90" w:after="30" w:line="264" w:lineRule="auto"/>
        <w:ind w:left="0" w:firstLine="0"/>
        <w:jc w:val="left"/>
      </w:pPr>
      <w:hyperlink w:anchor="_Toc_cap5" w:history="1">
        <w:r>
          <w:rPr>
            <w:b/>
            <w:bCs/>
            <w:sz w:val="22"/>
            <w:szCs w:val="22"/>
          </w:rPr>
          <w:t xml:space="preserve">5.</w:t>
        </w:r>
        <w:r>
          <w:tab/>
        </w:r>
        <w:r>
          <w:rPr>
            <w:b/>
            <w:bCs/>
            <w:sz w:val="22"/>
            <w:szCs w:val="22"/>
          </w:rPr>
          <w:t xml:space="preserve">Visualização Analítica e Discussão de Resultados</w:t>
        </w:r>
        <w:r>
          <w:tab/>
        </w:r>
        <w:r>
          <w:rPr>
            <w:sz w:val="22"/>
            <w:szCs w:val="22"/>
          </w:rPr>
          <w:fldChar w:fldCharType="begin"/>
        </w:r>
        <w:r>
          <w:rPr>
            <w:sz w:val="22"/>
            <w:szCs w:val="22"/>
          </w:rPr>
          <w:instrText xml:space="preserve"> PAGEREF _Toc_cap5 \h </w:instrText>
        </w:r>
        <w:r>
          <w:rPr>
            <w:sz w:val="22"/>
            <w:szCs w:val="22"/>
          </w:rPr>
          <w:fldChar w:fldCharType="separate"/>
        </w:r>
        <w:r>
          <w:rPr>
            <w:sz w:val="22"/>
            <w:szCs w:val="22"/>
          </w:rPr>
          <w:t xml:space="preserve">29</w:t>
        </w:r>
        <w:r>
          <w:rPr>
            <w:sz w:val="22"/>
            <w:szCs w:val="22"/>
          </w:rPr>
          <w:fldChar w:fldCharType="end"/>
        </w:r>
      </w:hyperlink>
    </w:p>
    <w:p>
      <w:pPr>
        <w:pStyle w:val="ndice2"/>
        <w:tabs>
          <w:tab w:val="left" w:pos="1000"/>
          <w:tab w:val="right" w:leader="dot" w:pos="9071"/>
        </w:tabs>
        <w:spacing w:before="0" w:after="30" w:line="264" w:lineRule="auto"/>
        <w:ind w:left="300" w:firstLine="0"/>
        <w:jc w:val="left"/>
      </w:pPr>
      <w:hyperlink w:anchor="_Toc_vars" w:history="1">
        <w:r>
          <w:rPr>
            <w:sz w:val="22"/>
            <w:szCs w:val="22"/>
          </w:rPr>
          <w:t xml:space="preserve">5.1.</w:t>
        </w:r>
        <w:r>
          <w:tab/>
        </w:r>
        <w:r>
          <w:rPr>
            <w:sz w:val="22"/>
            <w:szCs w:val="22"/>
          </w:rPr>
          <w:t xml:space="preserve">Ligação do Grafana à Base de Dados</w:t>
        </w:r>
        <w:r>
          <w:tab/>
        </w:r>
        <w:r>
          <w:rPr>
            <w:sz w:val="22"/>
            <w:szCs w:val="22"/>
          </w:rPr>
          <w:fldChar w:fldCharType="begin"/>
        </w:r>
        <w:r>
          <w:rPr>
            <w:sz w:val="22"/>
            <w:szCs w:val="22"/>
          </w:rPr>
          <w:instrText xml:space="preserve"> PAGEREF _Toc_vars \h </w:instrText>
        </w:r>
        <w:r>
          <w:rPr>
            <w:sz w:val="22"/>
            <w:szCs w:val="22"/>
          </w:rPr>
          <w:fldChar w:fldCharType="separate"/>
        </w:r>
        <w:r>
          <w:rPr>
            <w:sz w:val="22"/>
            <w:szCs w:val="22"/>
          </w:rPr>
          <w:t xml:space="preserve">29</w:t>
        </w:r>
        <w:r>
          <w:rPr>
            <w:sz w:val="22"/>
            <w:szCs w:val="22"/>
          </w:rPr>
          <w:fldChar w:fldCharType="end"/>
        </w:r>
      </w:hyperlink>
    </w:p>
    <w:p>
      <w:pPr>
        <w:pStyle w:val="ndice2"/>
        <w:tabs>
          <w:tab w:val="left" w:pos="1000"/>
          <w:tab w:val="right" w:leader="dot" w:pos="9071"/>
        </w:tabs>
        <w:spacing w:before="0" w:after="30" w:line="264" w:lineRule="auto"/>
        <w:ind w:left="300" w:firstLine="0"/>
        <w:jc w:val="left"/>
      </w:pPr>
      <w:hyperlink w:anchor="_Toc_config" w:history="1">
        <w:r>
          <w:rPr>
            <w:sz w:val="22"/>
            <w:szCs w:val="22"/>
          </w:rPr>
          <w:t xml:space="preserve">5.2.</w:t>
        </w:r>
        <w:r>
          <w:tab/>
        </w:r>
        <w:r>
          <w:rPr>
            <w:sz w:val="22"/>
            <w:szCs w:val="22"/>
          </w:rPr>
          <w:t xml:space="preserve">Processo de Configuração de um Painel</w:t>
        </w:r>
        <w:r>
          <w:tab/>
        </w:r>
        <w:r>
          <w:rPr>
            <w:sz w:val="22"/>
            <w:szCs w:val="22"/>
          </w:rPr>
          <w:fldChar w:fldCharType="begin"/>
        </w:r>
        <w:r>
          <w:rPr>
            <w:sz w:val="22"/>
            <w:szCs w:val="22"/>
          </w:rPr>
          <w:instrText xml:space="preserve"> PAGEREF _Toc_config \h </w:instrText>
        </w:r>
        <w:r>
          <w:rPr>
            <w:sz w:val="22"/>
            <w:szCs w:val="22"/>
          </w:rPr>
          <w:fldChar w:fldCharType="separate"/>
        </w:r>
        <w:r>
          <w:rPr>
            <w:sz w:val="22"/>
            <w:szCs w:val="22"/>
          </w:rPr>
          <w:t xml:space="preserve">29</w:t>
        </w:r>
        <w:r>
          <w:rPr>
            <w:sz w:val="22"/>
            <w:szCs w:val="22"/>
          </w:rPr>
          <w:fldChar w:fldCharType="end"/>
        </w:r>
      </w:hyperlink>
    </w:p>
    <w:p>
      <w:pPr>
        <w:pStyle w:val="ndice2"/>
        <w:tabs>
          <w:tab w:val="left" w:pos="1000"/>
          <w:tab w:val="right" w:leader="dot" w:pos="9071"/>
        </w:tabs>
        <w:spacing w:before="0" w:after="30" w:line="264" w:lineRule="auto"/>
        <w:ind w:left="300" w:firstLine="0"/>
        <w:jc w:val="left"/>
      </w:pPr>
      <w:hyperlink w:anchor="_Toc_paineis" w:history="1">
        <w:r>
          <w:rPr>
            <w:sz w:val="22"/>
            <w:szCs w:val="22"/>
          </w:rPr>
          <w:t xml:space="preserve">5.3.</w:t>
        </w:r>
        <w:r>
          <w:tab/>
        </w:r>
        <w:r>
          <w:rPr>
            <w:sz w:val="22"/>
            <w:szCs w:val="22"/>
          </w:rPr>
          <w:t xml:space="preserve">Análise dos Painéis do Dashboard Tech Power Purchasing</w:t>
        </w:r>
        <w:r>
          <w:tab/>
        </w:r>
        <w:r>
          <w:rPr>
            <w:sz w:val="22"/>
            <w:szCs w:val="22"/>
          </w:rPr>
          <w:fldChar w:fldCharType="begin"/>
        </w:r>
        <w:r>
          <w:rPr>
            <w:sz w:val="22"/>
            <w:szCs w:val="22"/>
          </w:rPr>
          <w:instrText xml:space="preserve"> PAGEREF _Toc_paineis \h </w:instrText>
        </w:r>
        <w:r>
          <w:rPr>
            <w:sz w:val="22"/>
            <w:szCs w:val="22"/>
          </w:rPr>
          <w:fldChar w:fldCharType="separate"/>
        </w:r>
        <w:r>
          <w:rPr>
            <w:sz w:val="22"/>
            <w:szCs w:val="22"/>
          </w:rPr>
          <w:t xml:space="preserve">30</w:t>
        </w:r>
        <w:r>
          <w:rPr>
            <w:sz w:val="22"/>
            <w:szCs w:val="22"/>
          </w:rPr>
          <w:fldChar w:fldCharType="end"/>
        </w:r>
      </w:hyperlink>
    </w:p>
    <w:p>
      <w:pPr>
        <w:pStyle w:val="ndice3"/>
        <w:tabs>
          <w:tab w:val="left" w:pos="1750"/>
          <w:tab w:val="right" w:leader="dot" w:pos="9071"/>
        </w:tabs>
        <w:spacing w:before="0" w:after="30" w:line="264" w:lineRule="auto"/>
        <w:ind w:left="600" w:firstLine="0"/>
        <w:jc w:val="left"/>
      </w:pPr>
      <w:hyperlink w:anchor="_Toc_p1" w:history="1">
        <w:r>
          <w:rPr>
            <w:sz w:val="22"/>
            <w:szCs w:val="22"/>
          </w:rPr>
          <w:t xml:space="preserve">5.3.1.</w:t>
        </w:r>
        <w:r>
          <w:tab/>
        </w:r>
        <w:r>
          <w:rPr>
            <w:sz w:val="22"/>
            <w:szCs w:val="22"/>
          </w:rPr>
          <w:t xml:space="preserve">Top 10 Países com Maior Poupança Anual</w:t>
        </w:r>
        <w:r>
          <w:tab/>
        </w:r>
        <w:r>
          <w:rPr>
            <w:sz w:val="22"/>
            <w:szCs w:val="22"/>
          </w:rPr>
          <w:fldChar w:fldCharType="begin"/>
        </w:r>
        <w:r>
          <w:rPr>
            <w:sz w:val="22"/>
            <w:szCs w:val="22"/>
          </w:rPr>
          <w:instrText xml:space="preserve"> PAGEREF _Toc_p1 \h </w:instrText>
        </w:r>
        <w:r>
          <w:rPr>
            <w:sz w:val="22"/>
            <w:szCs w:val="22"/>
          </w:rPr>
          <w:fldChar w:fldCharType="separate"/>
        </w:r>
        <w:r>
          <w:rPr>
            <w:sz w:val="22"/>
            <w:szCs w:val="22"/>
          </w:rPr>
          <w:t xml:space="preserve">31</w:t>
        </w:r>
        <w:r>
          <w:rPr>
            <w:sz w:val="22"/>
            <w:szCs w:val="22"/>
          </w:rPr>
          <w:fldChar w:fldCharType="end"/>
        </w:r>
      </w:hyperlink>
    </w:p>
    <w:p>
      <w:pPr>
        <w:pStyle w:val="ndice3"/>
        <w:tabs>
          <w:tab w:val="left" w:pos="1750"/>
          <w:tab w:val="right" w:leader="dot" w:pos="9071"/>
        </w:tabs>
        <w:spacing w:before="0" w:after="30" w:line="264" w:lineRule="auto"/>
        <w:ind w:left="600" w:firstLine="0"/>
        <w:jc w:val="left"/>
      </w:pPr>
      <w:hyperlink w:anchor="_Toc_p2" w:history="1">
        <w:r>
          <w:rPr>
            <w:sz w:val="22"/>
            <w:szCs w:val="22"/>
          </w:rPr>
          <w:t xml:space="preserve">5.3.2.</w:t>
        </w:r>
        <w:r>
          <w:tab/>
        </w:r>
        <w:r>
          <w:rPr>
            <w:sz w:val="22"/>
            <w:szCs w:val="22"/>
          </w:rPr>
          <w:t xml:space="preserve">Poder de Compra – Média Salarial Anual</w:t>
        </w:r>
        <w:r>
          <w:tab/>
        </w:r>
        <w:r>
          <w:rPr>
            <w:sz w:val="22"/>
            <w:szCs w:val="22"/>
          </w:rPr>
          <w:fldChar w:fldCharType="begin"/>
        </w:r>
        <w:r>
          <w:rPr>
            <w:sz w:val="22"/>
            <w:szCs w:val="22"/>
          </w:rPr>
          <w:instrText xml:space="preserve"> PAGEREF _Toc_p2 \h </w:instrText>
        </w:r>
        <w:r>
          <w:rPr>
            <w:sz w:val="22"/>
            <w:szCs w:val="22"/>
          </w:rPr>
          <w:fldChar w:fldCharType="separate"/>
        </w:r>
        <w:r>
          <w:rPr>
            <w:sz w:val="22"/>
            <w:szCs w:val="22"/>
          </w:rPr>
          <w:t xml:space="preserve">32</w:t>
        </w:r>
        <w:r>
          <w:rPr>
            <w:sz w:val="22"/>
            <w:szCs w:val="22"/>
          </w:rPr>
          <w:fldChar w:fldCharType="end"/>
        </w:r>
      </w:hyperlink>
    </w:p>
    <w:p>
      <w:pPr>
        <w:pStyle w:val="ndice3"/>
        <w:tabs>
          <w:tab w:val="left" w:pos="1750"/>
          <w:tab w:val="right" w:leader="dot" w:pos="9071"/>
        </w:tabs>
        <w:spacing w:before="0" w:after="30" w:line="264" w:lineRule="auto"/>
        <w:ind w:left="600" w:firstLine="0"/>
        <w:jc w:val="left"/>
      </w:pPr>
      <w:hyperlink w:anchor="_Toc_p3" w:history="1">
        <w:r>
          <w:rPr>
            <w:sz w:val="22"/>
            <w:szCs w:val="22"/>
          </w:rPr>
          <w:t xml:space="preserve">5.3.3.</w:t>
        </w:r>
        <w:r>
          <w:tab/>
        </w:r>
        <w:r>
          <w:rPr>
            <w:sz w:val="22"/>
            <w:szCs w:val="22"/>
          </w:rPr>
          <w:t xml:space="preserve">Salários por País e Senioridade</w:t>
        </w:r>
        <w:r>
          <w:tab/>
        </w:r>
        <w:r>
          <w:rPr>
            <w:sz w:val="22"/>
            <w:szCs w:val="22"/>
          </w:rPr>
          <w:fldChar w:fldCharType="begin"/>
        </w:r>
        <w:r>
          <w:rPr>
            <w:sz w:val="22"/>
            <w:szCs w:val="22"/>
          </w:rPr>
          <w:instrText xml:space="preserve"> PAGEREF _Toc_p3 \h </w:instrText>
        </w:r>
        <w:r>
          <w:rPr>
            <w:sz w:val="22"/>
            <w:szCs w:val="22"/>
          </w:rPr>
          <w:fldChar w:fldCharType="separate"/>
        </w:r>
        <w:r>
          <w:rPr>
            <w:sz w:val="22"/>
            <w:szCs w:val="22"/>
          </w:rPr>
          <w:t xml:space="preserve">32</w:t>
        </w:r>
        <w:r>
          <w:rPr>
            <w:sz w:val="22"/>
            <w:szCs w:val="22"/>
          </w:rPr>
          <w:fldChar w:fldCharType="end"/>
        </w:r>
      </w:hyperlink>
    </w:p>
    <w:p>
      <w:pPr>
        <w:pStyle w:val="ndice3"/>
        <w:tabs>
          <w:tab w:val="left" w:pos="1750"/>
          <w:tab w:val="right" w:leader="dot" w:pos="9071"/>
        </w:tabs>
        <w:spacing w:before="0" w:after="30" w:line="264" w:lineRule="auto"/>
        <w:ind w:left="600" w:firstLine="0"/>
        <w:jc w:val="left"/>
      </w:pPr>
      <w:hyperlink w:anchor="_Toc_p4" w:history="1">
        <w:r>
          <w:rPr>
            <w:sz w:val="22"/>
            <w:szCs w:val="22"/>
          </w:rPr>
          <w:t xml:space="preserve">5.3.4.</w:t>
        </w:r>
        <w:r>
          <w:tab/>
        </w:r>
        <w:r>
          <w:rPr>
            <w:sz w:val="22"/>
            <w:szCs w:val="22"/>
          </w:rPr>
          <w:t xml:space="preserve">Distribuição de Vagas por País</w:t>
        </w:r>
        <w:r>
          <w:tab/>
        </w:r>
        <w:r>
          <w:rPr>
            <w:sz w:val="22"/>
            <w:szCs w:val="22"/>
          </w:rPr>
          <w:fldChar w:fldCharType="begin"/>
        </w:r>
        <w:r>
          <w:rPr>
            <w:sz w:val="22"/>
            <w:szCs w:val="22"/>
          </w:rPr>
          <w:instrText xml:space="preserve"> PAGEREF _Toc_p4 \h </w:instrText>
        </w:r>
        <w:r>
          <w:rPr>
            <w:sz w:val="22"/>
            <w:szCs w:val="22"/>
          </w:rPr>
          <w:fldChar w:fldCharType="separate"/>
        </w:r>
        <w:r>
          <w:rPr>
            <w:sz w:val="22"/>
            <w:szCs w:val="22"/>
          </w:rPr>
          <w:t xml:space="preserve">33</w:t>
        </w:r>
        <w:r>
          <w:rPr>
            <w:sz w:val="22"/>
            <w:szCs w:val="22"/>
          </w:rPr>
          <w:fldChar w:fldCharType="end"/>
        </w:r>
      </w:hyperlink>
    </w:p>
    <w:p>
      <w:pPr>
        <w:pStyle w:val="ndice2"/>
        <w:tabs>
          <w:tab w:val="left" w:pos="1000"/>
          <w:tab w:val="right" w:leader="dot" w:pos="9071"/>
        </w:tabs>
        <w:spacing w:before="0" w:after="30" w:line="264" w:lineRule="auto"/>
        <w:ind w:left="300" w:firstLine="0"/>
        <w:jc w:val="left"/>
      </w:pPr>
      <w:hyperlink w:anchor="_Toc_sintese" w:history="1">
        <w:r>
          <w:rPr>
            <w:sz w:val="22"/>
            <w:szCs w:val="22"/>
          </w:rPr>
          <w:t xml:space="preserve">5.4.</w:t>
        </w:r>
        <w:r>
          <w:tab/>
        </w:r>
        <w:r>
          <w:rPr>
            <w:sz w:val="22"/>
            <w:szCs w:val="22"/>
          </w:rPr>
          <w:t xml:space="preserve">Síntese da Discussão e Limitações</w:t>
        </w:r>
        <w:r>
          <w:tab/>
        </w:r>
        <w:r>
          <w:rPr>
            <w:sz w:val="22"/>
            <w:szCs w:val="22"/>
          </w:rPr>
          <w:fldChar w:fldCharType="begin"/>
        </w:r>
        <w:r>
          <w:rPr>
            <w:sz w:val="22"/>
            <w:szCs w:val="22"/>
          </w:rPr>
          <w:instrText xml:space="preserve"> PAGEREF _Toc_sintese \h </w:instrText>
        </w:r>
        <w:r>
          <w:rPr>
            <w:sz w:val="22"/>
            <w:szCs w:val="22"/>
          </w:rPr>
          <w:fldChar w:fldCharType="separate"/>
        </w:r>
        <w:r>
          <w:rPr>
            <w:sz w:val="22"/>
            <w:szCs w:val="22"/>
          </w:rPr>
          <w:t xml:space="preserve">33</w:t>
        </w:r>
        <w:r>
          <w:rPr>
            <w:sz w:val="22"/>
            <w:szCs w:val="22"/>
          </w:rPr>
          <w:fldChar w:fldCharType="end"/>
        </w:r>
      </w:hyperlink>
    </w:p>
    <w:p>
      <w:pPr>
        <w:pStyle w:val="ndice1"/>
        <w:tabs>
          <w:tab w:val="left" w:pos="440"/>
          <w:tab w:val="right" w:leader="dot" w:pos="9071"/>
        </w:tabs>
        <w:spacing w:before="90" w:after="30" w:line="264" w:lineRule="auto"/>
        <w:ind w:left="0" w:firstLine="0"/>
        <w:jc w:val="left"/>
      </w:pPr>
      <w:hyperlink w:anchor="_Toc_cap6" w:history="1">
        <w:r>
          <w:rPr>
            <w:b/>
            <w:bCs/>
            <w:sz w:val="22"/>
            <w:szCs w:val="22"/>
          </w:rPr>
          <w:t xml:space="preserve">6.</w:t>
        </w:r>
        <w:r>
          <w:tab/>
        </w:r>
        <w:r>
          <w:rPr>
            <w:b/>
            <w:bCs/>
            <w:sz w:val="22"/>
            <w:szCs w:val="22"/>
          </w:rPr>
          <w:t xml:space="preserve">Vídeo com Demonstração</w:t>
        </w:r>
        <w:r>
          <w:tab/>
        </w:r>
        <w:r>
          <w:rPr>
            <w:sz w:val="22"/>
            <w:szCs w:val="22"/>
          </w:rPr>
          <w:fldChar w:fldCharType="begin"/>
        </w:r>
        <w:r>
          <w:rPr>
            <w:sz w:val="22"/>
            <w:szCs w:val="22"/>
          </w:rPr>
          <w:instrText xml:space="preserve"> PAGEREF _Toc_cap6 \h </w:instrText>
        </w:r>
        <w:r>
          <w:rPr>
            <w:sz w:val="22"/>
            <w:szCs w:val="22"/>
          </w:rPr>
          <w:fldChar w:fldCharType="separate"/>
        </w:r>
        <w:r>
          <w:rPr>
            <w:sz w:val="22"/>
            <w:szCs w:val="22"/>
          </w:rPr>
          <w:t xml:space="preserve">35</w:t>
        </w:r>
        <w:r>
          <w:rPr>
            <w:sz w:val="22"/>
            <w:szCs w:val="22"/>
          </w:rPr>
          <w:fldChar w:fldCharType="end"/>
        </w:r>
      </w:hyperlink>
    </w:p>
    <w:p>
      <w:pPr>
        <w:pStyle w:val="ndice1"/>
        <w:tabs>
          <w:tab w:val="left" w:pos="440"/>
          <w:tab w:val="right" w:leader="dot" w:pos="9071"/>
        </w:tabs>
        <w:spacing w:before="90" w:after="30" w:line="264" w:lineRule="auto"/>
        <w:ind w:left="0" w:firstLine="0"/>
        <w:jc w:val="left"/>
      </w:pPr>
      <w:hyperlink w:anchor="_Toc_cap7" w:history="1">
        <w:r>
          <w:rPr>
            <w:b/>
            <w:bCs/>
            <w:sz w:val="22"/>
            <w:szCs w:val="22"/>
          </w:rPr>
          <w:t xml:space="preserve">7.</w:t>
        </w:r>
        <w:r>
          <w:tab/>
        </w:r>
        <w:r>
          <w:rPr>
            <w:b/>
            <w:bCs/>
            <w:sz w:val="22"/>
            <w:szCs w:val="22"/>
          </w:rPr>
          <w:t xml:space="preserve">Conclusão e Trabalhos Futuros</w:t>
        </w:r>
        <w:r>
          <w:tab/>
        </w:r>
        <w:r>
          <w:rPr>
            <w:sz w:val="22"/>
            <w:szCs w:val="22"/>
          </w:rPr>
          <w:fldChar w:fldCharType="begin"/>
        </w:r>
        <w:r>
          <w:rPr>
            <w:sz w:val="22"/>
            <w:szCs w:val="22"/>
          </w:rPr>
          <w:instrText xml:space="preserve"> PAGEREF _Toc_cap7 \h </w:instrText>
        </w:r>
        <w:r>
          <w:rPr>
            <w:sz w:val="22"/>
            <w:szCs w:val="22"/>
          </w:rPr>
          <w:fldChar w:fldCharType="separate"/>
        </w:r>
        <w:r>
          <w:rPr>
            <w:sz w:val="22"/>
            <w:szCs w:val="22"/>
          </w:rPr>
          <w:t xml:space="preserve">36</w:t>
        </w:r>
        <w:r>
          <w:rPr>
            <w:sz w:val="22"/>
            <w:szCs w:val="22"/>
          </w:rPr>
          <w:fldChar w:fldCharType="end"/>
        </w:r>
      </w:hyperlink>
    </w:p>
    <w:p>
      <w:pPr>
        <w:pStyle w:val="ndice2"/>
        <w:tabs>
          <w:tab w:val="left" w:pos="1000"/>
          <w:tab w:val="right" w:leader="dot" w:pos="9071"/>
        </w:tabs>
        <w:spacing w:before="0" w:after="30" w:line="264" w:lineRule="auto"/>
        <w:ind w:left="300" w:firstLine="0"/>
        <w:jc w:val="left"/>
      </w:pPr>
      <w:hyperlink w:anchor="_Toc_conc" w:history="1">
        <w:r>
          <w:rPr>
            <w:sz w:val="22"/>
            <w:szCs w:val="22"/>
          </w:rPr>
          <w:t xml:space="preserve">7.1.</w:t>
        </w:r>
        <w:r>
          <w:tab/>
        </w:r>
        <w:r>
          <w:rPr>
            <w:sz w:val="22"/>
            <w:szCs w:val="22"/>
          </w:rPr>
          <w:t xml:space="preserve">Conclusão</w:t>
        </w:r>
        <w:r>
          <w:tab/>
        </w:r>
        <w:r>
          <w:rPr>
            <w:sz w:val="22"/>
            <w:szCs w:val="22"/>
          </w:rPr>
          <w:fldChar w:fldCharType="begin"/>
        </w:r>
        <w:r>
          <w:rPr>
            <w:sz w:val="22"/>
            <w:szCs w:val="22"/>
          </w:rPr>
          <w:instrText xml:space="preserve"> PAGEREF _Toc_conc \h </w:instrText>
        </w:r>
        <w:r>
          <w:rPr>
            <w:sz w:val="22"/>
            <w:szCs w:val="22"/>
          </w:rPr>
          <w:fldChar w:fldCharType="separate"/>
        </w:r>
        <w:r>
          <w:rPr>
            <w:sz w:val="22"/>
            <w:szCs w:val="22"/>
          </w:rPr>
          <w:t xml:space="preserve">36</w:t>
        </w:r>
        <w:r>
          <w:rPr>
            <w:sz w:val="22"/>
            <w:szCs w:val="22"/>
          </w:rPr>
          <w:fldChar w:fldCharType="end"/>
        </w:r>
      </w:hyperlink>
    </w:p>
    <w:p>
      <w:pPr>
        <w:pStyle w:val="ndice2"/>
        <w:tabs>
          <w:tab w:val="left" w:pos="1000"/>
          <w:tab w:val="right" w:leader="dot" w:pos="9071"/>
        </w:tabs>
        <w:spacing w:before="0" w:after="30" w:line="264" w:lineRule="auto"/>
        <w:ind w:left="300" w:firstLine="0"/>
        <w:jc w:val="left"/>
      </w:pPr>
      <w:hyperlink w:anchor="_Toc_futuro" w:history="1">
        <w:r>
          <w:rPr>
            <w:sz w:val="22"/>
            <w:szCs w:val="22"/>
          </w:rPr>
          <w:t xml:space="preserve">7.2.</w:t>
        </w:r>
        <w:r>
          <w:tab/>
        </w:r>
        <w:r>
          <w:rPr>
            <w:sz w:val="22"/>
            <w:szCs w:val="22"/>
          </w:rPr>
          <w:t xml:space="preserve">Trabalhos Futuros</w:t>
        </w:r>
        <w:r>
          <w:tab/>
        </w:r>
        <w:r>
          <w:rPr>
            <w:sz w:val="22"/>
            <w:szCs w:val="22"/>
          </w:rPr>
          <w:fldChar w:fldCharType="begin"/>
        </w:r>
        <w:r>
          <w:rPr>
            <w:sz w:val="22"/>
            <w:szCs w:val="22"/>
          </w:rPr>
          <w:instrText xml:space="preserve"> PAGEREF _Toc_futuro \h </w:instrText>
        </w:r>
        <w:r>
          <w:rPr>
            <w:sz w:val="22"/>
            <w:szCs w:val="22"/>
          </w:rPr>
          <w:fldChar w:fldCharType="separate"/>
        </w:r>
        <w:r>
          <w:rPr>
            <w:sz w:val="22"/>
            <w:szCs w:val="22"/>
          </w:rPr>
          <w:t xml:space="preserve">36</w:t>
        </w:r>
        <w:r>
          <w:rPr>
            <w:sz w:val="22"/>
            <w:szCs w:val="22"/>
          </w:rPr>
          <w:fldChar w:fldCharType="end"/>
        </w:r>
      </w:hyperlink>
    </w:p>
    <w:p>
      <w:pPr>
        <w:pStyle w:val="ndice1"/>
        <w:tabs>
          <w:tab w:val="left" w:pos="440"/>
          <w:tab w:val="right" w:leader="dot" w:pos="9071"/>
        </w:tabs>
        <w:spacing w:before="90" w:after="30" w:line="264" w:lineRule="auto"/>
        <w:ind w:left="0" w:firstLine="0"/>
        <w:jc w:val="left"/>
      </w:pPr>
      <w:hyperlink w:anchor="_Toc_cap8" w:history="1">
        <w:r>
          <w:rPr>
            <w:b/>
            <w:bCs/>
            <w:sz w:val="22"/>
            <w:szCs w:val="22"/>
          </w:rPr>
          <w:t xml:space="preserve">8.</w:t>
        </w:r>
        <w:r>
          <w:tab/>
        </w:r>
        <w:r>
          <w:rPr>
            <w:b/>
            <w:bCs/>
            <w:sz w:val="22"/>
            <w:szCs w:val="22"/>
          </w:rPr>
          <w:t xml:space="preserve">Referências Bibliográficas</w:t>
        </w:r>
        <w:r>
          <w:tab/>
        </w:r>
        <w:r>
          <w:rPr>
            <w:sz w:val="22"/>
            <w:szCs w:val="22"/>
          </w:rPr>
          <w:fldChar w:fldCharType="begin"/>
        </w:r>
        <w:r>
          <w:rPr>
            <w:sz w:val="22"/>
            <w:szCs w:val="22"/>
          </w:rPr>
          <w:instrText xml:space="preserve"> PAGEREF _Toc_cap8 \h </w:instrText>
        </w:r>
        <w:r>
          <w:rPr>
            <w:sz w:val="22"/>
            <w:szCs w:val="22"/>
          </w:rPr>
          <w:fldChar w:fldCharType="separate"/>
        </w:r>
        <w:r>
          <w:rPr>
            <w:sz w:val="22"/>
            <w:szCs w:val="22"/>
          </w:rPr>
          <w:t xml:space="preserve">38</w:t>
        </w:r>
        <w:r>
          <w:rPr>
            <w:sz w:val="22"/>
            <w:szCs w:val="22"/>
          </w:rPr>
          <w:fldChar w:fldCharType="end"/>
        </w:r>
      </w:hyperlink>
      <w:r>
        <w:fldChar w:fldCharType="end"/>
      </w:r>
    </w:p>
    <w:p>
      <w:pPr>
        <w:pStyle w:val="TituloNoNumerado"/>
        <w:pageBreakBefore/>
        <w:spacing w:before="240" w:after="360"/>
        <w:ind w:firstLine="0"/>
      </w:pPr>
      <w:r>
        <w:t xml:space="preserve">ÍNDICE DE FIGURAS</w:t>
      </w:r>
    </w:p>
    <w:p>
      <w:pPr>
        <w:pStyle w:val="ndicedeIlustraes"/>
        <w:tabs>
          <w:tab w:val="right" w:leader="dot" w:pos="9071"/>
        </w:tabs>
        <w:spacing w:before="0" w:after="80" w:line="264" w:lineRule="auto"/>
        <w:ind w:left="0" w:firstLine="0"/>
        <w:jc w:val="left"/>
      </w:pPr>
      <w:r>
        <w:fldChar w:fldCharType="begin"/>
      </w:r>
      <w:r>
        <w:instrText xml:space="preserve"> TOC \h \z \c "Figura" </w:instrText>
      </w:r>
      <w:r>
        <w:fldChar w:fldCharType="separate"/>
      </w:r>
      <w:hyperlink w:anchor="_TocCapFarch" w:history="1">
        <w:r>
          <w:rPr>
            <w:sz w:val="22"/>
            <w:szCs w:val="22"/>
          </w:rPr>
          <w:t xml:space="preserve">Figura 1: Arquitetura híbrida do pipeline ETL Tech Purchasing Power.</w:t>
        </w:r>
        <w:r>
          <w:tab/>
        </w:r>
        <w:r>
          <w:rPr>
            <w:sz w:val="22"/>
            <w:szCs w:val="22"/>
          </w:rPr>
          <w:fldChar w:fldCharType="begin"/>
        </w:r>
        <w:r>
          <w:rPr>
            <w:sz w:val="22"/>
            <w:szCs w:val="22"/>
          </w:rPr>
          <w:instrText xml:space="preserve"> PAGEREF _TocCapFarch \h </w:instrText>
        </w:r>
        <w:r>
          <w:rPr>
            <w:sz w:val="22"/>
            <w:szCs w:val="22"/>
          </w:rPr>
          <w:fldChar w:fldCharType="separate"/>
        </w:r>
        <w:r>
          <w:rPr>
            <w:sz w:val="22"/>
            <w:szCs w:val="22"/>
          </w:rPr>
          <w:t xml:space="preserve">6</w:t>
        </w:r>
        <w:r>
          <w:rPr>
            <w:sz w:val="22"/>
            <w:szCs w:val="22"/>
          </w:rPr>
          <w:fldChar w:fldCharType="end"/>
        </w:r>
      </w:hyperlink>
    </w:p>
    <w:p>
      <w:pPr>
        <w:pStyle w:val="ndicedeIlustraes"/>
        <w:tabs>
          <w:tab w:val="right" w:leader="dot" w:pos="9071"/>
        </w:tabs>
        <w:spacing w:before="0" w:after="80" w:line="264" w:lineRule="auto"/>
        <w:ind w:left="0" w:firstLine="0"/>
        <w:jc w:val="left"/>
      </w:pPr>
      <w:hyperlink w:anchor="_TocCapFdocker" w:history="1">
        <w:r>
          <w:rPr>
            <w:sz w:val="22"/>
            <w:szCs w:val="22"/>
          </w:rPr>
          <w:t xml:space="preserve">Figura 2: Contentores do pipeline em execução no Docker Desktop.</w:t>
        </w:r>
        <w:r>
          <w:tab/>
        </w:r>
        <w:r>
          <w:rPr>
            <w:sz w:val="22"/>
            <w:szCs w:val="22"/>
          </w:rPr>
          <w:fldChar w:fldCharType="begin"/>
        </w:r>
        <w:r>
          <w:rPr>
            <w:sz w:val="22"/>
            <w:szCs w:val="22"/>
          </w:rPr>
          <w:instrText xml:space="preserve"> PAGEREF _TocCapFdocker \h </w:instrText>
        </w:r>
        <w:r>
          <w:rPr>
            <w:sz w:val="22"/>
            <w:szCs w:val="22"/>
          </w:rPr>
          <w:fldChar w:fldCharType="separate"/>
        </w:r>
        <w:r>
          <w:rPr>
            <w:sz w:val="22"/>
            <w:szCs w:val="22"/>
          </w:rPr>
          <w:t xml:space="preserve">7</w:t>
        </w:r>
        <w:r>
          <w:rPr>
            <w:sz w:val="22"/>
            <w:szCs w:val="22"/>
          </w:rPr>
          <w:fldChar w:fldCharType="end"/>
        </w:r>
      </w:hyperlink>
    </w:p>
    <w:p>
      <w:pPr>
        <w:pStyle w:val="ndicedeIlustraes"/>
        <w:tabs>
          <w:tab w:val="right" w:leader="dot" w:pos="9071"/>
        </w:tabs>
        <w:spacing w:before="0" w:after="80" w:line="264" w:lineRule="auto"/>
        <w:ind w:left="0" w:firstLine="0"/>
        <w:jc w:val="left"/>
      </w:pPr>
      <w:hyperlink w:anchor="_TocCapFknime1" w:history="1">
        <w:r>
          <w:rPr>
            <w:sz w:val="22"/>
            <w:szCs w:val="22"/>
          </w:rPr>
          <w:t xml:space="preserve">Figura 3: Workflow KNIME (1 de 2): ramos de extração e preparação.</w:t>
        </w:r>
        <w:r>
          <w:tab/>
        </w:r>
        <w:r>
          <w:rPr>
            <w:sz w:val="22"/>
            <w:szCs w:val="22"/>
          </w:rPr>
          <w:fldChar w:fldCharType="begin"/>
        </w:r>
        <w:r>
          <w:rPr>
            <w:sz w:val="22"/>
            <w:szCs w:val="22"/>
          </w:rPr>
          <w:instrText xml:space="preserve"> PAGEREF _TocCapFknime1 \h </w:instrText>
        </w:r>
        <w:r>
          <w:rPr>
            <w:sz w:val="22"/>
            <w:szCs w:val="22"/>
          </w:rPr>
          <w:fldChar w:fldCharType="separate"/>
        </w:r>
        <w:r>
          <w:rPr>
            <w:sz w:val="22"/>
            <w:szCs w:val="22"/>
          </w:rPr>
          <w:t xml:space="preserve">13</w:t>
        </w:r>
        <w:r>
          <w:rPr>
            <w:sz w:val="22"/>
            <w:szCs w:val="22"/>
          </w:rPr>
          <w:fldChar w:fldCharType="end"/>
        </w:r>
      </w:hyperlink>
    </w:p>
    <w:p>
      <w:pPr>
        <w:pStyle w:val="ndicedeIlustraes"/>
        <w:tabs>
          <w:tab w:val="right" w:leader="dot" w:pos="9071"/>
        </w:tabs>
        <w:spacing w:before="0" w:after="80" w:line="264" w:lineRule="auto"/>
        <w:ind w:left="0" w:firstLine="0"/>
        <w:jc w:val="left"/>
      </w:pPr>
      <w:hyperlink w:anchor="_TocCapFknime2" w:history="1">
        <w:r>
          <w:rPr>
            <w:sz w:val="22"/>
            <w:szCs w:val="22"/>
          </w:rPr>
          <w:t xml:space="preserve">Figura 4: Workflow KNIME (2 de 2): fusão, enriquecimento e persistência.</w:t>
        </w:r>
        <w:r>
          <w:tab/>
        </w:r>
        <w:r>
          <w:rPr>
            <w:sz w:val="22"/>
            <w:szCs w:val="22"/>
          </w:rPr>
          <w:fldChar w:fldCharType="begin"/>
        </w:r>
        <w:r>
          <w:rPr>
            <w:sz w:val="22"/>
            <w:szCs w:val="22"/>
          </w:rPr>
          <w:instrText xml:space="preserve"> PAGEREF _TocCapFknime2 \h </w:instrText>
        </w:r>
        <w:r>
          <w:rPr>
            <w:sz w:val="22"/>
            <w:szCs w:val="22"/>
          </w:rPr>
          <w:fldChar w:fldCharType="separate"/>
        </w:r>
        <w:r>
          <w:rPr>
            <w:sz w:val="22"/>
            <w:szCs w:val="22"/>
          </w:rPr>
          <w:t xml:space="preserve">13</w:t>
        </w:r>
        <w:r>
          <w:rPr>
            <w:sz w:val="22"/>
            <w:szCs w:val="22"/>
          </w:rPr>
          <w:fldChar w:fldCharType="end"/>
        </w:r>
      </w:hyperlink>
    </w:p>
    <w:p>
      <w:pPr>
        <w:pStyle w:val="ndicedeIlustraes"/>
        <w:tabs>
          <w:tab w:val="right" w:leader="dot" w:pos="9071"/>
        </w:tabs>
        <w:spacing w:before="0" w:after="80" w:line="264" w:lineRule="auto"/>
        <w:ind w:left="0" w:firstLine="0"/>
        <w:jc w:val="left"/>
      </w:pPr>
      <w:hyperlink w:anchor="_TocCapFkapi" w:history="1">
        <w:r>
          <w:rPr>
            <w:sz w:val="22"/>
            <w:szCs w:val="22"/>
          </w:rPr>
          <w:t xml:space="preserve">Figura 5: Ramo de extração via API REST e resolução de códigos postais (KNIME).</w:t>
        </w:r>
        <w:r>
          <w:tab/>
        </w:r>
        <w:r>
          <w:rPr>
            <w:sz w:val="22"/>
            <w:szCs w:val="22"/>
          </w:rPr>
          <w:fldChar w:fldCharType="begin"/>
        </w:r>
        <w:r>
          <w:rPr>
            <w:sz w:val="22"/>
            <w:szCs w:val="22"/>
          </w:rPr>
          <w:instrText xml:space="preserve"> PAGEREF _TocCapFkapi \h </w:instrText>
        </w:r>
        <w:r>
          <w:rPr>
            <w:sz w:val="22"/>
            <w:szCs w:val="22"/>
          </w:rPr>
          <w:fldChar w:fldCharType="separate"/>
        </w:r>
        <w:r>
          <w:rPr>
            <w:sz w:val="22"/>
            <w:szCs w:val="22"/>
          </w:rPr>
          <w:t xml:space="preserve">14</w:t>
        </w:r>
        <w:r>
          <w:rPr>
            <w:sz w:val="22"/>
            <w:szCs w:val="22"/>
          </w:rPr>
          <w:fldChar w:fldCharType="end"/>
        </w:r>
      </w:hyperlink>
    </w:p>
    <w:p>
      <w:pPr>
        <w:pStyle w:val="ndicedeIlustraes"/>
        <w:tabs>
          <w:tab w:val="right" w:leader="dot" w:pos="9071"/>
        </w:tabs>
        <w:spacing w:before="0" w:after="80" w:line="264" w:lineRule="auto"/>
        <w:ind w:left="0" w:firstLine="0"/>
        <w:jc w:val="left"/>
      </w:pPr>
      <w:hyperlink w:anchor="_TocCapFkcsv" w:history="1">
        <w:r>
          <w:rPr>
            <w:sz w:val="22"/>
            <w:szCs w:val="22"/>
          </w:rPr>
          <w:t xml:space="preserve">Figura 6: Ramo de extração e normalização do ficheiro CSV (KNIME).</w:t>
        </w:r>
        <w:r>
          <w:tab/>
        </w:r>
        <w:r>
          <w:rPr>
            <w:sz w:val="22"/>
            <w:szCs w:val="22"/>
          </w:rPr>
          <w:fldChar w:fldCharType="begin"/>
        </w:r>
        <w:r>
          <w:rPr>
            <w:sz w:val="22"/>
            <w:szCs w:val="22"/>
          </w:rPr>
          <w:instrText xml:space="preserve"> PAGEREF _TocCapFkcsv \h </w:instrText>
        </w:r>
        <w:r>
          <w:rPr>
            <w:sz w:val="22"/>
            <w:szCs w:val="22"/>
          </w:rPr>
          <w:fldChar w:fldCharType="separate"/>
        </w:r>
        <w:r>
          <w:rPr>
            <w:sz w:val="22"/>
            <w:szCs w:val="22"/>
          </w:rPr>
          <w:t xml:space="preserve">15</w:t>
        </w:r>
        <w:r>
          <w:rPr>
            <w:sz w:val="22"/>
            <w:szCs w:val="22"/>
          </w:rPr>
          <w:fldChar w:fldCharType="end"/>
        </w:r>
      </w:hyperlink>
    </w:p>
    <w:p>
      <w:pPr>
        <w:pStyle w:val="ndicedeIlustraes"/>
        <w:tabs>
          <w:tab w:val="right" w:leader="dot" w:pos="9071"/>
        </w:tabs>
        <w:spacing w:before="0" w:after="80" w:line="264" w:lineRule="auto"/>
        <w:ind w:left="0" w:firstLine="0"/>
        <w:jc w:val="left"/>
      </w:pPr>
      <w:hyperlink w:anchor="_TocCapFknumbeo" w:history="1">
        <w:r>
          <w:rPr>
            <w:sz w:val="22"/>
            <w:szCs w:val="22"/>
          </w:rPr>
          <w:t xml:space="preserve">Figura 7: Ramo de extração dos índices económicos do Numbeo por XPath (KNIME).</w:t>
        </w:r>
        <w:r>
          <w:tab/>
        </w:r>
        <w:r>
          <w:rPr>
            <w:sz w:val="22"/>
            <w:szCs w:val="22"/>
          </w:rPr>
          <w:fldChar w:fldCharType="begin"/>
        </w:r>
        <w:r>
          <w:rPr>
            <w:sz w:val="22"/>
            <w:szCs w:val="22"/>
          </w:rPr>
          <w:instrText xml:space="preserve"> PAGEREF _TocCapFknumbeo \h </w:instrText>
        </w:r>
        <w:r>
          <w:rPr>
            <w:sz w:val="22"/>
            <w:szCs w:val="22"/>
          </w:rPr>
          <w:fldChar w:fldCharType="separate"/>
        </w:r>
        <w:r>
          <w:rPr>
            <w:sz w:val="22"/>
            <w:szCs w:val="22"/>
          </w:rPr>
          <w:t xml:space="preserve">16</w:t>
        </w:r>
        <w:r>
          <w:rPr>
            <w:sz w:val="22"/>
            <w:szCs w:val="22"/>
          </w:rPr>
          <w:fldChar w:fldCharType="end"/>
        </w:r>
      </w:hyperlink>
    </w:p>
    <w:p>
      <w:pPr>
        <w:pStyle w:val="ndicedeIlustraes"/>
        <w:tabs>
          <w:tab w:val="right" w:leader="dot" w:pos="9071"/>
        </w:tabs>
        <w:spacing w:before="0" w:after="80" w:line="264" w:lineRule="auto"/>
        <w:ind w:left="0" w:firstLine="0"/>
        <w:jc w:val="left"/>
      </w:pPr>
      <w:hyperlink w:anchor="_TocCapFkrules" w:history="1">
        <w:r>
          <w:rPr>
            <w:sz w:val="22"/>
            <w:szCs w:val="22"/>
          </w:rPr>
          <w:t xml:space="preserve">Figura 8: Concatenação e regras de padronização global (KNIME).</w:t>
        </w:r>
        <w:r>
          <w:tab/>
        </w:r>
        <w:r>
          <w:rPr>
            <w:sz w:val="22"/>
            <w:szCs w:val="22"/>
          </w:rPr>
          <w:fldChar w:fldCharType="begin"/>
        </w:r>
        <w:r>
          <w:rPr>
            <w:sz w:val="22"/>
            <w:szCs w:val="22"/>
          </w:rPr>
          <w:instrText xml:space="preserve"> PAGEREF _TocCapFkrules \h </w:instrText>
        </w:r>
        <w:r>
          <w:rPr>
            <w:sz w:val="22"/>
            <w:szCs w:val="22"/>
          </w:rPr>
          <w:fldChar w:fldCharType="separate"/>
        </w:r>
        <w:r>
          <w:rPr>
            <w:sz w:val="22"/>
            <w:szCs w:val="22"/>
          </w:rPr>
          <w:t xml:space="preserve">16</w:t>
        </w:r>
        <w:r>
          <w:rPr>
            <w:sz w:val="22"/>
            <w:szCs w:val="22"/>
          </w:rPr>
          <w:fldChar w:fldCharType="end"/>
        </w:r>
      </w:hyperlink>
    </w:p>
    <w:p>
      <w:pPr>
        <w:pStyle w:val="ndicedeIlustraes"/>
        <w:tabs>
          <w:tab w:val="right" w:leader="dot" w:pos="9071"/>
        </w:tabs>
        <w:spacing w:before="0" w:after="80" w:line="264" w:lineRule="auto"/>
        <w:ind w:left="0" w:firstLine="0"/>
        <w:jc w:val="left"/>
      </w:pPr>
      <w:hyperlink w:anchor="_TocCapFkjoin" w:history="1">
        <w:r>
          <w:rPr>
            <w:sz w:val="22"/>
            <w:szCs w:val="22"/>
          </w:rPr>
          <w:t xml:space="preserve">Figura 9: Junção com os índices Numbeo, cálculo da poupança e escrita em base de dados (KNIME).</w:t>
        </w:r>
        <w:r>
          <w:tab/>
        </w:r>
        <w:r>
          <w:rPr>
            <w:sz w:val="22"/>
            <w:szCs w:val="22"/>
          </w:rPr>
          <w:fldChar w:fldCharType="begin"/>
        </w:r>
        <w:r>
          <w:rPr>
            <w:sz w:val="22"/>
            <w:szCs w:val="22"/>
          </w:rPr>
          <w:instrText xml:space="preserve"> PAGEREF _TocCapFkjoin \h </w:instrText>
        </w:r>
        <w:r>
          <w:rPr>
            <w:sz w:val="22"/>
            <w:szCs w:val="22"/>
          </w:rPr>
          <w:fldChar w:fldCharType="separate"/>
        </w:r>
        <w:r>
          <w:rPr>
            <w:sz w:val="22"/>
            <w:szCs w:val="22"/>
          </w:rPr>
          <w:t xml:space="preserve">17</w:t>
        </w:r>
        <w:r>
          <w:rPr>
            <w:sz w:val="22"/>
            <w:szCs w:val="22"/>
          </w:rPr>
          <w:fldChar w:fldCharType="end"/>
        </w:r>
      </w:hyperlink>
    </w:p>
    <w:p>
      <w:pPr>
        <w:pStyle w:val="ndicedeIlustraes"/>
        <w:tabs>
          <w:tab w:val="right" w:leader="dot" w:pos="9071"/>
        </w:tabs>
        <w:spacing w:before="0" w:after="80" w:line="264" w:lineRule="auto"/>
        <w:ind w:left="0" w:firstLine="0"/>
        <w:jc w:val="left"/>
      </w:pPr>
      <w:hyperlink w:anchor="_TocCapFnr1" w:history="1">
        <w:r>
          <w:rPr>
            <w:sz w:val="22"/>
            <w:szCs w:val="22"/>
          </w:rPr>
          <w:t xml:space="preserve">Figura 10: Fluxo produtor de extração e transformação no Node-RED.</w:t>
        </w:r>
        <w:r>
          <w:tab/>
        </w:r>
        <w:r>
          <w:rPr>
            <w:sz w:val="22"/>
            <w:szCs w:val="22"/>
          </w:rPr>
          <w:fldChar w:fldCharType="begin"/>
        </w:r>
        <w:r>
          <w:rPr>
            <w:sz w:val="22"/>
            <w:szCs w:val="22"/>
          </w:rPr>
          <w:instrText xml:space="preserve"> PAGEREF _TocCapFnr1 \h </w:instrText>
        </w:r>
        <w:r>
          <w:rPr>
            <w:sz w:val="22"/>
            <w:szCs w:val="22"/>
          </w:rPr>
          <w:fldChar w:fldCharType="separate"/>
        </w:r>
        <w:r>
          <w:rPr>
            <w:sz w:val="22"/>
            <w:szCs w:val="22"/>
          </w:rPr>
          <w:t xml:space="preserve">18</w:t>
        </w:r>
        <w:r>
          <w:rPr>
            <w:sz w:val="22"/>
            <w:szCs w:val="22"/>
          </w:rPr>
          <w:fldChar w:fldCharType="end"/>
        </w:r>
      </w:hyperlink>
    </w:p>
    <w:p>
      <w:pPr>
        <w:pStyle w:val="ndicedeIlustraes"/>
        <w:tabs>
          <w:tab w:val="right" w:leader="dot" w:pos="9071"/>
        </w:tabs>
        <w:spacing w:before="0" w:after="80" w:line="264" w:lineRule="auto"/>
        <w:ind w:left="0" w:firstLine="0"/>
        <w:jc w:val="left"/>
      </w:pPr>
      <w:hyperlink w:anchor="_TocCapFkloop" w:history="1">
        <w:r>
          <w:rPr>
            <w:sz w:val="22"/>
            <w:szCs w:val="22"/>
          </w:rPr>
          <w:t xml:space="preserve">Figura 11: Nós de controlo do ciclo de execução periódica no KNIME.</w:t>
        </w:r>
        <w:r>
          <w:tab/>
        </w:r>
        <w:r>
          <w:rPr>
            <w:sz w:val="22"/>
            <w:szCs w:val="22"/>
          </w:rPr>
          <w:fldChar w:fldCharType="begin"/>
        </w:r>
        <w:r>
          <w:rPr>
            <w:sz w:val="22"/>
            <w:szCs w:val="22"/>
          </w:rPr>
          <w:instrText xml:space="preserve"> PAGEREF _TocCapFkloop \h </w:instrText>
        </w:r>
        <w:r>
          <w:rPr>
            <w:sz w:val="22"/>
            <w:szCs w:val="22"/>
          </w:rPr>
          <w:fldChar w:fldCharType="separate"/>
        </w:r>
        <w:r>
          <w:rPr>
            <w:sz w:val="22"/>
            <w:szCs w:val="22"/>
          </w:rPr>
          <w:t xml:space="preserve">21</w:t>
        </w:r>
        <w:r>
          <w:rPr>
            <w:sz w:val="22"/>
            <w:szCs w:val="22"/>
          </w:rPr>
          <w:fldChar w:fldCharType="end"/>
        </w:r>
      </w:hyperlink>
    </w:p>
    <w:p>
      <w:pPr>
        <w:pStyle w:val="ndicedeIlustraes"/>
        <w:tabs>
          <w:tab w:val="right" w:leader="dot" w:pos="9071"/>
        </w:tabs>
        <w:spacing w:before="0" w:after="80" w:line="264" w:lineRule="auto"/>
        <w:ind w:left="0" w:firstLine="0"/>
        <w:jc w:val="left"/>
      </w:pPr>
      <w:hyperlink w:anchor="_TocCapFrabbit" w:history="1">
        <w:r>
          <w:rPr>
            <w:sz w:val="22"/>
            <w:szCs w:val="22"/>
          </w:rPr>
          <w:t xml:space="preserve">Figura 12: Painel de gestão do RabbitMQ (separador Overview).</w:t>
        </w:r>
        <w:r>
          <w:tab/>
        </w:r>
        <w:r>
          <w:rPr>
            <w:sz w:val="22"/>
            <w:szCs w:val="22"/>
          </w:rPr>
          <w:fldChar w:fldCharType="begin"/>
        </w:r>
        <w:r>
          <w:rPr>
            <w:sz w:val="22"/>
            <w:szCs w:val="22"/>
          </w:rPr>
          <w:instrText xml:space="preserve"> PAGEREF _TocCapFrabbit \h </w:instrText>
        </w:r>
        <w:r>
          <w:rPr>
            <w:sz w:val="22"/>
            <w:szCs w:val="22"/>
          </w:rPr>
          <w:fldChar w:fldCharType="separate"/>
        </w:r>
        <w:r>
          <w:rPr>
            <w:sz w:val="22"/>
            <w:szCs w:val="22"/>
          </w:rPr>
          <w:t xml:space="preserve">22</w:t>
        </w:r>
        <w:r>
          <w:rPr>
            <w:sz w:val="22"/>
            <w:szCs w:val="22"/>
          </w:rPr>
          <w:fldChar w:fldCharType="end"/>
        </w:r>
      </w:hyperlink>
    </w:p>
    <w:p>
      <w:pPr>
        <w:pStyle w:val="ndicedeIlustraes"/>
        <w:tabs>
          <w:tab w:val="right" w:leader="dot" w:pos="9071"/>
        </w:tabs>
        <w:spacing w:before="0" w:after="80" w:line="264" w:lineRule="auto"/>
        <w:ind w:left="0" w:firstLine="0"/>
        <w:jc w:val="left"/>
      </w:pPr>
      <w:hyperlink w:anchor="_TocCapFnr2" w:history="1">
        <w:r>
          <w:rPr>
            <w:sz w:val="22"/>
            <w:szCs w:val="22"/>
          </w:rPr>
          <w:t xml:space="preserve">Figura 13: Fluxo consumidor e carregamento no PostgreSQL (Node-RED).</w:t>
        </w:r>
        <w:r>
          <w:tab/>
        </w:r>
        <w:r>
          <w:rPr>
            <w:sz w:val="22"/>
            <w:szCs w:val="22"/>
          </w:rPr>
          <w:fldChar w:fldCharType="begin"/>
        </w:r>
        <w:r>
          <w:rPr>
            <w:sz w:val="22"/>
            <w:szCs w:val="22"/>
          </w:rPr>
          <w:instrText xml:space="preserve"> PAGEREF _TocCapFnr2 \h </w:instrText>
        </w:r>
        <w:r>
          <w:rPr>
            <w:sz w:val="22"/>
            <w:szCs w:val="22"/>
          </w:rPr>
          <w:fldChar w:fldCharType="separate"/>
        </w:r>
        <w:r>
          <w:rPr>
            <w:sz w:val="22"/>
            <w:szCs w:val="22"/>
          </w:rPr>
          <w:t xml:space="preserve">23</w:t>
        </w:r>
        <w:r>
          <w:rPr>
            <w:sz w:val="22"/>
            <w:szCs w:val="22"/>
          </w:rPr>
          <w:fldChar w:fldCharType="end"/>
        </w:r>
      </w:hyperlink>
    </w:p>
    <w:p>
      <w:pPr>
        <w:pStyle w:val="ndicedeIlustraes"/>
        <w:tabs>
          <w:tab w:val="right" w:leader="dot" w:pos="9071"/>
        </w:tabs>
        <w:spacing w:before="0" w:after="80" w:line="264" w:lineRule="auto"/>
        <w:ind w:left="0" w:firstLine="0"/>
        <w:jc w:val="left"/>
      </w:pPr>
      <w:hyperlink w:anchor="_TocCapFpgA" w:history="1">
        <w:r>
          <w:rPr>
            <w:sz w:val="22"/>
            <w:szCs w:val="22"/>
          </w:rPr>
          <w:t xml:space="preserve">Figura 14: Registos da tabela ofertas_emprego, escrita pelo KNIME (200 021 registos).</w:t>
        </w:r>
        <w:r>
          <w:tab/>
        </w:r>
        <w:r>
          <w:rPr>
            <w:sz w:val="22"/>
            <w:szCs w:val="22"/>
          </w:rPr>
          <w:fldChar w:fldCharType="begin"/>
        </w:r>
        <w:r>
          <w:rPr>
            <w:sz w:val="22"/>
            <w:szCs w:val="22"/>
          </w:rPr>
          <w:instrText xml:space="preserve"> PAGEREF _TocCapFpgA \h </w:instrText>
        </w:r>
        <w:r>
          <w:rPr>
            <w:sz w:val="22"/>
            <w:szCs w:val="22"/>
          </w:rPr>
          <w:fldChar w:fldCharType="separate"/>
        </w:r>
        <w:r>
          <w:rPr>
            <w:sz w:val="22"/>
            <w:szCs w:val="22"/>
          </w:rPr>
          <w:t xml:space="preserve">25</w:t>
        </w:r>
        <w:r>
          <w:rPr>
            <w:sz w:val="22"/>
            <w:szCs w:val="22"/>
          </w:rPr>
          <w:fldChar w:fldCharType="end"/>
        </w:r>
      </w:hyperlink>
    </w:p>
    <w:p>
      <w:pPr>
        <w:pStyle w:val="ndicedeIlustraes"/>
        <w:tabs>
          <w:tab w:val="right" w:leader="dot" w:pos="9071"/>
        </w:tabs>
        <w:spacing w:before="0" w:after="80" w:line="264" w:lineRule="auto"/>
        <w:ind w:left="0" w:firstLine="0"/>
        <w:jc w:val="left"/>
      </w:pPr>
      <w:hyperlink w:anchor="_TocCapFpgB" w:history="1">
        <w:r>
          <w:rPr>
            <w:sz w:val="22"/>
            <w:szCs w:val="22"/>
          </w:rPr>
          <w:t xml:space="preserve">Figura 15: Registos da tabela vagas_nodered, escrita pelo Node-RED (309 registos).</w:t>
        </w:r>
        <w:r>
          <w:tab/>
        </w:r>
        <w:r>
          <w:rPr>
            <w:sz w:val="22"/>
            <w:szCs w:val="22"/>
          </w:rPr>
          <w:fldChar w:fldCharType="begin"/>
        </w:r>
        <w:r>
          <w:rPr>
            <w:sz w:val="22"/>
            <w:szCs w:val="22"/>
          </w:rPr>
          <w:instrText xml:space="preserve"> PAGEREF _TocCapFpgB \h </w:instrText>
        </w:r>
        <w:r>
          <w:rPr>
            <w:sz w:val="22"/>
            <w:szCs w:val="22"/>
          </w:rPr>
          <w:fldChar w:fldCharType="separate"/>
        </w:r>
        <w:r>
          <w:rPr>
            <w:sz w:val="22"/>
            <w:szCs w:val="22"/>
          </w:rPr>
          <w:t xml:space="preserve">25</w:t>
        </w:r>
        <w:r>
          <w:rPr>
            <w:sz w:val="22"/>
            <w:szCs w:val="22"/>
          </w:rPr>
          <w:fldChar w:fldCharType="end"/>
        </w:r>
      </w:hyperlink>
    </w:p>
    <w:p>
      <w:pPr>
        <w:pStyle w:val="ndicedeIlustraes"/>
        <w:tabs>
          <w:tab w:val="right" w:leader="dot" w:pos="9071"/>
        </w:tabs>
        <w:spacing w:before="0" w:after="80" w:line="264" w:lineRule="auto"/>
        <w:ind w:left="0" w:firstLine="0"/>
        <w:jc w:val="left"/>
      </w:pPr>
      <w:hyperlink w:anchor="_TocCapFtg" w:history="1">
        <w:r>
          <w:rPr>
            <w:sz w:val="22"/>
            <w:szCs w:val="22"/>
          </w:rPr>
          <w:t xml:space="preserve">Figura 16: Notificações recebidas no bot @TechPowerISIBot do Telegram.</w:t>
        </w:r>
        <w:r>
          <w:tab/>
        </w:r>
        <w:r>
          <w:rPr>
            <w:sz w:val="22"/>
            <w:szCs w:val="22"/>
          </w:rPr>
          <w:fldChar w:fldCharType="begin"/>
        </w:r>
        <w:r>
          <w:rPr>
            <w:sz w:val="22"/>
            <w:szCs w:val="22"/>
          </w:rPr>
          <w:instrText xml:space="preserve"> PAGEREF _TocCapFtg \h </w:instrText>
        </w:r>
        <w:r>
          <w:rPr>
            <w:sz w:val="22"/>
            <w:szCs w:val="22"/>
          </w:rPr>
          <w:fldChar w:fldCharType="separate"/>
        </w:r>
        <w:r>
          <w:rPr>
            <w:sz w:val="22"/>
            <w:szCs w:val="22"/>
          </w:rPr>
          <w:t xml:space="preserve">27</w:t>
        </w:r>
        <w:r>
          <w:rPr>
            <w:sz w:val="22"/>
            <w:szCs w:val="22"/>
          </w:rPr>
          <w:fldChar w:fldCharType="end"/>
        </w:r>
      </w:hyperlink>
    </w:p>
    <w:p>
      <w:pPr>
        <w:pStyle w:val="ndicedeIlustraes"/>
        <w:tabs>
          <w:tab w:val="right" w:leader="dot" w:pos="9071"/>
        </w:tabs>
        <w:spacing w:before="0" w:after="80" w:line="264" w:lineRule="auto"/>
        <w:ind w:left="0" w:firstLine="0"/>
        <w:jc w:val="left"/>
      </w:pPr>
      <w:hyperlink w:anchor="_TocCapFgchart" w:history="1">
        <w:r>
          <w:rPr>
            <w:sz w:val="22"/>
            <w:szCs w:val="22"/>
          </w:rPr>
          <w:t xml:space="preserve">Figura 17: Configuração da visualização de um painel no Grafana.</w:t>
        </w:r>
        <w:r>
          <w:tab/>
        </w:r>
        <w:r>
          <w:rPr>
            <w:sz w:val="22"/>
            <w:szCs w:val="22"/>
          </w:rPr>
          <w:fldChar w:fldCharType="begin"/>
        </w:r>
        <w:r>
          <w:rPr>
            <w:sz w:val="22"/>
            <w:szCs w:val="22"/>
          </w:rPr>
          <w:instrText xml:space="preserve"> PAGEREF _TocCapFgchart \h </w:instrText>
        </w:r>
        <w:r>
          <w:rPr>
            <w:sz w:val="22"/>
            <w:szCs w:val="22"/>
          </w:rPr>
          <w:fldChar w:fldCharType="separate"/>
        </w:r>
        <w:r>
          <w:rPr>
            <w:sz w:val="22"/>
            <w:szCs w:val="22"/>
          </w:rPr>
          <w:t xml:space="preserve">30</w:t>
        </w:r>
        <w:r>
          <w:rPr>
            <w:sz w:val="22"/>
            <w:szCs w:val="22"/>
          </w:rPr>
          <w:fldChar w:fldCharType="end"/>
        </w:r>
      </w:hyperlink>
    </w:p>
    <w:p>
      <w:pPr>
        <w:pStyle w:val="ndicedeIlustraes"/>
        <w:tabs>
          <w:tab w:val="right" w:leader="dot" w:pos="9071"/>
        </w:tabs>
        <w:spacing w:before="0" w:after="80" w:line="264" w:lineRule="auto"/>
        <w:ind w:left="0" w:firstLine="0"/>
        <w:jc w:val="left"/>
      </w:pPr>
      <w:hyperlink w:anchor="_TocCapFgquery" w:history="1">
        <w:r>
          <w:rPr>
            <w:sz w:val="22"/>
            <w:szCs w:val="22"/>
          </w:rPr>
          <w:t xml:space="preserve">Figura 18: Editor de consultas SQL de um painel no Grafana.</w:t>
        </w:r>
        <w:r>
          <w:tab/>
        </w:r>
        <w:r>
          <w:rPr>
            <w:sz w:val="22"/>
            <w:szCs w:val="22"/>
          </w:rPr>
          <w:fldChar w:fldCharType="begin"/>
        </w:r>
        <w:r>
          <w:rPr>
            <w:sz w:val="22"/>
            <w:szCs w:val="22"/>
          </w:rPr>
          <w:instrText xml:space="preserve"> PAGEREF _TocCapFgquery \h </w:instrText>
        </w:r>
        <w:r>
          <w:rPr>
            <w:sz w:val="22"/>
            <w:szCs w:val="22"/>
          </w:rPr>
          <w:fldChar w:fldCharType="separate"/>
        </w:r>
        <w:r>
          <w:rPr>
            <w:sz w:val="22"/>
            <w:szCs w:val="22"/>
          </w:rPr>
          <w:t xml:space="preserve">30</w:t>
        </w:r>
        <w:r>
          <w:rPr>
            <w:sz w:val="22"/>
            <w:szCs w:val="22"/>
          </w:rPr>
          <w:fldChar w:fldCharType="end"/>
        </w:r>
      </w:hyperlink>
    </w:p>
    <w:p>
      <w:pPr>
        <w:pStyle w:val="ndicedeIlustraes"/>
        <w:tabs>
          <w:tab w:val="right" w:leader="dot" w:pos="9071"/>
        </w:tabs>
        <w:spacing w:before="0" w:after="80" w:line="264" w:lineRule="auto"/>
        <w:ind w:left="0" w:firstLine="0"/>
        <w:jc w:val="left"/>
      </w:pPr>
      <w:hyperlink w:anchor="_TocCapFdash" w:history="1">
        <w:r>
          <w:rPr>
            <w:sz w:val="22"/>
            <w:szCs w:val="22"/>
          </w:rPr>
          <w:t xml:space="preserve">Figura 19: Dashboard Tech Power Purchasing no Grafana.</w:t>
        </w:r>
        <w:r>
          <w:tab/>
        </w:r>
        <w:r>
          <w:rPr>
            <w:sz w:val="22"/>
            <w:szCs w:val="22"/>
          </w:rPr>
          <w:fldChar w:fldCharType="begin"/>
        </w:r>
        <w:r>
          <w:rPr>
            <w:sz w:val="22"/>
            <w:szCs w:val="22"/>
          </w:rPr>
          <w:instrText xml:space="preserve"> PAGEREF _TocCapFdash \h </w:instrText>
        </w:r>
        <w:r>
          <w:rPr>
            <w:sz w:val="22"/>
            <w:szCs w:val="22"/>
          </w:rPr>
          <w:fldChar w:fldCharType="separate"/>
        </w:r>
        <w:r>
          <w:rPr>
            <w:sz w:val="22"/>
            <w:szCs w:val="22"/>
          </w:rPr>
          <w:t xml:space="preserve">31</w:t>
        </w:r>
        <w:r>
          <w:rPr>
            <w:sz w:val="22"/>
            <w:szCs w:val="22"/>
          </w:rPr>
          <w:fldChar w:fldCharType="end"/>
        </w:r>
      </w:hyperlink>
    </w:p>
    <w:p>
      <w:pPr>
        <w:pStyle w:val="ndicedeIlustraes"/>
        <w:tabs>
          <w:tab w:val="right" w:leader="dot" w:pos="9071"/>
        </w:tabs>
        <w:spacing w:before="0" w:after="80" w:line="264" w:lineRule="auto"/>
        <w:ind w:left="0" w:firstLine="0"/>
        <w:jc w:val="left"/>
      </w:pPr>
      <w:hyperlink w:anchor="_TocCapFqr" w:history="1">
        <w:r>
          <w:rPr>
            <w:sz w:val="22"/>
            <w:szCs w:val="22"/>
          </w:rPr>
          <w:t xml:space="preserve">Figura 20: Código QR com a ligação para o vídeo de demonstração do pipeline.</w:t>
        </w:r>
        <w:r>
          <w:tab/>
        </w:r>
        <w:r>
          <w:rPr>
            <w:sz w:val="22"/>
            <w:szCs w:val="22"/>
          </w:rPr>
          <w:fldChar w:fldCharType="begin"/>
        </w:r>
        <w:r>
          <w:rPr>
            <w:sz w:val="22"/>
            <w:szCs w:val="22"/>
          </w:rPr>
          <w:instrText xml:space="preserve"> PAGEREF _TocCapFqr \h </w:instrText>
        </w:r>
        <w:r>
          <w:rPr>
            <w:sz w:val="22"/>
            <w:szCs w:val="22"/>
          </w:rPr>
          <w:fldChar w:fldCharType="separate"/>
        </w:r>
        <w:r>
          <w:rPr>
            <w:sz w:val="22"/>
            <w:szCs w:val="22"/>
          </w:rPr>
          <w:t xml:space="preserve">35</w:t>
        </w:r>
        <w:r>
          <w:rPr>
            <w:sz w:val="22"/>
            <w:szCs w:val="22"/>
          </w:rPr>
          <w:fldChar w:fldCharType="end"/>
        </w:r>
      </w:hyperlink>
      <w:r>
        <w:fldChar w:fldCharType="end"/>
      </w:r>
    </w:p>
    <w:p>
      <w:pPr>
        <w:pStyle w:val="TituloNoNumerado"/>
        <w:pageBreakBefore/>
        <w:spacing w:before="240" w:after="360"/>
        <w:ind w:firstLine="0"/>
      </w:pPr>
      <w:r>
        <w:t xml:space="preserve">ÍNDICE DE TABELAS</w:t>
      </w:r>
    </w:p>
    <w:p>
      <w:pPr>
        <w:pStyle w:val="ndicedeIlustraes"/>
        <w:tabs>
          <w:tab w:val="right" w:leader="dot" w:pos="9071"/>
        </w:tabs>
        <w:spacing w:before="0" w:after="80" w:line="264" w:lineRule="auto"/>
        <w:ind w:left="0" w:firstLine="0"/>
        <w:jc w:val="left"/>
      </w:pPr>
      <w:r>
        <w:fldChar w:fldCharType="begin"/>
      </w:r>
      <w:r>
        <w:instrText xml:space="preserve"> TOC \h \z \c "Tabela" </w:instrText>
      </w:r>
      <w:r>
        <w:fldChar w:fldCharType="separate"/>
      </w:r>
      <w:hyperlink w:anchor="_TocCapTfases" w:history="1">
        <w:r>
          <w:rPr>
            <w:sz w:val="22"/>
            <w:szCs w:val="22"/>
          </w:rPr>
          <w:t xml:space="preserve">Tabela 1: Correspondência entre as fases do ETL, os componentes e os capítulos do documento.</w:t>
        </w:r>
        <w:r>
          <w:tab/>
        </w:r>
        <w:r>
          <w:rPr>
            <w:sz w:val="22"/>
            <w:szCs w:val="22"/>
          </w:rPr>
          <w:fldChar w:fldCharType="begin"/>
        </w:r>
        <w:r>
          <w:rPr>
            <w:sz w:val="22"/>
            <w:szCs w:val="22"/>
          </w:rPr>
          <w:instrText xml:space="preserve"> PAGEREF _TocCapTfases \h </w:instrText>
        </w:r>
        <w:r>
          <w:rPr>
            <w:sz w:val="22"/>
            <w:szCs w:val="22"/>
          </w:rPr>
          <w:fldChar w:fldCharType="separate"/>
        </w:r>
        <w:r>
          <w:rPr>
            <w:sz w:val="22"/>
            <w:szCs w:val="22"/>
          </w:rPr>
          <w:t xml:space="preserve">4</w:t>
        </w:r>
        <w:r>
          <w:rPr>
            <w:sz w:val="22"/>
            <w:szCs w:val="22"/>
          </w:rPr>
          <w:fldChar w:fldCharType="end"/>
        </w:r>
      </w:hyperlink>
    </w:p>
    <w:p>
      <w:pPr>
        <w:pStyle w:val="ndicedeIlustraes"/>
        <w:tabs>
          <w:tab w:val="right" w:leader="dot" w:pos="9071"/>
        </w:tabs>
        <w:spacing w:before="0" w:after="80" w:line="264" w:lineRule="auto"/>
        <w:ind w:left="0" w:firstLine="0"/>
        <w:jc w:val="left"/>
      </w:pPr>
      <w:hyperlink w:anchor="_TocCapTenunciado" w:history="1">
        <w:r>
          <w:rPr>
            <w:sz w:val="22"/>
            <w:szCs w:val="22"/>
          </w:rPr>
          <w:t xml:space="preserve">Tabela 2: Correspondência entre os pontos exigidos no enunciado e a sua localização neste documento.</w:t>
        </w:r>
        <w:r>
          <w:tab/>
        </w:r>
        <w:r>
          <w:rPr>
            <w:sz w:val="22"/>
            <w:szCs w:val="22"/>
          </w:rPr>
          <w:fldChar w:fldCharType="begin"/>
        </w:r>
        <w:r>
          <w:rPr>
            <w:sz w:val="22"/>
            <w:szCs w:val="22"/>
          </w:rPr>
          <w:instrText xml:space="preserve"> PAGEREF _TocCapTenunciado \h </w:instrText>
        </w:r>
        <w:r>
          <w:rPr>
            <w:sz w:val="22"/>
            <w:szCs w:val="22"/>
          </w:rPr>
          <w:fldChar w:fldCharType="separate"/>
        </w:r>
        <w:r>
          <w:rPr>
            <w:sz w:val="22"/>
            <w:szCs w:val="22"/>
          </w:rPr>
          <w:t xml:space="preserve">4</w:t>
        </w:r>
        <w:r>
          <w:rPr>
            <w:sz w:val="22"/>
            <w:szCs w:val="22"/>
          </w:rPr>
          <w:fldChar w:fldCharType="end"/>
        </w:r>
      </w:hyperlink>
    </w:p>
    <w:p>
      <w:pPr>
        <w:pStyle w:val="ndicedeIlustraes"/>
        <w:tabs>
          <w:tab w:val="right" w:leader="dot" w:pos="9071"/>
        </w:tabs>
        <w:spacing w:before="0" w:after="80" w:line="264" w:lineRule="auto"/>
        <w:ind w:left="0" w:firstLine="0"/>
        <w:jc w:val="left"/>
      </w:pPr>
      <w:hyperlink w:anchor="_TocCapTvias" w:history="1">
        <w:r>
          <w:rPr>
            <w:sz w:val="22"/>
            <w:szCs w:val="22"/>
          </w:rPr>
          <w:t xml:space="preserve">Tabela 3: Comparação entre as duas vias de processamento do pipeline.</w:t>
        </w:r>
        <w:r>
          <w:tab/>
        </w:r>
        <w:r>
          <w:rPr>
            <w:sz w:val="22"/>
            <w:szCs w:val="22"/>
          </w:rPr>
          <w:fldChar w:fldCharType="begin"/>
        </w:r>
        <w:r>
          <w:rPr>
            <w:sz w:val="22"/>
            <w:szCs w:val="22"/>
          </w:rPr>
          <w:instrText xml:space="preserve"> PAGEREF _TocCapTvias \h </w:instrText>
        </w:r>
        <w:r>
          <w:rPr>
            <w:sz w:val="22"/>
            <w:szCs w:val="22"/>
          </w:rPr>
          <w:fldChar w:fldCharType="separate"/>
        </w:r>
        <w:r>
          <w:rPr>
            <w:sz w:val="22"/>
            <w:szCs w:val="22"/>
          </w:rPr>
          <w:t xml:space="preserve">7</w:t>
        </w:r>
        <w:r>
          <w:rPr>
            <w:sz w:val="22"/>
            <w:szCs w:val="22"/>
          </w:rPr>
          <w:fldChar w:fldCharType="end"/>
        </w:r>
      </w:hyperlink>
    </w:p>
    <w:p>
      <w:pPr>
        <w:pStyle w:val="ndicedeIlustraes"/>
        <w:tabs>
          <w:tab w:val="right" w:leader="dot" w:pos="9071"/>
        </w:tabs>
        <w:spacing w:before="0" w:after="80" w:line="264" w:lineRule="auto"/>
        <w:ind w:left="0" w:firstLine="0"/>
        <w:jc w:val="left"/>
      </w:pPr>
      <w:hyperlink w:anchor="_TocCapTcont" w:history="1">
        <w:r>
          <w:rPr>
            <w:sz w:val="22"/>
            <w:szCs w:val="22"/>
          </w:rPr>
          <w:t xml:space="preserve">Tabela 4: Contentores que compõem o ambiente de execução.</w:t>
        </w:r>
        <w:r>
          <w:tab/>
        </w:r>
        <w:r>
          <w:rPr>
            <w:sz w:val="22"/>
            <w:szCs w:val="22"/>
          </w:rPr>
          <w:fldChar w:fldCharType="begin"/>
        </w:r>
        <w:r>
          <w:rPr>
            <w:sz w:val="22"/>
            <w:szCs w:val="22"/>
          </w:rPr>
          <w:instrText xml:space="preserve"> PAGEREF _TocCapTcont \h </w:instrText>
        </w:r>
        <w:r>
          <w:rPr>
            <w:sz w:val="22"/>
            <w:szCs w:val="22"/>
          </w:rPr>
          <w:fldChar w:fldCharType="separate"/>
        </w:r>
        <w:r>
          <w:rPr>
            <w:sz w:val="22"/>
            <w:szCs w:val="22"/>
          </w:rPr>
          <w:t xml:space="preserve">8</w:t>
        </w:r>
        <w:r>
          <w:rPr>
            <w:sz w:val="22"/>
            <w:szCs w:val="22"/>
          </w:rPr>
          <w:fldChar w:fldCharType="end"/>
        </w:r>
      </w:hyperlink>
    </w:p>
    <w:p>
      <w:pPr>
        <w:pStyle w:val="ndicedeIlustraes"/>
        <w:tabs>
          <w:tab w:val="right" w:leader="dot" w:pos="9071"/>
        </w:tabs>
        <w:spacing w:before="0" w:after="80" w:line="264" w:lineRule="auto"/>
        <w:ind w:left="0" w:firstLine="0"/>
        <w:jc w:val="left"/>
      </w:pPr>
      <w:hyperlink w:anchor="_TocCapTtentativas" w:history="1">
        <w:r>
          <w:rPr>
            <w:sz w:val="22"/>
            <w:szCs w:val="22"/>
          </w:rPr>
          <w:t xml:space="preserve">Tabela 5: Abordagens exploradas ao longo do desenvolvimento e decisão final.</w:t>
        </w:r>
        <w:r>
          <w:tab/>
        </w:r>
        <w:r>
          <w:rPr>
            <w:sz w:val="22"/>
            <w:szCs w:val="22"/>
          </w:rPr>
          <w:fldChar w:fldCharType="begin"/>
        </w:r>
        <w:r>
          <w:rPr>
            <w:sz w:val="22"/>
            <w:szCs w:val="22"/>
          </w:rPr>
          <w:instrText xml:space="preserve"> PAGEREF _TocCapTtentativas \h </w:instrText>
        </w:r>
        <w:r>
          <w:rPr>
            <w:sz w:val="22"/>
            <w:szCs w:val="22"/>
          </w:rPr>
          <w:fldChar w:fldCharType="separate"/>
        </w:r>
        <w:r>
          <w:rPr>
            <w:sz w:val="22"/>
            <w:szCs w:val="22"/>
          </w:rPr>
          <w:t xml:space="preserve">9</w:t>
        </w:r>
        <w:r>
          <w:rPr>
            <w:sz w:val="22"/>
            <w:szCs w:val="22"/>
          </w:rPr>
          <w:fldChar w:fldCharType="end"/>
        </w:r>
      </w:hyperlink>
    </w:p>
    <w:p>
      <w:pPr>
        <w:pStyle w:val="ndicedeIlustraes"/>
        <w:tabs>
          <w:tab w:val="right" w:leader="dot" w:pos="9071"/>
        </w:tabs>
        <w:spacing w:before="0" w:after="80" w:line="264" w:lineRule="auto"/>
        <w:ind w:left="0" w:firstLine="0"/>
        <w:jc w:val="left"/>
      </w:pPr>
      <w:hyperlink w:anchor="_TocCapTfontes" w:history="1">
        <w:r>
          <w:rPr>
            <w:sz w:val="22"/>
            <w:szCs w:val="22"/>
          </w:rPr>
          <w:t xml:space="preserve">Tabela 6: Formatos e origens de dados consumidos pelo pipeline.</w:t>
        </w:r>
        <w:r>
          <w:tab/>
        </w:r>
        <w:r>
          <w:rPr>
            <w:sz w:val="22"/>
            <w:szCs w:val="22"/>
          </w:rPr>
          <w:fldChar w:fldCharType="begin"/>
        </w:r>
        <w:r>
          <w:rPr>
            <w:sz w:val="22"/>
            <w:szCs w:val="22"/>
          </w:rPr>
          <w:instrText xml:space="preserve"> PAGEREF _TocCapTfontes \h </w:instrText>
        </w:r>
        <w:r>
          <w:rPr>
            <w:sz w:val="22"/>
            <w:szCs w:val="22"/>
          </w:rPr>
          <w:fldChar w:fldCharType="separate"/>
        </w:r>
        <w:r>
          <w:rPr>
            <w:sz w:val="22"/>
            <w:szCs w:val="22"/>
          </w:rPr>
          <w:t xml:space="preserve">11</w:t>
        </w:r>
        <w:r>
          <w:rPr>
            <w:sz w:val="22"/>
            <w:szCs w:val="22"/>
          </w:rPr>
          <w:fldChar w:fldCharType="end"/>
        </w:r>
      </w:hyperlink>
    </w:p>
    <w:p>
      <w:pPr>
        <w:pStyle w:val="ndicedeIlustraes"/>
        <w:tabs>
          <w:tab w:val="right" w:leader="dot" w:pos="9071"/>
        </w:tabs>
        <w:spacing w:before="0" w:after="80" w:line="264" w:lineRule="auto"/>
        <w:ind w:left="0" w:firstLine="0"/>
        <w:jc w:val="left"/>
      </w:pPr>
      <w:hyperlink w:anchor="_TocCapTrabbit" w:history="1">
        <w:r>
          <w:rPr>
            <w:sz w:val="22"/>
            <w:szCs w:val="22"/>
          </w:rPr>
          <w:t xml:space="preserve">Tabela 7: Indicadores globais observados no painel de gestão do RabbitMQ.</w:t>
        </w:r>
        <w:r>
          <w:tab/>
        </w:r>
        <w:r>
          <w:rPr>
            <w:sz w:val="22"/>
            <w:szCs w:val="22"/>
          </w:rPr>
          <w:fldChar w:fldCharType="begin"/>
        </w:r>
        <w:r>
          <w:rPr>
            <w:sz w:val="22"/>
            <w:szCs w:val="22"/>
          </w:rPr>
          <w:instrText xml:space="preserve"> PAGEREF _TocCapTrabbit \h </w:instrText>
        </w:r>
        <w:r>
          <w:rPr>
            <w:sz w:val="22"/>
            <w:szCs w:val="22"/>
          </w:rPr>
          <w:fldChar w:fldCharType="separate"/>
        </w:r>
        <w:r>
          <w:rPr>
            <w:sz w:val="22"/>
            <w:szCs w:val="22"/>
          </w:rPr>
          <w:t xml:space="preserve">22</w:t>
        </w:r>
        <w:r>
          <w:rPr>
            <w:sz w:val="22"/>
            <w:szCs w:val="22"/>
          </w:rPr>
          <w:fldChar w:fldCharType="end"/>
        </w:r>
      </w:hyperlink>
    </w:p>
    <w:p>
      <w:pPr>
        <w:pStyle w:val="ndicedeIlustraes"/>
        <w:tabs>
          <w:tab w:val="right" w:leader="dot" w:pos="9071"/>
        </w:tabs>
        <w:spacing w:before="0" w:after="80" w:line="264" w:lineRule="auto"/>
        <w:ind w:left="0" w:firstLine="0"/>
        <w:jc w:val="left"/>
      </w:pPr>
      <w:hyperlink w:anchor="_TocCapTcolunas" w:history="1">
        <w:r>
          <w:rPr>
            <w:sz w:val="22"/>
            <w:szCs w:val="22"/>
          </w:rPr>
          <w:t xml:space="preserve">Tabela 8: Colunas da tabela ofertas_emprego, escrita pelo KNIME.</w:t>
        </w:r>
        <w:r>
          <w:tab/>
        </w:r>
        <w:r>
          <w:rPr>
            <w:sz w:val="22"/>
            <w:szCs w:val="22"/>
          </w:rPr>
          <w:fldChar w:fldCharType="begin"/>
        </w:r>
        <w:r>
          <w:rPr>
            <w:sz w:val="22"/>
            <w:szCs w:val="22"/>
          </w:rPr>
          <w:instrText xml:space="preserve"> PAGEREF _TocCapTcolunas \h </w:instrText>
        </w:r>
        <w:r>
          <w:rPr>
            <w:sz w:val="22"/>
            <w:szCs w:val="22"/>
          </w:rPr>
          <w:fldChar w:fldCharType="separate"/>
        </w:r>
        <w:r>
          <w:rPr>
            <w:sz w:val="22"/>
            <w:szCs w:val="22"/>
          </w:rPr>
          <w:t xml:space="preserve">24</w:t>
        </w:r>
        <w:r>
          <w:rPr>
            <w:sz w:val="22"/>
            <w:szCs w:val="22"/>
          </w:rPr>
          <w:fldChar w:fldCharType="end"/>
        </w:r>
      </w:hyperlink>
    </w:p>
    <w:p>
      <w:pPr>
        <w:pStyle w:val="ndicedeIlustraes"/>
        <w:tabs>
          <w:tab w:val="right" w:leader="dot" w:pos="9071"/>
        </w:tabs>
        <w:spacing w:before="0" w:after="80" w:line="264" w:lineRule="auto"/>
        <w:ind w:left="0" w:firstLine="0"/>
        <w:jc w:val="left"/>
      </w:pPr>
      <w:hyperlink w:anchor="_TocCapTalertas" w:history="1">
        <w:r>
          <w:rPr>
            <w:sz w:val="22"/>
            <w:szCs w:val="22"/>
          </w:rPr>
          <w:t xml:space="preserve">Tabela 9: Critérios de disparo de alertas no nó Good Role Alert.</w:t>
        </w:r>
        <w:r>
          <w:tab/>
        </w:r>
        <w:r>
          <w:rPr>
            <w:sz w:val="22"/>
            <w:szCs w:val="22"/>
          </w:rPr>
          <w:fldChar w:fldCharType="begin"/>
        </w:r>
        <w:r>
          <w:rPr>
            <w:sz w:val="22"/>
            <w:szCs w:val="22"/>
          </w:rPr>
          <w:instrText xml:space="preserve"> PAGEREF _TocCapTalertas \h </w:instrText>
        </w:r>
        <w:r>
          <w:rPr>
            <w:sz w:val="22"/>
            <w:szCs w:val="22"/>
          </w:rPr>
          <w:fldChar w:fldCharType="separate"/>
        </w:r>
        <w:r>
          <w:rPr>
            <w:sz w:val="22"/>
            <w:szCs w:val="22"/>
          </w:rPr>
          <w:t xml:space="preserve">26</w:t>
        </w:r>
        <w:r>
          <w:rPr>
            <w:sz w:val="22"/>
            <w:szCs w:val="22"/>
          </w:rPr>
          <w:fldChar w:fldCharType="end"/>
        </w:r>
      </w:hyperlink>
    </w:p>
    <w:p>
      <w:pPr>
        <w:pStyle w:val="ndicedeIlustraes"/>
        <w:tabs>
          <w:tab w:val="right" w:leader="dot" w:pos="9071"/>
        </w:tabs>
        <w:spacing w:before="0" w:after="80" w:line="264" w:lineRule="auto"/>
        <w:ind w:left="0" w:firstLine="0"/>
        <w:jc w:val="left"/>
      </w:pPr>
      <w:hyperlink w:anchor="_TocCapTvagas" w:history="1">
        <w:r>
          <w:rPr>
            <w:sz w:val="22"/>
            <w:szCs w:val="22"/>
          </w:rPr>
          <w:t xml:space="preserve">Tabela 10: Número de vagas por mercado no painel Distribuição de Vagas por País.</w:t>
        </w:r>
        <w:r>
          <w:tab/>
        </w:r>
        <w:r>
          <w:rPr>
            <w:sz w:val="22"/>
            <w:szCs w:val="22"/>
          </w:rPr>
          <w:fldChar w:fldCharType="begin"/>
        </w:r>
        <w:r>
          <w:rPr>
            <w:sz w:val="22"/>
            <w:szCs w:val="22"/>
          </w:rPr>
          <w:instrText xml:space="preserve"> PAGEREF _TocCapTvagas \h </w:instrText>
        </w:r>
        <w:r>
          <w:rPr>
            <w:sz w:val="22"/>
            <w:szCs w:val="22"/>
          </w:rPr>
          <w:fldChar w:fldCharType="separate"/>
        </w:r>
        <w:r>
          <w:rPr>
            <w:sz w:val="22"/>
            <w:szCs w:val="22"/>
          </w:rPr>
          <w:t xml:space="preserve">33</w:t>
        </w:r>
        <w:r>
          <w:rPr>
            <w:sz w:val="22"/>
            <w:szCs w:val="22"/>
          </w:rPr>
          <w:fldChar w:fldCharType="end"/>
        </w:r>
      </w:hyperlink>
      <w:r>
        <w:fldChar w:fldCharType="end"/>
      </w:r>
    </w:p>
    <w:p>
      <w:pPr>
        <w:pStyle w:val="TituloNoNumerado"/>
        <w:pageBreakBefore/>
        <w:spacing w:before="240" w:after="360"/>
        <w:ind w:firstLine="0"/>
      </w:pPr>
      <w:r>
        <w:t xml:space="preserve">Siglas e Acrónimos</w:t>
      </w:r>
    </w:p>
    <w:p>
      <w:pPr>
        <w:spacing w:after="100"/>
        <w:ind w:firstLine="0"/>
        <w:jc w:val="left"/>
      </w:pPr>
      <w:r>
        <w:rPr>
          <w:b/>
          <w:bCs/>
        </w:rPr>
        <w:t xml:space="preserve">AMQP</w:t>
      </w:r>
      <w:r>
        <w:t xml:space="preserve"> – Advanced Message Queuing Protocol (Protocolo Avançado de Filas de Mensagens)</w:t>
      </w:r>
    </w:p>
    <w:p>
      <w:pPr>
        <w:spacing w:after="100"/>
        <w:ind w:firstLine="0"/>
        <w:jc w:val="left"/>
      </w:pPr>
      <w:r>
        <w:rPr>
          <w:b/>
          <w:bCs/>
        </w:rPr>
        <w:t xml:space="preserve">API</w:t>
      </w:r>
      <w:r>
        <w:t xml:space="preserve"> – Application Programming Interface (Interface de Programação de Aplicações)</w:t>
      </w:r>
    </w:p>
    <w:p>
      <w:pPr>
        <w:spacing w:after="100"/>
        <w:ind w:firstLine="0"/>
        <w:jc w:val="left"/>
      </w:pPr>
      <w:r>
        <w:rPr>
          <w:b/>
          <w:bCs/>
        </w:rPr>
        <w:t xml:space="preserve">BD</w:t>
      </w:r>
      <w:r>
        <w:t xml:space="preserve"> – Base de Dados</w:t>
      </w:r>
    </w:p>
    <w:p>
      <w:pPr>
        <w:spacing w:after="100"/>
        <w:ind w:firstLine="0"/>
        <w:jc w:val="left"/>
      </w:pPr>
      <w:r>
        <w:rPr>
          <w:b/>
          <w:bCs/>
        </w:rPr>
        <w:t xml:space="preserve">CSV</w:t>
      </w:r>
      <w:r>
        <w:t xml:space="preserve"> – Comma-Separated Values (Valores Separados por Vírgulas)</w:t>
      </w:r>
    </w:p>
    <w:p>
      <w:pPr>
        <w:spacing w:after="100"/>
        <w:ind w:firstLine="0"/>
        <w:jc w:val="left"/>
      </w:pPr>
      <w:r>
        <w:rPr>
          <w:b/>
          <w:bCs/>
        </w:rPr>
        <w:t xml:space="preserve">DOM</w:t>
      </w:r>
      <w:r>
        <w:t xml:space="preserve"> – Document Object Model (Modelo de Objetos do Documento)</w:t>
      </w:r>
    </w:p>
    <w:p>
      <w:pPr>
        <w:spacing w:after="100"/>
        <w:ind w:firstLine="0"/>
        <w:jc w:val="left"/>
      </w:pPr>
      <w:r>
        <w:rPr>
          <w:b/>
          <w:bCs/>
        </w:rPr>
        <w:t xml:space="preserve">ER</w:t>
      </w:r>
      <w:r>
        <w:t xml:space="preserve"> – Expressão Regular (</w:t>
      </w:r>
      <w:r>
        <w:rPr>
          <w:i/>
          <w:iCs/>
        </w:rPr>
        <w:t xml:space="preserve">Regex</w:t>
      </w:r>
      <w:r>
        <w:t xml:space="preserve">)</w:t>
      </w:r>
    </w:p>
    <w:p>
      <w:pPr>
        <w:spacing w:after="100"/>
        <w:ind w:firstLine="0"/>
        <w:jc w:val="left"/>
      </w:pPr>
      <w:r>
        <w:rPr>
          <w:b/>
          <w:bCs/>
        </w:rPr>
        <w:t xml:space="preserve">ETL</w:t>
      </w:r>
      <w:r>
        <w:t xml:space="preserve"> – Extract, Transform and Load (Extração, Transformação e Carregamento)</w:t>
      </w:r>
    </w:p>
    <w:p>
      <w:pPr>
        <w:spacing w:after="100"/>
        <w:ind w:firstLine="0"/>
        <w:jc w:val="left"/>
      </w:pPr>
      <w:r>
        <w:rPr>
          <w:b/>
          <w:bCs/>
        </w:rPr>
        <w:t xml:space="preserve">HTML</w:t>
      </w:r>
      <w:r>
        <w:t xml:space="preserve"> – HyperText Markup Language (Linguagem de Marcação de Hipertexto)</w:t>
      </w:r>
    </w:p>
    <w:p>
      <w:pPr>
        <w:spacing w:after="100"/>
        <w:ind w:firstLine="0"/>
        <w:jc w:val="left"/>
      </w:pPr>
      <w:r>
        <w:rPr>
          <w:b/>
          <w:bCs/>
        </w:rPr>
        <w:t xml:space="preserve">HTTP</w:t>
      </w:r>
      <w:r>
        <w:t xml:space="preserve"> – HyperText Transfer Protocol (Protocolo de Transferência de Hipertexto)</w:t>
      </w:r>
    </w:p>
    <w:p>
      <w:pPr>
        <w:spacing w:after="100"/>
        <w:ind w:firstLine="0"/>
        <w:jc w:val="left"/>
      </w:pPr>
      <w:r>
        <w:rPr>
          <w:b/>
          <w:bCs/>
        </w:rPr>
        <w:t xml:space="preserve">ISI</w:t>
      </w:r>
      <w:r>
        <w:t xml:space="preserve"> – Integração de Sistemas de Informação</w:t>
      </w:r>
    </w:p>
    <w:p>
      <w:pPr>
        <w:spacing w:after="100"/>
        <w:ind w:firstLine="0"/>
        <w:jc w:val="left"/>
      </w:pPr>
      <w:r>
        <w:rPr>
          <w:b/>
          <w:bCs/>
        </w:rPr>
        <w:t xml:space="preserve">JDBC</w:t>
      </w:r>
      <w:r>
        <w:t xml:space="preserve"> – Java Database Connectivity</w:t>
      </w:r>
    </w:p>
    <w:p>
      <w:pPr>
        <w:spacing w:after="100"/>
        <w:ind w:firstLine="0"/>
        <w:jc w:val="left"/>
      </w:pPr>
      <w:r>
        <w:rPr>
          <w:b/>
          <w:bCs/>
        </w:rPr>
        <w:t xml:space="preserve">JSON</w:t>
      </w:r>
      <w:r>
        <w:t xml:space="preserve"> – JavaScript Object Notation</w:t>
      </w:r>
    </w:p>
    <w:p>
      <w:pPr>
        <w:spacing w:after="100"/>
        <w:ind w:firstLine="0"/>
        <w:jc w:val="left"/>
      </w:pPr>
      <w:r>
        <w:rPr>
          <w:b/>
          <w:bCs/>
        </w:rPr>
        <w:t xml:space="preserve">NLP</w:t>
      </w:r>
      <w:r>
        <w:t xml:space="preserve"> – Natural Language Processing (Processamento de Linguagem Natural)</w:t>
      </w:r>
    </w:p>
    <w:p>
      <w:pPr>
        <w:spacing w:after="100"/>
        <w:ind w:firstLine="0"/>
        <w:jc w:val="left"/>
      </w:pPr>
      <w:r>
        <w:rPr>
          <w:b/>
          <w:bCs/>
        </w:rPr>
        <w:t xml:space="preserve">NoSQL</w:t>
      </w:r>
      <w:r>
        <w:t xml:space="preserve"> – Not only SQL</w:t>
      </w:r>
    </w:p>
    <w:p>
      <w:pPr>
        <w:spacing w:after="100"/>
        <w:ind w:firstLine="0"/>
        <w:jc w:val="left"/>
      </w:pPr>
      <w:r>
        <w:rPr>
          <w:b/>
          <w:bCs/>
        </w:rPr>
        <w:t xml:space="preserve">QR</w:t>
      </w:r>
      <w:r>
        <w:t xml:space="preserve"> – Quick Response</w:t>
      </w:r>
    </w:p>
    <w:p>
      <w:pPr>
        <w:spacing w:after="100"/>
        <w:ind w:firstLine="0"/>
        <w:jc w:val="left"/>
      </w:pPr>
      <w:r>
        <w:rPr>
          <w:b/>
          <w:bCs/>
        </w:rPr>
        <w:t xml:space="preserve">REST</w:t>
      </w:r>
      <w:r>
        <w:t xml:space="preserve"> – Representational State Transfer</w:t>
      </w:r>
    </w:p>
    <w:p>
      <w:pPr>
        <w:spacing w:after="100"/>
        <w:ind w:firstLine="0"/>
        <w:jc w:val="left"/>
      </w:pPr>
      <w:r>
        <w:rPr>
          <w:b/>
          <w:bCs/>
        </w:rPr>
        <w:t xml:space="preserve">SQL</w:t>
      </w:r>
      <w:r>
        <w:t xml:space="preserve"> – Structured Query Language (Linguagem de Consulta Estruturada)</w:t>
      </w:r>
    </w:p>
    <w:p>
      <w:pPr>
        <w:spacing w:after="100"/>
        <w:ind w:firstLine="0"/>
        <w:jc w:val="left"/>
      </w:pPr>
      <w:r>
        <w:rPr>
          <w:b/>
          <w:bCs/>
        </w:rPr>
        <w:t xml:space="preserve">TP1</w:t>
      </w:r>
      <w:r>
        <w:t xml:space="preserve"> – Trabalho Prático I</w:t>
      </w:r>
    </w:p>
    <w:p>
      <w:pPr>
        <w:spacing w:after="100"/>
        <w:ind w:firstLine="0"/>
        <w:jc w:val="left"/>
      </w:pPr>
      <w:r>
        <w:rPr>
          <w:b/>
          <w:bCs/>
        </w:rPr>
        <w:t xml:space="preserve">UC</w:t>
      </w:r>
      <w:r>
        <w:t xml:space="preserve"> – Unidade Curricular</w:t>
      </w:r>
    </w:p>
    <w:p>
      <w:pPr>
        <w:spacing w:after="100"/>
        <w:ind w:firstLine="0"/>
        <w:jc w:val="left"/>
      </w:pPr>
      <w:r>
        <w:rPr>
          <w:b/>
          <w:bCs/>
        </w:rPr>
        <w:t xml:space="preserve">UPCA</w:t>
      </w:r>
      <w:r>
        <w:t xml:space="preserve"> – Universidade Politécnica do Cávado e do Ave</w:t>
      </w:r>
    </w:p>
    <w:p>
      <w:pPr>
        <w:spacing w:after="100"/>
        <w:ind w:firstLine="0"/>
        <w:jc w:val="left"/>
      </w:pPr>
      <w:r>
        <w:rPr>
          <w:b/>
          <w:bCs/>
        </w:rPr>
        <w:t xml:space="preserve">URL</w:t>
      </w:r>
      <w:r>
        <w:t xml:space="preserve"> – Uniform Resource Locator (Localizador Uniforme de Recursos)</w:t>
      </w:r>
    </w:p>
    <w:p>
      <w:pPr>
        <w:spacing w:after="100"/>
        <w:ind w:firstLine="0"/>
        <w:jc w:val="left"/>
      </w:pPr>
      <w:r>
        <w:rPr>
          <w:b/>
          <w:bCs/>
        </w:rPr>
        <w:t xml:space="preserve">XPath</w:t>
      </w:r>
      <w:r>
        <w:t xml:space="preserve"> – XML Path Language (Linguagem de Caminhos para XML)</w:t>
      </w:r>
    </w:p>
    <w:p>
      <w:pPr>
        <w:sectPr>
          <w:footerReference w:type="default" r:id="rId13"/>
          <w:type w:val="nextPage"/>
          <w:pgSz w:w="11906" w:h="16838"/>
          <w:pgMar w:top="1418" w:right="1134" w:bottom="1134" w:left="1701" w:header="709" w:footer="709" w:gutter="0"/>
          <w:pgNumType w:fmt="upperRoman"/>
          <w:cols w:space="708"/>
          <w:docGrid w:linePitch="360"/>
        </w:sectPr>
      </w:pPr>
    </w:p>
    <w:p>
      <w:pPr>
        <w:pStyle w:val="Cabealho1"/>
        <w:keepNext/>
        <w:spacing w:before="480" w:after="240"/>
      </w:pPr>
      <w:bookmarkStart w:id="101" w:name="_Toc_cap1"/>
      <w:r>
        <w:t xml:space="preserve">Introdução e Enquadramento</w:t>
      </w:r>
      <w:bookmarkEnd w:id="101"/>
    </w:p>
    <w:p>
      <w:r>
        <w:t xml:space="preserve">O presente documento constitui o relatório final do Trabalho Prático I (TP1) da unidade curricular (UC) de Integração de Sistemas de Informação (ISI). O trabalho consistiu na conceção, implementação e demonstração de um </w:t>
      </w:r>
      <w:r>
        <w:rPr>
          <w:i/>
          <w:iCs/>
        </w:rPr>
        <w:t xml:space="preserve">pipeline</w:t>
      </w:r>
      <w:r>
        <w:t xml:space="preserve"> de ETL (</w:t>
      </w:r>
      <w:r>
        <w:rPr>
          <w:i/>
          <w:iCs/>
        </w:rPr>
        <w:t xml:space="preserve">Extract, Transform and Load</w:t>
      </w:r>
      <w:r>
        <w:t xml:space="preserve">) dedicado à análise do poder de compra de profissionais do setor tecnológico, designado ao longo do documento por </w:t>
      </w:r>
      <w:r>
        <w:rPr>
          <w:i/>
          <w:iCs/>
        </w:rPr>
        <w:t xml:space="preserve">Tech Purchasing Power</w:t>
      </w:r>
      <w:r>
        <w:t xml:space="preserve">. Neste capítulo apresentam-se o enquadramento do trabalho, o problema que se pretende resolver, a motivação e os objetivos, bem como a metodologia seguida e a estrutura do documento.</w:t>
      </w:r>
    </w:p>
    <w:p>
      <w:pPr>
        <w:pStyle w:val="Cabealho2"/>
        <w:keepNext/>
        <w:spacing w:before="320" w:after="160"/>
      </w:pPr>
      <w:bookmarkStart w:id="102" w:name="_Toc_enq"/>
      <w:r>
        <w:t xml:space="preserve">Enquadramento e Contexto</w:t>
      </w:r>
      <w:bookmarkEnd w:id="102"/>
    </w:p>
    <w:p>
      <w:r>
        <w:t xml:space="preserve">O trabalho foi desenvolvido no âmbito da UC de ISI, integrada na Licenciatura em Engenharia de Sistemas Informáticos da Escola Superior de Tecnologia da Universidade Politécnica do Cávado e do Ave (UPCA), no ano letivo 2026/2027, sob orientação do docente Luís Ferreira. Foi realizado individualmente por Alexandre Silva (n.º 29382), tendo sido exploradas, de forma integrada, duas plataformas de ETL complementares — o KNIME Analytics Platform e o Node-RED — apoiadas em RabbitMQ, PostgreSQL, Grafana e Docker.</w:t>
      </w:r>
    </w:p>
    <w:p>
      <w:r>
        <w:t xml:space="preserve">A UC de ISI incide sobre a integração de sistemas de informação ao nível dos dados. Neste contexto, os processos de ETL assumem um papel central: permitem recolher dados provenientes de origens e formatos heterogéneos, transformá-los de acordo com regras de negócio e disponibilizá-los em sistemas de destino, onde podem ser consultados, analisados e visualizados. Como refere o enunciado, a reconfiguração constante dos processos de negócio e a necessidade de rentabilizar investimentos anteriores fazem da migração, da reorganização e da análise contínua de dados cenários onde o ETL desempenha um papel preponderante (Ferreira &amp; Ribeiro, 2026).</w:t>
      </w:r>
    </w:p>
    <w:p>
      <w:r>
        <w:t xml:space="preserve">O enunciado exige que o processo desenvolvido se estruture em três fases obrigatórias: recolha e preparação de dados (fase «E»), processamento e transformação de dados (fase «T») e persistência e exportação (fase «L»). O tema escolhido para demonstrar estas três fases foi a análise do poder de compra no setor tecnológico, cujo problema se descreve na secção seguinte.</w:t>
      </w:r>
    </w:p>
    <w:p>
      <w:pPr>
        <w:pStyle w:val="Cabealho2"/>
        <w:keepNext/>
        <w:spacing w:before="320" w:after="160"/>
      </w:pPr>
      <w:bookmarkStart w:id="103" w:name="_Toc_prob"/>
      <w:r>
        <w:t xml:space="preserve">Descrição do Problema e sua Relevância</w:t>
      </w:r>
      <w:bookmarkEnd w:id="103"/>
    </w:p>
    <w:p>
      <w:r>
        <w:t xml:space="preserve">A procura de emprego na área das tecnologias de informação é, atualmente, um mercado global. Um profissional pode considerar ofertas em dezenas de países, mas comparar essas ofertas de forma rigorosa é uma tarefa difícil, porque os dados disponíveis nos anúncios são heterogéneos e, frequentemente, inconsistentes. Identificam-se quatro dificuldades principais:</w:t>
      </w:r>
    </w:p>
    <w:p>
      <w:pPr>
        <w:pStyle w:val="PargrafodaLista"/>
        <w:numPr>
          <w:ilvl w:val="0"/>
          <w:numId w:val="3"/>
        </w:numPr>
        <w:spacing w:after="60"/>
        <w:contextualSpacing w:val="0"/>
      </w:pPr>
      <w:r>
        <w:rPr>
          <w:b/>
          <w:bCs/>
        </w:rPr>
        <w:t xml:space="preserve">Moedas distintas:</w:t>
      </w:r>
      <w:r>
        <w:t xml:space="preserve"> os salários são expressos em libras, euros, dólares ou outras moedas, não sendo diretamente comparáveis sem conversão cambial;</w:t>
      </w:r>
    </w:p>
    <w:p>
      <w:pPr>
        <w:pStyle w:val="PargrafodaLista"/>
        <w:numPr>
          <w:ilvl w:val="0"/>
          <w:numId w:val="3"/>
        </w:numPr>
        <w:spacing w:after="60"/>
        <w:contextualSpacing w:val="0"/>
      </w:pPr>
      <w:r>
        <w:rPr>
          <w:b/>
          <w:bCs/>
        </w:rPr>
        <w:t xml:space="preserve">Periodicidades distintas:</w:t>
      </w:r>
      <w:r>
        <w:t xml:space="preserve"> o mesmo campo salarial pode representar um valor por hora, por dia, por mês ou por ano — um valor de 45 pode corresponder a um salário horário, 3 500 a um salário mensal e 50 000 a um salário anual;</w:t>
      </w:r>
    </w:p>
    <w:p>
      <w:pPr>
        <w:pStyle w:val="PargrafodaLista"/>
        <w:numPr>
          <w:ilvl w:val="0"/>
          <w:numId w:val="3"/>
        </w:numPr>
        <w:spacing w:after="60"/>
        <w:contextualSpacing w:val="0"/>
      </w:pPr>
      <w:r>
        <w:rPr>
          <w:b/>
          <w:bCs/>
        </w:rPr>
        <w:t xml:space="preserve">Localizações inconsistentes:</w:t>
      </w:r>
      <w:r>
        <w:t xml:space="preserve"> o campo de localização mistura cidades, regiões, países e códigos postais, o que impede a agregação por país sem um tratamento prévio do texto;</w:t>
      </w:r>
    </w:p>
    <w:p>
      <w:pPr>
        <w:pStyle w:val="PargrafodaLista"/>
        <w:numPr>
          <w:ilvl w:val="0"/>
          <w:numId w:val="3"/>
        </w:numPr>
        <w:spacing w:after="60"/>
        <w:contextualSpacing w:val="0"/>
      </w:pPr>
      <w:r>
        <w:rPr>
          <w:b/>
          <w:bCs/>
        </w:rPr>
        <w:t xml:space="preserve">Salário bruto versus poder de compra:</w:t>
      </w:r>
      <w:r>
        <w:t xml:space="preserve"> o salário bruto anunciado não reflete a capacidade real de poupança, que depende dos impostos, do custo da habitação (renda) e do custo de vida do país onde a oferta se localiza.</w:t>
      </w:r>
    </w:p>
    <w:p>
      <w:r>
        <w:t xml:space="preserve">O problema que o trabalho procura resolver pode, assim, ser formulado através da seguinte questão: </w:t>
      </w:r>
      <w:r>
        <w:rPr>
          <w:i/>
          <w:iCs/>
        </w:rPr>
        <w:t xml:space="preserve">em que mercados tecnológicos pode um profissional, de facto, poupar mais ao longo de um ano, depois de normalizadas as moedas, as periodicidades e as localizações e de descontados os impostos e o custo de vida?</w:t>
      </w:r>
      <w:r>
        <w:t xml:space="preserve"> A relevância do problema é prática — apoia decisões de carreira e de mobilidade internacional, bem como a análise de mercado por parte de recrutadores — e é também técnica, porque constitui um cenário realista onde se tornam indispensáveis a limpeza, a normalização e o enriquecimento de dados antes da sua análise.</w:t>
      </w:r>
    </w:p>
    <w:p>
      <w:pPr>
        <w:pStyle w:val="Cabealho2"/>
        <w:keepNext/>
        <w:spacing w:before="320" w:after="160"/>
      </w:pPr>
      <w:bookmarkStart w:id="104" w:name="_Toc_obj"/>
      <w:r>
        <w:t xml:space="preserve">Motivação e Objetivos</w:t>
      </w:r>
      <w:bookmarkEnd w:id="104"/>
    </w:p>
    <w:p>
      <w:r>
        <w:t xml:space="preserve">A motivação para o tema resulta da possibilidade de trabalhar com dados reais, obtidos através de </w:t>
      </w:r>
      <w:r>
        <w:rPr>
          <w:i/>
          <w:iCs/>
        </w:rPr>
        <w:t xml:space="preserve">Application Programming Interfaces</w:t>
      </w:r>
      <w:r>
        <w:t xml:space="preserve"> (API) </w:t>
      </w:r>
      <w:r>
        <w:rPr>
          <w:i/>
          <w:iCs/>
        </w:rPr>
        <w:t xml:space="preserve">Representational State Transfer</w:t>
      </w:r>
      <w:r>
        <w:t xml:space="preserve"> (REST), de ficheiros históricos e de páginas web, e de os integrar numa arquitetura que cobre todo o ciclo de vida dos dados. O tema permite ainda explorar os critérios de mais-valia indicados no enunciado: diversidade de formatos, expressões regulares (ER), junções e enriquecimento por </w:t>
      </w:r>
      <w:r>
        <w:rPr>
          <w:i/>
          <w:iCs/>
        </w:rPr>
        <w:t xml:space="preserve">lookup</w:t>
      </w:r>
      <w:r>
        <w:t xml:space="preserve">, acesso a APIs remotas, orquestração de </w:t>
      </w:r>
      <w:r>
        <w:rPr>
          <w:i/>
          <w:iCs/>
        </w:rPr>
        <w:t xml:space="preserve">jobs</w:t>
      </w:r>
      <w:r>
        <w:t xml:space="preserve">, operações sobre bases de dados (BD), notificações automáticas e visualização em </w:t>
      </w:r>
      <w:r>
        <w:rPr>
          <w:i/>
          <w:iCs/>
        </w:rPr>
        <w:t xml:space="preserve">dashboards</w:t>
      </w:r>
      <w:r>
        <w:t xml:space="preserve">.</w:t>
      </w:r>
    </w:p>
    <w:p>
      <w:r>
        <w:t xml:space="preserve">O </w:t>
      </w:r>
      <w:r>
        <w:rPr>
          <w:b/>
          <w:bCs/>
        </w:rPr>
        <w:t xml:space="preserve">objetivo geral</w:t>
      </w:r>
      <w:r>
        <w:t xml:space="preserve"> consiste em desenvolver um </w:t>
      </w:r>
      <w:r>
        <w:rPr>
          <w:i/>
          <w:iCs/>
        </w:rPr>
        <w:t xml:space="preserve">pipeline</w:t>
      </w:r>
      <w:r>
        <w:t xml:space="preserve"> de ETL automático e reprodutível que recolha ofertas de emprego tecnológicas de origens heterogéneas, as normalize e enriqueça com indicadores de custo de vida, e as disponibilize num painel analítico interativo e num canal de notificações. Como </w:t>
      </w:r>
      <w:r>
        <w:rPr>
          <w:b/>
          <w:bCs/>
        </w:rPr>
        <w:t xml:space="preserve">objetivos específicos</w:t>
      </w:r>
      <w:r>
        <w:t xml:space="preserve"> definiram-se os seguintes:</w:t>
      </w:r>
    </w:p>
    <w:p>
      <w:pPr>
        <w:pStyle w:val="PargrafodaLista"/>
        <w:numPr>
          <w:ilvl w:val="0"/>
          <w:numId w:val="3"/>
        </w:numPr>
        <w:spacing w:after="60"/>
        <w:contextualSpacing w:val="0"/>
      </w:pPr>
      <w:r>
        <w:t xml:space="preserve">consumir dados em três formatos distintos — </w:t>
      </w:r>
      <w:r>
        <w:rPr>
          <w:i/>
          <w:iCs/>
        </w:rPr>
        <w:t xml:space="preserve">JavaScript Object Notation</w:t>
      </w:r>
      <w:r>
        <w:t xml:space="preserve"> (JSON), </w:t>
      </w:r>
      <w:r>
        <w:rPr>
          <w:i/>
          <w:iCs/>
        </w:rPr>
        <w:t xml:space="preserve">Comma-Separated Values</w:t>
      </w:r>
      <w:r>
        <w:t xml:space="preserve"> (CSV) e </w:t>
      </w:r>
      <w:r>
        <w:rPr>
          <w:i/>
          <w:iCs/>
        </w:rPr>
        <w:t xml:space="preserve">HyperText Markup Language</w:t>
      </w:r>
      <w:r>
        <w:t xml:space="preserve"> (HTML) — a partir de APIs REST, de um ficheiro local e de uma página web;</w:t>
      </w:r>
    </w:p>
    <w:p>
      <w:pPr>
        <w:pStyle w:val="PargrafodaLista"/>
        <w:numPr>
          <w:ilvl w:val="0"/>
          <w:numId w:val="3"/>
        </w:numPr>
        <w:spacing w:after="60"/>
        <w:contextualSpacing w:val="0"/>
      </w:pPr>
      <w:r>
        <w:t xml:space="preserve">limpar e validar os dados, descartando registos sem título ou sem salário, e normalizar a localização com recurso a ER e a geocodificação por código postal;</w:t>
      </w:r>
    </w:p>
    <w:p>
      <w:pPr>
        <w:pStyle w:val="PargrafodaLista"/>
        <w:numPr>
          <w:ilvl w:val="0"/>
          <w:numId w:val="3"/>
        </w:numPr>
        <w:spacing w:after="60"/>
        <w:contextualSpacing w:val="0"/>
      </w:pPr>
      <w:r>
        <w:t xml:space="preserve">anualizar os salários, independentemente da periodicidade original, e convertê-los para euros;</w:t>
      </w:r>
    </w:p>
    <w:p>
      <w:pPr>
        <w:pStyle w:val="PargrafodaLista"/>
        <w:numPr>
          <w:ilvl w:val="0"/>
          <w:numId w:val="3"/>
        </w:numPr>
        <w:spacing w:after="60"/>
        <w:contextualSpacing w:val="0"/>
      </w:pPr>
      <w:r>
        <w:t xml:space="preserve">cruzar as ofertas com os índices de custo de vida da Numbeo e calcular a Poupança Anual Estimada;</w:t>
      </w:r>
    </w:p>
    <w:p>
      <w:pPr>
        <w:pStyle w:val="PargrafodaLista"/>
        <w:numPr>
          <w:ilvl w:val="0"/>
          <w:numId w:val="3"/>
        </w:numPr>
        <w:spacing w:after="60"/>
        <w:contextualSpacing w:val="0"/>
      </w:pPr>
      <w:r>
        <w:t xml:space="preserve">orquestrar duas vias de processamento complementares — uma em lote (</w:t>
      </w:r>
      <w:r>
        <w:rPr>
          <w:i/>
          <w:iCs/>
        </w:rPr>
        <w:t xml:space="preserve">batch</w:t>
      </w:r>
      <w:r>
        <w:t xml:space="preserve">) e outra contínua (</w:t>
      </w:r>
      <w:r>
        <w:rPr>
          <w:i/>
          <w:iCs/>
        </w:rPr>
        <w:t xml:space="preserve">streaming</w:t>
      </w:r>
      <w:r>
        <w:t xml:space="preserve">) — desacoplando esta última através de uma fila de mensagens assíncrona;</w:t>
      </w:r>
    </w:p>
    <w:p>
      <w:pPr>
        <w:pStyle w:val="PargrafodaLista"/>
        <w:numPr>
          <w:ilvl w:val="0"/>
          <w:numId w:val="3"/>
        </w:numPr>
        <w:spacing w:after="60"/>
        <w:contextualSpacing w:val="0"/>
      </w:pPr>
      <w:r>
        <w:t xml:space="preserve">persistir os resultados numa BD relacional PostgreSQL, com modelos de escrita distintos para cada via;</w:t>
      </w:r>
    </w:p>
    <w:p>
      <w:pPr>
        <w:pStyle w:val="PargrafodaLista"/>
        <w:numPr>
          <w:ilvl w:val="0"/>
          <w:numId w:val="3"/>
        </w:numPr>
        <w:spacing w:after="60"/>
        <w:contextualSpacing w:val="0"/>
      </w:pPr>
      <w:r>
        <w:t xml:space="preserve">construir um </w:t>
      </w:r>
      <w:r>
        <w:rPr>
          <w:i/>
          <w:iCs/>
        </w:rPr>
        <w:t xml:space="preserve">dashboard</w:t>
      </w:r>
      <w:r>
        <w:t xml:space="preserve"> no Grafana com filtros dinâmicos e um sistema de alertas automáticos via Telegram;</w:t>
      </w:r>
    </w:p>
    <w:p>
      <w:pPr>
        <w:pStyle w:val="PargrafodaLista"/>
        <w:numPr>
          <w:ilvl w:val="0"/>
          <w:numId w:val="3"/>
        </w:numPr>
        <w:spacing w:after="60"/>
        <w:contextualSpacing w:val="0"/>
      </w:pPr>
      <w:r>
        <w:t xml:space="preserve">garantir a reprodutibilidade do ambiente através de contentores Docker.</w:t>
      </w:r>
    </w:p>
    <w:p>
      <w:pPr>
        <w:pStyle w:val="Cabealho2"/>
        <w:keepNext/>
        <w:spacing w:before="320" w:after="160"/>
      </w:pPr>
      <w:bookmarkStart w:id="105" w:name="_Toc_met"/>
      <w:r>
        <w:t xml:space="preserve">Metodologia e Estrutura do Documento</w:t>
      </w:r>
      <w:bookmarkEnd w:id="105"/>
    </w:p>
    <w:p>
      <w:r>
        <w:t xml:space="preserve">A abordagem seguida organizou-se nas três fases do ETL previstas no enunciado e concretizou-se em duas vias de processamento complementares, descritas no Capítulo </w:t>
      </w:r>
      <w:r>
        <w:t xml:space="preserve">2</w:t>
      </w:r>
      <w:r>
        <w:t xml:space="preserve">. A </w:t>
      </w:r>
      <w:r>
        <w:fldChar w:fldCharType="begin"/>
      </w:r>
      <w:r>
        <w:instrText xml:space="preserve"> REF _RefTab_fases \h </w:instrText>
      </w:r>
      <w:r>
        <w:fldChar w:fldCharType="separate"/>
      </w:r>
      <w:r>
        <w:t xml:space="preserve">Tabela 1</w:t>
      </w:r>
      <w:r>
        <w:fldChar w:fldCharType="end"/>
      </w:r>
      <w:r>
        <w:t xml:space="preserve"> sintetiza a correspondência entre as fases, os componentes tecnológicos e os capítulos onde cada uma é documentada.</w:t>
      </w:r>
    </w:p>
    <w:p>
      <w:pPr>
        <w:spacing w:before="0" w:after="0" w:line="120" w:lineRule="exact"/>
        <w:ind w:firstLine="0"/>
      </w:pPr>
    </w:p>
    <w:tbl>
      <w:tblPr>
        <w:tblStyle w:val="Tabelacomgrelha"/>
        <w:tblW w:w="9071" w:type="dxa"/>
        <w:jc w:val="center"/>
        <w:tblLayout w:type="fixed"/>
        <w:tblCellMar>
          <w:top w:w="30" w:type="dxa"/>
          <w:left w:w="100" w:type="dxa"/>
          <w:bottom w:w="30" w:type="dxa"/>
          <w:right w:w="100" w:type="dxa"/>
        </w:tblCellMar>
        <w:tblLook w:val="04A0" w:firstRow="1" w:lastRow="0" w:firstColumn="0" w:lastColumn="0" w:noHBand="0" w:noVBand="1"/>
      </w:tblPr>
      <w:tblGrid>
        <w:gridCol w:w="1750"/>
        <w:gridCol w:w="2750"/>
        <w:gridCol w:w="3271"/>
        <w:gridCol w:w="1300"/>
      </w:tblGrid>
      <w:tr>
        <w:trPr>
          <w:cantSplit/>
          <w:tblHeader/>
        </w:trPr>
        <w:tc>
          <w:tcPr>
            <w:tcW w:w="1750" w:type="dxa"/>
            <w:shd w:val="clear" w:color="auto" w:fill="D9D9D9"/>
            <w:vAlign w:val="center"/>
          </w:tcPr>
          <w:p>
            <w:pPr>
              <w:keepNext/>
              <w:spacing w:before="50" w:after="50" w:line="240" w:lineRule="auto"/>
              <w:ind w:firstLine="0"/>
              <w:jc w:val="center"/>
            </w:pPr>
            <w:r>
              <w:rPr>
                <w:b/>
                <w:bCs/>
                <w:sz w:val="20"/>
                <w:szCs w:val="20"/>
              </w:rPr>
              <w:t xml:space="preserve">Fase</w:t>
            </w:r>
          </w:p>
        </w:tc>
        <w:tc>
          <w:tcPr>
            <w:tcW w:w="2750" w:type="dxa"/>
            <w:shd w:val="clear" w:color="auto" w:fill="D9D9D9"/>
            <w:vAlign w:val="center"/>
          </w:tcPr>
          <w:p>
            <w:pPr>
              <w:keepNext/>
              <w:spacing w:before="50" w:after="50" w:line="240" w:lineRule="auto"/>
              <w:ind w:firstLine="0"/>
              <w:jc w:val="center"/>
            </w:pPr>
            <w:r>
              <w:rPr>
                <w:b/>
                <w:bCs/>
                <w:sz w:val="20"/>
                <w:szCs w:val="20"/>
              </w:rPr>
              <w:t xml:space="preserve">Componentes</w:t>
            </w:r>
          </w:p>
        </w:tc>
        <w:tc>
          <w:tcPr>
            <w:tcW w:w="3271" w:type="dxa"/>
            <w:shd w:val="clear" w:color="auto" w:fill="D9D9D9"/>
            <w:vAlign w:val="center"/>
          </w:tcPr>
          <w:p>
            <w:pPr>
              <w:keepNext/>
              <w:spacing w:before="50" w:after="50" w:line="240" w:lineRule="auto"/>
              <w:ind w:firstLine="0"/>
              <w:jc w:val="center"/>
            </w:pPr>
            <w:r>
              <w:rPr>
                <w:b/>
                <w:bCs/>
                <w:sz w:val="20"/>
                <w:szCs w:val="20"/>
              </w:rPr>
              <w:t xml:space="preserve">Operações principais</w:t>
            </w:r>
          </w:p>
        </w:tc>
        <w:tc>
          <w:tcPr>
            <w:tcW w:w="1300" w:type="dxa"/>
            <w:shd w:val="clear" w:color="auto" w:fill="D9D9D9"/>
            <w:vAlign w:val="center"/>
          </w:tcPr>
          <w:p>
            <w:pPr>
              <w:keepNext/>
              <w:spacing w:before="50" w:after="50" w:line="240" w:lineRule="auto"/>
              <w:ind w:firstLine="0"/>
              <w:jc w:val="center"/>
            </w:pPr>
            <w:r>
              <w:rPr>
                <w:b/>
                <w:bCs/>
                <w:sz w:val="20"/>
                <w:szCs w:val="20"/>
              </w:rPr>
              <w:t xml:space="preserve">Capítulos</w:t>
            </w:r>
          </w:p>
        </w:tc>
      </w:tr>
      <w:tr>
        <w:trPr>
          <w:cantSplit/>
        </w:trPr>
        <w:tc>
          <w:tcPr>
            <w:tcW w:w="1750" w:type="dxa"/>
            <w:vAlign w:val="center"/>
          </w:tcPr>
          <w:p>
            <w:pPr>
              <w:keepNext/>
              <w:spacing w:before="50" w:after="50" w:line="240" w:lineRule="auto"/>
              <w:ind w:firstLine="0"/>
              <w:jc w:val="left"/>
            </w:pPr>
            <w:r>
              <w:rPr>
                <w:b/>
                <w:bCs/>
                <w:sz w:val="20"/>
                <w:szCs w:val="20"/>
              </w:rPr>
              <w:t xml:space="preserve">E</w:t>
            </w:r>
            <w:r>
              <w:rPr>
                <w:sz w:val="20"/>
                <w:szCs w:val="20"/>
              </w:rPr>
              <w:t xml:space="preserve"> – Recolha e preparação</w:t>
            </w:r>
          </w:p>
        </w:tc>
        <w:tc>
          <w:tcPr>
            <w:tcW w:w="2750" w:type="dxa"/>
            <w:vAlign w:val="center"/>
          </w:tcPr>
          <w:p>
            <w:pPr>
              <w:keepNext/>
              <w:spacing w:before="50" w:after="50" w:line="240" w:lineRule="auto"/>
              <w:ind w:firstLine="0"/>
              <w:jc w:val="left"/>
            </w:pPr>
            <w:r>
              <w:rPr>
                <w:sz w:val="20"/>
                <w:szCs w:val="20"/>
              </w:rPr>
              <w:t xml:space="preserve">KNIME (GET Request, CSV Reader, Webpage Retriever); Node-RED (http request)</w:t>
            </w:r>
          </w:p>
        </w:tc>
        <w:tc>
          <w:tcPr>
            <w:tcW w:w="3271" w:type="dxa"/>
            <w:vAlign w:val="center"/>
          </w:tcPr>
          <w:p>
            <w:pPr>
              <w:keepNext/>
              <w:spacing w:before="50" w:after="50" w:line="240" w:lineRule="auto"/>
              <w:ind w:firstLine="0"/>
              <w:jc w:val="left"/>
            </w:pPr>
            <w:r>
              <w:rPr>
                <w:sz w:val="20"/>
                <w:szCs w:val="20"/>
              </w:rPr>
              <w:t xml:space="preserve">Pedidos a APIs REST, leitura de ficheiro CSV, </w:t>
            </w:r>
            <w:r>
              <w:rPr>
                <w:i/>
                <w:iCs/>
                <w:sz w:val="20"/>
                <w:szCs w:val="20"/>
              </w:rPr>
              <w:t xml:space="preserve">web scraping</w:t>
            </w:r>
            <w:r>
              <w:rPr>
                <w:sz w:val="20"/>
                <w:szCs w:val="20"/>
              </w:rPr>
              <w:t xml:space="preserve"> com XPath, divisão de resultados JSON</w:t>
            </w:r>
          </w:p>
        </w:tc>
        <w:tc>
          <w:tcPr>
            <w:tcW w:w="1300" w:type="dxa"/>
            <w:vAlign w:val="center"/>
          </w:tcPr>
          <w:p>
            <w:pPr>
              <w:keepNext/>
              <w:spacing w:before="50" w:after="50" w:line="240" w:lineRule="auto"/>
              <w:ind w:firstLine="0"/>
              <w:jc w:val="center"/>
            </w:pPr>
            <w:r>
              <w:rPr>
                <w:sz w:val="20"/>
                <w:szCs w:val="20"/>
              </w:rPr>
              <w:t xml:space="preserve">2</w:t>
            </w:r>
            <w:r>
              <w:rPr>
                <w:sz w:val="20"/>
                <w:szCs w:val="20"/>
              </w:rPr>
              <w:t xml:space="preserve"> e </w:t>
            </w:r>
            <w:r>
              <w:rPr>
                <w:sz w:val="20"/>
                <w:szCs w:val="20"/>
              </w:rPr>
              <w:t xml:space="preserve">3</w:t>
            </w:r>
          </w:p>
        </w:tc>
      </w:tr>
      <w:tr>
        <w:trPr>
          <w:cantSplit/>
        </w:trPr>
        <w:tc>
          <w:tcPr>
            <w:tcW w:w="1750" w:type="dxa"/>
            <w:vAlign w:val="center"/>
          </w:tcPr>
          <w:p>
            <w:pPr>
              <w:keepNext/>
              <w:spacing w:before="50" w:after="50" w:line="240" w:lineRule="auto"/>
              <w:ind w:firstLine="0"/>
              <w:jc w:val="left"/>
            </w:pPr>
            <w:r>
              <w:rPr>
                <w:b/>
                <w:bCs/>
                <w:sz w:val="20"/>
                <w:szCs w:val="20"/>
              </w:rPr>
              <w:t xml:space="preserve">T</w:t>
            </w:r>
            <w:r>
              <w:rPr>
                <w:sz w:val="20"/>
                <w:szCs w:val="20"/>
              </w:rPr>
              <w:t xml:space="preserve"> – Processamento e transformação</w:t>
            </w:r>
          </w:p>
        </w:tc>
        <w:tc>
          <w:tcPr>
            <w:tcW w:w="2750" w:type="dxa"/>
            <w:vAlign w:val="center"/>
          </w:tcPr>
          <w:p>
            <w:pPr>
              <w:keepNext/>
              <w:spacing w:before="50" w:after="50" w:line="240" w:lineRule="auto"/>
              <w:ind w:firstLine="0"/>
              <w:jc w:val="left"/>
            </w:pPr>
            <w:r>
              <w:rPr>
                <w:sz w:val="20"/>
                <w:szCs w:val="20"/>
              </w:rPr>
              <w:t xml:space="preserve">KNIME (Rule Engine, Math Formula, Joiner); Node-RED (nós </w:t>
            </w:r>
            <w:r>
              <w:rPr>
                <w:i/>
                <w:iCs/>
                <w:sz w:val="20"/>
                <w:szCs w:val="20"/>
              </w:rPr>
              <w:t xml:space="preserve">function</w:t>
            </w:r>
            <w:r>
              <w:rPr>
                <w:sz w:val="20"/>
                <w:szCs w:val="20"/>
              </w:rPr>
              <w:t xml:space="preserve">)</w:t>
            </w:r>
          </w:p>
        </w:tc>
        <w:tc>
          <w:tcPr>
            <w:tcW w:w="3271" w:type="dxa"/>
            <w:vAlign w:val="center"/>
          </w:tcPr>
          <w:p>
            <w:pPr>
              <w:keepNext/>
              <w:spacing w:before="50" w:after="50" w:line="240" w:lineRule="auto"/>
              <w:ind w:firstLine="0"/>
              <w:jc w:val="left"/>
            </w:pPr>
            <w:r>
              <w:rPr>
                <w:sz w:val="20"/>
                <w:szCs w:val="20"/>
              </w:rPr>
              <w:t xml:space="preserve">Limpeza, ER, anualização, conversão cambial, </w:t>
            </w:r>
            <w:r>
              <w:rPr>
                <w:i/>
                <w:iCs/>
                <w:sz w:val="20"/>
                <w:szCs w:val="20"/>
              </w:rPr>
              <w:t xml:space="preserve">lookup</w:t>
            </w:r>
            <w:r>
              <w:rPr>
                <w:sz w:val="20"/>
                <w:szCs w:val="20"/>
              </w:rPr>
              <w:t xml:space="preserve">, cálculo da poupança e mapeamento de </w:t>
            </w:r>
            <w:r>
              <w:rPr>
                <w:i/>
                <w:iCs/>
                <w:sz w:val="20"/>
                <w:szCs w:val="20"/>
              </w:rPr>
              <w:t xml:space="preserve">schema</w:t>
            </w:r>
          </w:p>
        </w:tc>
        <w:tc>
          <w:tcPr>
            <w:tcW w:w="1300" w:type="dxa"/>
            <w:vAlign w:val="center"/>
          </w:tcPr>
          <w:p>
            <w:pPr>
              <w:keepNext/>
              <w:spacing w:before="50" w:after="50" w:line="240" w:lineRule="auto"/>
              <w:ind w:firstLine="0"/>
              <w:jc w:val="center"/>
            </w:pPr>
            <w:r>
              <w:rPr>
                <w:sz w:val="20"/>
                <w:szCs w:val="20"/>
              </w:rPr>
              <w:t xml:space="preserve">3</w:t>
            </w:r>
          </w:p>
        </w:tc>
      </w:tr>
      <w:tr>
        <w:trPr>
          <w:cantSplit/>
        </w:trPr>
        <w:tc>
          <w:tcPr>
            <w:tcW w:w="1750" w:type="dxa"/>
            <w:vAlign w:val="center"/>
          </w:tcPr>
          <w:p>
            <w:pPr>
              <w:keepNext/>
              <w:spacing w:before="50" w:after="50" w:line="240" w:lineRule="auto"/>
              <w:ind w:firstLine="0"/>
              <w:jc w:val="left"/>
            </w:pPr>
            <w:r>
              <w:rPr>
                <w:b/>
                <w:bCs/>
                <w:sz w:val="20"/>
                <w:szCs w:val="20"/>
              </w:rPr>
              <w:t xml:space="preserve">L</w:t>
            </w:r>
            <w:r>
              <w:rPr>
                <w:sz w:val="20"/>
                <w:szCs w:val="20"/>
              </w:rPr>
              <w:t xml:space="preserve"> – Persistência e exportação</w:t>
            </w:r>
          </w:p>
        </w:tc>
        <w:tc>
          <w:tcPr>
            <w:tcW w:w="2750" w:type="dxa"/>
            <w:vAlign w:val="center"/>
          </w:tcPr>
          <w:p>
            <w:pPr>
              <w:keepNext/>
              <w:spacing w:before="50" w:after="50" w:line="240" w:lineRule="auto"/>
              <w:ind w:firstLine="0"/>
              <w:jc w:val="left"/>
            </w:pPr>
            <w:r>
              <w:rPr>
                <w:sz w:val="20"/>
                <w:szCs w:val="20"/>
              </w:rPr>
              <w:t xml:space="preserve">KNIME (DB Writer); RabbitMQ; PostgreSQL; Grafana; Telegram</w:t>
            </w:r>
          </w:p>
        </w:tc>
        <w:tc>
          <w:tcPr>
            <w:tcW w:w="3271" w:type="dxa"/>
            <w:vAlign w:val="center"/>
          </w:tcPr>
          <w:p>
            <w:pPr>
              <w:keepNext/>
              <w:spacing w:before="50" w:after="50" w:line="240" w:lineRule="auto"/>
              <w:ind w:firstLine="0"/>
              <w:jc w:val="left"/>
            </w:pPr>
            <w:r>
              <w:rPr>
                <w:sz w:val="20"/>
                <w:szCs w:val="20"/>
              </w:rPr>
              <w:t xml:space="preserve">Fila assíncrona, escrita em lote, </w:t>
            </w:r>
            <w:r>
              <w:rPr>
                <w:i/>
                <w:iCs/>
                <w:sz w:val="20"/>
                <w:szCs w:val="20"/>
              </w:rPr>
              <w:t xml:space="preserve">upsert</w:t>
            </w:r>
            <w:r>
              <w:rPr>
                <w:sz w:val="20"/>
                <w:szCs w:val="20"/>
              </w:rPr>
              <w:t xml:space="preserve">, agregações SQL, visualização e notificações</w:t>
            </w:r>
          </w:p>
        </w:tc>
        <w:tc>
          <w:tcPr>
            <w:tcW w:w="1300" w:type="dxa"/>
            <w:vAlign w:val="center"/>
          </w:tcPr>
          <w:p>
            <w:pPr>
              <w:keepNext/>
              <w:spacing w:before="50" w:after="50" w:line="240" w:lineRule="auto"/>
              <w:ind w:firstLine="0"/>
              <w:jc w:val="center"/>
            </w:pPr>
            <w:r>
              <w:rPr>
                <w:sz w:val="20"/>
                <w:szCs w:val="20"/>
              </w:rPr>
              <w:t xml:space="preserve">4</w:t>
            </w:r>
            <w:r>
              <w:rPr>
                <w:sz w:val="20"/>
                <w:szCs w:val="20"/>
              </w:rPr>
              <w:t xml:space="preserve"> e </w:t>
            </w:r>
            <w:r>
              <w:rPr>
                <w:sz w:val="20"/>
                <w:szCs w:val="20"/>
              </w:rPr>
              <w:t xml:space="preserve">5</w:t>
            </w:r>
          </w:p>
        </w:tc>
      </w:tr>
    </w:tbl>
    <w:p>
      <w:pPr>
        <w:pStyle w:val="Legenda"/>
        <w:spacing w:before="80" w:after="240"/>
      </w:pPr>
      <w:bookmarkStart w:id="106" w:name="_TocCapTfases"/>
      <w:bookmarkStart w:id="107" w:name="_RefTab_fases"/>
      <w:r>
        <w:t xml:space="preserve">Tabela </w:t>
      </w:r>
      <w:r>
        <w:fldChar w:fldCharType="begin"/>
      </w:r>
      <w:r>
        <w:instrText xml:space="preserve"> SEQ Tabela \* ARABIC </w:instrText>
      </w:r>
      <w:r>
        <w:fldChar w:fldCharType="separate"/>
      </w:r>
      <w:r>
        <w:rPr>
          <w:noProof/>
        </w:rPr>
        <w:t>1</w:t>
      </w:r>
      <w:r>
        <w:fldChar w:fldCharType="end"/>
      </w:r>
      <w:bookmarkEnd w:id="107"/>
      <w:r>
        <w:t xml:space="preserve">: Correspondência entre as fases do ETL, os componentes e os capítulos do documento.</w:t>
      </w:r>
      <w:bookmarkEnd w:id="106"/>
    </w:p>
    <w:p>
      <w:r>
        <w:t xml:space="preserve">O documento está organizado em oito capítulos, que acompanham os pontos exigidos para o relatório no enunciado, conforme se indica na </w:t>
      </w:r>
      <w:r>
        <w:fldChar w:fldCharType="begin"/>
      </w:r>
      <w:r>
        <w:instrText xml:space="preserve"> REF _RefTab_enunciado \h </w:instrText>
      </w:r>
      <w:r>
        <w:fldChar w:fldCharType="separate"/>
      </w:r>
      <w:r>
        <w:t xml:space="preserve">Tabela 2</w:t>
      </w:r>
      <w:r>
        <w:fldChar w:fldCharType="end"/>
      </w:r>
      <w:r>
        <w:t xml:space="preserve">.</w:t>
      </w:r>
    </w:p>
    <w:p>
      <w:pPr>
        <w:spacing w:before="0" w:after="0" w:line="120" w:lineRule="exact"/>
        <w:ind w:firstLine="0"/>
      </w:pPr>
    </w:p>
    <w:tbl>
      <w:tblPr>
        <w:tblStyle w:val="Tabelacomgrelha"/>
        <w:tblW w:w="9071" w:type="dxa"/>
        <w:jc w:val="center"/>
        <w:tblLayout w:type="fixed"/>
        <w:tblCellMar>
          <w:top w:w="30" w:type="dxa"/>
          <w:left w:w="100" w:type="dxa"/>
          <w:bottom w:w="30" w:type="dxa"/>
          <w:right w:w="100" w:type="dxa"/>
        </w:tblCellMar>
        <w:tblLook w:val="04A0" w:firstRow="1" w:lastRow="0" w:firstColumn="0" w:lastColumn="0" w:noHBand="0" w:noVBand="1"/>
      </w:tblPr>
      <w:tblGrid>
        <w:gridCol w:w="600"/>
        <w:gridCol w:w="5071"/>
        <w:gridCol w:w="3400"/>
      </w:tblGrid>
      <w:tr>
        <w:trPr>
          <w:cantSplit/>
          <w:tblHeader/>
        </w:trPr>
        <w:tc>
          <w:tcPr>
            <w:tcW w:w="600" w:type="dxa"/>
            <w:shd w:val="clear" w:color="auto" w:fill="D9D9D9"/>
            <w:vAlign w:val="center"/>
          </w:tcPr>
          <w:p>
            <w:pPr>
              <w:keepNext/>
              <w:spacing w:before="50" w:after="50" w:line="240" w:lineRule="auto"/>
              <w:ind w:firstLine="0"/>
              <w:jc w:val="center"/>
            </w:pPr>
            <w:r>
              <w:rPr>
                <w:b/>
                <w:bCs/>
                <w:sz w:val="20"/>
                <w:szCs w:val="20"/>
              </w:rPr>
              <w:t xml:space="preserve">N.º</w:t>
            </w:r>
          </w:p>
        </w:tc>
        <w:tc>
          <w:tcPr>
            <w:tcW w:w="5071" w:type="dxa"/>
            <w:shd w:val="clear" w:color="auto" w:fill="D9D9D9"/>
            <w:vAlign w:val="center"/>
          </w:tcPr>
          <w:p>
            <w:pPr>
              <w:keepNext/>
              <w:spacing w:before="50" w:after="50" w:line="240" w:lineRule="auto"/>
              <w:ind w:firstLine="0"/>
              <w:jc w:val="center"/>
            </w:pPr>
            <w:r>
              <w:rPr>
                <w:b/>
                <w:bCs/>
                <w:sz w:val="20"/>
                <w:szCs w:val="20"/>
              </w:rPr>
              <w:t xml:space="preserve">Ponto do enunciado</w:t>
            </w:r>
          </w:p>
        </w:tc>
        <w:tc>
          <w:tcPr>
            <w:tcW w:w="3400" w:type="dxa"/>
            <w:shd w:val="clear" w:color="auto" w:fill="D9D9D9"/>
            <w:vAlign w:val="center"/>
          </w:tcPr>
          <w:p>
            <w:pPr>
              <w:keepNext/>
              <w:spacing w:before="50" w:after="50" w:line="240" w:lineRule="auto"/>
              <w:ind w:firstLine="0"/>
              <w:jc w:val="center"/>
            </w:pPr>
            <w:r>
              <w:rPr>
                <w:b/>
                <w:bCs/>
                <w:sz w:val="20"/>
                <w:szCs w:val="20"/>
              </w:rPr>
              <w:t xml:space="preserve">Localização</w:t>
            </w:r>
          </w:p>
        </w:tc>
      </w:tr>
      <w:tr>
        <w:trPr>
          <w:cantSplit/>
        </w:trPr>
        <w:tc>
          <w:tcPr>
            <w:tcW w:w="600" w:type="dxa"/>
            <w:vAlign w:val="center"/>
          </w:tcPr>
          <w:p>
            <w:pPr>
              <w:keepNext/>
              <w:spacing w:before="50" w:after="50" w:line="240" w:lineRule="auto"/>
              <w:ind w:firstLine="0"/>
              <w:jc w:val="center"/>
            </w:pPr>
            <w:r>
              <w:rPr>
                <w:sz w:val="20"/>
                <w:szCs w:val="20"/>
              </w:rPr>
              <w:t xml:space="preserve">1</w:t>
            </w:r>
          </w:p>
        </w:tc>
        <w:tc>
          <w:tcPr>
            <w:tcW w:w="5071" w:type="dxa"/>
            <w:vAlign w:val="center"/>
          </w:tcPr>
          <w:p>
            <w:pPr>
              <w:keepNext/>
              <w:spacing w:before="50" w:after="50" w:line="240" w:lineRule="auto"/>
              <w:ind w:firstLine="0"/>
              <w:jc w:val="left"/>
            </w:pPr>
            <w:r>
              <w:rPr>
                <w:sz w:val="20"/>
                <w:szCs w:val="20"/>
              </w:rPr>
              <w:t xml:space="preserve">Enquadramento (equipa, UC, curso)</w:t>
            </w:r>
          </w:p>
        </w:tc>
        <w:tc>
          <w:tcPr>
            <w:tcW w:w="3400" w:type="dxa"/>
            <w:vAlign w:val="center"/>
          </w:tcPr>
          <w:p>
            <w:pPr>
              <w:keepNext/>
              <w:spacing w:before="50" w:after="50" w:line="240" w:lineRule="auto"/>
              <w:ind w:firstLine="0"/>
              <w:jc w:val="left"/>
            </w:pPr>
            <w:r>
              <w:rPr>
                <w:sz w:val="20"/>
                <w:szCs w:val="20"/>
              </w:rPr>
              <w:t xml:space="preserve">Secção </w:t>
            </w:r>
            <w:r>
              <w:rPr>
                <w:sz w:val="20"/>
                <w:szCs w:val="20"/>
              </w:rPr>
              <w:t xml:space="preserve">1.1</w:t>
            </w:r>
          </w:p>
        </w:tc>
      </w:tr>
      <w:tr>
        <w:trPr>
          <w:cantSplit/>
        </w:trPr>
        <w:tc>
          <w:tcPr>
            <w:tcW w:w="600" w:type="dxa"/>
            <w:vAlign w:val="center"/>
          </w:tcPr>
          <w:p>
            <w:pPr>
              <w:keepNext/>
              <w:spacing w:before="50" w:after="50" w:line="240" w:lineRule="auto"/>
              <w:ind w:firstLine="0"/>
              <w:jc w:val="center"/>
            </w:pPr>
            <w:r>
              <w:rPr>
                <w:sz w:val="20"/>
                <w:szCs w:val="20"/>
              </w:rPr>
              <w:t xml:space="preserve">2</w:t>
            </w:r>
          </w:p>
        </w:tc>
        <w:tc>
          <w:tcPr>
            <w:tcW w:w="5071" w:type="dxa"/>
            <w:vAlign w:val="center"/>
          </w:tcPr>
          <w:p>
            <w:pPr>
              <w:keepNext/>
              <w:spacing w:before="50" w:after="50" w:line="240" w:lineRule="auto"/>
              <w:ind w:firstLine="0"/>
              <w:jc w:val="left"/>
            </w:pPr>
            <w:r>
              <w:rPr>
                <w:sz w:val="20"/>
                <w:szCs w:val="20"/>
              </w:rPr>
              <w:t xml:space="preserve">Problema</w:t>
            </w:r>
          </w:p>
        </w:tc>
        <w:tc>
          <w:tcPr>
            <w:tcW w:w="3400" w:type="dxa"/>
            <w:vAlign w:val="center"/>
          </w:tcPr>
          <w:p>
            <w:pPr>
              <w:keepNext/>
              <w:spacing w:before="50" w:after="50" w:line="240" w:lineRule="auto"/>
              <w:ind w:firstLine="0"/>
              <w:jc w:val="left"/>
            </w:pPr>
            <w:r>
              <w:rPr>
                <w:sz w:val="20"/>
                <w:szCs w:val="20"/>
              </w:rPr>
              <w:t xml:space="preserve">Secções </w:t>
            </w:r>
            <w:r>
              <w:rPr>
                <w:sz w:val="20"/>
                <w:szCs w:val="20"/>
              </w:rPr>
              <w:t xml:space="preserve">1.2</w:t>
            </w:r>
            <w:r>
              <w:rPr>
                <w:sz w:val="20"/>
                <w:szCs w:val="20"/>
              </w:rPr>
              <w:t xml:space="preserve"> e </w:t>
            </w:r>
            <w:r>
              <w:rPr>
                <w:sz w:val="20"/>
                <w:szCs w:val="20"/>
              </w:rPr>
              <w:t xml:space="preserve">1.3</w:t>
            </w:r>
          </w:p>
        </w:tc>
      </w:tr>
      <w:tr>
        <w:trPr>
          <w:cantSplit/>
        </w:trPr>
        <w:tc>
          <w:tcPr>
            <w:tcW w:w="600" w:type="dxa"/>
            <w:vAlign w:val="center"/>
          </w:tcPr>
          <w:p>
            <w:pPr>
              <w:keepNext/>
              <w:spacing w:before="50" w:after="50" w:line="240" w:lineRule="auto"/>
              <w:ind w:firstLine="0"/>
              <w:jc w:val="center"/>
            </w:pPr>
            <w:r>
              <w:rPr>
                <w:sz w:val="20"/>
                <w:szCs w:val="20"/>
              </w:rPr>
              <w:t xml:space="preserve">3</w:t>
            </w:r>
          </w:p>
        </w:tc>
        <w:tc>
          <w:tcPr>
            <w:tcW w:w="5071" w:type="dxa"/>
            <w:vAlign w:val="center"/>
          </w:tcPr>
          <w:p>
            <w:pPr>
              <w:keepNext/>
              <w:spacing w:before="50" w:after="50" w:line="240" w:lineRule="auto"/>
              <w:ind w:firstLine="0"/>
              <w:jc w:val="left"/>
            </w:pPr>
            <w:r>
              <w:rPr>
                <w:sz w:val="20"/>
                <w:szCs w:val="20"/>
              </w:rPr>
              <w:t xml:space="preserve">Estratégia utilizada</w:t>
            </w:r>
          </w:p>
        </w:tc>
        <w:tc>
          <w:tcPr>
            <w:tcW w:w="3400" w:type="dxa"/>
            <w:vAlign w:val="center"/>
          </w:tcPr>
          <w:p>
            <w:pPr>
              <w:keepNext/>
              <w:spacing w:before="50" w:after="50" w:line="240" w:lineRule="auto"/>
              <w:ind w:firstLine="0"/>
              <w:jc w:val="left"/>
            </w:pPr>
            <w:r>
              <w:rPr>
                <w:sz w:val="20"/>
                <w:szCs w:val="20"/>
              </w:rPr>
              <w:t xml:space="preserve">Capítulo </w:t>
            </w:r>
            <w:r>
              <w:rPr>
                <w:sz w:val="20"/>
                <w:szCs w:val="20"/>
              </w:rPr>
              <w:t xml:space="preserve">2</w:t>
            </w:r>
          </w:p>
        </w:tc>
      </w:tr>
      <w:tr>
        <w:trPr>
          <w:cantSplit/>
        </w:trPr>
        <w:tc>
          <w:tcPr>
            <w:tcW w:w="600" w:type="dxa"/>
            <w:vAlign w:val="center"/>
          </w:tcPr>
          <w:p>
            <w:pPr>
              <w:keepNext/>
              <w:spacing w:before="50" w:after="50" w:line="240" w:lineRule="auto"/>
              <w:ind w:firstLine="0"/>
              <w:jc w:val="center"/>
            </w:pPr>
            <w:r>
              <w:rPr>
                <w:sz w:val="20"/>
                <w:szCs w:val="20"/>
              </w:rPr>
              <w:t xml:space="preserve">4</w:t>
            </w:r>
          </w:p>
        </w:tc>
        <w:tc>
          <w:tcPr>
            <w:tcW w:w="5071" w:type="dxa"/>
            <w:vAlign w:val="center"/>
          </w:tcPr>
          <w:p>
            <w:pPr>
              <w:keepNext/>
              <w:spacing w:before="50" w:after="50" w:line="240" w:lineRule="auto"/>
              <w:ind w:firstLine="0"/>
              <w:jc w:val="left"/>
            </w:pPr>
            <w:r>
              <w:rPr>
                <w:sz w:val="20"/>
                <w:szCs w:val="20"/>
              </w:rPr>
              <w:t xml:space="preserve">Transformações (diagramas e explicação)</w:t>
            </w:r>
          </w:p>
        </w:tc>
        <w:tc>
          <w:tcPr>
            <w:tcW w:w="3400" w:type="dxa"/>
            <w:vAlign w:val="center"/>
          </w:tcPr>
          <w:p>
            <w:pPr>
              <w:keepNext/>
              <w:spacing w:before="50" w:after="50" w:line="240" w:lineRule="auto"/>
              <w:ind w:firstLine="0"/>
              <w:jc w:val="left"/>
            </w:pPr>
            <w:r>
              <w:rPr>
                <w:sz w:val="20"/>
                <w:szCs w:val="20"/>
              </w:rPr>
              <w:t xml:space="preserve">Capítulo </w:t>
            </w:r>
            <w:r>
              <w:rPr>
                <w:sz w:val="20"/>
                <w:szCs w:val="20"/>
              </w:rPr>
              <w:t xml:space="preserve">3</w:t>
            </w:r>
          </w:p>
        </w:tc>
      </w:tr>
      <w:tr>
        <w:trPr>
          <w:cantSplit/>
        </w:trPr>
        <w:tc>
          <w:tcPr>
            <w:tcW w:w="600" w:type="dxa"/>
            <w:vAlign w:val="center"/>
          </w:tcPr>
          <w:p>
            <w:pPr>
              <w:keepNext/>
              <w:spacing w:before="50" w:after="50" w:line="240" w:lineRule="auto"/>
              <w:ind w:firstLine="0"/>
              <w:jc w:val="center"/>
            </w:pPr>
            <w:r>
              <w:rPr>
                <w:sz w:val="20"/>
                <w:szCs w:val="20"/>
              </w:rPr>
              <w:t xml:space="preserve">5</w:t>
            </w:r>
          </w:p>
        </w:tc>
        <w:tc>
          <w:tcPr>
            <w:tcW w:w="5071" w:type="dxa"/>
            <w:vAlign w:val="center"/>
          </w:tcPr>
          <w:p>
            <w:pPr>
              <w:keepNext/>
              <w:spacing w:before="50" w:after="50" w:line="240" w:lineRule="auto"/>
              <w:ind w:firstLine="0"/>
              <w:jc w:val="left"/>
            </w:pPr>
            <w:r>
              <w:rPr>
                <w:i/>
                <w:iCs/>
                <w:sz w:val="20"/>
                <w:szCs w:val="20"/>
              </w:rPr>
              <w:t xml:space="preserve">Jobs</w:t>
            </w:r>
            <w:r>
              <w:rPr>
                <w:sz w:val="20"/>
                <w:szCs w:val="20"/>
              </w:rPr>
              <w:t xml:space="preserve"> (diagramas e explicação)</w:t>
            </w:r>
          </w:p>
        </w:tc>
        <w:tc>
          <w:tcPr>
            <w:tcW w:w="3400" w:type="dxa"/>
            <w:vAlign w:val="center"/>
          </w:tcPr>
          <w:p>
            <w:pPr>
              <w:keepNext/>
              <w:spacing w:before="50" w:after="50" w:line="240" w:lineRule="auto"/>
              <w:ind w:firstLine="0"/>
              <w:jc w:val="left"/>
            </w:pPr>
            <w:r>
              <w:rPr>
                <w:sz w:val="20"/>
                <w:szCs w:val="20"/>
              </w:rPr>
              <w:t xml:space="preserve">Capítulos </w:t>
            </w:r>
            <w:r>
              <w:rPr>
                <w:sz w:val="20"/>
                <w:szCs w:val="20"/>
              </w:rPr>
              <w:t xml:space="preserve">4</w:t>
            </w:r>
            <w:r>
              <w:rPr>
                <w:sz w:val="20"/>
                <w:szCs w:val="20"/>
              </w:rPr>
              <w:t xml:space="preserve"> e </w:t>
            </w:r>
            <w:r>
              <w:rPr>
                <w:sz w:val="20"/>
                <w:szCs w:val="20"/>
              </w:rPr>
              <w:t xml:space="preserve">5</w:t>
            </w:r>
          </w:p>
        </w:tc>
      </w:tr>
      <w:tr>
        <w:trPr>
          <w:cantSplit/>
        </w:trPr>
        <w:tc>
          <w:tcPr>
            <w:tcW w:w="600" w:type="dxa"/>
            <w:vAlign w:val="center"/>
          </w:tcPr>
          <w:p>
            <w:pPr>
              <w:keepNext/>
              <w:spacing w:before="50" w:after="50" w:line="240" w:lineRule="auto"/>
              <w:ind w:firstLine="0"/>
              <w:jc w:val="center"/>
            </w:pPr>
            <w:r>
              <w:rPr>
                <w:sz w:val="20"/>
                <w:szCs w:val="20"/>
              </w:rPr>
              <w:t xml:space="preserve">6</w:t>
            </w:r>
          </w:p>
        </w:tc>
        <w:tc>
          <w:tcPr>
            <w:tcW w:w="5071" w:type="dxa"/>
            <w:vAlign w:val="center"/>
          </w:tcPr>
          <w:p>
            <w:pPr>
              <w:keepNext/>
              <w:spacing w:before="50" w:after="50" w:line="240" w:lineRule="auto"/>
              <w:ind w:firstLine="0"/>
              <w:jc w:val="left"/>
            </w:pPr>
            <w:r>
              <w:rPr>
                <w:sz w:val="20"/>
                <w:szCs w:val="20"/>
              </w:rPr>
              <w:t xml:space="preserve">Vídeo com demonstração (</w:t>
            </w:r>
            <w:r>
              <w:rPr>
                <w:i/>
                <w:iCs/>
                <w:sz w:val="20"/>
                <w:szCs w:val="20"/>
              </w:rPr>
              <w:t xml:space="preserve">QR Code</w:t>
            </w:r>
            <w:r>
              <w:rPr>
                <w:sz w:val="20"/>
                <w:szCs w:val="20"/>
              </w:rPr>
              <w:t xml:space="preserve">)</w:t>
            </w:r>
          </w:p>
        </w:tc>
        <w:tc>
          <w:tcPr>
            <w:tcW w:w="3400" w:type="dxa"/>
            <w:vAlign w:val="center"/>
          </w:tcPr>
          <w:p>
            <w:pPr>
              <w:keepNext/>
              <w:spacing w:before="50" w:after="50" w:line="240" w:lineRule="auto"/>
              <w:ind w:firstLine="0"/>
              <w:jc w:val="left"/>
            </w:pPr>
            <w:r>
              <w:rPr>
                <w:sz w:val="20"/>
                <w:szCs w:val="20"/>
              </w:rPr>
              <w:t xml:space="preserve">Capítulo </w:t>
            </w:r>
            <w:r>
              <w:rPr>
                <w:sz w:val="20"/>
                <w:szCs w:val="20"/>
              </w:rPr>
              <w:t xml:space="preserve">6</w:t>
            </w:r>
          </w:p>
        </w:tc>
      </w:tr>
      <w:tr>
        <w:trPr>
          <w:cantSplit/>
        </w:trPr>
        <w:tc>
          <w:tcPr>
            <w:tcW w:w="600" w:type="dxa"/>
            <w:vAlign w:val="center"/>
          </w:tcPr>
          <w:p>
            <w:pPr>
              <w:keepNext/>
              <w:spacing w:before="50" w:after="50" w:line="240" w:lineRule="auto"/>
              <w:ind w:firstLine="0"/>
              <w:jc w:val="center"/>
            </w:pPr>
            <w:r>
              <w:rPr>
                <w:sz w:val="20"/>
                <w:szCs w:val="20"/>
              </w:rPr>
              <w:t xml:space="preserve">7</w:t>
            </w:r>
          </w:p>
        </w:tc>
        <w:tc>
          <w:tcPr>
            <w:tcW w:w="5071" w:type="dxa"/>
            <w:vAlign w:val="center"/>
          </w:tcPr>
          <w:p>
            <w:pPr>
              <w:keepNext/>
              <w:spacing w:before="50" w:after="50" w:line="240" w:lineRule="auto"/>
              <w:ind w:firstLine="0"/>
              <w:jc w:val="left"/>
            </w:pPr>
            <w:r>
              <w:rPr>
                <w:sz w:val="20"/>
                <w:szCs w:val="20"/>
              </w:rPr>
              <w:t xml:space="preserve">Conclusão e trabalhos futuros</w:t>
            </w:r>
          </w:p>
        </w:tc>
        <w:tc>
          <w:tcPr>
            <w:tcW w:w="3400" w:type="dxa"/>
            <w:vAlign w:val="center"/>
          </w:tcPr>
          <w:p>
            <w:pPr>
              <w:keepNext/>
              <w:spacing w:before="50" w:after="50" w:line="240" w:lineRule="auto"/>
              <w:ind w:firstLine="0"/>
              <w:jc w:val="left"/>
            </w:pPr>
            <w:r>
              <w:rPr>
                <w:sz w:val="20"/>
                <w:szCs w:val="20"/>
              </w:rPr>
              <w:t xml:space="preserve">Capítulo </w:t>
            </w:r>
            <w:r>
              <w:rPr>
                <w:sz w:val="20"/>
                <w:szCs w:val="20"/>
              </w:rPr>
              <w:t xml:space="preserve">7</w:t>
            </w:r>
          </w:p>
        </w:tc>
      </w:tr>
      <w:tr>
        <w:trPr>
          <w:cantSplit/>
        </w:trPr>
        <w:tc>
          <w:tcPr>
            <w:tcW w:w="600" w:type="dxa"/>
            <w:vAlign w:val="center"/>
          </w:tcPr>
          <w:p>
            <w:pPr>
              <w:keepNext/>
              <w:spacing w:before="50" w:after="50" w:line="240" w:lineRule="auto"/>
              <w:ind w:firstLine="0"/>
              <w:jc w:val="center"/>
            </w:pPr>
            <w:r>
              <w:rPr>
                <w:sz w:val="20"/>
                <w:szCs w:val="20"/>
              </w:rPr>
              <w:t xml:space="preserve">8</w:t>
            </w:r>
          </w:p>
        </w:tc>
        <w:tc>
          <w:tcPr>
            <w:tcW w:w="5071" w:type="dxa"/>
            <w:vAlign w:val="center"/>
          </w:tcPr>
          <w:p>
            <w:pPr>
              <w:keepNext/>
              <w:spacing w:before="50" w:after="50" w:line="240" w:lineRule="auto"/>
              <w:ind w:firstLine="0"/>
              <w:jc w:val="left"/>
            </w:pPr>
            <w:r>
              <w:rPr>
                <w:sz w:val="20"/>
                <w:szCs w:val="20"/>
              </w:rPr>
              <w:t xml:space="preserve">Referências bibliográficas e web</w:t>
            </w:r>
          </w:p>
        </w:tc>
        <w:tc>
          <w:tcPr>
            <w:tcW w:w="3400" w:type="dxa"/>
            <w:vAlign w:val="center"/>
          </w:tcPr>
          <w:p>
            <w:pPr>
              <w:keepNext/>
              <w:spacing w:before="50" w:after="50" w:line="240" w:lineRule="auto"/>
              <w:ind w:firstLine="0"/>
              <w:jc w:val="left"/>
            </w:pPr>
            <w:r>
              <w:rPr>
                <w:sz w:val="20"/>
                <w:szCs w:val="20"/>
              </w:rPr>
              <w:t xml:space="preserve">Capítulo </w:t>
            </w:r>
            <w:r>
              <w:rPr>
                <w:sz w:val="20"/>
                <w:szCs w:val="20"/>
              </w:rPr>
              <w:t xml:space="preserve">8</w:t>
            </w:r>
          </w:p>
        </w:tc>
      </w:tr>
    </w:tbl>
    <w:p>
      <w:pPr>
        <w:pStyle w:val="Legenda"/>
        <w:spacing w:before="80" w:after="240"/>
      </w:pPr>
      <w:bookmarkStart w:id="108" w:name="_TocCapTenunciado"/>
      <w:bookmarkStart w:id="109" w:name="_RefTab_enunciado"/>
      <w:r>
        <w:t xml:space="preserve">Tabela </w:t>
      </w:r>
      <w:r>
        <w:fldChar w:fldCharType="begin"/>
      </w:r>
      <w:r>
        <w:instrText xml:space="preserve"> SEQ Tabela \* ARABIC </w:instrText>
      </w:r>
      <w:r>
        <w:fldChar w:fldCharType="separate"/>
      </w:r>
      <w:r>
        <w:rPr>
          <w:noProof/>
        </w:rPr>
        <w:t>2</w:t>
      </w:r>
      <w:r>
        <w:fldChar w:fldCharType="end"/>
      </w:r>
      <w:bookmarkEnd w:id="109"/>
      <w:r>
        <w:t xml:space="preserve">: Correspondência entre os pontos exigidos no enunciado e a sua localização neste documento.</w:t>
      </w:r>
      <w:bookmarkEnd w:id="108"/>
    </w:p>
    <w:p>
      <w:pPr>
        <w:pStyle w:val="Cabealho1"/>
        <w:keepNext/>
        <w:pageBreakBefore/>
        <w:spacing w:before="480" w:after="240"/>
      </w:pPr>
      <w:bookmarkStart w:id="110" w:name="_Toc_cap2"/>
      <w:r>
        <w:t xml:space="preserve">Estratégia Utilizada e Arquitetura</w:t>
      </w:r>
      <w:bookmarkEnd w:id="110"/>
    </w:p>
    <w:p>
      <w:r>
        <w:t xml:space="preserve">Este capítulo descreve a estratégia adotada para resolver o problema — isto é, que operadores e processos estão envolvidos — e a arquitetura que os suporta. Apresenta-se a arquitetura híbrida em duas vias, o ambiente contentorizado, a justificação das escolhas tecnológicas e a forma como o projeto cobre as três fases obrigatórias do enunciado.</w:t>
      </w:r>
    </w:p>
    <w:p>
      <w:pPr>
        <w:pStyle w:val="Cabealho2"/>
        <w:keepNext/>
        <w:spacing w:before="320" w:after="160"/>
      </w:pPr>
      <w:bookmarkStart w:id="111" w:name="_Toc_hibrida"/>
      <w:r>
        <w:t xml:space="preserve">Arquitetura Híbrida: Processamento em Lote e Contínuo</w:t>
      </w:r>
      <w:bookmarkEnd w:id="111"/>
    </w:p>
    <w:p>
      <w:r>
        <w:t xml:space="preserve">A solução adota uma arquitetura complementar, composta por duas vias de processamento que convergem para a mesma BD analítica. A </w:t>
      </w:r>
      <w:r>
        <w:rPr>
          <w:b/>
          <w:bCs/>
        </w:rPr>
        <w:t xml:space="preserve">via em lote</w:t>
      </w:r>
      <w:r>
        <w:t xml:space="preserve"> (</w:t>
      </w:r>
      <w:r>
        <w:rPr>
          <w:i/>
          <w:iCs/>
        </w:rPr>
        <w:t xml:space="preserve">batch</w:t>
      </w:r>
      <w:r>
        <w:t xml:space="preserve"> ETL), implementada no KNIME Analytics Platform, é responsável pelo processamento analítico pesado: consome três formatos de dados distintos, cruza as ofertas com indicadores macroeconómicos e calcula a poupança líquida por país. A </w:t>
      </w:r>
      <w:r>
        <w:rPr>
          <w:b/>
          <w:bCs/>
        </w:rPr>
        <w:t xml:space="preserve">via contínua</w:t>
      </w:r>
      <w:r>
        <w:t xml:space="preserve"> (</w:t>
      </w:r>
      <w:r>
        <w:rPr>
          <w:i/>
          <w:iCs/>
        </w:rPr>
        <w:t xml:space="preserve">streaming</w:t>
      </w:r>
      <w:r>
        <w:t xml:space="preserve"> ETL), implementada no Node-RED com RabbitMQ, funciona como sonda de baixa latência: recolhe ofertas de hora a hora, aplica um tratamento leve e despacha alertas imediatos. A </w:t>
      </w:r>
      <w:r>
        <w:fldChar w:fldCharType="begin"/>
      </w:r>
      <w:r>
        <w:instrText xml:space="preserve"> REF _RefFig_arch \h </w:instrText>
      </w:r>
      <w:r>
        <w:fldChar w:fldCharType="separate"/>
      </w:r>
      <w:r>
        <w:t xml:space="preserve">Figura 1</w:t>
      </w:r>
      <w:r>
        <w:fldChar w:fldCharType="end"/>
      </w:r>
      <w:r>
        <w:t xml:space="preserve"> apresenta a visão global da arquitetura e do percurso dos dados.</w:t>
      </w:r>
    </w:p>
    <w:p>
      <w:pPr>
        <w:keepNext/>
        <w:spacing w:before="120" w:after="0" w:line="240" w:lineRule="auto"/>
        <w:ind w:firstLine="0"/>
        <w:jc w:val="center"/>
      </w:pPr>
      <w:r>
        <w:rPr>
          <w:noProof/>
        </w:rPr>
        <w:drawing>
          <wp:inline distT="0" distB="0" distL="0" distR="0">
            <wp:extent cx="5616000" cy="4694625"/>
            <wp:effectExtent l="0" t="0" r="0" b="0"/>
            <wp:docPr id="101" name="Imagem 101" descr="Diagrama da arquitetura: via batch no KNIME e via streaming no Node-RED com RabbitMQ, ambas a convergir para o PostgreSQL, que alimenta o Grafana, e ramo de alertas para o Tele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m 101"/>
                    <pic:cNvPicPr/>
                  </pic:nvPicPr>
                  <pic:blipFill>
                    <a:blip r:embed="rId200"/>
                    <a:stretch>
                      <a:fillRect/>
                    </a:stretch>
                  </pic:blipFill>
                  <pic:spPr>
                    <a:xfrm>
                      <a:off x="0" y="0"/>
                      <a:ext cx="5616000" cy="4694625"/>
                    </a:xfrm>
                    <a:prstGeom prst="rect">
                      <a:avLst/>
                    </a:prstGeom>
                    <a:ln w="6350">
                      <a:solidFill>
                        <a:srgbClr val="A6A6A6"/>
                      </a:solidFill>
                    </a:ln>
                  </pic:spPr>
                </pic:pic>
              </a:graphicData>
            </a:graphic>
          </wp:inline>
        </w:drawing>
      </w:r>
    </w:p>
    <w:p>
      <w:pPr>
        <w:pStyle w:val="Legenda"/>
        <w:spacing w:before="80" w:after="240"/>
      </w:pPr>
      <w:bookmarkStart w:id="112" w:name="_TocCapFarch"/>
      <w:bookmarkStart w:id="113" w:name="_RefFig_arch"/>
      <w:r>
        <w:t xml:space="preserve">Figura </w:t>
      </w:r>
      <w:r>
        <w:fldChar w:fldCharType="begin"/>
      </w:r>
      <w:r>
        <w:instrText xml:space="preserve"> SEQ Figura \* ARABIC </w:instrText>
      </w:r>
      <w:r>
        <w:fldChar w:fldCharType="separate"/>
      </w:r>
      <w:r>
        <w:rPr>
          <w:noProof/>
        </w:rPr>
        <w:t>1</w:t>
      </w:r>
      <w:r>
        <w:fldChar w:fldCharType="end"/>
      </w:r>
      <w:bookmarkEnd w:id="113"/>
      <w:r>
        <w:t xml:space="preserve">: Arquitetura híbrida do pipeline ETL Tech Purchasing Power.</w:t>
      </w:r>
      <w:bookmarkEnd w:id="112"/>
    </w:p>
    <w:p>
      <w:r>
        <w:t xml:space="preserve">As duas vias não são redundantes: respondem a necessidades diferentes e escrevem em tabelas distintas da mesma BD, como se detalha na secção </w:t>
      </w:r>
      <w:r>
        <w:t xml:space="preserve">4.4</w:t>
      </w:r>
      <w:r>
        <w:t xml:space="preserve">. A </w:t>
      </w:r>
      <w:r>
        <w:fldChar w:fldCharType="begin"/>
      </w:r>
      <w:r>
        <w:instrText xml:space="preserve"> REF _RefTab_vias \h </w:instrText>
      </w:r>
      <w:r>
        <w:fldChar w:fldCharType="separate"/>
      </w:r>
      <w:r>
        <w:t xml:space="preserve">Tabela 3</w:t>
      </w:r>
      <w:r>
        <w:fldChar w:fldCharType="end"/>
      </w:r>
      <w:r>
        <w:t xml:space="preserve"> resume as diferenças entre ambas.</w:t>
      </w:r>
    </w:p>
    <w:p>
      <w:pPr>
        <w:spacing w:before="0" w:after="0" w:line="120" w:lineRule="exact"/>
        <w:ind w:firstLine="0"/>
      </w:pPr>
    </w:p>
    <w:tbl>
      <w:tblPr>
        <w:tblStyle w:val="Tabelacomgrelha"/>
        <w:tblW w:w="9071" w:type="dxa"/>
        <w:jc w:val="center"/>
        <w:tblLayout w:type="fixed"/>
        <w:tblCellMar>
          <w:top w:w="30" w:type="dxa"/>
          <w:left w:w="100" w:type="dxa"/>
          <w:bottom w:w="30" w:type="dxa"/>
          <w:right w:w="100" w:type="dxa"/>
        </w:tblCellMar>
        <w:tblLook w:val="04A0" w:firstRow="1" w:lastRow="0" w:firstColumn="0" w:lastColumn="0" w:noHBand="0" w:noVBand="1"/>
      </w:tblPr>
      <w:tblGrid>
        <w:gridCol w:w="2000"/>
        <w:gridCol w:w="3471"/>
        <w:gridCol w:w="3600"/>
      </w:tblGrid>
      <w:tr>
        <w:trPr>
          <w:cantSplit/>
          <w:tblHeader/>
        </w:trPr>
        <w:tc>
          <w:tcPr>
            <w:tcW w:w="2000" w:type="dxa"/>
            <w:shd w:val="clear" w:color="auto" w:fill="D9D9D9"/>
            <w:vAlign w:val="center"/>
          </w:tcPr>
          <w:p>
            <w:pPr>
              <w:keepNext/>
              <w:spacing w:before="50" w:after="50" w:line="240" w:lineRule="auto"/>
              <w:ind w:firstLine="0"/>
              <w:jc w:val="center"/>
            </w:pPr>
            <w:r>
              <w:rPr>
                <w:b/>
                <w:bCs/>
                <w:sz w:val="20"/>
                <w:szCs w:val="20"/>
              </w:rPr>
              <w:t xml:space="preserve">Característica</w:t>
            </w:r>
          </w:p>
        </w:tc>
        <w:tc>
          <w:tcPr>
            <w:tcW w:w="3471" w:type="dxa"/>
            <w:shd w:val="clear" w:color="auto" w:fill="D9D9D9"/>
            <w:vAlign w:val="center"/>
          </w:tcPr>
          <w:p>
            <w:pPr>
              <w:keepNext/>
              <w:spacing w:before="50" w:after="50" w:line="240" w:lineRule="auto"/>
              <w:ind w:firstLine="0"/>
              <w:jc w:val="center"/>
            </w:pPr>
            <w:r>
              <w:rPr>
                <w:b/>
                <w:bCs/>
                <w:sz w:val="20"/>
                <w:szCs w:val="20"/>
              </w:rPr>
              <w:t xml:space="preserve">Via 1 — Batch (KNIME)</w:t>
            </w:r>
          </w:p>
        </w:tc>
        <w:tc>
          <w:tcPr>
            <w:tcW w:w="3600" w:type="dxa"/>
            <w:shd w:val="clear" w:color="auto" w:fill="D9D9D9"/>
            <w:vAlign w:val="center"/>
          </w:tcPr>
          <w:p>
            <w:pPr>
              <w:keepNext/>
              <w:spacing w:before="50" w:after="50" w:line="240" w:lineRule="auto"/>
              <w:ind w:firstLine="0"/>
              <w:jc w:val="center"/>
            </w:pPr>
            <w:r>
              <w:rPr>
                <w:b/>
                <w:bCs/>
                <w:sz w:val="20"/>
                <w:szCs w:val="20"/>
              </w:rPr>
              <w:t xml:space="preserve">Via 2 — Streaming (Node-RED)</w:t>
            </w:r>
          </w:p>
        </w:tc>
      </w:tr>
      <w:tr>
        <w:trPr>
          <w:cantSplit/>
        </w:trPr>
        <w:tc>
          <w:tcPr>
            <w:tcW w:w="2000" w:type="dxa"/>
            <w:vAlign w:val="center"/>
          </w:tcPr>
          <w:p>
            <w:pPr>
              <w:keepNext/>
              <w:spacing w:before="50" w:after="50" w:line="240" w:lineRule="auto"/>
              <w:ind w:firstLine="0"/>
              <w:jc w:val="left"/>
            </w:pPr>
            <w:r>
              <w:rPr>
                <w:sz w:val="20"/>
                <w:szCs w:val="20"/>
              </w:rPr>
              <w:t xml:space="preserve">Objetivo</w:t>
            </w:r>
          </w:p>
        </w:tc>
        <w:tc>
          <w:tcPr>
            <w:tcW w:w="3471" w:type="dxa"/>
            <w:vAlign w:val="center"/>
          </w:tcPr>
          <w:p>
            <w:pPr>
              <w:keepNext/>
              <w:spacing w:before="50" w:after="50" w:line="240" w:lineRule="auto"/>
              <w:ind w:firstLine="0"/>
              <w:jc w:val="left"/>
            </w:pPr>
            <w:r>
              <w:rPr>
                <w:sz w:val="20"/>
                <w:szCs w:val="20"/>
              </w:rPr>
              <w:t xml:space="preserve">Análise macroeconómica e carga histórica massiva</w:t>
            </w:r>
          </w:p>
        </w:tc>
        <w:tc>
          <w:tcPr>
            <w:tcW w:w="3600" w:type="dxa"/>
            <w:vAlign w:val="center"/>
          </w:tcPr>
          <w:p>
            <w:pPr>
              <w:keepNext/>
              <w:spacing w:before="50" w:after="50" w:line="240" w:lineRule="auto"/>
              <w:ind w:firstLine="0"/>
              <w:jc w:val="left"/>
            </w:pPr>
            <w:r>
              <w:rPr>
                <w:sz w:val="20"/>
                <w:szCs w:val="20"/>
              </w:rPr>
              <w:t xml:space="preserve">Monitorização de novas ofertas e alertas imediatos</w:t>
            </w:r>
          </w:p>
        </w:tc>
      </w:tr>
      <w:tr>
        <w:trPr>
          <w:cantSplit/>
        </w:trPr>
        <w:tc>
          <w:tcPr>
            <w:tcW w:w="2000" w:type="dxa"/>
            <w:vAlign w:val="center"/>
          </w:tcPr>
          <w:p>
            <w:pPr>
              <w:keepNext/>
              <w:spacing w:before="50" w:after="50" w:line="240" w:lineRule="auto"/>
              <w:ind w:firstLine="0"/>
              <w:jc w:val="left"/>
            </w:pPr>
            <w:r>
              <w:rPr>
                <w:sz w:val="20"/>
                <w:szCs w:val="20"/>
              </w:rPr>
              <w:t xml:space="preserve">Formatos de entrada</w:t>
            </w:r>
          </w:p>
        </w:tc>
        <w:tc>
          <w:tcPr>
            <w:tcW w:w="3471" w:type="dxa"/>
            <w:vAlign w:val="center"/>
          </w:tcPr>
          <w:p>
            <w:pPr>
              <w:keepNext/>
              <w:spacing w:before="50" w:after="50" w:line="240" w:lineRule="auto"/>
              <w:ind w:firstLine="0"/>
              <w:jc w:val="left"/>
            </w:pPr>
            <w:r>
              <w:rPr>
                <w:sz w:val="20"/>
                <w:szCs w:val="20"/>
              </w:rPr>
              <w:t xml:space="preserve">JSON, CSV e HTML/XPath</w:t>
            </w:r>
          </w:p>
        </w:tc>
        <w:tc>
          <w:tcPr>
            <w:tcW w:w="3600" w:type="dxa"/>
            <w:vAlign w:val="center"/>
          </w:tcPr>
          <w:p>
            <w:pPr>
              <w:keepNext/>
              <w:spacing w:before="50" w:after="50" w:line="240" w:lineRule="auto"/>
              <w:ind w:firstLine="0"/>
              <w:jc w:val="left"/>
            </w:pPr>
            <w:r>
              <w:rPr>
                <w:sz w:val="20"/>
                <w:szCs w:val="20"/>
              </w:rPr>
              <w:t xml:space="preserve">JSON</w:t>
            </w:r>
          </w:p>
        </w:tc>
      </w:tr>
      <w:tr>
        <w:trPr>
          <w:cantSplit/>
        </w:trPr>
        <w:tc>
          <w:tcPr>
            <w:tcW w:w="2000" w:type="dxa"/>
            <w:vAlign w:val="center"/>
          </w:tcPr>
          <w:p>
            <w:pPr>
              <w:keepNext/>
              <w:spacing w:before="50" w:after="50" w:line="240" w:lineRule="auto"/>
              <w:ind w:firstLine="0"/>
              <w:jc w:val="left"/>
            </w:pPr>
            <w:r>
              <w:rPr>
                <w:sz w:val="20"/>
                <w:szCs w:val="20"/>
              </w:rPr>
              <w:t xml:space="preserve">Origens</w:t>
            </w:r>
          </w:p>
        </w:tc>
        <w:tc>
          <w:tcPr>
            <w:tcW w:w="3471" w:type="dxa"/>
            <w:vAlign w:val="center"/>
          </w:tcPr>
          <w:p>
            <w:pPr>
              <w:keepNext/>
              <w:spacing w:before="50" w:after="50" w:line="240" w:lineRule="auto"/>
              <w:ind w:firstLine="0"/>
              <w:jc w:val="left"/>
            </w:pPr>
            <w:r>
              <w:rPr>
                <w:sz w:val="20"/>
                <w:szCs w:val="20"/>
              </w:rPr>
              <w:t xml:space="preserve">API Reed, API Postcodes.io, ficheiro Kaggle, página Numbeo</w:t>
            </w:r>
          </w:p>
        </w:tc>
        <w:tc>
          <w:tcPr>
            <w:tcW w:w="3600" w:type="dxa"/>
            <w:vAlign w:val="center"/>
          </w:tcPr>
          <w:p>
            <w:pPr>
              <w:keepNext/>
              <w:spacing w:before="50" w:after="50" w:line="240" w:lineRule="auto"/>
              <w:ind w:firstLine="0"/>
              <w:jc w:val="left"/>
            </w:pPr>
            <w:r>
              <w:rPr>
                <w:sz w:val="20"/>
                <w:szCs w:val="20"/>
              </w:rPr>
              <w:t xml:space="preserve">API Reed, API Postcodes.io</w:t>
            </w:r>
          </w:p>
        </w:tc>
      </w:tr>
      <w:tr>
        <w:trPr>
          <w:cantSplit/>
        </w:trPr>
        <w:tc>
          <w:tcPr>
            <w:tcW w:w="2000" w:type="dxa"/>
            <w:vAlign w:val="center"/>
          </w:tcPr>
          <w:p>
            <w:pPr>
              <w:keepNext/>
              <w:spacing w:before="50" w:after="50" w:line="240" w:lineRule="auto"/>
              <w:ind w:firstLine="0"/>
              <w:jc w:val="left"/>
            </w:pPr>
            <w:r>
              <w:rPr>
                <w:sz w:val="20"/>
                <w:szCs w:val="20"/>
              </w:rPr>
              <w:t xml:space="preserve">Enriquecimento</w:t>
            </w:r>
          </w:p>
        </w:tc>
        <w:tc>
          <w:tcPr>
            <w:tcW w:w="3471" w:type="dxa"/>
            <w:vAlign w:val="center"/>
          </w:tcPr>
          <w:p>
            <w:pPr>
              <w:keepNext/>
              <w:spacing w:before="50" w:after="50" w:line="240" w:lineRule="auto"/>
              <w:ind w:firstLine="0"/>
              <w:jc w:val="left"/>
            </w:pPr>
            <w:r>
              <w:rPr>
                <w:sz w:val="20"/>
                <w:szCs w:val="20"/>
              </w:rPr>
              <w:t xml:space="preserve">Índices Numbeo e taxa de imposto por país</w:t>
            </w:r>
          </w:p>
        </w:tc>
        <w:tc>
          <w:tcPr>
            <w:tcW w:w="3600" w:type="dxa"/>
            <w:vAlign w:val="center"/>
          </w:tcPr>
          <w:p>
            <w:pPr>
              <w:keepNext/>
              <w:spacing w:before="50" w:after="50" w:line="240" w:lineRule="auto"/>
              <w:ind w:firstLine="0"/>
              <w:jc w:val="left"/>
            </w:pPr>
            <w:r>
              <w:rPr>
                <w:sz w:val="20"/>
                <w:szCs w:val="20"/>
              </w:rPr>
              <w:t xml:space="preserve">Não aplicável (tratamento leve)</w:t>
            </w:r>
          </w:p>
        </w:tc>
      </w:tr>
      <w:tr>
        <w:trPr>
          <w:cantSplit/>
        </w:trPr>
        <w:tc>
          <w:tcPr>
            <w:tcW w:w="2000" w:type="dxa"/>
            <w:vAlign w:val="center"/>
          </w:tcPr>
          <w:p>
            <w:pPr>
              <w:keepNext/>
              <w:spacing w:before="50" w:after="50" w:line="240" w:lineRule="auto"/>
              <w:ind w:firstLine="0"/>
              <w:jc w:val="left"/>
            </w:pPr>
            <w:r>
              <w:rPr>
                <w:sz w:val="20"/>
                <w:szCs w:val="20"/>
              </w:rPr>
              <w:t xml:space="preserve">Desacoplamento</w:t>
            </w:r>
          </w:p>
        </w:tc>
        <w:tc>
          <w:tcPr>
            <w:tcW w:w="3471" w:type="dxa"/>
            <w:vAlign w:val="center"/>
          </w:tcPr>
          <w:p>
            <w:pPr>
              <w:keepNext/>
              <w:spacing w:before="50" w:after="50" w:line="240" w:lineRule="auto"/>
              <w:ind w:firstLine="0"/>
              <w:jc w:val="left"/>
            </w:pPr>
            <w:r>
              <w:rPr>
                <w:sz w:val="20"/>
                <w:szCs w:val="20"/>
              </w:rPr>
              <w:t xml:space="preserve">Não aplicável (execução direta)</w:t>
            </w:r>
          </w:p>
        </w:tc>
        <w:tc>
          <w:tcPr>
            <w:tcW w:w="3600" w:type="dxa"/>
            <w:vAlign w:val="center"/>
          </w:tcPr>
          <w:p>
            <w:pPr>
              <w:keepNext/>
              <w:spacing w:before="50" w:after="50" w:line="240" w:lineRule="auto"/>
              <w:ind w:firstLine="0"/>
              <w:jc w:val="left"/>
            </w:pPr>
            <w:r>
              <w:rPr>
                <w:sz w:val="20"/>
                <w:szCs w:val="20"/>
              </w:rPr>
              <w:t xml:space="preserve">Fila de mensagens RabbitMQ (AMQP)</w:t>
            </w:r>
          </w:p>
        </w:tc>
      </w:tr>
      <w:tr>
        <w:trPr>
          <w:cantSplit/>
        </w:trPr>
        <w:tc>
          <w:tcPr>
            <w:tcW w:w="2000" w:type="dxa"/>
            <w:vAlign w:val="center"/>
          </w:tcPr>
          <w:p>
            <w:pPr>
              <w:keepNext/>
              <w:spacing w:before="50" w:after="50" w:line="240" w:lineRule="auto"/>
              <w:ind w:firstLine="0"/>
              <w:jc w:val="left"/>
            </w:pPr>
            <w:r>
              <w:rPr>
                <w:sz w:val="20"/>
                <w:szCs w:val="20"/>
              </w:rPr>
              <w:t xml:space="preserve">Tabela de destino</w:t>
            </w:r>
          </w:p>
        </w:tc>
        <w:tc>
          <w:tcPr>
            <w:tcW w:w="3471" w:type="dxa"/>
            <w:vAlign w:val="center"/>
          </w:tcPr>
          <w:p>
            <w:pPr>
              <w:keepNext/>
              <w:spacing w:before="50" w:after="50" w:line="240" w:lineRule="auto"/>
              <w:ind w:firstLine="0"/>
              <w:jc w:val="left"/>
            </w:pPr>
            <w:r>
              <w:rPr>
                <w:rFonts w:ascii="Courier New" w:hAnsi="Courier New" w:cs="Courier New"/>
                <w:sz w:val="18"/>
                <w:szCs w:val="18"/>
              </w:rPr>
              <w:t xml:space="preserve">ofertas_emprego</w:t>
            </w:r>
            <w:r>
              <w:rPr>
                <w:sz w:val="20"/>
                <w:szCs w:val="20"/>
              </w:rPr>
              <w:t xml:space="preserve"> (11 colunas)</w:t>
            </w:r>
          </w:p>
        </w:tc>
        <w:tc>
          <w:tcPr>
            <w:tcW w:w="3600" w:type="dxa"/>
            <w:vAlign w:val="center"/>
          </w:tcPr>
          <w:p>
            <w:pPr>
              <w:keepNext/>
              <w:spacing w:before="50" w:after="50" w:line="240" w:lineRule="auto"/>
              <w:ind w:firstLine="0"/>
              <w:jc w:val="left"/>
            </w:pPr>
            <w:r>
              <w:rPr>
                <w:rFonts w:ascii="Courier New" w:hAnsi="Courier New" w:cs="Courier New"/>
                <w:sz w:val="18"/>
                <w:szCs w:val="18"/>
              </w:rPr>
              <w:t xml:space="preserve">vagas_nodered</w:t>
            </w:r>
            <w:r>
              <w:rPr>
                <w:sz w:val="20"/>
                <w:szCs w:val="20"/>
              </w:rPr>
              <w:t xml:space="preserve"> (5 colunas)</w:t>
            </w:r>
          </w:p>
        </w:tc>
      </w:tr>
      <w:tr>
        <w:trPr>
          <w:cantSplit/>
        </w:trPr>
        <w:tc>
          <w:tcPr>
            <w:tcW w:w="2000" w:type="dxa"/>
            <w:vAlign w:val="center"/>
          </w:tcPr>
          <w:p>
            <w:pPr>
              <w:keepNext/>
              <w:spacing w:before="50" w:after="50" w:line="240" w:lineRule="auto"/>
              <w:ind w:firstLine="0"/>
              <w:jc w:val="left"/>
            </w:pPr>
            <w:r>
              <w:rPr>
                <w:sz w:val="20"/>
                <w:szCs w:val="20"/>
              </w:rPr>
              <w:t xml:space="preserve">Modo de escrita</w:t>
            </w:r>
          </w:p>
        </w:tc>
        <w:tc>
          <w:tcPr>
            <w:tcW w:w="3471" w:type="dxa"/>
            <w:vAlign w:val="center"/>
          </w:tcPr>
          <w:p>
            <w:pPr>
              <w:keepNext/>
              <w:spacing w:before="50" w:after="50" w:line="240" w:lineRule="auto"/>
              <w:ind w:firstLine="0"/>
              <w:jc w:val="left"/>
            </w:pPr>
            <w:r>
              <w:rPr>
                <w:sz w:val="20"/>
                <w:szCs w:val="20"/>
              </w:rPr>
              <w:t xml:space="preserve">Substituição da tabela em cada execução</w:t>
            </w:r>
          </w:p>
        </w:tc>
        <w:tc>
          <w:tcPr>
            <w:tcW w:w="3600" w:type="dxa"/>
            <w:vAlign w:val="center"/>
          </w:tcPr>
          <w:p>
            <w:pPr>
              <w:keepNext/>
              <w:spacing w:before="50" w:after="50" w:line="240" w:lineRule="auto"/>
              <w:ind w:firstLine="0"/>
              <w:jc w:val="left"/>
            </w:pPr>
            <w:r>
              <w:rPr>
                <w:i/>
                <w:iCs/>
                <w:sz w:val="20"/>
                <w:szCs w:val="20"/>
              </w:rPr>
              <w:t xml:space="preserve">Upsert</w:t>
            </w:r>
            <w:r>
              <w:rPr>
                <w:sz w:val="20"/>
                <w:szCs w:val="20"/>
              </w:rPr>
              <w:t xml:space="preserve"> com deduplicação</w:t>
            </w:r>
          </w:p>
        </w:tc>
      </w:tr>
      <w:tr>
        <w:trPr>
          <w:cantSplit/>
        </w:trPr>
        <w:tc>
          <w:tcPr>
            <w:tcW w:w="2000" w:type="dxa"/>
            <w:vAlign w:val="center"/>
          </w:tcPr>
          <w:p>
            <w:pPr>
              <w:keepNext/>
              <w:spacing w:before="50" w:after="50" w:line="240" w:lineRule="auto"/>
              <w:ind w:firstLine="0"/>
              <w:jc w:val="left"/>
            </w:pPr>
            <w:r>
              <w:rPr>
                <w:sz w:val="20"/>
                <w:szCs w:val="20"/>
              </w:rPr>
              <w:t xml:space="preserve">Saída final</w:t>
            </w:r>
          </w:p>
        </w:tc>
        <w:tc>
          <w:tcPr>
            <w:tcW w:w="3471" w:type="dxa"/>
            <w:vAlign w:val="center"/>
          </w:tcPr>
          <w:p>
            <w:pPr>
              <w:keepNext/>
              <w:spacing w:before="50" w:after="50" w:line="240" w:lineRule="auto"/>
              <w:ind w:firstLine="0"/>
              <w:jc w:val="left"/>
            </w:pPr>
            <w:r>
              <w:rPr>
                <w:sz w:val="20"/>
                <w:szCs w:val="20"/>
              </w:rPr>
              <w:t xml:space="preserve">Dashboard analítico no Grafana</w:t>
            </w:r>
          </w:p>
        </w:tc>
        <w:tc>
          <w:tcPr>
            <w:tcW w:w="3600" w:type="dxa"/>
            <w:vAlign w:val="center"/>
          </w:tcPr>
          <w:p>
            <w:pPr>
              <w:keepNext/>
              <w:spacing w:before="50" w:after="50" w:line="240" w:lineRule="auto"/>
              <w:ind w:firstLine="0"/>
              <w:jc w:val="left"/>
            </w:pPr>
            <w:r>
              <w:rPr>
                <w:sz w:val="20"/>
                <w:szCs w:val="20"/>
              </w:rPr>
              <w:t xml:space="preserve">Alertas no Telegram e monitorização</w:t>
            </w:r>
          </w:p>
        </w:tc>
      </w:tr>
    </w:tbl>
    <w:p>
      <w:pPr>
        <w:pStyle w:val="Legenda"/>
        <w:spacing w:before="80" w:after="240"/>
      </w:pPr>
      <w:bookmarkStart w:id="114" w:name="_TocCapTvias"/>
      <w:bookmarkStart w:id="115" w:name="_RefTab_vias"/>
      <w:r>
        <w:t xml:space="preserve">Tabela </w:t>
      </w:r>
      <w:r>
        <w:fldChar w:fldCharType="begin"/>
      </w:r>
      <w:r>
        <w:instrText xml:space="preserve"> SEQ Tabela \* ARABIC </w:instrText>
      </w:r>
      <w:r>
        <w:fldChar w:fldCharType="separate"/>
      </w:r>
      <w:r>
        <w:rPr>
          <w:noProof/>
        </w:rPr>
        <w:t>3</w:t>
      </w:r>
      <w:r>
        <w:fldChar w:fldCharType="end"/>
      </w:r>
      <w:bookmarkEnd w:id="115"/>
      <w:r>
        <w:t xml:space="preserve">: Comparação entre as duas vias de processamento do pipeline.</w:t>
      </w:r>
      <w:bookmarkEnd w:id="114"/>
    </w:p>
    <w:p>
      <w:pPr>
        <w:pStyle w:val="Cabealho2"/>
        <w:keepNext/>
        <w:spacing w:before="320" w:after="160"/>
      </w:pPr>
      <w:bookmarkStart w:id="116" w:name="_Toc_docker"/>
      <w:r>
        <w:t xml:space="preserve">Ambiente Contentorizado (Docker)</w:t>
      </w:r>
      <w:bookmarkEnd w:id="116"/>
    </w:p>
    <w:p>
      <w:r>
        <w:t xml:space="preserve">Os serviços de suporte foram executados em contentores Docker, geridos através do Docker Desktop (Docker, s.d.). A contentorização assegura o isolamento de cada serviço, a reprodutibilidade do ambiente em qualquer máquina e a simplicidade de arranque e paragem de toda a solução. Os serviços comunicam entre si através da rede interna criada pelo Docker, expondo ao anfitrião apenas as portas necessárias ao acesso às respetivas interfaces. A </w:t>
      </w:r>
      <w:r>
        <w:fldChar w:fldCharType="begin"/>
      </w:r>
      <w:r>
        <w:instrText xml:space="preserve"> REF _RefFig_docker \h </w:instrText>
      </w:r>
      <w:r>
        <w:fldChar w:fldCharType="separate"/>
      </w:r>
      <w:r>
        <w:t xml:space="preserve">Figura 2</w:t>
      </w:r>
      <w:r>
        <w:fldChar w:fldCharType="end"/>
      </w:r>
      <w:r>
        <w:t xml:space="preserve"> apresenta os quatro contentores em execução e a </w:t>
      </w:r>
      <w:r>
        <w:fldChar w:fldCharType="begin"/>
      </w:r>
      <w:r>
        <w:instrText xml:space="preserve"> REF _RefTab_cont \h </w:instrText>
      </w:r>
      <w:r>
        <w:fldChar w:fldCharType="separate"/>
      </w:r>
      <w:r>
        <w:t xml:space="preserve">Tabela 4</w:t>
      </w:r>
      <w:r>
        <w:fldChar w:fldCharType="end"/>
      </w:r>
      <w:r>
        <w:t xml:space="preserve"> resume a função de cada um.</w:t>
      </w:r>
    </w:p>
    <w:p>
      <w:pPr>
        <w:keepNext/>
        <w:spacing w:before="120" w:after="0" w:line="240" w:lineRule="auto"/>
        <w:ind w:firstLine="0"/>
        <w:jc w:val="center"/>
      </w:pPr>
      <w:r>
        <w:rPr>
          <w:noProof/>
        </w:rPr>
        <w:drawing>
          <wp:inline distT="0" distB="0" distL="0" distR="0">
            <wp:extent cx="5760000" cy="1190722"/>
            <wp:effectExtent l="0" t="0" r="0" b="0"/>
            <wp:docPr id="102" name="Imagem 102" descr="Captura de ecrã do Docker Desktop com os quatro contentores em execução: tech_power_grafana, tech_power_db, tech_power_rabbitmq e tech_power_nod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m 102"/>
                    <pic:cNvPicPr/>
                  </pic:nvPicPr>
                  <pic:blipFill>
                    <a:blip r:embed="rId201"/>
                    <a:stretch>
                      <a:fillRect/>
                    </a:stretch>
                  </pic:blipFill>
                  <pic:spPr>
                    <a:xfrm>
                      <a:off x="0" y="0"/>
                      <a:ext cx="5760000" cy="1190722"/>
                    </a:xfrm>
                    <a:prstGeom prst="rect">
                      <a:avLst/>
                    </a:prstGeom>
                    <a:ln w="6350">
                      <a:solidFill>
                        <a:srgbClr val="A6A6A6"/>
                      </a:solidFill>
                    </a:ln>
                  </pic:spPr>
                </pic:pic>
              </a:graphicData>
            </a:graphic>
          </wp:inline>
        </w:drawing>
      </w:r>
    </w:p>
    <w:p>
      <w:pPr>
        <w:pStyle w:val="Legenda"/>
        <w:spacing w:before="80" w:after="240"/>
      </w:pPr>
      <w:bookmarkStart w:id="117" w:name="_TocCapFdocker"/>
      <w:bookmarkStart w:id="118" w:name="_RefFig_docker"/>
      <w:r>
        <w:t xml:space="preserve">Figura </w:t>
      </w:r>
      <w:r>
        <w:fldChar w:fldCharType="begin"/>
      </w:r>
      <w:r>
        <w:instrText xml:space="preserve"> SEQ Figura \* ARABIC </w:instrText>
      </w:r>
      <w:r>
        <w:fldChar w:fldCharType="separate"/>
      </w:r>
      <w:r>
        <w:rPr>
          <w:noProof/>
        </w:rPr>
        <w:t>2</w:t>
      </w:r>
      <w:r>
        <w:fldChar w:fldCharType="end"/>
      </w:r>
      <w:bookmarkEnd w:id="118"/>
      <w:r>
        <w:t xml:space="preserve">: Contentores do pipeline em execução no Docker Desktop.</w:t>
      </w:r>
      <w:bookmarkEnd w:id="117"/>
    </w:p>
    <w:p>
      <w:pPr>
        <w:spacing w:before="0" w:after="0" w:line="120" w:lineRule="exact"/>
        <w:ind w:firstLine="0"/>
      </w:pPr>
    </w:p>
    <w:tbl>
      <w:tblPr>
        <w:tblStyle w:val="Tabelacomgrelha"/>
        <w:tblW w:w="9071" w:type="dxa"/>
        <w:jc w:val="center"/>
        <w:tblLayout w:type="fixed"/>
        <w:tblCellMar>
          <w:top w:w="30" w:type="dxa"/>
          <w:left w:w="100" w:type="dxa"/>
          <w:bottom w:w="30" w:type="dxa"/>
          <w:right w:w="100" w:type="dxa"/>
        </w:tblCellMar>
        <w:tblLook w:val="04A0" w:firstRow="1" w:lastRow="0" w:firstColumn="0" w:lastColumn="0" w:noHBand="0" w:noVBand="1"/>
      </w:tblPr>
      <w:tblGrid>
        <w:gridCol w:w="2150"/>
        <w:gridCol w:w="2650"/>
        <w:gridCol w:w="1100"/>
        <w:gridCol w:w="3171"/>
      </w:tblGrid>
      <w:tr>
        <w:trPr>
          <w:cantSplit/>
          <w:tblHeader/>
        </w:trPr>
        <w:tc>
          <w:tcPr>
            <w:tcW w:w="2150" w:type="dxa"/>
            <w:shd w:val="clear" w:color="auto" w:fill="D9D9D9"/>
            <w:vAlign w:val="center"/>
          </w:tcPr>
          <w:p>
            <w:pPr>
              <w:keepNext/>
              <w:spacing w:before="50" w:after="50" w:line="240" w:lineRule="auto"/>
              <w:ind w:firstLine="0"/>
              <w:jc w:val="center"/>
            </w:pPr>
            <w:r>
              <w:rPr>
                <w:b/>
                <w:bCs/>
                <w:sz w:val="18"/>
                <w:szCs w:val="18"/>
              </w:rPr>
              <w:t xml:space="preserve">Contentor</w:t>
            </w:r>
          </w:p>
        </w:tc>
        <w:tc>
          <w:tcPr>
            <w:tcW w:w="2650" w:type="dxa"/>
            <w:shd w:val="clear" w:color="auto" w:fill="D9D9D9"/>
            <w:vAlign w:val="center"/>
          </w:tcPr>
          <w:p>
            <w:pPr>
              <w:keepNext/>
              <w:spacing w:before="50" w:after="50" w:line="240" w:lineRule="auto"/>
              <w:ind w:firstLine="0"/>
              <w:jc w:val="center"/>
            </w:pPr>
            <w:r>
              <w:rPr>
                <w:b/>
                <w:bCs/>
                <w:sz w:val="18"/>
                <w:szCs w:val="18"/>
              </w:rPr>
              <w:t xml:space="preserve">Imagem</w:t>
            </w:r>
          </w:p>
        </w:tc>
        <w:tc>
          <w:tcPr>
            <w:tcW w:w="1100" w:type="dxa"/>
            <w:shd w:val="clear" w:color="auto" w:fill="D9D9D9"/>
            <w:vAlign w:val="center"/>
          </w:tcPr>
          <w:p>
            <w:pPr>
              <w:keepNext/>
              <w:spacing w:before="50" w:after="50" w:line="240" w:lineRule="auto"/>
              <w:ind w:firstLine="0"/>
              <w:jc w:val="center"/>
            </w:pPr>
            <w:r>
              <w:rPr>
                <w:b/>
                <w:bCs/>
                <w:sz w:val="18"/>
                <w:szCs w:val="18"/>
              </w:rPr>
              <w:t xml:space="preserve">Porta</w:t>
            </w:r>
          </w:p>
        </w:tc>
        <w:tc>
          <w:tcPr>
            <w:tcW w:w="3171" w:type="dxa"/>
            <w:shd w:val="clear" w:color="auto" w:fill="D9D9D9"/>
            <w:vAlign w:val="center"/>
          </w:tcPr>
          <w:p>
            <w:pPr>
              <w:keepNext/>
              <w:spacing w:before="50" w:after="50" w:line="240" w:lineRule="auto"/>
              <w:ind w:firstLine="0"/>
              <w:jc w:val="center"/>
            </w:pPr>
            <w:r>
              <w:rPr>
                <w:b/>
                <w:bCs/>
                <w:sz w:val="18"/>
                <w:szCs w:val="18"/>
              </w:rPr>
              <w:t xml:space="preserve">Função</w:t>
            </w:r>
          </w:p>
        </w:tc>
      </w:tr>
      <w:tr>
        <w:trPr>
          <w:cantSplit/>
        </w:trPr>
        <w:tc>
          <w:tcPr>
            <w:tcW w:w="2150" w:type="dxa"/>
            <w:vAlign w:val="center"/>
          </w:tcPr>
          <w:p>
            <w:pPr>
              <w:keepNext/>
              <w:spacing w:before="50" w:after="50" w:line="240" w:lineRule="auto"/>
              <w:ind w:firstLine="0"/>
              <w:jc w:val="left"/>
            </w:pPr>
            <w:r>
              <w:rPr>
                <w:rFonts w:ascii="Courier New" w:hAnsi="Courier New" w:cs="Courier New"/>
                <w:sz w:val="16"/>
                <w:szCs w:val="16"/>
              </w:rPr>
              <w:t xml:space="preserve">tech_power_nodered</w:t>
            </w:r>
          </w:p>
        </w:tc>
        <w:tc>
          <w:tcPr>
            <w:tcW w:w="2650" w:type="dxa"/>
            <w:vAlign w:val="center"/>
          </w:tcPr>
          <w:p>
            <w:pPr>
              <w:keepNext/>
              <w:spacing w:before="50" w:after="50" w:line="240" w:lineRule="auto"/>
              <w:ind w:firstLine="0"/>
              <w:jc w:val="left"/>
            </w:pPr>
            <w:r>
              <w:rPr>
                <w:rFonts w:ascii="Courier New" w:hAnsi="Courier New" w:cs="Courier New"/>
                <w:sz w:val="16"/>
                <w:szCs w:val="16"/>
              </w:rPr>
              <w:t xml:space="preserve">nodered/node-red:latest</w:t>
            </w:r>
          </w:p>
        </w:tc>
        <w:tc>
          <w:tcPr>
            <w:tcW w:w="1100" w:type="dxa"/>
            <w:vAlign w:val="center"/>
          </w:tcPr>
          <w:p>
            <w:pPr>
              <w:keepNext/>
              <w:spacing w:before="50" w:after="50" w:line="240" w:lineRule="auto"/>
              <w:ind w:firstLine="0"/>
              <w:jc w:val="center"/>
            </w:pPr>
            <w:r>
              <w:rPr>
                <w:sz w:val="18"/>
                <w:szCs w:val="18"/>
              </w:rPr>
              <w:t xml:space="preserve">1880:1880</w:t>
            </w:r>
          </w:p>
        </w:tc>
        <w:tc>
          <w:tcPr>
            <w:tcW w:w="3171" w:type="dxa"/>
            <w:vAlign w:val="center"/>
          </w:tcPr>
          <w:p>
            <w:pPr>
              <w:keepNext/>
              <w:spacing w:before="50" w:after="50" w:line="240" w:lineRule="auto"/>
              <w:ind w:firstLine="0"/>
              <w:jc w:val="left"/>
            </w:pPr>
            <w:r>
              <w:rPr>
                <w:sz w:val="18"/>
                <w:szCs w:val="18"/>
              </w:rPr>
              <w:t xml:space="preserve">Via contínua: extração, transformação, consumo da fila e alertas</w:t>
            </w:r>
          </w:p>
        </w:tc>
      </w:tr>
      <w:tr>
        <w:trPr>
          <w:cantSplit/>
        </w:trPr>
        <w:tc>
          <w:tcPr>
            <w:tcW w:w="2150" w:type="dxa"/>
            <w:vAlign w:val="center"/>
          </w:tcPr>
          <w:p>
            <w:pPr>
              <w:keepNext/>
              <w:spacing w:before="50" w:after="50" w:line="240" w:lineRule="auto"/>
              <w:ind w:firstLine="0"/>
              <w:jc w:val="left"/>
            </w:pPr>
            <w:r>
              <w:rPr>
                <w:rFonts w:ascii="Courier New" w:hAnsi="Courier New" w:cs="Courier New"/>
                <w:sz w:val="16"/>
                <w:szCs w:val="16"/>
              </w:rPr>
              <w:t xml:space="preserve">tech_power_rabbitmq</w:t>
            </w:r>
          </w:p>
        </w:tc>
        <w:tc>
          <w:tcPr>
            <w:tcW w:w="2650" w:type="dxa"/>
            <w:vAlign w:val="center"/>
          </w:tcPr>
          <w:p>
            <w:pPr>
              <w:keepNext/>
              <w:spacing w:before="50" w:after="50" w:line="240" w:lineRule="auto"/>
              <w:ind w:firstLine="0"/>
              <w:jc w:val="left"/>
            </w:pPr>
            <w:r>
              <w:rPr>
                <w:rFonts w:ascii="Courier New" w:hAnsi="Courier New" w:cs="Courier New"/>
                <w:sz w:val="16"/>
                <w:szCs w:val="16"/>
              </w:rPr>
              <w:t xml:space="preserve">rabbitmq:3-management-alpine</w:t>
            </w:r>
          </w:p>
        </w:tc>
        <w:tc>
          <w:tcPr>
            <w:tcW w:w="1100" w:type="dxa"/>
            <w:vAlign w:val="center"/>
          </w:tcPr>
          <w:p>
            <w:pPr>
              <w:keepNext/>
              <w:spacing w:before="50" w:after="50" w:line="240" w:lineRule="auto"/>
              <w:ind w:firstLine="0"/>
              <w:jc w:val="center"/>
            </w:pPr>
            <w:r>
              <w:rPr>
                <w:sz w:val="18"/>
                <w:szCs w:val="18"/>
              </w:rPr>
              <w:t xml:space="preserve">5672:5672</w:t>
            </w:r>
          </w:p>
        </w:tc>
        <w:tc>
          <w:tcPr>
            <w:tcW w:w="3171" w:type="dxa"/>
            <w:vAlign w:val="center"/>
          </w:tcPr>
          <w:p>
            <w:pPr>
              <w:keepNext/>
              <w:spacing w:before="50" w:after="50" w:line="240" w:lineRule="auto"/>
              <w:ind w:firstLine="0"/>
              <w:jc w:val="left"/>
            </w:pPr>
            <w:r>
              <w:rPr>
                <w:sz w:val="18"/>
                <w:szCs w:val="18"/>
              </w:rPr>
              <w:t xml:space="preserve">Fila de mensagens que desacopla produtor e consumidor</w:t>
            </w:r>
          </w:p>
        </w:tc>
      </w:tr>
      <w:tr>
        <w:trPr>
          <w:cantSplit/>
        </w:trPr>
        <w:tc>
          <w:tcPr>
            <w:tcW w:w="2150" w:type="dxa"/>
            <w:vAlign w:val="center"/>
          </w:tcPr>
          <w:p>
            <w:pPr>
              <w:keepNext/>
              <w:spacing w:before="50" w:after="50" w:line="240" w:lineRule="auto"/>
              <w:ind w:firstLine="0"/>
              <w:jc w:val="left"/>
            </w:pPr>
            <w:r>
              <w:rPr>
                <w:rFonts w:ascii="Courier New" w:hAnsi="Courier New" w:cs="Courier New"/>
                <w:sz w:val="16"/>
                <w:szCs w:val="16"/>
              </w:rPr>
              <w:t xml:space="preserve">tech_power_db</w:t>
            </w:r>
          </w:p>
        </w:tc>
        <w:tc>
          <w:tcPr>
            <w:tcW w:w="2650" w:type="dxa"/>
            <w:vAlign w:val="center"/>
          </w:tcPr>
          <w:p>
            <w:pPr>
              <w:keepNext/>
              <w:spacing w:before="50" w:after="50" w:line="240" w:lineRule="auto"/>
              <w:ind w:firstLine="0"/>
              <w:jc w:val="left"/>
            </w:pPr>
            <w:r>
              <w:rPr>
                <w:rFonts w:ascii="Courier New" w:hAnsi="Courier New" w:cs="Courier New"/>
                <w:sz w:val="16"/>
                <w:szCs w:val="16"/>
              </w:rPr>
              <w:t xml:space="preserve">postgres:16-alpine</w:t>
            </w:r>
          </w:p>
        </w:tc>
        <w:tc>
          <w:tcPr>
            <w:tcW w:w="1100" w:type="dxa"/>
            <w:vAlign w:val="center"/>
          </w:tcPr>
          <w:p>
            <w:pPr>
              <w:keepNext/>
              <w:spacing w:before="50" w:after="50" w:line="240" w:lineRule="auto"/>
              <w:ind w:firstLine="0"/>
              <w:jc w:val="center"/>
            </w:pPr>
            <w:r>
              <w:rPr>
                <w:sz w:val="18"/>
                <w:szCs w:val="18"/>
              </w:rPr>
              <w:t xml:space="preserve">5432:5432</w:t>
            </w:r>
          </w:p>
        </w:tc>
        <w:tc>
          <w:tcPr>
            <w:tcW w:w="3171" w:type="dxa"/>
            <w:vAlign w:val="center"/>
          </w:tcPr>
          <w:p>
            <w:pPr>
              <w:keepNext/>
              <w:spacing w:before="50" w:after="50" w:line="240" w:lineRule="auto"/>
              <w:ind w:firstLine="0"/>
              <w:jc w:val="left"/>
            </w:pPr>
            <w:r>
              <w:rPr>
                <w:sz w:val="18"/>
                <w:szCs w:val="18"/>
              </w:rPr>
              <w:t xml:space="preserve">Base de dados relacional PostgreSQL (destino das duas vias)</w:t>
            </w:r>
          </w:p>
        </w:tc>
      </w:tr>
      <w:tr>
        <w:trPr>
          <w:cantSplit/>
        </w:trPr>
        <w:tc>
          <w:tcPr>
            <w:tcW w:w="2150" w:type="dxa"/>
            <w:vAlign w:val="center"/>
          </w:tcPr>
          <w:p>
            <w:pPr>
              <w:keepNext/>
              <w:spacing w:before="50" w:after="50" w:line="240" w:lineRule="auto"/>
              <w:ind w:firstLine="0"/>
              <w:jc w:val="left"/>
            </w:pPr>
            <w:r>
              <w:rPr>
                <w:rFonts w:ascii="Courier New" w:hAnsi="Courier New" w:cs="Courier New"/>
                <w:sz w:val="16"/>
                <w:szCs w:val="16"/>
              </w:rPr>
              <w:t xml:space="preserve">tech_power_grafana</w:t>
            </w:r>
          </w:p>
        </w:tc>
        <w:tc>
          <w:tcPr>
            <w:tcW w:w="2650" w:type="dxa"/>
            <w:vAlign w:val="center"/>
          </w:tcPr>
          <w:p>
            <w:pPr>
              <w:keepNext/>
              <w:spacing w:before="50" w:after="50" w:line="240" w:lineRule="auto"/>
              <w:ind w:firstLine="0"/>
              <w:jc w:val="left"/>
            </w:pPr>
            <w:r>
              <w:rPr>
                <w:rFonts w:ascii="Courier New" w:hAnsi="Courier New" w:cs="Courier New"/>
                <w:sz w:val="16"/>
                <w:szCs w:val="16"/>
              </w:rPr>
              <w:t xml:space="preserve">grafana/grafana:latest</w:t>
            </w:r>
          </w:p>
        </w:tc>
        <w:tc>
          <w:tcPr>
            <w:tcW w:w="1100" w:type="dxa"/>
            <w:vAlign w:val="center"/>
          </w:tcPr>
          <w:p>
            <w:pPr>
              <w:keepNext/>
              <w:spacing w:before="50" w:after="50" w:line="240" w:lineRule="auto"/>
              <w:ind w:firstLine="0"/>
              <w:jc w:val="center"/>
            </w:pPr>
            <w:r>
              <w:rPr>
                <w:sz w:val="18"/>
                <w:szCs w:val="18"/>
              </w:rPr>
              <w:t xml:space="preserve">3000:3000</w:t>
            </w:r>
          </w:p>
        </w:tc>
        <w:tc>
          <w:tcPr>
            <w:tcW w:w="3171" w:type="dxa"/>
            <w:vAlign w:val="center"/>
          </w:tcPr>
          <w:p>
            <w:pPr>
              <w:keepNext/>
              <w:spacing w:before="50" w:after="50" w:line="240" w:lineRule="auto"/>
              <w:ind w:firstLine="0"/>
              <w:jc w:val="left"/>
            </w:pPr>
            <w:r>
              <w:rPr>
                <w:sz w:val="18"/>
                <w:szCs w:val="18"/>
              </w:rPr>
              <w:t xml:space="preserve">Visualização analítica</w:t>
            </w:r>
          </w:p>
        </w:tc>
      </w:tr>
    </w:tbl>
    <w:p>
      <w:pPr>
        <w:pStyle w:val="Legenda"/>
        <w:spacing w:before="80" w:after="240"/>
      </w:pPr>
      <w:bookmarkStart w:id="119" w:name="_TocCapTcont"/>
      <w:bookmarkStart w:id="120" w:name="_RefTab_cont"/>
      <w:r>
        <w:t xml:space="preserve">Tabela </w:t>
      </w:r>
      <w:r>
        <w:fldChar w:fldCharType="begin"/>
      </w:r>
      <w:r>
        <w:instrText xml:space="preserve"> SEQ Tabela \* ARABIC </w:instrText>
      </w:r>
      <w:r>
        <w:fldChar w:fldCharType="separate"/>
      </w:r>
      <w:r>
        <w:rPr>
          <w:noProof/>
        </w:rPr>
        <w:t>4</w:t>
      </w:r>
      <w:r>
        <w:fldChar w:fldCharType="end"/>
      </w:r>
      <w:bookmarkEnd w:id="120"/>
      <w:r>
        <w:t xml:space="preserve">: Contentores que compõem o ambiente de execução.</w:t>
      </w:r>
      <w:bookmarkEnd w:id="119"/>
    </w:p>
    <w:p>
      <w:r>
        <w:t xml:space="preserve">O KNIME Analytics Platform constitui a exceção a este ambiente: por se tratar de uma aplicação de </w:t>
      </w:r>
      <w:r>
        <w:rPr>
          <w:i/>
          <w:iCs/>
        </w:rPr>
        <w:t xml:space="preserve">desktop</w:t>
      </w:r>
      <w:r>
        <w:t xml:space="preserve"> com interface gráfica, é executado diretamente no anfitrião, acedendo ao PostgreSQL através da porta 5432 publicada pelo contentor </w:t>
      </w:r>
      <w:r>
        <w:rPr>
          <w:rFonts w:ascii="Courier New" w:hAnsi="Courier New" w:cs="Courier New"/>
          <w:sz w:val="21"/>
          <w:szCs w:val="21"/>
        </w:rPr>
        <w:t xml:space="preserve">tech_power_db</w:t>
      </w:r>
      <w:r>
        <w:t xml:space="preserve">. O Telegram, por ser um serviço externo, é igualmente alcançado a partir do anfitrião através da Internet.</w:t>
      </w:r>
    </w:p>
    <w:p>
      <w:pPr>
        <w:pStyle w:val="Cabealho2"/>
        <w:keepNext/>
        <w:spacing w:before="320" w:after="160"/>
      </w:pPr>
      <w:bookmarkStart w:id="121" w:name="_Toc_escolhas"/>
      <w:r>
        <w:t xml:space="preserve">Justificação das Escolhas Tecnológicas</w:t>
      </w:r>
      <w:bookmarkEnd w:id="121"/>
    </w:p>
    <w:p>
      <w:r>
        <w:t xml:space="preserve">A seleção de cada componente foi orientada pelas necessidades do problema:</w:t>
      </w:r>
    </w:p>
    <w:p>
      <w:pPr>
        <w:pStyle w:val="PargrafodaLista"/>
        <w:numPr>
          <w:ilvl w:val="0"/>
          <w:numId w:val="3"/>
        </w:numPr>
        <w:spacing w:after="60"/>
        <w:contextualSpacing w:val="0"/>
      </w:pPr>
      <w:r>
        <w:rPr>
          <w:b/>
          <w:bCs/>
        </w:rPr>
        <w:t xml:space="preserve">KNIME Analytics Platform</w:t>
      </w:r>
      <w:r>
        <w:t xml:space="preserve"> — ferramenta de ETL visual, expressamente sugerida no enunciado, que disponibiliza nós nativos para leitura de CSV, pedidos HTTP, </w:t>
      </w:r>
      <w:r>
        <w:rPr>
          <w:i/>
          <w:iCs/>
        </w:rPr>
        <w:t xml:space="preserve">parsing</w:t>
      </w:r>
      <w:r>
        <w:t xml:space="preserve"> de JSON, extração de HTML por XPath, junções, regras de negócio e escrita em BD, permitindo construir um fluxo multi-formato sem programação explícita (KNIME, s.d.);</w:t>
      </w:r>
    </w:p>
    <w:p>
      <w:pPr>
        <w:pStyle w:val="PargrafodaLista"/>
        <w:numPr>
          <w:ilvl w:val="0"/>
          <w:numId w:val="3"/>
        </w:numPr>
        <w:spacing w:after="60"/>
        <w:contextualSpacing w:val="0"/>
      </w:pPr>
      <w:r>
        <w:rPr>
          <w:b/>
          <w:bCs/>
        </w:rPr>
        <w:t xml:space="preserve">Node-RED</w:t>
      </w:r>
      <w:r>
        <w:t xml:space="preserve"> — ferramenta de programação baseada em fluxos, orientada a eventos, adequada à recolha periódica e ao encaminhamento de mensagens, com nós para HTTP, AMQP, PostgreSQL e execução de JavaScript (Node-RED, s.d.);</w:t>
      </w:r>
    </w:p>
    <w:p>
      <w:pPr>
        <w:pStyle w:val="PargrafodaLista"/>
        <w:numPr>
          <w:ilvl w:val="0"/>
          <w:numId w:val="3"/>
        </w:numPr>
        <w:spacing w:after="60"/>
        <w:contextualSpacing w:val="0"/>
      </w:pPr>
      <w:r>
        <w:rPr>
          <w:b/>
          <w:bCs/>
        </w:rPr>
        <w:t xml:space="preserve">RabbitMQ</w:t>
      </w:r>
      <w:r>
        <w:t xml:space="preserve"> — </w:t>
      </w:r>
      <w:r>
        <w:rPr>
          <w:i/>
          <w:iCs/>
        </w:rPr>
        <w:t xml:space="preserve">broker</w:t>
      </w:r>
      <w:r>
        <w:t xml:space="preserve"> de mensagens baseado no protocolo </w:t>
      </w:r>
      <w:r>
        <w:rPr>
          <w:i/>
          <w:iCs/>
        </w:rPr>
        <w:t xml:space="preserve">Advanced Message Queuing Protocol</w:t>
      </w:r>
      <w:r>
        <w:t xml:space="preserve"> (AMQP), escolhido para desacoplar a extração da persistência: se a BD estiver temporariamente indisponível ou lenta, as mensagens permanecem na fila, sem perda de dados e sem bloquear a recolha (RabbitMQ, s.d.);</w:t>
      </w:r>
    </w:p>
    <w:p>
      <w:pPr>
        <w:pStyle w:val="PargrafodaLista"/>
        <w:numPr>
          <w:ilvl w:val="0"/>
          <w:numId w:val="3"/>
        </w:numPr>
        <w:spacing w:after="60"/>
        <w:contextualSpacing w:val="0"/>
      </w:pPr>
      <w:r>
        <w:rPr>
          <w:b/>
          <w:bCs/>
        </w:rPr>
        <w:t xml:space="preserve">PostgreSQL 16</w:t>
      </w:r>
      <w:r>
        <w:t xml:space="preserve"> — sistema de gestão de bases de dados relacional, adequado a esquemas estáveis e a agregações analíticas em </w:t>
      </w:r>
      <w:r>
        <w:rPr>
          <w:i/>
          <w:iCs/>
        </w:rPr>
        <w:t xml:space="preserve">Structured Query Language</w:t>
      </w:r>
      <w:r>
        <w:t xml:space="preserve"> (SQL), como contagens, mínimos, médias, máximos e agrupamentos, e que suporta nativamente a cláusula </w:t>
      </w:r>
      <w:r>
        <w:rPr>
          <w:rFonts w:ascii="Courier New" w:hAnsi="Courier New" w:cs="Courier New"/>
          <w:sz w:val="21"/>
          <w:szCs w:val="21"/>
        </w:rPr>
        <w:t xml:space="preserve">ON CONFLICT</w:t>
      </w:r>
      <w:r>
        <w:t xml:space="preserve"> usada na deduplicação (PostgreSQL Global Development Group, s.d.);</w:t>
      </w:r>
    </w:p>
    <w:p>
      <w:pPr>
        <w:pStyle w:val="PargrafodaLista"/>
        <w:numPr>
          <w:ilvl w:val="0"/>
          <w:numId w:val="3"/>
        </w:numPr>
        <w:spacing w:after="60"/>
        <w:contextualSpacing w:val="0"/>
      </w:pPr>
      <w:r>
        <w:rPr>
          <w:b/>
          <w:bCs/>
        </w:rPr>
        <w:t xml:space="preserve">Grafana</w:t>
      </w:r>
      <w:r>
        <w:t xml:space="preserve"> — plataforma de visualização com ligação nativa ao PostgreSQL e suporte para variáveis dinâmicas, que permitem filtrar todos os painéis em simultâneo (Grafana Labs, s.d.);</w:t>
      </w:r>
    </w:p>
    <w:p>
      <w:pPr>
        <w:pStyle w:val="PargrafodaLista"/>
        <w:numPr>
          <w:ilvl w:val="0"/>
          <w:numId w:val="3"/>
        </w:numPr>
        <w:spacing w:after="60"/>
        <w:contextualSpacing w:val="0"/>
      </w:pPr>
      <w:r>
        <w:rPr>
          <w:b/>
          <w:bCs/>
        </w:rPr>
        <w:t xml:space="preserve">Telegram Bot API</w:t>
      </w:r>
      <w:r>
        <w:t xml:space="preserve"> — canal de notificação gratuito e de integração simples por pedido HTTP, usado para concretizar o requisito de alertas automáticos previsto no enunciado (Telegram, s.d.);</w:t>
      </w:r>
    </w:p>
    <w:p>
      <w:pPr>
        <w:pStyle w:val="PargrafodaLista"/>
        <w:numPr>
          <w:ilvl w:val="0"/>
          <w:numId w:val="3"/>
        </w:numPr>
        <w:spacing w:after="60"/>
        <w:contextualSpacing w:val="0"/>
      </w:pPr>
      <w:r>
        <w:rPr>
          <w:b/>
          <w:bCs/>
        </w:rPr>
        <w:t xml:space="preserve">Docker</w:t>
      </w:r>
      <w:r>
        <w:t xml:space="preserve"> — contentorização e orquestração dos serviços numa rede interna (Docker, s.d.).</w:t>
      </w:r>
    </w:p>
    <w:p>
      <w:pPr>
        <w:pStyle w:val="Cabealho2"/>
        <w:keepNext/>
        <w:spacing w:before="320" w:after="160"/>
      </w:pPr>
      <w:bookmarkStart w:id="122" w:name="_Toc_evolucao"/>
      <w:r>
        <w:t xml:space="preserve">Evolução da Solução e Abordagens Exploradas</w:t>
      </w:r>
      <w:bookmarkEnd w:id="122"/>
    </w:p>
    <w:p>
      <w:r>
        <w:t xml:space="preserve">A arquitetura apresentada não foi definida à partida: resultou de um processo iterativo, em que várias abordagens foram ensaiadas, avaliadas e, nalguns casos, abandonadas. Documentam-se nesta secção as decisões mais relevantes e as respetivas razões, por constituírem parte do trabalho desenvolvido e por justificarem a forma final da solução. A </w:t>
      </w:r>
      <w:r>
        <w:fldChar w:fldCharType="begin"/>
      </w:r>
      <w:r>
        <w:instrText xml:space="preserve"> REF _RefTab_tentativas \h </w:instrText>
      </w:r>
      <w:r>
        <w:fldChar w:fldCharType="separate"/>
      </w:r>
      <w:r>
        <w:t xml:space="preserve">Tabela 5</w:t>
      </w:r>
      <w:r>
        <w:fldChar w:fldCharType="end"/>
      </w:r>
      <w:r>
        <w:t xml:space="preserve"> resume o percurso.</w:t>
      </w:r>
    </w:p>
    <w:p>
      <w:pPr>
        <w:spacing w:before="0" w:after="0" w:line="120" w:lineRule="exact"/>
        <w:ind w:firstLine="0"/>
      </w:pPr>
    </w:p>
    <w:tbl>
      <w:tblPr>
        <w:tblStyle w:val="Tabelacomgrelha"/>
        <w:tblW w:w="9071" w:type="dxa"/>
        <w:jc w:val="center"/>
        <w:tblLayout w:type="fixed"/>
        <w:tblCellMar>
          <w:top w:w="30" w:type="dxa"/>
          <w:left w:w="100" w:type="dxa"/>
          <w:bottom w:w="30" w:type="dxa"/>
          <w:right w:w="100" w:type="dxa"/>
        </w:tblCellMar>
        <w:tblLook w:val="04A0" w:firstRow="1" w:lastRow="0" w:firstColumn="0" w:lastColumn="0" w:noHBand="0" w:noVBand="1"/>
      </w:tblPr>
      <w:tblGrid>
        <w:gridCol w:w="2250"/>
        <w:gridCol w:w="3321"/>
        <w:gridCol w:w="3500"/>
      </w:tblGrid>
      <w:tr>
        <w:trPr>
          <w:cantSplit/>
          <w:tblHeader/>
        </w:trPr>
        <w:tc>
          <w:tcPr>
            <w:tcW w:w="2250" w:type="dxa"/>
            <w:shd w:val="clear" w:color="auto" w:fill="D9D9D9"/>
            <w:vAlign w:val="center"/>
          </w:tcPr>
          <w:p>
            <w:pPr>
              <w:keepNext/>
              <w:spacing w:before="50" w:after="50" w:line="240" w:lineRule="auto"/>
              <w:ind w:firstLine="0"/>
              <w:jc w:val="center"/>
            </w:pPr>
            <w:r>
              <w:rPr>
                <w:b/>
                <w:bCs/>
                <w:sz w:val="18"/>
                <w:szCs w:val="18"/>
              </w:rPr>
              <w:t xml:space="preserve">Abordagem ensaiada</w:t>
            </w:r>
          </w:p>
        </w:tc>
        <w:tc>
          <w:tcPr>
            <w:tcW w:w="3321" w:type="dxa"/>
            <w:shd w:val="clear" w:color="auto" w:fill="D9D9D9"/>
            <w:vAlign w:val="center"/>
          </w:tcPr>
          <w:p>
            <w:pPr>
              <w:keepNext/>
              <w:spacing w:before="50" w:after="50" w:line="240" w:lineRule="auto"/>
              <w:ind w:firstLine="0"/>
              <w:jc w:val="center"/>
            </w:pPr>
            <w:r>
              <w:rPr>
                <w:b/>
                <w:bCs/>
                <w:sz w:val="18"/>
                <w:szCs w:val="18"/>
              </w:rPr>
              <w:t xml:space="preserve">Limitação encontrada</w:t>
            </w:r>
          </w:p>
        </w:tc>
        <w:tc>
          <w:tcPr>
            <w:tcW w:w="3500" w:type="dxa"/>
            <w:shd w:val="clear" w:color="auto" w:fill="D9D9D9"/>
            <w:vAlign w:val="center"/>
          </w:tcPr>
          <w:p>
            <w:pPr>
              <w:keepNext/>
              <w:spacing w:before="50" w:after="50" w:line="240" w:lineRule="auto"/>
              <w:ind w:firstLine="0"/>
              <w:jc w:val="center"/>
            </w:pPr>
            <w:r>
              <w:rPr>
                <w:b/>
                <w:bCs/>
                <w:sz w:val="18"/>
                <w:szCs w:val="18"/>
              </w:rPr>
              <w:t xml:space="preserve">Decisão final</w:t>
            </w:r>
          </w:p>
        </w:tc>
      </w:tr>
      <w:tr>
        <w:trPr>
          <w:cantSplit/>
        </w:trPr>
        <w:tc>
          <w:tcPr>
            <w:tcW w:w="2250" w:type="dxa"/>
            <w:vAlign w:val="center"/>
          </w:tcPr>
          <w:p>
            <w:pPr>
              <w:keepNext/>
              <w:spacing w:before="50" w:after="50" w:line="240" w:lineRule="auto"/>
              <w:ind w:firstLine="0"/>
              <w:jc w:val="left"/>
            </w:pPr>
            <w:r>
              <w:rPr>
                <w:sz w:val="18"/>
                <w:szCs w:val="18"/>
              </w:rPr>
              <w:t xml:space="preserve">Node-RED como única ferramenta de ETL</w:t>
            </w:r>
          </w:p>
        </w:tc>
        <w:tc>
          <w:tcPr>
            <w:tcW w:w="3321" w:type="dxa"/>
            <w:vAlign w:val="center"/>
          </w:tcPr>
          <w:p>
            <w:pPr>
              <w:keepNext/>
              <w:spacing w:before="50" w:after="50" w:line="240" w:lineRule="auto"/>
              <w:ind w:firstLine="0"/>
              <w:jc w:val="left"/>
            </w:pPr>
            <w:r>
              <w:rPr>
                <w:sz w:val="18"/>
                <w:szCs w:val="18"/>
              </w:rPr>
              <w:t xml:space="preserve">Enriquecimento limitado a constantes escritas no código, para dois países apenas; ausência de nós nativos para CSV e </w:t>
            </w:r>
            <w:r>
              <w:rPr>
                <w:i/>
                <w:iCs/>
                <w:sz w:val="18"/>
                <w:szCs w:val="18"/>
              </w:rPr>
              <w:t xml:space="preserve">web scraping</w:t>
            </w:r>
          </w:p>
        </w:tc>
        <w:tc>
          <w:tcPr>
            <w:tcW w:w="3500" w:type="dxa"/>
            <w:vAlign w:val="center"/>
          </w:tcPr>
          <w:p>
            <w:pPr>
              <w:keepNext/>
              <w:spacing w:before="50" w:after="50" w:line="240" w:lineRule="auto"/>
              <w:ind w:firstLine="0"/>
              <w:jc w:val="left"/>
            </w:pPr>
            <w:r>
              <w:rPr>
                <w:sz w:val="18"/>
                <w:szCs w:val="18"/>
              </w:rPr>
              <w:t xml:space="preserve">Introdução do KNIME para o processamento em lote multi-formato, mantendo o Node-RED para a ingestão contínua</w:t>
            </w:r>
          </w:p>
        </w:tc>
      </w:tr>
      <w:tr>
        <w:trPr>
          <w:cantSplit/>
        </w:trPr>
        <w:tc>
          <w:tcPr>
            <w:tcW w:w="2250" w:type="dxa"/>
            <w:vAlign w:val="center"/>
          </w:tcPr>
          <w:p>
            <w:pPr>
              <w:keepNext/>
              <w:spacing w:before="50" w:after="50" w:line="240" w:lineRule="auto"/>
              <w:ind w:firstLine="0"/>
              <w:jc w:val="left"/>
            </w:pPr>
            <w:r>
              <w:rPr>
                <w:sz w:val="18"/>
                <w:szCs w:val="18"/>
              </w:rPr>
              <w:t xml:space="preserve">Índices de custo de vida como constantes no nó Normal Data</w:t>
            </w:r>
          </w:p>
        </w:tc>
        <w:tc>
          <w:tcPr>
            <w:tcW w:w="3321" w:type="dxa"/>
            <w:vAlign w:val="center"/>
          </w:tcPr>
          <w:p>
            <w:pPr>
              <w:keepNext/>
              <w:spacing w:before="50" w:after="50" w:line="240" w:lineRule="auto"/>
              <w:ind w:firstLine="0"/>
              <w:jc w:val="left"/>
            </w:pPr>
            <w:r>
              <w:rPr>
                <w:sz w:val="18"/>
                <w:szCs w:val="18"/>
              </w:rPr>
              <w:t xml:space="preserve">Valores fixos e desatualizados, limitados ao Reino Unido e à Irlanda</w:t>
            </w:r>
          </w:p>
        </w:tc>
        <w:tc>
          <w:tcPr>
            <w:tcW w:w="3500" w:type="dxa"/>
            <w:vAlign w:val="center"/>
          </w:tcPr>
          <w:p>
            <w:pPr>
              <w:keepNext/>
              <w:spacing w:before="50" w:after="50" w:line="240" w:lineRule="auto"/>
              <w:ind w:firstLine="0"/>
              <w:jc w:val="left"/>
            </w:pPr>
            <w:r>
              <w:rPr>
                <w:sz w:val="18"/>
                <w:szCs w:val="18"/>
              </w:rPr>
              <w:t xml:space="preserve">Extração por XPath da página do Numbeo, abrangendo os dez mercados analisados</w:t>
            </w:r>
          </w:p>
        </w:tc>
      </w:tr>
      <w:tr>
        <w:trPr>
          <w:cantSplit/>
        </w:trPr>
        <w:tc>
          <w:tcPr>
            <w:tcW w:w="2250" w:type="dxa"/>
            <w:vAlign w:val="center"/>
          </w:tcPr>
          <w:p>
            <w:pPr>
              <w:keepNext/>
              <w:spacing w:before="50" w:after="50" w:line="240" w:lineRule="auto"/>
              <w:ind w:firstLine="0"/>
              <w:jc w:val="left"/>
            </w:pPr>
            <w:r>
              <w:rPr>
                <w:sz w:val="18"/>
                <w:szCs w:val="18"/>
              </w:rPr>
              <w:t xml:space="preserve">MongoDB como destino do fluxo do Node-RED</w:t>
            </w:r>
          </w:p>
        </w:tc>
        <w:tc>
          <w:tcPr>
            <w:tcW w:w="3321" w:type="dxa"/>
            <w:vAlign w:val="center"/>
          </w:tcPr>
          <w:p>
            <w:pPr>
              <w:keepNext/>
              <w:spacing w:before="50" w:after="50" w:line="240" w:lineRule="auto"/>
              <w:ind w:firstLine="0"/>
              <w:jc w:val="left"/>
            </w:pPr>
            <w:r>
              <w:rPr>
                <w:sz w:val="18"/>
                <w:szCs w:val="18"/>
              </w:rPr>
              <w:t xml:space="preserve">Limitações do plano gratuito; ligação ao Grafana exigiria componente adicional</w:t>
            </w:r>
          </w:p>
        </w:tc>
        <w:tc>
          <w:tcPr>
            <w:tcW w:w="3500" w:type="dxa"/>
            <w:vAlign w:val="center"/>
          </w:tcPr>
          <w:p>
            <w:pPr>
              <w:keepNext/>
              <w:spacing w:before="50" w:after="50" w:line="240" w:lineRule="auto"/>
              <w:ind w:firstLine="0"/>
              <w:jc w:val="left"/>
            </w:pPr>
            <w:r>
              <w:rPr>
                <w:sz w:val="18"/>
                <w:szCs w:val="18"/>
              </w:rPr>
              <w:t xml:space="preserve">Segunda tabela no PostgreSQL (</w:t>
            </w:r>
            <w:r>
              <w:rPr>
                <w:rFonts w:ascii="Courier New" w:hAnsi="Courier New" w:cs="Courier New"/>
                <w:sz w:val="16"/>
                <w:szCs w:val="16"/>
              </w:rPr>
              <w:t xml:space="preserve">vagas_nodered</w:t>
            </w:r>
            <w:r>
              <w:rPr>
                <w:sz w:val="18"/>
                <w:szCs w:val="18"/>
              </w:rPr>
              <w:t xml:space="preserve">), isolada da tabela do KNIME</w:t>
            </w:r>
          </w:p>
        </w:tc>
      </w:tr>
      <w:tr>
        <w:trPr>
          <w:cantSplit/>
        </w:trPr>
        <w:tc>
          <w:tcPr>
            <w:tcW w:w="2250" w:type="dxa"/>
            <w:vAlign w:val="center"/>
          </w:tcPr>
          <w:p>
            <w:pPr>
              <w:keepNext/>
              <w:spacing w:before="50" w:after="50" w:line="240" w:lineRule="auto"/>
              <w:ind w:firstLine="0"/>
              <w:jc w:val="left"/>
            </w:pPr>
            <w:r>
              <w:rPr>
                <w:sz w:val="18"/>
                <w:szCs w:val="18"/>
              </w:rPr>
              <w:t xml:space="preserve">Tabela única partilhada pelas duas vias</w:t>
            </w:r>
          </w:p>
        </w:tc>
        <w:tc>
          <w:tcPr>
            <w:tcW w:w="3321" w:type="dxa"/>
            <w:vAlign w:val="center"/>
          </w:tcPr>
          <w:p>
            <w:pPr>
              <w:keepNext/>
              <w:spacing w:before="50" w:after="50" w:line="240" w:lineRule="auto"/>
              <w:ind w:firstLine="0"/>
              <w:jc w:val="left"/>
            </w:pPr>
            <w:r>
              <w:rPr>
                <w:sz w:val="18"/>
                <w:szCs w:val="18"/>
              </w:rPr>
              <w:t xml:space="preserve">O modo de substituição do nó DB Writer apagava os registos inseridos em tempo real</w:t>
            </w:r>
          </w:p>
        </w:tc>
        <w:tc>
          <w:tcPr>
            <w:tcW w:w="3500" w:type="dxa"/>
            <w:vAlign w:val="center"/>
          </w:tcPr>
          <w:p>
            <w:pPr>
              <w:keepNext/>
              <w:spacing w:before="50" w:after="50" w:line="240" w:lineRule="auto"/>
              <w:ind w:firstLine="0"/>
              <w:jc w:val="left"/>
            </w:pPr>
            <w:r>
              <w:rPr>
                <w:sz w:val="18"/>
                <w:szCs w:val="18"/>
              </w:rPr>
              <w:t xml:space="preserve">Separação em duas tabelas com modelos de escrita distintos</w:t>
            </w:r>
          </w:p>
        </w:tc>
      </w:tr>
      <w:tr>
        <w:trPr>
          <w:cantSplit/>
        </w:trPr>
        <w:tc>
          <w:tcPr>
            <w:tcW w:w="2250" w:type="dxa"/>
            <w:vAlign w:val="center"/>
          </w:tcPr>
          <w:p>
            <w:pPr>
              <w:keepNext/>
              <w:spacing w:before="50" w:after="50" w:line="240" w:lineRule="auto"/>
              <w:ind w:firstLine="0"/>
              <w:jc w:val="left"/>
            </w:pPr>
            <w:r>
              <w:rPr>
                <w:sz w:val="18"/>
                <w:szCs w:val="18"/>
              </w:rPr>
              <w:t xml:space="preserve">Inserção simples (</w:t>
            </w:r>
            <w:r>
              <w:rPr>
                <w:rFonts w:ascii="Courier New" w:hAnsi="Courier New" w:cs="Courier New"/>
                <w:sz w:val="16"/>
                <w:szCs w:val="16"/>
              </w:rPr>
              <w:t xml:space="preserve">INSERT</w:t>
            </w:r>
            <w:r>
              <w:rPr>
                <w:sz w:val="18"/>
                <w:szCs w:val="18"/>
              </w:rPr>
              <w:t xml:space="preserve">) na via contínua</w:t>
            </w:r>
          </w:p>
        </w:tc>
        <w:tc>
          <w:tcPr>
            <w:tcW w:w="3321" w:type="dxa"/>
            <w:vAlign w:val="center"/>
          </w:tcPr>
          <w:p>
            <w:pPr>
              <w:keepNext/>
              <w:spacing w:before="50" w:after="50" w:line="240" w:lineRule="auto"/>
              <w:ind w:firstLine="0"/>
              <w:jc w:val="left"/>
            </w:pPr>
            <w:r>
              <w:rPr>
                <w:sz w:val="18"/>
                <w:szCs w:val="18"/>
              </w:rPr>
              <w:t xml:space="preserve">Acumulação de registos duplicados a cada execução horária</w:t>
            </w:r>
          </w:p>
        </w:tc>
        <w:tc>
          <w:tcPr>
            <w:tcW w:w="3500" w:type="dxa"/>
            <w:vAlign w:val="center"/>
          </w:tcPr>
          <w:p>
            <w:pPr>
              <w:keepNext/>
              <w:spacing w:before="50" w:after="50" w:line="240" w:lineRule="auto"/>
              <w:ind w:firstLine="0"/>
              <w:jc w:val="left"/>
            </w:pPr>
            <w:r>
              <w:rPr>
                <w:sz w:val="18"/>
                <w:szCs w:val="18"/>
              </w:rPr>
              <w:t xml:space="preserve">Restrição de unicidade e escrita por cima (</w:t>
            </w:r>
            <w:r>
              <w:rPr>
                <w:rFonts w:ascii="Courier New" w:hAnsi="Courier New" w:cs="Courier New"/>
                <w:sz w:val="16"/>
                <w:szCs w:val="16"/>
              </w:rPr>
              <w:t xml:space="preserve">ON CONFLICT DO UPDATE</w:t>
            </w:r>
            <w:r>
              <w:rPr>
                <w:sz w:val="18"/>
                <w:szCs w:val="18"/>
              </w:rPr>
              <w:t xml:space="preserve">)</w:t>
            </w:r>
          </w:p>
        </w:tc>
      </w:tr>
      <w:tr>
        <w:trPr>
          <w:cantSplit/>
        </w:trPr>
        <w:tc>
          <w:tcPr>
            <w:tcW w:w="2250" w:type="dxa"/>
            <w:vAlign w:val="center"/>
          </w:tcPr>
          <w:p>
            <w:pPr>
              <w:keepNext/>
              <w:spacing w:before="50" w:after="50" w:line="240" w:lineRule="auto"/>
              <w:ind w:firstLine="0"/>
              <w:jc w:val="left"/>
            </w:pPr>
            <w:r>
              <w:rPr>
                <w:sz w:val="18"/>
                <w:szCs w:val="18"/>
              </w:rPr>
              <w:t xml:space="preserve">Execução manual do </w:t>
            </w:r>
            <w:r>
              <w:rPr>
                <w:i/>
                <w:iCs/>
                <w:sz w:val="18"/>
                <w:szCs w:val="18"/>
              </w:rPr>
              <w:t xml:space="preserve">workflow</w:t>
            </w:r>
            <w:r>
              <w:rPr>
                <w:sz w:val="18"/>
                <w:szCs w:val="18"/>
              </w:rPr>
              <w:t xml:space="preserve"> do KNIME</w:t>
            </w:r>
          </w:p>
        </w:tc>
        <w:tc>
          <w:tcPr>
            <w:tcW w:w="3321" w:type="dxa"/>
            <w:vAlign w:val="center"/>
          </w:tcPr>
          <w:p>
            <w:pPr>
              <w:keepNext/>
              <w:spacing w:before="50" w:after="50" w:line="240" w:lineRule="auto"/>
              <w:ind w:firstLine="0"/>
              <w:jc w:val="left"/>
            </w:pPr>
            <w:r>
              <w:rPr>
                <w:sz w:val="18"/>
                <w:szCs w:val="18"/>
              </w:rPr>
              <w:t xml:space="preserve">Dependência de intervenção do utilizador; desalinhamento face à via contínua</w:t>
            </w:r>
          </w:p>
        </w:tc>
        <w:tc>
          <w:tcPr>
            <w:tcW w:w="3500" w:type="dxa"/>
            <w:vAlign w:val="center"/>
          </w:tcPr>
          <w:p>
            <w:pPr>
              <w:keepNext/>
              <w:spacing w:before="50" w:after="50" w:line="240" w:lineRule="auto"/>
              <w:ind w:firstLine="0"/>
              <w:jc w:val="left"/>
            </w:pPr>
            <w:r>
              <w:rPr>
                <w:sz w:val="18"/>
                <w:szCs w:val="18"/>
              </w:rPr>
              <w:t xml:space="preserve">Encapsulamento num ciclo com nó </w:t>
            </w:r>
            <w:r>
              <w:rPr>
                <w:i/>
                <w:iCs/>
                <w:sz w:val="18"/>
                <w:szCs w:val="18"/>
              </w:rPr>
              <w:t xml:space="preserve">Wait</w:t>
            </w:r>
            <w:r>
              <w:rPr>
                <w:sz w:val="18"/>
                <w:szCs w:val="18"/>
              </w:rPr>
              <w:t xml:space="preserve"> de uma hora</w:t>
            </w:r>
          </w:p>
        </w:tc>
      </w:tr>
    </w:tbl>
    <w:p>
      <w:pPr>
        <w:pStyle w:val="Legenda"/>
        <w:spacing w:before="80" w:after="240"/>
      </w:pPr>
      <w:bookmarkStart w:id="123" w:name="_TocCapTtentativas"/>
      <w:bookmarkStart w:id="124" w:name="_RefTab_tentativas"/>
      <w:r>
        <w:t xml:space="preserve">Tabela </w:t>
      </w:r>
      <w:r>
        <w:fldChar w:fldCharType="begin"/>
      </w:r>
      <w:r>
        <w:instrText xml:space="preserve"> SEQ Tabela \* ARABIC </w:instrText>
      </w:r>
      <w:r>
        <w:fldChar w:fldCharType="separate"/>
      </w:r>
      <w:r>
        <w:rPr>
          <w:noProof/>
        </w:rPr>
        <w:t>5</w:t>
      </w:r>
      <w:r>
        <w:fldChar w:fldCharType="end"/>
      </w:r>
      <w:bookmarkEnd w:id="124"/>
      <w:r>
        <w:t xml:space="preserve">: Abordagens exploradas ao longo do desenvolvimento e decisão final.</w:t>
      </w:r>
      <w:bookmarkEnd w:id="123"/>
    </w:p>
    <w:p>
      <w:pPr>
        <w:pStyle w:val="Cabealho3"/>
        <w:keepNext/>
        <w:spacing w:before="200" w:after="100"/>
      </w:pPr>
      <w:bookmarkStart w:id="125" w:name="_Toc_nosql"/>
      <w:r>
        <w:t xml:space="preserve">Tentativa de Diversificação com MongoDB</w:t>
      </w:r>
      <w:bookmarkEnd w:id="125"/>
    </w:p>
    <w:p>
      <w:r>
        <w:t xml:space="preserve">Uma das linhas exploradas com maior persistência foi a introdução de uma BD </w:t>
      </w:r>
      <w:r>
        <w:rPr>
          <w:i/>
          <w:iCs/>
        </w:rPr>
        <w:t xml:space="preserve">Not only SQL</w:t>
      </w:r>
      <w:r>
        <w:t xml:space="preserve"> (NoSQL), concretamente o MongoDB, como destino do fluxo do Node-RED (MongoDB, s.d.). A motivação era dupla. Por um lado, </w:t>
      </w:r>
      <w:r>
        <w:rPr>
          <w:b/>
          <w:bCs/>
        </w:rPr>
        <w:t xml:space="preserve">diversificar as tecnologias de persistência</w:t>
      </w:r>
      <w:r>
        <w:t xml:space="preserve">, demonstrando a integração de dois paradigmas distintos de armazenamento no mesmo </w:t>
      </w:r>
      <w:r>
        <w:rPr>
          <w:i/>
          <w:iCs/>
        </w:rPr>
        <w:t xml:space="preserve">pipeline</w:t>
      </w:r>
      <w:r>
        <w:t xml:space="preserve"> — um relacional e um orientado a documentos — o que acrescentaria valor ao trabalho enquanto exercício de integração de sistemas. Por outro, o modelo documental afigurava-se adequado à via contínua: as ofertas chegam como documentos JSON e poderiam ser armazenadas sem conversão prévia para um esquema tabular fixo.</w:t>
      </w:r>
    </w:p>
    <w:p>
      <w:r>
        <w:t xml:space="preserve">A abordagem foi abandonada por </w:t>
      </w:r>
      <w:r>
        <w:rPr>
          <w:b/>
          <w:bCs/>
        </w:rPr>
        <w:t xml:space="preserve">limitações do plano gratuito</w:t>
      </w:r>
      <w:r>
        <w:t xml:space="preserve"> do serviço, que condicionaram a dimensão do armazenamento e o número de operações disponíveis, inviabilizando a ingestão horária continuada pretendida. Acresce que a ligação do Grafana ao MongoDB não é nativa, ao contrário do que sucede com o PostgreSQL, exigindo um componente intermédio adicional que aumentaria a complexidade da arquitetura sem benefício analítico correspondente.</w:t>
      </w:r>
    </w:p>
    <w:p>
      <w:r>
        <w:t xml:space="preserve">A alternativa adotada preserva parcialmente o objetivo inicial: em vez de duas tecnologias de BD, mantêm-se </w:t>
      </w:r>
      <w:r>
        <w:rPr>
          <w:b/>
          <w:bCs/>
        </w:rPr>
        <w:t xml:space="preserve">duas tabelas com modelos de escrita distintos</w:t>
      </w:r>
      <w:r>
        <w:t xml:space="preserve"> na mesma instância PostgreSQL — uma escrita em lote por substituição e outra escrita continuamente por </w:t>
      </w:r>
      <w:r>
        <w:rPr>
          <w:i/>
          <w:iCs/>
        </w:rPr>
        <w:t xml:space="preserve">upsert</w:t>
      </w:r>
      <w:r>
        <w:t xml:space="preserve"> —, o que permite na mesma demonstrar a convivência de duas cadências e dois modelos de persistência no mesmo destino. A diversificação tecnológica acabou por ser assegurada noutras dimensões do trabalho: na extração, com três formatos e quatro origens distintas, e na exportação, com </w:t>
      </w:r>
      <w:r>
        <w:rPr>
          <w:i/>
          <w:iCs/>
        </w:rPr>
        <w:t xml:space="preserve">dashboard</w:t>
      </w:r>
      <w:r>
        <w:t xml:space="preserve"> analítico e notificações em tempo real.</w:t>
      </w:r>
    </w:p>
    <w:p>
      <w:pPr>
        <w:pStyle w:val="Cabealho3"/>
        <w:keepNext/>
        <w:spacing w:before="200" w:after="100"/>
      </w:pPr>
      <w:bookmarkStart w:id="126" w:name="_Toc_porque_pg"/>
      <w:r>
        <w:t xml:space="preserve">Justificação da Opção Final pelo PostgreSQL</w:t>
      </w:r>
      <w:bookmarkEnd w:id="126"/>
    </w:p>
    <w:p>
      <w:r>
        <w:t xml:space="preserve">A adoção final do PostgreSQL assenta em três razões: (i) as ofertas, depois de normalizadas, têm um esquema estável e tabular, que não beneficia da flexibilidade de um modelo documental; (ii) as consultas necessárias ao </w:t>
      </w:r>
      <w:r>
        <w:rPr>
          <w:i/>
          <w:iCs/>
        </w:rPr>
        <w:t xml:space="preserve">dashboard</w:t>
      </w:r>
      <w:r>
        <w:t xml:space="preserve"> são, na sua essência, agregações e filtros que se exprimem de forma natural em SQL; e (iii) o Grafana oferece uma fonte de dados PostgreSQL nativa, com suporte a variáveis dinâmicas baseadas em consultas </w:t>
      </w:r>
      <w:r>
        <w:rPr>
          <w:rFonts w:ascii="Courier New" w:hAnsi="Courier New" w:cs="Courier New"/>
          <w:sz w:val="21"/>
          <w:szCs w:val="21"/>
        </w:rPr>
        <w:t xml:space="preserve">SELECT DISTINCT</w:t>
      </w:r>
      <w:r>
        <w:t xml:space="preserve">, o que simplifica substancialmente a construção dos filtros.</w:t>
      </w:r>
    </w:p>
    <w:p>
      <w:pPr>
        <w:pStyle w:val="Cabealho2"/>
        <w:keepNext/>
        <w:spacing w:before="320" w:after="160"/>
      </w:pPr>
      <w:bookmarkStart w:id="127" w:name="_Toc_cobertura"/>
      <w:r>
        <w:t xml:space="preserve">Cobertura das Fases do ETL</w:t>
      </w:r>
      <w:bookmarkEnd w:id="127"/>
    </w:p>
    <w:p>
      <w:pPr>
        <w:pStyle w:val="Cabealho3"/>
        <w:keepNext/>
        <w:spacing w:before="200" w:after="100"/>
      </w:pPr>
      <w:bookmarkStart w:id="128" w:name="_Toc_f1"/>
      <w:r>
        <w:t xml:space="preserve">Fase 1 – Recolha e Preparação de Dados (E)</w:t>
      </w:r>
      <w:bookmarkEnd w:id="128"/>
    </w:p>
    <w:p>
      <w:r>
        <w:t xml:space="preserve">O enunciado exige o consumo de dados em pelo menos dois ou três formatos distintos e a partir de origens de natureza variada. A </w:t>
      </w:r>
      <w:r>
        <w:fldChar w:fldCharType="begin"/>
      </w:r>
      <w:r>
        <w:instrText xml:space="preserve"> REF _RefTab_fontes \h </w:instrText>
      </w:r>
      <w:r>
        <w:fldChar w:fldCharType="separate"/>
      </w:r>
      <w:r>
        <w:t xml:space="preserve">Tabela 6</w:t>
      </w:r>
      <w:r>
        <w:fldChar w:fldCharType="end"/>
      </w:r>
      <w:r>
        <w:t xml:space="preserve"> demonstra o cumprimento deste requisito, identificando para cada origem o formato, o mecanismo de acesso e a via que a consome.</w:t>
      </w:r>
    </w:p>
    <w:p>
      <w:pPr>
        <w:spacing w:before="0" w:after="0" w:line="120" w:lineRule="exact"/>
        <w:ind w:firstLine="0"/>
      </w:pPr>
    </w:p>
    <w:tbl>
      <w:tblPr>
        <w:tblStyle w:val="Tabelacomgrelha"/>
        <w:tblW w:w="9071" w:type="dxa"/>
        <w:jc w:val="center"/>
        <w:tblLayout w:type="fixed"/>
        <w:tblCellMar>
          <w:top w:w="30" w:type="dxa"/>
          <w:left w:w="100" w:type="dxa"/>
          <w:bottom w:w="30" w:type="dxa"/>
          <w:right w:w="100" w:type="dxa"/>
        </w:tblCellMar>
        <w:tblLook w:val="04A0" w:firstRow="1" w:lastRow="0" w:firstColumn="0" w:lastColumn="0" w:noHBand="0" w:noVBand="1"/>
      </w:tblPr>
      <w:tblGrid>
        <w:gridCol w:w="2000"/>
        <w:gridCol w:w="1250"/>
        <w:gridCol w:w="3021"/>
        <w:gridCol w:w="2800"/>
      </w:tblGrid>
      <w:tr>
        <w:trPr>
          <w:cantSplit/>
          <w:tblHeader/>
        </w:trPr>
        <w:tc>
          <w:tcPr>
            <w:tcW w:w="2000" w:type="dxa"/>
            <w:shd w:val="clear" w:color="auto" w:fill="D9D9D9"/>
            <w:vAlign w:val="center"/>
          </w:tcPr>
          <w:p>
            <w:pPr>
              <w:keepNext/>
              <w:spacing w:before="50" w:after="50" w:line="240" w:lineRule="auto"/>
              <w:ind w:firstLine="0"/>
              <w:jc w:val="center"/>
            </w:pPr>
            <w:r>
              <w:rPr>
                <w:b/>
                <w:bCs/>
                <w:sz w:val="20"/>
                <w:szCs w:val="20"/>
              </w:rPr>
              <w:t xml:space="preserve">Origem</w:t>
            </w:r>
          </w:p>
        </w:tc>
        <w:tc>
          <w:tcPr>
            <w:tcW w:w="1250" w:type="dxa"/>
            <w:shd w:val="clear" w:color="auto" w:fill="D9D9D9"/>
            <w:vAlign w:val="center"/>
          </w:tcPr>
          <w:p>
            <w:pPr>
              <w:keepNext/>
              <w:spacing w:before="50" w:after="50" w:line="240" w:lineRule="auto"/>
              <w:ind w:firstLine="0"/>
              <w:jc w:val="center"/>
            </w:pPr>
            <w:r>
              <w:rPr>
                <w:b/>
                <w:bCs/>
                <w:sz w:val="20"/>
                <w:szCs w:val="20"/>
              </w:rPr>
              <w:t xml:space="preserve">Formato</w:t>
            </w:r>
          </w:p>
        </w:tc>
        <w:tc>
          <w:tcPr>
            <w:tcW w:w="3021" w:type="dxa"/>
            <w:shd w:val="clear" w:color="auto" w:fill="D9D9D9"/>
            <w:vAlign w:val="center"/>
          </w:tcPr>
          <w:p>
            <w:pPr>
              <w:keepNext/>
              <w:spacing w:before="50" w:after="50" w:line="240" w:lineRule="auto"/>
              <w:ind w:firstLine="0"/>
              <w:jc w:val="center"/>
            </w:pPr>
            <w:r>
              <w:rPr>
                <w:b/>
                <w:bCs/>
                <w:sz w:val="20"/>
                <w:szCs w:val="20"/>
              </w:rPr>
              <w:t xml:space="preserve">Mecanismo de acesso</w:t>
            </w:r>
          </w:p>
        </w:tc>
        <w:tc>
          <w:tcPr>
            <w:tcW w:w="2800" w:type="dxa"/>
            <w:shd w:val="clear" w:color="auto" w:fill="D9D9D9"/>
            <w:vAlign w:val="center"/>
          </w:tcPr>
          <w:p>
            <w:pPr>
              <w:keepNext/>
              <w:spacing w:before="50" w:after="50" w:line="240" w:lineRule="auto"/>
              <w:ind w:firstLine="0"/>
              <w:jc w:val="center"/>
            </w:pPr>
            <w:r>
              <w:rPr>
                <w:b/>
                <w:bCs/>
                <w:sz w:val="20"/>
                <w:szCs w:val="20"/>
              </w:rPr>
              <w:t xml:space="preserve">Via</w:t>
            </w:r>
          </w:p>
        </w:tc>
      </w:tr>
      <w:tr>
        <w:trPr>
          <w:cantSplit/>
        </w:trPr>
        <w:tc>
          <w:tcPr>
            <w:tcW w:w="2000" w:type="dxa"/>
            <w:vAlign w:val="center"/>
          </w:tcPr>
          <w:p>
            <w:pPr>
              <w:keepNext/>
              <w:spacing w:before="50" w:after="50" w:line="240" w:lineRule="auto"/>
              <w:ind w:firstLine="0"/>
              <w:jc w:val="left"/>
            </w:pPr>
            <w:r>
              <w:rPr>
                <w:sz w:val="20"/>
                <w:szCs w:val="20"/>
              </w:rPr>
              <w:t xml:space="preserve">API REST da Reed</w:t>
            </w:r>
          </w:p>
        </w:tc>
        <w:tc>
          <w:tcPr>
            <w:tcW w:w="1250" w:type="dxa"/>
            <w:vAlign w:val="center"/>
          </w:tcPr>
          <w:p>
            <w:pPr>
              <w:keepNext/>
              <w:spacing w:before="50" w:after="50" w:line="240" w:lineRule="auto"/>
              <w:ind w:firstLine="0"/>
              <w:jc w:val="center"/>
            </w:pPr>
            <w:r>
              <w:rPr>
                <w:sz w:val="20"/>
                <w:szCs w:val="20"/>
              </w:rPr>
              <w:t xml:space="preserve">JSON</w:t>
            </w:r>
          </w:p>
        </w:tc>
        <w:tc>
          <w:tcPr>
            <w:tcW w:w="3021" w:type="dxa"/>
            <w:vAlign w:val="center"/>
          </w:tcPr>
          <w:p>
            <w:pPr>
              <w:keepNext/>
              <w:spacing w:before="50" w:after="50" w:line="240" w:lineRule="auto"/>
              <w:ind w:firstLine="0"/>
              <w:jc w:val="left"/>
            </w:pPr>
            <w:r>
              <w:rPr>
                <w:sz w:val="20"/>
                <w:szCs w:val="20"/>
              </w:rPr>
              <w:t xml:space="preserve">Pedidos HTTP GET a uma API REST remota</w:t>
            </w:r>
          </w:p>
        </w:tc>
        <w:tc>
          <w:tcPr>
            <w:tcW w:w="2800" w:type="dxa"/>
            <w:vAlign w:val="center"/>
          </w:tcPr>
          <w:p>
            <w:pPr>
              <w:keepNext/>
              <w:spacing w:before="50" w:after="50" w:line="240" w:lineRule="auto"/>
              <w:ind w:firstLine="0"/>
              <w:jc w:val="left"/>
            </w:pPr>
            <w:r>
              <w:rPr>
                <w:sz w:val="20"/>
                <w:szCs w:val="20"/>
              </w:rPr>
              <w:t xml:space="preserve">Batch e contínua</w:t>
            </w:r>
          </w:p>
        </w:tc>
      </w:tr>
      <w:tr>
        <w:trPr>
          <w:cantSplit/>
        </w:trPr>
        <w:tc>
          <w:tcPr>
            <w:tcW w:w="2000" w:type="dxa"/>
            <w:vAlign w:val="center"/>
          </w:tcPr>
          <w:p>
            <w:pPr>
              <w:keepNext/>
              <w:spacing w:before="50" w:after="50" w:line="240" w:lineRule="auto"/>
              <w:ind w:firstLine="0"/>
              <w:jc w:val="left"/>
            </w:pPr>
            <w:r>
              <w:rPr>
                <w:sz w:val="20"/>
                <w:szCs w:val="20"/>
              </w:rPr>
              <w:t xml:space="preserve">API Postcodes.io</w:t>
            </w:r>
          </w:p>
        </w:tc>
        <w:tc>
          <w:tcPr>
            <w:tcW w:w="1250" w:type="dxa"/>
            <w:vAlign w:val="center"/>
          </w:tcPr>
          <w:p>
            <w:pPr>
              <w:keepNext/>
              <w:spacing w:before="50" w:after="50" w:line="240" w:lineRule="auto"/>
              <w:ind w:firstLine="0"/>
              <w:jc w:val="center"/>
            </w:pPr>
            <w:r>
              <w:rPr>
                <w:sz w:val="20"/>
                <w:szCs w:val="20"/>
              </w:rPr>
              <w:t xml:space="preserve">JSON</w:t>
            </w:r>
          </w:p>
        </w:tc>
        <w:tc>
          <w:tcPr>
            <w:tcW w:w="3021" w:type="dxa"/>
            <w:vAlign w:val="center"/>
          </w:tcPr>
          <w:p>
            <w:pPr>
              <w:keepNext/>
              <w:spacing w:before="50" w:after="50" w:line="240" w:lineRule="auto"/>
              <w:ind w:firstLine="0"/>
              <w:jc w:val="left"/>
            </w:pPr>
            <w:r>
              <w:rPr>
                <w:sz w:val="20"/>
                <w:szCs w:val="20"/>
              </w:rPr>
              <w:t xml:space="preserve">Pedidos HTTP GET de geocodificação</w:t>
            </w:r>
          </w:p>
        </w:tc>
        <w:tc>
          <w:tcPr>
            <w:tcW w:w="2800" w:type="dxa"/>
            <w:vAlign w:val="center"/>
          </w:tcPr>
          <w:p>
            <w:pPr>
              <w:keepNext/>
              <w:spacing w:before="50" w:after="50" w:line="240" w:lineRule="auto"/>
              <w:ind w:firstLine="0"/>
              <w:jc w:val="left"/>
            </w:pPr>
            <w:r>
              <w:rPr>
                <w:sz w:val="20"/>
                <w:szCs w:val="20"/>
              </w:rPr>
              <w:t xml:space="preserve">Batch e contínua</w:t>
            </w:r>
          </w:p>
        </w:tc>
      </w:tr>
      <w:tr>
        <w:trPr>
          <w:cantSplit/>
        </w:trPr>
        <w:tc>
          <w:tcPr>
            <w:tcW w:w="2000" w:type="dxa"/>
            <w:vAlign w:val="center"/>
          </w:tcPr>
          <w:p>
            <w:pPr>
              <w:keepNext/>
              <w:spacing w:before="50" w:after="50" w:line="240" w:lineRule="auto"/>
              <w:ind w:firstLine="0"/>
              <w:jc w:val="left"/>
            </w:pPr>
            <w:r>
              <w:rPr>
                <w:sz w:val="20"/>
                <w:szCs w:val="20"/>
              </w:rPr>
              <w:t xml:space="preserve">Conjunto de dados Kaggle</w:t>
            </w:r>
          </w:p>
        </w:tc>
        <w:tc>
          <w:tcPr>
            <w:tcW w:w="1250" w:type="dxa"/>
            <w:vAlign w:val="center"/>
          </w:tcPr>
          <w:p>
            <w:pPr>
              <w:keepNext/>
              <w:spacing w:before="50" w:after="50" w:line="240" w:lineRule="auto"/>
              <w:ind w:firstLine="0"/>
              <w:jc w:val="center"/>
            </w:pPr>
            <w:r>
              <w:rPr>
                <w:sz w:val="20"/>
                <w:szCs w:val="20"/>
              </w:rPr>
              <w:t xml:space="preserve">CSV</w:t>
            </w:r>
          </w:p>
        </w:tc>
        <w:tc>
          <w:tcPr>
            <w:tcW w:w="3021" w:type="dxa"/>
            <w:vAlign w:val="center"/>
          </w:tcPr>
          <w:p>
            <w:pPr>
              <w:keepNext/>
              <w:spacing w:before="50" w:after="50" w:line="240" w:lineRule="auto"/>
              <w:ind w:firstLine="0"/>
              <w:jc w:val="left"/>
            </w:pPr>
            <w:r>
              <w:rPr>
                <w:sz w:val="20"/>
                <w:szCs w:val="20"/>
              </w:rPr>
              <w:t xml:space="preserve">Leitura de ficheiro local (</w:t>
            </w:r>
            <w:r>
              <w:rPr>
                <w:i/>
                <w:iCs/>
                <w:sz w:val="20"/>
                <w:szCs w:val="20"/>
              </w:rPr>
              <w:t xml:space="preserve">CSV Reader</w:t>
            </w:r>
            <w:r>
              <w:rPr>
                <w:sz w:val="20"/>
                <w:szCs w:val="20"/>
              </w:rPr>
              <w:t xml:space="preserve">)</w:t>
            </w:r>
          </w:p>
        </w:tc>
        <w:tc>
          <w:tcPr>
            <w:tcW w:w="2800" w:type="dxa"/>
            <w:vAlign w:val="center"/>
          </w:tcPr>
          <w:p>
            <w:pPr>
              <w:keepNext/>
              <w:spacing w:before="50" w:after="50" w:line="240" w:lineRule="auto"/>
              <w:ind w:firstLine="0"/>
              <w:jc w:val="left"/>
            </w:pPr>
            <w:r>
              <w:rPr>
                <w:sz w:val="20"/>
                <w:szCs w:val="20"/>
              </w:rPr>
              <w:t xml:space="preserve">Batch</w:t>
            </w:r>
          </w:p>
        </w:tc>
      </w:tr>
      <w:tr>
        <w:trPr>
          <w:cantSplit/>
        </w:trPr>
        <w:tc>
          <w:tcPr>
            <w:tcW w:w="2000" w:type="dxa"/>
            <w:vAlign w:val="center"/>
          </w:tcPr>
          <w:p>
            <w:pPr>
              <w:keepNext/>
              <w:spacing w:before="50" w:after="50" w:line="240" w:lineRule="auto"/>
              <w:ind w:firstLine="0"/>
              <w:jc w:val="left"/>
            </w:pPr>
            <w:r>
              <w:rPr>
                <w:sz w:val="20"/>
                <w:szCs w:val="20"/>
              </w:rPr>
              <w:t xml:space="preserve">Numbeo </w:t>
            </w:r>
            <w:r>
              <w:rPr>
                <w:i/>
                <w:iCs/>
                <w:sz w:val="20"/>
                <w:szCs w:val="20"/>
              </w:rPr>
              <w:t xml:space="preserve">Cost of Living</w:t>
            </w:r>
          </w:p>
        </w:tc>
        <w:tc>
          <w:tcPr>
            <w:tcW w:w="1250" w:type="dxa"/>
            <w:vAlign w:val="center"/>
          </w:tcPr>
          <w:p>
            <w:pPr>
              <w:keepNext/>
              <w:spacing w:before="50" w:after="50" w:line="240" w:lineRule="auto"/>
              <w:ind w:firstLine="0"/>
              <w:jc w:val="center"/>
            </w:pPr>
            <w:r>
              <w:rPr>
                <w:sz w:val="20"/>
                <w:szCs w:val="20"/>
              </w:rPr>
              <w:t xml:space="preserve">HTML</w:t>
            </w:r>
          </w:p>
        </w:tc>
        <w:tc>
          <w:tcPr>
            <w:tcW w:w="3021" w:type="dxa"/>
            <w:vAlign w:val="center"/>
          </w:tcPr>
          <w:p>
            <w:pPr>
              <w:keepNext/>
              <w:spacing w:before="50" w:after="50" w:line="240" w:lineRule="auto"/>
              <w:ind w:firstLine="0"/>
              <w:jc w:val="left"/>
            </w:pPr>
            <w:r>
              <w:rPr>
                <w:i/>
                <w:iCs/>
                <w:sz w:val="20"/>
                <w:szCs w:val="20"/>
              </w:rPr>
              <w:t xml:space="preserve">Web scraping</w:t>
            </w:r>
            <w:r>
              <w:rPr>
                <w:sz w:val="20"/>
                <w:szCs w:val="20"/>
              </w:rPr>
              <w:t xml:space="preserve"> com expressões XPath</w:t>
            </w:r>
          </w:p>
        </w:tc>
        <w:tc>
          <w:tcPr>
            <w:tcW w:w="2800" w:type="dxa"/>
            <w:vAlign w:val="center"/>
          </w:tcPr>
          <w:p>
            <w:pPr>
              <w:keepNext/>
              <w:spacing w:before="50" w:after="50" w:line="240" w:lineRule="auto"/>
              <w:ind w:firstLine="0"/>
              <w:jc w:val="left"/>
            </w:pPr>
            <w:r>
              <w:rPr>
                <w:sz w:val="20"/>
                <w:szCs w:val="20"/>
              </w:rPr>
              <w:t xml:space="preserve">Batch</w:t>
            </w:r>
          </w:p>
        </w:tc>
      </w:tr>
      <w:tr>
        <w:trPr>
          <w:cantSplit/>
        </w:trPr>
        <w:tc>
          <w:tcPr>
            <w:tcW w:w="2000" w:type="dxa"/>
            <w:vAlign w:val="center"/>
          </w:tcPr>
          <w:p>
            <w:pPr>
              <w:keepNext/>
              <w:spacing w:before="50" w:after="50" w:line="240" w:lineRule="auto"/>
              <w:ind w:firstLine="0"/>
              <w:jc w:val="left"/>
            </w:pPr>
            <w:r>
              <w:rPr>
                <w:sz w:val="20"/>
                <w:szCs w:val="20"/>
              </w:rPr>
              <w:t xml:space="preserve">PostgreSQL</w:t>
            </w:r>
          </w:p>
        </w:tc>
        <w:tc>
          <w:tcPr>
            <w:tcW w:w="1250" w:type="dxa"/>
            <w:vAlign w:val="center"/>
          </w:tcPr>
          <w:p>
            <w:pPr>
              <w:keepNext/>
              <w:spacing w:before="50" w:after="50" w:line="240" w:lineRule="auto"/>
              <w:ind w:firstLine="0"/>
              <w:jc w:val="center"/>
            </w:pPr>
            <w:r>
              <w:rPr>
                <w:sz w:val="20"/>
                <w:szCs w:val="20"/>
              </w:rPr>
              <w:t xml:space="preserve">Tabela relacional</w:t>
            </w:r>
          </w:p>
        </w:tc>
        <w:tc>
          <w:tcPr>
            <w:tcW w:w="3021" w:type="dxa"/>
            <w:vAlign w:val="center"/>
          </w:tcPr>
          <w:p>
            <w:pPr>
              <w:keepNext/>
              <w:spacing w:before="50" w:after="50" w:line="240" w:lineRule="auto"/>
              <w:ind w:firstLine="0"/>
              <w:jc w:val="left"/>
            </w:pPr>
            <w:r>
              <w:rPr>
                <w:sz w:val="20"/>
                <w:szCs w:val="20"/>
              </w:rPr>
              <w:t xml:space="preserve">Consultas SQL a partir do Grafana</w:t>
            </w:r>
          </w:p>
        </w:tc>
        <w:tc>
          <w:tcPr>
            <w:tcW w:w="2800" w:type="dxa"/>
            <w:vAlign w:val="center"/>
          </w:tcPr>
          <w:p>
            <w:pPr>
              <w:keepNext/>
              <w:spacing w:before="50" w:after="50" w:line="240" w:lineRule="auto"/>
              <w:ind w:firstLine="0"/>
              <w:jc w:val="left"/>
            </w:pPr>
            <w:r>
              <w:rPr>
                <w:sz w:val="20"/>
                <w:szCs w:val="20"/>
              </w:rPr>
              <w:t xml:space="preserve">Leitura analítica</w:t>
            </w:r>
          </w:p>
        </w:tc>
      </w:tr>
    </w:tbl>
    <w:p>
      <w:pPr>
        <w:pStyle w:val="Legenda"/>
        <w:spacing w:before="80" w:after="240"/>
      </w:pPr>
      <w:bookmarkStart w:id="129" w:name="_TocCapTfontes"/>
      <w:bookmarkStart w:id="130" w:name="_RefTab_fontes"/>
      <w:r>
        <w:t xml:space="preserve">Tabela </w:t>
      </w:r>
      <w:r>
        <w:fldChar w:fldCharType="begin"/>
      </w:r>
      <w:r>
        <w:instrText xml:space="preserve"> SEQ Tabela \* ARABIC </w:instrText>
      </w:r>
      <w:r>
        <w:fldChar w:fldCharType="separate"/>
      </w:r>
      <w:r>
        <w:rPr>
          <w:noProof/>
        </w:rPr>
        <w:t>6</w:t>
      </w:r>
      <w:r>
        <w:fldChar w:fldCharType="end"/>
      </w:r>
      <w:bookmarkEnd w:id="130"/>
      <w:r>
        <w:t xml:space="preserve">: Formatos e origens de dados consumidos pelo pipeline.</w:t>
      </w:r>
      <w:bookmarkEnd w:id="129"/>
    </w:p>
    <w:p>
      <w:pPr>
        <w:pStyle w:val="Cabealho3"/>
        <w:keepNext/>
        <w:spacing w:before="200" w:after="100"/>
      </w:pPr>
      <w:bookmarkStart w:id="131" w:name="_Toc_f2"/>
      <w:r>
        <w:t xml:space="preserve">Fase 2 – Processamento e Transformação de Dados (T)</w:t>
      </w:r>
      <w:bookmarkEnd w:id="131"/>
    </w:p>
    <w:p>
      <w:r>
        <w:t xml:space="preserve">Na fase «T» foram aplicadas as operações que constituem o núcleo do trabalho: (i) </w:t>
      </w:r>
      <w:r>
        <w:rPr>
          <w:b/>
          <w:bCs/>
        </w:rPr>
        <w:t xml:space="preserve">limpeza e validação</w:t>
      </w:r>
      <w:r>
        <w:t xml:space="preserve">, com a remoção de registos sem título, com salário nulo ou com valores mal introduzidos; (ii) utilização de </w:t>
      </w:r>
      <w:r>
        <w:rPr>
          <w:b/>
          <w:bCs/>
        </w:rPr>
        <w:t xml:space="preserve">expressões regulares</w:t>
      </w:r>
      <w:r>
        <w:t xml:space="preserve"> e validação textual para separar e normalizar localizações; (iii) </w:t>
      </w:r>
      <w:r>
        <w:rPr>
          <w:b/>
          <w:bCs/>
        </w:rPr>
        <w:t xml:space="preserve">conversão de estruturas</w:t>
      </w:r>
      <w:r>
        <w:t xml:space="preserve">, de documentos JSON e de árvores HTML para tabelas e, no Node-RED, de objeto JSON para </w:t>
      </w:r>
      <w:r>
        <w:rPr>
          <w:i/>
          <w:iCs/>
        </w:rPr>
        <w:t xml:space="preserve">array</w:t>
      </w:r>
      <w:r>
        <w:t xml:space="preserve"> parametrizado; (iv) </w:t>
      </w:r>
      <w:r>
        <w:rPr>
          <w:b/>
          <w:bCs/>
        </w:rPr>
        <w:t xml:space="preserve">cruzamento e enriquecimento</w:t>
      </w:r>
      <w:r>
        <w:t xml:space="preserve"> através de concatenação vertical (</w:t>
      </w:r>
      <w:r>
        <w:rPr>
          <w:i/>
          <w:iCs/>
        </w:rPr>
        <w:t xml:space="preserve">Concatenate</w:t>
      </w:r>
      <w:r>
        <w:t xml:space="preserve">) e de junção relacional (</w:t>
      </w:r>
      <w:r>
        <w:rPr>
          <w:i/>
          <w:iCs/>
        </w:rPr>
        <w:t xml:space="preserve">Joiner</w:t>
      </w:r>
      <w:r>
        <w:t xml:space="preserve">) com os índices Numbeo; e (v) </w:t>
      </w:r>
      <w:r>
        <w:rPr>
          <w:b/>
          <w:bCs/>
        </w:rPr>
        <w:t xml:space="preserve">cálculos matemáticos</w:t>
      </w:r>
      <w:r>
        <w:t xml:space="preserve"> de anualização salarial, conversão cambial, dedução fiscal e poupança líquida. Estas operações são documentadas em detalhe no Capítulo </w:t>
      </w:r>
      <w:r>
        <w:t xml:space="preserve">3</w:t>
      </w:r>
      <w:r>
        <w:t xml:space="preserve">.</w:t>
      </w:r>
    </w:p>
    <w:p>
      <w:pPr>
        <w:pStyle w:val="Cabealho3"/>
        <w:keepNext/>
        <w:spacing w:before="200" w:after="100"/>
      </w:pPr>
      <w:bookmarkStart w:id="132" w:name="_Toc_f3"/>
      <w:r>
        <w:t xml:space="preserve">Fase 3 – Persistência e Exportação (L)</w:t>
      </w:r>
      <w:bookmarkEnd w:id="132"/>
    </w:p>
    <w:p>
      <w:r>
        <w:t xml:space="preserve">Na fase «L» os dados transformados seguem três destinos complementares: a </w:t>
      </w:r>
      <w:r>
        <w:rPr>
          <w:b/>
          <w:bCs/>
        </w:rPr>
        <w:t xml:space="preserve">persistência</w:t>
      </w:r>
      <w:r>
        <w:t xml:space="preserve"> em duas tabelas do PostgreSQL, com modos de escrita distintos; a </w:t>
      </w:r>
      <w:r>
        <w:rPr>
          <w:b/>
          <w:bCs/>
        </w:rPr>
        <w:t xml:space="preserve">visualização dinâmica</w:t>
      </w:r>
      <w:r>
        <w:t xml:space="preserve"> em </w:t>
      </w:r>
      <w:r>
        <w:rPr>
          <w:i/>
          <w:iCs/>
        </w:rPr>
        <w:t xml:space="preserve">dashboards</w:t>
      </w:r>
      <w:r>
        <w:t xml:space="preserve"> interativos no Grafana, que se atualizam em função dos filtros selecionados; e a </w:t>
      </w:r>
      <w:r>
        <w:rPr>
          <w:b/>
          <w:bCs/>
        </w:rPr>
        <w:t xml:space="preserve">notificação automática</w:t>
      </w:r>
      <w:r>
        <w:t xml:space="preserve"> de ofertas relevantes através de um </w:t>
      </w:r>
      <w:r>
        <w:rPr>
          <w:i/>
          <w:iCs/>
        </w:rPr>
        <w:t xml:space="preserve">bot</w:t>
      </w:r>
      <w:r>
        <w:t xml:space="preserve"> do Telegram. Esta fase é documentada nos Capítulos </w:t>
      </w:r>
      <w:r>
        <w:t xml:space="preserve">4</w:t>
      </w:r>
      <w:r>
        <w:t xml:space="preserve"> e </w:t>
      </w:r>
      <w:r>
        <w:t xml:space="preserve">5</w:t>
      </w:r>
      <w:r>
        <w:t xml:space="preserve">.</w:t>
      </w:r>
    </w:p>
    <w:p>
      <w:pPr>
        <w:pStyle w:val="Cabealho1"/>
        <w:keepNext/>
        <w:pageBreakBefore/>
        <w:spacing w:before="480" w:after="240"/>
      </w:pPr>
      <w:bookmarkStart w:id="133" w:name="_Toc_cap3"/>
      <w:r>
        <w:t xml:space="preserve">Transformações</w:t>
      </w:r>
      <w:bookmarkEnd w:id="133"/>
    </w:p>
    <w:p>
      <w:r>
        <w:t xml:space="preserve">Este capítulo documenta as fases «E» e «T» em ambas as vias de processamento. Apresentam-se os diagramas dos fluxos, a explicação de cada nó e as regras de negócio aplicadas.</w:t>
      </w:r>
    </w:p>
    <w:p>
      <w:pPr>
        <w:pStyle w:val="Cabealho2"/>
        <w:keepNext/>
        <w:spacing w:before="320" w:after="160"/>
      </w:pPr>
      <w:bookmarkStart w:id="134" w:name="_Toc_knime"/>
      <w:r>
        <w:t xml:space="preserve">Via em Lote: Workflow no KNIME Analytics Platform</w:t>
      </w:r>
      <w:bookmarkEnd w:id="134"/>
    </w:p>
    <w:p>
      <w:r>
        <w:t xml:space="preserve">O </w:t>
      </w:r>
      <w:r>
        <w:rPr>
          <w:i/>
          <w:iCs/>
        </w:rPr>
        <w:t xml:space="preserve">workflow</w:t>
      </w:r>
      <w:r>
        <w:t xml:space="preserve"> desenvolvido no KNIME organiza-se em três ramos paralelos de extração, que convergem para um tronco comum de padronização, cruzamento e cálculo, terminando na escrita em BD. Dada a sua extensão horizontal, o </w:t>
      </w:r>
      <w:r>
        <w:rPr>
          <w:i/>
          <w:iCs/>
        </w:rPr>
        <w:t xml:space="preserve">workflow</w:t>
      </w:r>
      <w:r>
        <w:t xml:space="preserve"> é apresentado em duas metades: a </w:t>
      </w:r>
      <w:r>
        <w:fldChar w:fldCharType="begin"/>
      </w:r>
      <w:r>
        <w:instrText xml:space="preserve"> REF _RefFig_knime1 \h </w:instrText>
      </w:r>
      <w:r>
        <w:fldChar w:fldCharType="separate"/>
      </w:r>
      <w:r>
        <w:t xml:space="preserve">Figura 3</w:t>
      </w:r>
      <w:r>
        <w:fldChar w:fldCharType="end"/>
      </w:r>
      <w:r>
        <w:t xml:space="preserve"> mostra os três ramos de extração e respetiva preparação, e a </w:t>
      </w:r>
      <w:r>
        <w:fldChar w:fldCharType="begin"/>
      </w:r>
      <w:r>
        <w:instrText xml:space="preserve"> REF _RefFig_knime2 \h </w:instrText>
      </w:r>
      <w:r>
        <w:fldChar w:fldCharType="separate"/>
      </w:r>
      <w:r>
        <w:t xml:space="preserve">Figura 4</w:t>
      </w:r>
      <w:r>
        <w:fldChar w:fldCharType="end"/>
      </w:r>
      <w:r>
        <w:t xml:space="preserve"> mostra a convergência, o enriquecimento e a persistência. As subsecções seguintes detalham cada zona através de ampliações.</w:t>
      </w:r>
    </w:p>
    <w:p>
      <w:pPr>
        <w:keepNext/>
        <w:spacing w:before="120" w:after="0" w:line="240" w:lineRule="auto"/>
        <w:ind w:firstLine="0"/>
        <w:jc w:val="center"/>
      </w:pPr>
      <w:r>
        <w:rPr>
          <w:noProof/>
        </w:rPr>
        <w:drawing>
          <wp:inline distT="0" distB="0" distL="0" distR="0">
            <wp:extent cx="5832000" cy="2134771"/>
            <wp:effectExtent l="0" t="0" r="0" b="0"/>
            <wp:docPr id="103" name="Imagem 103" descr="Primeira metade do workflow KNIME, com o ciclo de repetição e os três ramos de extração: API REST da Reed, ficheiro CSV do Kaggle e página do Numbeo por X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m 103"/>
                    <pic:cNvPicPr/>
                  </pic:nvPicPr>
                  <pic:blipFill>
                    <a:blip r:embed="rId202"/>
                    <a:stretch>
                      <a:fillRect/>
                    </a:stretch>
                  </pic:blipFill>
                  <pic:spPr>
                    <a:xfrm>
                      <a:off x="0" y="0"/>
                      <a:ext cx="5832000" cy="2134771"/>
                    </a:xfrm>
                    <a:prstGeom prst="rect">
                      <a:avLst/>
                    </a:prstGeom>
                    <a:ln w="6350">
                      <a:solidFill>
                        <a:srgbClr val="A6A6A6"/>
                      </a:solidFill>
                    </a:ln>
                  </pic:spPr>
                </pic:pic>
              </a:graphicData>
            </a:graphic>
          </wp:inline>
        </w:drawing>
      </w:r>
    </w:p>
    <w:p>
      <w:pPr>
        <w:pStyle w:val="Legenda"/>
        <w:spacing w:before="80" w:after="240"/>
      </w:pPr>
      <w:bookmarkStart w:id="135" w:name="_TocCapFknime1"/>
      <w:bookmarkStart w:id="136" w:name="_RefFig_knime1"/>
      <w:r>
        <w:t xml:space="preserve">Figura </w:t>
      </w:r>
      <w:r>
        <w:fldChar w:fldCharType="begin"/>
      </w:r>
      <w:r>
        <w:instrText xml:space="preserve"> SEQ Figura \* ARABIC </w:instrText>
      </w:r>
      <w:r>
        <w:fldChar w:fldCharType="separate"/>
      </w:r>
      <w:r>
        <w:rPr>
          <w:noProof/>
        </w:rPr>
        <w:t>3</w:t>
      </w:r>
      <w:r>
        <w:fldChar w:fldCharType="end"/>
      </w:r>
      <w:bookmarkEnd w:id="136"/>
      <w:r>
        <w:t xml:space="preserve">: Workflow KNIME (1 de 2): ramos de extração e preparação.</w:t>
      </w:r>
      <w:bookmarkEnd w:id="135"/>
    </w:p>
    <w:p>
      <w:pPr>
        <w:keepNext/>
        <w:spacing w:before="120" w:after="0" w:line="240" w:lineRule="auto"/>
        <w:ind w:firstLine="0"/>
        <w:jc w:val="center"/>
      </w:pPr>
      <w:r>
        <w:rPr>
          <w:noProof/>
        </w:rPr>
        <w:drawing>
          <wp:inline distT="0" distB="0" distL="0" distR="0">
            <wp:extent cx="5400000" cy="2299146"/>
            <wp:effectExtent l="0" t="0" r="0" b="0"/>
            <wp:docPr id="104" name="Imagem 104" descr="Segunda metade do workflow KNIME, com Concatenate, três nós Rule Engine, Joiner, cálculo da poupança, filtro de qualidade, PostgreSQL Connector, DB Writer e Variable Loop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m 104"/>
                    <pic:cNvPicPr/>
                  </pic:nvPicPr>
                  <pic:blipFill>
                    <a:blip r:embed="rId203"/>
                    <a:stretch>
                      <a:fillRect/>
                    </a:stretch>
                  </pic:blipFill>
                  <pic:spPr>
                    <a:xfrm>
                      <a:off x="0" y="0"/>
                      <a:ext cx="5400000" cy="2299146"/>
                    </a:xfrm>
                    <a:prstGeom prst="rect">
                      <a:avLst/>
                    </a:prstGeom>
                    <a:ln w="6350">
                      <a:solidFill>
                        <a:srgbClr val="A6A6A6"/>
                      </a:solidFill>
                    </a:ln>
                  </pic:spPr>
                </pic:pic>
              </a:graphicData>
            </a:graphic>
          </wp:inline>
        </w:drawing>
      </w:r>
    </w:p>
    <w:p>
      <w:pPr>
        <w:pStyle w:val="Legenda"/>
        <w:spacing w:before="80" w:after="240"/>
      </w:pPr>
      <w:bookmarkStart w:id="137" w:name="_TocCapFknime2"/>
      <w:bookmarkStart w:id="138" w:name="_RefFig_knime2"/>
      <w:r>
        <w:t xml:space="preserve">Figura </w:t>
      </w:r>
      <w:r>
        <w:fldChar w:fldCharType="begin"/>
      </w:r>
      <w:r>
        <w:instrText xml:space="preserve"> SEQ Figura \* ARABIC </w:instrText>
      </w:r>
      <w:r>
        <w:fldChar w:fldCharType="separate"/>
      </w:r>
      <w:r>
        <w:rPr>
          <w:noProof/>
        </w:rPr>
        <w:t>4</w:t>
      </w:r>
      <w:r>
        <w:fldChar w:fldCharType="end"/>
      </w:r>
      <w:bookmarkEnd w:id="138"/>
      <w:r>
        <w:t xml:space="preserve">: Workflow KNIME (2 de 2): fusão, enriquecimento e persistência.</w:t>
      </w:r>
      <w:bookmarkEnd w:id="137"/>
    </w:p>
    <w:p>
      <w:pPr>
        <w:pStyle w:val="Cabealho3"/>
        <w:keepNext/>
        <w:spacing w:before="200" w:after="100"/>
      </w:pPr>
      <w:bookmarkStart w:id="139" w:name="_Toc_ramo1"/>
      <w:r>
        <w:t xml:space="preserve">Ramo 1 – Extração via API REST (JSON)</w:t>
      </w:r>
      <w:bookmarkEnd w:id="139"/>
    </w:p>
    <w:p>
      <w:r>
        <w:t xml:space="preserve">O primeiro ramo, ampliado na </w:t>
      </w:r>
      <w:r>
        <w:fldChar w:fldCharType="begin"/>
      </w:r>
      <w:r>
        <w:instrText xml:space="preserve"> REF _RefFig_kapi \h </w:instrText>
      </w:r>
      <w:r>
        <w:fldChar w:fldCharType="separate"/>
      </w:r>
      <w:r>
        <w:t xml:space="preserve">Figura 5</w:t>
      </w:r>
      <w:r>
        <w:fldChar w:fldCharType="end"/>
      </w:r>
      <w:r>
        <w:t xml:space="preserve"> a partir da </w:t>
      </w:r>
      <w:r>
        <w:fldChar w:fldCharType="begin"/>
      </w:r>
      <w:r>
        <w:instrText xml:space="preserve"> REF _RefFig_knime1 \h </w:instrText>
      </w:r>
      <w:r>
        <w:fldChar w:fldCharType="separate"/>
      </w:r>
      <w:r>
        <w:t xml:space="preserve">Figura 3</w:t>
      </w:r>
      <w:r>
        <w:fldChar w:fldCharType="end"/>
      </w:r>
      <w:r>
        <w:t xml:space="preserve">, recolhe as ofertas de emprego a partir da API REST da Reed (Reed, s.d.). O nó </w:t>
      </w:r>
      <w:r>
        <w:rPr>
          <w:b/>
          <w:bCs/>
        </w:rPr>
        <w:t xml:space="preserve">Table Creator</w:t>
      </w:r>
      <w:r>
        <w:t xml:space="preserve"> define a tabela inicial com as palavras-chave de pesquisa tecnológica e o nó </w:t>
      </w:r>
      <w:r>
        <w:rPr>
          <w:b/>
          <w:bCs/>
        </w:rPr>
        <w:t xml:space="preserve">String Manipulation</w:t>
      </w:r>
      <w:r>
        <w:t xml:space="preserve"> constrói dinamicamente os </w:t>
      </w:r>
      <w:r>
        <w:rPr>
          <w:i/>
          <w:iCs/>
        </w:rPr>
        <w:t xml:space="preserve">Uniform Resource Locators</w:t>
      </w:r>
      <w:r>
        <w:t xml:space="preserve"> (URL) de chamada, concatenando o </w:t>
      </w:r>
      <w:r>
        <w:rPr>
          <w:i/>
          <w:iCs/>
        </w:rPr>
        <w:t xml:space="preserve">endpoint</w:t>
      </w:r>
      <w:r>
        <w:t xml:space="preserve"> base com cada termo e com os parâmetros de paginação.</w:t>
      </w:r>
    </w:p>
    <w:p>
      <w:pPr>
        <w:keepNext/>
        <w:spacing w:before="120" w:after="0" w:line="240" w:lineRule="auto"/>
        <w:ind w:firstLine="0"/>
        <w:jc w:val="center"/>
      </w:pPr>
      <w:r>
        <w:rPr>
          <w:noProof/>
        </w:rPr>
        <w:drawing>
          <wp:inline distT="0" distB="0" distL="0" distR="0">
            <wp:extent cx="5760000" cy="2332269"/>
            <wp:effectExtent l="0" t="0" r="0" b="0"/>
            <wp:docPr id="105" name="Imagem 105" descr="Ampliação do ramo superior do workflow KNIME, com os nós Table Creator, Counting Loop Start, String Manipulation, GET Request, JSON Path, Ungroup, Column Filter, Column Renamer, Math Formula, Row Splitter e segundo GET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m 105"/>
                    <pic:cNvPicPr/>
                  </pic:nvPicPr>
                  <pic:blipFill>
                    <a:blip r:embed="rId204"/>
                    <a:stretch>
                      <a:fillRect/>
                    </a:stretch>
                  </pic:blipFill>
                  <pic:spPr>
                    <a:xfrm>
                      <a:off x="0" y="0"/>
                      <a:ext cx="5760000" cy="2332269"/>
                    </a:xfrm>
                    <a:prstGeom prst="rect">
                      <a:avLst/>
                    </a:prstGeom>
                    <a:ln w="6350">
                      <a:solidFill>
                        <a:srgbClr val="A6A6A6"/>
                      </a:solidFill>
                    </a:ln>
                  </pic:spPr>
                </pic:pic>
              </a:graphicData>
            </a:graphic>
          </wp:inline>
        </w:drawing>
      </w:r>
    </w:p>
    <w:p>
      <w:pPr>
        <w:pStyle w:val="Legenda"/>
        <w:spacing w:before="80" w:after="240"/>
      </w:pPr>
      <w:bookmarkStart w:id="140" w:name="_TocCapFkapi"/>
      <w:bookmarkStart w:id="141" w:name="_RefFig_kapi"/>
      <w:r>
        <w:t xml:space="preserve">Figura </w:t>
      </w:r>
      <w:r>
        <w:fldChar w:fldCharType="begin"/>
      </w:r>
      <w:r>
        <w:instrText xml:space="preserve"> SEQ Figura \* ARABIC </w:instrText>
      </w:r>
      <w:r>
        <w:fldChar w:fldCharType="separate"/>
      </w:r>
      <w:r>
        <w:rPr>
          <w:noProof/>
        </w:rPr>
        <w:t>5</w:t>
      </w:r>
      <w:r>
        <w:fldChar w:fldCharType="end"/>
      </w:r>
      <w:bookmarkEnd w:id="141"/>
      <w:r>
        <w:t xml:space="preserve">: Ramo de extração via API REST e resolução de códigos postais (KNIME).</w:t>
      </w:r>
      <w:bookmarkEnd w:id="140"/>
    </w:p>
    <w:p>
      <w:r>
        <w:t xml:space="preserve">O nó </w:t>
      </w:r>
      <w:r>
        <w:rPr>
          <w:b/>
          <w:bCs/>
        </w:rPr>
        <w:t xml:space="preserve">GET Request</w:t>
      </w:r>
      <w:r>
        <w:t xml:space="preserve"> executa os pedidos HTTP e devolve as respostas em JSON. A sequência </w:t>
      </w:r>
      <w:r>
        <w:rPr>
          <w:b/>
          <w:bCs/>
        </w:rPr>
        <w:t xml:space="preserve">JSON Path → Ungroup → JSON Path</w:t>
      </w:r>
      <w:r>
        <w:t xml:space="preserve"> extrai a lista de ofertas da estrutura devolvida, desagrupa o </w:t>
      </w:r>
      <w:r>
        <w:rPr>
          <w:i/>
          <w:iCs/>
        </w:rPr>
        <w:t xml:space="preserve">array</w:t>
      </w:r>
      <w:r>
        <w:t xml:space="preserve"> de modo a obter uma linha por oferta e extrai os atributos de cada vaga (título, localização e intervalo salarial). Os nós </w:t>
      </w:r>
      <w:r>
        <w:rPr>
          <w:b/>
          <w:bCs/>
        </w:rPr>
        <w:t xml:space="preserve">Column Filter</w:t>
      </w:r>
      <w:r>
        <w:t xml:space="preserve"> e </w:t>
      </w:r>
      <w:r>
        <w:rPr>
          <w:b/>
          <w:bCs/>
        </w:rPr>
        <w:t xml:space="preserve">Column Renamer</w:t>
      </w:r>
      <w:r>
        <w:t xml:space="preserve"> removem as colunas acessórias devolvidas pela API e padronizam os nomes dos atributos para o esquema canónico do </w:t>
      </w:r>
      <w:r>
        <w:rPr>
          <w:i/>
          <w:iCs/>
        </w:rPr>
        <w:t xml:space="preserve">pipeline</w:t>
      </w:r>
      <w:r>
        <w:t xml:space="preserve">.</w:t>
      </w:r>
    </w:p>
    <w:p>
      <w:r>
        <w:t xml:space="preserve">Segue-se o tratamento salarial e geográfico. O nó </w:t>
      </w:r>
      <w:r>
        <w:rPr>
          <w:b/>
          <w:bCs/>
        </w:rPr>
        <w:t xml:space="preserve">Math Formula</w:t>
      </w:r>
      <w:r>
        <w:t xml:space="preserve"> calcula a remuneração base e aplica a conversão cambial de libras para euros. O nó </w:t>
      </w:r>
      <w:r>
        <w:rPr>
          <w:b/>
          <w:bCs/>
        </w:rPr>
        <w:t xml:space="preserve">Row Splitter</w:t>
      </w:r>
      <w:r>
        <w:t xml:space="preserve">, anotado no </w:t>
      </w:r>
      <w:r>
        <w:rPr>
          <w:i/>
          <w:iCs/>
        </w:rPr>
        <w:t xml:space="preserve">workflow</w:t>
      </w:r>
      <w:r>
        <w:t xml:space="preserve"> com a indicação «filtra apenas os textos que contêm algarismos», aplica um critério baseado em padrões para separar os registos cuja localização contém algarismos — isto é, códigos postais — daqueles que já apresentam nomes de localidades legíveis. Os primeiros seguem para um sub-ramo de geocodificação, composto por </w:t>
      </w:r>
      <w:r>
        <w:rPr>
          <w:b/>
          <w:bCs/>
        </w:rPr>
        <w:t xml:space="preserve">String Manipulation</w:t>
      </w:r>
      <w:r>
        <w:t xml:space="preserve"> (construção do URL de consulta), </w:t>
      </w:r>
      <w:r>
        <w:rPr>
          <w:b/>
          <w:bCs/>
        </w:rPr>
        <w:t xml:space="preserve">GET Request</w:t>
      </w:r>
      <w:r>
        <w:t xml:space="preserve"> (anotado com «faz o pedido para verificar de onde é o CP»), </w:t>
      </w:r>
      <w:r>
        <w:rPr>
          <w:b/>
          <w:bCs/>
        </w:rPr>
        <w:t xml:space="preserve">JSON Path</w:t>
      </w:r>
      <w:r>
        <w:t xml:space="preserve"> (extração do país) e </w:t>
      </w:r>
      <w:r>
        <w:rPr>
          <w:b/>
          <w:bCs/>
        </w:rPr>
        <w:t xml:space="preserve">Column Merger</w:t>
      </w:r>
      <w:r>
        <w:t xml:space="preserve"> (fusão do país obtido na coluna de localização). Os registos assim resolvidos juntam-se novamente aos restantes no nó </w:t>
      </w:r>
      <w:r>
        <w:rPr>
          <w:i/>
          <w:iCs/>
        </w:rPr>
        <w:t xml:space="preserve">Concatenate</w:t>
      </w:r>
      <w:r>
        <w:t xml:space="preserve">.</w:t>
      </w:r>
    </w:p>
    <w:p>
      <w:pPr>
        <w:pStyle w:val="Cabealho3"/>
        <w:keepNext/>
        <w:spacing w:before="200" w:after="100"/>
      </w:pPr>
      <w:bookmarkStart w:id="142" w:name="_Toc_ramo2"/>
      <w:r>
        <w:t xml:space="preserve">Ramo 2 – Extração em Lote de Ficheiro Local (CSV)</w:t>
      </w:r>
      <w:bookmarkEnd w:id="142"/>
    </w:p>
    <w:p>
      <w:r>
        <w:t xml:space="preserve">O segundo ramo, ampliado na </w:t>
      </w:r>
      <w:r>
        <w:fldChar w:fldCharType="begin"/>
      </w:r>
      <w:r>
        <w:instrText xml:space="preserve"> REF _RefFig_kcsv \h </w:instrText>
      </w:r>
      <w:r>
        <w:fldChar w:fldCharType="separate"/>
      </w:r>
      <w:r>
        <w:t xml:space="preserve">Figura 6</w:t>
      </w:r>
      <w:r>
        <w:fldChar w:fldCharType="end"/>
      </w:r>
      <w:r>
        <w:t xml:space="preserve">, importa o conjunto de dados </w:t>
      </w:r>
      <w:r>
        <w:rPr>
          <w:rFonts w:ascii="Courier New" w:hAnsi="Courier New" w:cs="Courier New"/>
          <w:sz w:val="21"/>
          <w:szCs w:val="21"/>
        </w:rPr>
        <w:t xml:space="preserve">LATEST_DATA_SCIENCE_SALARIES</w:t>
      </w:r>
      <w:r>
        <w:t xml:space="preserve">, obtido a partir do Kaggle (Kaggle, s.d.), através do nó </w:t>
      </w:r>
      <w:r>
        <w:rPr>
          <w:b/>
          <w:bCs/>
        </w:rPr>
        <w:t xml:space="preserve">CSV Reader</w:t>
      </w:r>
      <w:r>
        <w:t xml:space="preserve">. Este ficheiro contém o histórico global de salários nas áreas de </w:t>
      </w:r>
      <w:r>
        <w:rPr>
          <w:i/>
          <w:iCs/>
        </w:rPr>
        <w:t xml:space="preserve">data science</w:t>
      </w:r>
      <w:r>
        <w:t xml:space="preserve"> e tecnologias de informação e é a origem do volume que sustenta a análise comparativa entre mercados, abrangendo os dez países que surgem no </w:t>
      </w:r>
      <w:r>
        <w:rPr>
          <w:i/>
          <w:iCs/>
        </w:rPr>
        <w:t xml:space="preserve">dashboard</w:t>
      </w:r>
      <w:r>
        <w:t xml:space="preserve"> final.</w:t>
      </w:r>
    </w:p>
    <w:p>
      <w:pPr>
        <w:keepNext/>
        <w:spacing w:before="120" w:after="0" w:line="240" w:lineRule="auto"/>
        <w:ind w:firstLine="0"/>
        <w:jc w:val="center"/>
      </w:pPr>
      <w:r>
        <w:rPr>
          <w:noProof/>
        </w:rPr>
        <w:drawing>
          <wp:inline distT="0" distB="0" distL="0" distR="0">
            <wp:extent cx="5760000" cy="2141538"/>
            <wp:effectExtent l="0" t="0" r="0" b="0"/>
            <wp:docPr id="106" name="Imagem 106" descr="Ampliação do ramo intermédio do workflow KNIME, com CSV Reader, Column Filter, Column Renamer, vários Rule Engine, Math Formula e sucessivos Column Mer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m 106"/>
                    <pic:cNvPicPr/>
                  </pic:nvPicPr>
                  <pic:blipFill>
                    <a:blip r:embed="rId205"/>
                    <a:stretch>
                      <a:fillRect/>
                    </a:stretch>
                  </pic:blipFill>
                  <pic:spPr>
                    <a:xfrm>
                      <a:off x="0" y="0"/>
                      <a:ext cx="5760000" cy="2141538"/>
                    </a:xfrm>
                    <a:prstGeom prst="rect">
                      <a:avLst/>
                    </a:prstGeom>
                    <a:ln w="6350">
                      <a:solidFill>
                        <a:srgbClr val="A6A6A6"/>
                      </a:solidFill>
                    </a:ln>
                  </pic:spPr>
                </pic:pic>
              </a:graphicData>
            </a:graphic>
          </wp:inline>
        </w:drawing>
      </w:r>
    </w:p>
    <w:p>
      <w:pPr>
        <w:pStyle w:val="Legenda"/>
        <w:spacing w:before="80" w:after="240"/>
      </w:pPr>
      <w:bookmarkStart w:id="143" w:name="_TocCapFkcsv"/>
      <w:bookmarkStart w:id="144" w:name="_RefFig_kcsv"/>
      <w:r>
        <w:t xml:space="preserve">Figura </w:t>
      </w:r>
      <w:r>
        <w:fldChar w:fldCharType="begin"/>
      </w:r>
      <w:r>
        <w:instrText xml:space="preserve"> SEQ Figura \* ARABIC </w:instrText>
      </w:r>
      <w:r>
        <w:fldChar w:fldCharType="separate"/>
      </w:r>
      <w:r>
        <w:rPr>
          <w:noProof/>
        </w:rPr>
        <w:t>6</w:t>
      </w:r>
      <w:r>
        <w:fldChar w:fldCharType="end"/>
      </w:r>
      <w:bookmarkEnd w:id="144"/>
      <w:r>
        <w:t xml:space="preserve">: Ramo de extração e normalização do ficheiro CSV (KNIME).</w:t>
      </w:r>
      <w:bookmarkEnd w:id="143"/>
    </w:p>
    <w:p>
      <w:r>
        <w:t xml:space="preserve">Os nós </w:t>
      </w:r>
      <w:r>
        <w:rPr>
          <w:b/>
          <w:bCs/>
        </w:rPr>
        <w:t xml:space="preserve">Column Filter</w:t>
      </w:r>
      <w:r>
        <w:t xml:space="preserve"> e </w:t>
      </w:r>
      <w:r>
        <w:rPr>
          <w:b/>
          <w:bCs/>
        </w:rPr>
        <w:t xml:space="preserve">Column Renamer</w:t>
      </w:r>
      <w:r>
        <w:t xml:space="preserve"> selecionam as colunas relevantes e uniformizam a nomenclatura, de modo a coincidir com a estrutura do primeiro ramo. Segue-se uma cadeia de nós </w:t>
      </w:r>
      <w:r>
        <w:rPr>
          <w:b/>
          <w:bCs/>
        </w:rPr>
        <w:t xml:space="preserve">Rule Engine</w:t>
      </w:r>
      <w:r>
        <w:t xml:space="preserve">, </w:t>
      </w:r>
      <w:r>
        <w:rPr>
          <w:b/>
          <w:bCs/>
        </w:rPr>
        <w:t xml:space="preserve">Math Formula</w:t>
      </w:r>
      <w:r>
        <w:t xml:space="preserve"> e sucessivos </w:t>
      </w:r>
      <w:r>
        <w:rPr>
          <w:b/>
          <w:bCs/>
        </w:rPr>
        <w:t xml:space="preserve">Column Merger</w:t>
      </w:r>
      <w:r>
        <w:t xml:space="preserve"> que normaliza as moedas e as escalas salariais e consolida colunas fragmentadas. O nó </w:t>
      </w:r>
      <w:r>
        <w:rPr>
          <w:b/>
          <w:bCs/>
        </w:rPr>
        <w:t xml:space="preserve">Rule Engine</w:t>
      </w:r>
      <w:r>
        <w:t xml:space="preserve"> anotado com «Determina Nível Experiencia» converte os códigos de senioridade do conjunto de dados original (por exemplo, </w:t>
      </w:r>
      <w:r>
        <w:rPr>
          <w:rFonts w:ascii="Courier New" w:hAnsi="Courier New" w:cs="Courier New"/>
          <w:sz w:val="21"/>
          <w:szCs w:val="21"/>
        </w:rPr>
        <w:t xml:space="preserve">EN</w:t>
      </w:r>
      <w:r>
        <w:t xml:space="preserve">, </w:t>
      </w:r>
      <w:r>
        <w:rPr>
          <w:rFonts w:ascii="Courier New" w:hAnsi="Courier New" w:cs="Courier New"/>
          <w:sz w:val="21"/>
          <w:szCs w:val="21"/>
        </w:rPr>
        <w:t xml:space="preserve">MI</w:t>
      </w:r>
      <w:r>
        <w:t xml:space="preserve">, </w:t>
      </w:r>
      <w:r>
        <w:rPr>
          <w:rFonts w:ascii="Courier New" w:hAnsi="Courier New" w:cs="Courier New"/>
          <w:sz w:val="21"/>
          <w:szCs w:val="21"/>
        </w:rPr>
        <w:t xml:space="preserve">SE</w:t>
      </w:r>
      <w:r>
        <w:t xml:space="preserve"> e </w:t>
      </w:r>
      <w:r>
        <w:rPr>
          <w:rFonts w:ascii="Courier New" w:hAnsi="Courier New" w:cs="Courier New"/>
          <w:sz w:val="21"/>
          <w:szCs w:val="21"/>
        </w:rPr>
        <w:t xml:space="preserve">EX</w:t>
      </w:r>
      <w:r>
        <w:t xml:space="preserve">) nas três categorias padronizadas utilizadas no </w:t>
      </w:r>
      <w:r>
        <w:rPr>
          <w:i/>
          <w:iCs/>
        </w:rPr>
        <w:t xml:space="preserve">pipeline</w:t>
      </w:r>
      <w:r>
        <w:t xml:space="preserve">: </w:t>
      </w:r>
      <w:r>
        <w:rPr>
          <w:i/>
          <w:iCs/>
        </w:rPr>
        <w:t xml:space="preserve">Entry</w:t>
      </w:r>
      <w:r>
        <w:t xml:space="preserve">, </w:t>
      </w:r>
      <w:r>
        <w:rPr>
          <w:i/>
          <w:iCs/>
        </w:rPr>
        <w:t xml:space="preserve">Mid</w:t>
      </w:r>
      <w:r>
        <w:t xml:space="preserve"> e </w:t>
      </w:r>
      <w:r>
        <w:rPr>
          <w:i/>
          <w:iCs/>
        </w:rPr>
        <w:t xml:space="preserve">Senior</w:t>
      </w:r>
      <w:r>
        <w:t xml:space="preserve">. Os nós finais de </w:t>
      </w:r>
      <w:r>
        <w:rPr>
          <w:b/>
          <w:bCs/>
        </w:rPr>
        <w:t xml:space="preserve">Math Formula</w:t>
      </w:r>
      <w:r>
        <w:t xml:space="preserve">, </w:t>
      </w:r>
      <w:r>
        <w:rPr>
          <w:b/>
          <w:bCs/>
        </w:rPr>
        <w:t xml:space="preserve">Column Filter</w:t>
      </w:r>
      <w:r>
        <w:t xml:space="preserve"> e </w:t>
      </w:r>
      <w:r>
        <w:rPr>
          <w:b/>
          <w:bCs/>
        </w:rPr>
        <w:t xml:space="preserve">Column Renamer</w:t>
      </w:r>
      <w:r>
        <w:t xml:space="preserve"> concluem a conversão salarial para euros, eliminam as colunas temporárias de cálculo e alinham o esquema com o do primeiro ramo, preparando a concatenação.</w:t>
      </w:r>
    </w:p>
    <w:p>
      <w:pPr>
        <w:pStyle w:val="Cabealho3"/>
        <w:keepNext/>
        <w:spacing w:before="200" w:after="100"/>
      </w:pPr>
      <w:bookmarkStart w:id="145" w:name="_Toc_ramo3"/>
      <w:r>
        <w:t xml:space="preserve">Ramo 3 – Extração Web com XPath (HTML)</w:t>
      </w:r>
      <w:bookmarkEnd w:id="145"/>
    </w:p>
    <w:p>
      <w:r>
        <w:t xml:space="preserve">O terceiro ramo, ampliado na </w:t>
      </w:r>
      <w:r>
        <w:fldChar w:fldCharType="begin"/>
      </w:r>
      <w:r>
        <w:instrText xml:space="preserve"> REF _RefFig_knumbeo \h </w:instrText>
      </w:r>
      <w:r>
        <w:fldChar w:fldCharType="separate"/>
      </w:r>
      <w:r>
        <w:t xml:space="preserve">Figura 7</w:t>
      </w:r>
      <w:r>
        <w:fldChar w:fldCharType="end"/>
      </w:r>
      <w:r>
        <w:t xml:space="preserve">, é responsável pela recolha dos indicadores macroeconómicos. O nó </w:t>
      </w:r>
      <w:r>
        <w:rPr>
          <w:b/>
          <w:bCs/>
        </w:rPr>
        <w:t xml:space="preserve">Webpage Retriever</w:t>
      </w:r>
      <w:r>
        <w:t xml:space="preserve">, anotado com «numbeo Cost of Living Index», efetua o pedido HTTP à página pública do Numbeo e recolhe o documento em HTML (Numbeo, s.d.).</w:t>
      </w:r>
    </w:p>
    <w:p>
      <w:pPr>
        <w:keepNext/>
        <w:spacing w:before="120" w:after="0" w:line="240" w:lineRule="auto"/>
        <w:ind w:firstLine="0"/>
        <w:jc w:val="center"/>
      </w:pPr>
      <w:r>
        <w:rPr>
          <w:noProof/>
        </w:rPr>
        <w:drawing>
          <wp:inline distT="0" distB="0" distL="0" distR="0">
            <wp:extent cx="3240000" cy="1261022"/>
            <wp:effectExtent l="0" t="0" r="0" b="0"/>
            <wp:docPr id="107" name="Imagem 107" descr="Ampliação do ramo inferior do workflow KNIME, com os nós Webpage Retriever, XPath e Un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m 107"/>
                    <pic:cNvPicPr/>
                  </pic:nvPicPr>
                  <pic:blipFill>
                    <a:blip r:embed="rId206"/>
                    <a:stretch>
                      <a:fillRect/>
                    </a:stretch>
                  </pic:blipFill>
                  <pic:spPr>
                    <a:xfrm>
                      <a:off x="0" y="0"/>
                      <a:ext cx="3240000" cy="1261022"/>
                    </a:xfrm>
                    <a:prstGeom prst="rect">
                      <a:avLst/>
                    </a:prstGeom>
                    <a:ln w="6350">
                      <a:solidFill>
                        <a:srgbClr val="A6A6A6"/>
                      </a:solidFill>
                    </a:ln>
                  </pic:spPr>
                </pic:pic>
              </a:graphicData>
            </a:graphic>
          </wp:inline>
        </w:drawing>
      </w:r>
    </w:p>
    <w:p>
      <w:pPr>
        <w:pStyle w:val="Legenda"/>
        <w:spacing w:before="80" w:after="240"/>
      </w:pPr>
      <w:bookmarkStart w:id="146" w:name="_TocCapFknumbeo"/>
      <w:bookmarkStart w:id="147" w:name="_RefFig_knumbeo"/>
      <w:r>
        <w:t xml:space="preserve">Figura </w:t>
      </w:r>
      <w:r>
        <w:fldChar w:fldCharType="begin"/>
      </w:r>
      <w:r>
        <w:instrText xml:space="preserve"> SEQ Figura \* ARABIC </w:instrText>
      </w:r>
      <w:r>
        <w:fldChar w:fldCharType="separate"/>
      </w:r>
      <w:r>
        <w:rPr>
          <w:noProof/>
        </w:rPr>
        <w:t>7</w:t>
      </w:r>
      <w:r>
        <w:fldChar w:fldCharType="end"/>
      </w:r>
      <w:bookmarkEnd w:id="147"/>
      <w:r>
        <w:t xml:space="preserve">: Ramo de extração dos índices económicos do Numbeo por XPath (KNIME).</w:t>
      </w:r>
      <w:bookmarkEnd w:id="146"/>
    </w:p>
    <w:p>
      <w:r>
        <w:t xml:space="preserve">O nó </w:t>
      </w:r>
      <w:r>
        <w:rPr>
          <w:b/>
          <w:bCs/>
        </w:rPr>
        <w:t xml:space="preserve">XPath</w:t>
      </w:r>
      <w:r>
        <w:t xml:space="preserve"> aplica expressões sobre a árvore </w:t>
      </w:r>
      <w:r>
        <w:rPr>
          <w:i/>
          <w:iCs/>
        </w:rPr>
        <w:t xml:space="preserve">Document Object Model</w:t>
      </w:r>
      <w:r>
        <w:t xml:space="preserve"> (DOM) do documento para extrair as colunas da tabela de índices por país, nomeadamente o </w:t>
      </w:r>
      <w:r>
        <w:rPr>
          <w:rFonts w:ascii="Courier New" w:hAnsi="Courier New" w:cs="Courier New"/>
          <w:sz w:val="21"/>
          <w:szCs w:val="21"/>
        </w:rPr>
        <w:t xml:space="preserve">Indice_Custo_Vida</w:t>
      </w:r>
      <w:r>
        <w:t xml:space="preserve">, o </w:t>
      </w:r>
      <w:r>
        <w:rPr>
          <w:rFonts w:ascii="Courier New" w:hAnsi="Courier New" w:cs="Courier New"/>
          <w:sz w:val="21"/>
          <w:szCs w:val="21"/>
        </w:rPr>
        <w:t xml:space="preserve">Indice_de_Renda</w:t>
      </w:r>
      <w:r>
        <w:t xml:space="preserve"> e o </w:t>
      </w:r>
      <w:r>
        <w:rPr>
          <w:rFonts w:ascii="Courier New" w:hAnsi="Courier New" w:cs="Courier New"/>
          <w:sz w:val="21"/>
          <w:szCs w:val="21"/>
        </w:rPr>
        <w:t xml:space="preserve">Indice_Custo_Vida_Mais_Renda</w:t>
      </w:r>
      <w:r>
        <w:t xml:space="preserve">. O nó </w:t>
      </w:r>
      <w:r>
        <w:rPr>
          <w:b/>
          <w:bCs/>
        </w:rPr>
        <w:t xml:space="preserve">Ungroup</w:t>
      </w:r>
      <w:r>
        <w:t xml:space="preserve"> desagrupa as listas resultantes em linhas tabulares, obtendo-se uma tabela de referência com uma linha por país, pronta a ser cruzada com as ofertas. Esta abordagem substitui com vantagem a introdução manual de constantes no código: os índices passam a ser recolhidos diretamente da fonte e abrangem todos os países presentes no conjunto de dados.</w:t>
      </w:r>
    </w:p>
    <w:p>
      <w:pPr>
        <w:pStyle w:val="Cabealho3"/>
        <w:keepNext/>
        <w:spacing w:before="200" w:after="100"/>
      </w:pPr>
      <w:bookmarkStart w:id="148" w:name="_Toc_fusao"/>
      <w:r>
        <w:t xml:space="preserve">Fusão e Padronização Global</w:t>
      </w:r>
      <w:bookmarkEnd w:id="148"/>
    </w:p>
    <w:p>
      <w:r>
        <w:t xml:space="preserve">O nó </w:t>
      </w:r>
      <w:r>
        <w:rPr>
          <w:b/>
          <w:bCs/>
        </w:rPr>
        <w:t xml:space="preserve">Concatenate</w:t>
      </w:r>
      <w:r>
        <w:t xml:space="preserve">, visível na </w:t>
      </w:r>
      <w:r>
        <w:fldChar w:fldCharType="begin"/>
      </w:r>
      <w:r>
        <w:instrText xml:space="preserve"> REF _RefFig_krules \h </w:instrText>
      </w:r>
      <w:r>
        <w:fldChar w:fldCharType="separate"/>
      </w:r>
      <w:r>
        <w:t xml:space="preserve">Figura 8</w:t>
      </w:r>
      <w:r>
        <w:fldChar w:fldCharType="end"/>
      </w:r>
      <w:r>
        <w:t xml:space="preserve">, une verticalmente as ofertas provenientes da API REST (ramo 1) e do ficheiro CSV (ramo 2) numa tabela única. Esta operação só é possível porque ambos os ramos foram previamente alinhados ao mesmo esquema de colunas.</w:t>
      </w:r>
    </w:p>
    <w:p>
      <w:pPr>
        <w:keepNext/>
        <w:spacing w:before="120" w:after="0" w:line="240" w:lineRule="auto"/>
        <w:ind w:firstLine="0"/>
        <w:jc w:val="center"/>
      </w:pPr>
      <w:r>
        <w:rPr>
          <w:noProof/>
        </w:rPr>
        <w:drawing>
          <wp:inline distT="0" distB="0" distL="0" distR="0">
            <wp:extent cx="3960000" cy="1157538"/>
            <wp:effectExtent l="0" t="0" r="0" b="0"/>
            <wp:docPr id="108" name="Imagem 108" descr="Ampliação da zona do workflow KNIME com o nó Concatenate seguido de três nós Rule Engine anotados como Determina Nível Experiencia, Unir Cidades com Países e Tipo Mer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m 108"/>
                    <pic:cNvPicPr/>
                  </pic:nvPicPr>
                  <pic:blipFill>
                    <a:blip r:embed="rId207"/>
                    <a:stretch>
                      <a:fillRect/>
                    </a:stretch>
                  </pic:blipFill>
                  <pic:spPr>
                    <a:xfrm>
                      <a:off x="0" y="0"/>
                      <a:ext cx="3960000" cy="1157538"/>
                    </a:xfrm>
                    <a:prstGeom prst="rect">
                      <a:avLst/>
                    </a:prstGeom>
                    <a:ln w="6350">
                      <a:solidFill>
                        <a:srgbClr val="A6A6A6"/>
                      </a:solidFill>
                    </a:ln>
                  </pic:spPr>
                </pic:pic>
              </a:graphicData>
            </a:graphic>
          </wp:inline>
        </w:drawing>
      </w:r>
    </w:p>
    <w:p>
      <w:pPr>
        <w:pStyle w:val="Legenda"/>
        <w:spacing w:before="80" w:after="240"/>
      </w:pPr>
      <w:bookmarkStart w:id="149" w:name="_TocCapFkrules"/>
      <w:bookmarkStart w:id="150" w:name="_RefFig_krules"/>
      <w:r>
        <w:t xml:space="preserve">Figura </w:t>
      </w:r>
      <w:r>
        <w:fldChar w:fldCharType="begin"/>
      </w:r>
      <w:r>
        <w:instrText xml:space="preserve"> SEQ Figura \* ARABIC </w:instrText>
      </w:r>
      <w:r>
        <w:fldChar w:fldCharType="separate"/>
      </w:r>
      <w:r>
        <w:rPr>
          <w:noProof/>
        </w:rPr>
        <w:t>8</w:t>
      </w:r>
      <w:r>
        <w:fldChar w:fldCharType="end"/>
      </w:r>
      <w:bookmarkEnd w:id="150"/>
      <w:r>
        <w:t xml:space="preserve">: Concatenação e regras de padronização global (KNIME).</w:t>
      </w:r>
      <w:bookmarkEnd w:id="149"/>
    </w:p>
    <w:p>
      <w:r>
        <w:t xml:space="preserve">Seguem-se três nós </w:t>
      </w:r>
      <w:r>
        <w:rPr>
          <w:b/>
          <w:bCs/>
        </w:rPr>
        <w:t xml:space="preserve">Rule Engine</w:t>
      </w:r>
      <w:r>
        <w:t xml:space="preserve"> aplicados em cadeia à tabela consolidada:</w:t>
      </w:r>
    </w:p>
    <w:p>
      <w:pPr>
        <w:pStyle w:val="PargrafodaLista"/>
        <w:numPr>
          <w:ilvl w:val="0"/>
          <w:numId w:val="3"/>
        </w:numPr>
        <w:spacing w:after="60"/>
        <w:contextualSpacing w:val="0"/>
      </w:pPr>
      <w:r>
        <w:rPr>
          <w:b/>
          <w:bCs/>
        </w:rPr>
        <w:t xml:space="preserve">Determina Nível Experiencia</w:t>
      </w:r>
      <w:r>
        <w:t xml:space="preserve"> — uniformiza o nível de experiência dos registos provenientes da API, que não dispõem dessa classificação de origem, atribuindo-lhes uma das três categorias padronizadas;</w:t>
      </w:r>
    </w:p>
    <w:p>
      <w:pPr>
        <w:pStyle w:val="PargrafodaLista"/>
        <w:numPr>
          <w:ilvl w:val="0"/>
          <w:numId w:val="3"/>
        </w:numPr>
        <w:spacing w:after="60"/>
        <w:contextualSpacing w:val="0"/>
      </w:pPr>
      <w:r>
        <w:rPr>
          <w:b/>
          <w:bCs/>
        </w:rPr>
        <w:t xml:space="preserve">Unir Cidades com Países</w:t>
      </w:r>
      <w:r>
        <w:t xml:space="preserve"> — mapeia nomes de cidades para os respetivos países, garantindo que a nomenclatura coincide exatamente com a utilizada na tabela de índices do Numbeo, o que é condição necessária para a junção seguinte;</w:t>
      </w:r>
    </w:p>
    <w:p>
      <w:pPr>
        <w:pStyle w:val="PargrafodaLista"/>
        <w:numPr>
          <w:ilvl w:val="0"/>
          <w:numId w:val="3"/>
        </w:numPr>
        <w:spacing w:after="60"/>
        <w:contextualSpacing w:val="0"/>
      </w:pPr>
      <w:r>
        <w:rPr>
          <w:b/>
          <w:bCs/>
        </w:rPr>
        <w:t xml:space="preserve">Tipo Mercado</w:t>
      </w:r>
      <w:r>
        <w:t xml:space="preserve"> — classifica cada registo quanto ao tipo de mercado a que pertence.</w:t>
      </w:r>
    </w:p>
    <w:p>
      <w:pPr>
        <w:pStyle w:val="Cabealho3"/>
        <w:keepNext/>
        <w:spacing w:before="200" w:after="100"/>
      </w:pPr>
      <w:bookmarkStart w:id="151" w:name="_Toc_calculo"/>
      <w:r>
        <w:t xml:space="preserve">Cruzamento, Modelação Fiscal e Cálculo da Poupança</w:t>
      </w:r>
      <w:bookmarkEnd w:id="151"/>
    </w:p>
    <w:p>
      <w:r>
        <w:t xml:space="preserve">A </w:t>
      </w:r>
      <w:r>
        <w:fldChar w:fldCharType="begin"/>
      </w:r>
      <w:r>
        <w:instrText xml:space="preserve"> REF _RefFig_kjoin \h </w:instrText>
      </w:r>
      <w:r>
        <w:fldChar w:fldCharType="separate"/>
      </w:r>
      <w:r>
        <w:t xml:space="preserve">Figura 9</w:t>
      </w:r>
      <w:r>
        <w:fldChar w:fldCharType="end"/>
      </w:r>
      <w:r>
        <w:t xml:space="preserve"> amplia o tronco final do </w:t>
      </w:r>
      <w:r>
        <w:rPr>
          <w:i/>
          <w:iCs/>
        </w:rPr>
        <w:t xml:space="preserve">workflow</w:t>
      </w:r>
      <w:r>
        <w:t xml:space="preserve">, já visível na </w:t>
      </w:r>
      <w:r>
        <w:fldChar w:fldCharType="begin"/>
      </w:r>
      <w:r>
        <w:instrText xml:space="preserve"> REF _RefFig_knime2 \h </w:instrText>
      </w:r>
      <w:r>
        <w:fldChar w:fldCharType="separate"/>
      </w:r>
      <w:r>
        <w:t xml:space="preserve">Figura 4</w:t>
      </w:r>
      <w:r>
        <w:fldChar w:fldCharType="end"/>
      </w:r>
      <w:r>
        <w:t xml:space="preserve">. O nó </w:t>
      </w:r>
      <w:r>
        <w:rPr>
          <w:b/>
          <w:bCs/>
        </w:rPr>
        <w:t xml:space="preserve">Joiner</w:t>
      </w:r>
      <w:r>
        <w:t xml:space="preserve"> realiza a junção relacional entre o fluxo consolidado de ofertas (porta superior) e a tabela de índices económicos extraída por XPath (porta inferior), usando o país como chave de ligação. Desta operação resulta a associação, a cada oferta, dos três índices do respetivo país.</w:t>
      </w:r>
    </w:p>
    <w:p>
      <w:pPr>
        <w:keepNext/>
        <w:spacing w:before="120" w:after="0" w:line="240" w:lineRule="auto"/>
        <w:ind w:firstLine="0"/>
        <w:jc w:val="center"/>
      </w:pPr>
      <w:r>
        <w:rPr>
          <w:noProof/>
        </w:rPr>
        <w:drawing>
          <wp:inline distT="0" distB="0" distL="0" distR="0">
            <wp:extent cx="5220000" cy="2472421"/>
            <wp:effectExtent l="0" t="0" r="0" b="0"/>
            <wp:docPr id="109" name="Imagem 109" descr="Ampliação do tronco final do workflow KNIME, com Joiner, Rule Engine Taxa Imposto, Math Formula Poupança Anual Estimada, Rule-based Row Filter, PostgreSQL Connector, DB Writer e Variable Loop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m 109"/>
                    <pic:cNvPicPr/>
                  </pic:nvPicPr>
                  <pic:blipFill>
                    <a:blip r:embed="rId208"/>
                    <a:stretch>
                      <a:fillRect/>
                    </a:stretch>
                  </pic:blipFill>
                  <pic:spPr>
                    <a:xfrm>
                      <a:off x="0" y="0"/>
                      <a:ext cx="5220000" cy="2472421"/>
                    </a:xfrm>
                    <a:prstGeom prst="rect">
                      <a:avLst/>
                    </a:prstGeom>
                    <a:ln w="6350">
                      <a:solidFill>
                        <a:srgbClr val="A6A6A6"/>
                      </a:solidFill>
                    </a:ln>
                  </pic:spPr>
                </pic:pic>
              </a:graphicData>
            </a:graphic>
          </wp:inline>
        </w:drawing>
      </w:r>
    </w:p>
    <w:p>
      <w:pPr>
        <w:pStyle w:val="Legenda"/>
        <w:spacing w:before="80" w:after="240"/>
      </w:pPr>
      <w:bookmarkStart w:id="152" w:name="_TocCapFkjoin"/>
      <w:bookmarkStart w:id="153" w:name="_RefFig_kjoin"/>
      <w:r>
        <w:t xml:space="preserve">Figura </w:t>
      </w:r>
      <w:r>
        <w:fldChar w:fldCharType="begin"/>
      </w:r>
      <w:r>
        <w:instrText xml:space="preserve"> SEQ Figura \* ARABIC </w:instrText>
      </w:r>
      <w:r>
        <w:fldChar w:fldCharType="separate"/>
      </w:r>
      <w:r>
        <w:rPr>
          <w:noProof/>
        </w:rPr>
        <w:t>9</w:t>
      </w:r>
      <w:r>
        <w:fldChar w:fldCharType="end"/>
      </w:r>
      <w:bookmarkEnd w:id="153"/>
      <w:r>
        <w:t xml:space="preserve">: Junção com os índices Numbeo, cálculo da poupança e escrita em base de dados (KNIME).</w:t>
      </w:r>
      <w:bookmarkEnd w:id="152"/>
    </w:p>
    <w:p>
      <w:r>
        <w:t xml:space="preserve">O nó </w:t>
      </w:r>
      <w:r>
        <w:rPr>
          <w:b/>
          <w:bCs/>
        </w:rPr>
        <w:t xml:space="preserve">Rule Engine</w:t>
      </w:r>
      <w:r>
        <w:t xml:space="preserve"> anotado com «Taxa Imposto» atribui a taxa de imposto aplicável a cada registo, em função do país e do escalão salarial, tendo sido adotada uma taxa estimada de 30 % como valor de referência. O nó </w:t>
      </w:r>
      <w:r>
        <w:rPr>
          <w:b/>
          <w:bCs/>
        </w:rPr>
        <w:t xml:space="preserve">Math Formula</w:t>
      </w:r>
      <w:r>
        <w:t xml:space="preserve">, anotado com «Poupança Anual Estimada (€)», executa o cálculo final em duas etapas conceptuais: primeiro deduz o imposto ao salário bruto anualizado em euros, obtendo o rendimento líquido anual; em seguida pondera esse rendimento face ao custo de vida e de habitação do país, representado pelos índices do Numbeo, obtendo a capacidade de poupança efetiva. O indicador resultante traduz, assim, o poder de compra real da oferta no país de destino, e não apenas o valor nominal anunciado.</w:t>
      </w:r>
    </w:p>
    <w:p>
      <w:r>
        <w:t xml:space="preserve">Por fim, o nó </w:t>
      </w:r>
      <w:r>
        <w:rPr>
          <w:b/>
          <w:bCs/>
        </w:rPr>
        <w:t xml:space="preserve">Rule-based Row Filter</w:t>
      </w:r>
      <w:r>
        <w:t xml:space="preserve">, anotado com «Exclusão de salários null e valores mal inseridos», atua como filtro final de qualidade dos dados, eliminando linhas com valores nulos, salários iguais ou inferiores a zero e anomalias numéricas, antes da escrita na BD. A persistência propriamente dita, assegurada pelos nós </w:t>
      </w:r>
      <w:r>
        <w:rPr>
          <w:b/>
          <w:bCs/>
        </w:rPr>
        <w:t xml:space="preserve">PostgreSQL Connector</w:t>
      </w:r>
      <w:r>
        <w:t xml:space="preserve"> e </w:t>
      </w:r>
      <w:r>
        <w:rPr>
          <w:b/>
          <w:bCs/>
        </w:rPr>
        <w:t xml:space="preserve">DB Writer</w:t>
      </w:r>
      <w:r>
        <w:t xml:space="preserve">, é documentada na secção </w:t>
      </w:r>
      <w:r>
        <w:t xml:space="preserve">4.4</w:t>
      </w:r>
      <w:r>
        <w:t xml:space="preserve">.</w:t>
      </w:r>
    </w:p>
    <w:p>
      <w:pPr>
        <w:pStyle w:val="Cabealho2"/>
        <w:keepNext/>
        <w:spacing w:before="320" w:after="160"/>
      </w:pPr>
      <w:bookmarkStart w:id="154" w:name="_Toc_nodered"/>
      <w:r>
        <w:t xml:space="preserve">Via Contínua: Transformações no Node-RED</w:t>
      </w:r>
      <w:bookmarkEnd w:id="154"/>
    </w:p>
    <w:p>
      <w:r>
        <w:t xml:space="preserve">A </w:t>
      </w:r>
      <w:r>
        <w:fldChar w:fldCharType="begin"/>
      </w:r>
      <w:r>
        <w:instrText xml:space="preserve"> REF _RefFig_nr1 \h </w:instrText>
      </w:r>
      <w:r>
        <w:fldChar w:fldCharType="separate"/>
      </w:r>
      <w:r>
        <w:t xml:space="preserve">Figura 10</w:t>
      </w:r>
      <w:r>
        <w:fldChar w:fldCharType="end"/>
      </w:r>
      <w:r>
        <w:t xml:space="preserve"> apresenta o fluxo produtor implementado no Node-RED. O fluxo é iniciado pelo nó de disparo periódico </w:t>
      </w:r>
      <w:r>
        <w:rPr>
          <w:i/>
          <w:iCs/>
        </w:rPr>
        <w:t xml:space="preserve">Alert 1 every hour</w:t>
      </w:r>
      <w:r>
        <w:t xml:space="preserve">, descrito na secção </w:t>
      </w:r>
      <w:r>
        <w:t xml:space="preserve">4.2</w:t>
      </w:r>
      <w:r>
        <w:t xml:space="preserve">, e percorre em sequência a preparação dos termos de pesquisa, a chamada às APIs e o tratamento dos dados. Observa-se ainda, na parte inferior do diagrama, a bifurcação do nó </w:t>
      </w:r>
      <w:r>
        <w:rPr>
          <w:i/>
          <w:iCs/>
        </w:rPr>
        <w:t xml:space="preserve">Normal Data</w:t>
      </w:r>
      <w:r>
        <w:t xml:space="preserve"> para o ramo de notificações (nós </w:t>
      </w:r>
      <w:r>
        <w:rPr>
          <w:i/>
          <w:iCs/>
        </w:rPr>
        <w:t xml:space="preserve">Good Role Alert</w:t>
      </w:r>
      <w:r>
        <w:t xml:space="preserve"> e </w:t>
      </w:r>
      <w:r>
        <w:rPr>
          <w:i/>
          <w:iCs/>
        </w:rPr>
        <w:t xml:space="preserve">http request Telegram</w:t>
      </w:r>
      <w:r>
        <w:t xml:space="preserve">), documentado na secção </w:t>
      </w:r>
      <w:r>
        <w:t xml:space="preserve">4.5</w:t>
      </w:r>
      <w:r>
        <w:t xml:space="preserve">.</w:t>
      </w:r>
    </w:p>
    <w:p>
      <w:pPr>
        <w:keepNext/>
        <w:spacing w:before="120" w:after="0" w:line="240" w:lineRule="auto"/>
        <w:ind w:firstLine="0"/>
        <w:jc w:val="center"/>
      </w:pPr>
      <w:r>
        <w:rPr>
          <w:noProof/>
        </w:rPr>
        <w:drawing>
          <wp:inline distT="0" distB="0" distL="0" distR="0">
            <wp:extent cx="5760000" cy="1802926"/>
            <wp:effectExtent l="0" t="0" r="0" b="0"/>
            <wp:docPr id="110" name="Imagem 110" descr="Diagrama do fluxo Node-RED com os nós Alert 1 every hour, Keywords, Split Keywords, String Manipulation, http request, split, switch, Postal Code Filter, http request, Extract Country, Normal Data, amq.direct fila_vagas, Good Role Alert e http request Tele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m 110"/>
                    <pic:cNvPicPr/>
                  </pic:nvPicPr>
                  <pic:blipFill>
                    <a:blip r:embed="rId209"/>
                    <a:stretch>
                      <a:fillRect/>
                    </a:stretch>
                  </pic:blipFill>
                  <pic:spPr>
                    <a:xfrm>
                      <a:off x="0" y="0"/>
                      <a:ext cx="5760000" cy="1802926"/>
                    </a:xfrm>
                    <a:prstGeom prst="rect">
                      <a:avLst/>
                    </a:prstGeom>
                    <a:ln w="6350">
                      <a:solidFill>
                        <a:srgbClr val="A6A6A6"/>
                      </a:solidFill>
                    </a:ln>
                  </pic:spPr>
                </pic:pic>
              </a:graphicData>
            </a:graphic>
          </wp:inline>
        </w:drawing>
      </w:r>
    </w:p>
    <w:p>
      <w:pPr>
        <w:pStyle w:val="Legenda"/>
        <w:spacing w:before="80" w:after="240"/>
      </w:pPr>
      <w:bookmarkStart w:id="155" w:name="_TocCapFnr1"/>
      <w:bookmarkStart w:id="156" w:name="_RefFig_nr1"/>
      <w:r>
        <w:t xml:space="preserve">Figura </w:t>
      </w:r>
      <w:r>
        <w:fldChar w:fldCharType="begin"/>
      </w:r>
      <w:r>
        <w:instrText xml:space="preserve"> SEQ Figura \* ARABIC </w:instrText>
      </w:r>
      <w:r>
        <w:fldChar w:fldCharType="separate"/>
      </w:r>
      <w:r>
        <w:rPr>
          <w:noProof/>
        </w:rPr>
        <w:t>10</w:t>
      </w:r>
      <w:r>
        <w:fldChar w:fldCharType="end"/>
      </w:r>
      <w:bookmarkEnd w:id="156"/>
      <w:r>
        <w:t xml:space="preserve">: Fluxo produtor de extração e transformação no Node-RED.</w:t>
      </w:r>
      <w:bookmarkEnd w:id="155"/>
    </w:p>
    <w:p>
      <w:pPr>
        <w:pStyle w:val="Cabealho3"/>
        <w:keepNext/>
        <w:spacing w:before="200" w:after="100"/>
      </w:pPr>
      <w:bookmarkStart w:id="157" w:name="_Toc_nrprep"/>
      <w:r>
        <w:t xml:space="preserve">Preparação dos Termos e Chamadas às APIs</w:t>
      </w:r>
      <w:bookmarkEnd w:id="157"/>
    </w:p>
    <w:p>
      <w:r>
        <w:t xml:space="preserve">O nó </w:t>
      </w:r>
      <w:r>
        <w:rPr>
          <w:b/>
          <w:bCs/>
        </w:rPr>
        <w:t xml:space="preserve">Keywords</w:t>
      </w:r>
      <w:r>
        <w:t xml:space="preserve"> gera a lista de termos de pesquisa de natureza tecnológica e o nó </w:t>
      </w:r>
      <w:r>
        <w:rPr>
          <w:b/>
          <w:bCs/>
        </w:rPr>
        <w:t xml:space="preserve">Split Keywords</w:t>
      </w:r>
      <w:r>
        <w:t xml:space="preserve"> separa essa lista em mensagens individuais, de modo que cada termo seja processado de forma independente. O nó </w:t>
      </w:r>
      <w:r>
        <w:rPr>
          <w:b/>
          <w:bCs/>
        </w:rPr>
        <w:t xml:space="preserve">String Manipulation</w:t>
      </w:r>
      <w:r>
        <w:t xml:space="preserve"> formata cada termo para construir o parâmetro de pesquisa do </w:t>
      </w:r>
      <w:r>
        <w:rPr>
          <w:i/>
          <w:iCs/>
        </w:rPr>
        <w:t xml:space="preserve">endpoint</w:t>
      </w:r>
      <w:r>
        <w:t xml:space="preserve">. O primeiro nó </w:t>
      </w:r>
      <w:r>
        <w:rPr>
          <w:b/>
          <w:bCs/>
        </w:rPr>
        <w:t xml:space="preserve">http request</w:t>
      </w:r>
      <w:r>
        <w:t xml:space="preserve"> efetua o pedido à API da Reed e o nó </w:t>
      </w:r>
      <w:r>
        <w:rPr>
          <w:b/>
          <w:bCs/>
        </w:rPr>
        <w:t xml:space="preserve">split</w:t>
      </w:r>
      <w:r>
        <w:t xml:space="preserve"> divide o </w:t>
      </w:r>
      <w:r>
        <w:rPr>
          <w:i/>
          <w:iCs/>
        </w:rPr>
        <w:t xml:space="preserve">array</w:t>
      </w:r>
      <w:r>
        <w:t xml:space="preserve"> JSON de resultados em mensagens individuais, de forma que cada oferta percorra o restante fluxo como uma mensagem autónoma.</w:t>
      </w:r>
    </w:p>
    <w:p>
      <w:r>
        <w:t xml:space="preserve">O nó </w:t>
      </w:r>
      <w:r>
        <w:rPr>
          <w:b/>
          <w:bCs/>
        </w:rPr>
        <w:t xml:space="preserve">switch</w:t>
      </w:r>
      <w:r>
        <w:t xml:space="preserve"> avalia o campo de localização e encaminha a mensagem por uma de duas saídas. Quando a localização corresponde a um código postal, a mensagem segue para o nó </w:t>
      </w:r>
      <w:r>
        <w:rPr>
          <w:b/>
          <w:bCs/>
        </w:rPr>
        <w:t xml:space="preserve">Postal Code Filter</w:t>
      </w:r>
      <w:r>
        <w:t xml:space="preserve">, que isola e valida o código com uma expressão regular, e daí para um segundo nó </w:t>
      </w:r>
      <w:r>
        <w:rPr>
          <w:b/>
          <w:bCs/>
        </w:rPr>
        <w:t xml:space="preserve">http request</w:t>
      </w:r>
      <w:r>
        <w:t xml:space="preserve">, que consulta a API Postcodes.io (Postcodes.io, s.d.); o nó </w:t>
      </w:r>
      <w:r>
        <w:rPr>
          <w:b/>
          <w:bCs/>
        </w:rPr>
        <w:t xml:space="preserve">Extract Country</w:t>
      </w:r>
      <w:r>
        <w:t xml:space="preserve"> extrai o país da resposta. Caso contrário, a mensagem segue diretamente para o nó </w:t>
      </w:r>
      <w:r>
        <w:rPr>
          <w:b/>
          <w:bCs/>
        </w:rPr>
        <w:t xml:space="preserve">Normal Data</w:t>
      </w:r>
      <w:r>
        <w:t xml:space="preserve">. Como exemplo ilustrativo, os códigos postais do Reino Unido seguem um padrão do tipo </w:t>
      </w:r>
      <w:r>
        <w:rPr>
          <w:rFonts w:ascii="Courier New" w:hAnsi="Courier New" w:cs="Courier New"/>
          <w:sz w:val="21"/>
          <w:szCs w:val="21"/>
        </w:rPr>
        <w:t xml:space="preserve">^[A-Z]{1,2}\d[A-Z\d]?\s*\d[A-Z]{2}$</w:t>
      </w:r>
      <w:r>
        <w:t xml:space="preserve">, que pode ser testado diretamente em JavaScript (MDN Web Docs, s.d.).</w:t>
      </w:r>
    </w:p>
    <w:p>
      <w:pPr>
        <w:pStyle w:val="Cabealho3"/>
        <w:keepNext/>
        <w:spacing w:before="200" w:after="100"/>
      </w:pPr>
      <w:bookmarkStart w:id="158" w:name="_Toc_normal"/>
      <w:r>
        <w:t xml:space="preserve">Regras de Negócio no Nó Normal Data</w:t>
      </w:r>
      <w:bookmarkEnd w:id="158"/>
    </w:p>
    <w:p>
      <w:r>
        <w:t xml:space="preserve">O nó </w:t>
      </w:r>
      <w:r>
        <w:rPr>
          <w:b/>
          <w:bCs/>
        </w:rPr>
        <w:t xml:space="preserve">Normal Data</w:t>
      </w:r>
      <w:r>
        <w:t xml:space="preserve"> é um nó </w:t>
      </w:r>
      <w:r>
        <w:rPr>
          <w:i/>
          <w:iCs/>
        </w:rPr>
        <w:t xml:space="preserve">function</w:t>
      </w:r>
      <w:r>
        <w:t xml:space="preserve"> que concentra a lógica de negócio desta via e cuja saída se bifurca em duas vias paralelas: a publicação na fila do RabbitMQ e a avaliação de notificações, documentada na secção </w:t>
      </w:r>
      <w:r>
        <w:t xml:space="preserve">4.5</w:t>
      </w:r>
      <w:r>
        <w:t xml:space="preserve">. As regras aplicadas são as seguintes.</w:t>
      </w:r>
    </w:p>
    <w:p>
      <w:r>
        <w:rPr>
          <w:b/>
          <w:bCs/>
        </w:rPr>
        <w:t xml:space="preserve">Filtro de qualidade (</w:t>
      </w:r>
      <w:r>
        <w:rPr>
          <w:b/>
          <w:bCs/>
          <w:i/>
          <w:iCs/>
        </w:rPr>
        <w:t xml:space="preserve">gatekeeper</w:t>
      </w:r>
      <w:r>
        <w:rPr>
          <w:b/>
          <w:bCs/>
        </w:rPr>
        <w:t xml:space="preserve">).</w:t>
      </w:r>
      <w:r>
        <w:t xml:space="preserve"> Descartam-se as ofertas sem título e as ofertas cujo salário é zero, por não possuírem informação suficiente. Ao devolver </w:t>
      </w:r>
      <w:r>
        <w:rPr>
          <w:rFonts w:ascii="Courier New" w:hAnsi="Courier New" w:cs="Courier New"/>
          <w:sz w:val="21"/>
          <w:szCs w:val="21"/>
        </w:rPr>
        <w:t xml:space="preserve">null</w:t>
      </w:r>
      <w:r>
        <w:t xml:space="preserve">, o nó termina o processamento da mensagem, que não chega a ser publicada na fila.</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Filtro de qualidade</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if (!vaga.jobTitle || salario_libras === 0) {</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return null;   // descarta o registo</w:t>
      </w:r>
    </w:p>
    <w:p>
      <w:pPr>
        <w:pStyle w:val="Code"/>
        <w:keepLines/>
        <w:shd w:val="clear" w:color="auto" w:fill="F2F2F2"/>
        <w:spacing w:before="0" w:after="160" w:line="240" w:lineRule="auto"/>
        <w:ind w:left="284" w:right="284" w:firstLine="0"/>
        <w:jc w:val="left"/>
      </w:pPr>
      <w:r>
        <w:rPr>
          <w:rFonts w:ascii="Courier New" w:hAnsi="Courier New" w:cs="Courier New"/>
          <w:sz w:val="18"/>
          <w:szCs w:val="18"/>
        </w:rPr>
        <w:t xml:space="preserve">}</w:t>
      </w:r>
    </w:p>
    <w:p>
      <w:r>
        <w:rPr>
          <w:b/>
          <w:bCs/>
        </w:rPr>
        <w:t xml:space="preserve">Anualização salarial e conversão cambial.</w:t>
      </w:r>
      <w:r>
        <w:t xml:space="preserve"> Como o campo salarial pode representar valores com periodicidades diferentes, a regra infere a periodicidade a partir da ordem de grandeza e converte o valor para um salário anual: valores inferiores a 100 são interpretados como salário horário e multiplicados por 1 950; valores entre 100 e 1 500 como salário diário e multiplicados por 260; e valores entre 1 500 e 10 000 como salário mensal e multiplicados por 12. O resultado é convertido para euros através da taxa de câmbio de 1,17.</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Anualização e conversão cambial</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let salario_anual = salario_libras;</w:t>
      </w:r>
    </w:p>
    <w:p>
      <w:pPr>
        <w:pStyle w:val="Code"/>
        <w:keepNext/>
        <w:keepLines/>
        <w:shd w:val="clear" w:color="auto" w:fill="F2F2F2"/>
        <w:spacing w:before="0" w:after="0" w:line="240" w:lineRule="auto"/>
        <w:ind w:left="284" w:right="284" w:firstLine="0"/>
        <w:jc w:val="left"/>
      </w:pP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if (salario_libras &lt; 100) {</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salario_anual = salario_libras * 1950;   // salário/hora</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else if (salario_libras &lt; 1500) {</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salario_anual = salario_libras * 260;    // salário/dia</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else if (salario_libras &lt; 10000) {</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salario_anual = salario_libras * 12;     // salário/mês</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w:t>
      </w:r>
    </w:p>
    <w:p>
      <w:pPr>
        <w:pStyle w:val="Code"/>
        <w:keepLines/>
        <w:shd w:val="clear" w:color="auto" w:fill="F2F2F2"/>
        <w:spacing w:before="0" w:after="160" w:line="240" w:lineRule="auto"/>
        <w:ind w:left="284" w:right="284" w:firstLine="0"/>
        <w:jc w:val="left"/>
      </w:pPr>
      <w:r>
        <w:rPr>
          <w:rFonts w:ascii="Courier New" w:hAnsi="Courier New" w:cs="Courier New"/>
          <w:sz w:val="18"/>
          <w:szCs w:val="18"/>
        </w:rPr>
        <w:t xml:space="preserve">const salario_euros = Math.round(salario_anual * 1.17);</w:t>
      </w:r>
    </w:p>
    <w:p>
      <w:r>
        <w:rPr>
          <w:b/>
          <w:bCs/>
        </w:rPr>
        <w:t xml:space="preserve">Normalização geográfica.</w:t>
      </w:r>
      <w:r>
        <w:t xml:space="preserve"> O país é fixado em </w:t>
      </w:r>
      <w:r>
        <w:rPr>
          <w:i/>
          <w:iCs/>
        </w:rPr>
        <w:t xml:space="preserve">United Kingdom</w:t>
      </w:r>
      <w:r>
        <w:t xml:space="preserve"> por omissão, sendo alterado para </w:t>
      </w:r>
      <w:r>
        <w:rPr>
          <w:i/>
          <w:iCs/>
        </w:rPr>
        <w:t xml:space="preserve">Ireland</w:t>
      </w:r>
      <w:r>
        <w:t xml:space="preserve"> apenas quando o campo de localização contém uma das palavras </w:t>
      </w:r>
      <w:r>
        <w:rPr>
          <w:i/>
          <w:iCs/>
        </w:rPr>
        <w:t xml:space="preserve">ireland</w:t>
      </w:r>
      <w:r>
        <w:t xml:space="preserve">, </w:t>
      </w:r>
      <w:r>
        <w:rPr>
          <w:i/>
          <w:iCs/>
        </w:rPr>
        <w:t xml:space="preserve">dublin</w:t>
      </w:r>
      <w:r>
        <w:t xml:space="preserve">, </w:t>
      </w:r>
      <w:r>
        <w:rPr>
          <w:i/>
          <w:iCs/>
        </w:rPr>
        <w:t xml:space="preserve">cork</w:t>
      </w:r>
      <w:r>
        <w:t xml:space="preserve"> ou </w:t>
      </w:r>
      <w:r>
        <w:rPr>
          <w:i/>
          <w:iCs/>
        </w:rPr>
        <w:t xml:space="preserve">galway</w:t>
      </w:r>
      <w:r>
        <w:t xml:space="preserve">. A comparação é feita sobre o texto em minúsculas e através de uma expressão regular, o que torna a validação independente de maiúsculas e de variações de escrita. Esta normalização é deliberadamente mais simples do que a da via em lote, uma vez que esta via se destina à deteção rápida de novas ofertas e não à análise comparativa entre mercados.</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Normalização geográfica</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const local = (vaga.locationName || '').toLowerCase();</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let pais = 'United Kingdom';</w:t>
      </w:r>
    </w:p>
    <w:p>
      <w:pPr>
        <w:pStyle w:val="Code"/>
        <w:keepNext/>
        <w:keepLines/>
        <w:shd w:val="clear" w:color="auto" w:fill="F2F2F2"/>
        <w:spacing w:before="0" w:after="0" w:line="240" w:lineRule="auto"/>
        <w:ind w:left="284" w:right="284" w:firstLine="0"/>
        <w:jc w:val="left"/>
      </w:pP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if (/ireland|dublin|cork|galway/.test(local)) {</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pais = 'Ireland';</w:t>
      </w:r>
    </w:p>
    <w:p>
      <w:pPr>
        <w:pStyle w:val="Code"/>
        <w:keepLines/>
        <w:shd w:val="clear" w:color="auto" w:fill="F2F2F2"/>
        <w:spacing w:before="0" w:after="160" w:line="240" w:lineRule="auto"/>
        <w:ind w:left="284" w:right="284" w:firstLine="0"/>
        <w:jc w:val="left"/>
      </w:pPr>
      <w:r>
        <w:rPr>
          <w:rFonts w:ascii="Courier New" w:hAnsi="Courier New" w:cs="Courier New"/>
          <w:sz w:val="18"/>
          <w:szCs w:val="18"/>
        </w:rPr>
        <w:t xml:space="preserve">}</w:t>
      </w:r>
    </w:p>
    <w:p>
      <w:r>
        <w:rPr>
          <w:b/>
          <w:bCs/>
        </w:rPr>
        <w:t xml:space="preserve">Mapeamento de </w:t>
      </w:r>
      <w:r>
        <w:rPr>
          <w:b/>
          <w:bCs/>
          <w:i/>
          <w:iCs/>
        </w:rPr>
        <w:t xml:space="preserve">schema</w:t>
      </w:r>
      <w:r>
        <w:rPr>
          <w:b/>
          <w:bCs/>
        </w:rPr>
        <w:t xml:space="preserve">.</w:t>
      </w:r>
      <w:r>
        <w:t xml:space="preserve"> A oferta é reestruturada, de objeto JSON para um </w:t>
      </w:r>
      <w:r>
        <w:rPr>
          <w:i/>
          <w:iCs/>
        </w:rPr>
        <w:t xml:space="preserve">array</w:t>
      </w:r>
      <w:r>
        <w:t xml:space="preserve"> de cinco posições, por ordem fixa, correspondente às colunas da tabela de destino descrita na secção </w:t>
      </w:r>
      <w:r>
        <w:t xml:space="preserve">4.4</w:t>
      </w:r>
      <w:r>
        <w:t xml:space="preserve">. Os campos de nível de experiência e de tipo de mercado assumem valores fixos nesta via, por não existir informação de origem que permita determiná-los. O </w:t>
      </w:r>
      <w:r>
        <w:rPr>
          <w:i/>
          <w:iCs/>
        </w:rPr>
        <w:t xml:space="preserve">array</w:t>
      </w:r>
      <w:r>
        <w:t xml:space="preserve"> é atribuído ao </w:t>
      </w:r>
      <w:r>
        <w:rPr>
          <w:i/>
          <w:iCs/>
        </w:rPr>
        <w:t xml:space="preserve">payload</w:t>
      </w:r>
      <w:r>
        <w:t xml:space="preserve"> da mensagem e enviado para o nó de publicação no RabbitMQ, onde é serializado em JSON.</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Mapeamento de schema (5 atributos, por ordem)</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msg.payload = [</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vaga.jobTitle,                 // 0  titulo_vaga</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pais,                          // 1  localizacao (país normalizado)</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salario_euros,                 // 2  salario_euros</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'Mid',                         // 3  nivel_experiencia</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'Mercado Local / Standard'     // 4  tipo_mercado</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w:t>
      </w:r>
    </w:p>
    <w:p>
      <w:pPr>
        <w:pStyle w:val="Code"/>
        <w:keepLines/>
        <w:shd w:val="clear" w:color="auto" w:fill="F2F2F2"/>
        <w:spacing w:before="0" w:after="160" w:line="240" w:lineRule="auto"/>
        <w:ind w:left="284" w:right="284" w:firstLine="0"/>
        <w:jc w:val="left"/>
      </w:pPr>
      <w:r>
        <w:rPr>
          <w:rFonts w:ascii="Courier New" w:hAnsi="Courier New" w:cs="Courier New"/>
          <w:sz w:val="18"/>
          <w:szCs w:val="18"/>
        </w:rPr>
        <w:t xml:space="preserve">return msg;</w:t>
      </w:r>
    </w:p>
    <w:p>
      <w:pPr>
        <w:pStyle w:val="Cabealho3"/>
        <w:keepNext/>
        <w:spacing w:before="200" w:after="100"/>
      </w:pPr>
      <w:bookmarkStart w:id="159" w:name="_Toc_rebuild"/>
      <w:r>
        <w:t xml:space="preserve">Reconstrução e Validação de Parâmetros (Rebuild Params)</w:t>
      </w:r>
      <w:bookmarkEnd w:id="159"/>
    </w:p>
    <w:p>
      <w:r>
        <w:t xml:space="preserve">No fluxo consumidor, descrito na secção </w:t>
      </w:r>
      <w:r>
        <w:t xml:space="preserve">4.3</w:t>
      </w:r>
      <w:r>
        <w:t xml:space="preserve">, a mensagem recebida do RabbitMQ chega sob a forma de um pacote binário (</w:t>
      </w:r>
      <w:r>
        <w:rPr>
          <w:i/>
          <w:iCs/>
        </w:rPr>
        <w:t xml:space="preserve">Buffer</w:t>
      </w:r>
      <w:r>
        <w:t xml:space="preserve">). O nó </w:t>
      </w:r>
      <w:r>
        <w:rPr>
          <w:b/>
          <w:bCs/>
        </w:rPr>
        <w:t xml:space="preserve">Rebuild Params</w:t>
      </w:r>
      <w:r>
        <w:t xml:space="preserve"> converte esse pacote para texto e interpreta-o como JSON. Para além da conversão, o nó valida que a estrutura recebida é efetivamente um </w:t>
      </w:r>
      <w:r>
        <w:rPr>
          <w:i/>
          <w:iCs/>
        </w:rPr>
        <w:t xml:space="preserve">array</w:t>
      </w:r>
      <w:r>
        <w:t xml:space="preserve"> e injeta valores por omissão em cada posição em falta, o que impede que mensagens truncadas ou respostas inválidas das APIs provoquem erros na escrita em BD.</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Rebuild Params</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const dados = JSON.parse(msg.payload.toString());</w:t>
      </w:r>
    </w:p>
    <w:p>
      <w:pPr>
        <w:pStyle w:val="Code"/>
        <w:keepNext/>
        <w:keepLines/>
        <w:shd w:val="clear" w:color="auto" w:fill="F2F2F2"/>
        <w:spacing w:before="0" w:after="0" w:line="240" w:lineRule="auto"/>
        <w:ind w:left="284" w:right="284" w:firstLine="0"/>
        <w:jc w:val="left"/>
      </w:pP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if (!Array.isArray(dados)) { return null; }</w:t>
      </w:r>
    </w:p>
    <w:p>
      <w:pPr>
        <w:pStyle w:val="Code"/>
        <w:keepNext/>
        <w:keepLines/>
        <w:shd w:val="clear" w:color="auto" w:fill="F2F2F2"/>
        <w:spacing w:before="0" w:after="0" w:line="240" w:lineRule="auto"/>
        <w:ind w:left="284" w:right="284" w:firstLine="0"/>
        <w:jc w:val="left"/>
      </w:pP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msg.params = [</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dados[0] || 'Sem Titulo',</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dados[1] || 'Desconhecido',</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dados[2] || 0,</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dados[3] || 'N/A',</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dados[4] || 'N/A'</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w:t>
      </w:r>
    </w:p>
    <w:p>
      <w:pPr>
        <w:pStyle w:val="Code"/>
        <w:keepLines/>
        <w:shd w:val="clear" w:color="auto" w:fill="F2F2F2"/>
        <w:spacing w:before="0" w:after="160" w:line="240" w:lineRule="auto"/>
        <w:ind w:left="284" w:right="284" w:firstLine="0"/>
        <w:jc w:val="left"/>
      </w:pPr>
      <w:r>
        <w:rPr>
          <w:rFonts w:ascii="Courier New" w:hAnsi="Courier New" w:cs="Courier New"/>
          <w:sz w:val="18"/>
          <w:szCs w:val="18"/>
        </w:rPr>
        <w:t xml:space="preserve">return msg;</w:t>
      </w:r>
    </w:p>
    <w:p>
      <w:pPr>
        <w:pStyle w:val="Cabealho1"/>
        <w:keepNext/>
        <w:pageBreakBefore/>
        <w:spacing w:before="480" w:after="240"/>
      </w:pPr>
      <w:bookmarkStart w:id="160" w:name="_Toc_cap4"/>
      <w:r>
        <w:t xml:space="preserve">Jobs e Persistência de Dados</w:t>
      </w:r>
      <w:bookmarkEnd w:id="160"/>
    </w:p>
    <w:p>
      <w:r>
        <w:t xml:space="preserve">Este capítulo documenta os </w:t>
      </w:r>
      <w:r>
        <w:rPr>
          <w:i/>
          <w:iCs/>
        </w:rPr>
        <w:t xml:space="preserve">jobs</w:t>
      </w:r>
      <w:r>
        <w:t xml:space="preserve"> que orquestram o </w:t>
      </w:r>
      <w:r>
        <w:rPr>
          <w:i/>
          <w:iCs/>
        </w:rPr>
        <w:t xml:space="preserve">pipeline</w:t>
      </w:r>
      <w:r>
        <w:t xml:space="preserve"> — o ciclo de execução do KNIME, o agendamento horário do Node-RED, a mensageria assíncrona, o carregamento em BD e o despacho de notificações — bem como o modelo de dados adotado. Estes </w:t>
      </w:r>
      <w:r>
        <w:rPr>
          <w:i/>
          <w:iCs/>
        </w:rPr>
        <w:t xml:space="preserve">jobs</w:t>
      </w:r>
      <w:r>
        <w:t xml:space="preserve"> constituem o núcleo da fase «L».</w:t>
      </w:r>
    </w:p>
    <w:p>
      <w:pPr>
        <w:pStyle w:val="Cabealho2"/>
        <w:keepNext/>
        <w:spacing w:before="320" w:after="160"/>
      </w:pPr>
      <w:bookmarkStart w:id="161" w:name="_Toc_jobknime"/>
      <w:r>
        <w:t xml:space="preserve">Job de Execução Cíclica no KNIME</w:t>
      </w:r>
      <w:bookmarkEnd w:id="161"/>
    </w:p>
    <w:p>
      <w:r>
        <w:t xml:space="preserve">Para que a via em lote não dependesse de execuções manuais, o </w:t>
      </w:r>
      <w:r>
        <w:rPr>
          <w:i/>
          <w:iCs/>
        </w:rPr>
        <w:t xml:space="preserve">workflow</w:t>
      </w:r>
      <w:r>
        <w:t xml:space="preserve"> do KNIME foi encapsulado num ciclo de repetição, visível na </w:t>
      </w:r>
      <w:r>
        <w:fldChar w:fldCharType="begin"/>
      </w:r>
      <w:r>
        <w:instrText xml:space="preserve"> REF _RefFig_kloop \h </w:instrText>
      </w:r>
      <w:r>
        <w:fldChar w:fldCharType="separate"/>
      </w:r>
      <w:r>
        <w:t xml:space="preserve">Figura 11</w:t>
      </w:r>
      <w:r>
        <w:fldChar w:fldCharType="end"/>
      </w:r>
      <w:r>
        <w:t xml:space="preserve">. O nó </w:t>
      </w:r>
      <w:r>
        <w:rPr>
          <w:b/>
          <w:bCs/>
        </w:rPr>
        <w:t xml:space="preserve">Counting Loop Start</w:t>
      </w:r>
      <w:r>
        <w:t xml:space="preserve">, colocado imediatamente após o </w:t>
      </w:r>
      <w:r>
        <w:rPr>
          <w:rFonts w:ascii="Courier New" w:hAnsi="Courier New" w:cs="Courier New"/>
          <w:sz w:val="21"/>
          <w:szCs w:val="21"/>
        </w:rPr>
        <w:t xml:space="preserve">Table Creator</w:t>
      </w:r>
      <w:r>
        <w:t xml:space="preserve">, abre o ciclo e define o número de iterações a executar; o nó </w:t>
      </w:r>
      <w:r>
        <w:rPr>
          <w:b/>
          <w:bCs/>
        </w:rPr>
        <w:t xml:space="preserve">Variable Loop End</w:t>
      </w:r>
      <w:r>
        <w:t xml:space="preserve">, no extremo oposto do </w:t>
      </w:r>
      <w:r>
        <w:rPr>
          <w:i/>
          <w:iCs/>
        </w:rPr>
        <w:t xml:space="preserve">workflow</w:t>
      </w:r>
      <w:r>
        <w:t xml:space="preserve"> (ver </w:t>
      </w:r>
      <w:r>
        <w:fldChar w:fldCharType="begin"/>
      </w:r>
      <w:r>
        <w:instrText xml:space="preserve"> REF _RefFig_knime2 \h </w:instrText>
      </w:r>
      <w:r>
        <w:fldChar w:fldCharType="separate"/>
      </w:r>
      <w:r>
        <w:t xml:space="preserve">Figura 4</w:t>
      </w:r>
      <w:r>
        <w:fldChar w:fldCharType="end"/>
      </w:r>
      <w:r>
        <w:t xml:space="preserve">), fecha-o e devolve o controlo ao início. Entre ambos, o nó </w:t>
      </w:r>
      <w:r>
        <w:rPr>
          <w:b/>
          <w:bCs/>
        </w:rPr>
        <w:t xml:space="preserve">Wait</w:t>
      </w:r>
      <w:r>
        <w:t xml:space="preserve">, anotado com «Timer 1h», suspende a execução durante uma hora antes de cada nova iteração.</w:t>
      </w:r>
    </w:p>
    <w:p>
      <w:pPr>
        <w:keepNext/>
        <w:spacing w:before="120" w:after="0" w:line="240" w:lineRule="auto"/>
        <w:ind w:firstLine="0"/>
        <w:jc w:val="center"/>
      </w:pPr>
      <w:r>
        <w:rPr>
          <w:noProof/>
        </w:rPr>
        <w:drawing>
          <wp:inline distT="0" distB="0" distL="0" distR="0">
            <wp:extent cx="3240000" cy="1448780"/>
            <wp:effectExtent l="0" t="0" r="0" b="0"/>
            <wp:docPr id="111" name="Imagem 111" descr="Ampliação dos nós Table Creator, Counting Loop Start e Wait com a anotação Timer 1h, que controlam o ciclo de execução do workflow KN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m 111"/>
                    <pic:cNvPicPr/>
                  </pic:nvPicPr>
                  <pic:blipFill>
                    <a:blip r:embed="rId210"/>
                    <a:stretch>
                      <a:fillRect/>
                    </a:stretch>
                  </pic:blipFill>
                  <pic:spPr>
                    <a:xfrm>
                      <a:off x="0" y="0"/>
                      <a:ext cx="3240000" cy="1448780"/>
                    </a:xfrm>
                    <a:prstGeom prst="rect">
                      <a:avLst/>
                    </a:prstGeom>
                    <a:ln w="6350">
                      <a:solidFill>
                        <a:srgbClr val="A6A6A6"/>
                      </a:solidFill>
                    </a:ln>
                  </pic:spPr>
                </pic:pic>
              </a:graphicData>
            </a:graphic>
          </wp:inline>
        </w:drawing>
      </w:r>
    </w:p>
    <w:p>
      <w:pPr>
        <w:pStyle w:val="Legenda"/>
        <w:spacing w:before="80" w:after="240"/>
      </w:pPr>
      <w:bookmarkStart w:id="162" w:name="_TocCapFkloop"/>
      <w:bookmarkStart w:id="163" w:name="_RefFig_kloop"/>
      <w:r>
        <w:t xml:space="preserve">Figura </w:t>
      </w:r>
      <w:r>
        <w:fldChar w:fldCharType="begin"/>
      </w:r>
      <w:r>
        <w:instrText xml:space="preserve"> SEQ Figura \* ARABIC </w:instrText>
      </w:r>
      <w:r>
        <w:fldChar w:fldCharType="separate"/>
      </w:r>
      <w:r>
        <w:rPr>
          <w:noProof/>
        </w:rPr>
        <w:t>11</w:t>
      </w:r>
      <w:r>
        <w:fldChar w:fldCharType="end"/>
      </w:r>
      <w:bookmarkEnd w:id="163"/>
      <w:r>
        <w:t xml:space="preserve">: Nós de controlo do ciclo de execução periódica no KNIME.</w:t>
      </w:r>
      <w:bookmarkEnd w:id="162"/>
    </w:p>
    <w:p>
      <w:r>
        <w:t xml:space="preserve">Deste modo, o </w:t>
      </w:r>
      <w:r>
        <w:rPr>
          <w:i/>
          <w:iCs/>
        </w:rPr>
        <w:t xml:space="preserve">workflow</w:t>
      </w:r>
      <w:r>
        <w:t xml:space="preserve"> repete integralmente a extração, a transformação e a escrita em BD a cada hora, alinhando a cadência da via em lote com a da via contínua. As ligações a vermelho no </w:t>
      </w:r>
      <w:r>
        <w:rPr>
          <w:i/>
          <w:iCs/>
        </w:rPr>
        <w:t xml:space="preserve">workflow</w:t>
      </w:r>
      <w:r>
        <w:t xml:space="preserve"> representam o fluxo de variáveis de controlo do ciclo, distinto do fluxo de dados representado a cinzento.</w:t>
      </w:r>
    </w:p>
    <w:p>
      <w:pPr>
        <w:pStyle w:val="Cabealho2"/>
        <w:keepNext/>
        <w:spacing w:before="320" w:after="160"/>
      </w:pPr>
      <w:bookmarkStart w:id="164" w:name="_Toc_jobnr"/>
      <w:r>
        <w:t xml:space="preserve">Job de Agendamento e Mensageria Assíncrona (RabbitMQ)</w:t>
      </w:r>
      <w:bookmarkEnd w:id="164"/>
    </w:p>
    <w:p>
      <w:r>
        <w:t xml:space="preserve">Na via contínua, o </w:t>
      </w:r>
      <w:r>
        <w:rPr>
          <w:i/>
          <w:iCs/>
        </w:rPr>
        <w:t xml:space="preserve">job</w:t>
      </w:r>
      <w:r>
        <w:t xml:space="preserve"> de extração é disparado automaticamente, de hora a hora, pelo nó </w:t>
      </w:r>
      <w:r>
        <w:rPr>
          <w:b/>
          <w:bCs/>
        </w:rPr>
        <w:t xml:space="preserve">Alert 1 every hour</w:t>
      </w:r>
      <w:r>
        <w:t xml:space="preserve"> (ver </w:t>
      </w:r>
      <w:r>
        <w:fldChar w:fldCharType="begin"/>
      </w:r>
      <w:r>
        <w:instrText xml:space="preserve"> REF _RefFig_nr1 \h </w:instrText>
      </w:r>
      <w:r>
        <w:fldChar w:fldCharType="separate"/>
      </w:r>
      <w:r>
        <w:t xml:space="preserve">Figura 10</w:t>
      </w:r>
      <w:r>
        <w:fldChar w:fldCharType="end"/>
      </w:r>
      <w:r>
        <w:t xml:space="preserve">), que desencadeia todo o fluxo descrito na secção </w:t>
      </w:r>
      <w:r>
        <w:t xml:space="preserve">3.2</w:t>
      </w:r>
      <w:r>
        <w:t xml:space="preserve"> sem intervenção manual. No final do fluxo, cada oferta validada e transformada é publicada no </w:t>
      </w:r>
      <w:r>
        <w:rPr>
          <w:i/>
          <w:iCs/>
        </w:rPr>
        <w:t xml:space="preserve">exchange</w:t>
      </w:r>
      <w:r>
        <w:t xml:space="preserve"> </w:t>
      </w:r>
      <w:r>
        <w:rPr>
          <w:rFonts w:ascii="Courier New" w:hAnsi="Courier New" w:cs="Courier New"/>
          <w:sz w:val="21"/>
          <w:szCs w:val="21"/>
        </w:rPr>
        <w:t xml:space="preserve">amq.direct</w:t>
      </w:r>
      <w:r>
        <w:t xml:space="preserve">, com a chave de encaminhamento </w:t>
      </w:r>
      <w:r>
        <w:rPr>
          <w:rFonts w:ascii="Courier New" w:hAnsi="Courier New" w:cs="Courier New"/>
          <w:sz w:val="21"/>
          <w:szCs w:val="21"/>
        </w:rPr>
        <w:t xml:space="preserve">fila_vagas</w:t>
      </w:r>
      <w:r>
        <w:t xml:space="preserve">.</w:t>
      </w:r>
    </w:p>
    <w:p>
      <w:r>
        <w:t xml:space="preserve">A utilização de uma fila de mensagens desacopla a produção da persistência: o fluxo produtor limita-se a publicar as mensagens, enquanto o consumidor as processa ao seu próprio ritmo. Isto torna o sistema mais resiliente — se o PostgreSQL ficar indisponível, as mensagens aguardam na fila — e mais extensível, pois é possível acrescentar novos consumidores sem alterar o produtor.</w:t>
      </w:r>
    </w:p>
    <w:p>
      <w:r>
        <w:t xml:space="preserve">A </w:t>
      </w:r>
      <w:r>
        <w:fldChar w:fldCharType="begin"/>
      </w:r>
      <w:r>
        <w:instrText xml:space="preserve"> REF _RefFig_rabbit \h </w:instrText>
      </w:r>
      <w:r>
        <w:fldChar w:fldCharType="separate"/>
      </w:r>
      <w:r>
        <w:t xml:space="preserve">Figura 12</w:t>
      </w:r>
      <w:r>
        <w:fldChar w:fldCharType="end"/>
      </w:r>
      <w:r>
        <w:t xml:space="preserve"> apresenta o painel de gestão do RabbitMQ (versão 3.13.7, sobre Erlang 26.2.5.16), a partir do qual foi monitorizado o comportamento do </w:t>
      </w:r>
      <w:r>
        <w:rPr>
          <w:i/>
          <w:iCs/>
        </w:rPr>
        <w:t xml:space="preserve">broker</w:t>
      </w:r>
      <w:r>
        <w:t xml:space="preserve">. Os indicadores globais observados encontram-se resumidos na </w:t>
      </w:r>
      <w:r>
        <w:fldChar w:fldCharType="begin"/>
      </w:r>
      <w:r>
        <w:instrText xml:space="preserve"> REF _RefTab_rabbit \h </w:instrText>
      </w:r>
      <w:r>
        <w:fldChar w:fldCharType="separate"/>
      </w:r>
      <w:r>
        <w:t xml:space="preserve">Tabela 7</w:t>
      </w:r>
      <w:r>
        <w:fldChar w:fldCharType="end"/>
      </w:r>
      <w:r>
        <w:t xml:space="preserve">.</w:t>
      </w:r>
    </w:p>
    <w:p>
      <w:pPr>
        <w:keepNext/>
        <w:spacing w:before="120" w:after="0" w:line="240" w:lineRule="auto"/>
        <w:ind w:firstLine="0"/>
        <w:jc w:val="center"/>
      </w:pPr>
      <w:r>
        <w:rPr>
          <w:noProof/>
        </w:rPr>
        <w:drawing>
          <wp:inline distT="0" distB="0" distL="0" distR="0">
            <wp:extent cx="5400000" cy="3034285"/>
            <wp:effectExtent l="0" t="0" r="0" b="0"/>
            <wp:docPr id="112" name="Imagem 112" descr="Captura de ecrã do painel de gestão do RabbitMQ 3.13.7 com 2 ligações, 2 canais, 7 exchanges, 1 fila e 1 consum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m 112"/>
                    <pic:cNvPicPr/>
                  </pic:nvPicPr>
                  <pic:blipFill>
                    <a:blip r:embed="rId211"/>
                    <a:stretch>
                      <a:fillRect/>
                    </a:stretch>
                  </pic:blipFill>
                  <pic:spPr>
                    <a:xfrm>
                      <a:off x="0" y="0"/>
                      <a:ext cx="5400000" cy="3034285"/>
                    </a:xfrm>
                    <a:prstGeom prst="rect">
                      <a:avLst/>
                    </a:prstGeom>
                    <a:ln w="6350">
                      <a:solidFill>
                        <a:srgbClr val="A6A6A6"/>
                      </a:solidFill>
                    </a:ln>
                  </pic:spPr>
                </pic:pic>
              </a:graphicData>
            </a:graphic>
          </wp:inline>
        </w:drawing>
      </w:r>
    </w:p>
    <w:p>
      <w:pPr>
        <w:pStyle w:val="Legenda"/>
        <w:spacing w:before="80" w:after="240"/>
      </w:pPr>
      <w:bookmarkStart w:id="165" w:name="_TocCapFrabbit"/>
      <w:bookmarkStart w:id="166" w:name="_RefFig_rabbit"/>
      <w:r>
        <w:t xml:space="preserve">Figura </w:t>
      </w:r>
      <w:r>
        <w:fldChar w:fldCharType="begin"/>
      </w:r>
      <w:r>
        <w:instrText xml:space="preserve"> SEQ Figura \* ARABIC </w:instrText>
      </w:r>
      <w:r>
        <w:fldChar w:fldCharType="separate"/>
      </w:r>
      <w:r>
        <w:rPr>
          <w:noProof/>
        </w:rPr>
        <w:t>12</w:t>
      </w:r>
      <w:r>
        <w:fldChar w:fldCharType="end"/>
      </w:r>
      <w:bookmarkEnd w:id="166"/>
      <w:r>
        <w:t xml:space="preserve">: Painel de gestão do RabbitMQ (separador Overview).</w:t>
      </w:r>
      <w:bookmarkEnd w:id="165"/>
    </w:p>
    <w:p>
      <w:pPr>
        <w:spacing w:before="0" w:after="0" w:line="120" w:lineRule="exact"/>
        <w:ind w:firstLine="0"/>
      </w:pPr>
    </w:p>
    <w:tbl>
      <w:tblPr>
        <w:tblStyle w:val="Tabelacomgrelha"/>
        <w:tblW w:w="9071" w:type="dxa"/>
        <w:jc w:val="center"/>
        <w:tblLayout w:type="fixed"/>
        <w:tblCellMar>
          <w:top w:w="30" w:type="dxa"/>
          <w:left w:w="100" w:type="dxa"/>
          <w:bottom w:w="30" w:type="dxa"/>
          <w:right w:w="100" w:type="dxa"/>
        </w:tblCellMar>
        <w:tblLook w:val="04A0" w:firstRow="1" w:lastRow="0" w:firstColumn="0" w:lastColumn="0" w:noHBand="0" w:noVBand="1"/>
      </w:tblPr>
      <w:tblGrid>
        <w:gridCol w:w="1800"/>
        <w:gridCol w:w="900"/>
        <w:gridCol w:w="6371"/>
      </w:tblGrid>
      <w:tr>
        <w:trPr>
          <w:cantSplit/>
          <w:tblHeader/>
        </w:trPr>
        <w:tc>
          <w:tcPr>
            <w:tcW w:w="1800" w:type="dxa"/>
            <w:shd w:val="clear" w:color="auto" w:fill="D9D9D9"/>
            <w:vAlign w:val="center"/>
          </w:tcPr>
          <w:p>
            <w:pPr>
              <w:keepNext/>
              <w:spacing w:before="50" w:after="50" w:line="240" w:lineRule="auto"/>
              <w:ind w:firstLine="0"/>
              <w:jc w:val="center"/>
            </w:pPr>
            <w:r>
              <w:rPr>
                <w:b/>
                <w:bCs/>
                <w:sz w:val="20"/>
                <w:szCs w:val="20"/>
              </w:rPr>
              <w:t xml:space="preserve">Indicador</w:t>
            </w:r>
          </w:p>
        </w:tc>
        <w:tc>
          <w:tcPr>
            <w:tcW w:w="900" w:type="dxa"/>
            <w:shd w:val="clear" w:color="auto" w:fill="D9D9D9"/>
            <w:vAlign w:val="center"/>
          </w:tcPr>
          <w:p>
            <w:pPr>
              <w:keepNext/>
              <w:spacing w:before="50" w:after="50" w:line="240" w:lineRule="auto"/>
              <w:ind w:firstLine="0"/>
              <w:jc w:val="center"/>
            </w:pPr>
            <w:r>
              <w:rPr>
                <w:b/>
                <w:bCs/>
                <w:sz w:val="20"/>
                <w:szCs w:val="20"/>
              </w:rPr>
              <w:t xml:space="preserve">Valor</w:t>
            </w:r>
          </w:p>
        </w:tc>
        <w:tc>
          <w:tcPr>
            <w:tcW w:w="6371" w:type="dxa"/>
            <w:shd w:val="clear" w:color="auto" w:fill="D9D9D9"/>
            <w:vAlign w:val="center"/>
          </w:tcPr>
          <w:p>
            <w:pPr>
              <w:keepNext/>
              <w:spacing w:before="50" w:after="50" w:line="240" w:lineRule="auto"/>
              <w:ind w:firstLine="0"/>
              <w:jc w:val="center"/>
            </w:pPr>
            <w:r>
              <w:rPr>
                <w:b/>
                <w:bCs/>
                <w:sz w:val="20"/>
                <w:szCs w:val="20"/>
              </w:rPr>
              <w:t xml:space="preserve">Interpretação</w:t>
            </w:r>
          </w:p>
        </w:tc>
      </w:tr>
      <w:tr>
        <w:trPr>
          <w:cantSplit/>
        </w:trPr>
        <w:tc>
          <w:tcPr>
            <w:tcW w:w="1800" w:type="dxa"/>
            <w:vAlign w:val="center"/>
          </w:tcPr>
          <w:p>
            <w:pPr>
              <w:keepNext/>
              <w:spacing w:before="50" w:after="50" w:line="240" w:lineRule="auto"/>
              <w:ind w:firstLine="0"/>
              <w:jc w:val="left"/>
            </w:pPr>
            <w:r>
              <w:rPr>
                <w:i/>
                <w:iCs/>
                <w:sz w:val="20"/>
                <w:szCs w:val="20"/>
              </w:rPr>
              <w:t xml:space="preserve">Connections</w:t>
            </w:r>
          </w:p>
        </w:tc>
        <w:tc>
          <w:tcPr>
            <w:tcW w:w="900" w:type="dxa"/>
            <w:vAlign w:val="center"/>
          </w:tcPr>
          <w:p>
            <w:pPr>
              <w:keepNext/>
              <w:spacing w:before="50" w:after="50" w:line="240" w:lineRule="auto"/>
              <w:ind w:firstLine="0"/>
              <w:jc w:val="center"/>
            </w:pPr>
            <w:r>
              <w:rPr>
                <w:sz w:val="20"/>
                <w:szCs w:val="20"/>
              </w:rPr>
              <w:t xml:space="preserve">2</w:t>
            </w:r>
          </w:p>
        </w:tc>
        <w:tc>
          <w:tcPr>
            <w:tcW w:w="6371" w:type="dxa"/>
            <w:vAlign w:val="center"/>
          </w:tcPr>
          <w:p>
            <w:pPr>
              <w:keepNext/>
              <w:spacing w:before="50" w:after="50" w:line="240" w:lineRule="auto"/>
              <w:ind w:firstLine="0"/>
              <w:jc w:val="left"/>
            </w:pPr>
            <w:r>
              <w:rPr>
                <w:sz w:val="20"/>
                <w:szCs w:val="20"/>
              </w:rPr>
              <w:t xml:space="preserve">Ligações AMQP do produtor (publicação) e do consumidor (subscrição), ambos no Node-RED</w:t>
            </w:r>
          </w:p>
        </w:tc>
      </w:tr>
      <w:tr>
        <w:trPr>
          <w:cantSplit/>
        </w:trPr>
        <w:tc>
          <w:tcPr>
            <w:tcW w:w="1800" w:type="dxa"/>
            <w:vAlign w:val="center"/>
          </w:tcPr>
          <w:p>
            <w:pPr>
              <w:keepNext/>
              <w:spacing w:before="50" w:after="50" w:line="240" w:lineRule="auto"/>
              <w:ind w:firstLine="0"/>
              <w:jc w:val="left"/>
            </w:pPr>
            <w:r>
              <w:rPr>
                <w:i/>
                <w:iCs/>
                <w:sz w:val="20"/>
                <w:szCs w:val="20"/>
              </w:rPr>
              <w:t xml:space="preserve">Channels</w:t>
            </w:r>
          </w:p>
        </w:tc>
        <w:tc>
          <w:tcPr>
            <w:tcW w:w="900" w:type="dxa"/>
            <w:vAlign w:val="center"/>
          </w:tcPr>
          <w:p>
            <w:pPr>
              <w:keepNext/>
              <w:spacing w:before="50" w:after="50" w:line="240" w:lineRule="auto"/>
              <w:ind w:firstLine="0"/>
              <w:jc w:val="center"/>
            </w:pPr>
            <w:r>
              <w:rPr>
                <w:sz w:val="20"/>
                <w:szCs w:val="20"/>
              </w:rPr>
              <w:t xml:space="preserve">2</w:t>
            </w:r>
          </w:p>
        </w:tc>
        <w:tc>
          <w:tcPr>
            <w:tcW w:w="6371" w:type="dxa"/>
            <w:vAlign w:val="center"/>
          </w:tcPr>
          <w:p>
            <w:pPr>
              <w:keepNext/>
              <w:spacing w:before="50" w:after="50" w:line="240" w:lineRule="auto"/>
              <w:ind w:firstLine="0"/>
              <w:jc w:val="left"/>
            </w:pPr>
            <w:r>
              <w:rPr>
                <w:sz w:val="20"/>
                <w:szCs w:val="20"/>
              </w:rPr>
              <w:t xml:space="preserve">Um canal por ligação</w:t>
            </w:r>
          </w:p>
        </w:tc>
      </w:tr>
      <w:tr>
        <w:trPr>
          <w:cantSplit/>
        </w:trPr>
        <w:tc>
          <w:tcPr>
            <w:tcW w:w="1800" w:type="dxa"/>
            <w:vAlign w:val="center"/>
          </w:tcPr>
          <w:p>
            <w:pPr>
              <w:keepNext/>
              <w:spacing w:before="50" w:after="50" w:line="240" w:lineRule="auto"/>
              <w:ind w:firstLine="0"/>
              <w:jc w:val="left"/>
            </w:pPr>
            <w:r>
              <w:rPr>
                <w:i/>
                <w:iCs/>
                <w:sz w:val="20"/>
                <w:szCs w:val="20"/>
              </w:rPr>
              <w:t xml:space="preserve">Exchanges</w:t>
            </w:r>
          </w:p>
        </w:tc>
        <w:tc>
          <w:tcPr>
            <w:tcW w:w="900" w:type="dxa"/>
            <w:vAlign w:val="center"/>
          </w:tcPr>
          <w:p>
            <w:pPr>
              <w:keepNext/>
              <w:spacing w:before="50" w:after="50" w:line="240" w:lineRule="auto"/>
              <w:ind w:firstLine="0"/>
              <w:jc w:val="center"/>
            </w:pPr>
            <w:r>
              <w:rPr>
                <w:sz w:val="20"/>
                <w:szCs w:val="20"/>
              </w:rPr>
              <w:t xml:space="preserve">7</w:t>
            </w:r>
          </w:p>
        </w:tc>
        <w:tc>
          <w:tcPr>
            <w:tcW w:w="6371" w:type="dxa"/>
            <w:vAlign w:val="center"/>
          </w:tcPr>
          <w:p>
            <w:pPr>
              <w:keepNext/>
              <w:spacing w:before="50" w:after="50" w:line="240" w:lineRule="auto"/>
              <w:ind w:firstLine="0"/>
              <w:jc w:val="left"/>
            </w:pPr>
            <w:r>
              <w:rPr>
                <w:i/>
                <w:iCs/>
                <w:sz w:val="20"/>
                <w:szCs w:val="20"/>
              </w:rPr>
              <w:t xml:space="preserve">Exchanges</w:t>
            </w:r>
            <w:r>
              <w:rPr>
                <w:sz w:val="20"/>
                <w:szCs w:val="20"/>
              </w:rPr>
              <w:t xml:space="preserve"> predefinidos do </w:t>
            </w:r>
            <w:r>
              <w:rPr>
                <w:i/>
                <w:iCs/>
                <w:sz w:val="20"/>
                <w:szCs w:val="20"/>
              </w:rPr>
              <w:t xml:space="preserve">broker</w:t>
            </w:r>
            <w:r>
              <w:rPr>
                <w:sz w:val="20"/>
                <w:szCs w:val="20"/>
              </w:rPr>
              <w:t xml:space="preserve">, incluindo </w:t>
            </w:r>
            <w:r>
              <w:rPr>
                <w:rFonts w:ascii="Courier New" w:hAnsi="Courier New" w:cs="Courier New"/>
                <w:sz w:val="18"/>
                <w:szCs w:val="18"/>
              </w:rPr>
              <w:t xml:space="preserve">amq.direct</w:t>
            </w:r>
          </w:p>
        </w:tc>
      </w:tr>
      <w:tr>
        <w:trPr>
          <w:cantSplit/>
        </w:trPr>
        <w:tc>
          <w:tcPr>
            <w:tcW w:w="1800" w:type="dxa"/>
            <w:vAlign w:val="center"/>
          </w:tcPr>
          <w:p>
            <w:pPr>
              <w:keepNext/>
              <w:spacing w:before="50" w:after="50" w:line="240" w:lineRule="auto"/>
              <w:ind w:firstLine="0"/>
              <w:jc w:val="left"/>
            </w:pPr>
            <w:r>
              <w:rPr>
                <w:i/>
                <w:iCs/>
                <w:sz w:val="20"/>
                <w:szCs w:val="20"/>
              </w:rPr>
              <w:t xml:space="preserve">Queues</w:t>
            </w:r>
          </w:p>
        </w:tc>
        <w:tc>
          <w:tcPr>
            <w:tcW w:w="900" w:type="dxa"/>
            <w:vAlign w:val="center"/>
          </w:tcPr>
          <w:p>
            <w:pPr>
              <w:keepNext/>
              <w:spacing w:before="50" w:after="50" w:line="240" w:lineRule="auto"/>
              <w:ind w:firstLine="0"/>
              <w:jc w:val="center"/>
            </w:pPr>
            <w:r>
              <w:rPr>
                <w:sz w:val="20"/>
                <w:szCs w:val="20"/>
              </w:rPr>
              <w:t xml:space="preserve">1</w:t>
            </w:r>
          </w:p>
        </w:tc>
        <w:tc>
          <w:tcPr>
            <w:tcW w:w="6371" w:type="dxa"/>
            <w:vAlign w:val="center"/>
          </w:tcPr>
          <w:p>
            <w:pPr>
              <w:keepNext/>
              <w:spacing w:before="50" w:after="50" w:line="240" w:lineRule="auto"/>
              <w:ind w:firstLine="0"/>
              <w:jc w:val="left"/>
            </w:pPr>
            <w:r>
              <w:rPr>
                <w:sz w:val="20"/>
                <w:szCs w:val="20"/>
              </w:rPr>
              <w:t xml:space="preserve">Fila </w:t>
            </w:r>
            <w:r>
              <w:rPr>
                <w:rFonts w:ascii="Courier New" w:hAnsi="Courier New" w:cs="Courier New"/>
                <w:sz w:val="18"/>
                <w:szCs w:val="18"/>
              </w:rPr>
              <w:t xml:space="preserve">fila_vagas</w:t>
            </w:r>
          </w:p>
        </w:tc>
      </w:tr>
      <w:tr>
        <w:trPr>
          <w:cantSplit/>
        </w:trPr>
        <w:tc>
          <w:tcPr>
            <w:tcW w:w="1800" w:type="dxa"/>
            <w:vAlign w:val="center"/>
          </w:tcPr>
          <w:p>
            <w:pPr>
              <w:keepNext/>
              <w:spacing w:before="50" w:after="50" w:line="240" w:lineRule="auto"/>
              <w:ind w:firstLine="0"/>
              <w:jc w:val="left"/>
            </w:pPr>
            <w:r>
              <w:rPr>
                <w:i/>
                <w:iCs/>
                <w:sz w:val="20"/>
                <w:szCs w:val="20"/>
              </w:rPr>
              <w:t xml:space="preserve">Consumers</w:t>
            </w:r>
          </w:p>
        </w:tc>
        <w:tc>
          <w:tcPr>
            <w:tcW w:w="900" w:type="dxa"/>
            <w:vAlign w:val="center"/>
          </w:tcPr>
          <w:p>
            <w:pPr>
              <w:keepNext/>
              <w:spacing w:before="50" w:after="50" w:line="240" w:lineRule="auto"/>
              <w:ind w:firstLine="0"/>
              <w:jc w:val="center"/>
            </w:pPr>
            <w:r>
              <w:rPr>
                <w:sz w:val="20"/>
                <w:szCs w:val="20"/>
              </w:rPr>
              <w:t xml:space="preserve">1</w:t>
            </w:r>
          </w:p>
        </w:tc>
        <w:tc>
          <w:tcPr>
            <w:tcW w:w="6371" w:type="dxa"/>
            <w:vAlign w:val="center"/>
          </w:tcPr>
          <w:p>
            <w:pPr>
              <w:keepNext/>
              <w:spacing w:before="50" w:after="50" w:line="240" w:lineRule="auto"/>
              <w:ind w:firstLine="0"/>
              <w:jc w:val="left"/>
            </w:pPr>
            <w:r>
              <w:rPr>
                <w:sz w:val="20"/>
                <w:szCs w:val="20"/>
              </w:rPr>
              <w:t xml:space="preserve">Consumidor ativo (fluxo de carregamento no Node-RED)</w:t>
            </w:r>
          </w:p>
        </w:tc>
      </w:tr>
    </w:tbl>
    <w:p>
      <w:pPr>
        <w:pStyle w:val="Legenda"/>
        <w:spacing w:before="80" w:after="240"/>
      </w:pPr>
      <w:bookmarkStart w:id="167" w:name="_TocCapTrabbit"/>
      <w:bookmarkStart w:id="168" w:name="_RefTab_rabbit"/>
      <w:r>
        <w:t xml:space="preserve">Tabela </w:t>
      </w:r>
      <w:r>
        <w:fldChar w:fldCharType="begin"/>
      </w:r>
      <w:r>
        <w:instrText xml:space="preserve"> SEQ Tabela \* ARABIC </w:instrText>
      </w:r>
      <w:r>
        <w:fldChar w:fldCharType="separate"/>
      </w:r>
      <w:r>
        <w:rPr>
          <w:noProof/>
        </w:rPr>
        <w:t>7</w:t>
      </w:r>
      <w:r>
        <w:fldChar w:fldCharType="end"/>
      </w:r>
      <w:bookmarkEnd w:id="168"/>
      <w:r>
        <w:t xml:space="preserve">: Indicadores globais observados no painel de gestão do RabbitMQ.</w:t>
      </w:r>
      <w:bookmarkEnd w:id="167"/>
    </w:p>
    <w:p>
      <w:r>
        <w:t xml:space="preserve">No instante da captura, a fila não apresenta mensagens prontas (</w:t>
      </w:r>
      <w:r>
        <w:rPr>
          <w:i/>
          <w:iCs/>
        </w:rPr>
        <w:t xml:space="preserve">Ready</w:t>
      </w:r>
      <w:r>
        <w:t xml:space="preserve">) nem por confirmar (</w:t>
      </w:r>
      <w:r>
        <w:rPr>
          <w:i/>
          <w:iCs/>
        </w:rPr>
        <w:t xml:space="preserve">Unacked</w:t>
      </w:r>
      <w:r>
        <w:t xml:space="preserve">), e as taxas de mensagens são nulas. Este comportamento é o esperado entre execuções horárias do </w:t>
      </w:r>
      <w:r>
        <w:rPr>
          <w:i/>
          <w:iCs/>
        </w:rPr>
        <w:t xml:space="preserve">job</w:t>
      </w:r>
      <w:r>
        <w:t xml:space="preserve">: o consumidor retira as mensagens da fila à medida que chegam, pelo que não se acumulam mensagens por processar.</w:t>
      </w:r>
    </w:p>
    <w:p>
      <w:pPr>
        <w:pStyle w:val="Cabealho2"/>
        <w:keepNext/>
        <w:spacing w:before="320" w:after="160"/>
      </w:pPr>
      <w:bookmarkStart w:id="169" w:name="_Toc_load"/>
      <w:r>
        <w:t xml:space="preserve">Job de Carregamento e Escrita por Cima (Upsert)</w:t>
      </w:r>
      <w:bookmarkEnd w:id="169"/>
    </w:p>
    <w:p>
      <w:r>
        <w:t xml:space="preserve">O fluxo consumidor, representado na </w:t>
      </w:r>
      <w:r>
        <w:fldChar w:fldCharType="begin"/>
      </w:r>
      <w:r>
        <w:instrText xml:space="preserve"> REF _RefFig_nr2 \h </w:instrText>
      </w:r>
      <w:r>
        <w:fldChar w:fldCharType="separate"/>
      </w:r>
      <w:r>
        <w:t xml:space="preserve">Figura 13</w:t>
      </w:r>
      <w:r>
        <w:fldChar w:fldCharType="end"/>
      </w:r>
      <w:r>
        <w:t xml:space="preserve">, subscreve a fila através do nó </w:t>
      </w:r>
      <w:r>
        <w:rPr>
          <w:i/>
          <w:iCs/>
        </w:rPr>
        <w:t xml:space="preserve">amq.direct: fila_vagas</w:t>
      </w:r>
      <w:r>
        <w:t xml:space="preserve">, reconstrói os parâmetros no nó </w:t>
      </w:r>
      <w:r>
        <w:rPr>
          <w:b/>
          <w:bCs/>
        </w:rPr>
        <w:t xml:space="preserve">Rebuild Params</w:t>
      </w:r>
      <w:r>
        <w:t xml:space="preserve"> (secção </w:t>
      </w:r>
      <w:r>
        <w:t xml:space="preserve">3.2.3</w:t>
      </w:r>
      <w:r>
        <w:t xml:space="preserve">) e encaminha a mensagem em paralelo para dois destinos: o nó </w:t>
      </w:r>
      <w:r>
        <w:rPr>
          <w:i/>
          <w:iCs/>
        </w:rPr>
        <w:t xml:space="preserve">debug 1</w:t>
      </w:r>
      <w:r>
        <w:t xml:space="preserve">, que permite inspecionar os parâmetros reconstruídos, e o nó </w:t>
      </w:r>
      <w:r>
        <w:rPr>
          <w:b/>
          <w:bCs/>
        </w:rPr>
        <w:t xml:space="preserve">TechPowerPostgres</w:t>
      </w:r>
      <w:r>
        <w:t xml:space="preserve">, que executa a escrita na BD. O indicador </w:t>
      </w:r>
      <w:r>
        <w:rPr>
          <w:i/>
          <w:iCs/>
        </w:rPr>
        <w:t xml:space="preserve">Queue: 0</w:t>
      </w:r>
      <w:r>
        <w:t xml:space="preserve"> apresentado por este último mostra que não existem pedidos pendentes de execução.</w:t>
      </w:r>
    </w:p>
    <w:p>
      <w:pPr>
        <w:keepNext/>
        <w:spacing w:before="120" w:after="0" w:line="240" w:lineRule="auto"/>
        <w:ind w:firstLine="0"/>
        <w:jc w:val="center"/>
      </w:pPr>
      <w:r>
        <w:rPr>
          <w:noProof/>
        </w:rPr>
        <w:drawing>
          <wp:inline distT="0" distB="0" distL="0" distR="0">
            <wp:extent cx="4500000" cy="1219354"/>
            <wp:effectExtent l="0" t="0" r="0" b="0"/>
            <wp:docPr id="113" name="Imagem 113" descr="Diagrama do fluxo Node-RED consumidor: amq.direct fila_vagas, Rebuild Params, debug 1 e TechPowerPostg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m 113"/>
                    <pic:cNvPicPr/>
                  </pic:nvPicPr>
                  <pic:blipFill>
                    <a:blip r:embed="rId212"/>
                    <a:stretch>
                      <a:fillRect/>
                    </a:stretch>
                  </pic:blipFill>
                  <pic:spPr>
                    <a:xfrm>
                      <a:off x="0" y="0"/>
                      <a:ext cx="4500000" cy="1219354"/>
                    </a:xfrm>
                    <a:prstGeom prst="rect">
                      <a:avLst/>
                    </a:prstGeom>
                    <a:ln w="6350">
                      <a:solidFill>
                        <a:srgbClr val="A6A6A6"/>
                      </a:solidFill>
                    </a:ln>
                  </pic:spPr>
                </pic:pic>
              </a:graphicData>
            </a:graphic>
          </wp:inline>
        </w:drawing>
      </w:r>
    </w:p>
    <w:p>
      <w:pPr>
        <w:pStyle w:val="Legenda"/>
        <w:spacing w:before="80" w:after="240"/>
      </w:pPr>
      <w:bookmarkStart w:id="170" w:name="_TocCapFnr2"/>
      <w:bookmarkStart w:id="171" w:name="_RefFig_nr2"/>
      <w:r>
        <w:t xml:space="preserve">Figura </w:t>
      </w:r>
      <w:r>
        <w:fldChar w:fldCharType="begin"/>
      </w:r>
      <w:r>
        <w:instrText xml:space="preserve"> SEQ Figura \* ARABIC </w:instrText>
      </w:r>
      <w:r>
        <w:fldChar w:fldCharType="separate"/>
      </w:r>
      <w:r>
        <w:rPr>
          <w:noProof/>
        </w:rPr>
        <w:t>13</w:t>
      </w:r>
      <w:r>
        <w:fldChar w:fldCharType="end"/>
      </w:r>
      <w:bookmarkEnd w:id="171"/>
      <w:r>
        <w:t xml:space="preserve">: Fluxo consumidor e carregamento no PostgreSQL (Node-RED).</w:t>
      </w:r>
      <w:bookmarkEnd w:id="170"/>
    </w:p>
    <w:p>
      <w:r>
        <w:t xml:space="preserve">A escrita é feita através de uma instrução SQL parametrizada, em que os valores são passados por marcadores posicionais (</w:t>
      </w:r>
      <w:r>
        <w:rPr>
          <w:rFonts w:ascii="Courier New" w:hAnsi="Courier New" w:cs="Courier New"/>
          <w:sz w:val="21"/>
          <w:szCs w:val="21"/>
        </w:rPr>
        <w:t xml:space="preserve">$1</w:t>
      </w:r>
      <w:r>
        <w:t xml:space="preserve"> a </w:t>
      </w:r>
      <w:r>
        <w:rPr>
          <w:rFonts w:ascii="Courier New" w:hAnsi="Courier New" w:cs="Courier New"/>
          <w:sz w:val="21"/>
          <w:szCs w:val="21"/>
        </w:rPr>
        <w:t xml:space="preserve">$5</w:t>
      </w:r>
      <w:r>
        <w:t xml:space="preserve">) preenchidos com o </w:t>
      </w:r>
      <w:r>
        <w:rPr>
          <w:i/>
          <w:iCs/>
        </w:rPr>
        <w:t xml:space="preserve">array</w:t>
      </w:r>
      <w:r>
        <w:t xml:space="preserve"> </w:t>
      </w:r>
      <w:r>
        <w:rPr>
          <w:rFonts w:ascii="Courier New" w:hAnsi="Courier New" w:cs="Courier New"/>
          <w:sz w:val="21"/>
          <w:szCs w:val="21"/>
        </w:rPr>
        <w:t xml:space="preserve">msg.params</w:t>
      </w:r>
      <w:r>
        <w:t xml:space="preserve">. Para evitar a acumulação de registos repetidos a cada execução horária, a instrução recorre à cláusula </w:t>
      </w:r>
      <w:r>
        <w:rPr>
          <w:rFonts w:ascii="Courier New" w:hAnsi="Courier New" w:cs="Courier New"/>
          <w:sz w:val="21"/>
          <w:szCs w:val="21"/>
        </w:rPr>
        <w:t xml:space="preserve">ON CONFLICT</w:t>
      </w:r>
      <w:r>
        <w:t xml:space="preserve">, que converte a inserção numa escrita por cima (</w:t>
      </w:r>
      <w:r>
        <w:rPr>
          <w:i/>
          <w:iCs/>
        </w:rPr>
        <w:t xml:space="preserve">upsert</w:t>
      </w:r>
      <w:r>
        <w:t xml:space="preserve">): se a combinação de título e localização já existir, os restantes campos são atualizados em vez de ser criada uma nova linha.</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INSERT INTO vagas_nodered (</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titulo_vaga, localizacao, salario_euros, nivel_experiencia, tipo_mercado</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VALUES ($1, $2, $3, $4, $5)</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ON CONFLICT (titulo_vaga, localizacao)</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DO UPDATE SET</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salario_euros     = EXCLUDED.salario_euros,</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nivel_experiencia = EXCLUDED.nivel_experiencia,</w:t>
      </w:r>
    </w:p>
    <w:p>
      <w:pPr>
        <w:pStyle w:val="Code"/>
        <w:keepLines/>
        <w:shd w:val="clear" w:color="auto" w:fill="F2F2F2"/>
        <w:spacing w:before="0" w:after="160" w:line="240" w:lineRule="auto"/>
        <w:ind w:left="284" w:right="284" w:firstLine="0"/>
        <w:jc w:val="left"/>
      </w:pPr>
      <w:r>
        <w:rPr>
          <w:rFonts w:ascii="Courier New" w:hAnsi="Courier New" w:cs="Courier New"/>
          <w:sz w:val="18"/>
          <w:szCs w:val="18"/>
        </w:rPr>
        <w:t xml:space="preserve">    tipo_mercado      = EXCLUDED.tipo_mercado;</w:t>
      </w:r>
    </w:p>
    <w:p>
      <w:r>
        <w:t xml:space="preserve">A utilização de consultas parametrizadas, em vez da concatenação de texto, evita a injeção de SQL — relevante, uma vez que os títulos das vagas são texto livre proveniente de uma fonte externa — e garante o tratamento correto dos tipos de dados e dos carateres especiais.</w:t>
      </w:r>
    </w:p>
    <w:p>
      <w:pPr>
        <w:pStyle w:val="Cabealho2"/>
        <w:keepNext/>
        <w:spacing w:before="320" w:after="160"/>
      </w:pPr>
      <w:bookmarkStart w:id="172" w:name="_Toc_modelo"/>
      <w:r>
        <w:t xml:space="preserve">Modelo de Dados no PostgreSQL</w:t>
      </w:r>
      <w:bookmarkEnd w:id="172"/>
    </w:p>
    <w:p>
      <w:r>
        <w:t xml:space="preserve">Ambas as vias persistem na mesma instância PostgreSQL, executada no contentor </w:t>
      </w:r>
      <w:r>
        <w:rPr>
          <w:rFonts w:ascii="Courier New" w:hAnsi="Courier New" w:cs="Courier New"/>
          <w:sz w:val="21"/>
          <w:szCs w:val="21"/>
        </w:rPr>
        <w:t xml:space="preserve">tech_power_db</w:t>
      </w:r>
      <w:r>
        <w:t xml:space="preserve">, mas em tabelas distintas. Esta separação é uma decisão de desenho deliberada: o nó </w:t>
      </w:r>
      <w:r>
        <w:rPr>
          <w:b/>
          <w:bCs/>
        </w:rPr>
        <w:t xml:space="preserve">DB Writer</w:t>
      </w:r>
      <w:r>
        <w:t xml:space="preserve"> do KNIME opera em modo de substituição, repondo a totalidade da tabela em cada execução do ciclo, o que apagaria os registos capturados em tempo real se ambas as vias partilhassem a mesma tabela.</w:t>
      </w:r>
    </w:p>
    <w:p>
      <w:pPr>
        <w:pStyle w:val="Cabealho3"/>
        <w:keepNext/>
        <w:spacing w:before="200" w:after="100"/>
      </w:pPr>
      <w:bookmarkStart w:id="173" w:name="_Toc_tabbatch"/>
      <w:r>
        <w:t xml:space="preserve">Tabela ofertas_emprego (via em lote)</w:t>
      </w:r>
      <w:bookmarkEnd w:id="173"/>
    </w:p>
    <w:p>
      <w:r>
        <w:t xml:space="preserve">A tabela </w:t>
      </w:r>
      <w:r>
        <w:rPr>
          <w:rFonts w:ascii="Courier New" w:hAnsi="Courier New" w:cs="Courier New"/>
          <w:sz w:val="21"/>
          <w:szCs w:val="21"/>
        </w:rPr>
        <w:t xml:space="preserve">ofertas_emprego</w:t>
      </w:r>
      <w:r>
        <w:t xml:space="preserve"> é escrita pelo KNIME e constitui a base analítica do </w:t>
      </w:r>
      <w:r>
        <w:rPr>
          <w:i/>
          <w:iCs/>
        </w:rPr>
        <w:t xml:space="preserve">dashboard</w:t>
      </w:r>
      <w:r>
        <w:t xml:space="preserve">. Armazena os onze atributos descritos na </w:t>
      </w:r>
      <w:r>
        <w:fldChar w:fldCharType="begin"/>
      </w:r>
      <w:r>
        <w:instrText xml:space="preserve"> REF _RefTab_colunas \h </w:instrText>
      </w:r>
      <w:r>
        <w:fldChar w:fldCharType="separate"/>
      </w:r>
      <w:r>
        <w:t xml:space="preserve">Tabela 8</w:t>
      </w:r>
      <w:r>
        <w:fldChar w:fldCharType="end"/>
      </w:r>
      <w:r>
        <w:t xml:space="preserve">, que combinam os dados originais da oferta, os valores normalizados, os indicadores de enriquecimento e o indicador calculado. A ligação é estabelecida pelo nó </w:t>
      </w:r>
      <w:r>
        <w:rPr>
          <w:b/>
          <w:bCs/>
        </w:rPr>
        <w:t xml:space="preserve">PostgreSQL Connector</w:t>
      </w:r>
      <w:r>
        <w:t xml:space="preserve">, anotado com «Ligação à BD», que abre a sessão autenticada através do controlador </w:t>
      </w:r>
      <w:r>
        <w:rPr>
          <w:i/>
          <w:iCs/>
        </w:rPr>
        <w:t xml:space="preserve">Java Database Connectivity</w:t>
      </w:r>
      <w:r>
        <w:t xml:space="preserve"> (JDBC) para a porta 5432 do contentor; o nó </w:t>
      </w:r>
      <w:r>
        <w:rPr>
          <w:b/>
          <w:bCs/>
        </w:rPr>
        <w:t xml:space="preserve">DB Writer</w:t>
      </w:r>
      <w:r>
        <w:t xml:space="preserve"> executa em seguida a escrita em lote.</w:t>
      </w:r>
    </w:p>
    <w:p>
      <w:pPr>
        <w:spacing w:before="0" w:after="0" w:line="120" w:lineRule="exact"/>
        <w:ind w:firstLine="0"/>
      </w:pPr>
    </w:p>
    <w:tbl>
      <w:tblPr>
        <w:tblStyle w:val="Tabelacomgrelha"/>
        <w:tblW w:w="9071" w:type="dxa"/>
        <w:jc w:val="center"/>
        <w:tblLayout w:type="fixed"/>
        <w:tblCellMar>
          <w:top w:w="30" w:type="dxa"/>
          <w:left w:w="100" w:type="dxa"/>
          <w:bottom w:w="30" w:type="dxa"/>
          <w:right w:w="100" w:type="dxa"/>
        </w:tblCellMar>
        <w:tblLook w:val="04A0" w:firstRow="1" w:lastRow="0" w:firstColumn="0" w:lastColumn="0" w:noHBand="0" w:noVBand="1"/>
      </w:tblPr>
      <w:tblGrid>
        <w:gridCol w:w="600"/>
        <w:gridCol w:w="3300"/>
        <w:gridCol w:w="5171"/>
      </w:tblGrid>
      <w:tr>
        <w:trPr>
          <w:cantSplit/>
          <w:tblHeader/>
        </w:trPr>
        <w:tc>
          <w:tcPr>
            <w:tcW w:w="600" w:type="dxa"/>
            <w:shd w:val="clear" w:color="auto" w:fill="D9D9D9"/>
            <w:vAlign w:val="center"/>
          </w:tcPr>
          <w:p>
            <w:pPr>
              <w:keepNext/>
              <w:spacing w:before="50" w:after="50" w:line="240" w:lineRule="auto"/>
              <w:ind w:firstLine="0"/>
              <w:jc w:val="center"/>
            </w:pPr>
            <w:r>
              <w:rPr>
                <w:b/>
                <w:bCs/>
                <w:sz w:val="18"/>
                <w:szCs w:val="18"/>
              </w:rPr>
              <w:t xml:space="preserve">N.º</w:t>
            </w:r>
          </w:p>
        </w:tc>
        <w:tc>
          <w:tcPr>
            <w:tcW w:w="3300" w:type="dxa"/>
            <w:shd w:val="clear" w:color="auto" w:fill="D9D9D9"/>
            <w:vAlign w:val="center"/>
          </w:tcPr>
          <w:p>
            <w:pPr>
              <w:keepNext/>
              <w:spacing w:before="50" w:after="50" w:line="240" w:lineRule="auto"/>
              <w:ind w:firstLine="0"/>
              <w:jc w:val="center"/>
            </w:pPr>
            <w:r>
              <w:rPr>
                <w:b/>
                <w:bCs/>
                <w:sz w:val="18"/>
                <w:szCs w:val="18"/>
              </w:rPr>
              <w:t xml:space="preserve">Coluna</w:t>
            </w:r>
          </w:p>
        </w:tc>
        <w:tc>
          <w:tcPr>
            <w:tcW w:w="5171" w:type="dxa"/>
            <w:shd w:val="clear" w:color="auto" w:fill="D9D9D9"/>
            <w:vAlign w:val="center"/>
          </w:tcPr>
          <w:p>
            <w:pPr>
              <w:keepNext/>
              <w:spacing w:before="50" w:after="50" w:line="240" w:lineRule="auto"/>
              <w:ind w:firstLine="0"/>
              <w:jc w:val="center"/>
            </w:pPr>
            <w:r>
              <w:rPr>
                <w:b/>
                <w:bCs/>
                <w:sz w:val="18"/>
                <w:szCs w:val="18"/>
              </w:rPr>
              <w:t xml:space="preserve">Descrição</w:t>
            </w:r>
          </w:p>
        </w:tc>
      </w:tr>
      <w:tr>
        <w:trPr>
          <w:cantSplit/>
        </w:trPr>
        <w:tc>
          <w:tcPr>
            <w:tcW w:w="600" w:type="dxa"/>
            <w:vAlign w:val="center"/>
          </w:tcPr>
          <w:p>
            <w:pPr>
              <w:keepNext/>
              <w:spacing w:before="50" w:after="50" w:line="240" w:lineRule="auto"/>
              <w:ind w:firstLine="0"/>
              <w:jc w:val="center"/>
            </w:pPr>
            <w:r>
              <w:rPr>
                <w:sz w:val="18"/>
                <w:szCs w:val="18"/>
              </w:rPr>
              <w:t xml:space="preserve">1</w:t>
            </w:r>
          </w:p>
        </w:tc>
        <w:tc>
          <w:tcPr>
            <w:tcW w:w="3300" w:type="dxa"/>
            <w:vAlign w:val="center"/>
          </w:tcPr>
          <w:p>
            <w:pPr>
              <w:keepNext/>
              <w:spacing w:before="50" w:after="50" w:line="240" w:lineRule="auto"/>
              <w:ind w:firstLine="0"/>
              <w:jc w:val="left"/>
            </w:pPr>
            <w:r>
              <w:rPr>
                <w:rFonts w:ascii="Courier New" w:hAnsi="Courier New" w:cs="Courier New"/>
                <w:sz w:val="16"/>
                <w:szCs w:val="16"/>
              </w:rPr>
              <w:t xml:space="preserve">Titulo_Vaga</w:t>
            </w:r>
          </w:p>
        </w:tc>
        <w:tc>
          <w:tcPr>
            <w:tcW w:w="5171" w:type="dxa"/>
            <w:vAlign w:val="center"/>
          </w:tcPr>
          <w:p>
            <w:pPr>
              <w:keepNext/>
              <w:spacing w:before="50" w:after="50" w:line="240" w:lineRule="auto"/>
              <w:ind w:firstLine="0"/>
              <w:jc w:val="left"/>
            </w:pPr>
            <w:r>
              <w:rPr>
                <w:sz w:val="18"/>
                <w:szCs w:val="18"/>
              </w:rPr>
              <w:t xml:space="preserve">Título da oferta de emprego</w:t>
            </w:r>
          </w:p>
        </w:tc>
      </w:tr>
      <w:tr>
        <w:trPr>
          <w:cantSplit/>
        </w:trPr>
        <w:tc>
          <w:tcPr>
            <w:tcW w:w="600" w:type="dxa"/>
            <w:vAlign w:val="center"/>
          </w:tcPr>
          <w:p>
            <w:pPr>
              <w:keepNext/>
              <w:spacing w:before="50" w:after="50" w:line="240" w:lineRule="auto"/>
              <w:ind w:firstLine="0"/>
              <w:jc w:val="center"/>
            </w:pPr>
            <w:r>
              <w:rPr>
                <w:sz w:val="18"/>
                <w:szCs w:val="18"/>
              </w:rPr>
              <w:t xml:space="preserve">2</w:t>
            </w:r>
          </w:p>
        </w:tc>
        <w:tc>
          <w:tcPr>
            <w:tcW w:w="3300" w:type="dxa"/>
            <w:vAlign w:val="center"/>
          </w:tcPr>
          <w:p>
            <w:pPr>
              <w:keepNext/>
              <w:spacing w:before="50" w:after="50" w:line="240" w:lineRule="auto"/>
              <w:ind w:firstLine="0"/>
              <w:jc w:val="left"/>
            </w:pPr>
            <w:r>
              <w:rPr>
                <w:rFonts w:ascii="Courier New" w:hAnsi="Courier New" w:cs="Courier New"/>
                <w:sz w:val="16"/>
                <w:szCs w:val="16"/>
              </w:rPr>
              <w:t xml:space="preserve">Localizacao</w:t>
            </w:r>
          </w:p>
        </w:tc>
        <w:tc>
          <w:tcPr>
            <w:tcW w:w="5171" w:type="dxa"/>
            <w:vAlign w:val="center"/>
          </w:tcPr>
          <w:p>
            <w:pPr>
              <w:keepNext/>
              <w:spacing w:before="50" w:after="50" w:line="240" w:lineRule="auto"/>
              <w:ind w:firstLine="0"/>
              <w:jc w:val="left"/>
            </w:pPr>
            <w:r>
              <w:rPr>
                <w:sz w:val="18"/>
                <w:szCs w:val="18"/>
              </w:rPr>
              <w:t xml:space="preserve">Localização indicada na oferta</w:t>
            </w:r>
          </w:p>
        </w:tc>
      </w:tr>
      <w:tr>
        <w:trPr>
          <w:cantSplit/>
        </w:trPr>
        <w:tc>
          <w:tcPr>
            <w:tcW w:w="600" w:type="dxa"/>
            <w:vAlign w:val="center"/>
          </w:tcPr>
          <w:p>
            <w:pPr>
              <w:keepNext/>
              <w:spacing w:before="50" w:after="50" w:line="240" w:lineRule="auto"/>
              <w:ind w:firstLine="0"/>
              <w:jc w:val="center"/>
            </w:pPr>
            <w:r>
              <w:rPr>
                <w:sz w:val="18"/>
                <w:szCs w:val="18"/>
              </w:rPr>
              <w:t xml:space="preserve">3</w:t>
            </w:r>
          </w:p>
        </w:tc>
        <w:tc>
          <w:tcPr>
            <w:tcW w:w="3300" w:type="dxa"/>
            <w:vAlign w:val="center"/>
          </w:tcPr>
          <w:p>
            <w:pPr>
              <w:keepNext/>
              <w:spacing w:before="50" w:after="50" w:line="240" w:lineRule="auto"/>
              <w:ind w:firstLine="0"/>
              <w:jc w:val="left"/>
            </w:pPr>
            <w:r>
              <w:rPr>
                <w:rFonts w:ascii="Courier New" w:hAnsi="Courier New" w:cs="Courier New"/>
                <w:sz w:val="16"/>
                <w:szCs w:val="16"/>
              </w:rPr>
              <w:t xml:space="preserve">Salario_Euros</w:t>
            </w:r>
          </w:p>
        </w:tc>
        <w:tc>
          <w:tcPr>
            <w:tcW w:w="5171" w:type="dxa"/>
            <w:vAlign w:val="center"/>
          </w:tcPr>
          <w:p>
            <w:pPr>
              <w:keepNext/>
              <w:spacing w:before="50" w:after="50" w:line="240" w:lineRule="auto"/>
              <w:ind w:firstLine="0"/>
              <w:jc w:val="left"/>
            </w:pPr>
            <w:r>
              <w:rPr>
                <w:sz w:val="18"/>
                <w:szCs w:val="18"/>
              </w:rPr>
              <w:t xml:space="preserve">Salário anual normalizado e convertido para euros</w:t>
            </w:r>
          </w:p>
        </w:tc>
      </w:tr>
      <w:tr>
        <w:trPr>
          <w:cantSplit/>
        </w:trPr>
        <w:tc>
          <w:tcPr>
            <w:tcW w:w="600" w:type="dxa"/>
            <w:vAlign w:val="center"/>
          </w:tcPr>
          <w:p>
            <w:pPr>
              <w:keepNext/>
              <w:spacing w:before="50" w:after="50" w:line="240" w:lineRule="auto"/>
              <w:ind w:firstLine="0"/>
              <w:jc w:val="center"/>
            </w:pPr>
            <w:r>
              <w:rPr>
                <w:sz w:val="18"/>
                <w:szCs w:val="18"/>
              </w:rPr>
              <w:t xml:space="preserve">4</w:t>
            </w:r>
          </w:p>
        </w:tc>
        <w:tc>
          <w:tcPr>
            <w:tcW w:w="3300" w:type="dxa"/>
            <w:vAlign w:val="center"/>
          </w:tcPr>
          <w:p>
            <w:pPr>
              <w:keepNext/>
              <w:spacing w:before="50" w:after="50" w:line="240" w:lineRule="auto"/>
              <w:ind w:firstLine="0"/>
              <w:jc w:val="left"/>
            </w:pPr>
            <w:r>
              <w:rPr>
                <w:rFonts w:ascii="Courier New" w:hAnsi="Courier New" w:cs="Courier New"/>
                <w:sz w:val="16"/>
                <w:szCs w:val="16"/>
              </w:rPr>
              <w:t xml:space="preserve">Nivel_Experiencia</w:t>
            </w:r>
          </w:p>
        </w:tc>
        <w:tc>
          <w:tcPr>
            <w:tcW w:w="5171" w:type="dxa"/>
            <w:vAlign w:val="center"/>
          </w:tcPr>
          <w:p>
            <w:pPr>
              <w:keepNext/>
              <w:spacing w:before="50" w:after="50" w:line="240" w:lineRule="auto"/>
              <w:ind w:firstLine="0"/>
              <w:jc w:val="left"/>
            </w:pPr>
            <w:r>
              <w:rPr>
                <w:sz w:val="18"/>
                <w:szCs w:val="18"/>
              </w:rPr>
              <w:t xml:space="preserve">Nível de experiência (</w:t>
            </w:r>
            <w:r>
              <w:rPr>
                <w:i/>
                <w:iCs/>
                <w:sz w:val="18"/>
                <w:szCs w:val="18"/>
              </w:rPr>
              <w:t xml:space="preserve">Entry</w:t>
            </w:r>
            <w:r>
              <w:rPr>
                <w:sz w:val="18"/>
                <w:szCs w:val="18"/>
              </w:rPr>
              <w:t xml:space="preserve">, </w:t>
            </w:r>
            <w:r>
              <w:rPr>
                <w:i/>
                <w:iCs/>
                <w:sz w:val="18"/>
                <w:szCs w:val="18"/>
              </w:rPr>
              <w:t xml:space="preserve">Mid</w:t>
            </w:r>
            <w:r>
              <w:rPr>
                <w:sz w:val="18"/>
                <w:szCs w:val="18"/>
              </w:rPr>
              <w:t xml:space="preserve"> ou </w:t>
            </w:r>
            <w:r>
              <w:rPr>
                <w:i/>
                <w:iCs/>
                <w:sz w:val="18"/>
                <w:szCs w:val="18"/>
              </w:rPr>
              <w:t xml:space="preserve">Senior</w:t>
            </w:r>
            <w:r>
              <w:rPr>
                <w:sz w:val="18"/>
                <w:szCs w:val="18"/>
              </w:rPr>
              <w:t xml:space="preserve">)</w:t>
            </w:r>
          </w:p>
        </w:tc>
      </w:tr>
      <w:tr>
        <w:trPr>
          <w:cantSplit/>
        </w:trPr>
        <w:tc>
          <w:tcPr>
            <w:tcW w:w="600" w:type="dxa"/>
            <w:vAlign w:val="center"/>
          </w:tcPr>
          <w:p>
            <w:pPr>
              <w:keepNext/>
              <w:spacing w:before="50" w:after="50" w:line="240" w:lineRule="auto"/>
              <w:ind w:firstLine="0"/>
              <w:jc w:val="center"/>
            </w:pPr>
            <w:r>
              <w:rPr>
                <w:sz w:val="18"/>
                <w:szCs w:val="18"/>
              </w:rPr>
              <w:t xml:space="preserve">5</w:t>
            </w:r>
          </w:p>
        </w:tc>
        <w:tc>
          <w:tcPr>
            <w:tcW w:w="3300" w:type="dxa"/>
            <w:vAlign w:val="center"/>
          </w:tcPr>
          <w:p>
            <w:pPr>
              <w:keepNext/>
              <w:spacing w:before="50" w:after="50" w:line="240" w:lineRule="auto"/>
              <w:ind w:firstLine="0"/>
              <w:jc w:val="left"/>
            </w:pPr>
            <w:r>
              <w:rPr>
                <w:rFonts w:ascii="Courier New" w:hAnsi="Courier New" w:cs="Courier New"/>
                <w:sz w:val="16"/>
                <w:szCs w:val="16"/>
              </w:rPr>
              <w:t xml:space="preserve">Tipo_Mercado</w:t>
            </w:r>
          </w:p>
        </w:tc>
        <w:tc>
          <w:tcPr>
            <w:tcW w:w="5171" w:type="dxa"/>
            <w:vAlign w:val="center"/>
          </w:tcPr>
          <w:p>
            <w:pPr>
              <w:keepNext/>
              <w:spacing w:before="50" w:after="50" w:line="240" w:lineRule="auto"/>
              <w:ind w:firstLine="0"/>
              <w:jc w:val="left"/>
            </w:pPr>
            <w:r>
              <w:rPr>
                <w:sz w:val="18"/>
                <w:szCs w:val="18"/>
              </w:rPr>
              <w:t xml:space="preserve">Classificação do mercado a que a oferta pertence</w:t>
            </w:r>
          </w:p>
        </w:tc>
      </w:tr>
      <w:tr>
        <w:trPr>
          <w:cantSplit/>
        </w:trPr>
        <w:tc>
          <w:tcPr>
            <w:tcW w:w="600" w:type="dxa"/>
            <w:vAlign w:val="center"/>
          </w:tcPr>
          <w:p>
            <w:pPr>
              <w:keepNext/>
              <w:spacing w:before="50" w:after="50" w:line="240" w:lineRule="auto"/>
              <w:ind w:firstLine="0"/>
              <w:jc w:val="center"/>
            </w:pPr>
            <w:r>
              <w:rPr>
                <w:sz w:val="18"/>
                <w:szCs w:val="18"/>
              </w:rPr>
              <w:t xml:space="preserve">6</w:t>
            </w:r>
          </w:p>
        </w:tc>
        <w:tc>
          <w:tcPr>
            <w:tcW w:w="3300" w:type="dxa"/>
            <w:vAlign w:val="center"/>
          </w:tcPr>
          <w:p>
            <w:pPr>
              <w:keepNext/>
              <w:spacing w:before="50" w:after="50" w:line="240" w:lineRule="auto"/>
              <w:ind w:firstLine="0"/>
              <w:jc w:val="left"/>
            </w:pPr>
            <w:r>
              <w:rPr>
                <w:rFonts w:ascii="Courier New" w:hAnsi="Courier New" w:cs="Courier New"/>
                <w:sz w:val="16"/>
                <w:szCs w:val="16"/>
              </w:rPr>
              <w:t xml:space="preserve">Pais_Numbeo</w:t>
            </w:r>
          </w:p>
        </w:tc>
        <w:tc>
          <w:tcPr>
            <w:tcW w:w="5171" w:type="dxa"/>
            <w:vAlign w:val="center"/>
          </w:tcPr>
          <w:p>
            <w:pPr>
              <w:keepNext/>
              <w:spacing w:before="50" w:after="50" w:line="240" w:lineRule="auto"/>
              <w:ind w:firstLine="0"/>
              <w:jc w:val="left"/>
            </w:pPr>
            <w:r>
              <w:rPr>
                <w:sz w:val="18"/>
                <w:szCs w:val="18"/>
              </w:rPr>
              <w:t xml:space="preserve">País normalizado, correspondente à entrada nos índices Numbeo</w:t>
            </w:r>
          </w:p>
        </w:tc>
      </w:tr>
      <w:tr>
        <w:trPr>
          <w:cantSplit/>
        </w:trPr>
        <w:tc>
          <w:tcPr>
            <w:tcW w:w="600" w:type="dxa"/>
            <w:vAlign w:val="center"/>
          </w:tcPr>
          <w:p>
            <w:pPr>
              <w:keepNext/>
              <w:spacing w:before="50" w:after="50" w:line="240" w:lineRule="auto"/>
              <w:ind w:firstLine="0"/>
              <w:jc w:val="center"/>
            </w:pPr>
            <w:r>
              <w:rPr>
                <w:sz w:val="18"/>
                <w:szCs w:val="18"/>
              </w:rPr>
              <w:t xml:space="preserve">7</w:t>
            </w:r>
          </w:p>
        </w:tc>
        <w:tc>
          <w:tcPr>
            <w:tcW w:w="3300" w:type="dxa"/>
            <w:vAlign w:val="center"/>
          </w:tcPr>
          <w:p>
            <w:pPr>
              <w:keepNext/>
              <w:spacing w:before="50" w:after="50" w:line="240" w:lineRule="auto"/>
              <w:ind w:firstLine="0"/>
              <w:jc w:val="left"/>
            </w:pPr>
            <w:r>
              <w:rPr>
                <w:rFonts w:ascii="Courier New" w:hAnsi="Courier New" w:cs="Courier New"/>
                <w:sz w:val="16"/>
                <w:szCs w:val="16"/>
              </w:rPr>
              <w:t xml:space="preserve">Indice_Custo_Vida</w:t>
            </w:r>
          </w:p>
        </w:tc>
        <w:tc>
          <w:tcPr>
            <w:tcW w:w="5171" w:type="dxa"/>
            <w:vAlign w:val="center"/>
          </w:tcPr>
          <w:p>
            <w:pPr>
              <w:keepNext/>
              <w:spacing w:before="50" w:after="50" w:line="240" w:lineRule="auto"/>
              <w:ind w:firstLine="0"/>
              <w:jc w:val="left"/>
            </w:pPr>
            <w:r>
              <w:rPr>
                <w:sz w:val="18"/>
                <w:szCs w:val="18"/>
              </w:rPr>
              <w:t xml:space="preserve">Índice de custo de vida do país (Numbeo)</w:t>
            </w:r>
          </w:p>
        </w:tc>
      </w:tr>
      <w:tr>
        <w:trPr>
          <w:cantSplit/>
        </w:trPr>
        <w:tc>
          <w:tcPr>
            <w:tcW w:w="600" w:type="dxa"/>
            <w:vAlign w:val="center"/>
          </w:tcPr>
          <w:p>
            <w:pPr>
              <w:keepNext/>
              <w:spacing w:before="50" w:after="50" w:line="240" w:lineRule="auto"/>
              <w:ind w:firstLine="0"/>
              <w:jc w:val="center"/>
            </w:pPr>
            <w:r>
              <w:rPr>
                <w:sz w:val="18"/>
                <w:szCs w:val="18"/>
              </w:rPr>
              <w:t xml:space="preserve">8</w:t>
            </w:r>
          </w:p>
        </w:tc>
        <w:tc>
          <w:tcPr>
            <w:tcW w:w="3300" w:type="dxa"/>
            <w:vAlign w:val="center"/>
          </w:tcPr>
          <w:p>
            <w:pPr>
              <w:keepNext/>
              <w:spacing w:before="50" w:after="50" w:line="240" w:lineRule="auto"/>
              <w:ind w:firstLine="0"/>
              <w:jc w:val="left"/>
            </w:pPr>
            <w:r>
              <w:rPr>
                <w:rFonts w:ascii="Courier New" w:hAnsi="Courier New" w:cs="Courier New"/>
                <w:sz w:val="16"/>
                <w:szCs w:val="16"/>
              </w:rPr>
              <w:t xml:space="preserve">Indice_de_Renda</w:t>
            </w:r>
          </w:p>
        </w:tc>
        <w:tc>
          <w:tcPr>
            <w:tcW w:w="5171" w:type="dxa"/>
            <w:vAlign w:val="center"/>
          </w:tcPr>
          <w:p>
            <w:pPr>
              <w:keepNext/>
              <w:spacing w:before="50" w:after="50" w:line="240" w:lineRule="auto"/>
              <w:ind w:firstLine="0"/>
              <w:jc w:val="left"/>
            </w:pPr>
            <w:r>
              <w:rPr>
                <w:sz w:val="18"/>
                <w:szCs w:val="18"/>
              </w:rPr>
              <w:t xml:space="preserve">Índice de renda (habitação) do país (Numbeo)</w:t>
            </w:r>
          </w:p>
        </w:tc>
      </w:tr>
      <w:tr>
        <w:trPr>
          <w:cantSplit/>
        </w:trPr>
        <w:tc>
          <w:tcPr>
            <w:tcW w:w="600" w:type="dxa"/>
            <w:vAlign w:val="center"/>
          </w:tcPr>
          <w:p>
            <w:pPr>
              <w:keepNext/>
              <w:spacing w:before="50" w:after="50" w:line="240" w:lineRule="auto"/>
              <w:ind w:firstLine="0"/>
              <w:jc w:val="center"/>
            </w:pPr>
            <w:r>
              <w:rPr>
                <w:sz w:val="18"/>
                <w:szCs w:val="18"/>
              </w:rPr>
              <w:t xml:space="preserve">9</w:t>
            </w:r>
          </w:p>
        </w:tc>
        <w:tc>
          <w:tcPr>
            <w:tcW w:w="3300" w:type="dxa"/>
            <w:vAlign w:val="center"/>
          </w:tcPr>
          <w:p>
            <w:pPr>
              <w:keepNext/>
              <w:spacing w:before="50" w:after="50" w:line="240" w:lineRule="auto"/>
              <w:ind w:firstLine="0"/>
              <w:jc w:val="left"/>
            </w:pPr>
            <w:r>
              <w:rPr>
                <w:rFonts w:ascii="Courier New" w:hAnsi="Courier New" w:cs="Courier New"/>
                <w:sz w:val="16"/>
                <w:szCs w:val="16"/>
              </w:rPr>
              <w:t xml:space="preserve">Indice_Custo_Vida_Mais_Renda</w:t>
            </w:r>
          </w:p>
        </w:tc>
        <w:tc>
          <w:tcPr>
            <w:tcW w:w="5171" w:type="dxa"/>
            <w:vAlign w:val="center"/>
          </w:tcPr>
          <w:p>
            <w:pPr>
              <w:keepNext/>
              <w:spacing w:before="50" w:after="50" w:line="240" w:lineRule="auto"/>
              <w:ind w:firstLine="0"/>
              <w:jc w:val="left"/>
            </w:pPr>
            <w:r>
              <w:rPr>
                <w:sz w:val="18"/>
                <w:szCs w:val="18"/>
              </w:rPr>
              <w:t xml:space="preserve">Índice combinado de custo de vida e renda (Numbeo)</w:t>
            </w:r>
          </w:p>
        </w:tc>
      </w:tr>
      <w:tr>
        <w:trPr>
          <w:cantSplit/>
        </w:trPr>
        <w:tc>
          <w:tcPr>
            <w:tcW w:w="600" w:type="dxa"/>
            <w:vAlign w:val="center"/>
          </w:tcPr>
          <w:p>
            <w:pPr>
              <w:keepNext/>
              <w:spacing w:before="50" w:after="50" w:line="240" w:lineRule="auto"/>
              <w:ind w:firstLine="0"/>
              <w:jc w:val="center"/>
            </w:pPr>
            <w:r>
              <w:rPr>
                <w:sz w:val="18"/>
                <w:szCs w:val="18"/>
              </w:rPr>
              <w:t xml:space="preserve">10</w:t>
            </w:r>
          </w:p>
        </w:tc>
        <w:tc>
          <w:tcPr>
            <w:tcW w:w="3300" w:type="dxa"/>
            <w:vAlign w:val="center"/>
          </w:tcPr>
          <w:p>
            <w:pPr>
              <w:keepNext/>
              <w:spacing w:before="50" w:after="50" w:line="240" w:lineRule="auto"/>
              <w:ind w:firstLine="0"/>
              <w:jc w:val="left"/>
            </w:pPr>
            <w:r>
              <w:rPr>
                <w:rFonts w:ascii="Courier New" w:hAnsi="Courier New" w:cs="Courier New"/>
                <w:sz w:val="16"/>
                <w:szCs w:val="16"/>
              </w:rPr>
              <w:t xml:space="preserve">Taxa_Imposto</w:t>
            </w:r>
          </w:p>
        </w:tc>
        <w:tc>
          <w:tcPr>
            <w:tcW w:w="5171" w:type="dxa"/>
            <w:vAlign w:val="center"/>
          </w:tcPr>
          <w:p>
            <w:pPr>
              <w:keepNext/>
              <w:spacing w:before="50" w:after="50" w:line="240" w:lineRule="auto"/>
              <w:ind w:firstLine="0"/>
              <w:jc w:val="left"/>
            </w:pPr>
            <w:r>
              <w:rPr>
                <w:sz w:val="18"/>
                <w:szCs w:val="18"/>
              </w:rPr>
              <w:t xml:space="preserve">Taxa de imposto aplicada ao salário</w:t>
            </w:r>
          </w:p>
        </w:tc>
      </w:tr>
      <w:tr>
        <w:trPr>
          <w:cantSplit/>
        </w:trPr>
        <w:tc>
          <w:tcPr>
            <w:tcW w:w="600" w:type="dxa"/>
            <w:vAlign w:val="center"/>
          </w:tcPr>
          <w:p>
            <w:pPr>
              <w:keepNext/>
              <w:spacing w:before="50" w:after="50" w:line="240" w:lineRule="auto"/>
              <w:ind w:firstLine="0"/>
              <w:jc w:val="center"/>
            </w:pPr>
            <w:r>
              <w:rPr>
                <w:sz w:val="18"/>
                <w:szCs w:val="18"/>
              </w:rPr>
              <w:t xml:space="preserve">11</w:t>
            </w:r>
          </w:p>
        </w:tc>
        <w:tc>
          <w:tcPr>
            <w:tcW w:w="3300" w:type="dxa"/>
            <w:vAlign w:val="center"/>
          </w:tcPr>
          <w:p>
            <w:pPr>
              <w:keepNext/>
              <w:spacing w:before="50" w:after="50" w:line="240" w:lineRule="auto"/>
              <w:ind w:firstLine="0"/>
              <w:jc w:val="left"/>
            </w:pPr>
            <w:r>
              <w:rPr>
                <w:rFonts w:ascii="Courier New" w:hAnsi="Courier New" w:cs="Courier New"/>
                <w:sz w:val="16"/>
                <w:szCs w:val="16"/>
              </w:rPr>
              <w:t xml:space="preserve">Poupança Anual Estimada (€)</w:t>
            </w:r>
          </w:p>
        </w:tc>
        <w:tc>
          <w:tcPr>
            <w:tcW w:w="5171" w:type="dxa"/>
            <w:vAlign w:val="center"/>
          </w:tcPr>
          <w:p>
            <w:pPr>
              <w:keepNext/>
              <w:spacing w:before="50" w:after="50" w:line="240" w:lineRule="auto"/>
              <w:ind w:firstLine="0"/>
              <w:jc w:val="left"/>
            </w:pPr>
            <w:r>
              <w:rPr>
                <w:sz w:val="18"/>
                <w:szCs w:val="18"/>
              </w:rPr>
              <w:t xml:space="preserve">Poupança líquida anual estimada, em euros</w:t>
            </w:r>
          </w:p>
        </w:tc>
      </w:tr>
    </w:tbl>
    <w:p>
      <w:pPr>
        <w:pStyle w:val="Legenda"/>
        <w:spacing w:before="80" w:after="240"/>
      </w:pPr>
      <w:bookmarkStart w:id="174" w:name="_TocCapTcolunas"/>
      <w:bookmarkStart w:id="175" w:name="_RefTab_colunas"/>
      <w:r>
        <w:t xml:space="preserve">Tabela </w:t>
      </w:r>
      <w:r>
        <w:fldChar w:fldCharType="begin"/>
      </w:r>
      <w:r>
        <w:instrText xml:space="preserve"> SEQ Tabela \* ARABIC </w:instrText>
      </w:r>
      <w:r>
        <w:fldChar w:fldCharType="separate"/>
      </w:r>
      <w:r>
        <w:rPr>
          <w:noProof/>
        </w:rPr>
        <w:t>8</w:t>
      </w:r>
      <w:r>
        <w:fldChar w:fldCharType="end"/>
      </w:r>
      <w:bookmarkEnd w:id="175"/>
      <w:r>
        <w:t xml:space="preserve">: Colunas da tabela ofertas_emprego, escrita pelo KNIME.</w:t>
      </w:r>
      <w:bookmarkEnd w:id="174"/>
    </w:p>
    <w:p>
      <w:pPr>
        <w:pStyle w:val="Cabealho3"/>
        <w:keepNext/>
        <w:spacing w:before="200" w:after="100"/>
      </w:pPr>
      <w:bookmarkStart w:id="176" w:name="_Toc_tabstream"/>
      <w:r>
        <w:t xml:space="preserve">Tabela vagas_nodered (via contínua)</w:t>
      </w:r>
      <w:bookmarkEnd w:id="176"/>
    </w:p>
    <w:p>
      <w:r>
        <w:t xml:space="preserve">A tabela </w:t>
      </w:r>
      <w:r>
        <w:rPr>
          <w:rFonts w:ascii="Courier New" w:hAnsi="Courier New" w:cs="Courier New"/>
          <w:sz w:val="21"/>
          <w:szCs w:val="21"/>
        </w:rPr>
        <w:t xml:space="preserve">vagas_nodered</w:t>
      </w:r>
      <w:r>
        <w:t xml:space="preserve"> foi criada especificamente para isolar a ingestão em tempo real, mantendo um esquema compacto de cinco colunas, alinhado com o </w:t>
      </w:r>
      <w:r>
        <w:rPr>
          <w:i/>
          <w:iCs/>
        </w:rPr>
        <w:t xml:space="preserve">array</w:t>
      </w:r>
      <w:r>
        <w:t xml:space="preserve"> produzido pelo nó Normal Data.</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CREATE TABLE vagas_nodered (</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titulo_vaga       VARCHAR(255),</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localizacao       VARCHAR(255),</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salario_euros     DOUBLE PRECISION,</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nivel_experiencia VARCHAR(255),</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tipo_mercado      VARCHAR(255)</w:t>
      </w:r>
    </w:p>
    <w:p>
      <w:pPr>
        <w:pStyle w:val="Code"/>
        <w:keepLines/>
        <w:shd w:val="clear" w:color="auto" w:fill="F2F2F2"/>
        <w:spacing w:before="0" w:after="160" w:line="240" w:lineRule="auto"/>
        <w:ind w:left="284" w:right="284" w:firstLine="0"/>
        <w:jc w:val="left"/>
      </w:pPr>
      <w:r>
        <w:rPr>
          <w:rFonts w:ascii="Courier New" w:hAnsi="Courier New" w:cs="Courier New"/>
          <w:sz w:val="18"/>
          <w:szCs w:val="18"/>
        </w:rPr>
        <w:t xml:space="preserve">);</w:t>
      </w:r>
    </w:p>
    <w:p>
      <w:r>
        <w:t xml:space="preserve">Note-se que, nesta tabela, a coluna </w:t>
      </w:r>
      <w:r>
        <w:rPr>
          <w:rFonts w:ascii="Courier New" w:hAnsi="Courier New" w:cs="Courier New"/>
          <w:sz w:val="21"/>
          <w:szCs w:val="21"/>
        </w:rPr>
        <w:t xml:space="preserve">localizacao</w:t>
      </w:r>
      <w:r>
        <w:t xml:space="preserve"> armazena o país já normalizado pelo nó Normal Data, e não a localização original da oferta. Para viabilizar a escrita por cima descrita na secção anterior, foi acrescentada uma restrição de unicidade sobre o par formado pelo título e pela localização, depois de esvaziada a tabela dos registos duplicados acumulados durante os testes iniciais.</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TRUNCATE TABLE vagas_nodered;</w:t>
      </w:r>
    </w:p>
    <w:p>
      <w:pPr>
        <w:pStyle w:val="Code"/>
        <w:keepNext/>
        <w:keepLines/>
        <w:shd w:val="clear" w:color="auto" w:fill="F2F2F2"/>
        <w:spacing w:before="0" w:after="0" w:line="240" w:lineRule="auto"/>
        <w:ind w:left="284" w:right="284" w:firstLine="0"/>
        <w:jc w:val="left"/>
      </w:pP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ALTER TABLE vagas_nodered</w:t>
      </w:r>
    </w:p>
    <w:p>
      <w:pPr>
        <w:pStyle w:val="Code"/>
        <w:keepLines/>
        <w:shd w:val="clear" w:color="auto" w:fill="F2F2F2"/>
        <w:spacing w:before="0" w:after="160" w:line="240" w:lineRule="auto"/>
        <w:ind w:left="284" w:right="284" w:firstLine="0"/>
        <w:jc w:val="left"/>
      </w:pPr>
      <w:r>
        <w:rPr>
          <w:rFonts w:ascii="Courier New" w:hAnsi="Courier New" w:cs="Courier New"/>
          <w:sz w:val="18"/>
          <w:szCs w:val="18"/>
        </w:rPr>
        <w:t xml:space="preserve">    ADD CONSTRAINT vaga_unica UNIQUE (titulo_vaga, localizacao);</w:t>
      </w:r>
    </w:p>
    <w:p>
      <w:r>
        <w:t xml:space="preserve">As </w:t>
      </w:r>
      <w:r>
        <w:fldChar w:fldCharType="begin"/>
      </w:r>
      <w:r>
        <w:instrText xml:space="preserve"> REF _RefFig_pgA \h </w:instrText>
      </w:r>
      <w:r>
        <w:fldChar w:fldCharType="separate"/>
      </w:r>
      <w:r>
        <w:t xml:space="preserve">Figura 14</w:t>
      </w:r>
      <w:r>
        <w:fldChar w:fldCharType="end"/>
      </w:r>
      <w:r>
        <w:t xml:space="preserve"> e </w:t>
      </w:r>
      <w:r>
        <w:fldChar w:fldCharType="begin"/>
      </w:r>
      <w:r>
        <w:instrText xml:space="preserve"> REF _RefFig_pgB \h </w:instrText>
      </w:r>
      <w:r>
        <w:fldChar w:fldCharType="separate"/>
      </w:r>
      <w:r>
        <w:t xml:space="preserve">Figura 15</w:t>
      </w:r>
      <w:r>
        <w:fldChar w:fldCharType="end"/>
      </w:r>
      <w:r>
        <w:t xml:space="preserve"> apresentam amostras dos registos efetivamente persistidos em cada tabela, consultadas através de um cliente de BD. Confirmam a diferença de dimensão e de propósito entre as duas vias: a tabela </w:t>
      </w:r>
      <w:r>
        <w:rPr>
          <w:rFonts w:ascii="Courier New" w:hAnsi="Courier New" w:cs="Courier New"/>
          <w:sz w:val="21"/>
          <w:szCs w:val="21"/>
        </w:rPr>
        <w:t xml:space="preserve">ofertas_emprego</w:t>
      </w:r>
      <w:r>
        <w:t xml:space="preserve"> acumula 200 021 registos, com as colunas económicas preenchidas, enquanto a tabela </w:t>
      </w:r>
      <w:r>
        <w:rPr>
          <w:rFonts w:ascii="Courier New" w:hAnsi="Courier New" w:cs="Courier New"/>
          <w:sz w:val="21"/>
          <w:szCs w:val="21"/>
        </w:rPr>
        <w:t xml:space="preserve">vagas_nodered</w:t>
      </w:r>
      <w:r>
        <w:t xml:space="preserve"> contém 309 registos, resultado da deduplicação por </w:t>
      </w:r>
      <w:r>
        <w:rPr>
          <w:i/>
          <w:iCs/>
        </w:rPr>
        <w:t xml:space="preserve">upsert</w:t>
      </w:r>
      <w:r>
        <w:t xml:space="preserve"> aplicada às ofertas recolhidas em tempo real.</w:t>
      </w:r>
    </w:p>
    <w:p>
      <w:pPr>
        <w:keepNext/>
        <w:spacing w:before="120" w:after="0" w:line="240" w:lineRule="auto"/>
        <w:ind w:firstLine="0"/>
        <w:jc w:val="center"/>
      </w:pPr>
      <w:r>
        <w:rPr>
          <w:noProof/>
        </w:rPr>
        <w:drawing>
          <wp:inline distT="0" distB="0" distL="0" distR="0">
            <wp:extent cx="5832000" cy="1691280"/>
            <wp:effectExtent l="0" t="0" r="0" b="0"/>
            <wp:docPr id="114" name="Imagem 114" descr="Captura de ecrã da tabela ofertas_emprego no PostgreSQL, com as colunas Titulo_Vaga, Localizacao, Salario_Euros, Nivel_Experiencia, Tipo_Mercado, Pais_Numbeo e os índices económ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m 114"/>
                    <pic:cNvPicPr/>
                  </pic:nvPicPr>
                  <pic:blipFill>
                    <a:blip r:embed="rId213"/>
                    <a:stretch>
                      <a:fillRect/>
                    </a:stretch>
                  </pic:blipFill>
                  <pic:spPr>
                    <a:xfrm>
                      <a:off x="0" y="0"/>
                      <a:ext cx="5832000" cy="1691280"/>
                    </a:xfrm>
                    <a:prstGeom prst="rect">
                      <a:avLst/>
                    </a:prstGeom>
                    <a:ln w="6350">
                      <a:solidFill>
                        <a:srgbClr val="A6A6A6"/>
                      </a:solidFill>
                    </a:ln>
                  </pic:spPr>
                </pic:pic>
              </a:graphicData>
            </a:graphic>
          </wp:inline>
        </w:drawing>
      </w:r>
    </w:p>
    <w:p>
      <w:pPr>
        <w:pStyle w:val="Legenda"/>
        <w:spacing w:before="80" w:after="240"/>
      </w:pPr>
      <w:bookmarkStart w:id="177" w:name="_TocCapFpgA"/>
      <w:bookmarkStart w:id="178" w:name="_RefFig_pgA"/>
      <w:r>
        <w:t xml:space="preserve">Figura </w:t>
      </w:r>
      <w:r>
        <w:fldChar w:fldCharType="begin"/>
      </w:r>
      <w:r>
        <w:instrText xml:space="preserve"> SEQ Figura \* ARABIC </w:instrText>
      </w:r>
      <w:r>
        <w:fldChar w:fldCharType="separate"/>
      </w:r>
      <w:r>
        <w:rPr>
          <w:noProof/>
        </w:rPr>
        <w:t>14</w:t>
      </w:r>
      <w:r>
        <w:fldChar w:fldCharType="end"/>
      </w:r>
      <w:bookmarkEnd w:id="178"/>
      <w:r>
        <w:t xml:space="preserve">: Registos da tabela ofertas_emprego, escrita pelo KNIME (200 021 registos).</w:t>
      </w:r>
      <w:bookmarkEnd w:id="177"/>
    </w:p>
    <w:p>
      <w:pPr>
        <w:keepNext/>
        <w:spacing w:before="120" w:after="0" w:line="240" w:lineRule="auto"/>
        <w:ind w:firstLine="0"/>
        <w:jc w:val="center"/>
      </w:pPr>
      <w:r>
        <w:rPr>
          <w:noProof/>
        </w:rPr>
        <w:drawing>
          <wp:inline distT="0" distB="0" distL="0" distR="0">
            <wp:extent cx="4680000" cy="2225153"/>
            <wp:effectExtent l="0" t="0" r="0" b="0"/>
            <wp:docPr id="115" name="Imagem 115" descr="Captura de ecrã da tabela vagas_nodered no PostgreSQL, com as cinco colunas titulo_vaga, localizacao, salario_euros, nivel_experiencia e tipo_mer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m 115"/>
                    <pic:cNvPicPr/>
                  </pic:nvPicPr>
                  <pic:blipFill>
                    <a:blip r:embed="rId214"/>
                    <a:stretch>
                      <a:fillRect/>
                    </a:stretch>
                  </pic:blipFill>
                  <pic:spPr>
                    <a:xfrm>
                      <a:off x="0" y="0"/>
                      <a:ext cx="4680000" cy="2225153"/>
                    </a:xfrm>
                    <a:prstGeom prst="rect">
                      <a:avLst/>
                    </a:prstGeom>
                    <a:ln w="6350">
                      <a:solidFill>
                        <a:srgbClr val="A6A6A6"/>
                      </a:solidFill>
                    </a:ln>
                  </pic:spPr>
                </pic:pic>
              </a:graphicData>
            </a:graphic>
          </wp:inline>
        </w:drawing>
      </w:r>
    </w:p>
    <w:p>
      <w:pPr>
        <w:pStyle w:val="Legenda"/>
        <w:spacing w:before="80" w:after="240"/>
      </w:pPr>
      <w:bookmarkStart w:id="179" w:name="_TocCapFpgB"/>
      <w:bookmarkStart w:id="180" w:name="_RefFig_pgB"/>
      <w:r>
        <w:t xml:space="preserve">Figura </w:t>
      </w:r>
      <w:r>
        <w:fldChar w:fldCharType="begin"/>
      </w:r>
      <w:r>
        <w:instrText xml:space="preserve"> SEQ Figura \* ARABIC </w:instrText>
      </w:r>
      <w:r>
        <w:fldChar w:fldCharType="separate"/>
      </w:r>
      <w:r>
        <w:rPr>
          <w:noProof/>
        </w:rPr>
        <w:t>15</w:t>
      </w:r>
      <w:r>
        <w:fldChar w:fldCharType="end"/>
      </w:r>
      <w:bookmarkEnd w:id="180"/>
      <w:r>
        <w:t xml:space="preserve">: Registos da tabela vagas_nodered, escrita pelo Node-RED (309 registos).</w:t>
      </w:r>
      <w:bookmarkEnd w:id="179"/>
    </w:p>
    <w:p>
      <w:pPr>
        <w:pStyle w:val="Cabealho2"/>
        <w:keepNext/>
        <w:spacing w:before="320" w:after="160"/>
      </w:pPr>
      <w:bookmarkStart w:id="181" w:name="_Toc_telegram"/>
      <w:r>
        <w:t xml:space="preserve">Job de Notificação: Alertas em Tempo Real via Telegram</w:t>
      </w:r>
      <w:bookmarkEnd w:id="181"/>
    </w:p>
    <w:p>
      <w:r>
        <w:t xml:space="preserve">A segunda saída do nó Normal Data alimenta o ramo de notificações, que concretiza o critério de mais-valia relativo ao envio automático de alertas previsto no enunciado. O nó </w:t>
      </w:r>
      <w:r>
        <w:rPr>
          <w:b/>
          <w:bCs/>
        </w:rPr>
        <w:t xml:space="preserve">Good Role Alert</w:t>
      </w:r>
      <w:r>
        <w:t xml:space="preserve"> avalia cada oferta à luz de dois critérios independentes, descritos na </w:t>
      </w:r>
      <w:r>
        <w:fldChar w:fldCharType="begin"/>
      </w:r>
      <w:r>
        <w:instrText xml:space="preserve"> REF _RefTab_alertas \h </w:instrText>
      </w:r>
      <w:r>
        <w:fldChar w:fldCharType="separate"/>
      </w:r>
      <w:r>
        <w:t xml:space="preserve">Tabela 9</w:t>
      </w:r>
      <w:r>
        <w:fldChar w:fldCharType="end"/>
      </w:r>
      <w:r>
        <w:t xml:space="preserve">.</w:t>
      </w:r>
    </w:p>
    <w:p>
      <w:pPr>
        <w:spacing w:before="0" w:after="0" w:line="120" w:lineRule="exact"/>
        <w:ind w:firstLine="0"/>
      </w:pPr>
    </w:p>
    <w:tbl>
      <w:tblPr>
        <w:tblStyle w:val="Tabelacomgrelha"/>
        <w:tblW w:w="9071" w:type="dxa"/>
        <w:jc w:val="center"/>
        <w:tblLayout w:type="fixed"/>
        <w:tblCellMar>
          <w:top w:w="30" w:type="dxa"/>
          <w:left w:w="100" w:type="dxa"/>
          <w:bottom w:w="30" w:type="dxa"/>
          <w:right w:w="100" w:type="dxa"/>
        </w:tblCellMar>
        <w:tblLook w:val="04A0" w:firstRow="1" w:lastRow="0" w:firstColumn="0" w:lastColumn="0" w:noHBand="0" w:noVBand="1"/>
      </w:tblPr>
      <w:tblGrid>
        <w:gridCol w:w="1900"/>
        <w:gridCol w:w="2100"/>
        <w:gridCol w:w="5071"/>
      </w:tblGrid>
      <w:tr>
        <w:trPr>
          <w:cantSplit/>
          <w:tblHeader/>
        </w:trPr>
        <w:tc>
          <w:tcPr>
            <w:tcW w:w="1900" w:type="dxa"/>
            <w:shd w:val="clear" w:color="auto" w:fill="D9D9D9"/>
            <w:vAlign w:val="center"/>
          </w:tcPr>
          <w:p>
            <w:pPr>
              <w:keepNext/>
              <w:spacing w:before="50" w:after="50" w:line="240" w:lineRule="auto"/>
              <w:ind w:firstLine="0"/>
              <w:jc w:val="center"/>
            </w:pPr>
            <w:r>
              <w:rPr>
                <w:b/>
                <w:bCs/>
                <w:sz w:val="20"/>
                <w:szCs w:val="20"/>
              </w:rPr>
              <w:t xml:space="preserve">Critério</w:t>
            </w:r>
          </w:p>
        </w:tc>
        <w:tc>
          <w:tcPr>
            <w:tcW w:w="2100" w:type="dxa"/>
            <w:shd w:val="clear" w:color="auto" w:fill="D9D9D9"/>
            <w:vAlign w:val="center"/>
          </w:tcPr>
          <w:p>
            <w:pPr>
              <w:keepNext/>
              <w:spacing w:before="50" w:after="50" w:line="240" w:lineRule="auto"/>
              <w:ind w:firstLine="0"/>
              <w:jc w:val="center"/>
            </w:pPr>
            <w:r>
              <w:rPr>
                <w:b/>
                <w:bCs/>
                <w:sz w:val="20"/>
                <w:szCs w:val="20"/>
              </w:rPr>
              <w:t xml:space="preserve">Condição</w:t>
            </w:r>
          </w:p>
        </w:tc>
        <w:tc>
          <w:tcPr>
            <w:tcW w:w="5071" w:type="dxa"/>
            <w:shd w:val="clear" w:color="auto" w:fill="D9D9D9"/>
            <w:vAlign w:val="center"/>
          </w:tcPr>
          <w:p>
            <w:pPr>
              <w:keepNext/>
              <w:spacing w:before="50" w:after="50" w:line="240" w:lineRule="auto"/>
              <w:ind w:firstLine="0"/>
              <w:jc w:val="center"/>
            </w:pPr>
            <w:r>
              <w:rPr>
                <w:b/>
                <w:bCs/>
                <w:sz w:val="20"/>
                <w:szCs w:val="20"/>
              </w:rPr>
              <w:t xml:space="preserve">Justificação</w:t>
            </w:r>
          </w:p>
        </w:tc>
      </w:tr>
      <w:tr>
        <w:trPr>
          <w:cantSplit/>
        </w:trPr>
        <w:tc>
          <w:tcPr>
            <w:tcW w:w="1900" w:type="dxa"/>
            <w:vAlign w:val="center"/>
          </w:tcPr>
          <w:p>
            <w:pPr>
              <w:keepNext/>
              <w:spacing w:before="50" w:after="50" w:line="240" w:lineRule="auto"/>
              <w:ind w:firstLine="0"/>
              <w:jc w:val="left"/>
            </w:pPr>
            <w:r>
              <w:rPr>
                <w:sz w:val="20"/>
                <w:szCs w:val="20"/>
              </w:rPr>
              <w:t xml:space="preserve">Alto valor financeiro</w:t>
            </w:r>
          </w:p>
        </w:tc>
        <w:tc>
          <w:tcPr>
            <w:tcW w:w="2100" w:type="dxa"/>
            <w:vAlign w:val="center"/>
          </w:tcPr>
          <w:p>
            <w:pPr>
              <w:keepNext/>
              <w:spacing w:before="50" w:after="50" w:line="240" w:lineRule="auto"/>
              <w:ind w:firstLine="0"/>
              <w:jc w:val="left"/>
            </w:pPr>
            <w:r>
              <w:rPr>
                <w:sz w:val="20"/>
                <w:szCs w:val="20"/>
              </w:rPr>
              <w:t xml:space="preserve">Salário anual ≥ 100 000 €</w:t>
            </w:r>
          </w:p>
        </w:tc>
        <w:tc>
          <w:tcPr>
            <w:tcW w:w="5071" w:type="dxa"/>
            <w:vAlign w:val="center"/>
          </w:tcPr>
          <w:p>
            <w:pPr>
              <w:keepNext/>
              <w:spacing w:before="50" w:after="50" w:line="240" w:lineRule="auto"/>
              <w:ind w:firstLine="0"/>
              <w:jc w:val="left"/>
            </w:pPr>
            <w:r>
              <w:rPr>
                <w:sz w:val="20"/>
                <w:szCs w:val="20"/>
              </w:rPr>
              <w:t xml:space="preserve">Sinaliza ofertas no topo da escala salarial do mercado</w:t>
            </w:r>
          </w:p>
        </w:tc>
      </w:tr>
      <w:tr>
        <w:trPr>
          <w:cantSplit/>
        </w:trPr>
        <w:tc>
          <w:tcPr>
            <w:tcW w:w="1900" w:type="dxa"/>
            <w:vAlign w:val="center"/>
          </w:tcPr>
          <w:p>
            <w:pPr>
              <w:keepNext/>
              <w:spacing w:before="50" w:after="50" w:line="240" w:lineRule="auto"/>
              <w:ind w:firstLine="0"/>
              <w:jc w:val="left"/>
            </w:pPr>
            <w:r>
              <w:rPr>
                <w:sz w:val="20"/>
                <w:szCs w:val="20"/>
              </w:rPr>
              <w:t xml:space="preserve">Vaga incomum ou rara</w:t>
            </w:r>
          </w:p>
        </w:tc>
        <w:tc>
          <w:tcPr>
            <w:tcW w:w="2100" w:type="dxa"/>
            <w:vAlign w:val="center"/>
          </w:tcPr>
          <w:p>
            <w:pPr>
              <w:keepNext/>
              <w:spacing w:before="50" w:after="50" w:line="240" w:lineRule="auto"/>
              <w:ind w:firstLine="0"/>
              <w:jc w:val="left"/>
            </w:pPr>
            <w:r>
              <w:rPr>
                <w:sz w:val="20"/>
                <w:szCs w:val="20"/>
              </w:rPr>
              <w:t xml:space="preserve">Título contém uma palavra-chave de nicho</w:t>
            </w:r>
          </w:p>
        </w:tc>
        <w:tc>
          <w:tcPr>
            <w:tcW w:w="5071" w:type="dxa"/>
            <w:vAlign w:val="center"/>
          </w:tcPr>
          <w:p>
            <w:pPr>
              <w:keepNext/>
              <w:spacing w:before="50" w:after="50" w:line="240" w:lineRule="auto"/>
              <w:ind w:firstLine="0"/>
              <w:jc w:val="left"/>
            </w:pPr>
            <w:r>
              <w:rPr>
                <w:sz w:val="20"/>
                <w:szCs w:val="20"/>
              </w:rPr>
              <w:t xml:space="preserve">Sinaliza tecnologias de procura reduzida e elevada especialização, como </w:t>
            </w:r>
            <w:r>
              <w:rPr>
                <w:i/>
                <w:iCs/>
                <w:sz w:val="20"/>
                <w:szCs w:val="20"/>
              </w:rPr>
              <w:t xml:space="preserve">cobol</w:t>
            </w:r>
            <w:r>
              <w:rPr>
                <w:sz w:val="20"/>
                <w:szCs w:val="20"/>
              </w:rPr>
              <w:t xml:space="preserve">, </w:t>
            </w:r>
            <w:r>
              <w:rPr>
                <w:i/>
                <w:iCs/>
                <w:sz w:val="20"/>
                <w:szCs w:val="20"/>
              </w:rPr>
              <w:t xml:space="preserve">rust</w:t>
            </w:r>
            <w:r>
              <w:rPr>
                <w:sz w:val="20"/>
                <w:szCs w:val="20"/>
              </w:rPr>
              <w:t xml:space="preserve">, </w:t>
            </w:r>
            <w:r>
              <w:rPr>
                <w:i/>
                <w:iCs/>
                <w:sz w:val="20"/>
                <w:szCs w:val="20"/>
              </w:rPr>
              <w:t xml:space="preserve">blockchain</w:t>
            </w:r>
            <w:r>
              <w:rPr>
                <w:sz w:val="20"/>
                <w:szCs w:val="20"/>
              </w:rPr>
              <w:t xml:space="preserve">, </w:t>
            </w:r>
            <w:r>
              <w:rPr>
                <w:i/>
                <w:iCs/>
                <w:sz w:val="20"/>
                <w:szCs w:val="20"/>
              </w:rPr>
              <w:t xml:space="preserve">machine learning</w:t>
            </w:r>
            <w:r>
              <w:rPr>
                <w:sz w:val="20"/>
                <w:szCs w:val="20"/>
              </w:rPr>
              <w:t xml:space="preserve">, </w:t>
            </w:r>
            <w:r>
              <w:rPr>
                <w:i/>
                <w:iCs/>
                <w:sz w:val="20"/>
                <w:szCs w:val="20"/>
              </w:rPr>
              <w:t xml:space="preserve">quantum</w:t>
            </w:r>
            <w:r>
              <w:rPr>
                <w:sz w:val="20"/>
                <w:szCs w:val="20"/>
              </w:rPr>
              <w:t xml:space="preserve">, </w:t>
            </w:r>
            <w:r>
              <w:rPr>
                <w:i/>
                <w:iCs/>
                <w:sz w:val="20"/>
                <w:szCs w:val="20"/>
              </w:rPr>
              <w:t xml:space="preserve">fortran</w:t>
            </w:r>
            <w:r>
              <w:rPr>
                <w:sz w:val="20"/>
                <w:szCs w:val="20"/>
              </w:rPr>
              <w:t xml:space="preserve">, </w:t>
            </w:r>
            <w:r>
              <w:rPr>
                <w:i/>
                <w:iCs/>
                <w:sz w:val="20"/>
                <w:szCs w:val="20"/>
              </w:rPr>
              <w:t xml:space="preserve">elixir</w:t>
            </w:r>
            <w:r>
              <w:rPr>
                <w:sz w:val="20"/>
                <w:szCs w:val="20"/>
              </w:rPr>
              <w:t xml:space="preserve"> ou </w:t>
            </w:r>
            <w:r>
              <w:rPr>
                <w:i/>
                <w:iCs/>
                <w:sz w:val="20"/>
                <w:szCs w:val="20"/>
              </w:rPr>
              <w:t xml:space="preserve">power electronics</w:t>
            </w:r>
          </w:p>
        </w:tc>
      </w:tr>
    </w:tbl>
    <w:p>
      <w:pPr>
        <w:pStyle w:val="Legenda"/>
        <w:spacing w:before="80" w:after="240"/>
      </w:pPr>
      <w:bookmarkStart w:id="182" w:name="_TocCapTalertas"/>
      <w:bookmarkStart w:id="183" w:name="_RefTab_alertas"/>
      <w:r>
        <w:t xml:space="preserve">Tabela </w:t>
      </w:r>
      <w:r>
        <w:fldChar w:fldCharType="begin"/>
      </w:r>
      <w:r>
        <w:instrText xml:space="preserve"> SEQ Tabela \* ARABIC </w:instrText>
      </w:r>
      <w:r>
        <w:fldChar w:fldCharType="separate"/>
      </w:r>
      <w:r>
        <w:rPr>
          <w:noProof/>
        </w:rPr>
        <w:t>9</w:t>
      </w:r>
      <w:r>
        <w:fldChar w:fldCharType="end"/>
      </w:r>
      <w:bookmarkEnd w:id="183"/>
      <w:r>
        <w:t xml:space="preserve">: Critérios de disparo de alertas no nó Good Role Alert.</w:t>
      </w:r>
      <w:bookmarkEnd w:id="182"/>
    </w:p>
    <w:p>
      <w:r>
        <w:t xml:space="preserve">A mensagem enviada é classificada dinamicamente em função dos critérios satisfeitos, distinguindo-se três situações: alto valor financeiro, vaga incomum ou rara e, quando ambos os critérios se verificam em simultâneo, a classificação combinada. O nó recorre ainda ao contexto do fluxo, através de </w:t>
      </w:r>
      <w:r>
        <w:rPr>
          <w:rFonts w:ascii="Courier New" w:hAnsi="Courier New" w:cs="Courier New"/>
          <w:sz w:val="21"/>
          <w:szCs w:val="21"/>
        </w:rPr>
        <w:t xml:space="preserve">context.get</w:t>
      </w:r>
      <w:r>
        <w:t xml:space="preserve"> e </w:t>
      </w:r>
      <w:r>
        <w:rPr>
          <w:rFonts w:ascii="Courier New" w:hAnsi="Courier New" w:cs="Courier New"/>
          <w:sz w:val="21"/>
          <w:szCs w:val="21"/>
        </w:rPr>
        <w:t xml:space="preserve">context.set</w:t>
      </w:r>
      <w:r>
        <w:t xml:space="preserve">, para manter um contador incremental de alertas emitidos, que é anexado ao rodapé de cada mensagem juntamente com o cargo, o país, o nível, o tipo de mercado e o salário anual.</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Avaliação dos critérios de alerta</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const titulo  = msg.payload[0].toLowerCase();</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const salario = msg.payload[2];</w:t>
      </w:r>
    </w:p>
    <w:p>
      <w:pPr>
        <w:pStyle w:val="Code"/>
        <w:keepNext/>
        <w:keepLines/>
        <w:shd w:val="clear" w:color="auto" w:fill="F2F2F2"/>
        <w:spacing w:before="0" w:after="0" w:line="240" w:lineRule="auto"/>
        <w:ind w:left="284" w:right="284" w:firstLine="0"/>
        <w:jc w:val="left"/>
      </w:pP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const isValorAlto   = salario &gt;= 100000;</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const isRoleIncomum = PALAVRAS_CHAVE.some(k =&gt; titulo.includes(k));</w:t>
      </w:r>
    </w:p>
    <w:p>
      <w:pPr>
        <w:pStyle w:val="Code"/>
        <w:keepNext/>
        <w:keepLines/>
        <w:shd w:val="clear" w:color="auto" w:fill="F2F2F2"/>
        <w:spacing w:before="0" w:after="0" w:line="240" w:lineRule="auto"/>
        <w:ind w:left="284" w:right="284" w:firstLine="0"/>
        <w:jc w:val="left"/>
      </w:pP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if (!isValorAlto &amp;&amp; !isRoleIncomum) { return null; }</w:t>
      </w:r>
    </w:p>
    <w:p>
      <w:pPr>
        <w:pStyle w:val="Code"/>
        <w:keepNext/>
        <w:keepLines/>
        <w:shd w:val="clear" w:color="auto" w:fill="F2F2F2"/>
        <w:spacing w:before="0" w:after="0" w:line="240" w:lineRule="auto"/>
        <w:ind w:left="284" w:right="284" w:firstLine="0"/>
        <w:jc w:val="left"/>
      </w:pP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let total = context.get("contadorVagas") || 0;</w:t>
      </w:r>
    </w:p>
    <w:p>
      <w:pPr>
        <w:pStyle w:val="Code"/>
        <w:keepLines/>
        <w:shd w:val="clear" w:color="auto" w:fill="F2F2F2"/>
        <w:spacing w:before="0" w:after="160" w:line="240" w:lineRule="auto"/>
        <w:ind w:left="284" w:right="284" w:firstLine="0"/>
        <w:jc w:val="left"/>
      </w:pPr>
      <w:r>
        <w:rPr>
          <w:rFonts w:ascii="Courier New" w:hAnsi="Courier New" w:cs="Courier New"/>
          <w:sz w:val="18"/>
          <w:szCs w:val="18"/>
        </w:rPr>
        <w:t xml:space="preserve">context.set("contadorVagas", ++total);</w:t>
      </w:r>
    </w:p>
    <w:p>
      <w:r>
        <w:t xml:space="preserve">A </w:t>
      </w:r>
      <w:r>
        <w:fldChar w:fldCharType="begin"/>
      </w:r>
      <w:r>
        <w:instrText xml:space="preserve"> REF _RefFig_tg \h </w:instrText>
      </w:r>
      <w:r>
        <w:fldChar w:fldCharType="separate"/>
      </w:r>
      <w:r>
        <w:t xml:space="preserve">Figura 16</w:t>
      </w:r>
      <w:r>
        <w:fldChar w:fldCharType="end"/>
      </w:r>
      <w:r>
        <w:t xml:space="preserve"> apresenta quatro notificações recebidas no </w:t>
      </w:r>
      <w:r>
        <w:rPr>
          <w:i/>
          <w:iCs/>
        </w:rPr>
        <w:t xml:space="preserve">bot</w:t>
      </w:r>
      <w:r>
        <w:t xml:space="preserve">, todas classificadas como alerta de alto valor financeiro. Cada mensagem identifica o motivo do alerta e resume o cargo, o país, o nível, o tipo de mercado e o salário anual, permitindo ao destinatário avaliar a oferta sem consultar o </w:t>
      </w:r>
      <w:r>
        <w:rPr>
          <w:i/>
          <w:iCs/>
        </w:rPr>
        <w:t xml:space="preserve">dashboard</w:t>
      </w:r>
      <w:r>
        <w:t xml:space="preserve">.</w:t>
      </w:r>
    </w:p>
    <w:p>
      <w:r>
        <w:t xml:space="preserve">O nó </w:t>
      </w:r>
      <w:r>
        <w:rPr>
          <w:b/>
          <w:bCs/>
        </w:rPr>
        <w:t xml:space="preserve">http request</w:t>
      </w:r>
      <w:r>
        <w:t xml:space="preserve"> seguinte efetua um pedido HTTP POST ao </w:t>
      </w:r>
      <w:r>
        <w:rPr>
          <w:i/>
          <w:iCs/>
        </w:rPr>
        <w:t xml:space="preserve">endpoint</w:t>
      </w:r>
      <w:r>
        <w:t xml:space="preserve"> </w:t>
      </w:r>
      <w:r>
        <w:rPr>
          <w:rFonts w:ascii="Courier New" w:hAnsi="Courier New" w:cs="Courier New"/>
          <w:sz w:val="21"/>
          <w:szCs w:val="21"/>
        </w:rPr>
        <w:t xml:space="preserve">sendMessage</w:t>
      </w:r>
      <w:r>
        <w:t xml:space="preserve"> da API oficial do Telegram, enviando a mensagem formatada em </w:t>
      </w:r>
      <w:r>
        <w:rPr>
          <w:i/>
          <w:iCs/>
        </w:rPr>
        <w:t xml:space="preserve">Markdown</w:t>
      </w:r>
      <w:r>
        <w:t xml:space="preserve"> para o </w:t>
      </w:r>
      <w:r>
        <w:rPr>
          <w:i/>
          <w:iCs/>
        </w:rPr>
        <w:t xml:space="preserve">bot</w:t>
      </w:r>
      <w:r>
        <w:t xml:space="preserve"> </w:t>
      </w:r>
      <w:r>
        <w:rPr>
          <w:rFonts w:ascii="Courier New" w:hAnsi="Courier New" w:cs="Courier New"/>
          <w:sz w:val="21"/>
          <w:szCs w:val="21"/>
        </w:rPr>
        <w:t xml:space="preserve">@TechPowerISIBot</w:t>
      </w:r>
      <w:r>
        <w:t xml:space="preserve"> (Telegram, s.d.). O identificador do </w:t>
      </w:r>
      <w:r>
        <w:rPr>
          <w:i/>
          <w:iCs/>
        </w:rPr>
        <w:t xml:space="preserve">bot</w:t>
      </w:r>
      <w:r>
        <w:t xml:space="preserve"> e o </w:t>
      </w:r>
      <w:r>
        <w:rPr>
          <w:i/>
          <w:iCs/>
        </w:rPr>
        <w:t xml:space="preserve">token</w:t>
      </w:r>
      <w:r>
        <w:t xml:space="preserve"> de autenticação são parâmetros do URL do pedido, pelo que são omitidos deste documento por razões de segurança.</w:t>
      </w:r>
    </w:p>
    <w:p>
      <w:pPr>
        <w:pStyle w:val="Code"/>
        <w:keepLines/>
        <w:shd w:val="clear" w:color="auto" w:fill="F2F2F2"/>
        <w:spacing w:before="0" w:after="160" w:line="240" w:lineRule="auto"/>
        <w:ind w:left="284" w:right="284" w:firstLine="0"/>
        <w:jc w:val="left"/>
      </w:pPr>
      <w:r>
        <w:rPr>
          <w:rFonts w:ascii="Courier New" w:hAnsi="Courier New" w:cs="Courier New"/>
          <w:sz w:val="18"/>
          <w:szCs w:val="18"/>
        </w:rPr>
        <w:t xml:space="preserve">POST https://api.telegram.org/bot&lt;TOKEN&gt;/sendMessage</w:t>
      </w:r>
    </w:p>
    <w:p>
      <w:pPr>
        <w:keepNext/>
        <w:spacing w:before="120" w:after="0" w:line="240" w:lineRule="auto"/>
        <w:ind w:firstLine="0"/>
        <w:jc w:val="center"/>
      </w:pPr>
      <w:r>
        <w:rPr>
          <w:noProof/>
        </w:rPr>
        <w:drawing>
          <wp:inline distT="0" distB="0" distL="0" distR="0">
            <wp:extent cx="2700000" cy="5715000"/>
            <wp:effectExtent l="0" t="0" r="0" b="0"/>
            <wp:docPr id="116" name="Imagem 116" descr="Captura de ecrã do Telegram com quatro alertas de vaga destacada, cada um indicando o motivo, cargo, país, nível, mercado e salário 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m 116"/>
                    <pic:cNvPicPr/>
                  </pic:nvPicPr>
                  <pic:blipFill>
                    <a:blip r:embed="rId215"/>
                    <a:stretch>
                      <a:fillRect/>
                    </a:stretch>
                  </pic:blipFill>
                  <pic:spPr>
                    <a:xfrm>
                      <a:off x="0" y="0"/>
                      <a:ext cx="2700000" cy="5715000"/>
                    </a:xfrm>
                    <a:prstGeom prst="rect">
                      <a:avLst/>
                    </a:prstGeom>
                    <a:ln w="6350">
                      <a:solidFill>
                        <a:srgbClr val="A6A6A6"/>
                      </a:solidFill>
                    </a:ln>
                  </pic:spPr>
                </pic:pic>
              </a:graphicData>
            </a:graphic>
          </wp:inline>
        </w:drawing>
      </w:r>
    </w:p>
    <w:p>
      <w:pPr>
        <w:pStyle w:val="Legenda"/>
        <w:spacing w:before="80" w:after="240"/>
      </w:pPr>
      <w:bookmarkStart w:id="184" w:name="_TocCapFtg"/>
      <w:bookmarkStart w:id="185" w:name="_RefFig_tg"/>
      <w:r>
        <w:t xml:space="preserve">Figura </w:t>
      </w:r>
      <w:r>
        <w:fldChar w:fldCharType="begin"/>
      </w:r>
      <w:r>
        <w:instrText xml:space="preserve"> SEQ Figura \* ARABIC </w:instrText>
      </w:r>
      <w:r>
        <w:fldChar w:fldCharType="separate"/>
      </w:r>
      <w:r>
        <w:rPr>
          <w:noProof/>
        </w:rPr>
        <w:t>16</w:t>
      </w:r>
      <w:r>
        <w:fldChar w:fldCharType="end"/>
      </w:r>
      <w:bookmarkEnd w:id="185"/>
      <w:r>
        <w:t xml:space="preserve">: Notificações recebidas no bot @TechPowerISIBot do Telegram.</w:t>
      </w:r>
      <w:bookmarkEnd w:id="184"/>
    </w:p>
    <w:p>
      <w:pPr>
        <w:pStyle w:val="Cabealho2"/>
        <w:keepNext/>
        <w:spacing w:before="320" w:after="160"/>
      </w:pPr>
      <w:bookmarkStart w:id="186" w:name="_Toc_diag"/>
      <w:r>
        <w:t xml:space="preserve">Diagnóstico Operacional e Limitações</w:t>
      </w:r>
      <w:bookmarkEnd w:id="186"/>
    </w:p>
    <w:p>
      <w:r>
        <w:t xml:space="preserve">Durante o desenvolvimento foram identificadas e mitigadas duas situações operacionais relevantes:</w:t>
      </w:r>
    </w:p>
    <w:p>
      <w:pPr>
        <w:pStyle w:val="PargrafodaLista"/>
        <w:numPr>
          <w:ilvl w:val="0"/>
          <w:numId w:val="3"/>
        </w:numPr>
        <w:spacing w:after="60"/>
        <w:contextualSpacing w:val="0"/>
      </w:pPr>
      <w:r>
        <w:rPr>
          <w:b/>
          <w:bCs/>
        </w:rPr>
        <w:t xml:space="preserve">Limitação de tráfego das APIs (HTTP 429).</w:t>
      </w:r>
      <w:r>
        <w:t xml:space="preserve"> Execuções manuais repetidas em curtos intervalos originam bloqueios temporários, com código de estado </w:t>
      </w:r>
      <w:r>
        <w:rPr>
          <w:rFonts w:ascii="Courier New" w:hAnsi="Courier New" w:cs="Courier New"/>
          <w:sz w:val="21"/>
          <w:szCs w:val="21"/>
        </w:rPr>
        <w:t xml:space="preserve">429 Too Many Requests</w:t>
      </w:r>
      <w:r>
        <w:t xml:space="preserve">, nas APIs da Reed e da Postcodes.io. As respostas inválidas daí resultantes são filtradas a montante, pelo filtro de qualidade do nó Normal Data e pela validação de estrutura do nó Rebuild Params, o que impede que cheguem erros à fila e à BD e mantém o indicador </w:t>
      </w:r>
      <w:r>
        <w:rPr>
          <w:i/>
          <w:iCs/>
        </w:rPr>
        <w:t xml:space="preserve">Queue</w:t>
      </w:r>
      <w:r>
        <w:t xml:space="preserve"> do nó PostgreSQL a zero;</w:t>
      </w:r>
    </w:p>
    <w:p>
      <w:pPr>
        <w:pStyle w:val="PargrafodaLista"/>
        <w:numPr>
          <w:ilvl w:val="0"/>
          <w:numId w:val="3"/>
        </w:numPr>
        <w:spacing w:after="60"/>
        <w:contextualSpacing w:val="0"/>
      </w:pPr>
      <w:r>
        <w:rPr>
          <w:b/>
          <w:bCs/>
        </w:rPr>
        <w:t xml:space="preserve">Sensibilidade a maiúsculas no PostgreSQL.</w:t>
      </w:r>
      <w:r>
        <w:t xml:space="preserve"> O motor normaliza para minúsculas os identificadores não delimitados por aspas. Os nomes das colunas da tabela </w:t>
      </w:r>
      <w:r>
        <w:rPr>
          <w:rFonts w:ascii="Courier New" w:hAnsi="Courier New" w:cs="Courier New"/>
          <w:sz w:val="21"/>
          <w:szCs w:val="21"/>
        </w:rPr>
        <w:t xml:space="preserve">vagas_nodered</w:t>
      </w:r>
      <w:r>
        <w:t xml:space="preserve"> foram, por isso, declarados em minúsculas e sem aspas na instrução do nó TechPowerPostgres, ao contrário dos da tabela </w:t>
      </w:r>
      <w:r>
        <w:rPr>
          <w:rFonts w:ascii="Courier New" w:hAnsi="Courier New" w:cs="Courier New"/>
          <w:sz w:val="21"/>
          <w:szCs w:val="21"/>
        </w:rPr>
        <w:t xml:space="preserve">ofertas_emprego</w:t>
      </w:r>
      <w:r>
        <w:t xml:space="preserve">, criada pelo KNIME com nomes em maiúsculas e minúsculas, que exigem aspas duplas nas consultas do Grafana.</w:t>
      </w:r>
    </w:p>
    <w:p>
      <w:pPr>
        <w:pStyle w:val="Cabealho1"/>
        <w:keepNext/>
        <w:pageBreakBefore/>
        <w:spacing w:before="480" w:after="240"/>
      </w:pPr>
      <w:bookmarkStart w:id="187" w:name="_Toc_cap5"/>
      <w:r>
        <w:t xml:space="preserve">Visualização Analítica e Discussão de Resultados</w:t>
      </w:r>
      <w:bookmarkEnd w:id="187"/>
    </w:p>
    <w:p>
      <w:r>
        <w:t xml:space="preserve">Este capítulo apresenta a componente final da fase «L»: a visualização dinâmica dos dados persistidos, realizada no Grafana. Descrevem-se a ligação à BD, o processo de construção de um painel, os quatro painéis do </w:t>
      </w:r>
      <w:r>
        <w:rPr>
          <w:i/>
          <w:iCs/>
        </w:rPr>
        <w:t xml:space="preserve">dashboard</w:t>
      </w:r>
      <w:r>
        <w:t xml:space="preserve"> e a discussão dos resultados obtidos.</w:t>
      </w:r>
    </w:p>
    <w:p>
      <w:pPr>
        <w:pStyle w:val="Cabealho2"/>
        <w:keepNext/>
        <w:spacing w:before="320" w:after="160"/>
      </w:pPr>
      <w:bookmarkStart w:id="188" w:name="_Toc_vars"/>
      <w:r>
        <w:t xml:space="preserve">Ligação do Grafana à Base de Dados</w:t>
      </w:r>
      <w:bookmarkEnd w:id="188"/>
    </w:p>
    <w:p>
      <w:r>
        <w:t xml:space="preserve">O Grafana, executado no contentor </w:t>
      </w:r>
      <w:r>
        <w:rPr>
          <w:rFonts w:ascii="Courier New" w:hAnsi="Courier New" w:cs="Courier New"/>
          <w:sz w:val="21"/>
          <w:szCs w:val="21"/>
        </w:rPr>
        <w:t xml:space="preserve">tech_power_grafana</w:t>
      </w:r>
      <w:r>
        <w:t xml:space="preserve">, foi ligado ao PostgreSQL através de uma fonte de dados do tipo </w:t>
      </w:r>
      <w:r>
        <w:rPr>
          <w:i/>
          <w:iCs/>
        </w:rPr>
        <w:t xml:space="preserve">PostgreSQL</w:t>
      </w:r>
      <w:r>
        <w:t xml:space="preserve">, designada </w:t>
      </w:r>
      <w:r>
        <w:rPr>
          <w:rFonts w:ascii="Courier New" w:hAnsi="Courier New" w:cs="Courier New"/>
          <w:sz w:val="21"/>
          <w:szCs w:val="21"/>
        </w:rPr>
        <w:t xml:space="preserve">grafana-postgresql-datasource-1</w:t>
      </w:r>
      <w:r>
        <w:t xml:space="preserve"> e apontada à BD </w:t>
      </w:r>
      <w:r>
        <w:rPr>
          <w:rFonts w:ascii="Courier New" w:hAnsi="Courier New" w:cs="Courier New"/>
          <w:sz w:val="21"/>
          <w:szCs w:val="21"/>
        </w:rPr>
        <w:t xml:space="preserve">tech_purchasing_power</w:t>
      </w:r>
      <w:r>
        <w:t xml:space="preserve"> do contentor </w:t>
      </w:r>
      <w:r>
        <w:rPr>
          <w:rFonts w:ascii="Courier New" w:hAnsi="Courier New" w:cs="Courier New"/>
          <w:sz w:val="21"/>
          <w:szCs w:val="21"/>
        </w:rPr>
        <w:t xml:space="preserve">tech_power_db</w:t>
      </w:r>
      <w:r>
        <w:t xml:space="preserve">. Todos os painéis consultam a tabela </w:t>
      </w:r>
      <w:r>
        <w:rPr>
          <w:rFonts w:ascii="Courier New" w:hAnsi="Courier New" w:cs="Courier New"/>
          <w:sz w:val="21"/>
          <w:szCs w:val="21"/>
        </w:rPr>
        <w:t xml:space="preserve">ofertas_emprego</w:t>
      </w:r>
      <w:r>
        <w:t xml:space="preserve">, que é a base analítica enriquecida pela via em lote.</w:t>
      </w:r>
    </w:p>
    <w:p>
      <w:r>
        <w:t xml:space="preserve">A filtragem dos dados é feita </w:t>
      </w:r>
      <w:r>
        <w:rPr>
          <w:b/>
          <w:bCs/>
        </w:rPr>
        <w:t xml:space="preserve">ao nível de cada consulta</w:t>
      </w:r>
      <w:r>
        <w:t xml:space="preserve">, através de cláusulas </w:t>
      </w:r>
      <w:r>
        <w:rPr>
          <w:rFonts w:ascii="Courier New" w:hAnsi="Courier New" w:cs="Courier New"/>
          <w:sz w:val="21"/>
          <w:szCs w:val="21"/>
        </w:rPr>
        <w:t xml:space="preserve">WHERE</w:t>
      </w:r>
      <w:r>
        <w:t xml:space="preserve"> e </w:t>
      </w:r>
      <w:r>
        <w:rPr>
          <w:rFonts w:ascii="Courier New" w:hAnsi="Courier New" w:cs="Courier New"/>
          <w:sz w:val="21"/>
          <w:szCs w:val="21"/>
        </w:rPr>
        <w:t xml:space="preserve">GROUP BY</w:t>
      </w:r>
      <w:r>
        <w:t xml:space="preserve"> escritas diretamente em SQL, e não através de variáveis de </w:t>
      </w:r>
      <w:r>
        <w:rPr>
          <w:i/>
          <w:iCs/>
        </w:rPr>
        <w:t xml:space="preserve">dashboard</w:t>
      </w:r>
      <w:r>
        <w:t xml:space="preserve">. Esta opção mantém cada painel autónomo e legível, mas implica que o utilizador não possa restringir interativamente o conjunto de países ou de níveis de experiência apresentados. A introdução de variáveis do tipo </w:t>
      </w:r>
      <w:r>
        <w:rPr>
          <w:i/>
          <w:iCs/>
        </w:rPr>
        <w:t xml:space="preserve">Query</w:t>
      </w:r>
      <w:r>
        <w:t xml:space="preserve">, que permitiriam essa filtragem transversal, é apontada como trabalho futuro na secção </w:t>
      </w:r>
      <w:r>
        <w:t xml:space="preserve">7.2</w:t>
      </w:r>
      <w:r>
        <w:t xml:space="preserve">.</w:t>
      </w:r>
    </w:p>
    <w:p>
      <w:pPr>
        <w:pStyle w:val="Cabealho2"/>
        <w:keepNext/>
        <w:spacing w:before="320" w:after="160"/>
      </w:pPr>
      <w:bookmarkStart w:id="189" w:name="_Toc_config"/>
      <w:r>
        <w:t xml:space="preserve">Processo de Configuração de um Painel</w:t>
      </w:r>
      <w:bookmarkEnd w:id="189"/>
    </w:p>
    <w:p>
      <w:r>
        <w:t xml:space="preserve">A construção de cada painel seguiu sempre o mesmo processo, ilustrado na </w:t>
      </w:r>
      <w:r>
        <w:fldChar w:fldCharType="begin"/>
      </w:r>
      <w:r>
        <w:instrText xml:space="preserve"> REF _RefFig_gchart \h </w:instrText>
      </w:r>
      <w:r>
        <w:fldChar w:fldCharType="separate"/>
      </w:r>
      <w:r>
        <w:t xml:space="preserve">Figura 17</w:t>
      </w:r>
      <w:r>
        <w:fldChar w:fldCharType="end"/>
      </w:r>
      <w:r>
        <w:t xml:space="preserve"> e na </w:t>
      </w:r>
      <w:r>
        <w:fldChar w:fldCharType="begin"/>
      </w:r>
      <w:r>
        <w:instrText xml:space="preserve"> REF _RefFig_gquery \h </w:instrText>
      </w:r>
      <w:r>
        <w:fldChar w:fldCharType="separate"/>
      </w:r>
      <w:r>
        <w:t xml:space="preserve">Figura 18</w:t>
      </w:r>
      <w:r>
        <w:fldChar w:fldCharType="end"/>
      </w:r>
      <w:r>
        <w:t xml:space="preserve"> para o painel </w:t>
      </w:r>
      <w:r>
        <w:rPr>
          <w:i/>
          <w:iCs/>
        </w:rPr>
        <w:t xml:space="preserve">Top 10 Países com Maior Poupança Anual</w:t>
      </w:r>
      <w:r>
        <w:t xml:space="preserve">. Em primeiro lugar, seleciona-se o tipo de visualização no painel lateral direito — no caso, </w:t>
      </w:r>
      <w:r>
        <w:rPr>
          <w:i/>
          <w:iCs/>
        </w:rPr>
        <w:t xml:space="preserve">Bar chart</w:t>
      </w:r>
      <w:r>
        <w:t xml:space="preserve"> com orientação horizontal — e define-se o título e a descrição que documenta o painel para quem o consulta.</w:t>
      </w:r>
    </w:p>
    <w:p>
      <w:pPr>
        <w:keepNext/>
        <w:spacing w:before="120" w:after="0" w:line="240" w:lineRule="auto"/>
        <w:ind w:firstLine="0"/>
        <w:jc w:val="center"/>
      </w:pPr>
      <w:r>
        <w:rPr>
          <w:noProof/>
        </w:rPr>
        <w:drawing>
          <wp:inline distT="0" distB="0" distL="0" distR="0">
            <wp:extent cx="5580000" cy="1868493"/>
            <wp:effectExtent l="0" t="0" r="0" b="0"/>
            <wp:docPr id="117" name="Imagem 117" descr="Captura de ecrã do editor de painel do Grafana, com o gráfico de barras horizontais Top 10 Países com Maior Poupança Anual e o painel lateral de opções de visualiz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m 117"/>
                    <pic:cNvPicPr/>
                  </pic:nvPicPr>
                  <pic:blipFill>
                    <a:blip r:embed="rId216"/>
                    <a:stretch>
                      <a:fillRect/>
                    </a:stretch>
                  </pic:blipFill>
                  <pic:spPr>
                    <a:xfrm>
                      <a:off x="0" y="0"/>
                      <a:ext cx="5580000" cy="1868493"/>
                    </a:xfrm>
                    <a:prstGeom prst="rect">
                      <a:avLst/>
                    </a:prstGeom>
                    <a:ln w="6350">
                      <a:solidFill>
                        <a:srgbClr val="A6A6A6"/>
                      </a:solidFill>
                    </a:ln>
                  </pic:spPr>
                </pic:pic>
              </a:graphicData>
            </a:graphic>
          </wp:inline>
        </w:drawing>
      </w:r>
    </w:p>
    <w:p>
      <w:pPr>
        <w:pStyle w:val="Legenda"/>
        <w:spacing w:before="80" w:after="240"/>
      </w:pPr>
      <w:bookmarkStart w:id="190" w:name="_TocCapFgchart"/>
      <w:bookmarkStart w:id="191" w:name="_RefFig_gchart"/>
      <w:r>
        <w:t xml:space="preserve">Figura </w:t>
      </w:r>
      <w:r>
        <w:fldChar w:fldCharType="begin"/>
      </w:r>
      <w:r>
        <w:instrText xml:space="preserve"> SEQ Figura \* ARABIC </w:instrText>
      </w:r>
      <w:r>
        <w:fldChar w:fldCharType="separate"/>
      </w:r>
      <w:r>
        <w:rPr>
          <w:noProof/>
        </w:rPr>
        <w:t>17</w:t>
      </w:r>
      <w:r>
        <w:fldChar w:fldCharType="end"/>
      </w:r>
      <w:bookmarkEnd w:id="191"/>
      <w:r>
        <w:t xml:space="preserve">: Configuração da visualização de um painel no Grafana.</w:t>
      </w:r>
      <w:bookmarkEnd w:id="190"/>
    </w:p>
    <w:p>
      <w:r>
        <w:t xml:space="preserve">Em segundo lugar, define-se a consulta no separador </w:t>
      </w:r>
      <w:r>
        <w:rPr>
          <w:i/>
          <w:iCs/>
        </w:rPr>
        <w:t xml:space="preserve">Queries</w:t>
      </w:r>
      <w:r>
        <w:t xml:space="preserve">, apresentado na </w:t>
      </w:r>
      <w:r>
        <w:fldChar w:fldCharType="begin"/>
      </w:r>
      <w:r>
        <w:instrText xml:space="preserve"> REF _RefFig_gquery \h </w:instrText>
      </w:r>
      <w:r>
        <w:fldChar w:fldCharType="separate"/>
      </w:r>
      <w:r>
        <w:t xml:space="preserve">Figura 18</w:t>
      </w:r>
      <w:r>
        <w:fldChar w:fldCharType="end"/>
      </w:r>
      <w:r>
        <w:t xml:space="preserve">. Seleciona-se a fonte de dados </w:t>
      </w:r>
      <w:r>
        <w:rPr>
          <w:rFonts w:ascii="Courier New" w:hAnsi="Courier New" w:cs="Courier New"/>
          <w:sz w:val="21"/>
          <w:szCs w:val="21"/>
        </w:rPr>
        <w:t xml:space="preserve">grafana-postgresql-datasource-1</w:t>
      </w:r>
      <w:r>
        <w:t xml:space="preserve">, escolhe-se o formato de resposta </w:t>
      </w:r>
      <w:r>
        <w:rPr>
          <w:rFonts w:ascii="Courier New" w:hAnsi="Courier New" w:cs="Courier New"/>
          <w:sz w:val="21"/>
          <w:szCs w:val="21"/>
        </w:rPr>
        <w:t xml:space="preserve">Table</w:t>
      </w:r>
      <w:r>
        <w:t xml:space="preserve"> e alterna-se o editor para o modo </w:t>
      </w:r>
      <w:r>
        <w:rPr>
          <w:i/>
          <w:iCs/>
        </w:rPr>
        <w:t xml:space="preserve">Code</w:t>
      </w:r>
      <w:r>
        <w:t xml:space="preserve">, que permite escrever SQL diretamente em vez de usar o construtor visual. O botão </w:t>
      </w:r>
      <w:r>
        <w:rPr>
          <w:i/>
          <w:iCs/>
        </w:rPr>
        <w:t xml:space="preserve">Run query</w:t>
      </w:r>
      <w:r>
        <w:t xml:space="preserve"> permite validar o resultado antes de guardar.</w:t>
      </w:r>
    </w:p>
    <w:p>
      <w:pPr>
        <w:keepNext/>
        <w:spacing w:before="120" w:after="0" w:line="240" w:lineRule="auto"/>
        <w:ind w:firstLine="0"/>
        <w:jc w:val="center"/>
      </w:pPr>
      <w:r>
        <w:rPr>
          <w:noProof/>
        </w:rPr>
        <w:drawing>
          <wp:inline distT="0" distB="0" distL="0" distR="0">
            <wp:extent cx="5832000" cy="1504745"/>
            <wp:effectExtent l="0" t="0" r="0" b="0"/>
            <wp:docPr id="118" name="Imagem 118" descr="Captura de ecrã do separador Queries do Grafana, mostrando a fonte de dados PostgreSQL, o formato Table, o modo Code e a consulta SQL do pai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m 118"/>
                    <pic:cNvPicPr/>
                  </pic:nvPicPr>
                  <pic:blipFill>
                    <a:blip r:embed="rId217"/>
                    <a:stretch>
                      <a:fillRect/>
                    </a:stretch>
                  </pic:blipFill>
                  <pic:spPr>
                    <a:xfrm>
                      <a:off x="0" y="0"/>
                      <a:ext cx="5832000" cy="1504745"/>
                    </a:xfrm>
                    <a:prstGeom prst="rect">
                      <a:avLst/>
                    </a:prstGeom>
                    <a:ln w="6350">
                      <a:solidFill>
                        <a:srgbClr val="A6A6A6"/>
                      </a:solidFill>
                    </a:ln>
                  </pic:spPr>
                </pic:pic>
              </a:graphicData>
            </a:graphic>
          </wp:inline>
        </w:drawing>
      </w:r>
    </w:p>
    <w:p>
      <w:pPr>
        <w:pStyle w:val="Legenda"/>
        <w:spacing w:before="80" w:after="240"/>
      </w:pPr>
      <w:bookmarkStart w:id="192" w:name="_TocCapFgquery"/>
      <w:bookmarkStart w:id="193" w:name="_RefFig_gquery"/>
      <w:r>
        <w:t xml:space="preserve">Figura </w:t>
      </w:r>
      <w:r>
        <w:fldChar w:fldCharType="begin"/>
      </w:r>
      <w:r>
        <w:instrText xml:space="preserve"> SEQ Figura \* ARABIC </w:instrText>
      </w:r>
      <w:r>
        <w:fldChar w:fldCharType="separate"/>
      </w:r>
      <w:r>
        <w:rPr>
          <w:noProof/>
        </w:rPr>
        <w:t>18</w:t>
      </w:r>
      <w:r>
        <w:fldChar w:fldCharType="end"/>
      </w:r>
      <w:bookmarkEnd w:id="193"/>
      <w:r>
        <w:t xml:space="preserve">: Editor de consultas SQL de um painel no Grafana.</w:t>
      </w:r>
      <w:bookmarkEnd w:id="192"/>
    </w:p>
    <w:p>
      <w:r>
        <w:t xml:space="preserve">Dois detalhes de implementação merecem nota. O primeiro é a necessidade de delimitar os nomes das colunas com aspas duplas, uma vez que a tabela </w:t>
      </w:r>
      <w:r>
        <w:rPr>
          <w:rFonts w:ascii="Courier New" w:hAnsi="Courier New" w:cs="Courier New"/>
          <w:sz w:val="21"/>
          <w:szCs w:val="21"/>
        </w:rPr>
        <w:t xml:space="preserve">ofertas_emprego</w:t>
      </w:r>
      <w:r>
        <w:t xml:space="preserve"> foi criada pelo KNIME com nomes que combinam maiúsculas e minúsculas e incluem acentos e o símbolo do euro, como </w:t>
      </w:r>
      <w:r>
        <w:rPr>
          <w:rFonts w:ascii="Courier New" w:hAnsi="Courier New" w:cs="Courier New"/>
          <w:sz w:val="21"/>
          <w:szCs w:val="21"/>
        </w:rPr>
        <w:t xml:space="preserve">"Poupança Anual Estimada (€)"</w:t>
      </w:r>
      <w:r>
        <w:t xml:space="preserve">. O segundo é a conversão explícita de tipo na função de arredondamento, </w:t>
      </w:r>
      <w:r>
        <w:rPr>
          <w:rFonts w:ascii="Courier New" w:hAnsi="Courier New" w:cs="Courier New"/>
          <w:sz w:val="21"/>
          <w:szCs w:val="21"/>
        </w:rPr>
        <w:t xml:space="preserve">ROUND(AVG(...)::numeric, 2)</w:t>
      </w:r>
      <w:r>
        <w:t xml:space="preserve">, exigida pelo PostgreSQL porque a função </w:t>
      </w:r>
      <w:r>
        <w:rPr>
          <w:rFonts w:ascii="Courier New" w:hAnsi="Courier New" w:cs="Courier New"/>
          <w:sz w:val="21"/>
          <w:szCs w:val="21"/>
        </w:rPr>
        <w:t xml:space="preserve">ROUND</w:t>
      </w:r>
      <w:r>
        <w:t xml:space="preserve"> com casas decimais não aceita o tipo </w:t>
      </w:r>
      <w:r>
        <w:rPr>
          <w:rFonts w:ascii="Courier New" w:hAnsi="Courier New" w:cs="Courier New"/>
          <w:sz w:val="21"/>
          <w:szCs w:val="21"/>
        </w:rPr>
        <w:t xml:space="preserve">double precision</w:t>
      </w:r>
      <w:r>
        <w:t xml:space="preserve"> usado nas colunas numéricas.</w:t>
      </w:r>
    </w:p>
    <w:p>
      <w:pPr>
        <w:pStyle w:val="Cabealho2"/>
        <w:keepNext/>
        <w:spacing w:before="320" w:after="160"/>
      </w:pPr>
      <w:bookmarkStart w:id="194" w:name="_Toc_paineis"/>
      <w:r>
        <w:t xml:space="preserve">Análise dos Painéis do Dashboard Tech Power Purchasing</w:t>
      </w:r>
      <w:bookmarkEnd w:id="194"/>
    </w:p>
    <w:p>
      <w:r>
        <w:t xml:space="preserve">O </w:t>
      </w:r>
      <w:r>
        <w:rPr>
          <w:i/>
          <w:iCs/>
        </w:rPr>
        <w:t xml:space="preserve">dashboard</w:t>
      </w:r>
      <w:r>
        <w:t xml:space="preserve"> </w:t>
      </w:r>
      <w:r>
        <w:rPr>
          <w:i/>
          <w:iCs/>
        </w:rPr>
        <w:t xml:space="preserve">Tech Power Purchasing</w:t>
      </w:r>
      <w:r>
        <w:t xml:space="preserve">, apresentado na </w:t>
      </w:r>
      <w:r>
        <w:fldChar w:fldCharType="begin"/>
      </w:r>
      <w:r>
        <w:instrText xml:space="preserve"> REF _RefFig_dash \h </w:instrText>
      </w:r>
      <w:r>
        <w:fldChar w:fldCharType="separate"/>
      </w:r>
      <w:r>
        <w:t xml:space="preserve">Figura 19</w:t>
      </w:r>
      <w:r>
        <w:fldChar w:fldCharType="end"/>
      </w:r>
      <w:r>
        <w:t xml:space="preserve">, é composto por quatro painéis, dispostos numa grelha de dois por dois. Cada painel tem a sua própria consulta, agrupada por país e, num dos casos, também por nível de experiência. As consultas apresentadas nas subsecções seguintes são as efetivamente utilizadas, exportadas do </w:t>
      </w:r>
      <w:r>
        <w:rPr>
          <w:i/>
          <w:iCs/>
        </w:rPr>
        <w:t xml:space="preserve">dashboard</w:t>
      </w:r>
      <w:r>
        <w:t xml:space="preserve">.</w:t>
      </w:r>
    </w:p>
    <w:p>
      <w:pPr>
        <w:keepNext/>
        <w:spacing w:before="120" w:after="0" w:line="240" w:lineRule="auto"/>
        <w:ind w:firstLine="0"/>
        <w:jc w:val="center"/>
      </w:pPr>
      <w:r>
        <w:rPr>
          <w:noProof/>
        </w:rPr>
        <w:drawing>
          <wp:inline distT="0" distB="0" distL="0" distR="0">
            <wp:extent cx="5760000" cy="2877184"/>
            <wp:effectExtent l="0" t="0" r="0" b="0"/>
            <wp:docPr id="119" name="Imagem 119" descr="Dashboard do Grafana com quatro painéis: Top 10 Países com Maior Poupança Anual, Poder de Compra – Média Salarial Anual, Salários por País e Senioridade e Distribuição de Vagas por Paí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m 119"/>
                    <pic:cNvPicPr/>
                  </pic:nvPicPr>
                  <pic:blipFill>
                    <a:blip r:embed="rId218"/>
                    <a:stretch>
                      <a:fillRect/>
                    </a:stretch>
                  </pic:blipFill>
                  <pic:spPr>
                    <a:xfrm>
                      <a:off x="0" y="0"/>
                      <a:ext cx="5760000" cy="2877184"/>
                    </a:xfrm>
                    <a:prstGeom prst="rect">
                      <a:avLst/>
                    </a:prstGeom>
                    <a:ln w="6350">
                      <a:solidFill>
                        <a:srgbClr val="A6A6A6"/>
                      </a:solidFill>
                    </a:ln>
                  </pic:spPr>
                </pic:pic>
              </a:graphicData>
            </a:graphic>
          </wp:inline>
        </w:drawing>
      </w:r>
    </w:p>
    <w:p>
      <w:pPr>
        <w:pStyle w:val="Legenda"/>
        <w:spacing w:before="80" w:after="240"/>
      </w:pPr>
      <w:bookmarkStart w:id="195" w:name="_TocCapFdash"/>
      <w:bookmarkStart w:id="196" w:name="_RefFig_dash"/>
      <w:r>
        <w:t xml:space="preserve">Figura </w:t>
      </w:r>
      <w:r>
        <w:fldChar w:fldCharType="begin"/>
      </w:r>
      <w:r>
        <w:instrText xml:space="preserve"> SEQ Figura \* ARABIC </w:instrText>
      </w:r>
      <w:r>
        <w:fldChar w:fldCharType="separate"/>
      </w:r>
      <w:r>
        <w:rPr>
          <w:noProof/>
        </w:rPr>
        <w:t>19</w:t>
      </w:r>
      <w:r>
        <w:fldChar w:fldCharType="end"/>
      </w:r>
      <w:bookmarkEnd w:id="196"/>
      <w:r>
        <w:t xml:space="preserve">: Dashboard Tech Power Purchasing no Grafana.</w:t>
      </w:r>
      <w:bookmarkEnd w:id="195"/>
    </w:p>
    <w:p>
      <w:pPr>
        <w:pStyle w:val="Cabealho3"/>
        <w:keepNext/>
        <w:spacing w:before="200" w:after="100"/>
      </w:pPr>
      <w:bookmarkStart w:id="197" w:name="_Toc_p1"/>
      <w:r>
        <w:t xml:space="preserve">Top 10 Países com Maior Poupança Anual</w:t>
      </w:r>
      <w:bookmarkEnd w:id="197"/>
    </w:p>
    <w:p>
      <w:r>
        <w:t xml:space="preserve">Este gráfico de barras horizontais ordena os países pela poupança média anual estimada, resultante de uma agregação (</w:t>
      </w:r>
      <w:r>
        <w:rPr>
          <w:rFonts w:ascii="Courier New" w:hAnsi="Courier New" w:cs="Courier New"/>
          <w:sz w:val="21"/>
          <w:szCs w:val="21"/>
        </w:rPr>
        <w:t xml:space="preserve">AVG</w:t>
      </w:r>
      <w:r>
        <w:t xml:space="preserve">) agrupada por país. A consulta efetivamente utilizada, visível na </w:t>
      </w:r>
      <w:r>
        <w:fldChar w:fldCharType="begin"/>
      </w:r>
      <w:r>
        <w:instrText xml:space="preserve"> REF _RefFig_gquery \h </w:instrText>
      </w:r>
      <w:r>
        <w:fldChar w:fldCharType="separate"/>
      </w:r>
      <w:r>
        <w:t xml:space="preserve">Figura 18</w:t>
      </w:r>
      <w:r>
        <w:fldChar w:fldCharType="end"/>
      </w:r>
      <w:r>
        <w:t xml:space="preserve">, descarta os registos sem poupança calculada:</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SELECT</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"Pais_Numbeo" as "País",</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ROUND(AVG("Poupança Anual Estimada (€)")::numeric, 2) as "Poupança Média Anual (€)"</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FROM ofertas_emprego</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WHERE "Poupança Anual Estimada (€)" IS NOT NULL</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GROUP BY "Pais_Numbeo"</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ORDER BY "Poupança Média Anual (€)" DESC</w:t>
      </w:r>
    </w:p>
    <w:p>
      <w:pPr>
        <w:pStyle w:val="Code"/>
        <w:keepLines/>
        <w:shd w:val="clear" w:color="auto" w:fill="F2F2F2"/>
        <w:spacing w:before="0" w:after="160" w:line="240" w:lineRule="auto"/>
        <w:ind w:left="284" w:right="284" w:firstLine="0"/>
        <w:jc w:val="left"/>
      </w:pPr>
      <w:r>
        <w:rPr>
          <w:rFonts w:ascii="Courier New" w:hAnsi="Courier New" w:cs="Courier New"/>
          <w:sz w:val="18"/>
          <w:szCs w:val="18"/>
        </w:rPr>
        <w:t xml:space="preserve">LIMIT 10;</w:t>
      </w:r>
    </w:p>
    <w:p>
      <w:r>
        <w:t xml:space="preserve">Os Estados Unidos e o Canadá lideram, com valores acima dos 60 mil euros, seguidos pela Austrália e pela Alemanha. Seguem-se a França, os Países Baixos, o Reino Unido e o Japão, com valores próximos entre si, ficando Singapura e a Índia nas últimas posições. Este resultado evidencia o contributo do enriquecimento com os índices Numbeo: Singapura apresenta salários brutos elevados (ver painel seguinte), mas uma poupança estimada bastante inferior à dos restantes mercados de salário comparável, o que sugere que o custo de vida e da habitação absorve uma parte significativa do rendimento.</w:t>
      </w:r>
    </w:p>
    <w:p>
      <w:pPr>
        <w:pStyle w:val="Cabealho3"/>
        <w:keepNext/>
        <w:spacing w:before="200" w:after="100"/>
      </w:pPr>
      <w:bookmarkStart w:id="198" w:name="_Toc_p2"/>
      <w:r>
        <w:t xml:space="preserve">Poder de Compra – Média Salarial Anual</w:t>
      </w:r>
      <w:bookmarkEnd w:id="198"/>
    </w:p>
    <w:p>
      <w:r>
        <w:t xml:space="preserve">O gráfico circular representa o peso relativo da média salarial anual, em euros, de cada país:</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SELECT</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"Pais_Numbeo" as "País",</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ROUND(AVG("Salario_Euros")::numeric, 2) as "Salário Médio (€)"</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FROM ofertas_emprego</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WHERE "Salario_Euros" &gt; 0</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GROUP BY "Pais_Numbeo"</w:t>
      </w:r>
    </w:p>
    <w:p>
      <w:pPr>
        <w:pStyle w:val="Code"/>
        <w:keepLines/>
        <w:shd w:val="clear" w:color="auto" w:fill="F2F2F2"/>
        <w:spacing w:before="0" w:after="160" w:line="240" w:lineRule="auto"/>
        <w:ind w:left="284" w:right="284" w:firstLine="0"/>
        <w:jc w:val="left"/>
      </w:pPr>
      <w:r>
        <w:rPr>
          <w:rFonts w:ascii="Courier New" w:hAnsi="Courier New" w:cs="Courier New"/>
          <w:sz w:val="18"/>
          <w:szCs w:val="18"/>
        </w:rPr>
        <w:t xml:space="preserve">ORDER BY "Salário Médio (€)" DESC;</w:t>
      </w:r>
    </w:p>
    <w:p>
      <w:r>
        <w:t xml:space="preserve">Os Estados Unidos (14 %) e Singapura (13 %) apresentam as maiores fatias, seguidos da Austrália (12 %). Os restantes mercados situam-se entre 7 % e 11 %, com exceção da Índia, que ocupa a menor fatia. Este painel, lido em conjunto com o anterior, reforça a ideia central do trabalho: o salário bruto mais elevado não corresponde necessariamente à maior capacidade de poupança.</w:t>
      </w:r>
    </w:p>
    <w:p>
      <w:pPr>
        <w:pStyle w:val="Cabealho3"/>
        <w:keepNext/>
        <w:spacing w:before="200" w:after="100"/>
      </w:pPr>
      <w:bookmarkStart w:id="199" w:name="_Toc_p3"/>
      <w:r>
        <w:t xml:space="preserve">Salários por País e Senioridade</w:t>
      </w:r>
      <w:bookmarkEnd w:id="199"/>
    </w:p>
    <w:p>
      <w:r>
        <w:t xml:space="preserve">O gráfico de barras agrupadas compara quatro indicadores — total de vagas, salário mínimo, médio e máximo — combinando as funções de agregação </w:t>
      </w:r>
      <w:r>
        <w:rPr>
          <w:rFonts w:ascii="Courier New" w:hAnsi="Courier New" w:cs="Courier New"/>
          <w:sz w:val="21"/>
          <w:szCs w:val="21"/>
        </w:rPr>
        <w:t xml:space="preserve">COUNT</w:t>
      </w:r>
      <w:r>
        <w:t xml:space="preserve">, </w:t>
      </w:r>
      <w:r>
        <w:rPr>
          <w:rFonts w:ascii="Courier New" w:hAnsi="Courier New" w:cs="Courier New"/>
          <w:sz w:val="21"/>
          <w:szCs w:val="21"/>
        </w:rPr>
        <w:t xml:space="preserve">MIN</w:t>
      </w:r>
      <w:r>
        <w:t xml:space="preserve">, </w:t>
      </w:r>
      <w:r>
        <w:rPr>
          <w:rFonts w:ascii="Courier New" w:hAnsi="Courier New" w:cs="Courier New"/>
          <w:sz w:val="21"/>
          <w:szCs w:val="21"/>
        </w:rPr>
        <w:t xml:space="preserve">AVG</w:t>
      </w:r>
      <w:r>
        <w:t xml:space="preserve"> e </w:t>
      </w:r>
      <w:r>
        <w:rPr>
          <w:rFonts w:ascii="Courier New" w:hAnsi="Courier New" w:cs="Courier New"/>
          <w:sz w:val="21"/>
          <w:szCs w:val="21"/>
        </w:rPr>
        <w:t xml:space="preserve">MAX</w:t>
      </w:r>
      <w:r>
        <w:t xml:space="preserve">. Ao contrário dos restantes painéis, o agrupamento é </w:t>
      </w:r>
      <w:r>
        <w:rPr>
          <w:b/>
          <w:bCs/>
        </w:rPr>
        <w:t xml:space="preserve">duplo</w:t>
      </w:r>
      <w:r>
        <w:t xml:space="preserve">, por país e por nível de experiência, pelo que cada mercado surge no eixo tantas vezes quantos os níveis para os quais existem ofertas:</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SELECT</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"Pais_Numbeo" as "País",</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"Nivel_Experiencia" as "Senioridade",</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COUNT("Titulo_Vaga") as "Total de Vagas",</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ROUND(MIN("Salario_Euros")::numeric, 0) as "Salário Mínimo (€)",</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ROUND(AVG("Salario_Euros")::numeric, 0) as "Salário Médio (€)",</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ROUND(MAX("Salario_Euros")::numeric, 0) as "Salário Máximo (€)"</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FROM ofertas_emprego</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WHERE "Salario_Euros" &gt; 0</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GROUP BY "Pais_Numbeo", "Nivel_Experiencia"</w:t>
      </w:r>
    </w:p>
    <w:p>
      <w:pPr>
        <w:pStyle w:val="Code"/>
        <w:keepLines/>
        <w:shd w:val="clear" w:color="auto" w:fill="F2F2F2"/>
        <w:spacing w:before="0" w:after="160" w:line="240" w:lineRule="auto"/>
        <w:ind w:left="284" w:right="284" w:firstLine="0"/>
        <w:jc w:val="left"/>
      </w:pPr>
      <w:r>
        <w:rPr>
          <w:rFonts w:ascii="Courier New" w:hAnsi="Courier New" w:cs="Courier New"/>
          <w:sz w:val="18"/>
          <w:szCs w:val="18"/>
        </w:rPr>
        <w:t xml:space="preserve">ORDER BY "Salário Médio (€)" DESC;</w:t>
      </w:r>
    </w:p>
    <w:p>
      <w:r>
        <w:t xml:space="preserve">O salário médio e, sobretudo, o salário máximo são mais elevados nos Estados Unidos e em Singapura, seguidos da Austrália e do Canadá, enquanto a Índia se encontra entre os valores mais baixos. A amplitude entre o salário mínimo e o máximo é muito grande em todos os mercados, o que justifica a separação por nível de experiência neste painel.</w:t>
      </w:r>
    </w:p>
    <w:p>
      <w:pPr>
        <w:pStyle w:val="Cabealho3"/>
        <w:keepNext/>
        <w:spacing w:before="200" w:after="100"/>
      </w:pPr>
      <w:bookmarkStart w:id="200" w:name="_Toc_p4"/>
      <w:r>
        <w:t xml:space="preserve">Distribuição de Vagas por País</w:t>
      </w:r>
      <w:bookmarkEnd w:id="200"/>
    </w:p>
    <w:p>
      <w:r>
        <w:t xml:space="preserve">O painel de indicadores circulares (</w:t>
      </w:r>
      <w:r>
        <w:rPr>
          <w:i/>
          <w:iCs/>
        </w:rPr>
        <w:t xml:space="preserve">gauges</w:t>
      </w:r>
      <w:r>
        <w:t xml:space="preserve">) apresenta a contagem absoluta de ofertas por mercado, obtida com a consulta seguinte. Os valores observados encontram-se na </w:t>
      </w:r>
      <w:r>
        <w:fldChar w:fldCharType="begin"/>
      </w:r>
      <w:r>
        <w:instrText xml:space="preserve"> REF _RefTab_vagas \h </w:instrText>
      </w:r>
      <w:r>
        <w:fldChar w:fldCharType="separate"/>
      </w:r>
      <w:r>
        <w:t xml:space="preserve">Tabela 10</w:t>
      </w:r>
      <w:r>
        <w:fldChar w:fldCharType="end"/>
      </w:r>
      <w:r>
        <w:t xml:space="preserve">.</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SELECT</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"Pais_Numbeo" as "País",</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  COUNT("Titulo_Vaga") as "Total de Vagas"</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FROM ofertas_emprego</w:t>
      </w:r>
    </w:p>
    <w:p>
      <w:pPr>
        <w:pStyle w:val="Code"/>
        <w:keepNext/>
        <w:keepLines/>
        <w:shd w:val="clear" w:color="auto" w:fill="F2F2F2"/>
        <w:spacing w:before="0" w:after="0" w:line="240" w:lineRule="auto"/>
        <w:ind w:left="284" w:right="284" w:firstLine="0"/>
        <w:jc w:val="left"/>
      </w:pPr>
      <w:r>
        <w:rPr>
          <w:rFonts w:ascii="Courier New" w:hAnsi="Courier New" w:cs="Courier New"/>
          <w:sz w:val="18"/>
          <w:szCs w:val="18"/>
        </w:rPr>
        <w:t xml:space="preserve">GROUP BY "Pais_Numbeo"</w:t>
      </w:r>
    </w:p>
    <w:p>
      <w:pPr>
        <w:pStyle w:val="Code"/>
        <w:keepLines/>
        <w:shd w:val="clear" w:color="auto" w:fill="F2F2F2"/>
        <w:spacing w:before="0" w:after="160" w:line="240" w:lineRule="auto"/>
        <w:ind w:left="284" w:right="284" w:firstLine="0"/>
        <w:jc w:val="left"/>
      </w:pPr>
      <w:r>
        <w:rPr>
          <w:rFonts w:ascii="Courier New" w:hAnsi="Courier New" w:cs="Courier New"/>
          <w:sz w:val="18"/>
          <w:szCs w:val="18"/>
        </w:rPr>
        <w:t xml:space="preserve">ORDER BY "Total de Vagas" DESC;</w:t>
      </w:r>
    </w:p>
    <w:p>
      <w:pPr>
        <w:spacing w:before="0" w:after="0" w:line="120" w:lineRule="exact"/>
        <w:ind w:firstLine="0"/>
      </w:pPr>
    </w:p>
    <w:tbl>
      <w:tblPr>
        <w:tblStyle w:val="Tabelacomgrelha"/>
        <w:tblW w:w="9071" w:type="dxa"/>
        <w:jc w:val="center"/>
        <w:tblLayout w:type="fixed"/>
        <w:tblCellMar>
          <w:top w:w="30" w:type="dxa"/>
          <w:left w:w="100" w:type="dxa"/>
          <w:bottom w:w="30" w:type="dxa"/>
          <w:right w:w="100" w:type="dxa"/>
        </w:tblCellMar>
        <w:tblLook w:val="04A0" w:firstRow="1" w:lastRow="0" w:firstColumn="0" w:lastColumn="0" w:noHBand="0" w:noVBand="1"/>
      </w:tblPr>
      <w:tblGrid>
        <w:gridCol w:w="4271"/>
        <w:gridCol w:w="2400"/>
        <w:gridCol w:w="2400"/>
      </w:tblGrid>
      <w:tr>
        <w:trPr>
          <w:cantSplit/>
          <w:tblHeader/>
        </w:trPr>
        <w:tc>
          <w:tcPr>
            <w:tcW w:w="4271" w:type="dxa"/>
            <w:shd w:val="clear" w:color="auto" w:fill="D9D9D9"/>
            <w:vAlign w:val="center"/>
          </w:tcPr>
          <w:p>
            <w:pPr>
              <w:keepNext/>
              <w:spacing w:before="50" w:after="50" w:line="240" w:lineRule="auto"/>
              <w:ind w:firstLine="0"/>
              <w:jc w:val="center"/>
            </w:pPr>
            <w:r>
              <w:rPr>
                <w:b/>
                <w:bCs/>
                <w:sz w:val="20"/>
                <w:szCs w:val="20"/>
              </w:rPr>
              <w:t xml:space="preserve">País</w:t>
            </w:r>
          </w:p>
        </w:tc>
        <w:tc>
          <w:tcPr>
            <w:tcW w:w="2400" w:type="dxa"/>
            <w:shd w:val="clear" w:color="auto" w:fill="D9D9D9"/>
            <w:vAlign w:val="center"/>
          </w:tcPr>
          <w:p>
            <w:pPr>
              <w:keepNext/>
              <w:spacing w:before="50" w:after="50" w:line="240" w:lineRule="auto"/>
              <w:ind w:firstLine="0"/>
              <w:jc w:val="center"/>
            </w:pPr>
            <w:r>
              <w:rPr>
                <w:b/>
                <w:bCs/>
                <w:sz w:val="20"/>
                <w:szCs w:val="20"/>
              </w:rPr>
              <w:t xml:space="preserve">Vagas</w:t>
            </w:r>
          </w:p>
        </w:tc>
        <w:tc>
          <w:tcPr>
            <w:tcW w:w="2400" w:type="dxa"/>
            <w:shd w:val="clear" w:color="auto" w:fill="D9D9D9"/>
            <w:vAlign w:val="center"/>
          </w:tcPr>
          <w:p>
            <w:pPr>
              <w:keepNext/>
              <w:spacing w:before="50" w:after="50" w:line="240" w:lineRule="auto"/>
              <w:ind w:firstLine="0"/>
              <w:jc w:val="center"/>
            </w:pPr>
            <w:r>
              <w:rPr>
                <w:b/>
                <w:bCs/>
                <w:sz w:val="20"/>
                <w:szCs w:val="20"/>
              </w:rPr>
              <w:t xml:space="preserve">Fração do total</w:t>
            </w:r>
          </w:p>
        </w:tc>
      </w:tr>
      <w:tr>
        <w:trPr>
          <w:cantSplit/>
        </w:trPr>
        <w:tc>
          <w:tcPr>
            <w:tcW w:w="4271" w:type="dxa"/>
            <w:vAlign w:val="center"/>
          </w:tcPr>
          <w:p>
            <w:pPr>
              <w:keepNext/>
              <w:spacing w:before="50" w:after="50" w:line="240" w:lineRule="auto"/>
              <w:ind w:firstLine="0"/>
              <w:jc w:val="left"/>
            </w:pPr>
            <w:r>
              <w:rPr>
                <w:sz w:val="20"/>
                <w:szCs w:val="20"/>
              </w:rPr>
              <w:t xml:space="preserve">United Kingdom</w:t>
            </w:r>
          </w:p>
        </w:tc>
        <w:tc>
          <w:tcPr>
            <w:tcW w:w="2400" w:type="dxa"/>
            <w:vAlign w:val="center"/>
          </w:tcPr>
          <w:p>
            <w:pPr>
              <w:keepNext/>
              <w:spacing w:before="50" w:after="50" w:line="240" w:lineRule="auto"/>
              <w:ind w:firstLine="0"/>
              <w:jc w:val="right"/>
            </w:pPr>
            <w:r>
              <w:rPr>
                <w:sz w:val="20"/>
                <w:szCs w:val="20"/>
              </w:rPr>
              <w:t xml:space="preserve">20 224</w:t>
            </w:r>
          </w:p>
        </w:tc>
        <w:tc>
          <w:tcPr>
            <w:tcW w:w="2400" w:type="dxa"/>
            <w:vAlign w:val="center"/>
          </w:tcPr>
          <w:p>
            <w:pPr>
              <w:keepNext/>
              <w:spacing w:before="50" w:after="50" w:line="240" w:lineRule="auto"/>
              <w:ind w:firstLine="0"/>
              <w:jc w:val="right"/>
            </w:pPr>
            <w:r>
              <w:rPr>
                <w:sz w:val="20"/>
                <w:szCs w:val="20"/>
              </w:rPr>
              <w:t xml:space="preserve">10,1 %</w:t>
            </w:r>
          </w:p>
        </w:tc>
      </w:tr>
      <w:tr>
        <w:trPr>
          <w:cantSplit/>
        </w:trPr>
        <w:tc>
          <w:tcPr>
            <w:tcW w:w="4271" w:type="dxa"/>
            <w:vAlign w:val="center"/>
          </w:tcPr>
          <w:p>
            <w:pPr>
              <w:keepNext/>
              <w:spacing w:before="50" w:after="50" w:line="240" w:lineRule="auto"/>
              <w:ind w:firstLine="0"/>
              <w:jc w:val="left"/>
            </w:pPr>
            <w:r>
              <w:rPr>
                <w:sz w:val="20"/>
                <w:szCs w:val="20"/>
              </w:rPr>
              <w:t xml:space="preserve">France</w:t>
            </w:r>
          </w:p>
        </w:tc>
        <w:tc>
          <w:tcPr>
            <w:tcW w:w="2400" w:type="dxa"/>
            <w:vAlign w:val="center"/>
          </w:tcPr>
          <w:p>
            <w:pPr>
              <w:keepNext/>
              <w:spacing w:before="50" w:after="50" w:line="240" w:lineRule="auto"/>
              <w:ind w:firstLine="0"/>
              <w:jc w:val="right"/>
            </w:pPr>
            <w:r>
              <w:rPr>
                <w:sz w:val="20"/>
                <w:szCs w:val="20"/>
              </w:rPr>
              <w:t xml:space="preserve">20 171</w:t>
            </w:r>
          </w:p>
        </w:tc>
        <w:tc>
          <w:tcPr>
            <w:tcW w:w="2400" w:type="dxa"/>
            <w:vAlign w:val="center"/>
          </w:tcPr>
          <w:p>
            <w:pPr>
              <w:keepNext/>
              <w:spacing w:before="50" w:after="50" w:line="240" w:lineRule="auto"/>
              <w:ind w:firstLine="0"/>
              <w:jc w:val="right"/>
            </w:pPr>
            <w:r>
              <w:rPr>
                <w:sz w:val="20"/>
                <w:szCs w:val="20"/>
              </w:rPr>
              <w:t xml:space="preserve">10,1 %</w:t>
            </w:r>
          </w:p>
        </w:tc>
      </w:tr>
      <w:tr>
        <w:trPr>
          <w:cantSplit/>
        </w:trPr>
        <w:tc>
          <w:tcPr>
            <w:tcW w:w="4271" w:type="dxa"/>
            <w:vAlign w:val="center"/>
          </w:tcPr>
          <w:p>
            <w:pPr>
              <w:keepNext/>
              <w:spacing w:before="50" w:after="50" w:line="240" w:lineRule="auto"/>
              <w:ind w:firstLine="0"/>
              <w:jc w:val="left"/>
            </w:pPr>
            <w:r>
              <w:rPr>
                <w:sz w:val="20"/>
                <w:szCs w:val="20"/>
              </w:rPr>
              <w:t xml:space="preserve">Canada</w:t>
            </w:r>
          </w:p>
        </w:tc>
        <w:tc>
          <w:tcPr>
            <w:tcW w:w="2400" w:type="dxa"/>
            <w:vAlign w:val="center"/>
          </w:tcPr>
          <w:p>
            <w:pPr>
              <w:keepNext/>
              <w:spacing w:before="50" w:after="50" w:line="240" w:lineRule="auto"/>
              <w:ind w:firstLine="0"/>
              <w:jc w:val="right"/>
            </w:pPr>
            <w:r>
              <w:rPr>
                <w:sz w:val="20"/>
                <w:szCs w:val="20"/>
              </w:rPr>
              <w:t xml:space="preserve">20 113</w:t>
            </w:r>
          </w:p>
        </w:tc>
        <w:tc>
          <w:tcPr>
            <w:tcW w:w="2400" w:type="dxa"/>
            <w:vAlign w:val="center"/>
          </w:tcPr>
          <w:p>
            <w:pPr>
              <w:keepNext/>
              <w:spacing w:before="50" w:after="50" w:line="240" w:lineRule="auto"/>
              <w:ind w:firstLine="0"/>
              <w:jc w:val="right"/>
            </w:pPr>
            <w:r>
              <w:rPr>
                <w:sz w:val="20"/>
                <w:szCs w:val="20"/>
              </w:rPr>
              <w:t xml:space="preserve">10,1 %</w:t>
            </w:r>
          </w:p>
        </w:tc>
      </w:tr>
      <w:tr>
        <w:trPr>
          <w:cantSplit/>
        </w:trPr>
        <w:tc>
          <w:tcPr>
            <w:tcW w:w="4271" w:type="dxa"/>
            <w:vAlign w:val="center"/>
          </w:tcPr>
          <w:p>
            <w:pPr>
              <w:keepNext/>
              <w:spacing w:before="50" w:after="50" w:line="240" w:lineRule="auto"/>
              <w:ind w:firstLine="0"/>
              <w:jc w:val="left"/>
            </w:pPr>
            <w:r>
              <w:rPr>
                <w:sz w:val="20"/>
                <w:szCs w:val="20"/>
              </w:rPr>
              <w:t xml:space="preserve">Japan</w:t>
            </w:r>
          </w:p>
        </w:tc>
        <w:tc>
          <w:tcPr>
            <w:tcW w:w="2400" w:type="dxa"/>
            <w:vAlign w:val="center"/>
          </w:tcPr>
          <w:p>
            <w:pPr>
              <w:keepNext/>
              <w:spacing w:before="50" w:after="50" w:line="240" w:lineRule="auto"/>
              <w:ind w:firstLine="0"/>
              <w:jc w:val="right"/>
            </w:pPr>
            <w:r>
              <w:rPr>
                <w:sz w:val="20"/>
                <w:szCs w:val="20"/>
              </w:rPr>
              <w:t xml:space="preserve">20 069</w:t>
            </w:r>
          </w:p>
        </w:tc>
        <w:tc>
          <w:tcPr>
            <w:tcW w:w="2400" w:type="dxa"/>
            <w:vAlign w:val="center"/>
          </w:tcPr>
          <w:p>
            <w:pPr>
              <w:keepNext/>
              <w:spacing w:before="50" w:after="50" w:line="240" w:lineRule="auto"/>
              <w:ind w:firstLine="0"/>
              <w:jc w:val="right"/>
            </w:pPr>
            <w:r>
              <w:rPr>
                <w:sz w:val="20"/>
                <w:szCs w:val="20"/>
              </w:rPr>
              <w:t xml:space="preserve">10,0 %</w:t>
            </w:r>
          </w:p>
        </w:tc>
      </w:tr>
      <w:tr>
        <w:trPr>
          <w:cantSplit/>
        </w:trPr>
        <w:tc>
          <w:tcPr>
            <w:tcW w:w="4271" w:type="dxa"/>
            <w:vAlign w:val="center"/>
          </w:tcPr>
          <w:p>
            <w:pPr>
              <w:keepNext/>
              <w:spacing w:before="50" w:after="50" w:line="240" w:lineRule="auto"/>
              <w:ind w:firstLine="0"/>
              <w:jc w:val="left"/>
            </w:pPr>
            <w:r>
              <w:rPr>
                <w:sz w:val="20"/>
                <w:szCs w:val="20"/>
              </w:rPr>
              <w:t xml:space="preserve">Germany</w:t>
            </w:r>
          </w:p>
        </w:tc>
        <w:tc>
          <w:tcPr>
            <w:tcW w:w="2400" w:type="dxa"/>
            <w:vAlign w:val="center"/>
          </w:tcPr>
          <w:p>
            <w:pPr>
              <w:keepNext/>
              <w:spacing w:before="50" w:after="50" w:line="240" w:lineRule="auto"/>
              <w:ind w:firstLine="0"/>
              <w:jc w:val="right"/>
            </w:pPr>
            <w:r>
              <w:rPr>
                <w:sz w:val="20"/>
                <w:szCs w:val="20"/>
              </w:rPr>
              <w:t xml:space="preserve">20 015</w:t>
            </w:r>
          </w:p>
        </w:tc>
        <w:tc>
          <w:tcPr>
            <w:tcW w:w="2400" w:type="dxa"/>
            <w:vAlign w:val="center"/>
          </w:tcPr>
          <w:p>
            <w:pPr>
              <w:keepNext/>
              <w:spacing w:before="50" w:after="50" w:line="240" w:lineRule="auto"/>
              <w:ind w:firstLine="0"/>
              <w:jc w:val="right"/>
            </w:pPr>
            <w:r>
              <w:rPr>
                <w:sz w:val="20"/>
                <w:szCs w:val="20"/>
              </w:rPr>
              <w:t xml:space="preserve">10,0 %</w:t>
            </w:r>
          </w:p>
        </w:tc>
      </w:tr>
      <w:tr>
        <w:trPr>
          <w:cantSplit/>
        </w:trPr>
        <w:tc>
          <w:tcPr>
            <w:tcW w:w="4271" w:type="dxa"/>
            <w:vAlign w:val="center"/>
          </w:tcPr>
          <w:p>
            <w:pPr>
              <w:keepNext/>
              <w:spacing w:before="50" w:after="50" w:line="240" w:lineRule="auto"/>
              <w:ind w:firstLine="0"/>
              <w:jc w:val="left"/>
            </w:pPr>
            <w:r>
              <w:rPr>
                <w:sz w:val="20"/>
                <w:szCs w:val="20"/>
              </w:rPr>
              <w:t xml:space="preserve">Netherlands</w:t>
            </w:r>
          </w:p>
        </w:tc>
        <w:tc>
          <w:tcPr>
            <w:tcW w:w="2400" w:type="dxa"/>
            <w:vAlign w:val="center"/>
          </w:tcPr>
          <w:p>
            <w:pPr>
              <w:keepNext/>
              <w:spacing w:before="50" w:after="50" w:line="240" w:lineRule="auto"/>
              <w:ind w:firstLine="0"/>
              <w:jc w:val="right"/>
            </w:pPr>
            <w:r>
              <w:rPr>
                <w:sz w:val="20"/>
                <w:szCs w:val="20"/>
              </w:rPr>
              <w:t xml:space="preserve">20 010</w:t>
            </w:r>
          </w:p>
        </w:tc>
        <w:tc>
          <w:tcPr>
            <w:tcW w:w="2400" w:type="dxa"/>
            <w:vAlign w:val="center"/>
          </w:tcPr>
          <w:p>
            <w:pPr>
              <w:keepNext/>
              <w:spacing w:before="50" w:after="50" w:line="240" w:lineRule="auto"/>
              <w:ind w:firstLine="0"/>
              <w:jc w:val="right"/>
            </w:pPr>
            <w:r>
              <w:rPr>
                <w:sz w:val="20"/>
                <w:szCs w:val="20"/>
              </w:rPr>
              <w:t xml:space="preserve">10,0 %</w:t>
            </w:r>
          </w:p>
        </w:tc>
      </w:tr>
      <w:tr>
        <w:trPr>
          <w:cantSplit/>
        </w:trPr>
        <w:tc>
          <w:tcPr>
            <w:tcW w:w="4271" w:type="dxa"/>
            <w:vAlign w:val="center"/>
          </w:tcPr>
          <w:p>
            <w:pPr>
              <w:keepNext/>
              <w:spacing w:before="50" w:after="50" w:line="240" w:lineRule="auto"/>
              <w:ind w:firstLine="0"/>
              <w:jc w:val="left"/>
            </w:pPr>
            <w:r>
              <w:rPr>
                <w:sz w:val="20"/>
                <w:szCs w:val="20"/>
              </w:rPr>
              <w:t xml:space="preserve">Singapore</w:t>
            </w:r>
          </w:p>
        </w:tc>
        <w:tc>
          <w:tcPr>
            <w:tcW w:w="2400" w:type="dxa"/>
            <w:vAlign w:val="center"/>
          </w:tcPr>
          <w:p>
            <w:pPr>
              <w:keepNext/>
              <w:spacing w:before="50" w:after="50" w:line="240" w:lineRule="auto"/>
              <w:ind w:firstLine="0"/>
              <w:jc w:val="right"/>
            </w:pPr>
            <w:r>
              <w:rPr>
                <w:sz w:val="20"/>
                <w:szCs w:val="20"/>
              </w:rPr>
              <w:t xml:space="preserve">19 962</w:t>
            </w:r>
          </w:p>
        </w:tc>
        <w:tc>
          <w:tcPr>
            <w:tcW w:w="2400" w:type="dxa"/>
            <w:vAlign w:val="center"/>
          </w:tcPr>
          <w:p>
            <w:pPr>
              <w:keepNext/>
              <w:spacing w:before="50" w:after="50" w:line="240" w:lineRule="auto"/>
              <w:ind w:firstLine="0"/>
              <w:jc w:val="right"/>
            </w:pPr>
            <w:r>
              <w:rPr>
                <w:sz w:val="20"/>
                <w:szCs w:val="20"/>
              </w:rPr>
              <w:t xml:space="preserve">10,0 %</w:t>
            </w:r>
          </w:p>
        </w:tc>
      </w:tr>
      <w:tr>
        <w:trPr>
          <w:cantSplit/>
        </w:trPr>
        <w:tc>
          <w:tcPr>
            <w:tcW w:w="4271" w:type="dxa"/>
            <w:vAlign w:val="center"/>
          </w:tcPr>
          <w:p>
            <w:pPr>
              <w:keepNext/>
              <w:spacing w:before="50" w:after="50" w:line="240" w:lineRule="auto"/>
              <w:ind w:firstLine="0"/>
              <w:jc w:val="left"/>
            </w:pPr>
            <w:r>
              <w:rPr>
                <w:sz w:val="20"/>
                <w:szCs w:val="20"/>
              </w:rPr>
              <w:t xml:space="preserve">United States</w:t>
            </w:r>
          </w:p>
        </w:tc>
        <w:tc>
          <w:tcPr>
            <w:tcW w:w="2400" w:type="dxa"/>
            <w:vAlign w:val="center"/>
          </w:tcPr>
          <w:p>
            <w:pPr>
              <w:keepNext/>
              <w:spacing w:before="50" w:after="50" w:line="240" w:lineRule="auto"/>
              <w:ind w:firstLine="0"/>
              <w:jc w:val="right"/>
            </w:pPr>
            <w:r>
              <w:rPr>
                <w:sz w:val="20"/>
                <w:szCs w:val="20"/>
              </w:rPr>
              <w:t xml:space="preserve">19 914</w:t>
            </w:r>
          </w:p>
        </w:tc>
        <w:tc>
          <w:tcPr>
            <w:tcW w:w="2400" w:type="dxa"/>
            <w:vAlign w:val="center"/>
          </w:tcPr>
          <w:p>
            <w:pPr>
              <w:keepNext/>
              <w:spacing w:before="50" w:after="50" w:line="240" w:lineRule="auto"/>
              <w:ind w:firstLine="0"/>
              <w:jc w:val="right"/>
            </w:pPr>
            <w:r>
              <w:rPr>
                <w:sz w:val="20"/>
                <w:szCs w:val="20"/>
              </w:rPr>
              <w:t xml:space="preserve">10,0 %</w:t>
            </w:r>
          </w:p>
        </w:tc>
      </w:tr>
      <w:tr>
        <w:trPr>
          <w:cantSplit/>
        </w:trPr>
        <w:tc>
          <w:tcPr>
            <w:tcW w:w="4271" w:type="dxa"/>
            <w:vAlign w:val="center"/>
          </w:tcPr>
          <w:p>
            <w:pPr>
              <w:keepNext/>
              <w:spacing w:before="50" w:after="50" w:line="240" w:lineRule="auto"/>
              <w:ind w:firstLine="0"/>
              <w:jc w:val="left"/>
            </w:pPr>
            <w:r>
              <w:rPr>
                <w:sz w:val="20"/>
                <w:szCs w:val="20"/>
              </w:rPr>
              <w:t xml:space="preserve">India</w:t>
            </w:r>
          </w:p>
        </w:tc>
        <w:tc>
          <w:tcPr>
            <w:tcW w:w="2400" w:type="dxa"/>
            <w:vAlign w:val="center"/>
          </w:tcPr>
          <w:p>
            <w:pPr>
              <w:keepNext/>
              <w:spacing w:before="50" w:after="50" w:line="240" w:lineRule="auto"/>
              <w:ind w:firstLine="0"/>
              <w:jc w:val="right"/>
            </w:pPr>
            <w:r>
              <w:rPr>
                <w:sz w:val="20"/>
                <w:szCs w:val="20"/>
              </w:rPr>
              <w:t xml:space="preserve">19 799</w:t>
            </w:r>
          </w:p>
        </w:tc>
        <w:tc>
          <w:tcPr>
            <w:tcW w:w="2400" w:type="dxa"/>
            <w:vAlign w:val="center"/>
          </w:tcPr>
          <w:p>
            <w:pPr>
              <w:keepNext/>
              <w:spacing w:before="50" w:after="50" w:line="240" w:lineRule="auto"/>
              <w:ind w:firstLine="0"/>
              <w:jc w:val="right"/>
            </w:pPr>
            <w:r>
              <w:rPr>
                <w:sz w:val="20"/>
                <w:szCs w:val="20"/>
              </w:rPr>
              <w:t xml:space="preserve">9,9 %</w:t>
            </w:r>
          </w:p>
        </w:tc>
      </w:tr>
      <w:tr>
        <w:trPr>
          <w:cantSplit/>
        </w:trPr>
        <w:tc>
          <w:tcPr>
            <w:tcW w:w="4271" w:type="dxa"/>
            <w:vAlign w:val="center"/>
          </w:tcPr>
          <w:p>
            <w:pPr>
              <w:keepNext/>
              <w:spacing w:before="50" w:after="50" w:line="240" w:lineRule="auto"/>
              <w:ind w:firstLine="0"/>
              <w:jc w:val="left"/>
            </w:pPr>
            <w:r>
              <w:rPr>
                <w:sz w:val="20"/>
                <w:szCs w:val="20"/>
              </w:rPr>
              <w:t xml:space="preserve">Australia</w:t>
            </w:r>
          </w:p>
        </w:tc>
        <w:tc>
          <w:tcPr>
            <w:tcW w:w="2400" w:type="dxa"/>
            <w:vAlign w:val="center"/>
          </w:tcPr>
          <w:p>
            <w:pPr>
              <w:keepNext/>
              <w:spacing w:before="50" w:after="50" w:line="240" w:lineRule="auto"/>
              <w:ind w:firstLine="0"/>
              <w:jc w:val="right"/>
            </w:pPr>
            <w:r>
              <w:rPr>
                <w:sz w:val="20"/>
                <w:szCs w:val="20"/>
              </w:rPr>
              <w:t xml:space="preserve">19 738</w:t>
            </w:r>
          </w:p>
        </w:tc>
        <w:tc>
          <w:tcPr>
            <w:tcW w:w="2400" w:type="dxa"/>
            <w:vAlign w:val="center"/>
          </w:tcPr>
          <w:p>
            <w:pPr>
              <w:keepNext/>
              <w:spacing w:before="50" w:after="50" w:line="240" w:lineRule="auto"/>
              <w:ind w:firstLine="0"/>
              <w:jc w:val="right"/>
            </w:pPr>
            <w:r>
              <w:rPr>
                <w:sz w:val="20"/>
                <w:szCs w:val="20"/>
              </w:rPr>
              <w:t xml:space="preserve">9,9 %</w:t>
            </w:r>
          </w:p>
        </w:tc>
      </w:tr>
      <w:tr>
        <w:trPr>
          <w:cantSplit/>
        </w:trPr>
        <w:tc>
          <w:tcPr>
            <w:tcW w:w="4271" w:type="dxa"/>
            <w:shd w:val="clear" w:color="auto" w:fill="F2F2F2"/>
            <w:vAlign w:val="center"/>
          </w:tcPr>
          <w:p>
            <w:pPr>
              <w:keepNext/>
              <w:spacing w:before="50" w:after="50" w:line="240" w:lineRule="auto"/>
              <w:ind w:firstLine="0"/>
              <w:jc w:val="left"/>
            </w:pPr>
            <w:r>
              <w:rPr>
                <w:b/>
                <w:bCs/>
                <w:sz w:val="20"/>
                <w:szCs w:val="20"/>
              </w:rPr>
              <w:t xml:space="preserve">Total</w:t>
            </w:r>
          </w:p>
        </w:tc>
        <w:tc>
          <w:tcPr>
            <w:tcW w:w="2400" w:type="dxa"/>
            <w:shd w:val="clear" w:color="auto" w:fill="F2F2F2"/>
            <w:vAlign w:val="center"/>
          </w:tcPr>
          <w:p>
            <w:pPr>
              <w:keepNext/>
              <w:spacing w:before="50" w:after="50" w:line="240" w:lineRule="auto"/>
              <w:ind w:firstLine="0"/>
              <w:jc w:val="right"/>
            </w:pPr>
            <w:r>
              <w:rPr>
                <w:b/>
                <w:bCs/>
                <w:sz w:val="20"/>
                <w:szCs w:val="20"/>
              </w:rPr>
              <w:t xml:space="preserve">200 015</w:t>
            </w:r>
          </w:p>
        </w:tc>
        <w:tc>
          <w:tcPr>
            <w:tcW w:w="2400" w:type="dxa"/>
            <w:shd w:val="clear" w:color="auto" w:fill="F2F2F2"/>
            <w:vAlign w:val="center"/>
          </w:tcPr>
          <w:p>
            <w:pPr>
              <w:keepNext/>
              <w:spacing w:before="50" w:after="50" w:line="240" w:lineRule="auto"/>
              <w:ind w:firstLine="0"/>
              <w:jc w:val="right"/>
            </w:pPr>
            <w:r>
              <w:rPr>
                <w:b/>
                <w:bCs/>
                <w:sz w:val="20"/>
                <w:szCs w:val="20"/>
              </w:rPr>
              <w:t xml:space="preserve">100 %</w:t>
            </w:r>
          </w:p>
        </w:tc>
      </w:tr>
    </w:tbl>
    <w:p>
      <w:pPr>
        <w:pStyle w:val="Legenda"/>
        <w:spacing w:before="80" w:after="240"/>
      </w:pPr>
      <w:bookmarkStart w:id="201" w:name="_TocCapTvagas"/>
      <w:bookmarkStart w:id="202" w:name="_RefTab_vagas"/>
      <w:r>
        <w:t xml:space="preserve">Tabela </w:t>
      </w:r>
      <w:r>
        <w:fldChar w:fldCharType="begin"/>
      </w:r>
      <w:r>
        <w:instrText xml:space="preserve"> SEQ Tabela \* ARABIC </w:instrText>
      </w:r>
      <w:r>
        <w:fldChar w:fldCharType="separate"/>
      </w:r>
      <w:r>
        <w:rPr>
          <w:noProof/>
        </w:rPr>
        <w:t>10</w:t>
      </w:r>
      <w:r>
        <w:fldChar w:fldCharType="end"/>
      </w:r>
      <w:bookmarkEnd w:id="202"/>
      <w:r>
        <w:t xml:space="preserve">: Número de vagas por mercado no painel Distribuição de Vagas por País.</w:t>
      </w:r>
      <w:bookmarkEnd w:id="201"/>
    </w:p>
    <w:p>
      <w:r>
        <w:t xml:space="preserve">O Reino Unido (20 224), a França (20 171) e o Canadá (20 113) apresentam o maior número de ofertas, mas as diferenças entre mercados são reduzidas: a Austrália, com o menor valor (19 738), tem menos de 2,5 % de ofertas do que o Reino Unido. A distribuição equilibrada, com cerca de 20 mil registos por mercado e um total próximo de 200 mil, decorre da dimensão do conjunto de dados histórico carregado pela via em lote e assegura que as comparações de salários e de poupança entre países não são enviesadas por diferenças relevantes no volume de amostras.</w:t>
      </w:r>
    </w:p>
    <w:p>
      <w:pPr>
        <w:pStyle w:val="Cabealho2"/>
        <w:keepNext/>
        <w:spacing w:before="320" w:after="160"/>
      </w:pPr>
      <w:bookmarkStart w:id="203" w:name="_Toc_sintese"/>
      <w:r>
        <w:t xml:space="preserve">Síntese da Discussão e Limitações</w:t>
      </w:r>
      <w:bookmarkEnd w:id="203"/>
    </w:p>
    <w:p>
      <w:r>
        <w:t xml:space="preserve">Em conjunto, os painéis permitem responder à questão formulada na secção </w:t>
      </w:r>
      <w:r>
        <w:t xml:space="preserve">1.2</w:t>
      </w:r>
      <w:r>
        <w:t xml:space="preserve">: o salário bruto mais elevado nem sempre se traduz em maior capacidade de poupança. Os Estados Unidos reúnem salários elevados e a maior poupança estimada, mas a comparação entre Singapura e países como o Canadá, a Austrália ou a Alemanha mostra que salários brutos semelhantes podem conduzir a poupanças bastante distintas, consoante os impostos e o custo de vida. A arquitetura híbrida acrescenta a esta leitura analítica uma camada de monitorização imediata: enquanto o </w:t>
      </w:r>
      <w:r>
        <w:rPr>
          <w:i/>
          <w:iCs/>
        </w:rPr>
        <w:t xml:space="preserve">dashboard</w:t>
      </w:r>
      <w:r>
        <w:t xml:space="preserve"> responde à pergunta estrutural sobre onde compensa trabalhar, os alertas do Telegram sinalizam, à medida que surgem, as ofertas concretas que merecem atenção.</w:t>
      </w:r>
    </w:p>
    <w:p>
      <w:r>
        <w:t xml:space="preserve">Importa, contudo, assinalar as limitações do estudo: (i) a taxa de câmbio utilizada na conversão para euros é fixa; (ii) a taxa de imposto é um valor estimado único, pelo que não reflete escalões nem sistemas fiscais distintos; (iii) os índices do Numbeo são recolhidos no momento de cada execução, mas representam um retrato estático, sem série histórica; (iv) a anualização infere a periodicidade a partir da ordem de grandeza do valor, o que pode classificar incorretamente casos-limite; e (v) o gráfico circular representa pesos relativos de médias, pelo que deve ser lido como comparação de grandeza e não como partição de um total. Estas limitações são retomadas nos trabalhos futuros (secção </w:t>
      </w:r>
      <w:r>
        <w:t xml:space="preserve">7.2</w:t>
      </w:r>
      <w:r>
        <w:t xml:space="preserve">).</w:t>
      </w:r>
    </w:p>
    <w:p>
      <w:pPr>
        <w:pStyle w:val="Cabealho1"/>
        <w:keepNext/>
        <w:pageBreakBefore/>
        <w:spacing w:before="480" w:after="240"/>
      </w:pPr>
      <w:bookmarkStart w:id="204" w:name="_Toc_cap6"/>
      <w:r>
        <w:t xml:space="preserve">Vídeo com Demonstração</w:t>
      </w:r>
      <w:bookmarkEnd w:id="204"/>
    </w:p>
    <w:p>
      <w:r>
        <w:t xml:space="preserve">Este capítulo disponibiliza o vídeo de demonstração do </w:t>
      </w:r>
      <w:r>
        <w:rPr>
          <w:i/>
          <w:iCs/>
        </w:rPr>
        <w:t xml:space="preserve">pipeline</w:t>
      </w:r>
      <w:r>
        <w:t xml:space="preserve"> em funcionamento, exigido no ponto 6 do enunciado. O vídeo tem por objetivo validar, na prática, o funcionamento de toda a solução, evidenciando o arranque dos contentores no Docker Desktop, a execução do </w:t>
      </w:r>
      <w:r>
        <w:rPr>
          <w:i/>
          <w:iCs/>
        </w:rPr>
        <w:t xml:space="preserve">workflow</w:t>
      </w:r>
      <w:r>
        <w:t xml:space="preserve"> no KNIME, o fluxo de extração e transformação no Node-RED, a publicação e o consumo de mensagens no RabbitMQ, o carregamento dos dados nas duas tabelas do PostgreSQL, a receção de um alerta no Telegram e a visualização no Grafana, incluindo a utilização dos filtros dinâmicos.</w:t>
      </w:r>
    </w:p>
    <w:p>
      <w:r>
        <w:t xml:space="preserve">A ligação para o vídeo pode ser acedida através do código </w:t>
      </w:r>
      <w:r>
        <w:rPr>
          <w:i/>
          <w:iCs/>
        </w:rPr>
        <w:t xml:space="preserve">Quick Response</w:t>
      </w:r>
      <w:r>
        <w:t xml:space="preserve"> (QR) da </w:t>
      </w:r>
      <w:r>
        <w:fldChar w:fldCharType="begin"/>
      </w:r>
      <w:r>
        <w:instrText xml:space="preserve"> REF _RefFig_qr \h </w:instrText>
      </w:r>
      <w:r>
        <w:fldChar w:fldCharType="separate"/>
      </w:r>
      <w:r>
        <w:t xml:space="preserve">Figura 20</w:t>
      </w:r>
      <w:r>
        <w:fldChar w:fldCharType="end"/>
      </w:r>
      <w:r>
        <w:t xml:space="preserve"> ou do endereço indicado abaixo.</w:t>
      </w:r>
    </w:p>
    <w:p>
      <w:pPr>
        <w:keepNext/>
        <w:spacing w:before="120" w:after="0" w:line="240" w:lineRule="auto"/>
        <w:ind w:firstLine="0"/>
        <w:jc w:val="center"/>
      </w:pPr>
      <w:r>
        <w:rPr>
          <w:noProof/>
        </w:rPr>
        <w:drawing>
          <wp:inline distT="0" distB="0" distL="0" distR="0">
            <wp:extent cx="2160000" cy="2160000"/>
            <wp:effectExtent l="0" t="0" r="0" b="0"/>
            <wp:docPr id="120" name="Imagem 120" descr="Código QR que remete para o vídeo de demonstração do pipeline, alojado em scanned.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m 120"/>
                    <pic:cNvPicPr/>
                  </pic:nvPicPr>
                  <pic:blipFill>
                    <a:blip r:embed="rId219"/>
                    <a:stretch>
                      <a:fillRect/>
                    </a:stretch>
                  </pic:blipFill>
                  <pic:spPr>
                    <a:xfrm>
                      <a:off x="0" y="0"/>
                      <a:ext cx="2160000" cy="2160000"/>
                    </a:xfrm>
                    <a:prstGeom prst="rect">
                      <a:avLst/>
                    </a:prstGeom>
                    <a:ln w="6350">
                      <a:solidFill>
                        <a:srgbClr val="A6A6A6"/>
                      </a:solidFill>
                    </a:ln>
                  </pic:spPr>
                </pic:pic>
              </a:graphicData>
            </a:graphic>
          </wp:inline>
        </w:drawing>
      </w:r>
    </w:p>
    <w:p>
      <w:pPr>
        <w:pStyle w:val="Legenda"/>
        <w:spacing w:before="80" w:after="240"/>
      </w:pPr>
      <w:bookmarkStart w:id="205" w:name="_TocCapFqr"/>
      <w:bookmarkStart w:id="206" w:name="_RefFig_qr"/>
      <w:r>
        <w:t xml:space="preserve">Figura </w:t>
      </w:r>
      <w:r>
        <w:fldChar w:fldCharType="begin"/>
      </w:r>
      <w:r>
        <w:instrText xml:space="preserve"> SEQ Figura \* ARABIC </w:instrText>
      </w:r>
      <w:r>
        <w:fldChar w:fldCharType="separate"/>
      </w:r>
      <w:r>
        <w:rPr>
          <w:noProof/>
        </w:rPr>
        <w:t>20</w:t>
      </w:r>
      <w:r>
        <w:fldChar w:fldCharType="end"/>
      </w:r>
      <w:bookmarkEnd w:id="206"/>
      <w:r>
        <w:t xml:space="preserve">: Código QR com a ligação para o vídeo de demonstração do pipeline.</w:t>
      </w:r>
      <w:bookmarkEnd w:id="205"/>
    </w:p>
    <w:p>
      <w:pPr>
        <w:ind w:firstLine="0"/>
        <w:jc w:val="center"/>
      </w:pPr>
      <w:r>
        <w:rPr>
          <w:b/>
          <w:bCs/>
        </w:rPr>
        <w:t xml:space="preserve">URL do vídeo:</w:t>
      </w:r>
      <w:r>
        <w:t xml:space="preserve"> https://scanned.page/p/Yjo87I</w:t>
      </w:r>
    </w:p>
    <w:p>
      <w:r>
        <w:rPr>
          <w:b/>
          <w:bCs/>
        </w:rPr>
        <w:t xml:space="preserve">Nota sobre a validade da ligação.</w:t>
      </w:r>
      <w:r>
        <w:t xml:space="preserve"> O vídeo está alojado num serviço de partilha temporária, pelo que a ligação e o código QR acima </w:t>
      </w:r>
      <w:r>
        <w:rPr>
          <w:b/>
          <w:bCs/>
        </w:rPr>
        <w:t xml:space="preserve">expiram ao fim de dez dias</w:t>
      </w:r>
      <w:r>
        <w:t xml:space="preserve"> a contar da data de entrega deste relatório. Caso o acesso já não esteja disponível no momento da leitura, o ficheiro de vídeo pode ser solicitado diretamente ao autor através do endereço de correio eletrónico indicado na página de identificação.</w:t>
      </w:r>
    </w:p>
    <w:p>
      <w:pPr>
        <w:pStyle w:val="Cabealho1"/>
        <w:keepNext/>
        <w:pageBreakBefore/>
        <w:spacing w:before="480" w:after="240"/>
      </w:pPr>
      <w:bookmarkStart w:id="207" w:name="_Toc_cap7"/>
      <w:r>
        <w:t xml:space="preserve">Conclusão e Trabalhos Futuros</w:t>
      </w:r>
      <w:bookmarkEnd w:id="207"/>
    </w:p>
    <w:p>
      <w:pPr>
        <w:pStyle w:val="Cabealho2"/>
        <w:keepNext/>
        <w:spacing w:before="320" w:after="160"/>
      </w:pPr>
      <w:bookmarkStart w:id="208" w:name="_Toc_conc"/>
      <w:r>
        <w:t xml:space="preserve">Conclusão</w:t>
      </w:r>
      <w:bookmarkEnd w:id="208"/>
    </w:p>
    <w:p>
      <w:r>
        <w:t xml:space="preserve">O trabalho permitiu concretizar um </w:t>
      </w:r>
      <w:r>
        <w:rPr>
          <w:i/>
          <w:iCs/>
        </w:rPr>
        <w:t xml:space="preserve">pipeline</w:t>
      </w:r>
      <w:r>
        <w:t xml:space="preserve"> de ETL completo para a análise do poder de compra no setor tecnológico, cumprindo as três fases exigidas no enunciado. Na fase «E», o </w:t>
      </w:r>
      <w:r>
        <w:rPr>
          <w:i/>
          <w:iCs/>
        </w:rPr>
        <w:t xml:space="preserve">pipeline</w:t>
      </w:r>
      <w:r>
        <w:t xml:space="preserve"> consome dados em três formatos distintos — JSON de APIs REST, CSV de um ficheiro local e HTML extraído por XPath — a partir de quatro origens independentes. Na fase «T», aplica limpeza e validação, expressões regulares, geocodificação, conversão de estruturas, concatenação, junção relacional e cálculos financeiros. Na fase «L», persiste os resultados em duas tabelas relacionais, disponibiliza-os num </w:t>
      </w:r>
      <w:r>
        <w:rPr>
          <w:i/>
          <w:iCs/>
        </w:rPr>
        <w:t xml:space="preserve">dashboard</w:t>
      </w:r>
      <w:r>
        <w:t xml:space="preserve"> dinâmico e despacha notificações automáticas.</w:t>
      </w:r>
    </w:p>
    <w:p>
      <w:r>
        <w:t xml:space="preserve">Os objetivos definidos na secção </w:t>
      </w:r>
      <w:r>
        <w:t xml:space="preserve">1.3</w:t>
      </w:r>
      <w:r>
        <w:t xml:space="preserve"> foram atingidos. A decisão arquitetural mais relevante foi a adoção de duas vias complementares: o KNIME assegura o processamento analítico pesado, com o cruzamento dos índices económicos e o cálculo da poupança real, enquanto o Node-RED atua como sonda de baixa latência, com alertas imediatos. A separação em duas tabelas revelou-se indispensável, uma vez que o modo de substituição do nó DB Writer apagaria os registos capturados em tempo real, e ilustra um compromisso real de integração de sistemas: duas ferramentas com cadências e modelos de escrita diferentes a partilhar o mesmo destino.</w:t>
      </w:r>
    </w:p>
    <w:p>
      <w:r>
        <w:t xml:space="preserve">Do ponto de vista técnico, destacam-se a eficácia da limpeza de dados através dos filtros de qualidade, a resolução de localizações por geocodificação, a resiliência conferida pelo desacoplamento via RabbitMQ, a deduplicação assegurada pela escrita por cima e a capacidade analítica do PostgreSQL com o Grafana. A contentorização com Docker garantiu um ambiente isolado e reprodutível. Por último, o trabalho consolidou conceitos de integração de sistemas ao nível dos dados e a experiência na orquestração de múltiplas tecnologias e paradigmas.</w:t>
      </w:r>
    </w:p>
    <w:p>
      <w:pPr>
        <w:pStyle w:val="Cabealho2"/>
        <w:keepNext/>
        <w:spacing w:before="320" w:after="160"/>
      </w:pPr>
      <w:bookmarkStart w:id="209" w:name="_Toc_futuro"/>
      <w:r>
        <w:t xml:space="preserve">Trabalhos Futuros</w:t>
      </w:r>
      <w:bookmarkEnd w:id="209"/>
    </w:p>
    <w:p>
      <w:r>
        <w:t xml:space="preserve">Como evolução do trabalho, identificam-se os seguintes desenvolvimentos:</w:t>
      </w:r>
    </w:p>
    <w:p>
      <w:pPr>
        <w:pStyle w:val="PargrafodaLista"/>
        <w:numPr>
          <w:ilvl w:val="0"/>
          <w:numId w:val="3"/>
        </w:numPr>
        <w:spacing w:after="60"/>
        <w:contextualSpacing w:val="0"/>
      </w:pPr>
      <w:r>
        <w:rPr>
          <w:b/>
          <w:bCs/>
        </w:rPr>
        <w:t xml:space="preserve">Novas fontes de dados:</w:t>
      </w:r>
      <w:r>
        <w:t xml:space="preserve"> ligação a outras APIs de recrutamento, alargando a cobertura geográfica e a diversidade de ofertas;</w:t>
      </w:r>
    </w:p>
    <w:p>
      <w:pPr>
        <w:pStyle w:val="PargrafodaLista"/>
        <w:numPr>
          <w:ilvl w:val="0"/>
          <w:numId w:val="3"/>
        </w:numPr>
        <w:spacing w:after="60"/>
        <w:contextualSpacing w:val="0"/>
      </w:pPr>
      <w:r>
        <w:rPr>
          <w:b/>
          <w:bCs/>
        </w:rPr>
        <w:t xml:space="preserve">Parâmetros dinâmicos:</w:t>
      </w:r>
      <w:r>
        <w:t xml:space="preserve"> atualização automática das taxas de câmbio a partir de uma API cambial, em substituição do valor fixo;</w:t>
      </w:r>
    </w:p>
    <w:p>
      <w:pPr>
        <w:pStyle w:val="PargrafodaLista"/>
        <w:numPr>
          <w:ilvl w:val="0"/>
          <w:numId w:val="3"/>
        </w:numPr>
        <w:spacing w:after="60"/>
        <w:contextualSpacing w:val="0"/>
      </w:pPr>
      <w:r>
        <w:rPr>
          <w:b/>
          <w:bCs/>
        </w:rPr>
        <w:t xml:space="preserve">Fiscalidade mais realista:</w:t>
      </w:r>
      <w:r>
        <w:t xml:space="preserve"> substituição da taxa de imposto estimada única por escalões fiscais específicos de cada país;</w:t>
      </w:r>
    </w:p>
    <w:p>
      <w:pPr>
        <w:pStyle w:val="PargrafodaLista"/>
        <w:numPr>
          <w:ilvl w:val="0"/>
          <w:numId w:val="3"/>
        </w:numPr>
        <w:spacing w:after="60"/>
        <w:contextualSpacing w:val="0"/>
      </w:pPr>
      <w:r>
        <w:rPr>
          <w:b/>
          <w:bCs/>
        </w:rPr>
        <w:t xml:space="preserve">Série histórica:</w:t>
      </w:r>
      <w:r>
        <w:t xml:space="preserve"> armazenamento dos índices do Numbeo ao longo do tempo, permitindo analisar a evolução do poder de compra em vez de um retrato instantâneo;</w:t>
      </w:r>
    </w:p>
    <w:p>
      <w:pPr>
        <w:pStyle w:val="PargrafodaLista"/>
        <w:numPr>
          <w:ilvl w:val="0"/>
          <w:numId w:val="3"/>
        </w:numPr>
        <w:spacing w:after="60"/>
        <w:contextualSpacing w:val="0"/>
      </w:pPr>
      <w:r>
        <w:rPr>
          <w:b/>
          <w:bCs/>
        </w:rPr>
        <w:t xml:space="preserve">Senioridade automática:</w:t>
      </w:r>
      <w:r>
        <w:t xml:space="preserve"> extração do nível de experiência a partir do título da vaga na via contínua, com recurso a expressões regulares ou a técnicas de </w:t>
      </w:r>
      <w:r>
        <w:rPr>
          <w:i/>
          <w:iCs/>
        </w:rPr>
        <w:t xml:space="preserve">Natural Language Processing</w:t>
      </w:r>
      <w:r>
        <w:t xml:space="preserve"> (NLP), substituindo o valor fixo atualmente atribuído;</w:t>
      </w:r>
    </w:p>
    <w:p>
      <w:pPr>
        <w:pStyle w:val="PargrafodaLista"/>
        <w:numPr>
          <w:ilvl w:val="0"/>
          <w:numId w:val="3"/>
        </w:numPr>
        <w:spacing w:after="60"/>
        <w:contextualSpacing w:val="0"/>
      </w:pPr>
      <w:r>
        <w:rPr>
          <w:b/>
          <w:bCs/>
        </w:rPr>
        <w:t xml:space="preserve">Enriquecimento da via contínua:</w:t>
      </w:r>
      <w:r>
        <w:t xml:space="preserve"> cruzamento das novas ofertas com os índices já persistidos, de modo que os alertas do Telegram passem a indicar a poupança estimada e não apenas o salário bruto;</w:t>
      </w:r>
    </w:p>
    <w:p>
      <w:pPr>
        <w:pStyle w:val="PargrafodaLista"/>
        <w:numPr>
          <w:ilvl w:val="0"/>
          <w:numId w:val="3"/>
        </w:numPr>
        <w:spacing w:after="60"/>
        <w:contextualSpacing w:val="0"/>
      </w:pPr>
      <w:r>
        <w:rPr>
          <w:b/>
          <w:bCs/>
        </w:rPr>
        <w:t xml:space="preserve">Filtros interativos no dashboard:</w:t>
      </w:r>
      <w:r>
        <w:t xml:space="preserve"> introdução de variáveis do tipo </w:t>
      </w:r>
      <w:r>
        <w:rPr>
          <w:i/>
          <w:iCs/>
        </w:rPr>
        <w:t xml:space="preserve">Query</w:t>
      </w:r>
      <w:r>
        <w:t xml:space="preserve"> no Grafana (por país e por nível de experiência), que permitiriam ao utilizador restringir todos os painéis em simultâneo, em vez da filtragem fixa em SQL;</w:t>
      </w:r>
    </w:p>
    <w:p>
      <w:pPr>
        <w:pStyle w:val="PargrafodaLista"/>
        <w:numPr>
          <w:ilvl w:val="0"/>
          <w:numId w:val="3"/>
        </w:numPr>
        <w:spacing w:after="60"/>
        <w:contextualSpacing w:val="0"/>
      </w:pPr>
      <w:r>
        <w:rPr>
          <w:b/>
          <w:bCs/>
        </w:rPr>
        <w:t xml:space="preserve">Orquestração centralizada:</w:t>
      </w:r>
      <w:r>
        <w:t xml:space="preserve"> migração do ciclo de repetição do KNIME para um agendador externo, como o Apache Airflow, com registo de execuções e tratamento automático de falhas.</w:t>
      </w:r>
    </w:p>
    <w:p>
      <w:pPr>
        <w:pStyle w:val="Cabealho1"/>
        <w:keepNext/>
        <w:pageBreakBefore/>
        <w:spacing w:before="480" w:after="240"/>
      </w:pPr>
      <w:bookmarkStart w:id="210" w:name="_Toc_cap8"/>
      <w:r>
        <w:t xml:space="preserve">Referências Bibliográficas</w:t>
      </w:r>
      <w:bookmarkEnd w:id="210"/>
    </w:p>
    <w:p>
      <w:pPr>
        <w:pStyle w:val="Bibliografia"/>
        <w:spacing w:after="140"/>
        <w:ind w:left="567" w:hanging="567"/>
        <w:jc w:val="left"/>
      </w:pPr>
      <w:r>
        <w:t xml:space="preserve">Docker. (s.d.). </w:t>
      </w:r>
      <w:r>
        <w:rPr>
          <w:i/>
          <w:iCs/>
        </w:rPr>
        <w:t xml:space="preserve">Docker Documentation</w:t>
      </w:r>
      <w:r>
        <w:t xml:space="preserve">. Obtido de Docker Docs: https://docs.docker.com/</w:t>
      </w:r>
    </w:p>
    <w:p>
      <w:pPr>
        <w:pStyle w:val="Bibliografia"/>
        <w:spacing w:after="140"/>
        <w:ind w:left="567" w:hanging="567"/>
        <w:jc w:val="left"/>
      </w:pPr>
      <w:r>
        <w:t xml:space="preserve">Ferreira, L., &amp; Ribeiro, Ó. (2026). </w:t>
      </w:r>
      <w:r>
        <w:rPr>
          <w:i/>
          <w:iCs/>
        </w:rPr>
        <w:t xml:space="preserve">Integração de Sistemas de Informação – Trabalho Prático I (enunciado)</w:t>
      </w:r>
      <w:r>
        <w:t xml:space="preserve">. Escola Superior de Tecnologia, Universidade Politécnica do Cávado e do Ave.</w:t>
      </w:r>
    </w:p>
    <w:p>
      <w:pPr>
        <w:pStyle w:val="Bibliografia"/>
        <w:spacing w:after="140"/>
        <w:ind w:left="567" w:hanging="567"/>
        <w:jc w:val="left"/>
      </w:pPr>
      <w:r>
        <w:t xml:space="preserve">Grafana Labs. (s.d.). </w:t>
      </w:r>
      <w:r>
        <w:rPr>
          <w:i/>
          <w:iCs/>
        </w:rPr>
        <w:t xml:space="preserve">Grafana documentation</w:t>
      </w:r>
      <w:r>
        <w:t xml:space="preserve">. Obtido de Grafana Labs: https://grafana.com/docs/grafana/latest/</w:t>
      </w:r>
    </w:p>
    <w:p>
      <w:pPr>
        <w:pStyle w:val="Bibliografia"/>
        <w:spacing w:after="140"/>
        <w:ind w:left="567" w:hanging="567"/>
        <w:jc w:val="left"/>
      </w:pPr>
      <w:r>
        <w:t xml:space="preserve">Kaggle. (s.d.). </w:t>
      </w:r>
      <w:r>
        <w:rPr>
          <w:i/>
          <w:iCs/>
        </w:rPr>
        <w:t xml:space="preserve">Latest Data Science Salaries</w:t>
      </w:r>
      <w:r>
        <w:t xml:space="preserve">. Obtido de Kaggle: https://www.kaggle.com/datasets</w:t>
      </w:r>
    </w:p>
    <w:p>
      <w:pPr>
        <w:pStyle w:val="Bibliografia"/>
        <w:spacing w:after="140"/>
        <w:ind w:left="567" w:hanging="567"/>
        <w:jc w:val="left"/>
      </w:pPr>
      <w:r>
        <w:t xml:space="preserve">KNIME. (s.d.). </w:t>
      </w:r>
      <w:r>
        <w:rPr>
          <w:i/>
          <w:iCs/>
        </w:rPr>
        <w:t xml:space="preserve">KNIME Analytics Platform documentation</w:t>
      </w:r>
      <w:r>
        <w:t xml:space="preserve">. Obtido de KNIME: https://docs.knime.com/</w:t>
      </w:r>
    </w:p>
    <w:p>
      <w:pPr>
        <w:pStyle w:val="Bibliografia"/>
        <w:spacing w:after="140"/>
        <w:ind w:left="567" w:hanging="567"/>
        <w:jc w:val="left"/>
      </w:pPr>
      <w:r>
        <w:t xml:space="preserve">MDN Web Docs. (s.d.). </w:t>
      </w:r>
      <w:r>
        <w:rPr>
          <w:i/>
          <w:iCs/>
        </w:rPr>
        <w:t xml:space="preserve">Regular expressions</w:t>
      </w:r>
      <w:r>
        <w:t xml:space="preserve">. Obtido de MDN Web Docs: https://developer.mozilla.org/en-US/docs/Web/JavaScript/Guide/Regular_expressions</w:t>
      </w:r>
    </w:p>
    <w:p>
      <w:pPr>
        <w:pStyle w:val="Bibliografia"/>
        <w:spacing w:after="140"/>
        <w:ind w:left="567" w:hanging="567"/>
        <w:jc w:val="left"/>
      </w:pPr>
      <w:r>
        <w:t xml:space="preserve">MongoDB. (s.d.). </w:t>
      </w:r>
      <w:r>
        <w:rPr>
          <w:i/>
          <w:iCs/>
        </w:rPr>
        <w:t xml:space="preserve">MongoDB Documentation</w:t>
      </w:r>
      <w:r>
        <w:t xml:space="preserve">. Obtido de MongoDB: https://www.mongodb.com/docs/</w:t>
      </w:r>
    </w:p>
    <w:p>
      <w:pPr>
        <w:pStyle w:val="Bibliografia"/>
        <w:spacing w:after="140"/>
        <w:ind w:left="567" w:hanging="567"/>
        <w:jc w:val="left"/>
      </w:pPr>
      <w:r>
        <w:t xml:space="preserve">Node-RED. (s.d.). </w:t>
      </w:r>
      <w:r>
        <w:rPr>
          <w:i/>
          <w:iCs/>
        </w:rPr>
        <w:t xml:space="preserve">Node-RED: Low-code programming for event-driven applications</w:t>
      </w:r>
      <w:r>
        <w:t xml:space="preserve">. Obtido de Node-RED: https://nodered.org/</w:t>
      </w:r>
    </w:p>
    <w:p>
      <w:pPr>
        <w:pStyle w:val="Bibliografia"/>
        <w:spacing w:after="140"/>
        <w:ind w:left="567" w:hanging="567"/>
        <w:jc w:val="left"/>
      </w:pPr>
      <w:r>
        <w:t xml:space="preserve">Numbeo. (s.d.). </w:t>
      </w:r>
      <w:r>
        <w:rPr>
          <w:i/>
          <w:iCs/>
        </w:rPr>
        <w:t xml:space="preserve">Cost of Living Index</w:t>
      </w:r>
      <w:r>
        <w:t xml:space="preserve">. Obtido de Numbeo: https://www.numbeo.com/cost-of-living/</w:t>
      </w:r>
    </w:p>
    <w:p>
      <w:pPr>
        <w:pStyle w:val="Bibliografia"/>
        <w:spacing w:after="140"/>
        <w:ind w:left="567" w:hanging="567"/>
        <w:jc w:val="left"/>
      </w:pPr>
      <w:r>
        <w:t xml:space="preserve">Postcodes.io. (s.d.). </w:t>
      </w:r>
      <w:r>
        <w:rPr>
          <w:i/>
          <w:iCs/>
        </w:rPr>
        <w:t xml:space="preserve">Postcodes.io API documentation</w:t>
      </w:r>
      <w:r>
        <w:t xml:space="preserve">. Obtido de Postcodes.io: https://postcodes.io/docs</w:t>
      </w:r>
    </w:p>
    <w:p>
      <w:pPr>
        <w:pStyle w:val="Bibliografia"/>
        <w:spacing w:after="140"/>
        <w:ind w:left="567" w:hanging="567"/>
        <w:jc w:val="left"/>
      </w:pPr>
      <w:r>
        <w:t xml:space="preserve">PostgreSQL Global Development Group. (s.d.). </w:t>
      </w:r>
      <w:r>
        <w:rPr>
          <w:i/>
          <w:iCs/>
        </w:rPr>
        <w:t xml:space="preserve">PostgreSQL 16 Documentation</w:t>
      </w:r>
      <w:r>
        <w:t xml:space="preserve">. Obtido de PostgreSQL: https://www.postgresql.org/docs/16/</w:t>
      </w:r>
    </w:p>
    <w:p>
      <w:pPr>
        <w:pStyle w:val="Bibliografia"/>
        <w:spacing w:after="140"/>
        <w:ind w:left="567" w:hanging="567"/>
        <w:jc w:val="left"/>
      </w:pPr>
      <w:r>
        <w:t xml:space="preserve">RabbitMQ. (s.d.). </w:t>
      </w:r>
      <w:r>
        <w:rPr>
          <w:i/>
          <w:iCs/>
        </w:rPr>
        <w:t xml:space="preserve">RabbitMQ documentation</w:t>
      </w:r>
      <w:r>
        <w:t xml:space="preserve">. Obtido de RabbitMQ: https://www.rabbitmq.com/docs</w:t>
      </w:r>
    </w:p>
    <w:p>
      <w:pPr>
        <w:pStyle w:val="Bibliografia"/>
        <w:spacing w:after="140"/>
        <w:ind w:left="567" w:hanging="567"/>
        <w:jc w:val="left"/>
      </w:pPr>
      <w:r>
        <w:t xml:space="preserve">Reed. (s.d.). </w:t>
      </w:r>
      <w:r>
        <w:rPr>
          <w:i/>
          <w:iCs/>
        </w:rPr>
        <w:t xml:space="preserve">Reed.co.uk Jobseeker API</w:t>
      </w:r>
      <w:r>
        <w:t xml:space="preserve">. Obtido de Reed: https://www.reed.co.uk/developers/jobseeker</w:t>
      </w:r>
    </w:p>
    <w:p>
      <w:pPr>
        <w:pStyle w:val="Bibliografia"/>
        <w:spacing w:after="140"/>
        <w:ind w:left="567" w:hanging="567"/>
        <w:jc w:val="left"/>
      </w:pPr>
      <w:r>
        <w:t xml:space="preserve">Telegram. (s.d.). </w:t>
      </w:r>
      <w:r>
        <w:rPr>
          <w:i/>
          <w:iCs/>
        </w:rPr>
        <w:t xml:space="preserve">Telegram Bot API</w:t>
      </w:r>
      <w:r>
        <w:t xml:space="preserve">. Obtido de Telegram: https://core.telegram.org/bots/api</w:t>
      </w:r>
    </w:p>
    <w:sectPr>
      <w:footerReference w:type="default" r:id="rId14"/>
      <w:footerReference w:type="first" r:id="rId15"/>
      <w:type w:val="nextPage"/>
      <w:pgSz w:w="11906" w:h="16838"/>
      <w:pgMar w:top="1418" w:right="1134" w:bottom="1134" w:left="1701" w:header="709" w:footer="709" w:gutter="0"/>
      <w:pgNumType w:fmt="decimal" w:start="1"/>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46F701" w14:textId="77777777" w:rsidR="00497552" w:rsidRDefault="00497552" w:rsidP="00E50E37">
      <w:r>
        <w:separator/>
      </w:r>
    </w:p>
  </w:endnote>
  <w:endnote w:type="continuationSeparator" w:id="0">
    <w:p w14:paraId="4BADD2F3" w14:textId="77777777" w:rsidR="00497552" w:rsidRDefault="00497552" w:rsidP="00E50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Carlito">
    <w:altName w:val="Calibri"/>
    <w:charset w:val="00"/>
    <w:family w:val="swiss"/>
    <w:pitch w:val="variable"/>
    <w:sig w:usb0="E10002FF" w:usb1="5000ECFF" w:usb2="00000009" w:usb3="00000000" w:csb0="0000019F" w:csb1="00000000"/>
  </w:font>
  <w:font w:name="Courier New">
    <w:panose1 w:val="020703090202050204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683E19" w14:textId="77777777" w:rsidR="003C2050" w:rsidRPr="003C2050" w:rsidRDefault="003C2050" w:rsidP="003C2050">
    <w:pPr>
      <w:pStyle w:val="Rodap"/>
      <w:ind w:firstLine="0"/>
    </w:pPr>
    <w:r>
      <w:fldChar w:fldCharType="begin"/>
    </w:r>
    <w:r>
      <w:instrText xml:space="preserve"> PAGE   \* MERGEFORMAT </w:instrText>
    </w:r>
    <w:r>
      <w:fldChar w:fldCharType="separate"/>
    </w:r>
    <w:r w:rsidR="00083104">
      <w:rPr>
        <w:noProof/>
      </w:rPr>
      <w:t>2</w:t>
    </w:r>
    <w: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64378539"/>
      <w:docPartObj>
        <w:docPartGallery w:val="Page Numbers (Bottom of Page)"/>
        <w:docPartUnique/>
      </w:docPartObj>
    </w:sdtPr>
    <w:sdtEndPr/>
    <w:sdtContent>
      <w:p w14:paraId="3CBF05F6" w14:textId="77777777" w:rsidR="00B545D3" w:rsidRDefault="00804760" w:rsidP="0041435C">
        <w:pPr>
          <w:pStyle w:val="Rodap"/>
          <w:ind w:left="4248" w:firstLine="4248"/>
        </w:pPr>
        <w:r>
          <w:fldChar w:fldCharType="begin"/>
        </w:r>
        <w:r>
          <w:instrText>PAGE   \* MERGEFORMAT</w:instrText>
        </w:r>
        <w:r>
          <w:fldChar w:fldCharType="separate"/>
        </w:r>
        <w:r w:rsidR="00DC0777">
          <w:rPr>
            <w:noProof/>
          </w:rPr>
          <w:t>III</w:t>
        </w:r>
        <w:r>
          <w:fldChar w:fldCharType="end"/>
        </w:r>
      </w:p>
    </w:sdtContent>
  </w:sdt>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9543E5" w14:textId="77777777" w:rsidR="003C2050" w:rsidRDefault="003C2050" w:rsidP="00115CC7">
    <w:pPr>
      <w:pStyle w:val="Rodap"/>
      <w:ind w:firstLine="0"/>
    </w:pP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05808097"/>
      <w:docPartObj>
        <w:docPartGallery w:val="Page Numbers (Bottom of Page)"/>
        <w:docPartUnique/>
      </w:docPartObj>
    </w:sdtPr>
    <w:sdtContent>
      <w:p w14:paraId="04A262E8" w14:textId="77777777" w:rsidR="00DC0777" w:rsidRDefault="00DC0777" w:rsidP="0041435C">
        <w:pPr>
          <w:pStyle w:val="Rodap"/>
          <w:ind w:left="4248" w:firstLine="4248"/>
        </w:pPr>
        <w:r>
          <w:fldChar w:fldCharType="begin"/>
        </w:r>
        <w:r>
          <w:instrText>PAGE   \* MERGEFORMAT</w:instrText>
        </w:r>
        <w:r>
          <w:fldChar w:fldCharType="separate"/>
        </w:r>
        <w:r w:rsidR="00083104">
          <w:rPr>
            <w:noProof/>
          </w:rPr>
          <w:t>XI</w:t>
        </w:r>
        <w:r>
          <w:fldChar w:fldCharType="end"/>
        </w:r>
      </w:p>
    </w:sdtContent>
  </w:sdt>
</w:ftr>
</file>

<file path=word/footer5.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62225072"/>
      <w:docPartObj>
        <w:docPartGallery w:val="Page Numbers (Bottom of Page)"/>
        <w:docPartUnique/>
      </w:docPartObj>
    </w:sdtPr>
    <w:sdtEndPr/>
    <w:sdtContent>
      <w:p w14:paraId="2AEB1126" w14:textId="77777777" w:rsidR="002F4FD7" w:rsidRDefault="00804760" w:rsidP="0041435C">
        <w:pPr>
          <w:pStyle w:val="Rodap"/>
          <w:ind w:left="4248" w:firstLine="4248"/>
        </w:pPr>
        <w:r>
          <w:fldChar w:fldCharType="begin"/>
        </w:r>
        <w:r>
          <w:instrText>PAGE   \* MERGEFORMAT</w:instrText>
        </w:r>
        <w:r>
          <w:fldChar w:fldCharType="separate"/>
        </w:r>
        <w:r w:rsidR="00083104">
          <w:rPr>
            <w:noProof/>
          </w:rPr>
          <w:t>XXI</w:t>
        </w:r>
        <w:r>
          <w:fldChar w:fldCharType="end"/>
        </w:r>
      </w:p>
    </w:sdtContent>
  </w:sdt>
</w:ftr>
</file>

<file path=word/footer6.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902464" w14:textId="77777777" w:rsidR="0026547F" w:rsidRDefault="0026547F" w:rsidP="0052250D">
    <w:pPr>
      <w:pStyle w:val="Rodap"/>
      <w:framePr w:wrap="none"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separate"/>
    </w:r>
    <w:r w:rsidR="00083104">
      <w:rPr>
        <w:rStyle w:val="Nmerodepgina"/>
        <w:noProof/>
      </w:rPr>
      <w:t>XX</w:t>
    </w:r>
    <w:r>
      <w:rPr>
        <w:rStyle w:val="Nmerodepgina"/>
      </w:rPr>
      <w:fldChar w:fldCharType="end"/>
    </w:r>
  </w:p>
  <w:p w14:paraId="1AD0DC15" w14:textId="77777777" w:rsidR="0026547F" w:rsidRDefault="0026547F" w:rsidP="0026547F">
    <w:pPr>
      <w:pStyle w:val="Rodap"/>
      <w:ind w:right="360" w:firstLine="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6200EB" w14:textId="77777777" w:rsidR="00497552" w:rsidRDefault="00497552" w:rsidP="00E50E37">
      <w:r>
        <w:separator/>
      </w:r>
    </w:p>
  </w:footnote>
  <w:footnote w:type="continuationSeparator" w:id="0">
    <w:p w14:paraId="051B1A51" w14:textId="77777777" w:rsidR="00497552" w:rsidRDefault="00497552" w:rsidP="00E50E37">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022154"/>
    <w:multiLevelType w:val="multilevel"/>
    <w:tmpl w:val="B4BE74A0"/>
    <w:lvl w:ilvl="0">
      <w:start w:val="1"/>
      <w:numFmt w:val="decimal"/>
      <w:pStyle w:val="Cabealho1"/>
      <w:lvlText w:val="%1."/>
      <w:lvlJc w:val="left"/>
      <w:pPr>
        <w:ind w:left="360" w:hanging="360"/>
      </w:pPr>
    </w:lvl>
    <w:lvl w:ilvl="1">
      <w:start w:val="1"/>
      <w:numFmt w:val="decimal"/>
      <w:pStyle w:val="Cabealho2"/>
      <w:lvlText w:val="%1.%2."/>
      <w:lvlJc w:val="left"/>
      <w:pPr>
        <w:ind w:left="792" w:hanging="432"/>
      </w:pPr>
    </w:lvl>
    <w:lvl w:ilvl="2">
      <w:start w:val="1"/>
      <w:numFmt w:val="decimal"/>
      <w:pStyle w:val="Cabealho3"/>
      <w:lvlText w:val="%1.%2.%3."/>
      <w:lvlJc w:val="left"/>
      <w:pPr>
        <w:ind w:left="1224" w:hanging="504"/>
      </w:pPr>
    </w:lvl>
    <w:lvl w:ilvl="3">
      <w:start w:val="1"/>
      <w:numFmt w:val="decimal"/>
      <w:pStyle w:val="Cabealho4"/>
      <w:lvlText w:val="%1.%2.%3.%4."/>
      <w:lvlJc w:val="left"/>
      <w:pPr>
        <w:ind w:left="1728" w:hanging="648"/>
      </w:pPr>
    </w:lvl>
    <w:lvl w:ilvl="4">
      <w:start w:val="1"/>
      <w:numFmt w:val="decimal"/>
      <w:pStyle w:val="Cabealho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37E641BC"/>
    <w:multiLevelType w:val="hybridMultilevel"/>
    <w:tmpl w:val="0018F20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nsid w:val="5A1B2C3D"/>
    <w:multiLevelType w:val="hybridMultilevel"/>
    <w:tmpl w:val="7E8F9A0B"/>
    <w:lvl w:ilvl="0">
      <w:start w:val="1"/>
      <w:numFmt w:val="bullet"/>
      <w:lvlText w:val="•"/>
      <w:lvlJc w:val="left"/>
      <w:pPr>
        <w:ind w:left="720" w:hanging="360"/>
      </w:pPr>
      <w:rPr>
        <w:rFonts w:ascii="Arial" w:hAnsi="Arial" w:cs="Arial" w:hint="default"/>
      </w:rPr>
    </w:lvl>
    <w:lvl w:ilvl="1">
      <w:start w:val="1"/>
      <w:numFmt w:val="bullet"/>
      <w:lvlText w:val="–"/>
      <w:lvlJc w:val="left"/>
      <w:pPr>
        <w:ind w:left="1440" w:hanging="360"/>
      </w:pPr>
      <w:rPr>
        <w:rFonts w:ascii="Arial" w:hAnsi="Arial" w:cs="Arial"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mirrorMargins/>
  <w:proofState w:spelling="clean" w:grammar="clean"/>
  <w:defaultTabStop w:val="708"/>
  <w:hyphenationZone w:val="425"/>
  <w:evenAndOddHeaders/>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0C97"/>
    <w:rsid w:val="00002CA4"/>
    <w:rsid w:val="000327F7"/>
    <w:rsid w:val="00036986"/>
    <w:rsid w:val="000455C5"/>
    <w:rsid w:val="00056C27"/>
    <w:rsid w:val="00057199"/>
    <w:rsid w:val="00073081"/>
    <w:rsid w:val="00076822"/>
    <w:rsid w:val="00083104"/>
    <w:rsid w:val="000B517F"/>
    <w:rsid w:val="000C2409"/>
    <w:rsid w:val="000C36DF"/>
    <w:rsid w:val="000C67CE"/>
    <w:rsid w:val="000E4EA8"/>
    <w:rsid w:val="00107816"/>
    <w:rsid w:val="00115CC7"/>
    <w:rsid w:val="001A04C3"/>
    <w:rsid w:val="001A3B71"/>
    <w:rsid w:val="001B44DD"/>
    <w:rsid w:val="001E0530"/>
    <w:rsid w:val="001F188B"/>
    <w:rsid w:val="0020762A"/>
    <w:rsid w:val="0024416D"/>
    <w:rsid w:val="0026547F"/>
    <w:rsid w:val="00280A5F"/>
    <w:rsid w:val="00281DA0"/>
    <w:rsid w:val="00281E53"/>
    <w:rsid w:val="00294FA8"/>
    <w:rsid w:val="002B1C7C"/>
    <w:rsid w:val="002C77A8"/>
    <w:rsid w:val="002D3137"/>
    <w:rsid w:val="002F4FD7"/>
    <w:rsid w:val="00304C2C"/>
    <w:rsid w:val="00304C32"/>
    <w:rsid w:val="00337A64"/>
    <w:rsid w:val="003678D5"/>
    <w:rsid w:val="00371809"/>
    <w:rsid w:val="003A6660"/>
    <w:rsid w:val="003B3691"/>
    <w:rsid w:val="003B4A0A"/>
    <w:rsid w:val="003B53FF"/>
    <w:rsid w:val="003C2050"/>
    <w:rsid w:val="003D00F6"/>
    <w:rsid w:val="003E06B4"/>
    <w:rsid w:val="003E3491"/>
    <w:rsid w:val="003E4B41"/>
    <w:rsid w:val="00411285"/>
    <w:rsid w:val="0041435C"/>
    <w:rsid w:val="00421437"/>
    <w:rsid w:val="00432441"/>
    <w:rsid w:val="00497552"/>
    <w:rsid w:val="004A09F1"/>
    <w:rsid w:val="004E5701"/>
    <w:rsid w:val="005060C5"/>
    <w:rsid w:val="0051167C"/>
    <w:rsid w:val="00542D98"/>
    <w:rsid w:val="00587945"/>
    <w:rsid w:val="005C29DF"/>
    <w:rsid w:val="005C56BA"/>
    <w:rsid w:val="005D1639"/>
    <w:rsid w:val="0063129B"/>
    <w:rsid w:val="0069106B"/>
    <w:rsid w:val="006D40B4"/>
    <w:rsid w:val="006F73DB"/>
    <w:rsid w:val="00727FD9"/>
    <w:rsid w:val="00756E9F"/>
    <w:rsid w:val="0077691F"/>
    <w:rsid w:val="007A750C"/>
    <w:rsid w:val="008013DA"/>
    <w:rsid w:val="00802D5B"/>
    <w:rsid w:val="00804760"/>
    <w:rsid w:val="008113A7"/>
    <w:rsid w:val="00823B28"/>
    <w:rsid w:val="00855220"/>
    <w:rsid w:val="00861E0E"/>
    <w:rsid w:val="008D0FCC"/>
    <w:rsid w:val="008D3C2B"/>
    <w:rsid w:val="009179C0"/>
    <w:rsid w:val="00920C97"/>
    <w:rsid w:val="00922D65"/>
    <w:rsid w:val="00930B94"/>
    <w:rsid w:val="00962575"/>
    <w:rsid w:val="00986B66"/>
    <w:rsid w:val="009E73E0"/>
    <w:rsid w:val="009F3C77"/>
    <w:rsid w:val="00A245ED"/>
    <w:rsid w:val="00A61309"/>
    <w:rsid w:val="00A723E9"/>
    <w:rsid w:val="00A8526C"/>
    <w:rsid w:val="00AA76C5"/>
    <w:rsid w:val="00AE53D2"/>
    <w:rsid w:val="00AE78B5"/>
    <w:rsid w:val="00B10E2D"/>
    <w:rsid w:val="00B16F91"/>
    <w:rsid w:val="00B1714F"/>
    <w:rsid w:val="00B30193"/>
    <w:rsid w:val="00B545D3"/>
    <w:rsid w:val="00B86D87"/>
    <w:rsid w:val="00BE24FA"/>
    <w:rsid w:val="00C67D95"/>
    <w:rsid w:val="00C946A9"/>
    <w:rsid w:val="00CB589A"/>
    <w:rsid w:val="00CD73FF"/>
    <w:rsid w:val="00CE6692"/>
    <w:rsid w:val="00D01FC1"/>
    <w:rsid w:val="00D41FE1"/>
    <w:rsid w:val="00D8004E"/>
    <w:rsid w:val="00D90D0C"/>
    <w:rsid w:val="00DB6E9D"/>
    <w:rsid w:val="00DC0777"/>
    <w:rsid w:val="00DC2A5F"/>
    <w:rsid w:val="00DD042D"/>
    <w:rsid w:val="00E272DA"/>
    <w:rsid w:val="00E34661"/>
    <w:rsid w:val="00E42375"/>
    <w:rsid w:val="00E50E37"/>
    <w:rsid w:val="00E524F8"/>
    <w:rsid w:val="00E552A2"/>
    <w:rsid w:val="00EA7A5A"/>
    <w:rsid w:val="00F03B19"/>
    <w:rsid w:val="00F10BA8"/>
    <w:rsid w:val="00F67088"/>
    <w:rsid w:val="00F76D81"/>
    <w:rsid w:val="00FC30E3"/>
    <w:rsid w:val="00FD4374"/>
    <w:rsid w:val="00FF71AD"/>
  </w:rsids>
  <m:mathPr>
    <m:mathFont m:val="Cambria Math"/>
    <m:brkBin m:val="before"/>
    <m:brkBinSub m:val="--"/>
    <m:smallFrac m:val="0"/>
    <m:dispDef/>
    <m:lMargin m:val="0"/>
    <m:rMargin m:val="0"/>
    <m:defJc m:val="centerGroup"/>
    <m:wrapIndent m:val="1440"/>
    <m:intLim m:val="subSup"/>
    <m:naryLim m:val="undOvr"/>
  </m:mathPr>
  <w:themeFontLang w:val="pt-PT"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0B49E3"/>
  <w15:docId w15:val="{A37976DA-356D-4900-BA0C-480CF0891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50E37"/>
    <w:pPr>
      <w:spacing w:after="100" w:line="360" w:lineRule="auto"/>
      <w:ind w:firstLine="709"/>
      <w:jc w:val="both"/>
    </w:pPr>
    <w:rPr>
      <w:rFonts w:ascii="Arial" w:hAnsi="Arial" w:cs="Arial"/>
      <w:sz w:val="24"/>
      <w:szCs w:val="24"/>
    </w:rPr>
  </w:style>
  <w:style w:type="paragraph" w:styleId="Cabealho1">
    <w:name w:val="heading 1"/>
    <w:basedOn w:val="PargrafodaLista"/>
    <w:next w:val="Normal"/>
    <w:link w:val="Cabealho1Carter"/>
    <w:uiPriority w:val="9"/>
    <w:qFormat/>
    <w:rsid w:val="006D40B4"/>
    <w:pPr>
      <w:numPr>
        <w:numId w:val="1"/>
      </w:numPr>
      <w:spacing w:after="240"/>
      <w:outlineLvl w:val="0"/>
    </w:pPr>
    <w:rPr>
      <w:b/>
      <w:sz w:val="36"/>
      <w:szCs w:val="36"/>
    </w:rPr>
  </w:style>
  <w:style w:type="paragraph" w:styleId="Cabealho2">
    <w:name w:val="heading 2"/>
    <w:basedOn w:val="PargrafodaLista"/>
    <w:next w:val="Normal"/>
    <w:link w:val="Cabealho2Carter"/>
    <w:uiPriority w:val="9"/>
    <w:unhideWhenUsed/>
    <w:qFormat/>
    <w:rsid w:val="006D40B4"/>
    <w:pPr>
      <w:numPr>
        <w:ilvl w:val="1"/>
        <w:numId w:val="1"/>
      </w:numPr>
      <w:spacing w:before="240" w:after="240"/>
      <w:ind w:left="426"/>
      <w:outlineLvl w:val="1"/>
    </w:pPr>
    <w:rPr>
      <w:b/>
    </w:rPr>
  </w:style>
  <w:style w:type="paragraph" w:styleId="Cabealho3">
    <w:name w:val="heading 3"/>
    <w:basedOn w:val="PargrafodaLista"/>
    <w:next w:val="Normal"/>
    <w:link w:val="Cabealho3Carter"/>
    <w:uiPriority w:val="9"/>
    <w:unhideWhenUsed/>
    <w:qFormat/>
    <w:rsid w:val="003B53FF"/>
    <w:pPr>
      <w:numPr>
        <w:ilvl w:val="2"/>
        <w:numId w:val="1"/>
      </w:numPr>
      <w:spacing w:after="0"/>
      <w:outlineLvl w:val="2"/>
    </w:pPr>
    <w:rPr>
      <w:b/>
    </w:rPr>
  </w:style>
  <w:style w:type="paragraph" w:styleId="Cabealho4">
    <w:name w:val="heading 4"/>
    <w:basedOn w:val="PargrafodaLista"/>
    <w:next w:val="Normal"/>
    <w:link w:val="Cabealho4Carter"/>
    <w:uiPriority w:val="9"/>
    <w:unhideWhenUsed/>
    <w:qFormat/>
    <w:rsid w:val="003B53FF"/>
    <w:pPr>
      <w:numPr>
        <w:ilvl w:val="3"/>
        <w:numId w:val="1"/>
      </w:numPr>
      <w:spacing w:after="0"/>
      <w:outlineLvl w:val="3"/>
    </w:pPr>
    <w:rPr>
      <w:b/>
    </w:rPr>
  </w:style>
  <w:style w:type="paragraph" w:styleId="Cabealho5">
    <w:name w:val="heading 5"/>
    <w:basedOn w:val="PargrafodaLista"/>
    <w:next w:val="Normal"/>
    <w:link w:val="Cabealho5Carter"/>
    <w:uiPriority w:val="9"/>
    <w:unhideWhenUsed/>
    <w:qFormat/>
    <w:rsid w:val="003B53FF"/>
    <w:pPr>
      <w:numPr>
        <w:ilvl w:val="4"/>
        <w:numId w:val="1"/>
      </w:numPr>
      <w:spacing w:after="0"/>
      <w:outlineLvl w:val="4"/>
    </w:pPr>
    <w:rPr>
      <w:b/>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B545D3"/>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B545D3"/>
  </w:style>
  <w:style w:type="paragraph" w:styleId="Rodap">
    <w:name w:val="footer"/>
    <w:basedOn w:val="Normal"/>
    <w:link w:val="RodapCarter"/>
    <w:uiPriority w:val="99"/>
    <w:unhideWhenUsed/>
    <w:rsid w:val="00B545D3"/>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B545D3"/>
  </w:style>
  <w:style w:type="table" w:styleId="Tabelacomgrelha">
    <w:name w:val="Table Grid"/>
    <w:basedOn w:val="Tabelanormal"/>
    <w:uiPriority w:val="39"/>
    <w:rsid w:val="005D16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abealho1Carter">
    <w:name w:val="Cabeçalho 1 Caráter"/>
    <w:basedOn w:val="Tipodeletrapredefinidodopargrafo"/>
    <w:link w:val="Cabealho1"/>
    <w:uiPriority w:val="9"/>
    <w:rsid w:val="006D40B4"/>
    <w:rPr>
      <w:rFonts w:ascii="Arial" w:hAnsi="Arial" w:cs="Arial"/>
      <w:b/>
      <w:sz w:val="36"/>
      <w:szCs w:val="36"/>
    </w:rPr>
  </w:style>
  <w:style w:type="paragraph" w:styleId="PargrafodaLista">
    <w:name w:val="List Paragraph"/>
    <w:basedOn w:val="Normal"/>
    <w:uiPriority w:val="34"/>
    <w:qFormat/>
    <w:rsid w:val="003B53FF"/>
    <w:pPr>
      <w:ind w:left="720"/>
      <w:contextualSpacing/>
    </w:pPr>
  </w:style>
  <w:style w:type="paragraph" w:styleId="Cabealhodondice">
    <w:name w:val="TOC Heading"/>
    <w:basedOn w:val="Cabealho1"/>
    <w:next w:val="Normal"/>
    <w:uiPriority w:val="39"/>
    <w:unhideWhenUsed/>
    <w:qFormat/>
    <w:rsid w:val="003B53FF"/>
    <w:pPr>
      <w:spacing w:before="240" w:line="259" w:lineRule="auto"/>
      <w:outlineLvl w:val="9"/>
    </w:pPr>
    <w:rPr>
      <w:rFonts w:asciiTheme="majorHAnsi" w:hAnsiTheme="majorHAnsi"/>
      <w:b w:val="0"/>
      <w:bCs/>
      <w:color w:val="365F91" w:themeColor="accent1" w:themeShade="BF"/>
      <w:sz w:val="32"/>
      <w:szCs w:val="32"/>
      <w:lang w:eastAsia="pt-PT"/>
    </w:rPr>
  </w:style>
  <w:style w:type="paragraph" w:styleId="ndice1">
    <w:name w:val="toc 1"/>
    <w:basedOn w:val="Normal"/>
    <w:next w:val="Normal"/>
    <w:autoRedefine/>
    <w:uiPriority w:val="39"/>
    <w:unhideWhenUsed/>
    <w:rsid w:val="003B53FF"/>
  </w:style>
  <w:style w:type="character" w:styleId="Hiperligao">
    <w:name w:val="Hyperlink"/>
    <w:basedOn w:val="Tipodeletrapredefinidodopargrafo"/>
    <w:uiPriority w:val="99"/>
    <w:unhideWhenUsed/>
    <w:rsid w:val="003B53FF"/>
    <w:rPr>
      <w:color w:val="0000FF" w:themeColor="hyperlink"/>
      <w:u w:val="single"/>
    </w:rPr>
  </w:style>
  <w:style w:type="character" w:customStyle="1" w:styleId="Cabealho2Carter">
    <w:name w:val="Cabeçalho 2 Caráter"/>
    <w:basedOn w:val="Tipodeletrapredefinidodopargrafo"/>
    <w:link w:val="Cabealho2"/>
    <w:uiPriority w:val="9"/>
    <w:rsid w:val="006D40B4"/>
    <w:rPr>
      <w:rFonts w:ascii="Arial" w:hAnsi="Arial" w:cs="Arial"/>
      <w:b/>
      <w:sz w:val="24"/>
      <w:szCs w:val="24"/>
    </w:rPr>
  </w:style>
  <w:style w:type="character" w:customStyle="1" w:styleId="Cabealho3Carter">
    <w:name w:val="Cabeçalho 3 Caráter"/>
    <w:basedOn w:val="Tipodeletrapredefinidodopargrafo"/>
    <w:link w:val="Cabealho3"/>
    <w:uiPriority w:val="9"/>
    <w:rsid w:val="003B53FF"/>
    <w:rPr>
      <w:rFonts w:ascii="Arial" w:hAnsi="Arial" w:cs="Arial"/>
      <w:b/>
      <w:sz w:val="24"/>
      <w:szCs w:val="24"/>
    </w:rPr>
  </w:style>
  <w:style w:type="character" w:customStyle="1" w:styleId="Cabealho4Carter">
    <w:name w:val="Cabeçalho 4 Caráter"/>
    <w:basedOn w:val="Tipodeletrapredefinidodopargrafo"/>
    <w:link w:val="Cabealho4"/>
    <w:uiPriority w:val="9"/>
    <w:rsid w:val="003B53FF"/>
    <w:rPr>
      <w:rFonts w:ascii="Arial" w:hAnsi="Arial" w:cs="Arial"/>
      <w:b/>
      <w:sz w:val="24"/>
      <w:szCs w:val="24"/>
    </w:rPr>
  </w:style>
  <w:style w:type="character" w:customStyle="1" w:styleId="Cabealho5Carter">
    <w:name w:val="Cabeçalho 5 Caráter"/>
    <w:basedOn w:val="Tipodeletrapredefinidodopargrafo"/>
    <w:link w:val="Cabealho5"/>
    <w:uiPriority w:val="9"/>
    <w:rsid w:val="003B53FF"/>
    <w:rPr>
      <w:rFonts w:ascii="Arial" w:hAnsi="Arial" w:cs="Arial"/>
      <w:b/>
      <w:sz w:val="24"/>
      <w:szCs w:val="24"/>
    </w:rPr>
  </w:style>
  <w:style w:type="paragraph" w:styleId="Legenda">
    <w:name w:val="caption"/>
    <w:basedOn w:val="Normal"/>
    <w:next w:val="Normal"/>
    <w:uiPriority w:val="35"/>
    <w:unhideWhenUsed/>
    <w:qFormat/>
    <w:rsid w:val="00B86D87"/>
    <w:pPr>
      <w:spacing w:before="240" w:line="240" w:lineRule="auto"/>
      <w:ind w:firstLine="708"/>
    </w:pPr>
    <w:rPr>
      <w:rFonts w:ascii="Carlito" w:hAnsi="Carlito" w:cs="Carlito"/>
      <w:i/>
      <w:iCs/>
    </w:rPr>
  </w:style>
  <w:style w:type="paragraph" w:customStyle="1" w:styleId="Code">
    <w:name w:val="Code"/>
    <w:basedOn w:val="Normal"/>
    <w:link w:val="CodeChar"/>
    <w:qFormat/>
    <w:rsid w:val="00B86D87"/>
    <w:pPr>
      <w:spacing w:after="160" w:line="259" w:lineRule="auto"/>
    </w:pPr>
    <w:rPr>
      <w:rFonts w:ascii="Courier New" w:hAnsi="Courier New" w:cs="Courier New"/>
    </w:rPr>
  </w:style>
  <w:style w:type="character" w:customStyle="1" w:styleId="CodeChar">
    <w:name w:val="Code Char"/>
    <w:basedOn w:val="Tipodeletrapredefinidodopargrafo"/>
    <w:link w:val="Code"/>
    <w:rsid w:val="00B86D87"/>
    <w:rPr>
      <w:rFonts w:ascii="Courier New" w:hAnsi="Courier New" w:cs="Courier New"/>
    </w:rPr>
  </w:style>
  <w:style w:type="paragraph" w:styleId="Bibliografia">
    <w:name w:val="Bibliography"/>
    <w:basedOn w:val="Normal"/>
    <w:next w:val="Normal"/>
    <w:uiPriority w:val="37"/>
    <w:unhideWhenUsed/>
    <w:rsid w:val="00804760"/>
    <w:pPr>
      <w:spacing w:after="160" w:line="259" w:lineRule="auto"/>
      <w:ind w:firstLine="708"/>
    </w:pPr>
    <w:rPr>
      <w:rFonts w:ascii="Carlito" w:hAnsi="Carlito" w:cs="Carlito"/>
      <w:lang w:val="en-US"/>
    </w:rPr>
  </w:style>
  <w:style w:type="paragraph" w:styleId="ndice2">
    <w:name w:val="toc 2"/>
    <w:basedOn w:val="Normal"/>
    <w:next w:val="Normal"/>
    <w:autoRedefine/>
    <w:uiPriority w:val="39"/>
    <w:unhideWhenUsed/>
    <w:rsid w:val="00804760"/>
    <w:pPr>
      <w:ind w:left="220"/>
    </w:pPr>
  </w:style>
  <w:style w:type="paragraph" w:styleId="ndice3">
    <w:name w:val="toc 3"/>
    <w:basedOn w:val="Normal"/>
    <w:next w:val="Normal"/>
    <w:autoRedefine/>
    <w:uiPriority w:val="39"/>
    <w:unhideWhenUsed/>
    <w:rsid w:val="00804760"/>
    <w:pPr>
      <w:ind w:left="440"/>
    </w:pPr>
  </w:style>
  <w:style w:type="paragraph" w:styleId="ndice4">
    <w:name w:val="toc 4"/>
    <w:basedOn w:val="Normal"/>
    <w:next w:val="Normal"/>
    <w:autoRedefine/>
    <w:uiPriority w:val="39"/>
    <w:unhideWhenUsed/>
    <w:rsid w:val="00804760"/>
    <w:pPr>
      <w:ind w:left="660"/>
    </w:pPr>
  </w:style>
  <w:style w:type="paragraph" w:styleId="ndice5">
    <w:name w:val="toc 5"/>
    <w:basedOn w:val="Normal"/>
    <w:next w:val="Normal"/>
    <w:autoRedefine/>
    <w:uiPriority w:val="39"/>
    <w:unhideWhenUsed/>
    <w:rsid w:val="00804760"/>
    <w:pPr>
      <w:ind w:left="880"/>
    </w:pPr>
  </w:style>
  <w:style w:type="paragraph" w:styleId="ndicedeIlustraes">
    <w:name w:val="table of figures"/>
    <w:basedOn w:val="Normal"/>
    <w:next w:val="Normal"/>
    <w:uiPriority w:val="99"/>
    <w:unhideWhenUsed/>
    <w:rsid w:val="00036986"/>
    <w:pPr>
      <w:spacing w:after="0"/>
    </w:pPr>
  </w:style>
  <w:style w:type="paragraph" w:styleId="Ttulo">
    <w:name w:val="Title"/>
    <w:basedOn w:val="Normal"/>
    <w:next w:val="Normal"/>
    <w:link w:val="TtuloCarter"/>
    <w:uiPriority w:val="10"/>
    <w:qFormat/>
    <w:rsid w:val="00E50E37"/>
    <w:pPr>
      <w:jc w:val="center"/>
    </w:pPr>
    <w:rPr>
      <w:sz w:val="32"/>
      <w:szCs w:val="32"/>
    </w:rPr>
  </w:style>
  <w:style w:type="character" w:customStyle="1" w:styleId="TtuloCarter">
    <w:name w:val="Título Caráter"/>
    <w:basedOn w:val="Tipodeletrapredefinidodopargrafo"/>
    <w:link w:val="Ttulo"/>
    <w:uiPriority w:val="10"/>
    <w:rsid w:val="00E50E37"/>
    <w:rPr>
      <w:rFonts w:ascii="Arial" w:hAnsi="Arial" w:cs="Arial"/>
      <w:sz w:val="32"/>
      <w:szCs w:val="32"/>
    </w:rPr>
  </w:style>
  <w:style w:type="paragraph" w:customStyle="1" w:styleId="Autor">
    <w:name w:val="Autor"/>
    <w:basedOn w:val="Normal"/>
    <w:link w:val="AutorChar"/>
    <w:qFormat/>
    <w:rsid w:val="00E50E37"/>
    <w:pPr>
      <w:jc w:val="center"/>
    </w:pPr>
    <w:rPr>
      <w:sz w:val="28"/>
      <w:szCs w:val="28"/>
    </w:rPr>
  </w:style>
  <w:style w:type="paragraph" w:customStyle="1" w:styleId="RodapdaCapa">
    <w:name w:val="Rodapé da Capa"/>
    <w:basedOn w:val="Normal"/>
    <w:link w:val="RodapdaCapaChar"/>
    <w:qFormat/>
    <w:rsid w:val="00E50E37"/>
    <w:pPr>
      <w:tabs>
        <w:tab w:val="left" w:pos="1981"/>
      </w:tabs>
      <w:jc w:val="center"/>
    </w:pPr>
  </w:style>
  <w:style w:type="character" w:customStyle="1" w:styleId="AutorChar">
    <w:name w:val="Autor Char"/>
    <w:basedOn w:val="Tipodeletrapredefinidodopargrafo"/>
    <w:link w:val="Autor"/>
    <w:rsid w:val="00E50E37"/>
    <w:rPr>
      <w:rFonts w:ascii="Arial" w:hAnsi="Arial" w:cs="Arial"/>
      <w:sz w:val="28"/>
      <w:szCs w:val="28"/>
    </w:rPr>
  </w:style>
  <w:style w:type="paragraph" w:customStyle="1" w:styleId="TituloNoNumerado">
    <w:name w:val="Titulo Não Numerado"/>
    <w:basedOn w:val="Normal"/>
    <w:link w:val="TituloNoNumeradoChar"/>
    <w:qFormat/>
    <w:rsid w:val="001B44DD"/>
    <w:pPr>
      <w:jc w:val="center"/>
    </w:pPr>
    <w:rPr>
      <w:b/>
      <w:sz w:val="26"/>
      <w:szCs w:val="26"/>
    </w:rPr>
  </w:style>
  <w:style w:type="character" w:customStyle="1" w:styleId="RodapdaCapaChar">
    <w:name w:val="Rodapé da Capa Char"/>
    <w:basedOn w:val="Tipodeletrapredefinidodopargrafo"/>
    <w:link w:val="RodapdaCapa"/>
    <w:rsid w:val="00E50E37"/>
    <w:rPr>
      <w:rFonts w:ascii="Arial" w:hAnsi="Arial" w:cs="Arial"/>
      <w:sz w:val="24"/>
      <w:szCs w:val="24"/>
    </w:rPr>
  </w:style>
  <w:style w:type="paragraph" w:styleId="Citao">
    <w:name w:val="Quote"/>
    <w:basedOn w:val="Normal"/>
    <w:next w:val="Normal"/>
    <w:link w:val="CitaoCarter"/>
    <w:uiPriority w:val="29"/>
    <w:qFormat/>
    <w:rsid w:val="006D40B4"/>
    <w:pPr>
      <w:spacing w:before="200" w:after="160"/>
      <w:ind w:left="864" w:right="864"/>
    </w:pPr>
    <w:rPr>
      <w:i/>
      <w:iCs/>
      <w:color w:val="404040" w:themeColor="text1" w:themeTint="BF"/>
      <w:lang w:val="en-US"/>
    </w:rPr>
  </w:style>
  <w:style w:type="character" w:customStyle="1" w:styleId="TituloNoNumeradoChar">
    <w:name w:val="Titulo Não Numerado Char"/>
    <w:basedOn w:val="Tipodeletrapredefinidodopargrafo"/>
    <w:link w:val="TituloNoNumerado"/>
    <w:rsid w:val="001B44DD"/>
    <w:rPr>
      <w:rFonts w:ascii="Arial" w:hAnsi="Arial" w:cs="Arial"/>
      <w:b/>
      <w:sz w:val="26"/>
      <w:szCs w:val="26"/>
    </w:rPr>
  </w:style>
  <w:style w:type="character" w:customStyle="1" w:styleId="CitaoCarter">
    <w:name w:val="Citação Caráter"/>
    <w:basedOn w:val="Tipodeletrapredefinidodopargrafo"/>
    <w:link w:val="Citao"/>
    <w:uiPriority w:val="29"/>
    <w:rsid w:val="006D40B4"/>
    <w:rPr>
      <w:rFonts w:ascii="Arial" w:hAnsi="Arial" w:cs="Arial"/>
      <w:i/>
      <w:iCs/>
      <w:color w:val="404040" w:themeColor="text1" w:themeTint="BF"/>
      <w:sz w:val="24"/>
      <w:szCs w:val="24"/>
      <w:lang w:val="en-US"/>
    </w:rPr>
  </w:style>
  <w:style w:type="character" w:styleId="Nmerodepgina">
    <w:name w:val="page number"/>
    <w:basedOn w:val="Tipodeletrapredefinidodopargrafo"/>
    <w:uiPriority w:val="99"/>
    <w:semiHidden/>
    <w:unhideWhenUsed/>
    <w:rsid w:val="002654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image" Target="media/image3.jpeg"/><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jpeg"/><Relationship Id="rId10" Type="http://schemas.openxmlformats.org/officeDocument/2006/relationships/footer" Target="footer1.xml"/><Relationship Id="rId200" Type="http://schemas.openxmlformats.org/officeDocument/2006/relationships/image" Target="media/img_arch.png"/><Relationship Id="rId201" Type="http://schemas.openxmlformats.org/officeDocument/2006/relationships/image" Target="media/img_docker.png"/><Relationship Id="rId202" Type="http://schemas.openxmlformats.org/officeDocument/2006/relationships/image" Target="media/img_knime_p1_t.png"/><Relationship Id="rId203" Type="http://schemas.openxmlformats.org/officeDocument/2006/relationships/image" Target="media/img_knime_p2_t.png"/><Relationship Id="rId204" Type="http://schemas.openxmlformats.org/officeDocument/2006/relationships/image" Target="media/img_k_api.png"/><Relationship Id="rId205" Type="http://schemas.openxmlformats.org/officeDocument/2006/relationships/image" Target="media/img_k_csv.png"/><Relationship Id="rId206" Type="http://schemas.openxmlformats.org/officeDocument/2006/relationships/image" Target="media/img_k_numbeo.png"/><Relationship Id="rId207" Type="http://schemas.openxmlformats.org/officeDocument/2006/relationships/image" Target="media/img_k_rules.png"/><Relationship Id="rId208" Type="http://schemas.openxmlformats.org/officeDocument/2006/relationships/image" Target="media/img_k_join.png"/><Relationship Id="rId209" Type="http://schemas.openxmlformats.org/officeDocument/2006/relationships/image" Target="media/img_nr_extract.png"/><Relationship Id="rId210" Type="http://schemas.openxmlformats.org/officeDocument/2006/relationships/image" Target="media/img_k_loop.png"/><Relationship Id="rId211" Type="http://schemas.openxmlformats.org/officeDocument/2006/relationships/image" Target="media/img_rabbit.png"/><Relationship Id="rId212" Type="http://schemas.openxmlformats.org/officeDocument/2006/relationships/image" Target="media/img_nr_consumer.png"/><Relationship Id="rId213" Type="http://schemas.openxmlformats.org/officeDocument/2006/relationships/image" Target="media/img_t_ofertas.png"/><Relationship Id="rId214" Type="http://schemas.openxmlformats.org/officeDocument/2006/relationships/image" Target="media/img_t_vagas.png"/><Relationship Id="rId215" Type="http://schemas.openxmlformats.org/officeDocument/2006/relationships/image" Target="media/img_tg_msgs.png"/><Relationship Id="rId216" Type="http://schemas.openxmlformats.org/officeDocument/2006/relationships/image" Target="media/img_g_chart.png"/><Relationship Id="rId217" Type="http://schemas.openxmlformats.org/officeDocument/2006/relationships/image" Target="media/img_g_query.png"/><Relationship Id="rId218" Type="http://schemas.openxmlformats.org/officeDocument/2006/relationships/image" Target="media/img_grafana.png"/><Relationship Id="rId219" Type="http://schemas.openxmlformats.org/officeDocument/2006/relationships/image" Target="media/img_qr.png"/><Relationship Id="rId300" Type="http://schemas.openxmlformats.org/officeDocument/2006/relationships/image" Target="media/img_logo_upca.png"/><Relationship Id="rId301" Type="http://schemas.openxmlformats.org/officeDocument/2006/relationships/image" Target="media/img_logo_est.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6DEB3F-09EB-1341-9D13-1ECD9CEE4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24</Pages>
  <Words>1671</Words>
  <Characters>9028</Characters>
  <Application>Microsoft Macintosh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IPCA</Company>
  <LinksUpToDate>false</LinksUpToDate>
  <CharactersWithSpaces>10678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Pipeline ETL para Análise do Poder de Compra no Setor Tecnológico – Tech Purchasing Power</dc:title>
  <dc:subject>Integração de Sistemas de Informação – Trabalho Prático I</dc:subject>
  <dc:creator>Alexandre Silva</dc:creator>
  <cp:keywords/>
  <dc:description/>
  <cp:lastModifiedBy>Alexandre Silva</cp:lastModifiedBy>
  <cp:revision>24</cp:revision>
  <dcterms:created xsi:type="dcterms:W3CDTF">2026-10-22T00:00:00Z</dcterms:created>
  <dcterms:modified xsi:type="dcterms:W3CDTF">2026-10-22T00:00:00Z</dcterms:modified>
</cp:coreProperties>
</file>