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E1A6A" w14:textId="10771445" w:rsidR="00E16722" w:rsidRDefault="001E7733" w:rsidP="00BE49AB">
      <w:pPr>
        <w:rPr>
          <w:rFonts w:ascii="Times New Roman" w:hAnsi="Times New Roman" w:cs="Times New Roman"/>
          <w:b/>
          <w:bCs/>
          <w:sz w:val="24"/>
          <w:szCs w:val="24"/>
        </w:rPr>
      </w:pPr>
      <w:r w:rsidRPr="001E7733">
        <w:rPr>
          <w:rFonts w:ascii="Times New Roman" w:hAnsi="Times New Roman" w:cs="Times New Roman"/>
          <w:b/>
          <w:bCs/>
          <w:sz w:val="24"/>
          <w:szCs w:val="24"/>
        </w:rPr>
        <w:t xml:space="preserve">Summary of Week </w:t>
      </w:r>
      <w:r w:rsidR="00A933D7">
        <w:rPr>
          <w:rFonts w:ascii="Times New Roman" w:hAnsi="Times New Roman" w:cs="Times New Roman"/>
          <w:b/>
          <w:bCs/>
          <w:sz w:val="24"/>
          <w:szCs w:val="24"/>
        </w:rPr>
        <w:t>7</w:t>
      </w:r>
      <w:r w:rsidRPr="001E7733">
        <w:rPr>
          <w:rFonts w:ascii="Times New Roman" w:hAnsi="Times New Roman" w:cs="Times New Roman"/>
          <w:b/>
          <w:bCs/>
          <w:sz w:val="24"/>
          <w:szCs w:val="24"/>
        </w:rPr>
        <w:t xml:space="preserve"> Seminar Notes</w:t>
      </w:r>
    </w:p>
    <w:p w14:paraId="33E04FC0" w14:textId="7B882703" w:rsidR="00BE49AB" w:rsidRP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Abstract</w:t>
      </w:r>
      <w:r w:rsidRPr="00BE49AB">
        <w:rPr>
          <w:rFonts w:ascii="Times New Roman" w:hAnsi="Times New Roman" w:cs="Times New Roman"/>
          <w:b/>
          <w:bCs/>
          <w:sz w:val="24"/>
          <w:szCs w:val="24"/>
        </w:rPr>
        <w:br/>
      </w:r>
      <w:r w:rsidRPr="00BE49AB">
        <w:rPr>
          <w:rFonts w:ascii="Times New Roman" w:hAnsi="Times New Roman" w:cs="Times New Roman"/>
          <w:sz w:val="20"/>
          <w:szCs w:val="20"/>
        </w:rPr>
        <w:t>The Week 6 seminar focused on the challenges of recognizing intangible assets under IAS 38. The standard prioritizes reliability over relevance, often causing intangible-intensive businesses, such as technology companies, to appear undervalued in financial statements. This inadequate accounting treatment diminishes the relevance of financial information and distorts market valuations by failing to align costs with future revenues. Such misrepresentation leads to resource allocation inefficiencies and undervaluation of firms with substantial intangible assets (Zeghal &amp; Maaloul, 2011). The seminar also highlighted the role of voluntary disclosure as a potential remedy to bridge the gaps in financial reporting for intangibles (Lev &amp; Zarowin, 1999).</w:t>
      </w:r>
      <w:r w:rsidR="00F04EEE">
        <w:rPr>
          <w:rFonts w:ascii="Times New Roman" w:hAnsi="Times New Roman" w:cs="Times New Roman"/>
          <w:sz w:val="20"/>
          <w:szCs w:val="20"/>
        </w:rPr>
        <w:t xml:space="preserve"> </w:t>
      </w:r>
      <w:r w:rsidR="00F04EEE" w:rsidRPr="00F04EEE">
        <w:rPr>
          <w:rFonts w:ascii="Times New Roman" w:hAnsi="Times New Roman" w:cs="Times New Roman"/>
          <w:sz w:val="20"/>
          <w:szCs w:val="20"/>
        </w:rPr>
        <w:t>In industries like technology, pharmaceuticals, and media, intangible assets like software, R&amp;D investments, and intellectual property are essential for creating value, but they are often undervalued under IAS 38 because these costs are expensed rather than capitalized</w:t>
      </w:r>
      <w:r w:rsidR="00DF3DEB">
        <w:rPr>
          <w:rFonts w:ascii="Times New Roman" w:hAnsi="Times New Roman" w:cs="Times New Roman"/>
          <w:sz w:val="20"/>
          <w:szCs w:val="20"/>
        </w:rPr>
        <w:t xml:space="preserve"> (</w:t>
      </w:r>
      <w:r w:rsidR="00DF3DEB" w:rsidRPr="008813DC">
        <w:rPr>
          <w:rFonts w:ascii="Times New Roman" w:hAnsi="Times New Roman" w:cs="Times New Roman"/>
          <w:sz w:val="20"/>
          <w:szCs w:val="20"/>
        </w:rPr>
        <w:t>IAS Plus. (n.d.).</w:t>
      </w:r>
    </w:p>
    <w:p w14:paraId="3F604254" w14:textId="77777777" w:rsidR="00BE49AB" w:rsidRPr="00BE49AB" w:rsidRDefault="00BE49AB" w:rsidP="00BE49AB">
      <w:pPr>
        <w:rPr>
          <w:rFonts w:ascii="Times New Roman" w:hAnsi="Times New Roman" w:cs="Times New Roman"/>
          <w:sz w:val="20"/>
          <w:szCs w:val="20"/>
        </w:rPr>
      </w:pPr>
      <w:r w:rsidRPr="00BE49AB">
        <w:rPr>
          <w:rFonts w:ascii="Times New Roman" w:hAnsi="Times New Roman" w:cs="Times New Roman"/>
          <w:b/>
          <w:bCs/>
          <w:sz w:val="24"/>
          <w:szCs w:val="24"/>
        </w:rPr>
        <w:t>Group Question and Answer</w:t>
      </w:r>
      <w:r w:rsidRPr="00BE49AB">
        <w:rPr>
          <w:rFonts w:ascii="Times New Roman" w:hAnsi="Times New Roman" w:cs="Times New Roman"/>
          <w:b/>
          <w:bCs/>
          <w:sz w:val="24"/>
          <w:szCs w:val="24"/>
        </w:rPr>
        <w:br/>
        <w:t>Question posed to the opposing group:</w:t>
      </w:r>
      <w:r w:rsidRPr="00BE49AB">
        <w:rPr>
          <w:rFonts w:ascii="Times New Roman" w:hAnsi="Times New Roman" w:cs="Times New Roman"/>
          <w:b/>
          <w:bCs/>
          <w:sz w:val="24"/>
          <w:szCs w:val="24"/>
        </w:rPr>
        <w:br/>
      </w:r>
      <w:r w:rsidRPr="00BE49AB">
        <w:rPr>
          <w:rFonts w:ascii="Times New Roman" w:hAnsi="Times New Roman" w:cs="Times New Roman"/>
          <w:i/>
          <w:iCs/>
          <w:sz w:val="20"/>
          <w:szCs w:val="20"/>
        </w:rPr>
        <w:t>"How does immediate expensing of intangible investments distort the matching principle in accounting?"</w:t>
      </w:r>
    </w:p>
    <w:p w14:paraId="6ADD7897" w14:textId="77777777" w:rsidR="00BE49AB" w:rsidRPr="00BE49AB" w:rsidRDefault="00BE49AB" w:rsidP="00BE49AB">
      <w:pPr>
        <w:rPr>
          <w:rFonts w:ascii="Times New Roman" w:hAnsi="Times New Roman" w:cs="Times New Roman"/>
          <w:sz w:val="20"/>
          <w:szCs w:val="20"/>
        </w:rPr>
      </w:pPr>
      <w:r w:rsidRPr="00BE49AB">
        <w:rPr>
          <w:rFonts w:ascii="Times New Roman" w:hAnsi="Times New Roman" w:cs="Times New Roman"/>
          <w:b/>
          <w:bCs/>
          <w:sz w:val="24"/>
          <w:szCs w:val="24"/>
        </w:rPr>
        <w:t>Answer provided by the other group:</w:t>
      </w:r>
      <w:r w:rsidRPr="00BE49AB">
        <w:rPr>
          <w:rFonts w:ascii="Times New Roman" w:hAnsi="Times New Roman" w:cs="Times New Roman"/>
          <w:b/>
          <w:bCs/>
          <w:sz w:val="24"/>
          <w:szCs w:val="24"/>
        </w:rPr>
        <w:br/>
      </w:r>
      <w:r w:rsidRPr="00BE49AB">
        <w:rPr>
          <w:rFonts w:ascii="Times New Roman" w:hAnsi="Times New Roman" w:cs="Times New Roman"/>
          <w:sz w:val="20"/>
          <w:szCs w:val="20"/>
        </w:rPr>
        <w:t>Expensing immediately goes against the matching principle by recognizing costs for intangibles in the current period, even though the related revenues are realized later. This results in underestimated profits and asset values, causing inaccuracies in financial statements (Lev, 2001).</w:t>
      </w:r>
    </w:p>
    <w:p w14:paraId="4D681E28" w14:textId="77777777" w:rsidR="00BE49AB" w:rsidRP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Other Observations from the Debate</w:t>
      </w:r>
    </w:p>
    <w:p w14:paraId="2E59D48D" w14:textId="77777777" w:rsidR="00BE49AB" w:rsidRPr="00BE49AB" w:rsidRDefault="00BE49AB" w:rsidP="00BE49AB">
      <w:pPr>
        <w:numPr>
          <w:ilvl w:val="0"/>
          <w:numId w:val="2"/>
        </w:numPr>
        <w:tabs>
          <w:tab w:val="num" w:pos="720"/>
        </w:tabs>
        <w:rPr>
          <w:rFonts w:ascii="Times New Roman" w:hAnsi="Times New Roman" w:cs="Times New Roman"/>
          <w:sz w:val="20"/>
          <w:szCs w:val="20"/>
        </w:rPr>
      </w:pPr>
      <w:r w:rsidRPr="00BE49AB">
        <w:rPr>
          <w:rFonts w:ascii="Times New Roman" w:hAnsi="Times New Roman" w:cs="Times New Roman"/>
          <w:b/>
          <w:bCs/>
          <w:sz w:val="24"/>
          <w:szCs w:val="24"/>
        </w:rPr>
        <w:t>Conservative values and the incorrect assessment of value:</w:t>
      </w:r>
      <w:r w:rsidRPr="00BE49AB">
        <w:rPr>
          <w:rFonts w:ascii="Times New Roman" w:hAnsi="Times New Roman" w:cs="Times New Roman"/>
          <w:b/>
          <w:bCs/>
          <w:sz w:val="24"/>
          <w:szCs w:val="24"/>
        </w:rPr>
        <w:br/>
      </w:r>
      <w:r w:rsidRPr="00BE49AB">
        <w:rPr>
          <w:rFonts w:ascii="Times New Roman" w:hAnsi="Times New Roman" w:cs="Times New Roman"/>
          <w:sz w:val="20"/>
          <w:szCs w:val="20"/>
        </w:rPr>
        <w:t>The accounting principle of conservative value, which places a higher emphasis on reliability than relevance, consistently underestimated the value of companies with heavy investments in research and development (Lev et al., 2005).</w:t>
      </w:r>
    </w:p>
    <w:p w14:paraId="473BEDE7" w14:textId="77777777" w:rsidR="00BE49AB" w:rsidRPr="00BE49AB" w:rsidRDefault="00BE49AB" w:rsidP="00BE49AB">
      <w:pPr>
        <w:numPr>
          <w:ilvl w:val="0"/>
          <w:numId w:val="2"/>
        </w:numPr>
        <w:tabs>
          <w:tab w:val="num" w:pos="720"/>
        </w:tabs>
        <w:rPr>
          <w:rFonts w:ascii="Times New Roman" w:hAnsi="Times New Roman" w:cs="Times New Roman"/>
          <w:sz w:val="20"/>
          <w:szCs w:val="20"/>
        </w:rPr>
      </w:pPr>
      <w:r w:rsidRPr="00BE49AB">
        <w:rPr>
          <w:rFonts w:ascii="Times New Roman" w:hAnsi="Times New Roman" w:cs="Times New Roman"/>
          <w:b/>
          <w:bCs/>
          <w:sz w:val="24"/>
          <w:szCs w:val="24"/>
        </w:rPr>
        <w:t>Socio-Economic Consequences:</w:t>
      </w:r>
      <w:r w:rsidRPr="00BE49AB">
        <w:rPr>
          <w:rFonts w:ascii="Times New Roman" w:hAnsi="Times New Roman" w:cs="Times New Roman"/>
          <w:b/>
          <w:bCs/>
          <w:sz w:val="24"/>
          <w:szCs w:val="24"/>
        </w:rPr>
        <w:br/>
      </w:r>
      <w:r w:rsidRPr="00BE49AB">
        <w:rPr>
          <w:rFonts w:ascii="Times New Roman" w:hAnsi="Times New Roman" w:cs="Times New Roman"/>
          <w:sz w:val="20"/>
          <w:szCs w:val="20"/>
        </w:rPr>
        <w:t>Misallocation of resources and higher costs of capital were linked to the lack of intangibles recognition in financial statements, as discussed by Lev and Zarowin (1999).</w:t>
      </w:r>
    </w:p>
    <w:p w14:paraId="61229819" w14:textId="77777777" w:rsidR="00BE49AB" w:rsidRPr="00BE49AB" w:rsidRDefault="00BE49AB" w:rsidP="00BE49AB">
      <w:pPr>
        <w:numPr>
          <w:ilvl w:val="0"/>
          <w:numId w:val="2"/>
        </w:numPr>
        <w:tabs>
          <w:tab w:val="num" w:pos="720"/>
        </w:tabs>
        <w:rPr>
          <w:rFonts w:ascii="Times New Roman" w:hAnsi="Times New Roman" w:cs="Times New Roman"/>
          <w:b/>
          <w:bCs/>
          <w:sz w:val="24"/>
          <w:szCs w:val="24"/>
        </w:rPr>
      </w:pPr>
      <w:r w:rsidRPr="00BE49AB">
        <w:rPr>
          <w:rFonts w:ascii="Times New Roman" w:hAnsi="Times New Roman" w:cs="Times New Roman"/>
          <w:b/>
          <w:bCs/>
          <w:sz w:val="24"/>
          <w:szCs w:val="24"/>
        </w:rPr>
        <w:t>Advantages of Voluntary Disclosure:</w:t>
      </w:r>
      <w:r w:rsidRPr="00BE49AB">
        <w:rPr>
          <w:rFonts w:ascii="Times New Roman" w:hAnsi="Times New Roman" w:cs="Times New Roman"/>
          <w:b/>
          <w:bCs/>
          <w:sz w:val="24"/>
          <w:szCs w:val="24"/>
        </w:rPr>
        <w:br/>
      </w:r>
      <w:r w:rsidRPr="00BE49AB">
        <w:rPr>
          <w:rFonts w:ascii="Times New Roman" w:hAnsi="Times New Roman" w:cs="Times New Roman"/>
          <w:sz w:val="20"/>
          <w:szCs w:val="20"/>
        </w:rPr>
        <w:t>Increased openness via optional provision of information, like sharing details on research and development, was emphasized to enhance the effectiveness of the market and boost investor trust (Zeghal &amp; Maaloul, 2011).</w:t>
      </w:r>
    </w:p>
    <w:p w14:paraId="0731E77A" w14:textId="5627297E" w:rsid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Personal Reflection on the Conclusion</w:t>
      </w:r>
      <w:r w:rsidRPr="00BE49AB">
        <w:rPr>
          <w:rFonts w:ascii="Times New Roman" w:hAnsi="Times New Roman" w:cs="Times New Roman"/>
          <w:b/>
          <w:bCs/>
          <w:sz w:val="24"/>
          <w:szCs w:val="24"/>
        </w:rPr>
        <w:br/>
      </w:r>
      <w:r w:rsidRPr="00BE49AB">
        <w:rPr>
          <w:rFonts w:ascii="Times New Roman" w:hAnsi="Times New Roman" w:cs="Times New Roman"/>
          <w:sz w:val="20"/>
          <w:szCs w:val="20"/>
        </w:rPr>
        <w:t>Zeghal and Maaloul's (2011) finding highlights the varied results regarding the importance of financial information in the absence of sufficient intangible accounting. I concur those voluntary disclosures act as a temporary solution; however, a permanent fix involves updating IAS 38 to reflect the characteristics of a knowledge-driven economy</w:t>
      </w:r>
      <w:r w:rsidRPr="00BE49AB">
        <w:rPr>
          <w:rFonts w:ascii="Times New Roman" w:hAnsi="Times New Roman" w:cs="Times New Roman"/>
          <w:b/>
          <w:bCs/>
          <w:sz w:val="24"/>
          <w:szCs w:val="24"/>
        </w:rPr>
        <w:t>.</w:t>
      </w:r>
    </w:p>
    <w:p w14:paraId="2C05204C" w14:textId="77777777" w:rsidR="00BE49AB" w:rsidRP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References</w:t>
      </w:r>
    </w:p>
    <w:p w14:paraId="5BB4C46C" w14:textId="108D39A7" w:rsidR="00BE49AB" w:rsidRPr="00F04EEE" w:rsidRDefault="00BE49AB" w:rsidP="00F04EEE">
      <w:pPr>
        <w:pStyle w:val="ListParagraph"/>
        <w:numPr>
          <w:ilvl w:val="0"/>
          <w:numId w:val="4"/>
        </w:numPr>
        <w:rPr>
          <w:rFonts w:ascii="Times New Roman" w:hAnsi="Times New Roman" w:cs="Times New Roman"/>
          <w:b/>
          <w:bCs/>
          <w:sz w:val="20"/>
          <w:szCs w:val="20"/>
        </w:rPr>
      </w:pPr>
      <w:r w:rsidRPr="00F04EEE">
        <w:rPr>
          <w:rFonts w:ascii="Times New Roman" w:hAnsi="Times New Roman" w:cs="Times New Roman"/>
          <w:i/>
          <w:iCs/>
          <w:sz w:val="20"/>
          <w:szCs w:val="20"/>
        </w:rPr>
        <w:t>Lev, B. (2001). Intangibles: Management, Measurement, and Reporting. Washington, DC: Brookings Institution Press</w:t>
      </w:r>
      <w:r w:rsidRPr="00F04EEE">
        <w:rPr>
          <w:rFonts w:ascii="Times New Roman" w:hAnsi="Times New Roman" w:cs="Times New Roman"/>
          <w:b/>
          <w:bCs/>
          <w:sz w:val="20"/>
          <w:szCs w:val="20"/>
        </w:rPr>
        <w:t>.</w:t>
      </w:r>
      <w:r w:rsidRPr="00BE49AB">
        <w:t xml:space="preserve"> </w:t>
      </w:r>
    </w:p>
    <w:p w14:paraId="40E041A5" w14:textId="14E96747" w:rsidR="00BE49AB" w:rsidRPr="00F04EEE" w:rsidRDefault="00BE49AB" w:rsidP="00F04EEE">
      <w:pPr>
        <w:pStyle w:val="ListParagraph"/>
        <w:numPr>
          <w:ilvl w:val="0"/>
          <w:numId w:val="4"/>
        </w:numPr>
        <w:rPr>
          <w:rFonts w:ascii="Times New Roman" w:hAnsi="Times New Roman" w:cs="Times New Roman"/>
          <w:sz w:val="20"/>
          <w:szCs w:val="20"/>
        </w:rPr>
      </w:pPr>
      <w:r w:rsidRPr="00F04EEE">
        <w:rPr>
          <w:rFonts w:ascii="Times New Roman" w:hAnsi="Times New Roman" w:cs="Times New Roman"/>
          <w:sz w:val="20"/>
          <w:szCs w:val="20"/>
        </w:rPr>
        <w:t xml:space="preserve">Lev, B., &amp; Zarowin, P. (1999). The boundaries of financial reporting and how to extend them. </w:t>
      </w:r>
      <w:r w:rsidRPr="00F04EEE">
        <w:rPr>
          <w:rFonts w:ascii="Times New Roman" w:hAnsi="Times New Roman" w:cs="Times New Roman"/>
          <w:i/>
          <w:iCs/>
          <w:sz w:val="20"/>
          <w:szCs w:val="20"/>
        </w:rPr>
        <w:t>Journal of Accounting Research</w:t>
      </w:r>
      <w:r w:rsidRPr="00F04EEE">
        <w:rPr>
          <w:rFonts w:ascii="Times New Roman" w:hAnsi="Times New Roman" w:cs="Times New Roman"/>
          <w:sz w:val="20"/>
          <w:szCs w:val="20"/>
        </w:rPr>
        <w:t xml:space="preserve">, 37(2), 353–385. </w:t>
      </w:r>
    </w:p>
    <w:p w14:paraId="76432BAF" w14:textId="592BDDB1" w:rsidR="00BE49AB" w:rsidRPr="00F04EEE" w:rsidRDefault="00BE49AB" w:rsidP="00F04EEE">
      <w:pPr>
        <w:pStyle w:val="ListParagraph"/>
        <w:numPr>
          <w:ilvl w:val="0"/>
          <w:numId w:val="4"/>
        </w:numPr>
        <w:rPr>
          <w:rFonts w:ascii="Times New Roman" w:hAnsi="Times New Roman" w:cs="Times New Roman"/>
          <w:sz w:val="20"/>
          <w:szCs w:val="20"/>
        </w:rPr>
      </w:pPr>
      <w:r w:rsidRPr="00F04EEE">
        <w:rPr>
          <w:rFonts w:ascii="Times New Roman" w:hAnsi="Times New Roman" w:cs="Times New Roman"/>
          <w:sz w:val="20"/>
          <w:szCs w:val="20"/>
        </w:rPr>
        <w:t xml:space="preserve">Lev, B., Sarath, B., &amp; Sougiannis, T. (2005). R&amp;D reporting biases and their consequences. </w:t>
      </w:r>
      <w:r w:rsidRPr="00F04EEE">
        <w:rPr>
          <w:rFonts w:ascii="Times New Roman" w:hAnsi="Times New Roman" w:cs="Times New Roman"/>
          <w:i/>
          <w:iCs/>
          <w:sz w:val="20"/>
          <w:szCs w:val="20"/>
        </w:rPr>
        <w:t>Contemporary Accounting Research</w:t>
      </w:r>
      <w:r w:rsidRPr="00F04EEE">
        <w:rPr>
          <w:rFonts w:ascii="Times New Roman" w:hAnsi="Times New Roman" w:cs="Times New Roman"/>
          <w:sz w:val="20"/>
          <w:szCs w:val="20"/>
        </w:rPr>
        <w:t xml:space="preserve">, 22(4), 977–1026. </w:t>
      </w:r>
    </w:p>
    <w:p w14:paraId="03919195" w14:textId="78F9E912" w:rsidR="00BE49AB" w:rsidRDefault="00BE49AB" w:rsidP="00BE49AB">
      <w:pPr>
        <w:pStyle w:val="ListParagraph"/>
        <w:numPr>
          <w:ilvl w:val="0"/>
          <w:numId w:val="4"/>
        </w:numPr>
        <w:rPr>
          <w:rFonts w:ascii="Times New Roman" w:hAnsi="Times New Roman" w:cs="Times New Roman"/>
          <w:sz w:val="20"/>
          <w:szCs w:val="20"/>
        </w:rPr>
      </w:pPr>
      <w:r w:rsidRPr="00F04EEE">
        <w:rPr>
          <w:rFonts w:ascii="Times New Roman" w:hAnsi="Times New Roman" w:cs="Times New Roman"/>
          <w:sz w:val="20"/>
          <w:szCs w:val="20"/>
        </w:rPr>
        <w:t xml:space="preserve">Zeghal, D., &amp; Maaloul, A. (2011). The accounting treatment of intangibles – A critical review of the literature. </w:t>
      </w:r>
      <w:r w:rsidRPr="00F04EEE">
        <w:rPr>
          <w:rFonts w:ascii="Times New Roman" w:hAnsi="Times New Roman" w:cs="Times New Roman"/>
          <w:i/>
          <w:iCs/>
          <w:sz w:val="20"/>
          <w:szCs w:val="20"/>
        </w:rPr>
        <w:t>Accounting Forum</w:t>
      </w:r>
      <w:r w:rsidRPr="00F04EEE">
        <w:rPr>
          <w:rFonts w:ascii="Times New Roman" w:hAnsi="Times New Roman" w:cs="Times New Roman"/>
          <w:sz w:val="20"/>
          <w:szCs w:val="20"/>
        </w:rPr>
        <w:t xml:space="preserve">, 35(3), 262–274. </w:t>
      </w:r>
    </w:p>
    <w:p w14:paraId="6AD5F99B" w14:textId="6D248A0A" w:rsidR="008813DC" w:rsidRPr="004C1120" w:rsidRDefault="008813DC" w:rsidP="00BE49AB">
      <w:pPr>
        <w:pStyle w:val="ListParagraph"/>
        <w:numPr>
          <w:ilvl w:val="0"/>
          <w:numId w:val="4"/>
        </w:numPr>
        <w:rPr>
          <w:rFonts w:ascii="Times New Roman" w:hAnsi="Times New Roman" w:cs="Times New Roman"/>
          <w:sz w:val="20"/>
          <w:szCs w:val="20"/>
        </w:rPr>
      </w:pPr>
      <w:r w:rsidRPr="008813DC">
        <w:rPr>
          <w:rFonts w:ascii="Times New Roman" w:hAnsi="Times New Roman" w:cs="Times New Roman"/>
          <w:sz w:val="20"/>
          <w:szCs w:val="20"/>
        </w:rPr>
        <w:t xml:space="preserve">IAS Plus. (n.d.). </w:t>
      </w:r>
      <w:r w:rsidRPr="008813DC">
        <w:rPr>
          <w:rFonts w:ascii="Times New Roman" w:hAnsi="Times New Roman" w:cs="Times New Roman"/>
          <w:i/>
          <w:iCs/>
          <w:sz w:val="20"/>
          <w:szCs w:val="20"/>
        </w:rPr>
        <w:t>IAS 38 — Intangible Assets Overview</w:t>
      </w:r>
      <w:r w:rsidRPr="008813DC">
        <w:rPr>
          <w:rFonts w:ascii="Times New Roman" w:hAnsi="Times New Roman" w:cs="Times New Roman"/>
          <w:sz w:val="20"/>
          <w:szCs w:val="20"/>
        </w:rPr>
        <w:t xml:space="preserve">. Retrieved from </w:t>
      </w:r>
      <w:hyperlink r:id="rId6" w:tgtFrame="_new" w:history="1">
        <w:r w:rsidRPr="008813DC">
          <w:rPr>
            <w:rStyle w:val="Hyperlink"/>
            <w:rFonts w:ascii="Times New Roman" w:hAnsi="Times New Roman" w:cs="Times New Roman"/>
            <w:sz w:val="20"/>
            <w:szCs w:val="20"/>
          </w:rPr>
          <w:t>IAS Plus</w:t>
        </w:r>
      </w:hyperlink>
      <w:r>
        <w:rPr>
          <w:rFonts w:ascii="Times New Roman" w:hAnsi="Times New Roman" w:cs="Times New Roman"/>
          <w:sz w:val="20"/>
          <w:szCs w:val="20"/>
        </w:rPr>
        <w:t>. Accessed on 17/11/2024.</w:t>
      </w:r>
    </w:p>
    <w:sectPr w:rsidR="008813DC" w:rsidRPr="004C1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078"/>
    <w:multiLevelType w:val="multilevel"/>
    <w:tmpl w:val="447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4943"/>
    <w:multiLevelType w:val="hybridMultilevel"/>
    <w:tmpl w:val="F3EE9BE0"/>
    <w:lvl w:ilvl="0" w:tplc="47667B9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D30E9"/>
    <w:multiLevelType w:val="hybridMultilevel"/>
    <w:tmpl w:val="0DD87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EA64D2"/>
    <w:multiLevelType w:val="multilevel"/>
    <w:tmpl w:val="6F5A513A"/>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985281">
    <w:abstractNumId w:val="2"/>
  </w:num>
  <w:num w:numId="2" w16cid:durableId="1351226890">
    <w:abstractNumId w:val="3"/>
  </w:num>
  <w:num w:numId="3" w16cid:durableId="1111974746">
    <w:abstractNumId w:val="0"/>
  </w:num>
  <w:num w:numId="4" w16cid:durableId="169326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33"/>
    <w:rsid w:val="00051EA0"/>
    <w:rsid w:val="001E7733"/>
    <w:rsid w:val="004B73B1"/>
    <w:rsid w:val="004C1120"/>
    <w:rsid w:val="005234BE"/>
    <w:rsid w:val="005D0BD7"/>
    <w:rsid w:val="008813DC"/>
    <w:rsid w:val="00A933D7"/>
    <w:rsid w:val="00AD321D"/>
    <w:rsid w:val="00BE49AB"/>
    <w:rsid w:val="00C0183C"/>
    <w:rsid w:val="00D24D61"/>
    <w:rsid w:val="00DF3DEB"/>
    <w:rsid w:val="00E16722"/>
    <w:rsid w:val="00F04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05C6"/>
  <w15:chartTrackingRefBased/>
  <w15:docId w15:val="{5B6D7FA3-E8C9-40A3-96B7-A2DB42C0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33"/>
    <w:rPr>
      <w:rFonts w:eastAsiaTheme="majorEastAsia" w:cstheme="majorBidi"/>
      <w:color w:val="272727" w:themeColor="text1" w:themeTint="D8"/>
    </w:rPr>
  </w:style>
  <w:style w:type="paragraph" w:styleId="Title">
    <w:name w:val="Title"/>
    <w:basedOn w:val="Normal"/>
    <w:next w:val="Normal"/>
    <w:link w:val="TitleChar"/>
    <w:uiPriority w:val="10"/>
    <w:qFormat/>
    <w:rsid w:val="001E7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33"/>
    <w:pPr>
      <w:spacing w:before="160"/>
      <w:jc w:val="center"/>
    </w:pPr>
    <w:rPr>
      <w:i/>
      <w:iCs/>
      <w:color w:val="404040" w:themeColor="text1" w:themeTint="BF"/>
    </w:rPr>
  </w:style>
  <w:style w:type="character" w:customStyle="1" w:styleId="QuoteChar">
    <w:name w:val="Quote Char"/>
    <w:basedOn w:val="DefaultParagraphFont"/>
    <w:link w:val="Quote"/>
    <w:uiPriority w:val="29"/>
    <w:rsid w:val="001E7733"/>
    <w:rPr>
      <w:i/>
      <w:iCs/>
      <w:color w:val="404040" w:themeColor="text1" w:themeTint="BF"/>
    </w:rPr>
  </w:style>
  <w:style w:type="paragraph" w:styleId="ListParagraph">
    <w:name w:val="List Paragraph"/>
    <w:basedOn w:val="Normal"/>
    <w:uiPriority w:val="34"/>
    <w:qFormat/>
    <w:rsid w:val="001E7733"/>
    <w:pPr>
      <w:ind w:left="720"/>
      <w:contextualSpacing/>
    </w:pPr>
  </w:style>
  <w:style w:type="character" w:styleId="IntenseEmphasis">
    <w:name w:val="Intense Emphasis"/>
    <w:basedOn w:val="DefaultParagraphFont"/>
    <w:uiPriority w:val="21"/>
    <w:qFormat/>
    <w:rsid w:val="001E7733"/>
    <w:rPr>
      <w:i/>
      <w:iCs/>
      <w:color w:val="0F4761" w:themeColor="accent1" w:themeShade="BF"/>
    </w:rPr>
  </w:style>
  <w:style w:type="paragraph" w:styleId="IntenseQuote">
    <w:name w:val="Intense Quote"/>
    <w:basedOn w:val="Normal"/>
    <w:next w:val="Normal"/>
    <w:link w:val="IntenseQuoteChar"/>
    <w:uiPriority w:val="30"/>
    <w:qFormat/>
    <w:rsid w:val="001E7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733"/>
    <w:rPr>
      <w:i/>
      <w:iCs/>
      <w:color w:val="0F4761" w:themeColor="accent1" w:themeShade="BF"/>
    </w:rPr>
  </w:style>
  <w:style w:type="character" w:styleId="IntenseReference">
    <w:name w:val="Intense Reference"/>
    <w:basedOn w:val="DefaultParagraphFont"/>
    <w:uiPriority w:val="32"/>
    <w:qFormat/>
    <w:rsid w:val="001E7733"/>
    <w:rPr>
      <w:b/>
      <w:bCs/>
      <w:smallCaps/>
      <w:color w:val="0F4761" w:themeColor="accent1" w:themeShade="BF"/>
      <w:spacing w:val="5"/>
    </w:rPr>
  </w:style>
  <w:style w:type="character" w:styleId="Hyperlink">
    <w:name w:val="Hyperlink"/>
    <w:basedOn w:val="DefaultParagraphFont"/>
    <w:uiPriority w:val="99"/>
    <w:unhideWhenUsed/>
    <w:rsid w:val="008813DC"/>
    <w:rPr>
      <w:color w:val="467886" w:themeColor="hyperlink"/>
      <w:u w:val="single"/>
    </w:rPr>
  </w:style>
  <w:style w:type="character" w:styleId="UnresolvedMention">
    <w:name w:val="Unresolved Mention"/>
    <w:basedOn w:val="DefaultParagraphFont"/>
    <w:uiPriority w:val="99"/>
    <w:semiHidden/>
    <w:unhideWhenUsed/>
    <w:rsid w:val="00881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134">
      <w:bodyDiv w:val="1"/>
      <w:marLeft w:val="0"/>
      <w:marRight w:val="0"/>
      <w:marTop w:val="0"/>
      <w:marBottom w:val="0"/>
      <w:divBdr>
        <w:top w:val="none" w:sz="0" w:space="0" w:color="auto"/>
        <w:left w:val="none" w:sz="0" w:space="0" w:color="auto"/>
        <w:bottom w:val="none" w:sz="0" w:space="0" w:color="auto"/>
        <w:right w:val="none" w:sz="0" w:space="0" w:color="auto"/>
      </w:divBdr>
    </w:div>
    <w:div w:id="569384585">
      <w:bodyDiv w:val="1"/>
      <w:marLeft w:val="0"/>
      <w:marRight w:val="0"/>
      <w:marTop w:val="0"/>
      <w:marBottom w:val="0"/>
      <w:divBdr>
        <w:top w:val="none" w:sz="0" w:space="0" w:color="auto"/>
        <w:left w:val="none" w:sz="0" w:space="0" w:color="auto"/>
        <w:bottom w:val="none" w:sz="0" w:space="0" w:color="auto"/>
        <w:right w:val="none" w:sz="0" w:space="0" w:color="auto"/>
      </w:divBdr>
    </w:div>
    <w:div w:id="679889584">
      <w:bodyDiv w:val="1"/>
      <w:marLeft w:val="0"/>
      <w:marRight w:val="0"/>
      <w:marTop w:val="0"/>
      <w:marBottom w:val="0"/>
      <w:divBdr>
        <w:top w:val="none" w:sz="0" w:space="0" w:color="auto"/>
        <w:left w:val="none" w:sz="0" w:space="0" w:color="auto"/>
        <w:bottom w:val="none" w:sz="0" w:space="0" w:color="auto"/>
        <w:right w:val="none" w:sz="0" w:space="0" w:color="auto"/>
      </w:divBdr>
    </w:div>
    <w:div w:id="791942448">
      <w:bodyDiv w:val="1"/>
      <w:marLeft w:val="0"/>
      <w:marRight w:val="0"/>
      <w:marTop w:val="0"/>
      <w:marBottom w:val="0"/>
      <w:divBdr>
        <w:top w:val="none" w:sz="0" w:space="0" w:color="auto"/>
        <w:left w:val="none" w:sz="0" w:space="0" w:color="auto"/>
        <w:bottom w:val="none" w:sz="0" w:space="0" w:color="auto"/>
        <w:right w:val="none" w:sz="0" w:space="0" w:color="auto"/>
      </w:divBdr>
    </w:div>
    <w:div w:id="937524484">
      <w:bodyDiv w:val="1"/>
      <w:marLeft w:val="0"/>
      <w:marRight w:val="0"/>
      <w:marTop w:val="0"/>
      <w:marBottom w:val="0"/>
      <w:divBdr>
        <w:top w:val="none" w:sz="0" w:space="0" w:color="auto"/>
        <w:left w:val="none" w:sz="0" w:space="0" w:color="auto"/>
        <w:bottom w:val="none" w:sz="0" w:space="0" w:color="auto"/>
        <w:right w:val="none" w:sz="0" w:space="0" w:color="auto"/>
      </w:divBdr>
    </w:div>
    <w:div w:id="21456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asplus.com/en/standards/ias/ias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6F16-9BD3-4299-8D11-860E4C63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rajdhami</dc:creator>
  <cp:keywords/>
  <dc:description/>
  <cp:lastModifiedBy>alex rajdhami</cp:lastModifiedBy>
  <cp:revision>3</cp:revision>
  <dcterms:created xsi:type="dcterms:W3CDTF">2024-11-18T12:31:00Z</dcterms:created>
  <dcterms:modified xsi:type="dcterms:W3CDTF">2024-11-18T12:33:00Z</dcterms:modified>
</cp:coreProperties>
</file>