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7.png" ContentType="image/png"/>
  <Override PartName="/word/media/rId241.png" ContentType="image/png"/>
  <Override PartName="/word/media/rId245.png" ContentType="image/png"/>
  <Override PartName="/word/media/rId249.png" ContentType="image/png"/>
  <Override PartName="/word/media/rId253.png" ContentType="image/png"/>
  <Override PartName="/word/media/rId257.png" ContentType="image/png"/>
  <Override PartName="/word/media/rId261.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AlexsLemonade/ScPCA-manuscript@804c5ba</w:t>
        </w:r>
      </w:hyperlink>
      <w:r>
        <w:t xml:space="preserve"> </w:t>
      </w:r>
      <w:r>
        <w:t xml:space="preserve">on May 11,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summary"/>
    <w:p>
      <w:pPr>
        <w:pStyle w:val="Heading2"/>
      </w:pPr>
      <w:r>
        <w:t xml:space="preserve">Summary</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hyperlink w:anchor="ref-ALU8zyix">
        <w:r>
          <w:rPr>
            <w:rStyle w:val="Hyperlink"/>
            <w:vertAlign w:val="superscript"/>
          </w:rPr>
          <w:t xml:space="preserve">1</w:t>
        </w:r>
      </w:hyperlink>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hyperlink w:anchor="ref-e6vwOccq">
        <w:r>
          <w:rPr>
            <w:rStyle w:val="Hyperlink"/>
            <w:vertAlign w:val="superscript"/>
          </w:rPr>
          <w:t xml:space="preserve">2</w:t>
        </w:r>
      </w:hyperlink>
      <w:r>
        <w:t xml:space="preserve">.</w:t>
      </w:r>
      <w:r>
        <w:t xml:space="preserve"> </w:t>
      </w:r>
      <w:r>
        <w:t xml:space="preserve">Researchers can use scRNA-seq data from patient tumor samples to analyze and identify individual cell populations that may influence tumor growth, resistance, and metastasis</w:t>
      </w:r>
      <w:hyperlink w:anchor="ref-CK2iL88z">
        <w:r>
          <w:rPr>
            <w:rStyle w:val="Hyperlink"/>
            <w:vertAlign w:val="superscript"/>
          </w:rPr>
          <w:t xml:space="preserve">3</w:t>
        </w:r>
      </w:hyperlink>
      <w:r>
        <w:t xml:space="preserve">, as well as how tumor cells interact with normal cells in the tumor microenvironment</w:t>
      </w:r>
      <w:hyperlink w:anchor="ref-10Z0RGQgO">
        <w:r>
          <w:rPr>
            <w:rStyle w:val="Hyperlink"/>
            <w:vertAlign w:val="superscript"/>
          </w:rPr>
          <w:t xml:space="preserve">4</w:t>
        </w:r>
      </w:hyperlink>
      <w:r>
        <w:t xml:space="preserve">.</w:t>
      </w:r>
    </w:p>
    <w:p>
      <w:pPr>
        <w:pStyle w:val="BodyText"/>
      </w:pPr>
      <w:r>
        <w:t xml:space="preserve">As the number of scRNA-seq datasets expands, efforts have emerged to create centralized data resources.</w:t>
      </w:r>
      <w:r>
        <w:t xml:space="preserve"> </w:t>
      </w:r>
      <w:r>
        <w:t xml:space="preserve">For example, CELLxGENE</w:t>
      </w:r>
      <w:hyperlink w:anchor="ref-115InIIhW">
        <w:r>
          <w:rPr>
            <w:rStyle w:val="Hyperlink"/>
            <w:vertAlign w:val="superscript"/>
          </w:rPr>
          <w:t xml:space="preserve">5</w:t>
        </w:r>
      </w:hyperlink>
      <w:r>
        <w:rPr>
          <w:vertAlign w:val="superscript"/>
        </w:rPr>
        <w:t xml:space="preserve">,</w:t>
      </w:r>
      <w:hyperlink w:anchor="ref-WrWip7GV">
        <w:r>
          <w:rPr>
            <w:rStyle w:val="Hyperlink"/>
            <w:vertAlign w:val="superscript"/>
          </w:rPr>
          <w:t xml:space="preserve">6</w:t>
        </w:r>
      </w:hyperlink>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hyperlink w:anchor="ref-vk9ZInF3">
        <w:r>
          <w:rPr>
            <w:rStyle w:val="Hyperlink"/>
            <w:vertAlign w:val="superscript"/>
          </w:rPr>
          <w:t xml:space="preserve">7</w:t>
        </w:r>
      </w:hyperlink>
      <w:r>
        <w:t xml:space="preserve">.</w:t>
      </w:r>
      <w:r>
        <w:t xml:space="preserve"> </w:t>
      </w:r>
      <w:r>
        <w:t xml:space="preserve">The HTAN also hosts a collection of genomic data from tumors across multiple cancer types, including scRNA-seq</w:t>
      </w:r>
      <w:hyperlink w:anchor="ref-udPM4KR1">
        <w:r>
          <w:rPr>
            <w:rStyle w:val="Hyperlink"/>
            <w:vertAlign w:val="superscript"/>
          </w:rPr>
          <w:t xml:space="preserve">8</w:t>
        </w:r>
      </w:hyperlink>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fewer samples are available and access to pediatric tumor data is often limited</w:t>
      </w:r>
      <w:hyperlink w:anchor="ref-6g5Eo333">
        <w:r>
          <w:rPr>
            <w:rStyle w:val="Hyperlink"/>
            <w:vertAlign w:val="superscript"/>
          </w:rPr>
          <w:t xml:space="preserve">9</w:t>
        </w:r>
      </w:hyperlink>
      <w:r>
        <w:t xml:space="preserve">.</w:t>
      </w:r>
      <w:r>
        <w:t xml:space="preserve"> </w:t>
      </w:r>
      <w:r>
        <w:t xml:space="preserve">Recently, Xu and colleagues highlighted lack of standardization of pediatric cancer single-cell data as a barrier to reuse in their attempt to create an atlas</w:t>
      </w:r>
      <w:hyperlink w:anchor="ref-17ixMDYva">
        <w:r>
          <w:rPr>
            <w:rStyle w:val="Hyperlink"/>
            <w:vertAlign w:val="superscript"/>
          </w:rPr>
          <w:t xml:space="preserve">10</w:t>
        </w:r>
      </w:hyperlink>
      <w:r>
        <w:t xml:space="preserve">.</w:t>
      </w:r>
      <w:r>
        <w:t xml:space="preserve"> </w:t>
      </w:r>
      <w:r>
        <w:t xml:space="preserve">Thus, it is imperative to make harmonized data from pediatric tumors accessible to researchers</w:t>
      </w:r>
      <w:hyperlink w:anchor="ref-yEQ2v42v">
        <w:r>
          <w:rPr>
            <w:rStyle w:val="Hyperlink"/>
            <w:vertAlign w:val="superscript"/>
          </w:rPr>
          <w:t xml:space="preserve">11</w:t>
        </w:r>
      </w:hyperlink>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hyperlink w:anchor="ref-z8JnDHpr">
        <w:r>
          <w:rPr>
            <w:rStyle w:val="Hyperlink"/>
            <w:vertAlign w:val="superscript"/>
          </w:rPr>
          <w:t xml:space="preserve">12</w:t>
        </w:r>
      </w:hyperlink>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hyperlink w:anchor="ref-qIZTS1II">
        <w:r>
          <w:rPr>
            <w:rStyle w:val="Hyperlink"/>
            <w:vertAlign w:val="superscript"/>
          </w:rPr>
          <w:t xml:space="preserve">13</w:t>
        </w:r>
      </w:hyperlink>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hyperlink w:anchor="ref-4XDvZWxk">
        <w:r>
          <w:rPr>
            <w:rStyle w:val="Hyperlink"/>
            <w:vertAlign w:val="superscript"/>
          </w:rPr>
          <w:t xml:space="preserve">14</w:t>
        </w:r>
      </w:hyperlink>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hyperlink w:anchor="ref-2n9clgPF">
        <w:r>
          <w:rPr>
            <w:rStyle w:val="Hyperlink"/>
            <w:vertAlign w:val="superscript"/>
          </w:rPr>
          <w:t xml:space="preserve">16</w:t>
        </w:r>
      </w:hyperlink>
      <w:r>
        <w:t xml:space="preserve">, PATO (sex)</w:t>
      </w:r>
      <w:hyperlink w:anchor="ref-Jx3SGqPR">
        <w:r>
          <w:rPr>
            <w:rStyle w:val="Hyperlink"/>
            <w:vertAlign w:val="superscript"/>
          </w:rPr>
          <w:t xml:space="preserve">17</w:t>
        </w:r>
      </w:hyperlink>
      <w:r>
        <w:rPr>
          <w:vertAlign w:val="superscript"/>
        </w:rPr>
        <w:t xml:space="preserve">,</w:t>
      </w:r>
      <w:hyperlink w:anchor="ref-19R1xim7A">
        <w:r>
          <w:rPr>
            <w:rStyle w:val="Hyperlink"/>
            <w:vertAlign w:val="superscript"/>
          </w:rPr>
          <w:t xml:space="preserve">18</w:t>
        </w:r>
      </w:hyperlink>
      <w:r>
        <w:t xml:space="preserve">, NCBI taxonomy (organism)</w:t>
      </w:r>
      <w:hyperlink w:anchor="ref-RJLosfFq">
        <w:r>
          <w:rPr>
            <w:rStyle w:val="Hyperlink"/>
            <w:vertAlign w:val="superscript"/>
          </w:rPr>
          <w:t xml:space="preserve">19</w:t>
        </w:r>
      </w:hyperlink>
      <w:r>
        <w:rPr>
          <w:vertAlign w:val="superscript"/>
        </w:rPr>
        <w:t xml:space="preserve">,</w:t>
      </w:r>
      <w:hyperlink w:anchor="ref-jFq6Uo6f">
        <w:r>
          <w:rPr>
            <w:rStyle w:val="Hyperlink"/>
            <w:vertAlign w:val="superscript"/>
          </w:rPr>
          <w:t xml:space="preserve">20</w:t>
        </w:r>
      </w:hyperlink>
      <w:r>
        <w:t xml:space="preserve">, MONDO (disease)</w:t>
      </w:r>
      <w:hyperlink w:anchor="ref-qLTNn72b">
        <w:r>
          <w:rPr>
            <w:rStyle w:val="Hyperlink"/>
            <w:vertAlign w:val="superscript"/>
          </w:rPr>
          <w:t xml:space="preserve">21</w:t>
        </w:r>
      </w:hyperlink>
      <w:r>
        <w:rPr>
          <w:vertAlign w:val="superscript"/>
        </w:rPr>
        <w:t xml:space="preserve">,</w:t>
      </w:r>
      <w:hyperlink w:anchor="ref-ZPHZMiua">
        <w:r>
          <w:rPr>
            <w:rStyle w:val="Hyperlink"/>
            <w:vertAlign w:val="superscript"/>
          </w:rPr>
          <w:t xml:space="preserve">22</w:t>
        </w:r>
      </w:hyperlink>
      <w:r>
        <w:t xml:space="preserve">, UBERON (tissue)</w:t>
      </w:r>
      <w:hyperlink w:anchor="ref-swLRou1q">
        <w:r>
          <w:rPr>
            <w:rStyle w:val="Hyperlink"/>
            <w:vertAlign w:val="superscript"/>
          </w:rPr>
          <w:t xml:space="preserve">23</w:t>
        </w:r>
      </w:hyperlink>
      <w:r>
        <w:rPr>
          <w:vertAlign w:val="superscript"/>
        </w:rPr>
        <w:t xml:space="preserve">–</w:t>
      </w:r>
      <w:hyperlink w:anchor="ref-XbjdiPPQ">
        <w:r>
          <w:rPr>
            <w:rStyle w:val="Hyperlink"/>
            <w:vertAlign w:val="superscript"/>
          </w:rPr>
          <w:t xml:space="preserve">25</w:t>
        </w:r>
      </w:hyperlink>
      <w:r>
        <w:t xml:space="preserve">, and Hancestro (ethnicity, if applicable)</w:t>
      </w:r>
      <w:hyperlink w:anchor="ref-9Hno2ty7">
        <w:r>
          <w:rPr>
            <w:rStyle w:val="Hyperlink"/>
            <w:vertAlign w:val="superscript"/>
          </w:rPr>
          <w:t xml:space="preserve">26</w:t>
        </w:r>
      </w:hyperlink>
      <w:r>
        <w:rPr>
          <w:vertAlign w:val="superscript"/>
        </w:rPr>
        <w:t xml:space="preserve">,</w:t>
      </w:r>
      <w:hyperlink w:anchor="ref-Opr5odMH">
        <w:r>
          <w:rPr>
            <w:rStyle w:val="Hyperlink"/>
            <w:vertAlign w:val="superscript"/>
          </w:rPr>
          <w:t xml:space="preserve">27</w:t>
        </w:r>
      </w:hyperlink>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hyperlink w:anchor="ref-9F0oWAO0">
        <w:r>
          <w:rPr>
            <w:rStyle w:val="Hyperlink"/>
            <w:vertAlign w:val="superscript"/>
          </w:rPr>
          <w:t xml:space="preserve">28</w:t>
        </w:r>
      </w:hyperlink>
      <w:r>
        <w:rPr>
          <w:vertAlign w:val="superscript"/>
        </w:rPr>
        <w:t xml:space="preserve">–</w:t>
      </w:r>
      <w:hyperlink w:anchor="ref-x1qN3oWm">
        <w:r>
          <w:rPr>
            <w:rStyle w:val="Hyperlink"/>
            <w:vertAlign w:val="superscript"/>
          </w:rPr>
          <w:t xml:space="preserve">34</w:t>
        </w:r>
      </w:hyperlink>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hyperlink w:anchor="ref-abp5rbw2">
        <w:r>
          <w:rPr>
            <w:rStyle w:val="Hyperlink"/>
            <w:vertAlign w:val="superscript"/>
          </w:rPr>
          <w:t xml:space="preserve">35</w:t>
        </w:r>
      </w:hyperlink>
      <w:r>
        <w:t xml:space="preserve">, or hashtag oligonucleotide (HTO) quantification for multiplexed samples</w:t>
      </w:r>
      <w:hyperlink w:anchor="ref-FZrs73Vp">
        <w:r>
          <w:rPr>
            <w:rStyle w:val="Hyperlink"/>
            <w:vertAlign w:val="superscript"/>
          </w:rPr>
          <w:t xml:space="preserve">36</w:t>
        </w:r>
      </w:hyperlink>
      <w:r>
        <w:t xml:space="preserve">.</w:t>
      </w:r>
      <w:r>
        <w:t xml:space="preserve"> </w:t>
      </w:r>
      <w:r>
        <w:t xml:space="preserve">Raw FASTQ files are not available for download from the Portal, but we provide links to raw data sources in external repositories, such as the Database of Genotypes and Phenotypes (dbGaP)</w:t>
      </w:r>
      <w:hyperlink w:anchor="ref-KJZDQL86">
        <w:r>
          <w:rPr>
            <w:rStyle w:val="Hyperlink"/>
            <w:vertAlign w:val="superscript"/>
          </w:rPr>
          <w:t xml:space="preserve">37</w:t>
        </w:r>
      </w:hyperlink>
      <w:r>
        <w:rPr>
          <w:vertAlign w:val="superscript"/>
        </w:rPr>
        <w:t xml:space="preserve">,</w:t>
      </w:r>
      <w:hyperlink w:anchor="ref-rimDkf3e">
        <w:r>
          <w:rPr>
            <w:rStyle w:val="Hyperlink"/>
            <w:vertAlign w:val="superscript"/>
          </w:rPr>
          <w:t xml:space="preserve">38</w:t>
        </w:r>
      </w:hyperlink>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hyperlink w:anchor="ref-xCP3BjTw">
        <w:r>
          <w:rPr>
            <w:rStyle w:val="Hyperlink"/>
            <w:vertAlign w:val="superscript"/>
          </w:rPr>
          <w:t xml:space="preserve">39</w:t>
        </w:r>
      </w:hyperlink>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hyperlink w:anchor="ref-4XDvZWxk">
        <w:r>
          <w:rPr>
            <w:rStyle w:val="Hyperlink"/>
            <w:vertAlign w:val="superscript"/>
          </w:rPr>
          <w:t xml:space="preserve">14</w:t>
        </w:r>
      </w:hyperlink>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hyperlink w:anchor="ref-PEJE3BAs">
        <w:r>
          <w:rPr>
            <w:rStyle w:val="Hyperlink"/>
            <w:vertAlign w:val="superscript"/>
          </w:rPr>
          <w:t xml:space="preserve">40</w:t>
        </w:r>
      </w:hyperlink>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hyperlink w:anchor="ref-1CuNC7bWt">
        <w:r>
          <w:rPr>
            <w:rStyle w:val="Hyperlink"/>
            <w:vertAlign w:val="superscript"/>
          </w:rPr>
          <w:t xml:space="preserve">41</w:t>
        </w:r>
      </w:hyperlink>
      <w:r>
        <w:rPr>
          <w:vertAlign w:val="superscript"/>
        </w:rPr>
        <w:t xml:space="preserve">,</w:t>
      </w:r>
      <w:hyperlink w:anchor="ref-87PPOPmp">
        <w:r>
          <w:rPr>
            <w:rStyle w:val="Hyperlink"/>
            <w:vertAlign w:val="superscript"/>
          </w:rPr>
          <w:t xml:space="preserve">42</w:t>
        </w:r>
      </w:hyperlink>
      <w:r>
        <w:t xml:space="preserve">.</w:t>
      </w:r>
      <w:r>
        <w:t xml:space="preserve"> </w:t>
      </w:r>
      <w:r>
        <w:t xml:space="preserve">Our comparisons between</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hyperlink w:anchor="ref-1CtyX4PBc">
        <w:r>
          <w:rPr>
            <w:rStyle w:val="Hyperlink"/>
            <w:vertAlign w:val="superscript"/>
          </w:rPr>
          <w:t xml:space="preserve">43</w:t>
        </w:r>
      </w:hyperlink>
      <w:r>
        <w:rPr>
          <w:vertAlign w:val="superscript"/>
        </w:rPr>
        <w:t xml:space="preserve">,</w:t>
      </w:r>
      <w:hyperlink w:anchor="ref-55ZXlEbt">
        <w:r>
          <w:rPr>
            <w:rStyle w:val="Hyperlink"/>
            <w:vertAlign w:val="superscript"/>
          </w:rPr>
          <w:t xml:space="preserve">44</w:t>
        </w:r>
      </w:hyperlink>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w:t>
      </w:r>
      <w:r>
        <w:t xml:space="preserve"> </w:t>
      </w:r>
      <w:r>
        <w:t xml:space="preserve">Low-quality cells are identified and removed with</w:t>
      </w:r>
      <w:r>
        <w:t xml:space="preserve"> </w:t>
      </w:r>
      <w:r>
        <w:rPr>
          <w:rStyle w:val="VerbatimChar"/>
        </w:rPr>
        <w:t xml:space="preserve">miQC</w:t>
      </w:r>
      <w:hyperlink w:anchor="ref-17Yhk1HAt">
        <w:r>
          <w:rPr>
            <w:rStyle w:val="Hyperlink"/>
            <w:vertAlign w:val="superscript"/>
          </w:rPr>
          <w:t xml:space="preserve">47</w:t>
        </w:r>
      </w:hyperlink>
      <w:r>
        <w:t xml:space="preserve">, which jointly models the proportion of mitochondrial reads and detected genes per cell and calculates a probability that each cell is compromised.</w:t>
      </w:r>
      <w:r>
        <w:t xml:space="preserve"> </w:t>
      </w:r>
      <w:r>
        <w:t xml:space="preserve">The remaining cells’ counts are normalized</w:t>
      </w:r>
      <w:hyperlink w:anchor="ref-vpU0FTFY">
        <w:r>
          <w:rPr>
            <w:rStyle w:val="Hyperlink"/>
            <w:vertAlign w:val="superscript"/>
          </w:rPr>
          <w:t xml:space="preserve">48</w:t>
        </w:r>
      </w:hyperlink>
      <w:r>
        <w:t xml:space="preserve">, and reduced-dimension representations are calculated using both principal component analysis (PCA) and uniform manifold approximation and projection (UMAP)</w:t>
      </w:r>
      <w:hyperlink w:anchor="ref-14mY2pXKf">
        <w:r>
          <w:rPr>
            <w:rStyle w:val="Hyperlink"/>
            <w:vertAlign w:val="superscript"/>
          </w:rPr>
          <w:t xml:space="preserve">49</w:t>
        </w:r>
      </w:hyperlink>
      <w:r>
        <w:t xml:space="preserve">.</w:t>
      </w:r>
      <w:r>
        <w:t xml:space="preserve"> </w:t>
      </w:r>
      <w:r>
        <w:t xml:space="preserve">Cell types are classified using three automated methods,</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hyperlink w:anchor="ref-b9hQbZOR">
        <w:r>
          <w:rPr>
            <w:rStyle w:val="Hyperlink"/>
            <w:vertAlign w:val="superscript"/>
          </w:rPr>
          <w:t xml:space="preserve">53</w:t>
        </w:r>
      </w:hyperlink>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hyperlink w:anchor="ref-aTgM0bhI">
        <w:r>
          <w:rPr>
            <w:rStyle w:val="Hyperlink"/>
            <w:vertAlign w:val="superscript"/>
          </w:rPr>
          <w:t xml:space="preserve">54</w:t>
        </w:r>
      </w:hyperlink>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hyperlink w:anchor="ref-17ixMDYva">
        <w:r>
          <w:rPr>
            <w:rStyle w:val="Hyperlink"/>
            <w:vertAlign w:val="superscript"/>
          </w:rPr>
          <w:t xml:space="preserve">10</w:t>
        </w:r>
      </w:hyperlink>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hyperlink w:anchor="ref-abp5rbw2">
        <w:r>
          <w:rPr>
            <w:rStyle w:val="Hyperlink"/>
            <w:vertAlign w:val="superscript"/>
          </w:rPr>
          <w:t xml:space="preserve">35</w:t>
        </w:r>
      </w:hyperlink>
      <w:r>
        <w:t xml:space="preserve">, multiplexed (cell hashing)</w:t>
      </w:r>
      <w:hyperlink w:anchor="ref-FZrs73Vp">
        <w:r>
          <w:rPr>
            <w:rStyle w:val="Hyperlink"/>
            <w:vertAlign w:val="superscript"/>
          </w:rPr>
          <w:t xml:space="preserve">36</w:t>
        </w:r>
      </w:hyperlink>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w:t>
      </w:r>
      <w:r>
        <w:t xml:space="preserve"> </w:t>
      </w:r>
      <w:r>
        <w:rPr>
          <w:rStyle w:val="VerbatimChar"/>
        </w:rPr>
        <w:t xml:space="preserve">Seurat::HTODemux()</w:t>
      </w:r>
      <w:hyperlink w:anchor="ref-FZrs73Vp">
        <w:r>
          <w:rPr>
            <w:rStyle w:val="Hyperlink"/>
            <w:vertAlign w:val="superscript"/>
          </w:rPr>
          <w:t xml:space="preserve">36</w:t>
        </w:r>
      </w:hyperlink>
      <w:r>
        <w:t xml:space="preserve">, and genetic demultiplexing</w:t>
      </w:r>
      <w:hyperlink w:anchor="ref-zLp25QYu">
        <w:r>
          <w:rPr>
            <w:rStyle w:val="Hyperlink"/>
            <w:vertAlign w:val="superscript"/>
          </w:rPr>
          <w:t xml:space="preserve">55</w:t>
        </w:r>
      </w:hyperlink>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hyperlink w:anchor="ref-pt9vlq4w">
        <w:r>
          <w:rPr>
            <w:rStyle w:val="Hyperlink"/>
            <w:vertAlign w:val="superscript"/>
          </w:rPr>
          <w:t xml:space="preserve">56</w:t>
        </w:r>
      </w:hyperlink>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hyperlink w:anchor="ref-vrqQcFyx">
        <w:r>
          <w:rPr>
            <w:rStyle w:val="Hyperlink"/>
            <w:vertAlign w:val="superscript"/>
          </w:rPr>
          <w:t xml:space="preserve">57</w:t>
        </w:r>
      </w:hyperlink>
      <w:r>
        <w:t xml:space="preserve">, and outputs a TSV file with the gene-by-sample counts matrix for all samples in a given ScPCA project.</w:t>
      </w:r>
    </w:p>
    <w:p>
      <w:pPr>
        <w:pStyle w:val="BodyText"/>
      </w:pPr>
      <w:r>
        <w:t xml:space="preserve">Spatial transcriptomics data is processed with Space Ranger</w:t>
      </w:r>
      <w:hyperlink w:anchor="ref-xo912CsO">
        <w:r>
          <w:rPr>
            <w:rStyle w:val="Hyperlink"/>
            <w:vertAlign w:val="superscript"/>
          </w:rPr>
          <w:t xml:space="preserve">58</w:t>
        </w:r>
      </w:hyperlink>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hyperlink w:anchor="ref-17U3pGEjv">
        <w:r>
          <w:rPr>
            <w:rStyle w:val="Hyperlink"/>
            <w:vertAlign w:val="superscript"/>
          </w:rPr>
          <w:t xml:space="preserve">59</w:t>
        </w:r>
      </w:hyperlink>
      <w:r>
        <w:rPr>
          <w:vertAlign w:val="superscript"/>
        </w:rPr>
        <w:t xml:space="preserve">–</w:t>
      </w:r>
      <w:hyperlink w:anchor="ref-1CCBSogYG">
        <w:r>
          <w:rPr>
            <w:rStyle w:val="Hyperlink"/>
            <w:vertAlign w:val="superscript"/>
          </w:rPr>
          <w:t xml:space="preserve">61</w:t>
        </w:r>
      </w:hyperlink>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glial/glioneuronal (LGG) samples, which originate from six projects and four investigators and reveals similar cell types across all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hyperlink w:anchor="ref-yxJiICJJ">
        <w:r>
          <w:rPr>
            <w:rStyle w:val="Hyperlink"/>
            <w:vertAlign w:val="superscript"/>
          </w:rPr>
          <w:t xml:space="preserve">62</w:t>
        </w:r>
      </w:hyperlink>
      <w:r>
        <w:rPr>
          <w:vertAlign w:val="superscript"/>
        </w:rPr>
        <w:t xml:space="preserve">,</w:t>
      </w:r>
      <w:hyperlink w:anchor="ref-9U8b91g7">
        <w:r>
          <w:rPr>
            <w:rStyle w:val="Hyperlink"/>
            <w:vertAlign w:val="superscript"/>
          </w:rPr>
          <w:t xml:space="preserve">63</w:t>
        </w:r>
      </w:hyperlink>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hyperlink w:anchor="ref-xW9vfui5">
        <w:r>
          <w:rPr>
            <w:rStyle w:val="Hyperlink"/>
            <w:vertAlign w:val="superscript"/>
          </w:rPr>
          <w:t xml:space="preserve">64</w:t>
        </w:r>
      </w:hyperlink>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hyperlink w:anchor="ref-sGIqMPJO">
        <w:r>
          <w:rPr>
            <w:rStyle w:val="Hyperlink"/>
            <w:vertAlign w:val="superscript"/>
          </w:rPr>
          <w:t xml:space="preserve">65</w:t>
        </w:r>
      </w:hyperlink>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hyperlink w:anchor="ref-b9hQbZOR">
        <w:r>
          <w:rPr>
            <w:rStyle w:val="Hyperlink"/>
            <w:vertAlign w:val="superscript"/>
          </w:rPr>
          <w:t xml:space="preserve">53</w:t>
        </w:r>
      </w:hyperlink>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hyperlink w:anchor="ref-sGIqMPJO">
        <w:r>
          <w:rPr>
            <w:rStyle w:val="Hyperlink"/>
            <w:vertAlign w:val="superscript"/>
          </w:rPr>
          <w:t xml:space="preserve">65</w:t>
        </w:r>
      </w:hyperlink>
      <w:r>
        <w:rPr>
          <w:vertAlign w:val="superscript"/>
        </w:rPr>
        <w:t xml:space="preserve">–</w:t>
      </w:r>
      <w:hyperlink w:anchor="ref-1Ar16jCVg">
        <w:r>
          <w:rPr>
            <w:rStyle w:val="Hyperlink"/>
            <w:vertAlign w:val="superscript"/>
          </w:rPr>
          <w:t xml:space="preserve">67</w:t>
        </w:r>
      </w:hyperlink>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hyperlink w:anchor="ref-Vz4pQdwU">
        <w:r>
          <w:rPr>
            <w:rStyle w:val="Hyperlink"/>
            <w:vertAlign w:val="superscript"/>
          </w:rPr>
          <w:t xml:space="preserve">68</w:t>
        </w:r>
      </w:hyperlink>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hyperlink w:anchor="ref-2x15P0J5">
        <w:r>
          <w:rPr>
            <w:rStyle w:val="Hyperlink"/>
            <w:vertAlign w:val="superscript"/>
          </w:rPr>
          <w:t xml:space="preserve">69</w:t>
        </w:r>
      </w:hyperlink>
      <w:r>
        <w:rPr>
          <w:vertAlign w:val="superscript"/>
        </w:rPr>
        <w:t xml:space="preserve">,</w:t>
      </w:r>
      <w:hyperlink w:anchor="ref-DR9mGrXH">
        <w:r>
          <w:rPr>
            <w:rStyle w:val="Hyperlink"/>
            <w:vertAlign w:val="superscript"/>
          </w:rPr>
          <w:t xml:space="preserve">70</w:t>
        </w:r>
      </w:hyperlink>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hyperlink w:anchor="ref-1AegtXQtf">
        <w:r>
          <w:rPr>
            <w:rStyle w:val="Hyperlink"/>
            <w:vertAlign w:val="superscript"/>
          </w:rPr>
          <w:t xml:space="preserve">71</w:t>
        </w:r>
      </w:hyperlink>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hyperlink w:anchor="ref-cnXjUoU1">
        <w:r>
          <w:rPr>
            <w:rStyle w:val="Hyperlink"/>
            <w:vertAlign w:val="superscript"/>
          </w:rPr>
          <w:t xml:space="preserve">72</w:t>
        </w:r>
      </w:hyperlink>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4"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10.5281/zenodo.20072636</w:t>
      </w:r>
      <w:hyperlink w:anchor="ref-obsr7KMv">
        <w:r>
          <w:rPr>
            <w:rStyle w:val="Hyperlink"/>
            <w:vertAlign w:val="superscript"/>
          </w:rPr>
          <w:t xml:space="preserve">73</w:t>
        </w:r>
      </w:hyperlink>
      <w:r>
        <w:t xml:space="preserve">.</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10.5281/zenodo.20058961</w:t>
      </w:r>
      <w:hyperlink w:anchor="ref-bBTOj6tI">
        <w:r>
          <w:rPr>
            <w:rStyle w:val="Hyperlink"/>
            <w:vertAlign w:val="superscript"/>
          </w:rPr>
          <w:t xml:space="preserve">74</w:t>
        </w:r>
      </w:hyperlink>
      <w:r>
        <w:t xml:space="preserve">.</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10.5281/zenodo.20044281</w:t>
      </w:r>
      <w:hyperlink w:anchor="ref-17jk0C5fN">
        <w:r>
          <w:rPr>
            <w:rStyle w:val="Hyperlink"/>
            <w:vertAlign w:val="superscript"/>
          </w:rPr>
          <w:t xml:space="preserve">75</w:t>
        </w:r>
      </w:hyperlink>
      <w:r>
        <w:t xml:space="preserve"> </w:t>
      </w:r>
      <w:r>
        <w:t xml:space="preserve">and 10.5281/zenodo.20044314</w:t>
      </w:r>
      <w:hyperlink w:anchor="ref-z0sh5bZ2">
        <w:r>
          <w:rPr>
            <w:rStyle w:val="Hyperlink"/>
            <w:vertAlign w:val="superscript"/>
          </w:rPr>
          <w:t xml:space="preserve">76</w:t>
        </w:r>
      </w:hyperlink>
      <w:r>
        <w:t xml:space="preserve">,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10.5281/zenodo.20056054</w:t>
      </w:r>
      <w:hyperlink w:anchor="ref-ma2G21WA">
        <w:r>
          <w:rPr>
            <w:rStyle w:val="Hyperlink"/>
            <w:vertAlign w:val="superscript"/>
          </w:rPr>
          <w:t xml:space="preserve">77</w:t>
        </w:r>
      </w:hyperlink>
      <w:r>
        <w:t xml:space="preserve">.</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10.5281/zenodo.20044462</w:t>
      </w:r>
      <w:hyperlink w:anchor="ref-90pixlFL">
        <w:r>
          <w:rPr>
            <w:rStyle w:val="Hyperlink"/>
            <w:vertAlign w:val="superscript"/>
          </w:rPr>
          <w:t xml:space="preserve">78</w:t>
        </w:r>
      </w:hyperlink>
      <w:r>
        <w:t xml:space="preserve">.</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10.5281/zenodo.20123383</w:t>
      </w:r>
      <w:hyperlink w:anchor="ref-19PK9p5Of">
        <w:r>
          <w:rPr>
            <w:rStyle w:val="Hyperlink"/>
            <w:vertAlign w:val="superscript"/>
          </w:rPr>
          <w:t xml:space="preserve">79</w:t>
        </w:r>
      </w:hyperlink>
      <w:r>
        <w:t xml:space="preserve">.</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hyperlink w:anchor="ref-W0TbGvjF">
        <w:r>
          <w:rPr>
            <w:rStyle w:val="Hyperlink"/>
            <w:vertAlign w:val="superscript"/>
          </w:rPr>
          <w:t xml:space="preserve">80</w:t>
        </w:r>
      </w:hyperlink>
      <w:r>
        <w:rPr>
          <w:vertAlign w:val="superscript"/>
        </w:rPr>
        <w:t xml:space="preserve">,</w:t>
      </w:r>
      <w:hyperlink w:anchor="ref-QgMCMjVA">
        <w:r>
          <w:rPr>
            <w:rStyle w:val="Hyperlink"/>
            <w:vertAlign w:val="superscript"/>
          </w:rPr>
          <w:t xml:space="preserve">81</w:t>
        </w:r>
      </w:hyperlink>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hyperlink w:anchor="ref-2n9clgPF">
              <w:r>
                <w:rPr>
                  <w:rStyle w:val="Hyperlink"/>
                  <w:vertAlign w:val="superscript"/>
                </w:rPr>
                <w:t xml:space="preserve">16</w:t>
              </w:r>
            </w:hyperlink>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hyperlink w:anchor="ref-Jx3SGqPR">
              <w:r>
                <w:rPr>
                  <w:rStyle w:val="Hyperlink"/>
                  <w:vertAlign w:val="superscript"/>
                </w:rPr>
                <w:t xml:space="preserve">17</w:t>
              </w:r>
            </w:hyperlink>
            <w:r>
              <w:rPr>
                <w:vertAlign w:val="superscript"/>
              </w:rPr>
              <w:t xml:space="preserve">,</w:t>
            </w:r>
            <w:hyperlink w:anchor="ref-19R1xim7A">
              <w:r>
                <w:rPr>
                  <w:rStyle w:val="Hyperlink"/>
                  <w:vertAlign w:val="superscript"/>
                </w:rPr>
                <w:t xml:space="preserve">18</w:t>
              </w:r>
            </w:hyperlink>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hyperlink w:anchor="ref-RJLosfFq">
              <w:r>
                <w:rPr>
                  <w:rStyle w:val="Hyperlink"/>
                  <w:vertAlign w:val="superscript"/>
                </w:rPr>
                <w:t xml:space="preserve">19</w:t>
              </w:r>
            </w:hyperlink>
            <w:r>
              <w:rPr>
                <w:vertAlign w:val="superscript"/>
              </w:rPr>
              <w:t xml:space="preserve">,</w:t>
            </w:r>
            <w:hyperlink w:anchor="ref-jFq6Uo6f">
              <w:r>
                <w:rPr>
                  <w:rStyle w:val="Hyperlink"/>
                  <w:vertAlign w:val="superscript"/>
                </w:rPr>
                <w:t xml:space="preserve">20</w:t>
              </w:r>
            </w:hyperlink>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hyperlink w:anchor="ref-qLTNn72b">
              <w:r>
                <w:rPr>
                  <w:rStyle w:val="Hyperlink"/>
                  <w:vertAlign w:val="superscript"/>
                </w:rPr>
                <w:t xml:space="preserve">21</w:t>
              </w:r>
            </w:hyperlink>
            <w:r>
              <w:rPr>
                <w:vertAlign w:val="superscript"/>
              </w:rPr>
              <w:t xml:space="preserve">,</w:t>
            </w:r>
            <w:hyperlink w:anchor="ref-ZPHZMiua">
              <w:r>
                <w:rPr>
                  <w:rStyle w:val="Hyperlink"/>
                  <w:vertAlign w:val="superscript"/>
                </w:rPr>
                <w:t xml:space="preserve">22</w:t>
              </w:r>
            </w:hyperlink>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hyperlink w:anchor="ref-swLRou1q">
              <w:r>
                <w:rPr>
                  <w:rStyle w:val="Hyperlink"/>
                  <w:vertAlign w:val="superscript"/>
                </w:rPr>
                <w:t xml:space="preserve">23</w:t>
              </w:r>
            </w:hyperlink>
            <w:r>
              <w:rPr>
                <w:vertAlign w:val="superscript"/>
              </w:rPr>
              <w:t xml:space="preserve">–</w:t>
            </w:r>
            <w:hyperlink w:anchor="ref-XbjdiPPQ">
              <w:r>
                <w:rPr>
                  <w:rStyle w:val="Hyperlink"/>
                  <w:vertAlign w:val="superscript"/>
                </w:rPr>
                <w:t xml:space="preserve">25</w:t>
              </w:r>
            </w:hyperlink>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hyperlink w:anchor="ref-9Hno2ty7">
              <w:r>
                <w:rPr>
                  <w:rStyle w:val="Hyperlink"/>
                  <w:vertAlign w:val="superscript"/>
                </w:rPr>
                <w:t xml:space="preserve">26</w:t>
              </w:r>
            </w:hyperlink>
            <w:r>
              <w:rPr>
                <w:vertAlign w:val="superscript"/>
              </w:rPr>
              <w:t xml:space="preserve">,</w:t>
            </w:r>
            <w:hyperlink w:anchor="ref-Opr5odMH">
              <w:r>
                <w:rPr>
                  <w:rStyle w:val="Hyperlink"/>
                  <w:vertAlign w:val="superscript"/>
                </w:rPr>
                <w:t xml:space="preserve">27</w:t>
              </w:r>
            </w:hyperlink>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6"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hyperlink w:anchor="ref-91inc6cK">
        <w:r>
          <w:rPr>
            <w:rStyle w:val="Hyperlink"/>
            <w:vertAlign w:val="superscript"/>
          </w:rPr>
          <w:t xml:space="preserve">82</w:t>
        </w:r>
      </w:hyperlink>
      <w:r>
        <w:t xml:space="preserve"> </w:t>
      </w:r>
      <w:r>
        <w:t xml:space="preserve">and</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hyperlink w:anchor="ref-hYvj5GBC">
        <w:r>
          <w:rPr>
            <w:rStyle w:val="Hyperlink"/>
            <w:vertAlign w:val="superscript"/>
          </w:rPr>
          <w:t xml:space="preserve">15</w:t>
        </w:r>
      </w:hyperlink>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hyperlink w:anchor="ref-vZ9X9rsY">
        <w:r>
          <w:rPr>
            <w:rStyle w:val="Hyperlink"/>
            <w:vertAlign w:val="superscript"/>
          </w:rPr>
          <w:t xml:space="preserve">83</w:t>
        </w:r>
      </w:hyperlink>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hyperlink w:anchor="ref-17Yhk1HAt">
        <w:r>
          <w:rPr>
            <w:rStyle w:val="Hyperlink"/>
            <w:vertAlign w:val="superscript"/>
          </w:rPr>
          <w:t xml:space="preserve">47</w:t>
        </w:r>
      </w:hyperlink>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hyperlink w:anchor="ref-vpU0FTFY">
        <w:r>
          <w:rPr>
            <w:rStyle w:val="Hyperlink"/>
            <w:vertAlign w:val="superscript"/>
          </w:rPr>
          <w:t xml:space="preserve">48</w:t>
        </w:r>
      </w:hyperlink>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hyperlink w:anchor="ref-zLp25QYu">
        <w:r>
          <w:rPr>
            <w:rStyle w:val="Hyperlink"/>
            <w:vertAlign w:val="superscript"/>
          </w:rPr>
          <w:t xml:space="preserve">55</w:t>
        </w:r>
      </w:hyperlink>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hyperlink w:anchor="ref-tTu8Ds9Z">
        <w:r>
          <w:rPr>
            <w:rStyle w:val="Hyperlink"/>
            <w:vertAlign w:val="superscript"/>
          </w:rPr>
          <w:t xml:space="preserve">84</w:t>
        </w:r>
      </w:hyperlink>
      <w:r>
        <w:t xml:space="preserve">, and multiplexed single-cell or single-nuclei RNA-seq reads were mapped to the same reference genome using</w:t>
      </w:r>
      <w:r>
        <w:t xml:space="preserve"> </w:t>
      </w:r>
      <w:r>
        <w:rPr>
          <w:rStyle w:val="VerbatimChar"/>
        </w:rPr>
        <w:t xml:space="preserve">STARsolo</w:t>
      </w:r>
      <w:hyperlink w:anchor="ref-rxoRG1BR">
        <w:r>
          <w:rPr>
            <w:rStyle w:val="Hyperlink"/>
            <w:vertAlign w:val="superscript"/>
          </w:rPr>
          <w:t xml:space="preserve">85</w:t>
        </w:r>
      </w:hyperlink>
      <w:r>
        <w:t xml:space="preserve">.</w:t>
      </w:r>
      <w:r>
        <w:t xml:space="preserve"> </w:t>
      </w:r>
      <w:r>
        <w:t xml:space="preserve">The mapped bulk reads were used to call variants and assign genotypes with</w:t>
      </w:r>
      <w:r>
        <w:t xml:space="preserve"> </w:t>
      </w:r>
      <w:r>
        <w:rPr>
          <w:rStyle w:val="VerbatimChar"/>
        </w:rPr>
        <w:t xml:space="preserve">bcftools mpileup</w:t>
      </w:r>
      <w:hyperlink w:anchor="ref-eyOvxHVn">
        <w:r>
          <w:rPr>
            <w:rStyle w:val="Hyperlink"/>
            <w:vertAlign w:val="superscript"/>
          </w:rPr>
          <w:t xml:space="preserve">86</w:t>
        </w:r>
      </w:hyperlink>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hyperlink w:anchor="ref-wd1cI6xh">
        <w:r>
          <w:rPr>
            <w:rStyle w:val="Hyperlink"/>
            <w:vertAlign w:val="superscript"/>
          </w:rPr>
          <w:t xml:space="preserve">87</w:t>
        </w:r>
      </w:hyperlink>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hyperlink w:anchor="ref-wd1cI6xh">
        <w:r>
          <w:rPr>
            <w:rStyle w:val="Hyperlink"/>
            <w:vertAlign w:val="superscript"/>
          </w:rPr>
          <w:t xml:space="preserve">87</w:t>
        </w:r>
      </w:hyperlink>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hyperlink w:anchor="ref-xo912CsO">
        <w:r>
          <w:rPr>
            <w:rStyle w:val="Hyperlink"/>
            <w:vertAlign w:val="superscript"/>
          </w:rPr>
          <w:t xml:space="preserve">58</w:t>
        </w:r>
      </w:hyperlink>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hyperlink w:anchor="ref-vrqQcFyx">
        <w:r>
          <w:rPr>
            <w:rStyle w:val="Hyperlink"/>
            <w:vertAlign w:val="superscript"/>
          </w:rPr>
          <w:t xml:space="preserve">57</w:t>
        </w:r>
      </w:hyperlink>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2"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hyperlink w:anchor="ref-13P6oSrS0">
        <w:r>
          <w:rPr>
            <w:rStyle w:val="Hyperlink"/>
            <w:vertAlign w:val="superscript"/>
          </w:rPr>
          <w:t xml:space="preserve">50</w:t>
        </w:r>
      </w:hyperlink>
      <w:r>
        <w:rPr>
          <w:vertAlign w:val="superscript"/>
        </w:rPr>
        <w:t xml:space="preserve">,</w:t>
      </w:r>
      <w:hyperlink w:anchor="ref-MzCvXTgB">
        <w:r>
          <w:rPr>
            <w:rStyle w:val="Hyperlink"/>
            <w:vertAlign w:val="superscript"/>
          </w:rPr>
          <w:t xml:space="preserve">88</w:t>
        </w:r>
      </w:hyperlink>
      <w:r>
        <w:rPr>
          <w:vertAlign w:val="superscript"/>
        </w:rPr>
        <w:t xml:space="preserve">,</w:t>
      </w:r>
      <w:hyperlink w:anchor="ref-15J98V2qM">
        <w:r>
          <w:rPr>
            <w:rStyle w:val="Hyperlink"/>
            <w:vertAlign w:val="superscript"/>
          </w:rPr>
          <w:t xml:space="preserve">89</w:t>
        </w:r>
      </w:hyperlink>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hyperlink w:anchor="ref-xpZq9dBF">
        <w:r>
          <w:rPr>
            <w:rStyle w:val="Hyperlink"/>
            <w:vertAlign w:val="superscript"/>
          </w:rPr>
          <w:t xml:space="preserve">90</w:t>
        </w:r>
      </w:hyperlink>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hyperlink w:anchor="ref-T3PlZ3Vh">
        <w:r>
          <w:rPr>
            <w:rStyle w:val="Hyperlink"/>
            <w:vertAlign w:val="superscript"/>
          </w:rPr>
          <w:t xml:space="preserve">91</w:t>
        </w:r>
      </w:hyperlink>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hyperlink w:anchor="ref-Q9CUgaL0">
        <w:r>
          <w:rPr>
            <w:rStyle w:val="Hyperlink"/>
            <w:vertAlign w:val="superscript"/>
          </w:rPr>
          <w:t xml:space="preserve">52</w:t>
        </w:r>
      </w:hyperlink>
      <w:r>
        <w:t xml:space="preserve"> </w:t>
      </w:r>
      <w:r>
        <w:t xml:space="preserve">containing 7.3 million cells from various normal and diseased tissues was obtained from Zenodo</w:t>
      </w:r>
      <w:hyperlink w:anchor="ref-O4OKmWGu">
        <w:r>
          <w:rPr>
            <w:rStyle w:val="Hyperlink"/>
            <w:vertAlign w:val="superscript"/>
          </w:rPr>
          <w:t xml:space="preserve">92</w:t>
        </w:r>
      </w:hyperlink>
      <w:r>
        <w:t xml:space="preserve"> </w:t>
      </w:r>
      <w:r>
        <w:t xml:space="preserve">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0"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hyperlink w:anchor="ref-T3PlZ3Vh">
        <w:r>
          <w:rPr>
            <w:rStyle w:val="Hyperlink"/>
            <w:vertAlign w:val="superscript"/>
          </w:rPr>
          <w:t xml:space="preserve">91</w:t>
        </w:r>
      </w:hyperlink>
      <w:r>
        <w:t xml:space="preserve"> </w:t>
      </w:r>
      <w:r>
        <w:t xml:space="preserve">reference used with</w:t>
      </w:r>
      <w:r>
        <w:t xml:space="preserve"> </w:t>
      </w:r>
      <w:r>
        <w:rPr>
          <w:rStyle w:val="VerbatimChar"/>
        </w:rPr>
        <w:t xml:space="preserve">CellAssign</w:t>
      </w:r>
      <w:r>
        <w:t xml:space="preserve"> </w:t>
      </w:r>
      <w:r>
        <w:t xml:space="preserve">to an appropriate Cell Ontology term</w:t>
      </w:r>
      <w:hyperlink w:anchor="ref-17U3pGEjv">
        <w:r>
          <w:rPr>
            <w:rStyle w:val="Hyperlink"/>
            <w:vertAlign w:val="superscript"/>
          </w:rPr>
          <w:t xml:space="preserve">59</w:t>
        </w:r>
      </w:hyperlink>
      <w:r>
        <w:rPr>
          <w:vertAlign w:val="superscript"/>
        </w:rPr>
        <w:t xml:space="preserve">–</w:t>
      </w:r>
      <w:hyperlink w:anchor="ref-1CCBSogYG">
        <w:r>
          <w:rPr>
            <w:rStyle w:val="Hyperlink"/>
            <w:vertAlign w:val="superscript"/>
          </w:rPr>
          <w:t xml:space="preserve">61</w:t>
        </w:r>
      </w:hyperlink>
      <w:r>
        <w:rPr>
          <w:vertAlign w:val="superscript"/>
        </w:rPr>
        <w:t xml:space="preserve">,</w:t>
      </w:r>
      <w:hyperlink w:anchor="ref-GhuEgMP3">
        <w:r>
          <w:rPr>
            <w:rStyle w:val="Hyperlink"/>
            <w:vertAlign w:val="superscript"/>
          </w:rPr>
          <w:t xml:space="preserve">93</w:t>
        </w:r>
      </w:hyperlink>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hyperlink w:anchor="ref-kFdlYl7L">
        <w:r>
          <w:rPr>
            <w:rStyle w:val="Hyperlink"/>
            <w:vertAlign w:val="superscript"/>
          </w:rPr>
          <w:t xml:space="preserve">94</w:t>
        </w:r>
      </w:hyperlink>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hyperlink w:anchor="ref-MclvBVPD">
        <w:r>
          <w:rPr>
            <w:rStyle w:val="Hyperlink"/>
            <w:vertAlign w:val="superscript"/>
          </w:rPr>
          <w:t xml:space="preserve">95</w:t>
        </w:r>
      </w:hyperlink>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0"/>
    <w:bookmarkStart w:id="191" w:name="Xda52bb494be354f80fc142d17030409f9c35fc6"/>
    <w:p>
      <w:pPr>
        <w:pStyle w:val="Heading5"/>
      </w:pPr>
      <w:r>
        <w:t xml:space="preserve">Cell types annotated as part of the OpenScPCA Project</w:t>
      </w:r>
    </w:p>
    <w:p>
      <w:pPr>
        <w:pStyle w:val="FirstParagraph"/>
      </w:pPr>
      <w:r>
        <w:t xml:space="preserve">As part of the ongoing OpenScPCA project</w:t>
      </w:r>
      <w:hyperlink w:anchor="ref-xW9vfui5">
        <w:r>
          <w:rPr>
            <w:rStyle w:val="Hyperlink"/>
            <w:vertAlign w:val="superscript"/>
          </w:rPr>
          <w:t xml:space="preserve">64</w:t>
        </w:r>
      </w:hyperlink>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hyperlink w:anchor="ref-ckn7Y4Ch">
        <w:r>
          <w:rPr>
            <w:rStyle w:val="Hyperlink"/>
            <w:vertAlign w:val="superscript"/>
          </w:rPr>
          <w:t xml:space="preserve">96</w:t>
        </w:r>
      </w:hyperlink>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hyperlink w:anchor="ref-tDa8M4VA">
        <w:r>
          <w:rPr>
            <w:rStyle w:val="Hyperlink"/>
            <w:vertAlign w:val="superscript"/>
          </w:rPr>
          <w:t xml:space="preserve">97</w:t>
        </w:r>
      </w:hyperlink>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hyperlink w:anchor="ref-b2mzXKFd">
        <w:r>
          <w:rPr>
            <w:rStyle w:val="Hyperlink"/>
            <w:vertAlign w:val="superscript"/>
          </w:rPr>
          <w:t xml:space="preserve">98</w:t>
        </w:r>
      </w:hyperlink>
      <w:r>
        <w:t xml:space="preserve"> </w:t>
      </w:r>
      <w:r>
        <w:t xml:space="preserve">and</w:t>
      </w:r>
      <w:r>
        <w:t xml:space="preserve"> </w:t>
      </w:r>
      <w:r>
        <w:rPr>
          <w:rStyle w:val="VerbatimChar"/>
        </w:rPr>
        <w:t xml:space="preserve">scANVI/scArches</w:t>
      </w:r>
      <w:hyperlink w:anchor="ref-5Tzlvrsz">
        <w:r>
          <w:rPr>
            <w:rStyle w:val="Hyperlink"/>
            <w:vertAlign w:val="superscript"/>
          </w:rPr>
          <w:t xml:space="preserve">99</w:t>
        </w:r>
      </w:hyperlink>
      <w:r>
        <w:t xml:space="preserve"> </w:t>
      </w:r>
      <w:r>
        <w:t xml:space="preserve">using the</w:t>
      </w:r>
      <w:r>
        <w:t xml:space="preserve"> </w:t>
      </w:r>
      <w:r>
        <w:rPr>
          <w:rStyle w:val="VerbatimChar"/>
        </w:rPr>
        <w:t xml:space="preserve">NBAtlas</w:t>
      </w:r>
      <w:r>
        <w:t xml:space="preserve"> </w:t>
      </w:r>
      <w:r>
        <w:t xml:space="preserve">from Bonine et al. as a reference</w:t>
      </w:r>
      <w:hyperlink w:anchor="ref-sGIqMPJO">
        <w:r>
          <w:rPr>
            <w:rStyle w:val="Hyperlink"/>
            <w:vertAlign w:val="superscript"/>
          </w:rPr>
          <w:t xml:space="preserve">65</w:t>
        </w:r>
      </w:hyperlink>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hyperlink w:anchor="ref-FU20imAg">
        <w:r>
          <w:rPr>
            <w:rStyle w:val="Hyperlink"/>
            <w:vertAlign w:val="superscript"/>
          </w:rPr>
          <w:t xml:space="preserve">100</w:t>
        </w:r>
      </w:hyperlink>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hyperlink w:anchor="ref-39MhIsQP">
        <w:r>
          <w:rPr>
            <w:rStyle w:val="Hyperlink"/>
            <w:vertAlign w:val="superscript"/>
          </w:rPr>
          <w:t xml:space="preserve">101</w:t>
        </w:r>
      </w:hyperlink>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hyperlink w:anchor="ref-ASF2rfc1">
        <w:r>
          <w:rPr>
            <w:rStyle w:val="Hyperlink"/>
            <w:vertAlign w:val="superscript"/>
          </w:rPr>
          <w:t xml:space="preserve">102</w:t>
        </w:r>
      </w:hyperlink>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hyperlink w:anchor="ref-fkd931ki">
        <w:r>
          <w:rPr>
            <w:rStyle w:val="Hyperlink"/>
            <w:vertAlign w:val="superscript"/>
          </w:rPr>
          <w:t xml:space="preserve">103</w:t>
        </w:r>
      </w:hyperlink>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hyperlink w:anchor="ref-1CbVoEpNJ">
        <w:r>
          <w:rPr>
            <w:rStyle w:val="Hyperlink"/>
            <w:vertAlign w:val="superscript"/>
          </w:rPr>
          <w:t xml:space="preserve">104</w:t>
        </w:r>
      </w:hyperlink>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1"/>
    <w:bookmarkEnd w:id="192"/>
    <w:bookmarkStart w:id="193"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hyperlink w:anchor="ref-b9hQbZOR">
        <w:r>
          <w:rPr>
            <w:rStyle w:val="Hyperlink"/>
            <w:vertAlign w:val="superscript"/>
          </w:rPr>
          <w:t xml:space="preserve">53</w:t>
        </w:r>
      </w:hyperlink>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3"/>
    <w:bookmarkStart w:id="194"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hyperlink w:anchor="ref-kILCvszy">
        <w:r>
          <w:rPr>
            <w:rStyle w:val="Hyperlink"/>
            <w:vertAlign w:val="superscript"/>
          </w:rPr>
          <w:t xml:space="preserve">105</w:t>
        </w:r>
      </w:hyperlink>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4"/>
    <w:bookmarkStart w:id="195"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hyperlink w:anchor="ref-11dH4UgRF">
        <w:r>
          <w:rPr>
            <w:rStyle w:val="Hyperlink"/>
            <w:vertAlign w:val="superscript"/>
          </w:rPr>
          <w:t xml:space="preserve">106</w:t>
        </w:r>
      </w:hyperlink>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5"/>
    <w:bookmarkEnd w:id="196"/>
    <w:bookmarkStart w:id="201"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7"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7"/>
    <w:bookmarkStart w:id="200" w:name="analysis-of-bulk-rna-seq-data"/>
    <w:p>
      <w:pPr>
        <w:pStyle w:val="Heading4"/>
      </w:pPr>
      <w:r>
        <w:t xml:space="preserve">Analysis of bulk RNA-seq data</w:t>
      </w:r>
    </w:p>
    <w:bookmarkStart w:id="198"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hyperlink w:anchor="ref-w9AOzBMw">
        <w:r>
          <w:rPr>
            <w:rStyle w:val="Hyperlink"/>
            <w:vertAlign w:val="superscript"/>
          </w:rPr>
          <w:t xml:space="preserve">107</w:t>
        </w:r>
      </w:hyperlink>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hyperlink w:anchor="ref-AUoV0xkq">
        <w:r>
          <w:rPr>
            <w:rStyle w:val="Hyperlink"/>
            <w:vertAlign w:val="superscript"/>
          </w:rPr>
          <w:t xml:space="preserve">108</w:t>
        </w:r>
      </w:hyperlink>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8"/>
    <w:bookmarkStart w:id="199"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hyperlink w:anchor="ref-UeFCwwR7">
        <w:r>
          <w:rPr>
            <w:rStyle w:val="Hyperlink"/>
            <w:vertAlign w:val="superscript"/>
          </w:rPr>
          <w:t xml:space="preserve">109</w:t>
        </w:r>
      </w:hyperlink>
      <w:r>
        <w:t xml:space="preserve">.</w:t>
      </w:r>
    </w:p>
    <w:bookmarkEnd w:id="199"/>
    <w:bookmarkEnd w:id="200"/>
    <w:bookmarkEnd w:id="201"/>
    <w:bookmarkStart w:id="202" w:name="additional-resources"/>
    <w:p>
      <w:pPr>
        <w:pStyle w:val="Heading3"/>
      </w:pPr>
      <w:r>
        <w:t xml:space="preserve">ADDITIONAL RESOURCES</w:t>
      </w:r>
    </w:p>
    <w:p>
      <w:pPr>
        <w:pStyle w:val="FirstParagraph"/>
      </w:pPr>
      <w:r>
        <w:t xml:space="preserve">Documentation for the ScPCA Portal can be found at</w:t>
      </w:r>
      <w:r>
        <w:t xml:space="preserve"> </w:t>
      </w:r>
      <w:hyperlink r:id="rId120">
        <w:r>
          <w:rPr>
            <w:rStyle w:val="Hyperlink"/>
          </w:rPr>
          <w:t xml:space="preserve">https://scpca.readthedocs.io</w:t>
        </w:r>
      </w:hyperlink>
      <w:r>
        <w:t xml:space="preserve">.</w:t>
      </w:r>
    </w:p>
    <w:bookmarkEnd w:id="202"/>
    <w:bookmarkStart w:id="203" w:name="key-resources-table"/>
    <w:p>
      <w:pPr>
        <w:pStyle w:val="Heading3"/>
      </w:pPr>
      <w:r>
        <w:t xml:space="preserve">KEY RESOURCES TABLE</w:t>
      </w:r>
    </w:p>
    <w:tbl>
      <w:tblPr>
        <w:tblStyle w:val="Table"/>
        <w:tblW w:type="pct" w:w="5000"/>
        <w:tblLook w:firstRow="1" w:lastRow="0" w:firstColumn="0" w:lastColumn="0" w:noHBand="0" w:noVBand="0" w:val="0020"/>
      </w:tblPr>
      <w:tblGrid>
        <w:gridCol w:w="4299"/>
        <w:gridCol w:w="1357"/>
        <w:gridCol w:w="2262"/>
      </w:tblGrid>
      <w:tr>
        <w:trPr>
          <w:tblHeader w:val="true"/>
        </w:trPr>
        <w:tc>
          <w:tcPr/>
          <w:p>
            <w:pPr>
              <w:pStyle w:val="Compact"/>
              <w:jc w:val="left"/>
            </w:pPr>
            <w:r>
              <w:rPr>
                <w:bCs/>
                <w:b/>
              </w:rPr>
              <w:t xml:space="preserve">REAGENT or RESOURCE</w:t>
            </w:r>
          </w:p>
        </w:tc>
        <w:tc>
          <w:tcPr/>
          <w:p>
            <w:pPr>
              <w:pStyle w:val="Compact"/>
              <w:jc w:val="left"/>
            </w:pPr>
            <w:r>
              <w:rPr>
                <w:bCs/>
                <w:b/>
              </w:rPr>
              <w:t xml:space="preserve">SOURCE</w:t>
            </w:r>
          </w:p>
        </w:tc>
        <w:tc>
          <w:tcPr/>
          <w:p>
            <w:pPr>
              <w:pStyle w:val="Compact"/>
              <w:jc w:val="left"/>
            </w:pPr>
            <w:r>
              <w:rPr>
                <w:bCs/>
                <w:b/>
              </w:rPr>
              <w:t xml:space="preserve">IDENTIFIER</w:t>
            </w:r>
          </w:p>
        </w:tc>
      </w:tr>
      <w:tr>
        <w:tc>
          <w:tcPr/>
          <w:p>
            <w:pPr>
              <w:pStyle w:val="Compact"/>
              <w:jc w:val="left"/>
            </w:pPr>
            <w:r>
              <w:rPr>
                <w:bCs/>
                <w:b/>
              </w:rPr>
              <w:t xml:space="preserve">Deposited Data</w:t>
            </w:r>
          </w:p>
        </w:tc>
        <w:tc>
          <w:tcPr/>
          <w:p>
            <w:pPr>
              <w:pStyle w:val="Compact"/>
            </w:pPr>
          </w:p>
        </w:tc>
        <w:tc>
          <w:tcPr/>
          <w:p>
            <w:pPr>
              <w:pStyle w:val="Compact"/>
            </w:pPr>
          </w:p>
        </w:tc>
      </w:tr>
      <w:tr>
        <w:tc>
          <w:tcPr/>
          <w:p>
            <w:pPr>
              <w:pStyle w:val="Compact"/>
              <w:jc w:val="left"/>
            </w:pPr>
            <w:r>
              <w:t xml:space="preserve">Summarized gene expression data</w:t>
            </w:r>
          </w:p>
        </w:tc>
        <w:tc>
          <w:tcPr/>
          <w:p>
            <w:pPr>
              <w:pStyle w:val="Compact"/>
              <w:jc w:val="left"/>
            </w:pPr>
            <w:r>
              <w:t xml:space="preserve">This paper</w:t>
            </w:r>
          </w:p>
        </w:tc>
        <w:tc>
          <w:tcPr/>
          <w:p>
            <w:pPr>
              <w:pStyle w:val="Compact"/>
              <w:jc w:val="left"/>
            </w:pPr>
            <w:r>
              <w:t xml:space="preserve">https://scpca.alexslemonade.org</w:t>
            </w:r>
          </w:p>
        </w:tc>
      </w:tr>
      <w:tr>
        <w:tc>
          <w:tcPr/>
          <w:p>
            <w:pPr>
              <w:pStyle w:val="Compact"/>
            </w:pPr>
          </w:p>
        </w:tc>
        <w:tc>
          <w:tcPr/>
          <w:p>
            <w:pPr>
              <w:pStyle w:val="Compact"/>
            </w:pPr>
          </w:p>
        </w:tc>
        <w:tc>
          <w:tcPr/>
          <w:p>
            <w:pPr>
              <w:pStyle w:val="Compact"/>
            </w:pPr>
          </w:p>
        </w:tc>
      </w:tr>
      <w:tr>
        <w:tc>
          <w:tcPr/>
          <w:p>
            <w:pPr>
              <w:pStyle w:val="Compact"/>
              <w:jc w:val="left"/>
            </w:pPr>
            <w:r>
              <w:rPr>
                <w:bCs/>
                <w:b/>
              </w:rPr>
              <w:t xml:space="preserve">Software and algorithms</w:t>
            </w:r>
          </w:p>
        </w:tc>
        <w:tc>
          <w:tcPr/>
          <w:p>
            <w:pPr>
              <w:pStyle w:val="Compact"/>
            </w:pPr>
          </w:p>
        </w:tc>
        <w:tc>
          <w:tcPr/>
          <w:p>
            <w:pPr>
              <w:pStyle w:val="Compact"/>
            </w:pPr>
          </w:p>
        </w:tc>
      </w:tr>
      <w:tr>
        <w:tc>
          <w:tcPr/>
          <w:p>
            <w:pPr>
              <w:pStyle w:val="Compact"/>
              <w:jc w:val="left"/>
            </w:pPr>
            <w:r>
              <w:rPr>
                <w:rStyle w:val="VerbatimChar"/>
              </w:rPr>
              <w:t xml:space="preserve">scpca-nf</w:t>
            </w:r>
            <w:r>
              <w:t xml:space="preserve"> </w:t>
            </w:r>
            <w:r>
              <w:t xml:space="preserve">workflow used for processing all ScPCA Portal data</w:t>
            </w:r>
          </w:p>
        </w:tc>
        <w:tc>
          <w:tcPr/>
          <w:p>
            <w:pPr>
              <w:pStyle w:val="Compact"/>
              <w:jc w:val="left"/>
            </w:pPr>
            <w:r>
              <w:t xml:space="preserve">This paper</w:t>
            </w:r>
          </w:p>
        </w:tc>
        <w:tc>
          <w:tcPr/>
          <w:p>
            <w:pPr>
              <w:pStyle w:val="Compact"/>
              <w:jc w:val="left"/>
            </w:pPr>
            <w:r>
              <w:t xml:space="preserve">https://github.com/AlexsLemonade/scpca-nf</w:t>
            </w:r>
            <w:hyperlink w:anchor="ref-obsr7KMv">
              <w:r>
                <w:rPr>
                  <w:rStyle w:val="Hyperlink"/>
                  <w:vertAlign w:val="superscript"/>
                </w:rPr>
                <w:t xml:space="preserve">73</w:t>
              </w:r>
            </w:hyperlink>
          </w:p>
        </w:tc>
      </w:tr>
      <w:tr>
        <w:tc>
          <w:tcPr/>
          <w:p>
            <w:pPr>
              <w:pStyle w:val="Compact"/>
              <w:jc w:val="left"/>
            </w:pPr>
            <w:r>
              <w:t xml:space="preserve">ScPCA Portal code</w:t>
            </w:r>
          </w:p>
        </w:tc>
        <w:tc>
          <w:tcPr/>
          <w:p>
            <w:pPr>
              <w:pStyle w:val="Compact"/>
              <w:jc w:val="left"/>
            </w:pPr>
            <w:r>
              <w:t xml:space="preserve">This paper</w:t>
            </w:r>
          </w:p>
        </w:tc>
        <w:tc>
          <w:tcPr/>
          <w:p>
            <w:pPr>
              <w:pStyle w:val="Compact"/>
              <w:jc w:val="left"/>
            </w:pPr>
            <w:r>
              <w:t xml:space="preserve">https://github.com/AlexsLemonade/scpca-portal</w:t>
            </w:r>
            <w:hyperlink w:anchor="ref-bBTOj6tI">
              <w:r>
                <w:rPr>
                  <w:rStyle w:val="Hyperlink"/>
                  <w:vertAlign w:val="superscript"/>
                </w:rPr>
                <w:t xml:space="preserve">74</w:t>
              </w:r>
            </w:hyperlink>
          </w:p>
        </w:tc>
      </w:tr>
      <w:tr>
        <w:tc>
          <w:tcPr/>
          <w:p>
            <w:pPr>
              <w:pStyle w:val="Compact"/>
              <w:jc w:val="left"/>
            </w:pPr>
            <w:r>
              <w:t xml:space="preserve">Benchmarking of tools used to build</w:t>
            </w:r>
            <w:r>
              <w:t xml:space="preserve"> </w:t>
            </w:r>
            <w:r>
              <w:rPr>
                <w:rStyle w:val="VerbatimChar"/>
              </w:rPr>
              <w:t xml:space="preserve">scpca-nf</w:t>
            </w:r>
          </w:p>
        </w:tc>
        <w:tc>
          <w:tcPr/>
          <w:p>
            <w:pPr>
              <w:pStyle w:val="Compact"/>
              <w:jc w:val="left"/>
            </w:pPr>
            <w:r>
              <w:t xml:space="preserve">This paper</w:t>
            </w:r>
          </w:p>
        </w:tc>
        <w:tc>
          <w:tcPr/>
          <w:p>
            <w:pPr>
              <w:pStyle w:val="Compact"/>
              <w:jc w:val="left"/>
            </w:pPr>
            <w:r>
              <w:t xml:space="preserve">https://github.com/AlexsLemonade/alsf-scpca</w:t>
            </w:r>
            <w:hyperlink w:anchor="ref-17jk0C5fN">
              <w:r>
                <w:rPr>
                  <w:rStyle w:val="Hyperlink"/>
                  <w:vertAlign w:val="superscript"/>
                </w:rPr>
                <w:t xml:space="preserve">75</w:t>
              </w:r>
            </w:hyperlink>
            <w:r>
              <w:t xml:space="preserve"> </w:t>
            </w:r>
            <w:r>
              <w:t xml:space="preserve">and https://github.com/AlexsLemonade/sc-data-integration</w:t>
            </w:r>
            <w:hyperlink w:anchor="ref-z0sh5bZ2">
              <w:r>
                <w:rPr>
                  <w:rStyle w:val="Hyperlink"/>
                  <w:vertAlign w:val="superscript"/>
                </w:rPr>
                <w:t xml:space="preserve">76</w:t>
              </w:r>
            </w:hyperlink>
          </w:p>
        </w:tc>
      </w:tr>
      <w:tr>
        <w:tc>
          <w:tcPr/>
          <w:p>
            <w:pPr>
              <w:pStyle w:val="Compact"/>
              <w:jc w:val="left"/>
            </w:pPr>
            <w:r>
              <w:t xml:space="preserve">Code for creating reference files for consensus cell type assignment</w:t>
            </w:r>
          </w:p>
        </w:tc>
        <w:tc>
          <w:tcPr/>
          <w:p>
            <w:pPr>
              <w:pStyle w:val="Compact"/>
              <w:jc w:val="left"/>
            </w:pPr>
            <w:r>
              <w:t xml:space="preserve">This paper</w:t>
            </w:r>
          </w:p>
        </w:tc>
        <w:tc>
          <w:tcPr/>
          <w:p>
            <w:pPr>
              <w:pStyle w:val="Compact"/>
              <w:jc w:val="left"/>
            </w:pPr>
            <w:r>
              <w:t xml:space="preserve">https://github.com/AlexsLemonade/OpenScPCA-analysis</w:t>
            </w:r>
            <w:hyperlink w:anchor="ref-Tz8I0Kbo">
              <w:r>
                <w:rPr>
                  <w:rStyle w:val="Hyperlink"/>
                  <w:vertAlign w:val="superscript"/>
                </w:rPr>
                <w:t xml:space="preserve">110</w:t>
              </w:r>
            </w:hyperlink>
          </w:p>
        </w:tc>
      </w:tr>
      <w:tr>
        <w:tc>
          <w:tcPr/>
          <w:p>
            <w:pPr>
              <w:pStyle w:val="Compact"/>
              <w:jc w:val="left"/>
            </w:pPr>
            <w:r>
              <w:t xml:space="preserve">Workflow for assigning OpenScPCA project cell type annotations to ScPCA data</w:t>
            </w:r>
          </w:p>
        </w:tc>
        <w:tc>
          <w:tcPr/>
          <w:p>
            <w:pPr>
              <w:pStyle w:val="Compact"/>
              <w:jc w:val="left"/>
            </w:pPr>
            <w:r>
              <w:t xml:space="preserve">This paper</w:t>
            </w:r>
          </w:p>
        </w:tc>
        <w:tc>
          <w:tcPr/>
          <w:p>
            <w:pPr>
              <w:pStyle w:val="Compact"/>
              <w:jc w:val="left"/>
            </w:pPr>
            <w:r>
              <w:t xml:space="preserve">https://github.com/AlexsLemonade/OpenScPCA-nf</w:t>
            </w:r>
            <w:hyperlink w:anchor="ref-ma2G21WA">
              <w:r>
                <w:rPr>
                  <w:rStyle w:val="Hyperlink"/>
                  <w:vertAlign w:val="superscript"/>
                </w:rPr>
                <w:t xml:space="preserve">77</w:t>
              </w:r>
            </w:hyperlink>
          </w:p>
        </w:tc>
      </w:tr>
      <w:tr>
        <w:tc>
          <w:tcPr/>
          <w:p>
            <w:pPr>
              <w:pStyle w:val="Compact"/>
              <w:jc w:val="left"/>
            </w:pPr>
            <w:r>
              <w:rPr>
                <w:rStyle w:val="VerbatimChar"/>
              </w:rPr>
              <w:t xml:space="preserve">ScPCAr</w:t>
            </w:r>
            <w:r>
              <w:t xml:space="preserve"> </w:t>
            </w:r>
            <w:r>
              <w:t xml:space="preserve">package for programmatically downloading from the Portal</w:t>
            </w:r>
          </w:p>
        </w:tc>
        <w:tc>
          <w:tcPr/>
          <w:p>
            <w:pPr>
              <w:pStyle w:val="Compact"/>
              <w:jc w:val="left"/>
            </w:pPr>
            <w:r>
              <w:t xml:space="preserve">This paper</w:t>
            </w:r>
          </w:p>
        </w:tc>
        <w:tc>
          <w:tcPr/>
          <w:p>
            <w:pPr>
              <w:pStyle w:val="Compact"/>
              <w:jc w:val="left"/>
            </w:pPr>
            <w:r>
              <w:t xml:space="preserve">https://github.com/AlexsLemonade/ScPCAr</w:t>
            </w:r>
            <w:hyperlink w:anchor="ref-90pixlFL">
              <w:r>
                <w:rPr>
                  <w:rStyle w:val="Hyperlink"/>
                  <w:vertAlign w:val="superscript"/>
                </w:rPr>
                <w:t xml:space="preserve">78</w:t>
              </w:r>
            </w:hyperlink>
          </w:p>
        </w:tc>
      </w:tr>
      <w:tr>
        <w:tc>
          <w:tcPr/>
          <w:p>
            <w:pPr>
              <w:pStyle w:val="Compact"/>
              <w:jc w:val="left"/>
            </w:pPr>
            <w:r>
              <w:t xml:space="preserve">Code for underlying figures and analyses</w:t>
            </w:r>
          </w:p>
        </w:tc>
        <w:tc>
          <w:tcPr/>
          <w:p>
            <w:pPr>
              <w:pStyle w:val="Compact"/>
              <w:jc w:val="left"/>
            </w:pPr>
            <w:r>
              <w:t xml:space="preserve">This paper</w:t>
            </w:r>
          </w:p>
        </w:tc>
        <w:tc>
          <w:tcPr/>
          <w:p>
            <w:pPr>
              <w:pStyle w:val="Compact"/>
              <w:jc w:val="left"/>
            </w:pPr>
            <w:r>
              <w:t xml:space="preserve">https://github.com/AlexsLemonade/scpca-paper-figures</w:t>
            </w:r>
            <w:hyperlink w:anchor="ref-19PK9p5Of">
              <w:r>
                <w:rPr>
                  <w:rStyle w:val="Hyperlink"/>
                  <w:vertAlign w:val="superscript"/>
                </w:rPr>
                <w:t xml:space="preserve">79</w:t>
              </w:r>
            </w:hyperlink>
          </w:p>
        </w:tc>
      </w:tr>
      <w:tr>
        <w:tc>
          <w:tcPr/>
          <w:p>
            <w:pPr>
              <w:pStyle w:val="Compact"/>
              <w:jc w:val="left"/>
            </w:pPr>
            <w:r>
              <w:t xml:space="preserve">Nextflow</w:t>
            </w:r>
          </w:p>
        </w:tc>
        <w:tc>
          <w:tcPr/>
          <w:p>
            <w:pPr>
              <w:pStyle w:val="Compact"/>
              <w:jc w:val="left"/>
            </w:pPr>
            <w:r>
              <w:t xml:space="preserve">Tomasso et al.</w:t>
            </w:r>
            <w:hyperlink w:anchor="ref-4XDvZWxk">
              <w:r>
                <w:rPr>
                  <w:rStyle w:val="Hyperlink"/>
                  <w:vertAlign w:val="superscript"/>
                </w:rPr>
                <w:t xml:space="preserve">14</w:t>
              </w:r>
            </w:hyperlink>
          </w:p>
        </w:tc>
        <w:tc>
          <w:tcPr/>
          <w:p>
            <w:pPr>
              <w:pStyle w:val="Compact"/>
              <w:jc w:val="left"/>
            </w:pPr>
            <w:r>
              <w:t xml:space="preserve">https://github.com/nextflow-io/nextflow/tree/master</w:t>
            </w:r>
          </w:p>
        </w:tc>
      </w:tr>
      <w:tr>
        <w:tc>
          <w:tcPr/>
          <w:p>
            <w:pPr>
              <w:pStyle w:val="Compact"/>
              <w:jc w:val="left"/>
            </w:pPr>
            <w:r>
              <w:rPr>
                <w:rStyle w:val="VerbatimChar"/>
              </w:rPr>
              <w:t xml:space="preserve">salmon</w:t>
            </w:r>
          </w:p>
        </w:tc>
        <w:tc>
          <w:tcPr/>
          <w:p>
            <w:pPr>
              <w:pStyle w:val="Compact"/>
              <w:jc w:val="left"/>
            </w:pPr>
            <w:r>
              <w:t xml:space="preserve">Patro et al.</w:t>
            </w:r>
            <w:hyperlink w:anchor="ref-vrqQcFyx">
              <w:r>
                <w:rPr>
                  <w:rStyle w:val="Hyperlink"/>
                  <w:vertAlign w:val="superscript"/>
                </w:rPr>
                <w:t xml:space="preserve">57</w:t>
              </w:r>
            </w:hyperlink>
          </w:p>
        </w:tc>
        <w:tc>
          <w:tcPr/>
          <w:p>
            <w:pPr>
              <w:pStyle w:val="Compact"/>
              <w:jc w:val="left"/>
            </w:pPr>
            <w:r>
              <w:t xml:space="preserve">https://anaconda.org/channels/bioconda/packages/salmon/overview</w:t>
            </w:r>
          </w:p>
        </w:tc>
      </w:tr>
      <w:tr>
        <w:tc>
          <w:tcPr/>
          <w:p>
            <w:pPr>
              <w:pStyle w:val="Compact"/>
              <w:jc w:val="left"/>
            </w:pPr>
            <w:r>
              <w:rPr>
                <w:rStyle w:val="VerbatimChar"/>
              </w:rPr>
              <w:t xml:space="preserve">alevin-fry</w:t>
            </w:r>
          </w:p>
        </w:tc>
        <w:tc>
          <w:tcPr/>
          <w:p>
            <w:pPr>
              <w:pStyle w:val="Compact"/>
              <w:jc w:val="left"/>
            </w:pPr>
            <w:r>
              <w:t xml:space="preserve">He et al.</w:t>
            </w:r>
            <w:hyperlink w:anchor="ref-hYvj5GBC">
              <w:r>
                <w:rPr>
                  <w:rStyle w:val="Hyperlink"/>
                  <w:vertAlign w:val="superscript"/>
                </w:rPr>
                <w:t xml:space="preserve">15</w:t>
              </w:r>
            </w:hyperlink>
          </w:p>
        </w:tc>
        <w:tc>
          <w:tcPr/>
          <w:p>
            <w:pPr>
              <w:pStyle w:val="Compact"/>
              <w:jc w:val="left"/>
            </w:pPr>
            <w:r>
              <w:t xml:space="preserve">https://anaconda.org/channels/bioconda/packages/alevin-fry/overview</w:t>
            </w:r>
          </w:p>
        </w:tc>
      </w:tr>
      <w:tr>
        <w:tc>
          <w:tcPr/>
          <w:p>
            <w:pPr>
              <w:pStyle w:val="Compact"/>
              <w:jc w:val="left"/>
            </w:pPr>
            <w:r>
              <w:t xml:space="preserve">Space Ranger</w:t>
            </w:r>
          </w:p>
        </w:tc>
        <w:tc>
          <w:tcPr/>
          <w:p>
            <w:pPr>
              <w:pStyle w:val="Compact"/>
              <w:jc w:val="left"/>
            </w:pPr>
            <w:r>
              <w:t xml:space="preserve">10x Genomics</w:t>
            </w:r>
          </w:p>
        </w:tc>
        <w:tc>
          <w:tcPr/>
          <w:p>
            <w:pPr>
              <w:pStyle w:val="Compact"/>
              <w:jc w:val="left"/>
            </w:pPr>
            <w:r>
              <w:t xml:space="preserve">https://www.10xgenomics.com/support/software/space-ranger/latest</w:t>
            </w:r>
          </w:p>
        </w:tc>
      </w:tr>
      <w:tr>
        <w:tc>
          <w:tcPr/>
          <w:p>
            <w:pPr>
              <w:pStyle w:val="Compact"/>
              <w:jc w:val="left"/>
            </w:pPr>
            <w:r>
              <w:rPr>
                <w:rStyle w:val="VerbatimChar"/>
              </w:rPr>
              <w:t xml:space="preserve">SingleCellExperiment</w:t>
            </w:r>
          </w:p>
        </w:tc>
        <w:tc>
          <w:tcPr/>
          <w:p>
            <w:pPr>
              <w:pStyle w:val="Compact"/>
              <w:jc w:val="left"/>
            </w:pPr>
            <w:r>
              <w:t xml:space="preserve">Amezquita et al.</w:t>
            </w:r>
            <w:hyperlink w:anchor="ref-z8JnDHpr">
              <w:r>
                <w:rPr>
                  <w:rStyle w:val="Hyperlink"/>
                  <w:vertAlign w:val="superscript"/>
                </w:rPr>
                <w:t xml:space="preserve">12</w:t>
              </w:r>
            </w:hyperlink>
          </w:p>
        </w:tc>
        <w:tc>
          <w:tcPr/>
          <w:p>
            <w:pPr>
              <w:pStyle w:val="Compact"/>
              <w:jc w:val="left"/>
            </w:pPr>
            <w:r>
              <w:t xml:space="preserve">https://bioconductor.org/packages/release/bioc/html/SingleCellExperiment.html</w:t>
            </w:r>
          </w:p>
        </w:tc>
      </w:tr>
      <w:tr>
        <w:tc>
          <w:tcPr/>
          <w:p>
            <w:pPr>
              <w:pStyle w:val="Compact"/>
              <w:jc w:val="left"/>
            </w:pPr>
            <w:r>
              <w:rPr>
                <w:rStyle w:val="VerbatimChar"/>
              </w:rPr>
              <w:t xml:space="preserve">anndata</w:t>
            </w:r>
          </w:p>
        </w:tc>
        <w:tc>
          <w:tcPr/>
          <w:p>
            <w:pPr>
              <w:pStyle w:val="Compact"/>
              <w:jc w:val="left"/>
            </w:pPr>
            <w:r>
              <w:t xml:space="preserve">Virshup et al.</w:t>
            </w:r>
            <w:hyperlink w:anchor="ref-aTgM0bhI">
              <w:r>
                <w:rPr>
                  <w:rStyle w:val="Hyperlink"/>
                  <w:vertAlign w:val="superscript"/>
                </w:rPr>
                <w:t xml:space="preserve">54</w:t>
              </w:r>
            </w:hyperlink>
          </w:p>
        </w:tc>
        <w:tc>
          <w:tcPr/>
          <w:p>
            <w:pPr>
              <w:pStyle w:val="Compact"/>
              <w:jc w:val="left"/>
            </w:pPr>
            <w:r>
              <w:t xml:space="preserve">https://pypi.org/project/scvi-tools/</w:t>
            </w:r>
          </w:p>
        </w:tc>
      </w:tr>
      <w:tr>
        <w:tc>
          <w:tcPr/>
          <w:p>
            <w:pPr>
              <w:pStyle w:val="Compact"/>
              <w:jc w:val="left"/>
            </w:pPr>
            <w:r>
              <w:rPr>
                <w:rStyle w:val="VerbatimChar"/>
              </w:rPr>
              <w:t xml:space="preserve">DropletUtils</w:t>
            </w:r>
          </w:p>
        </w:tc>
        <w:tc>
          <w:tcPr/>
          <w:p>
            <w:pPr>
              <w:pStyle w:val="Compact"/>
              <w:jc w:val="left"/>
            </w:pPr>
            <w:r>
              <w:t xml:space="preserve">Lun et al.</w:t>
            </w:r>
            <w:hyperlink w:anchor="ref-U2Fa25dp">
              <w:r>
                <w:rPr>
                  <w:rStyle w:val="Hyperlink"/>
                  <w:vertAlign w:val="superscript"/>
                </w:rPr>
                <w:t xml:space="preserve">45</w:t>
              </w:r>
            </w:hyperlink>
            <w:r>
              <w:rPr>
                <w:vertAlign w:val="superscript"/>
              </w:rPr>
              <w:t xml:space="preserve">.</w:t>
            </w:r>
            <w:r>
              <w:t xml:space="preserve">; Griffiths et al.</w:t>
            </w:r>
            <w:hyperlink w:anchor="ref-JB6KjogY">
              <w:r>
                <w:rPr>
                  <w:rStyle w:val="Hyperlink"/>
                  <w:vertAlign w:val="superscript"/>
                </w:rPr>
                <w:t xml:space="preserve">46</w:t>
              </w:r>
            </w:hyperlink>
          </w:p>
        </w:tc>
        <w:tc>
          <w:tcPr/>
          <w:p>
            <w:pPr>
              <w:pStyle w:val="Compact"/>
              <w:jc w:val="left"/>
            </w:pPr>
            <w:r>
              <w:t xml:space="preserve">https://bioconductor.org/packages/release/bioc/html/DropletUtils.html</w:t>
            </w:r>
          </w:p>
        </w:tc>
      </w:tr>
      <w:tr>
        <w:tc>
          <w:tcPr/>
          <w:p>
            <w:pPr>
              <w:pStyle w:val="Compact"/>
              <w:jc w:val="left"/>
            </w:pPr>
            <w:r>
              <w:rPr>
                <w:rStyle w:val="VerbatimChar"/>
              </w:rPr>
              <w:t xml:space="preserve">miQC</w:t>
            </w:r>
          </w:p>
        </w:tc>
        <w:tc>
          <w:tcPr/>
          <w:p>
            <w:pPr>
              <w:pStyle w:val="Compact"/>
              <w:jc w:val="left"/>
            </w:pPr>
            <w:r>
              <w:t xml:space="preserve">Hippen et al.</w:t>
            </w:r>
            <w:hyperlink w:anchor="ref-17Yhk1HAt">
              <w:r>
                <w:rPr>
                  <w:rStyle w:val="Hyperlink"/>
                  <w:vertAlign w:val="superscript"/>
                </w:rPr>
                <w:t xml:space="preserve">47</w:t>
              </w:r>
            </w:hyperlink>
          </w:p>
        </w:tc>
        <w:tc>
          <w:tcPr/>
          <w:p>
            <w:pPr>
              <w:pStyle w:val="Compact"/>
              <w:jc w:val="left"/>
            </w:pPr>
            <w:r>
              <w:t xml:space="preserve">https://bioconductor.org/packages/release/bioc/html/miQC.html</w:t>
            </w:r>
          </w:p>
        </w:tc>
      </w:tr>
      <w:tr>
        <w:tc>
          <w:tcPr/>
          <w:p>
            <w:pPr>
              <w:pStyle w:val="Compact"/>
              <w:jc w:val="left"/>
            </w:pPr>
            <w:r>
              <w:rPr>
                <w:rStyle w:val="VerbatimChar"/>
              </w:rPr>
              <w:t xml:space="preserve">scDblFinder</w:t>
            </w:r>
          </w:p>
        </w:tc>
        <w:tc>
          <w:tcPr/>
          <w:p>
            <w:pPr>
              <w:pStyle w:val="Compact"/>
              <w:jc w:val="left"/>
            </w:pPr>
            <w:r>
              <w:t xml:space="preserve">Germain et al.</w:t>
            </w:r>
            <w:hyperlink w:anchor="ref-vZ9X9rsY">
              <w:r>
                <w:rPr>
                  <w:rStyle w:val="Hyperlink"/>
                  <w:vertAlign w:val="superscript"/>
                </w:rPr>
                <w:t xml:space="preserve">83</w:t>
              </w:r>
            </w:hyperlink>
          </w:p>
        </w:tc>
        <w:tc>
          <w:tcPr/>
          <w:p>
            <w:pPr>
              <w:pStyle w:val="Compact"/>
              <w:jc w:val="left"/>
            </w:pPr>
            <w:r>
              <w:t xml:space="preserve">https://bioconductor.org/packages/release/bioc/html/scDblFinder.html</w:t>
            </w:r>
          </w:p>
        </w:tc>
      </w:tr>
      <w:tr>
        <w:tc>
          <w:tcPr/>
          <w:p>
            <w:pPr>
              <w:pStyle w:val="Compact"/>
              <w:jc w:val="left"/>
            </w:pPr>
            <w:r>
              <w:rPr>
                <w:rStyle w:val="VerbatimChar"/>
              </w:rPr>
              <w:t xml:space="preserve">scuttle</w:t>
            </w:r>
          </w:p>
        </w:tc>
        <w:tc>
          <w:tcPr/>
          <w:p>
            <w:pPr>
              <w:pStyle w:val="Compact"/>
              <w:jc w:val="left"/>
            </w:pPr>
            <w:r>
              <w:t xml:space="preserve">McCarthy et al.</w:t>
            </w:r>
            <w:hyperlink w:anchor="ref-1FeTc3bro">
              <w:r>
                <w:rPr>
                  <w:rStyle w:val="Hyperlink"/>
                  <w:vertAlign w:val="superscript"/>
                </w:rPr>
                <w:t xml:space="preserve">111</w:t>
              </w:r>
            </w:hyperlink>
          </w:p>
        </w:tc>
        <w:tc>
          <w:tcPr/>
          <w:p>
            <w:pPr>
              <w:pStyle w:val="Compact"/>
              <w:jc w:val="left"/>
            </w:pPr>
            <w:r>
              <w:t xml:space="preserve">https://bioconductor.org/packages/release/bioc/html/scuttle.html</w:t>
            </w:r>
          </w:p>
        </w:tc>
      </w:tr>
      <w:tr>
        <w:tc>
          <w:tcPr/>
          <w:p>
            <w:pPr>
              <w:pStyle w:val="Compact"/>
              <w:jc w:val="left"/>
            </w:pPr>
            <w:r>
              <w:rPr>
                <w:rStyle w:val="VerbatimChar"/>
              </w:rPr>
              <w:t xml:space="preserve">scran</w:t>
            </w:r>
          </w:p>
        </w:tc>
        <w:tc>
          <w:tcPr/>
          <w:p>
            <w:pPr>
              <w:pStyle w:val="Compact"/>
              <w:jc w:val="left"/>
            </w:pPr>
            <w:r>
              <w:t xml:space="preserve">Lun et al.</w:t>
            </w:r>
            <w:hyperlink w:anchor="ref-X2EFLnD7">
              <w:r>
                <w:rPr>
                  <w:rStyle w:val="Hyperlink"/>
                  <w:vertAlign w:val="superscript"/>
                </w:rPr>
                <w:t xml:space="preserve">112</w:t>
              </w:r>
            </w:hyperlink>
          </w:p>
        </w:tc>
        <w:tc>
          <w:tcPr/>
          <w:p>
            <w:pPr>
              <w:pStyle w:val="Compact"/>
              <w:jc w:val="left"/>
            </w:pPr>
            <w:r>
              <w:t xml:space="preserve">https://bioconductor.org/packages/release/bioc/html/scran.html</w:t>
            </w:r>
          </w:p>
        </w:tc>
      </w:tr>
      <w:tr>
        <w:tc>
          <w:tcPr/>
          <w:p>
            <w:pPr>
              <w:pStyle w:val="Compact"/>
              <w:jc w:val="left"/>
            </w:pPr>
            <w:r>
              <w:rPr>
                <w:rStyle w:val="VerbatimChar"/>
              </w:rPr>
              <w:t xml:space="preserve">scater</w:t>
            </w:r>
          </w:p>
        </w:tc>
        <w:tc>
          <w:tcPr/>
          <w:p>
            <w:pPr>
              <w:pStyle w:val="Compact"/>
              <w:jc w:val="left"/>
            </w:pPr>
            <w:r>
              <w:t xml:space="preserve">McCarthy et al.</w:t>
            </w:r>
            <w:hyperlink w:anchor="ref-1FeTc3bro">
              <w:r>
                <w:rPr>
                  <w:rStyle w:val="Hyperlink"/>
                  <w:vertAlign w:val="superscript"/>
                </w:rPr>
                <w:t xml:space="preserve">111</w:t>
              </w:r>
            </w:hyperlink>
          </w:p>
        </w:tc>
        <w:tc>
          <w:tcPr/>
          <w:p>
            <w:pPr>
              <w:pStyle w:val="Compact"/>
              <w:jc w:val="left"/>
            </w:pPr>
            <w:r>
              <w:t xml:space="preserve">https://bioconductor.org/packages/release/bioc/html/scater.html</w:t>
            </w:r>
          </w:p>
        </w:tc>
      </w:tr>
      <w:tr>
        <w:tc>
          <w:tcPr/>
          <w:p>
            <w:pPr>
              <w:pStyle w:val="Compact"/>
              <w:jc w:val="left"/>
            </w:pPr>
            <w:r>
              <w:rPr>
                <w:rStyle w:val="VerbatimChar"/>
              </w:rPr>
              <w:t xml:space="preserve">Seurat</w:t>
            </w:r>
          </w:p>
        </w:tc>
        <w:tc>
          <w:tcPr/>
          <w:p>
            <w:pPr>
              <w:pStyle w:val="Compact"/>
              <w:jc w:val="left"/>
            </w:pPr>
            <w:r>
              <w:t xml:space="preserve">Hao et al.</w:t>
            </w:r>
            <w:hyperlink w:anchor="ref-9gUQAQ3a">
              <w:r>
                <w:rPr>
                  <w:rStyle w:val="Hyperlink"/>
                  <w:vertAlign w:val="superscript"/>
                </w:rPr>
                <w:t xml:space="preserve">113</w:t>
              </w:r>
            </w:hyperlink>
          </w:p>
        </w:tc>
        <w:tc>
          <w:tcPr/>
          <w:p>
            <w:pPr>
              <w:pStyle w:val="Compact"/>
              <w:jc w:val="left"/>
            </w:pPr>
            <w:r>
              <w:t xml:space="preserve">https://satijalab.org/seurat/</w:t>
            </w:r>
          </w:p>
        </w:tc>
      </w:tr>
      <w:tr>
        <w:tc>
          <w:tcPr/>
          <w:p>
            <w:pPr>
              <w:pStyle w:val="Compact"/>
              <w:jc w:val="left"/>
            </w:pPr>
            <w:r>
              <w:rPr>
                <w:rStyle w:val="VerbatimChar"/>
              </w:rPr>
              <w:t xml:space="preserve">vireo</w:t>
            </w:r>
          </w:p>
        </w:tc>
        <w:tc>
          <w:tcPr/>
          <w:p>
            <w:pPr>
              <w:pStyle w:val="Compact"/>
              <w:jc w:val="left"/>
            </w:pPr>
            <w:r>
              <w:t xml:space="preserve">Huang et al.</w:t>
            </w:r>
            <w:hyperlink w:anchor="ref-ym9s8sSS">
              <w:r>
                <w:rPr>
                  <w:rStyle w:val="Hyperlink"/>
                  <w:vertAlign w:val="superscript"/>
                </w:rPr>
                <w:t xml:space="preserve">114</w:t>
              </w:r>
            </w:hyperlink>
            <w:r>
              <w:t xml:space="preserve">; Weber et al.</w:t>
            </w:r>
            <w:hyperlink w:anchor="ref-zLp25QYu">
              <w:r>
                <w:rPr>
                  <w:rStyle w:val="Hyperlink"/>
                  <w:vertAlign w:val="superscript"/>
                </w:rPr>
                <w:t xml:space="preserve">55</w:t>
              </w:r>
            </w:hyperlink>
          </w:p>
        </w:tc>
        <w:tc>
          <w:tcPr/>
          <w:p>
            <w:pPr>
              <w:pStyle w:val="Compact"/>
              <w:jc w:val="left"/>
            </w:pPr>
            <w:r>
              <w:t xml:space="preserve">https://github.com/single-cell-genetics/vireo</w:t>
            </w:r>
          </w:p>
        </w:tc>
      </w:tr>
      <w:tr>
        <w:tc>
          <w:tcPr/>
          <w:p>
            <w:pPr>
              <w:pStyle w:val="Compact"/>
              <w:jc w:val="left"/>
            </w:pPr>
            <w:r>
              <w:rPr>
                <w:rStyle w:val="VerbatimChar"/>
              </w:rPr>
              <w:t xml:space="preserve">batchelor</w:t>
            </w:r>
          </w:p>
        </w:tc>
        <w:tc>
          <w:tcPr/>
          <w:p>
            <w:pPr>
              <w:pStyle w:val="Compact"/>
              <w:jc w:val="left"/>
            </w:pPr>
            <w:r>
              <w:t xml:space="preserve">Lun et al.</w:t>
            </w:r>
            <w:hyperlink w:anchor="ref-kILCvszy">
              <w:r>
                <w:rPr>
                  <w:rStyle w:val="Hyperlink"/>
                  <w:vertAlign w:val="superscript"/>
                </w:rPr>
                <w:t xml:space="preserve">105</w:t>
              </w:r>
            </w:hyperlink>
          </w:p>
        </w:tc>
        <w:tc>
          <w:tcPr/>
          <w:p>
            <w:pPr>
              <w:pStyle w:val="Compact"/>
              <w:jc w:val="left"/>
            </w:pPr>
            <w:r>
              <w:t xml:space="preserve">https://bioconductor.org/packages/release/bioc/html/batchelor.html</w:t>
            </w:r>
          </w:p>
        </w:tc>
      </w:tr>
      <w:tr>
        <w:tc>
          <w:tcPr/>
          <w:p>
            <w:pPr>
              <w:pStyle w:val="Compact"/>
              <w:jc w:val="left"/>
            </w:pPr>
            <w:r>
              <w:rPr>
                <w:rStyle w:val="VerbatimChar"/>
              </w:rPr>
              <w:t xml:space="preserve">SingleR</w:t>
            </w:r>
          </w:p>
        </w:tc>
        <w:tc>
          <w:tcPr/>
          <w:p>
            <w:pPr>
              <w:pStyle w:val="Compact"/>
              <w:jc w:val="left"/>
            </w:pPr>
            <w:r>
              <w:t xml:space="preserve">Aran et al.</w:t>
            </w:r>
            <w:hyperlink w:anchor="ref-13P6oSrS0">
              <w:r>
                <w:rPr>
                  <w:rStyle w:val="Hyperlink"/>
                  <w:vertAlign w:val="superscript"/>
                </w:rPr>
                <w:t xml:space="preserve">50</w:t>
              </w:r>
            </w:hyperlink>
          </w:p>
        </w:tc>
        <w:tc>
          <w:tcPr/>
          <w:p>
            <w:pPr>
              <w:pStyle w:val="Compact"/>
              <w:jc w:val="left"/>
            </w:pPr>
            <w:r>
              <w:t xml:space="preserve">https://bioconductor.org/packages/release/bioc/html/SingleR.html</w:t>
            </w:r>
          </w:p>
        </w:tc>
      </w:tr>
      <w:tr>
        <w:tc>
          <w:tcPr/>
          <w:p>
            <w:pPr>
              <w:pStyle w:val="Compact"/>
              <w:jc w:val="left"/>
            </w:pPr>
            <w:r>
              <w:rPr>
                <w:rStyle w:val="VerbatimChar"/>
              </w:rPr>
              <w:t xml:space="preserve">celldex</w:t>
            </w:r>
          </w:p>
        </w:tc>
        <w:tc>
          <w:tcPr/>
          <w:p>
            <w:pPr>
              <w:pStyle w:val="Compact"/>
              <w:jc w:val="left"/>
            </w:pPr>
            <w:r>
              <w:t xml:space="preserve">Aran et al.</w:t>
            </w:r>
            <w:hyperlink w:anchor="ref-13P6oSrS0">
              <w:r>
                <w:rPr>
                  <w:rStyle w:val="Hyperlink"/>
                  <w:vertAlign w:val="superscript"/>
                </w:rPr>
                <w:t xml:space="preserve">50</w:t>
              </w:r>
            </w:hyperlink>
          </w:p>
        </w:tc>
        <w:tc>
          <w:tcPr/>
          <w:p>
            <w:pPr>
              <w:pStyle w:val="Compact"/>
              <w:jc w:val="left"/>
            </w:pPr>
            <w:r>
              <w:t xml:space="preserve">https://bioconductor.org/packages/release/data/experiment/html/celldex.html</w:t>
            </w:r>
          </w:p>
        </w:tc>
      </w:tr>
      <w:tr>
        <w:tc>
          <w:tcPr/>
          <w:p>
            <w:pPr>
              <w:pStyle w:val="Compact"/>
              <w:jc w:val="left"/>
            </w:pPr>
            <w:r>
              <w:rPr>
                <w:rStyle w:val="VerbatimChar"/>
              </w:rPr>
              <w:t xml:space="preserve">CellAssign</w:t>
            </w:r>
          </w:p>
        </w:tc>
        <w:tc>
          <w:tcPr/>
          <w:p>
            <w:pPr>
              <w:pStyle w:val="Compact"/>
              <w:jc w:val="left"/>
            </w:pPr>
            <w:r>
              <w:t xml:space="preserve">Zhang et al.</w:t>
            </w:r>
            <w:hyperlink w:anchor="ref-HES0WO6k">
              <w:r>
                <w:rPr>
                  <w:rStyle w:val="Hyperlink"/>
                  <w:vertAlign w:val="superscript"/>
                </w:rPr>
                <w:t xml:space="preserve">51</w:t>
              </w:r>
            </w:hyperlink>
          </w:p>
        </w:tc>
        <w:tc>
          <w:tcPr/>
          <w:p>
            <w:pPr>
              <w:pStyle w:val="Compact"/>
              <w:jc w:val="left"/>
            </w:pPr>
            <w:r>
              <w:t xml:space="preserve">https://docs.scvi-tools.org/en/stable/installation.html</w:t>
            </w:r>
          </w:p>
        </w:tc>
      </w:tr>
      <w:tr>
        <w:tc>
          <w:tcPr/>
          <w:p>
            <w:pPr>
              <w:pStyle w:val="Compact"/>
              <w:jc w:val="left"/>
            </w:pPr>
            <w:r>
              <w:rPr>
                <w:rStyle w:val="VerbatimChar"/>
              </w:rPr>
              <w:t xml:space="preserve">SCimilarity</w:t>
            </w:r>
          </w:p>
        </w:tc>
        <w:tc>
          <w:tcPr/>
          <w:p>
            <w:pPr>
              <w:pStyle w:val="Compact"/>
              <w:jc w:val="left"/>
            </w:pPr>
            <w:r>
              <w:t xml:space="preserve">Heimberg et al.</w:t>
            </w:r>
            <w:hyperlink w:anchor="ref-Q9CUgaL0">
              <w:r>
                <w:rPr>
                  <w:rStyle w:val="Hyperlink"/>
                  <w:vertAlign w:val="superscript"/>
                </w:rPr>
                <w:t xml:space="preserve">52</w:t>
              </w:r>
            </w:hyperlink>
          </w:p>
        </w:tc>
        <w:tc>
          <w:tcPr/>
          <w:p>
            <w:pPr>
              <w:pStyle w:val="Compact"/>
              <w:jc w:val="left"/>
            </w:pPr>
            <w:r>
              <w:t xml:space="preserve">https://genentech.github.io/scimilarity/index.html</w:t>
            </w:r>
          </w:p>
        </w:tc>
      </w:tr>
      <w:tr>
        <w:tc>
          <w:tcPr/>
          <w:p>
            <w:pPr>
              <w:pStyle w:val="Compact"/>
              <w:jc w:val="left"/>
            </w:pPr>
            <w:r>
              <w:rPr>
                <w:rStyle w:val="VerbatimChar"/>
              </w:rPr>
              <w:t xml:space="preserve">inferCNV</w:t>
            </w:r>
          </w:p>
        </w:tc>
        <w:tc>
          <w:tcPr/>
          <w:p>
            <w:pPr>
              <w:pStyle w:val="Compact"/>
              <w:jc w:val="left"/>
            </w:pPr>
            <w:r>
              <w:t xml:space="preserve">inferCNV of the Trinity CTAT Project</w:t>
            </w:r>
            <w:hyperlink w:anchor="ref-b9hQbZOR">
              <w:r>
                <w:rPr>
                  <w:rStyle w:val="Hyperlink"/>
                  <w:vertAlign w:val="superscript"/>
                </w:rPr>
                <w:t xml:space="preserve">53</w:t>
              </w:r>
            </w:hyperlink>
          </w:p>
        </w:tc>
        <w:tc>
          <w:tcPr/>
          <w:p>
            <w:pPr>
              <w:pStyle w:val="Compact"/>
              <w:jc w:val="left"/>
            </w:pPr>
            <w:r>
              <w:t xml:space="preserve">https://www.bioconductor.org/packages/release/bioc/html/infercnv.html</w:t>
            </w:r>
          </w:p>
        </w:tc>
      </w:tr>
      <w:tr>
        <w:tc>
          <w:tcPr/>
          <w:p>
            <w:pPr>
              <w:pStyle w:val="Compact"/>
              <w:jc w:val="left"/>
            </w:pPr>
            <w:r>
              <w:rPr>
                <w:rStyle w:val="VerbatimChar"/>
              </w:rPr>
              <w:t xml:space="preserve">zellkonverter</w:t>
            </w:r>
          </w:p>
        </w:tc>
        <w:tc>
          <w:tcPr/>
          <w:p>
            <w:pPr>
              <w:pStyle w:val="Compact"/>
              <w:jc w:val="left"/>
            </w:pPr>
            <w:r>
              <w:t xml:space="preserve">Zappia et al.</w:t>
            </w:r>
            <w:hyperlink w:anchor="ref-11dH4UgRF">
              <w:r>
                <w:rPr>
                  <w:rStyle w:val="Hyperlink"/>
                  <w:vertAlign w:val="superscript"/>
                </w:rPr>
                <w:t xml:space="preserve">106</w:t>
              </w:r>
            </w:hyperlink>
          </w:p>
        </w:tc>
        <w:tc>
          <w:tcPr/>
          <w:p>
            <w:pPr>
              <w:pStyle w:val="Compact"/>
              <w:jc w:val="left"/>
            </w:pPr>
            <w:r>
              <w:t xml:space="preserve">https://bioconductor.org/packages/release/bioc/html/zellkonverter.html</w:t>
            </w:r>
          </w:p>
        </w:tc>
      </w:tr>
      <w:tr>
        <w:tc>
          <w:tcPr/>
          <w:p>
            <w:pPr>
              <w:pStyle w:val="Compact"/>
              <w:jc w:val="left"/>
            </w:pPr>
            <w:r>
              <w:rPr>
                <w:rStyle w:val="VerbatimChar"/>
              </w:rPr>
              <w:t xml:space="preserve">DESeq2</w:t>
            </w:r>
          </w:p>
        </w:tc>
        <w:tc>
          <w:tcPr/>
          <w:p>
            <w:pPr>
              <w:pStyle w:val="Compact"/>
              <w:jc w:val="left"/>
            </w:pPr>
            <w:r>
              <w:t xml:space="preserve">Love et al.</w:t>
            </w:r>
            <w:hyperlink w:anchor="ref-w9AOzBMw">
              <w:r>
                <w:rPr>
                  <w:rStyle w:val="Hyperlink"/>
                  <w:vertAlign w:val="superscript"/>
                </w:rPr>
                <w:t xml:space="preserve">107</w:t>
              </w:r>
            </w:hyperlink>
          </w:p>
        </w:tc>
        <w:tc>
          <w:tcPr/>
          <w:p>
            <w:pPr>
              <w:pStyle w:val="Compact"/>
              <w:jc w:val="left"/>
            </w:pPr>
            <w:r>
              <w:t xml:space="preserve">https://bioconductor.org/packages/release/bioc/html/DESeq2.html</w:t>
            </w:r>
          </w:p>
        </w:tc>
      </w:tr>
      <w:tr>
        <w:tc>
          <w:tcPr/>
          <w:p>
            <w:pPr>
              <w:pStyle w:val="Compact"/>
              <w:jc w:val="left"/>
            </w:pPr>
            <w:r>
              <w:rPr>
                <w:rStyle w:val="VerbatimChar"/>
              </w:rPr>
              <w:t xml:space="preserve">lme4</w:t>
            </w:r>
          </w:p>
        </w:tc>
        <w:tc>
          <w:tcPr/>
          <w:p>
            <w:pPr>
              <w:pStyle w:val="Compact"/>
              <w:jc w:val="left"/>
            </w:pPr>
            <w:r>
              <w:t xml:space="preserve">Bates et al.</w:t>
            </w:r>
            <w:hyperlink w:anchor="ref-AUoV0xkq">
              <w:r>
                <w:rPr>
                  <w:rStyle w:val="Hyperlink"/>
                  <w:vertAlign w:val="superscript"/>
                </w:rPr>
                <w:t xml:space="preserve">108</w:t>
              </w:r>
            </w:hyperlink>
          </w:p>
        </w:tc>
        <w:tc>
          <w:tcPr/>
          <w:p>
            <w:pPr>
              <w:pStyle w:val="Compact"/>
              <w:jc w:val="left"/>
            </w:pPr>
            <w:r>
              <w:t xml:space="preserve">https://cran.r-project.org/web/packages/lme4/index.html</w:t>
            </w:r>
          </w:p>
        </w:tc>
      </w:tr>
      <w:tr>
        <w:tc>
          <w:tcPr/>
          <w:p>
            <w:pPr>
              <w:pStyle w:val="Compact"/>
              <w:jc w:val="left"/>
            </w:pPr>
            <w:r>
              <w:rPr>
                <w:rStyle w:val="VerbatimChar"/>
              </w:rPr>
              <w:t xml:space="preserve">ontoProc</w:t>
            </w:r>
          </w:p>
        </w:tc>
        <w:tc>
          <w:tcPr/>
          <w:p>
            <w:pPr>
              <w:pStyle w:val="Compact"/>
              <w:jc w:val="left"/>
            </w:pPr>
            <w:r>
              <w:t xml:space="preserve">Carey</w:t>
            </w:r>
            <w:hyperlink w:anchor="ref-kFdlYl7L">
              <w:r>
                <w:rPr>
                  <w:rStyle w:val="Hyperlink"/>
                  <w:vertAlign w:val="superscript"/>
                </w:rPr>
                <w:t xml:space="preserve">94</w:t>
              </w:r>
            </w:hyperlink>
          </w:p>
        </w:tc>
        <w:tc>
          <w:tcPr/>
          <w:p>
            <w:pPr>
              <w:pStyle w:val="Compact"/>
              <w:jc w:val="left"/>
            </w:pPr>
            <w:r>
              <w:t xml:space="preserve">https://bioconductor.org/packages/release/bioc/html/ontoProc.html</w:t>
            </w:r>
          </w:p>
        </w:tc>
      </w:tr>
      <w:tr>
        <w:tc>
          <w:tcPr/>
          <w:p>
            <w:pPr>
              <w:pStyle w:val="Compact"/>
              <w:jc w:val="left"/>
            </w:pPr>
            <w:r>
              <w:rPr>
                <w:bCs/>
                <w:b/>
              </w:rPr>
              <w:t xml:space="preserve">Other</w:t>
            </w:r>
          </w:p>
        </w:tc>
        <w:tc>
          <w:tcPr/>
          <w:p>
            <w:pPr>
              <w:pStyle w:val="Compact"/>
            </w:pPr>
          </w:p>
        </w:tc>
        <w:tc>
          <w:tcPr/>
          <w:p>
            <w:pPr>
              <w:pStyle w:val="Compact"/>
            </w:pPr>
          </w:p>
        </w:tc>
      </w:tr>
      <w:tr>
        <w:tc>
          <w:tcPr/>
          <w:p>
            <w:pPr>
              <w:pStyle w:val="Compact"/>
              <w:jc w:val="left"/>
            </w:pPr>
            <w:r>
              <w:t xml:space="preserve">HsapDv</w:t>
            </w:r>
          </w:p>
        </w:tc>
        <w:tc>
          <w:tcPr/>
          <w:p>
            <w:pPr>
              <w:pStyle w:val="Compact"/>
              <w:jc w:val="left"/>
            </w:pPr>
            <w:r>
              <w:t xml:space="preserve">Ontology Lookup Service</w:t>
            </w:r>
            <w:hyperlink w:anchor="ref-2n9clgPF">
              <w:r>
                <w:rPr>
                  <w:rStyle w:val="Hyperlink"/>
                  <w:vertAlign w:val="superscript"/>
                </w:rPr>
                <w:t xml:space="preserve">16</w:t>
              </w:r>
            </w:hyperlink>
          </w:p>
        </w:tc>
        <w:tc>
          <w:tcPr/>
          <w:p>
            <w:pPr>
              <w:pStyle w:val="Compact"/>
              <w:jc w:val="left"/>
            </w:pPr>
            <w:r>
              <w:t xml:space="preserve">https://www.ebi.ac.uk/ols4/ontologies/hsapdv</w:t>
            </w:r>
          </w:p>
        </w:tc>
      </w:tr>
      <w:tr>
        <w:tc>
          <w:tcPr/>
          <w:p>
            <w:pPr>
              <w:pStyle w:val="Compact"/>
              <w:jc w:val="left"/>
            </w:pPr>
            <w:r>
              <w:t xml:space="preserve">PATO</w:t>
            </w:r>
          </w:p>
        </w:tc>
        <w:tc>
          <w:tcPr/>
          <w:p>
            <w:pPr>
              <w:pStyle w:val="Compact"/>
              <w:jc w:val="left"/>
            </w:pPr>
            <w:r>
              <w:t xml:space="preserve">Gkoutos et al.</w:t>
            </w:r>
            <w:hyperlink w:anchor="ref-Jx3SGqPR">
              <w:r>
                <w:rPr>
                  <w:rStyle w:val="Hyperlink"/>
                  <w:vertAlign w:val="superscript"/>
                </w:rPr>
                <w:t xml:space="preserve">17</w:t>
              </w:r>
            </w:hyperlink>
          </w:p>
        </w:tc>
        <w:tc>
          <w:tcPr/>
          <w:p>
            <w:pPr>
              <w:pStyle w:val="Compact"/>
              <w:jc w:val="left"/>
            </w:pPr>
            <w:r>
              <w:t xml:space="preserve">https://www.ebi.ac.uk/ols4/ontologies/pato</w:t>
            </w:r>
          </w:p>
        </w:tc>
      </w:tr>
      <w:tr>
        <w:tc>
          <w:tcPr/>
          <w:p>
            <w:pPr>
              <w:pStyle w:val="Compact"/>
              <w:jc w:val="left"/>
            </w:pPr>
            <w:r>
              <w:t xml:space="preserve">NCBI Taxonomy</w:t>
            </w:r>
          </w:p>
        </w:tc>
        <w:tc>
          <w:tcPr/>
          <w:p>
            <w:pPr>
              <w:pStyle w:val="Compact"/>
              <w:jc w:val="left"/>
            </w:pPr>
            <w:r>
              <w:t xml:space="preserve">Schoch et al.</w:t>
            </w:r>
            <w:hyperlink w:anchor="ref-RJLosfFq">
              <w:r>
                <w:rPr>
                  <w:rStyle w:val="Hyperlink"/>
                  <w:vertAlign w:val="superscript"/>
                </w:rPr>
                <w:t xml:space="preserve">19</w:t>
              </w:r>
            </w:hyperlink>
          </w:p>
        </w:tc>
        <w:tc>
          <w:tcPr/>
          <w:p>
            <w:pPr>
              <w:pStyle w:val="Compact"/>
              <w:jc w:val="left"/>
            </w:pPr>
            <w:r>
              <w:t xml:space="preserve">https://www.ncbi.nlm.nih.gov/taxonomy</w:t>
            </w:r>
          </w:p>
        </w:tc>
      </w:tr>
      <w:tr>
        <w:tc>
          <w:tcPr/>
          <w:p>
            <w:pPr>
              <w:pStyle w:val="Compact"/>
              <w:jc w:val="left"/>
            </w:pPr>
            <w:r>
              <w:t xml:space="preserve">Mondo</w:t>
            </w:r>
          </w:p>
        </w:tc>
        <w:tc>
          <w:tcPr/>
          <w:p>
            <w:pPr>
              <w:pStyle w:val="Compact"/>
              <w:jc w:val="left"/>
            </w:pPr>
            <w:r>
              <w:t xml:space="preserve">Vasilevsky et al.</w:t>
            </w:r>
            <w:hyperlink w:anchor="ref-qLTNn72b">
              <w:r>
                <w:rPr>
                  <w:rStyle w:val="Hyperlink"/>
                  <w:vertAlign w:val="superscript"/>
                </w:rPr>
                <w:t xml:space="preserve">21</w:t>
              </w:r>
            </w:hyperlink>
          </w:p>
        </w:tc>
        <w:tc>
          <w:tcPr/>
          <w:p>
            <w:pPr>
              <w:pStyle w:val="Compact"/>
              <w:jc w:val="left"/>
            </w:pPr>
            <w:r>
              <w:t xml:space="preserve">https://www.ebi.ac.uk/ols4/ontologies/mondo</w:t>
            </w:r>
          </w:p>
        </w:tc>
      </w:tr>
      <w:tr>
        <w:tc>
          <w:tcPr/>
          <w:p>
            <w:pPr>
              <w:pStyle w:val="Compact"/>
              <w:jc w:val="left"/>
            </w:pPr>
            <w:r>
              <w:t xml:space="preserve">UBERON</w:t>
            </w:r>
          </w:p>
        </w:tc>
        <w:tc>
          <w:tcPr/>
          <w:p>
            <w:pPr>
              <w:pStyle w:val="Compact"/>
              <w:jc w:val="left"/>
            </w:pPr>
            <w:r>
              <w:t xml:space="preserve">Haendel et al.</w:t>
            </w:r>
            <w:hyperlink w:anchor="ref-swLRou1q">
              <w:r>
                <w:rPr>
                  <w:rStyle w:val="Hyperlink"/>
                  <w:vertAlign w:val="superscript"/>
                </w:rPr>
                <w:t xml:space="preserve">23</w:t>
              </w:r>
            </w:hyperlink>
          </w:p>
        </w:tc>
        <w:tc>
          <w:tcPr/>
          <w:p>
            <w:pPr>
              <w:pStyle w:val="Compact"/>
              <w:jc w:val="left"/>
            </w:pPr>
            <w:r>
              <w:t xml:space="preserve">https://www.ebi.ac.uk/ols4/ontologies/uberon</w:t>
            </w:r>
          </w:p>
        </w:tc>
      </w:tr>
      <w:tr>
        <w:tc>
          <w:tcPr/>
          <w:p>
            <w:pPr>
              <w:pStyle w:val="Compact"/>
              <w:jc w:val="left"/>
            </w:pPr>
            <w:r>
              <w:t xml:space="preserve">Hancestro</w:t>
            </w:r>
          </w:p>
        </w:tc>
        <w:tc>
          <w:tcPr/>
          <w:p>
            <w:pPr>
              <w:pStyle w:val="Compact"/>
              <w:jc w:val="left"/>
            </w:pPr>
            <w:r>
              <w:t xml:space="preserve">Morales et al.</w:t>
            </w:r>
            <w:hyperlink w:anchor="ref-9Hno2ty7">
              <w:r>
                <w:rPr>
                  <w:rStyle w:val="Hyperlink"/>
                  <w:vertAlign w:val="superscript"/>
                </w:rPr>
                <w:t xml:space="preserve">26</w:t>
              </w:r>
            </w:hyperlink>
          </w:p>
        </w:tc>
        <w:tc>
          <w:tcPr/>
          <w:p>
            <w:pPr>
              <w:pStyle w:val="Compact"/>
              <w:jc w:val="left"/>
            </w:pPr>
            <w:r>
              <w:t xml:space="preserve">https://www.ebi.ac.uk/ols4/ontologies/hancestro</w:t>
            </w:r>
          </w:p>
        </w:tc>
      </w:tr>
      <w:tr>
        <w:tc>
          <w:tcPr/>
          <w:p>
            <w:pPr>
              <w:pStyle w:val="Compact"/>
              <w:jc w:val="left"/>
            </w:pPr>
            <w:r>
              <w:t xml:space="preserve">Cell Ontology</w:t>
            </w:r>
          </w:p>
        </w:tc>
        <w:tc>
          <w:tcPr/>
          <w:p>
            <w:pPr>
              <w:pStyle w:val="Compact"/>
              <w:jc w:val="left"/>
            </w:pPr>
            <w:r>
              <w:t xml:space="preserve">Bard et al.</w:t>
            </w:r>
            <w:hyperlink w:anchor="ref-1CCBSogYG">
              <w:r>
                <w:rPr>
                  <w:rStyle w:val="Hyperlink"/>
                  <w:vertAlign w:val="superscript"/>
                </w:rPr>
                <w:t xml:space="preserve">61</w:t>
              </w:r>
            </w:hyperlink>
            <w:r>
              <w:t xml:space="preserve">; Meehan et al.</w:t>
            </w:r>
            <w:hyperlink w:anchor="ref-gAysgnsS">
              <w:r>
                <w:rPr>
                  <w:rStyle w:val="Hyperlink"/>
                  <w:vertAlign w:val="superscript"/>
                </w:rPr>
                <w:t xml:space="preserve">60</w:t>
              </w:r>
            </w:hyperlink>
            <w:r>
              <w:t xml:space="preserve">; Diehl et al.</w:t>
            </w:r>
            <w:hyperlink w:anchor="ref-17U3pGEjv">
              <w:r>
                <w:rPr>
                  <w:rStyle w:val="Hyperlink"/>
                  <w:vertAlign w:val="superscript"/>
                </w:rPr>
                <w:t xml:space="preserve">59</w:t>
              </w:r>
            </w:hyperlink>
            <w:r>
              <w:t xml:space="preserve">; Tan et al.</w:t>
            </w:r>
            <w:hyperlink w:anchor="ref-GhuEgMP3">
              <w:r>
                <w:rPr>
                  <w:rStyle w:val="Hyperlink"/>
                  <w:vertAlign w:val="superscript"/>
                </w:rPr>
                <w:t xml:space="preserve">93</w:t>
              </w:r>
            </w:hyperlink>
          </w:p>
        </w:tc>
        <w:tc>
          <w:tcPr/>
          <w:p>
            <w:pPr>
              <w:pStyle w:val="Compact"/>
              <w:jc w:val="left"/>
            </w:pPr>
            <w:r>
              <w:t xml:space="preserve">https://www.ebi.ac.uk/ols4/ontologies/cl</w:t>
            </w:r>
          </w:p>
        </w:tc>
      </w:tr>
      <w:tr>
        <w:tc>
          <w:tcPr/>
          <w:p>
            <w:pPr>
              <w:pStyle w:val="Compact"/>
              <w:jc w:val="left"/>
            </w:pPr>
            <w:r>
              <w:t xml:space="preserve">Blueprint and ENCODE</w:t>
            </w:r>
          </w:p>
        </w:tc>
        <w:tc>
          <w:tcPr/>
          <w:p>
            <w:pPr>
              <w:pStyle w:val="Compact"/>
              <w:jc w:val="left"/>
            </w:pPr>
            <w:r>
              <w:t xml:space="preserve">Martens et al.</w:t>
            </w:r>
            <w:hyperlink w:anchor="ref-MzCvXTgB">
              <w:r>
                <w:rPr>
                  <w:rStyle w:val="Hyperlink"/>
                  <w:vertAlign w:val="superscript"/>
                </w:rPr>
                <w:t xml:space="preserve">88</w:t>
              </w:r>
            </w:hyperlink>
            <w:r>
              <w:t xml:space="preserve">; The ENCODE Consortium</w:t>
            </w:r>
            <w:hyperlink w:anchor="ref-15J98V2qM">
              <w:r>
                <w:rPr>
                  <w:rStyle w:val="Hyperlink"/>
                  <w:vertAlign w:val="superscript"/>
                </w:rPr>
                <w:t xml:space="preserve">89</w:t>
              </w:r>
            </w:hyperlink>
          </w:p>
        </w:tc>
        <w:tc>
          <w:tcPr/>
          <w:p>
            <w:pPr>
              <w:pStyle w:val="Compact"/>
              <w:jc w:val="left"/>
            </w:pPr>
            <w:r>
              <w:t xml:space="preserve">https://rdrr.io/github/LTLA/celldex/man/BlueprintEncodeData.html</w:t>
            </w:r>
          </w:p>
        </w:tc>
      </w:tr>
      <w:tr>
        <w:tc>
          <w:tcPr/>
          <w:p>
            <w:pPr>
              <w:pStyle w:val="Compact"/>
              <w:jc w:val="left"/>
            </w:pPr>
            <w:r>
              <w:t xml:space="preserve">PanglaoDB</w:t>
            </w:r>
          </w:p>
        </w:tc>
        <w:tc>
          <w:tcPr/>
          <w:p>
            <w:pPr>
              <w:pStyle w:val="Compact"/>
              <w:jc w:val="left"/>
            </w:pPr>
            <w:hyperlink w:anchor="ref-T3PlZ3Vh">
              <w:r>
                <w:rPr>
                  <w:rStyle w:val="Hyperlink"/>
                  <w:vertAlign w:val="superscript"/>
                </w:rPr>
                <w:t xml:space="preserve">91</w:t>
              </w:r>
            </w:hyperlink>
          </w:p>
        </w:tc>
        <w:tc>
          <w:tcPr/>
          <w:p>
            <w:pPr>
              <w:pStyle w:val="Compact"/>
              <w:jc w:val="left"/>
            </w:pPr>
            <w:r>
              <w:t xml:space="preserve">https://panglaodb.se/</w:t>
            </w:r>
          </w:p>
        </w:tc>
      </w:tr>
      <w:tr>
        <w:tc>
          <w:tcPr/>
          <w:p>
            <w:pPr>
              <w:pStyle w:val="Compact"/>
              <w:jc w:val="left"/>
            </w:pPr>
            <w:r>
              <w:t xml:space="preserve">CellMarker 2.0</w:t>
            </w:r>
          </w:p>
        </w:tc>
        <w:tc>
          <w:tcPr/>
          <w:p>
            <w:pPr>
              <w:pStyle w:val="Compact"/>
              <w:jc w:val="left"/>
            </w:pPr>
            <w:hyperlink w:anchor="ref-MclvBVPD">
              <w:r>
                <w:rPr>
                  <w:rStyle w:val="Hyperlink"/>
                  <w:vertAlign w:val="superscript"/>
                </w:rPr>
                <w:t xml:space="preserve">95</w:t>
              </w:r>
            </w:hyperlink>
          </w:p>
        </w:tc>
        <w:tc>
          <w:tcPr/>
          <w:p>
            <w:pPr>
              <w:pStyle w:val="Compact"/>
              <w:jc w:val="left"/>
            </w:pPr>
            <w:r>
              <w:t xml:space="preserve">http://117.50.127.228/CellMarker/</w:t>
            </w:r>
          </w:p>
        </w:tc>
      </w:tr>
    </w:tbl>
    <w:bookmarkEnd w:id="203"/>
    <w:bookmarkEnd w:id="204"/>
    <w:bookmarkStart w:id="207"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hyperlink w:anchor="ref-xCP3BjTw">
        <w:r>
          <w:rPr>
            <w:rStyle w:val="Hyperlink"/>
            <w:vertAlign w:val="superscript"/>
          </w:rPr>
          <w:t xml:space="preserve">39</w:t>
        </w:r>
      </w:hyperlink>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hyperlink w:anchor="ref-115InIIhW">
        <w:r>
          <w:rPr>
            <w:rStyle w:val="Hyperlink"/>
            <w:vertAlign w:val="superscript"/>
          </w:rPr>
          <w:t xml:space="preserve">5</w:t>
        </w:r>
      </w:hyperlink>
      <w:r>
        <w:rPr>
          <w:vertAlign w:val="superscript"/>
        </w:rPr>
        <w:t xml:space="preserve">,</w:t>
      </w:r>
      <w:hyperlink w:anchor="ref-WrWip7GV">
        <w:r>
          <w:rPr>
            <w:rStyle w:val="Hyperlink"/>
            <w:vertAlign w:val="superscript"/>
          </w:rPr>
          <w:t xml:space="preserve">6</w:t>
        </w:r>
      </w:hyperlink>
      <w:r>
        <w:rPr>
          <w:vertAlign w:val="superscript"/>
        </w:rPr>
        <w:t xml:space="preserve">,</w:t>
      </w:r>
      <w:hyperlink w:anchor="ref-7NobF7Ei">
        <w:r>
          <w:rPr>
            <w:rStyle w:val="Hyperlink"/>
            <w:vertAlign w:val="superscript"/>
          </w:rPr>
          <w:t xml:space="preserve">115</w:t>
        </w:r>
      </w:hyperlink>
      <w:r>
        <w:t xml:space="preserve">, and these objects can also be used with Kana</w:t>
      </w:r>
      <w:hyperlink w:anchor="ref-2s2OenA">
        <w:r>
          <w:rPr>
            <w:rStyle w:val="Hyperlink"/>
            <w:vertAlign w:val="superscript"/>
          </w:rPr>
          <w:t xml:space="preserve">116</w:t>
        </w:r>
      </w:hyperlink>
      <w:r>
        <w:rPr>
          <w:vertAlign w:val="superscript"/>
        </w:rPr>
        <w:t xml:space="preserve">,</w:t>
      </w:r>
      <w:hyperlink w:anchor="ref-1FzXrvESX">
        <w:r>
          <w:rPr>
            <w:rStyle w:val="Hyperlink"/>
            <w:vertAlign w:val="superscript"/>
          </w:rPr>
          <w:t xml:space="preserve">117</w:t>
        </w:r>
      </w:hyperlink>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5">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hyperlink w:anchor="ref-abp5rbw2">
        <w:r>
          <w:rPr>
            <w:rStyle w:val="Hyperlink"/>
            <w:vertAlign w:val="superscript"/>
          </w:rPr>
          <w:t xml:space="preserve">35</w:t>
        </w:r>
      </w:hyperlink>
      <w:r>
        <w:t xml:space="preserve">, and spatial transcriptomics data can be leveraged to gain more insights about distribution of cell types in the tissue</w:t>
      </w:r>
      <w:hyperlink w:anchor="ref-Whp3r83M">
        <w:r>
          <w:rPr>
            <w:rStyle w:val="Hyperlink"/>
            <w:vertAlign w:val="superscript"/>
          </w:rPr>
          <w:t xml:space="preserve">118</w:t>
        </w:r>
      </w:hyperlink>
      <w:r>
        <w:t xml:space="preserve">.</w:t>
      </w:r>
      <w:r>
        <w:t xml:space="preserve"> </w:t>
      </w:r>
      <w:r>
        <w:t xml:space="preserve">Similarly, users can gain more insight from bulk RNA-seq data available on the Portal by integrating with scRNA-seq data from the same sample</w:t>
      </w:r>
      <w:hyperlink w:anchor="ref-mgOojr60">
        <w:r>
          <w:rPr>
            <w:rStyle w:val="Hyperlink"/>
            <w:vertAlign w:val="superscript"/>
          </w:rPr>
          <w:t xml:space="preserve">119</w:t>
        </w:r>
      </w:hyperlink>
      <w:r>
        <w:rPr>
          <w:vertAlign w:val="superscript"/>
        </w:rPr>
        <w:t xml:space="preserve">,</w:t>
      </w:r>
      <w:hyperlink w:anchor="ref-GpuiAcfU">
        <w:r>
          <w:rPr>
            <w:rStyle w:val="Hyperlink"/>
            <w:vertAlign w:val="superscript"/>
          </w:rPr>
          <w:t xml:space="preserve">120</w:t>
        </w:r>
      </w:hyperlink>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hyperlink w:anchor="ref-U5WisTG5">
        <w:r>
          <w:rPr>
            <w:rStyle w:val="Hyperlink"/>
            <w:vertAlign w:val="superscript"/>
          </w:rPr>
          <w:t xml:space="preserve">121</w:t>
        </w:r>
      </w:hyperlink>
      <w:r>
        <w:rPr>
          <w:vertAlign w:val="superscript"/>
        </w:rPr>
        <w:t xml:space="preserve">,</w:t>
      </w:r>
      <w:hyperlink w:anchor="ref-5VXMHJ7N">
        <w:r>
          <w:rPr>
            <w:rStyle w:val="Hyperlink"/>
            <w:vertAlign w:val="superscript"/>
          </w:rPr>
          <w:t xml:space="preserve">122</w:t>
        </w:r>
      </w:hyperlink>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6"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hyperlink w:anchor="ref-xW9vfui5">
        <w:r>
          <w:rPr>
            <w:rStyle w:val="Hyperlink"/>
            <w:vertAlign w:val="superscript"/>
          </w:rPr>
          <w:t xml:space="preserve">64</w:t>
        </w:r>
      </w:hyperlink>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6"/>
    <w:bookmarkEnd w:id="207"/>
    <w:bookmarkStart w:id="208"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8"/>
    <w:bookmarkStart w:id="209"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9"/>
    <w:bookmarkStart w:id="210"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10"/>
    <w:bookmarkStart w:id="211" w:name="supplemental-information-index"/>
    <w:p>
      <w:pPr>
        <w:pStyle w:val="Heading2"/>
      </w:pPr>
      <w:r>
        <w:t xml:space="preserve">Supplemental Information Index</w:t>
      </w:r>
    </w:p>
    <w:p>
      <w:pPr>
        <w:pStyle w:val="FirstParagraph"/>
      </w:pPr>
      <w:r>
        <w:t xml:space="preserve">Document S1. Figures S1-S7.</w:t>
      </w:r>
    </w:p>
    <w:p>
      <w:pPr>
        <w:pStyle w:val="BodyText"/>
      </w:pPr>
      <w:r>
        <w:rPr>
          <w:bCs/>
          <w:b/>
        </w:rPr>
        <w:t xml:space="preserve">Table S1. Overview of ScPCA Portal Datasets, Related to Figure 1.</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r>
        <w:t xml:space="preserve"> </w:t>
      </w: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 Related to Figure 3.</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p>
    <w:bookmarkEnd w:id="211"/>
    <w:bookmarkStart w:id="236" w:name="figure-titles-and-legends"/>
    <w:p>
      <w:pPr>
        <w:pStyle w:val="Heading2"/>
      </w:pPr>
      <w:r>
        <w:t xml:space="preserve">Figure Titles and Legends</w:t>
      </w:r>
    </w:p>
    <w:bookmarkStart w:id="0" w:name="fig:fig1"/>
    <w:p>
      <w:pPr>
        <w:pStyle w:val="CaptionedFigure"/>
      </w:pPr>
      <w:bookmarkStart w:id="215" w:name="fig:fig1"/>
      <w:r>
        <w:drawing>
          <wp:inline>
            <wp:extent cx="5943600" cy="6992470"/>
            <wp:effectExtent b="0" l="0" r="0" t="0"/>
            <wp:docPr descr="Figure 1: Overview of ScPCA Portal contents." title="" id="213" name="Picture"/>
            <a:graphic>
              <a:graphicData uri="http://schemas.openxmlformats.org/drawingml/2006/picture">
                <pic:pic>
                  <pic:nvPicPr>
                    <pic:cNvPr descr="https://raw.githubusercontent.com/AlexsLemonade/scpca-paper-figures/v0.2.4/figures/compiled_figures/pngs/figure_1.png?sanitize=true" id="214" name="Picture"/>
                    <pic:cNvPicPr>
                      <a:picLocks noChangeArrowheads="1" noChangeAspect="1"/>
                    </pic:cNvPicPr>
                  </pic:nvPicPr>
                  <pic:blipFill>
                    <a:blip r:embed="rId212"/>
                    <a:stretch>
                      <a:fillRect/>
                    </a:stretch>
                  </pic:blipFill>
                  <pic:spPr bwMode="auto">
                    <a:xfrm>
                      <a:off x="0" y="0"/>
                      <a:ext cx="5943600" cy="6992470"/>
                    </a:xfrm>
                    <a:prstGeom prst="rect">
                      <a:avLst/>
                    </a:prstGeom>
                    <a:noFill/>
                    <a:ln w="9525">
                      <a:noFill/>
                      <a:headEnd/>
                      <a:tailEnd/>
                    </a:ln>
                  </pic:spPr>
                </pic:pic>
              </a:graphicData>
            </a:graphic>
          </wp:inline>
        </w:drawing>
      </w:r>
      <w:bookmarkEnd w:id="215"/>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hyperlink w:anchor="ref-TSJacwEL">
        <w:r>
          <w:rPr>
            <w:rStyle w:val="Hyperlink"/>
            <w:vertAlign w:val="superscript"/>
          </w:rPr>
          <w:t xml:space="preserve">123</w:t>
        </w:r>
      </w:hyperlink>
      <w:r>
        <w:rPr>
          <w:vertAlign w:val="superscript"/>
        </w:rPr>
        <w:t xml:space="preserve">,</w:t>
      </w:r>
      <w:hyperlink w:anchor="ref-1G3mGXjU5">
        <w:r>
          <w:rPr>
            <w:rStyle w:val="Hyperlink"/>
            <w:vertAlign w:val="superscript"/>
          </w:rPr>
          <w:t xml:space="preserve">124</w:t>
        </w:r>
      </w:hyperlink>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hyperlink w:anchor="ref-xCP3BjTw">
        <w:r>
          <w:rPr>
            <w:rStyle w:val="Hyperlink"/>
            <w:vertAlign w:val="superscript"/>
          </w:rPr>
          <w:t xml:space="preserve">39</w:t>
        </w:r>
      </w:hyperlink>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p>
    <w:p>
      <w:pPr>
        <w:pStyle w:val="BodyText"/>
      </w:pPr>
      <w:r>
        <w:t xml:space="preserve">Also see Table S1.</w:t>
      </w:r>
      <w:r>
        <w:t xml:space="preserve"> </w:t>
      </w:r>
    </w:p>
    <w:bookmarkStart w:id="0" w:name="fig:fig2"/>
    <w:p>
      <w:pPr>
        <w:pStyle w:val="CaptionedFigure"/>
      </w:pPr>
      <w:bookmarkStart w:id="219" w:name="fig:fig2"/>
      <w:r>
        <w:drawing>
          <wp:inline>
            <wp:extent cx="5943600" cy="7708142"/>
            <wp:effectExtent b="0" l="0" r="0" t="0"/>
            <wp:docPr descr="Figure 2: Overview of the scpca-nf workflow and download file structures." title="" id="217" name="Picture"/>
            <a:graphic>
              <a:graphicData uri="http://schemas.openxmlformats.org/drawingml/2006/picture">
                <pic:pic>
                  <pic:nvPicPr>
                    <pic:cNvPr descr="https://raw.githubusercontent.com/AlexsLemonade/scpca-paper-figures/v0.2.4/figures/compiled_figures/pngs/figure_2.png?sanitize=true" id="218" name="Picture"/>
                    <pic:cNvPicPr>
                      <a:picLocks noChangeArrowheads="1" noChangeAspect="1"/>
                    </pic:cNvPicPr>
                  </pic:nvPicPr>
                  <pic:blipFill>
                    <a:blip r:embed="rId216"/>
                    <a:stretch>
                      <a:fillRect/>
                    </a:stretch>
                  </pic:blipFill>
                  <pic:spPr bwMode="auto">
                    <a:xfrm>
                      <a:off x="0" y="0"/>
                      <a:ext cx="5943600" cy="7708142"/>
                    </a:xfrm>
                    <a:prstGeom prst="rect">
                      <a:avLst/>
                    </a:prstGeom>
                    <a:noFill/>
                    <a:ln w="9525">
                      <a:noFill/>
                      <a:headEnd/>
                      <a:tailEnd/>
                    </a:ln>
                  </pic:spPr>
                </pic:pic>
              </a:graphicData>
            </a:graphic>
          </wp:inline>
        </w:drawing>
      </w:r>
      <w:bookmarkEnd w:id="219"/>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hyperlink w:anchor="ref-U3XexzPk">
        <w:r>
          <w:rPr>
            <w:rStyle w:val="Hyperlink"/>
            <w:vertAlign w:val="superscript"/>
          </w:rPr>
          <w:t xml:space="preserve">33</w:t>
        </w:r>
      </w:hyperlink>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p>
    <w:p>
      <w:pPr>
        <w:pStyle w:val="BodyText"/>
      </w:pPr>
      <w:r>
        <w:t xml:space="preserve">Also see Figures S1-S3.</w:t>
      </w:r>
      <w:r>
        <w:t xml:space="preserve"> </w:t>
      </w:r>
    </w:p>
    <w:bookmarkStart w:id="0" w:name="fig:fig3"/>
    <w:p>
      <w:pPr>
        <w:pStyle w:val="CaptionedFigure"/>
      </w:pPr>
      <w:bookmarkStart w:id="223" w:name="fig:fig3"/>
      <w:r>
        <w:drawing>
          <wp:inline>
            <wp:extent cx="5943600" cy="7691717"/>
            <wp:effectExtent b="0" l="0" r="0" t="0"/>
            <wp:docPr descr="Figure 3: Consensus cell type annotation in scpca-nf." title="" id="221" name="Picture"/>
            <a:graphic>
              <a:graphicData uri="http://schemas.openxmlformats.org/drawingml/2006/picture">
                <pic:pic>
                  <pic:nvPicPr>
                    <pic:cNvPr descr="https://raw.githubusercontent.com/AlexsLemonade/scpca-paper-figures/v0.2.4/figures/compiled_figures/pngs/figure_3.png?sanitize=true" id="222" name="Picture"/>
                    <pic:cNvPicPr>
                      <a:picLocks noChangeArrowheads="1" noChangeAspect="1"/>
                    </pic:cNvPicPr>
                  </pic:nvPicPr>
                  <pic:blipFill>
                    <a:blip r:embed="rId220"/>
                    <a:stretch>
                      <a:fillRect/>
                    </a:stretch>
                  </pic:blipFill>
                  <pic:spPr bwMode="auto">
                    <a:xfrm>
                      <a:off x="0" y="0"/>
                      <a:ext cx="5943600" cy="7691717"/>
                    </a:xfrm>
                    <a:prstGeom prst="rect">
                      <a:avLst/>
                    </a:prstGeom>
                    <a:noFill/>
                    <a:ln w="9525">
                      <a:noFill/>
                      <a:headEnd/>
                      <a:tailEnd/>
                    </a:ln>
                  </pic:spPr>
                </pic:pic>
              </a:graphicData>
            </a:graphic>
          </wp:inline>
        </w:drawing>
      </w:r>
      <w:bookmarkEnd w:id="223"/>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hyperlink w:anchor="ref-13P6oSrS0">
        <w:r>
          <w:rPr>
            <w:rStyle w:val="Hyperlink"/>
            <w:vertAlign w:val="superscript"/>
          </w:rPr>
          <w:t xml:space="preserve">50</w:t>
        </w:r>
      </w:hyperlink>
      <w:r>
        <w:t xml:space="preserve"> </w:t>
      </w:r>
      <w:r>
        <w:t xml:space="preserve">annotation uses a</w:t>
      </w:r>
      <w:r>
        <w:t xml:space="preserve"> </w:t>
      </w:r>
      <w:r>
        <w:rPr>
          <w:rStyle w:val="VerbatimChar"/>
        </w:rPr>
        <w:t xml:space="preserve">celldex</w:t>
      </w:r>
      <w:hyperlink w:anchor="ref-13P6oSrS0">
        <w:r>
          <w:rPr>
            <w:rStyle w:val="Hyperlink"/>
            <w:vertAlign w:val="superscript"/>
          </w:rPr>
          <w:t xml:space="preserve">50</w:t>
        </w:r>
      </w:hyperlink>
      <w:r>
        <w:t xml:space="preserve"> </w:t>
      </w:r>
      <w:r>
        <w:t xml:space="preserve">reference dataset with ontology labels,</w:t>
      </w:r>
      <w:r>
        <w:t xml:space="preserve"> </w:t>
      </w:r>
      <w:r>
        <w:rPr>
          <w:rStyle w:val="VerbatimChar"/>
        </w:rPr>
        <w:t xml:space="preserve">CellAssign</w:t>
      </w:r>
      <w:hyperlink w:anchor="ref-HES0WO6k">
        <w:r>
          <w:rPr>
            <w:rStyle w:val="Hyperlink"/>
            <w:vertAlign w:val="superscript"/>
          </w:rPr>
          <w:t xml:space="preserve">51</w:t>
        </w:r>
      </w:hyperlink>
      <w:r>
        <w:t xml:space="preserve"> </w:t>
      </w:r>
      <w:r>
        <w:t xml:space="preserve">annotation uses a list of marker genes compiled from</w:t>
      </w:r>
      <w:r>
        <w:t xml:space="preserve"> </w:t>
      </w:r>
      <w:r>
        <w:rPr>
          <w:rStyle w:val="VerbatimChar"/>
        </w:rPr>
        <w:t xml:space="preserve">PanglaoDB</w:t>
      </w:r>
      <w:hyperlink w:anchor="ref-T3PlZ3Vh">
        <w:r>
          <w:rPr>
            <w:rStyle w:val="Hyperlink"/>
            <w:vertAlign w:val="superscript"/>
          </w:rPr>
          <w:t xml:space="preserve">91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p>
    <w:p>
      <w:pPr>
        <w:pStyle w:val="BodyText"/>
      </w:pPr>
      <w:r>
        <w:t xml:space="preserve">Also see Figure S4 and Table S2.</w:t>
      </w:r>
      <w:r>
        <w:t xml:space="preserve"> </w:t>
      </w:r>
    </w:p>
    <w:bookmarkStart w:id="0" w:name="fig:fig4"/>
    <w:p>
      <w:pPr>
        <w:pStyle w:val="CaptionedFigure"/>
      </w:pPr>
      <w:bookmarkStart w:id="227" w:name="fig:fig4"/>
      <w:r>
        <w:drawing>
          <wp:inline>
            <wp:extent cx="5943600" cy="7691717"/>
            <wp:effectExtent b="0" l="0" r="0" t="0"/>
            <wp:docPr descr="Figure 4: Consensus cell type annotations in brain and CNS tumors." title="" id="225" name="Picture"/>
            <a:graphic>
              <a:graphicData uri="http://schemas.openxmlformats.org/drawingml/2006/picture">
                <pic:pic>
                  <pic:nvPicPr>
                    <pic:cNvPr descr="https://raw.githubusercontent.com/AlexsLemonade/scpca-paper-figures/v0.2.4/figures/compiled_figures/pngs/figure_4.png?sanitize=true" id="226" name="Picture"/>
                    <pic:cNvPicPr>
                      <a:picLocks noChangeArrowheads="1" noChangeAspect="1"/>
                    </pic:cNvPicPr>
                  </pic:nvPicPr>
                  <pic:blipFill>
                    <a:blip r:embed="rId224"/>
                    <a:stretch>
                      <a:fillRect/>
                    </a:stretch>
                  </pic:blipFill>
                  <pic:spPr bwMode="auto">
                    <a:xfrm>
                      <a:off x="0" y="0"/>
                      <a:ext cx="5943600" cy="7691717"/>
                    </a:xfrm>
                    <a:prstGeom prst="rect">
                      <a:avLst/>
                    </a:prstGeom>
                    <a:noFill/>
                    <a:ln w="9525">
                      <a:noFill/>
                      <a:headEnd/>
                      <a:tailEnd/>
                    </a:ln>
                  </pic:spPr>
                </pic:pic>
              </a:graphicData>
            </a:graphic>
          </wp:inline>
        </w:drawing>
      </w:r>
      <w:bookmarkEnd w:id="227"/>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hyperlink w:anchor="ref-MclvBVPD">
        <w:r>
          <w:rPr>
            <w:rStyle w:val="Hyperlink"/>
            <w:vertAlign w:val="superscript"/>
          </w:rPr>
          <w:t xml:space="preserve">95</w:t>
        </w:r>
      </w:hyperlink>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glioma(top panel) and low-grade glial/glioneuronal (bottom panel) diagnoses for non-multiplexed libraries from patient tissue samples.</w:t>
      </w:r>
    </w:p>
    <w:p>
      <w:pPr>
        <w:pStyle w:val="BodyText"/>
      </w:pPr>
      <w:r>
        <w:t xml:space="preserve">C. Barplot showing all consensus cell types classified as immune cells across brain and CNS tumor libraries, separated into high-grade glioma (top panel) and low-grade glial/glioneuronal (bottom panel)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p>
    <w:p>
      <w:pPr>
        <w:pStyle w:val="BodyText"/>
      </w:pPr>
      <w:r>
        <w:t xml:space="preserve">Also see Figures S5-S6.</w:t>
      </w:r>
      <w:r>
        <w:t xml:space="preserve"> </w:t>
      </w:r>
    </w:p>
    <w:bookmarkStart w:id="0" w:name="fig:fig5"/>
    <w:p>
      <w:pPr>
        <w:pStyle w:val="CaptionedFigure"/>
      </w:pPr>
      <w:bookmarkStart w:id="231" w:name="fig:fig5"/>
      <w:r>
        <w:drawing>
          <wp:inline>
            <wp:extent cx="5943600" cy="6293223"/>
            <wp:effectExtent b="0" l="0" r="0" t="0"/>
            <wp:docPr descr="Figure 5: Cell type annotation and CNV inference on neuroblastoma samples." title="" id="229" name="Picture"/>
            <a:graphic>
              <a:graphicData uri="http://schemas.openxmlformats.org/drawingml/2006/picture">
                <pic:pic>
                  <pic:nvPicPr>
                    <pic:cNvPr descr="https://raw.githubusercontent.com/AlexsLemonade/scpca-paper-figures/v0.2.4/figures/compiled_figures/pngs/figure_5.png?sanitize=true" id="230" name="Picture"/>
                    <pic:cNvPicPr>
                      <a:picLocks noChangeArrowheads="1" noChangeAspect="1"/>
                    </pic:cNvPicPr>
                  </pic:nvPicPr>
                  <pic:blipFill>
                    <a:blip r:embed="rId228"/>
                    <a:stretch>
                      <a:fillRect/>
                    </a:stretch>
                  </pic:blipFill>
                  <pic:spPr bwMode="auto">
                    <a:xfrm>
                      <a:off x="0" y="0"/>
                      <a:ext cx="5943600" cy="6293223"/>
                    </a:xfrm>
                    <a:prstGeom prst="rect">
                      <a:avLst/>
                    </a:prstGeom>
                    <a:noFill/>
                    <a:ln w="9525">
                      <a:noFill/>
                      <a:headEnd/>
                      <a:tailEnd/>
                    </a:ln>
                  </pic:spPr>
                </pic:pic>
              </a:graphicData>
            </a:graphic>
          </wp:inline>
        </w:drawing>
      </w:r>
      <w:bookmarkEnd w:id="231"/>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hyperlink w:anchor="ref-b9hQbZOR">
        <w:r>
          <w:rPr>
            <w:rStyle w:val="Hyperlink"/>
            <w:vertAlign w:val="superscript"/>
          </w:rPr>
          <w:t xml:space="preserve">53</w:t>
        </w:r>
      </w:hyperlink>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hyperlink w:anchor="ref-sGIqMPJO">
        <w:r>
          <w:rPr>
            <w:rStyle w:val="Hyperlink"/>
            <w:vertAlign w:val="superscript"/>
          </w:rPr>
          <w:t xml:space="preserve">65</w:t>
        </w:r>
      </w:hyperlink>
      <w:r>
        <w:rPr>
          <w:vertAlign w:val="superscript"/>
        </w:rPr>
        <w:t xml:space="preserve">–</w:t>
      </w:r>
      <w:hyperlink w:anchor="ref-1Ar16jCVg">
        <w:r>
          <w:rPr>
            <w:rStyle w:val="Hyperlink"/>
            <w:vertAlign w:val="superscript"/>
          </w:rPr>
          <w:t xml:space="preserve">67</w:t>
        </w:r>
      </w:hyperlink>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5" w:name="fig:fig6"/>
      <w:r>
        <w:drawing>
          <wp:inline>
            <wp:extent cx="5943600" cy="5943600"/>
            <wp:effectExtent b="0" l="0" r="0" t="0"/>
            <wp:docPr descr="Figure 6: Comparison of bulk and pseudobulk modalities." title="" id="233" name="Picture"/>
            <a:graphic>
              <a:graphicData uri="http://schemas.openxmlformats.org/drawingml/2006/picture">
                <pic:pic>
                  <pic:nvPicPr>
                    <pic:cNvPr descr="https://raw.githubusercontent.com/AlexsLemonade/scpca-paper-figures/v0.2.4/figures/compiled_figures/pngs/figure_6.png?sanitize=true" id="234" name="Picture"/>
                    <pic:cNvPicPr>
                      <a:picLocks noChangeArrowheads="1" noChangeAspect="1"/>
                    </pic:cNvPicPr>
                  </pic:nvPicPr>
                  <pic:blipFill>
                    <a:blip r:embed="rId232"/>
                    <a:stretch>
                      <a:fillRect/>
                    </a:stretch>
                  </pic:blipFill>
                  <pic:spPr bwMode="auto">
                    <a:xfrm>
                      <a:off x="0" y="0"/>
                      <a:ext cx="5943600" cy="5943600"/>
                    </a:xfrm>
                    <a:prstGeom prst="rect">
                      <a:avLst/>
                    </a:prstGeom>
                    <a:noFill/>
                    <a:ln w="9525">
                      <a:noFill/>
                      <a:headEnd/>
                      <a:tailEnd/>
                    </a:ln>
                  </pic:spPr>
                </pic:pic>
              </a:graphicData>
            </a:graphic>
          </wp:inline>
        </w:drawing>
      </w:r>
      <w:bookmarkEnd w:id="235"/>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p>
      <w:pPr>
        <w:pStyle w:val="BodyText"/>
      </w:pPr>
      <w:r>
        <w:t xml:space="preserve">Also see Figure S7.</w:t>
      </w:r>
    </w:p>
    <w:bookmarkEnd w:id="236"/>
    <w:bookmarkStart w:id="265" w:name="supplementary-figures"/>
    <w:p>
      <w:pPr>
        <w:pStyle w:val="Heading2"/>
      </w:pPr>
      <w:r>
        <w:t xml:space="preserve">Supplementary Figures</w:t>
      </w:r>
    </w:p>
    <w:bookmarkStart w:id="0" w:name="fig:figS1"/>
    <w:p>
      <w:pPr>
        <w:pStyle w:val="CaptionedFigure"/>
      </w:pPr>
      <w:bookmarkStart w:id="240" w:name="fig:figS1"/>
      <w:r>
        <w:drawing>
          <wp:inline>
            <wp:extent cx="5943600" cy="6430859"/>
            <wp:effectExtent b="0" l="0" r="0" t="0"/>
            <wp:docPr descr="Figure S1: Results from benchmarking alevin-fry and cellranger count performance, Related to Figure 2." title="" id="238" name="Picture"/>
            <a:graphic>
              <a:graphicData uri="http://schemas.openxmlformats.org/drawingml/2006/picture">
                <pic:pic>
                  <pic:nvPicPr>
                    <pic:cNvPr descr="https://raw.githubusercontent.com/AlexsLemonade/scpca-paper-figures/v0.2.4/figures/compiled_figures/pngs/figure_s1.png?sanitize=true" id="239" name="Picture"/>
                    <pic:cNvPicPr>
                      <a:picLocks noChangeArrowheads="1" noChangeAspect="1"/>
                    </pic:cNvPicPr>
                  </pic:nvPicPr>
                  <pic:blipFill>
                    <a:blip r:embed="rId237"/>
                    <a:stretch>
                      <a:fillRect/>
                    </a:stretch>
                  </pic:blipFill>
                  <pic:spPr bwMode="auto">
                    <a:xfrm>
                      <a:off x="0" y="0"/>
                      <a:ext cx="5943600" cy="6430859"/>
                    </a:xfrm>
                    <a:prstGeom prst="rect">
                      <a:avLst/>
                    </a:prstGeom>
                    <a:noFill/>
                    <a:ln w="9525">
                      <a:noFill/>
                      <a:headEnd/>
                      <a:tailEnd/>
                    </a:ln>
                  </pic:spPr>
                </pic:pic>
              </a:graphicData>
            </a:graphic>
          </wp:inline>
        </w:drawing>
      </w:r>
      <w:bookmarkEnd w:id="240"/>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 Related to Figure 2.</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4" w:name="fig:figS2"/>
      <w:r>
        <w:drawing>
          <wp:inline>
            <wp:extent cx="5943600" cy="7691717"/>
            <wp:effectExtent b="0" l="0" r="0" t="0"/>
            <wp:docPr descr="Figure S2: Processing additional single-cell modalities in scpca-nf, Related to Figure 2." title="" id="242" name="Picture"/>
            <a:graphic>
              <a:graphicData uri="http://schemas.openxmlformats.org/drawingml/2006/picture">
                <pic:pic>
                  <pic:nvPicPr>
                    <pic:cNvPr descr="https://raw.githubusercontent.com/AlexsLemonade/scpca-paper-figures/v0.2.4/figures/compiled_figures/pngs/figure_s2.png?sanitize=true" id="243" name="Picture"/>
                    <pic:cNvPicPr>
                      <a:picLocks noChangeArrowheads="1" noChangeAspect="1"/>
                    </pic:cNvPicPr>
                  </pic:nvPicPr>
                  <pic:blipFill>
                    <a:blip r:embed="rId241"/>
                    <a:stretch>
                      <a:fillRect/>
                    </a:stretch>
                  </pic:blipFill>
                  <pic:spPr bwMode="auto">
                    <a:xfrm>
                      <a:off x="0" y="0"/>
                      <a:ext cx="5943600" cy="7691717"/>
                    </a:xfrm>
                    <a:prstGeom prst="rect">
                      <a:avLst/>
                    </a:prstGeom>
                    <a:noFill/>
                    <a:ln w="9525">
                      <a:noFill/>
                      <a:headEnd/>
                      <a:tailEnd/>
                    </a:ln>
                  </pic:spPr>
                </pic:pic>
              </a:graphicData>
            </a:graphic>
          </wp:inline>
        </w:drawing>
      </w:r>
      <w:bookmarkEnd w:id="244"/>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8" w:name="fig:figS3"/>
      <w:r>
        <w:drawing>
          <wp:inline>
            <wp:extent cx="5943600" cy="7691717"/>
            <wp:effectExtent b="0" l="0" r="0" t="0"/>
            <wp:docPr descr="Figure S3: Processing other sequencing modalities and merging objects with scpca-nf, Related to Figure 2." title="" id="246" name="Picture"/>
            <a:graphic>
              <a:graphicData uri="http://schemas.openxmlformats.org/drawingml/2006/picture">
                <pic:pic>
                  <pic:nvPicPr>
                    <pic:cNvPr descr="https://raw.githubusercontent.com/AlexsLemonade/scpca-paper-figures/v0.2.4/figures/compiled_figures/pngs/figure_s3.png?sanitize=true" id="247" name="Picture"/>
                    <pic:cNvPicPr>
                      <a:picLocks noChangeArrowheads="1" noChangeAspect="1"/>
                    </pic:cNvPicPr>
                  </pic:nvPicPr>
                  <pic:blipFill>
                    <a:blip r:embed="rId245"/>
                    <a:stretch>
                      <a:fillRect/>
                    </a:stretch>
                  </pic:blipFill>
                  <pic:spPr bwMode="auto">
                    <a:xfrm>
                      <a:off x="0" y="0"/>
                      <a:ext cx="5943600" cy="7691717"/>
                    </a:xfrm>
                    <a:prstGeom prst="rect">
                      <a:avLst/>
                    </a:prstGeom>
                    <a:noFill/>
                    <a:ln w="9525">
                      <a:noFill/>
                      <a:headEnd/>
                      <a:tailEnd/>
                    </a:ln>
                  </pic:spPr>
                </pic:pic>
              </a:graphicData>
            </a:graphic>
          </wp:inline>
        </w:drawing>
      </w:r>
      <w:bookmarkEnd w:id="248"/>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2" w:name="fig:figS4"/>
      <w:r>
        <w:drawing>
          <wp:inline>
            <wp:extent cx="5943600" cy="8493453"/>
            <wp:effectExtent b="0" l="0" r="0" t="0"/>
            <wp:docPr descr="Figure S4: Ontology-aware consensus cell type assignment provides harmonized labels for cells, Related to Figure 3." title="" id="250" name="Picture"/>
            <a:graphic>
              <a:graphicData uri="http://schemas.openxmlformats.org/drawingml/2006/picture">
                <pic:pic>
                  <pic:nvPicPr>
                    <pic:cNvPr descr="https://raw.githubusercontent.com/AlexsLemonade/scpca-paper-figures/v0.2.4/figures/compiled_figures/pngs/figure_s4.png?sanitize=true" id="251" name="Picture"/>
                    <pic:cNvPicPr>
                      <a:picLocks noChangeArrowheads="1" noChangeAspect="1"/>
                    </pic:cNvPicPr>
                  </pic:nvPicPr>
                  <pic:blipFill>
                    <a:blip r:embed="rId249"/>
                    <a:stretch>
                      <a:fillRect/>
                    </a:stretch>
                  </pic:blipFill>
                  <pic:spPr bwMode="auto">
                    <a:xfrm>
                      <a:off x="0" y="0"/>
                      <a:ext cx="5943600" cy="8493453"/>
                    </a:xfrm>
                    <a:prstGeom prst="rect">
                      <a:avLst/>
                    </a:prstGeom>
                    <a:noFill/>
                    <a:ln w="9525">
                      <a:noFill/>
                      <a:headEnd/>
                      <a:tailEnd/>
                    </a:ln>
                  </pic:spPr>
                </pic:pic>
              </a:graphicData>
            </a:graphic>
          </wp:inline>
        </w:drawing>
      </w:r>
      <w:bookmarkEnd w:id="252"/>
    </w:p>
    <w:p>
      <w:pPr>
        <w:pStyle w:val="ImageCaption"/>
      </w:pPr>
      <w:r>
        <w:t xml:space="preserve">Figure S4:</w:t>
      </w:r>
      <w:r>
        <w:t xml:space="preserve"> </w:t>
      </w:r>
      <w:r>
        <w:rPr>
          <w:bCs/>
          <w:b/>
        </w:rPr>
        <w:t xml:space="preserve">Ontology-aware consensus cell type assignment provides harmonized labels for cells, Related to Figure 3.</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hyperlink w:anchor="ref-b9hQbZOR">
        <w:r>
          <w:rPr>
            <w:rStyle w:val="Hyperlink"/>
            <w:vertAlign w:val="superscript"/>
          </w:rPr>
          <w:t xml:space="preserve">53</w:t>
        </w:r>
      </w:hyperlink>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6" w:name="fig:figS5"/>
      <w:r>
        <w:drawing>
          <wp:inline>
            <wp:extent cx="5943600" cy="7448721"/>
            <wp:effectExtent b="0" l="0" r="0" t="0"/>
            <wp:docPr descr="Figure S5: Consensus cell type annotation gene expression in other diagnosis groups, Related to Figure 4." title="" id="254" name="Picture"/>
            <a:graphic>
              <a:graphicData uri="http://schemas.openxmlformats.org/drawingml/2006/picture">
                <pic:pic>
                  <pic:nvPicPr>
                    <pic:cNvPr descr="https://raw.githubusercontent.com/AlexsLemonade/scpca-paper-figures/v0.2.4/figures/compiled_figures/pngs/figure_s5.png?sanitize=true" id="255" name="Picture"/>
                    <pic:cNvPicPr>
                      <a:picLocks noChangeArrowheads="1" noChangeAspect="1"/>
                    </pic:cNvPicPr>
                  </pic:nvPicPr>
                  <pic:blipFill>
                    <a:blip r:embed="rId253"/>
                    <a:stretch>
                      <a:fillRect/>
                    </a:stretch>
                  </pic:blipFill>
                  <pic:spPr bwMode="auto">
                    <a:xfrm>
                      <a:off x="0" y="0"/>
                      <a:ext cx="5943600" cy="7448721"/>
                    </a:xfrm>
                    <a:prstGeom prst="rect">
                      <a:avLst/>
                    </a:prstGeom>
                    <a:noFill/>
                    <a:ln w="9525">
                      <a:noFill/>
                      <a:headEnd/>
                      <a:tailEnd/>
                    </a:ln>
                  </pic:spPr>
                </pic:pic>
              </a:graphicData>
            </a:graphic>
          </wp:inline>
        </w:drawing>
      </w:r>
      <w:bookmarkEnd w:id="256"/>
    </w:p>
    <w:p>
      <w:pPr>
        <w:pStyle w:val="ImageCaption"/>
      </w:pPr>
      <w:r>
        <w:t xml:space="preserve">Figure S5:</w:t>
      </w:r>
      <w:r>
        <w:t xml:space="preserve"> </w:t>
      </w:r>
      <w:r>
        <w:rPr>
          <w:bCs/>
          <w:b/>
        </w:rPr>
        <w:t xml:space="preserve">Consensus cell type annotation gene expression in other diagnosis groups, Related to Figure 4.</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hyperlink w:anchor="ref-MclvBVPD">
        <w:r>
          <w:rPr>
            <w:rStyle w:val="Hyperlink"/>
            <w:vertAlign w:val="superscript"/>
          </w:rPr>
          <w:t xml:space="preserve">95</w:t>
        </w:r>
      </w:hyperlink>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60" w:name="fig:figS6"/>
      <w:r>
        <w:drawing>
          <wp:inline>
            <wp:extent cx="5943600" cy="4730836"/>
            <wp:effectExtent b="0" l="0" r="0" t="0"/>
            <wp:docPr descr="Figure S6: Consensus cell type annotation distributions in other diagnosis groups, Related to Figure 4." title="" id="258" name="Picture"/>
            <a:graphic>
              <a:graphicData uri="http://schemas.openxmlformats.org/drawingml/2006/picture">
                <pic:pic>
                  <pic:nvPicPr>
                    <pic:cNvPr descr="https://raw.githubusercontent.com/AlexsLemonade/scpca-paper-figures/v0.2.4/figures/compiled_figures/pngs/figure_s6.png?sanitize=true" id="259" name="Picture"/>
                    <pic:cNvPicPr>
                      <a:picLocks noChangeArrowheads="1" noChangeAspect="1"/>
                    </pic:cNvPicPr>
                  </pic:nvPicPr>
                  <pic:blipFill>
                    <a:blip r:embed="rId257"/>
                    <a:stretch>
                      <a:fillRect/>
                    </a:stretch>
                  </pic:blipFill>
                  <pic:spPr bwMode="auto">
                    <a:xfrm>
                      <a:off x="0" y="0"/>
                      <a:ext cx="5943600" cy="4730836"/>
                    </a:xfrm>
                    <a:prstGeom prst="rect">
                      <a:avLst/>
                    </a:prstGeom>
                    <a:noFill/>
                    <a:ln w="9525">
                      <a:noFill/>
                      <a:headEnd/>
                      <a:tailEnd/>
                    </a:ln>
                  </pic:spPr>
                </pic:pic>
              </a:graphicData>
            </a:graphic>
          </wp:inline>
        </w:drawing>
      </w:r>
      <w:bookmarkEnd w:id="260"/>
    </w:p>
    <w:p>
      <w:pPr>
        <w:pStyle w:val="ImageCaption"/>
      </w:pPr>
      <w:r>
        <w:t xml:space="preserve">Figure S6:</w:t>
      </w:r>
      <w:r>
        <w:t xml:space="preserve"> </w:t>
      </w:r>
      <w:r>
        <w:rPr>
          <w:bCs/>
          <w:b/>
        </w:rPr>
        <w:t xml:space="preserve">Consensus cell type annotation distributions in other diagnosis groups, Related to Figure 4.</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4" w:name="fig:figS7"/>
      <w:r>
        <w:drawing>
          <wp:inline>
            <wp:extent cx="5943600" cy="4754880"/>
            <wp:effectExtent b="0" l="0" r="0" t="0"/>
            <wp:docPr descr="Figure S7: Comparison of bulk and pseudobulk modalities for additional projects, Related to Figure 6." title="" id="262" name="Picture"/>
            <a:graphic>
              <a:graphicData uri="http://schemas.openxmlformats.org/drawingml/2006/picture">
                <pic:pic>
                  <pic:nvPicPr>
                    <pic:cNvPr descr="https://raw.githubusercontent.com/AlexsLemonade/scpca-paper-figures/v0.2.4/figures/compiled_figures/pngs/figure_s7.png?sanitize=true" id="263" name="Picture"/>
                    <pic:cNvPicPr>
                      <a:picLocks noChangeArrowheads="1" noChangeAspect="1"/>
                    </pic:cNvPicPr>
                  </pic:nvPicPr>
                  <pic:blipFill>
                    <a:blip r:embed="rId261"/>
                    <a:stretch>
                      <a:fillRect/>
                    </a:stretch>
                  </pic:blipFill>
                  <pic:spPr bwMode="auto">
                    <a:xfrm>
                      <a:off x="0" y="0"/>
                      <a:ext cx="5943600" cy="4754880"/>
                    </a:xfrm>
                    <a:prstGeom prst="rect">
                      <a:avLst/>
                    </a:prstGeom>
                    <a:noFill/>
                    <a:ln w="9525">
                      <a:noFill/>
                      <a:headEnd/>
                      <a:tailEnd/>
                    </a:ln>
                  </pic:spPr>
                </pic:pic>
              </a:graphicData>
            </a:graphic>
          </wp:inline>
        </w:drawing>
      </w:r>
      <w:bookmarkEnd w:id="264"/>
    </w:p>
    <w:p>
      <w:pPr>
        <w:pStyle w:val="ImageCaption"/>
      </w:pPr>
      <w:r>
        <w:t xml:space="preserve">Figure S7:</w:t>
      </w:r>
      <w:r>
        <w:t xml:space="preserve"> </w:t>
      </w:r>
      <w:r>
        <w:rPr>
          <w:bCs/>
          <w:b/>
        </w:rPr>
        <w:t xml:space="preserve">Comparison of bulk and pseudobulk modalities for additional projects, Related to Figure 6.</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5"/>
    <w:bookmarkStart w:id="513" w:name="references"/>
    <w:p>
      <w:pPr>
        <w:pStyle w:val="Heading2"/>
      </w:pPr>
      <w:r>
        <w:t xml:space="preserve">References</w:t>
      </w:r>
    </w:p>
    <w:bookmarkStart w:id="512" w:name="refs"/>
    <w:bookmarkStart w:id="267" w:name="ref-ALU8zyix"/>
    <w:p>
      <w:pPr>
        <w:pStyle w:val="Bibliography"/>
      </w:pPr>
      <w:r>
        <w:t xml:space="preserve">1.</w:t>
      </w:r>
      <w:r>
        <w:t xml:space="preserve"> </w:t>
      </w:r>
      <w:r>
        <w:t xml:space="preserve">	</w:t>
      </w:r>
      <w:r>
        <w:t xml:space="preserve">Svensson, V., Vento-Tormo, R., and Teichmann, S.A. (2018). Exponential scaling of single-cell RNA-seq in the past decade. Nat Protoc</w:t>
      </w:r>
      <w:r>
        <w:t xml:space="preserve"> </w:t>
      </w:r>
      <w:r>
        <w:rPr>
          <w:iCs/>
          <w:i/>
        </w:rPr>
        <w:t xml:space="preserve">13</w:t>
      </w:r>
      <w:r>
        <w:t xml:space="preserve">, 599–604.</w:t>
      </w:r>
      <w:r>
        <w:t xml:space="preserve"> </w:t>
      </w:r>
      <w:hyperlink r:id="rId266">
        <w:r>
          <w:rPr>
            <w:rStyle w:val="Hyperlink"/>
          </w:rPr>
          <w:t xml:space="preserve">10.1038/nprot.2017.149</w:t>
        </w:r>
      </w:hyperlink>
      <w:r>
        <w:t xml:space="preserve">.</w:t>
      </w:r>
    </w:p>
    <w:bookmarkEnd w:id="267"/>
    <w:bookmarkStart w:id="269" w:name="ref-e6vwOccq"/>
    <w:p>
      <w:pPr>
        <w:pStyle w:val="Bibliography"/>
      </w:pPr>
      <w:r>
        <w:t xml:space="preserve">2.</w:t>
      </w:r>
      <w:r>
        <w:t xml:space="preserve"> </w:t>
      </w:r>
      <w:r>
        <w:t xml:space="preserve">	</w:t>
      </w:r>
      <w:r>
        <w:t xml:space="preserve">Trapnell, C. (2015). Defining cell types and states with single-cell genomics. Genome Res.</w:t>
      </w:r>
      <w:r>
        <w:t xml:space="preserve"> </w:t>
      </w:r>
      <w:r>
        <w:rPr>
          <w:iCs/>
          <w:i/>
        </w:rPr>
        <w:t xml:space="preserve">25</w:t>
      </w:r>
      <w:r>
        <w:t xml:space="preserve">, 1491–1498.</w:t>
      </w:r>
      <w:r>
        <w:t xml:space="preserve"> </w:t>
      </w:r>
      <w:hyperlink r:id="rId268">
        <w:r>
          <w:rPr>
            <w:rStyle w:val="Hyperlink"/>
          </w:rPr>
          <w:t xml:space="preserve">10.1101/gr.190595.115</w:t>
        </w:r>
      </w:hyperlink>
      <w:r>
        <w:t xml:space="preserve">.</w:t>
      </w:r>
    </w:p>
    <w:bookmarkEnd w:id="269"/>
    <w:bookmarkStart w:id="271" w:name="ref-CK2iL88z"/>
    <w:p>
      <w:pPr>
        <w:pStyle w:val="Bibliography"/>
      </w:pPr>
      <w:r>
        <w:t xml:space="preserve">3.</w:t>
      </w:r>
      <w:r>
        <w:t xml:space="preserve"> </w:t>
      </w:r>
      <w:r>
        <w:t xml:space="preserve">	</w:t>
      </w:r>
      <w:r>
        <w:t xml:space="preserve">Patel, A.P., Tirosh, I., Trombetta, J.J., Shalek, A.K., Gillespie, S.M., Wakimoto, H., Cahill, D.P., Nahed, B.V., Curry, W.T., Martuza, R.L., et al. (2014). Single-cell RNA-seq highlights intratumoral heterogeneity in primary glioblastoma. Science</w:t>
      </w:r>
      <w:r>
        <w:t xml:space="preserve"> </w:t>
      </w:r>
      <w:r>
        <w:rPr>
          <w:iCs/>
          <w:i/>
        </w:rPr>
        <w:t xml:space="preserve">344</w:t>
      </w:r>
      <w:r>
        <w:t xml:space="preserve">, 1396–1401.</w:t>
      </w:r>
      <w:r>
        <w:t xml:space="preserve"> </w:t>
      </w:r>
      <w:hyperlink r:id="rId270">
        <w:r>
          <w:rPr>
            <w:rStyle w:val="Hyperlink"/>
          </w:rPr>
          <w:t xml:space="preserve">10.1126/science.1254257</w:t>
        </w:r>
      </w:hyperlink>
      <w:r>
        <w:t xml:space="preserve">.</w:t>
      </w:r>
    </w:p>
    <w:bookmarkEnd w:id="271"/>
    <w:bookmarkStart w:id="273" w:name="ref-10Z0RGQgO"/>
    <w:p>
      <w:pPr>
        <w:pStyle w:val="Bibliography"/>
      </w:pPr>
      <w:r>
        <w:t xml:space="preserve">4.</w:t>
      </w:r>
      <w:r>
        <w:t xml:space="preserve"> </w:t>
      </w:r>
      <w:r>
        <w:t xml:space="preserve">	</w:t>
      </w:r>
      <w:r>
        <w:t xml:space="preserve">Barkley, D., Moncada, R., Pour, M., Liberman, D.A., Dryg, I., Werba, G., Wang, W., Baron, M., Rao, A., Xia, B., et al. (2022). Cancer cell states recur across tumor types and form specific interactions with the tumor microenvironment. Nat Genet</w:t>
      </w:r>
      <w:r>
        <w:t xml:space="preserve"> </w:t>
      </w:r>
      <w:r>
        <w:rPr>
          <w:iCs/>
          <w:i/>
        </w:rPr>
        <w:t xml:space="preserve">54</w:t>
      </w:r>
      <w:r>
        <w:t xml:space="preserve">, 1192–1201.</w:t>
      </w:r>
      <w:r>
        <w:t xml:space="preserve"> </w:t>
      </w:r>
      <w:hyperlink r:id="rId272">
        <w:r>
          <w:rPr>
            <w:rStyle w:val="Hyperlink"/>
          </w:rPr>
          <w:t xml:space="preserve">10.1038/s41588-022-01141-9</w:t>
        </w:r>
      </w:hyperlink>
      <w:r>
        <w:t xml:space="preserve">.</w:t>
      </w:r>
    </w:p>
    <w:bookmarkEnd w:id="273"/>
    <w:bookmarkStart w:id="275" w:name="ref-115InIIhW"/>
    <w:p>
      <w:pPr>
        <w:pStyle w:val="Bibliography"/>
      </w:pPr>
      <w:r>
        <w:t xml:space="preserve">5.</w:t>
      </w:r>
      <w:r>
        <w:t xml:space="preserve"> </w:t>
      </w:r>
      <w:r>
        <w:t xml:space="preserve">	</w:t>
      </w:r>
      <w:r>
        <w:t xml:space="preserve">Megill, C., Martin, B., Weaver, C., Bell, S., Prins, L., Badajoz, S., McCandless, B., Pisco, A.O., Kinsella, M., Griffin, F., et al. (2021). cellxgene: a performant, scalable exploration platform for high dimensional sparse matrices. Preprint at bioRxiv.</w:t>
      </w:r>
      <w:r>
        <w:t xml:space="preserve"> </w:t>
      </w:r>
      <w:hyperlink r:id="rId274">
        <w:r>
          <w:rPr>
            <w:rStyle w:val="Hyperlink"/>
          </w:rPr>
          <w:t xml:space="preserve">10.1101/2021.04.05.438318</w:t>
        </w:r>
      </w:hyperlink>
      <w:r>
        <w:t xml:space="preserve">.</w:t>
      </w:r>
    </w:p>
    <w:bookmarkEnd w:id="275"/>
    <w:bookmarkStart w:id="277" w:name="ref-WrWip7GV"/>
    <w:p>
      <w:pPr>
        <w:pStyle w:val="Bibliography"/>
      </w:pPr>
      <w:r>
        <w:t xml:space="preserve">6.</w:t>
      </w:r>
      <w:r>
        <w:t xml:space="preserve"> </w:t>
      </w:r>
      <w:r>
        <w:t xml:space="preserve">	</w:t>
      </w:r>
      <w:r>
        <w:t xml:space="preserve">CZI Single-Cell Biology Program, Abdulla, S., Aevermann, B., Assis, P., Badajoz, S., Bell, S.M., Bezzi, E., Cakir, B., Chaffer, J., Chambers, S., et al. (2023). CZ CELLxGENE Discover: A single-cell data platform for scalable exploration, analysis and modeling of aggregated data. Preprint at bioRxiv.</w:t>
      </w:r>
      <w:r>
        <w:t xml:space="preserve"> </w:t>
      </w:r>
      <w:hyperlink r:id="rId276">
        <w:r>
          <w:rPr>
            <w:rStyle w:val="Hyperlink"/>
          </w:rPr>
          <w:t xml:space="preserve">10.1101/2023.10.30.563174</w:t>
        </w:r>
      </w:hyperlink>
      <w:r>
        <w:t xml:space="preserve">.</w:t>
      </w:r>
    </w:p>
    <w:bookmarkEnd w:id="277"/>
    <w:bookmarkStart w:id="279" w:name="ref-vk9ZInF3"/>
    <w:p>
      <w:pPr>
        <w:pStyle w:val="Bibliography"/>
      </w:pPr>
      <w:r>
        <w:t xml:space="preserve">7.</w:t>
      </w:r>
      <w:r>
        <w:t xml:space="preserve"> </w:t>
      </w:r>
      <w:r>
        <w:t xml:space="preserve">	</w:t>
      </w:r>
      <w:r>
        <w:t xml:space="preserve">Regev, A., Teichmann, S.A., Lander, E.S., Amit, I., Benoist, C., Birney, E., Bodenmiller, B., Campbell, P., Carninci, P., Clatworthy, M., et al. (2017). The Human Cell Atlas. eLife</w:t>
      </w:r>
      <w:r>
        <w:t xml:space="preserve"> </w:t>
      </w:r>
      <w:r>
        <w:rPr>
          <w:iCs/>
          <w:i/>
        </w:rPr>
        <w:t xml:space="preserve">6</w:t>
      </w:r>
      <w:r>
        <w:t xml:space="preserve">, e27041.</w:t>
      </w:r>
      <w:r>
        <w:t xml:space="preserve"> </w:t>
      </w:r>
      <w:hyperlink r:id="rId278">
        <w:r>
          <w:rPr>
            <w:rStyle w:val="Hyperlink"/>
          </w:rPr>
          <w:t xml:space="preserve">10.7554/elife.27041</w:t>
        </w:r>
      </w:hyperlink>
      <w:r>
        <w:t xml:space="preserve">.</w:t>
      </w:r>
    </w:p>
    <w:bookmarkEnd w:id="279"/>
    <w:bookmarkStart w:id="281" w:name="ref-udPM4KR1"/>
    <w:p>
      <w:pPr>
        <w:pStyle w:val="Bibliography"/>
      </w:pPr>
      <w:r>
        <w:t xml:space="preserve">8.</w:t>
      </w:r>
      <w:r>
        <w:t xml:space="preserve"> </w:t>
      </w:r>
      <w:r>
        <w:t xml:space="preserve">	</w:t>
      </w:r>
      <w:r>
        <w:t xml:space="preserve">Rozenblatt-Rosen, O., Regev, A., Oberdoerffer, P., Nawy, T., Hupalowska, A., Rood, J.E., Ashenberg, O., Cerami, E., Coffey, R.J., Demir, E., et al. (2020). The Human Tumor Atlas Network: Charting Tumor Transitions across Space and Time at Single-Cell Resolution. Cell</w:t>
      </w:r>
      <w:r>
        <w:t xml:space="preserve"> </w:t>
      </w:r>
      <w:r>
        <w:rPr>
          <w:iCs/>
          <w:i/>
        </w:rPr>
        <w:t xml:space="preserve">181</w:t>
      </w:r>
      <w:r>
        <w:t xml:space="preserve">, 236–249.</w:t>
      </w:r>
      <w:r>
        <w:t xml:space="preserve"> </w:t>
      </w:r>
      <w:hyperlink r:id="rId280">
        <w:r>
          <w:rPr>
            <w:rStyle w:val="Hyperlink"/>
          </w:rPr>
          <w:t xml:space="preserve">10.1016/j.cell.2020.03.053</w:t>
        </w:r>
      </w:hyperlink>
      <w:r>
        <w:t xml:space="preserve">.</w:t>
      </w:r>
    </w:p>
    <w:bookmarkEnd w:id="281"/>
    <w:bookmarkStart w:id="283" w:name="ref-6g5Eo333"/>
    <w:p>
      <w:pPr>
        <w:pStyle w:val="Bibliography"/>
      </w:pPr>
      <w:r>
        <w:t xml:space="preserve">9.</w:t>
      </w:r>
      <w:r>
        <w:t xml:space="preserve"> </w:t>
      </w:r>
      <w:r>
        <w:t xml:space="preserve">	</w:t>
      </w:r>
      <w:r>
        <w:t xml:space="preserve">Tang, X.-W., Jiang, J., Huang, S., Shi, X.-M., Xu, H., Xu, J., Peng, J.-Y., Zhang, W., Shi, L., Zhong, X.-L., et al. (2024). Long-term trends in cancer incidence and mortality among U.S. children and adolescents: a SEER database analysis from 1975 to 2018. Front. Pediatr.</w:t>
      </w:r>
      <w:r>
        <w:t xml:space="preserve"> </w:t>
      </w:r>
      <w:r>
        <w:rPr>
          <w:iCs/>
          <w:i/>
        </w:rPr>
        <w:t xml:space="preserve">12</w:t>
      </w:r>
      <w:r>
        <w:t xml:space="preserve">, 1357093.</w:t>
      </w:r>
      <w:r>
        <w:t xml:space="preserve"> </w:t>
      </w:r>
      <w:hyperlink r:id="rId282">
        <w:r>
          <w:rPr>
            <w:rStyle w:val="Hyperlink"/>
          </w:rPr>
          <w:t xml:space="preserve">10.3389/fped.2024.1357093</w:t>
        </w:r>
      </w:hyperlink>
      <w:r>
        <w:t xml:space="preserve">.</w:t>
      </w:r>
    </w:p>
    <w:bookmarkEnd w:id="283"/>
    <w:bookmarkStart w:id="285" w:name="ref-17ixMDYva"/>
    <w:p>
      <w:pPr>
        <w:pStyle w:val="Bibliography"/>
      </w:pPr>
      <w:r>
        <w:t xml:space="preserve">10.</w:t>
      </w:r>
      <w:r>
        <w:t xml:space="preserve"> </w:t>
      </w:r>
      <w:r>
        <w:t xml:space="preserve">	</w:t>
      </w:r>
      <w:r>
        <w:t xml:space="preserve">Xu, X., Saxon, J., Soon, M.S.F., Lee, C.Y., and Tuong, Z.K. (2025). Data standards for single-cell RNA-sequencing of paediatric cancer. Clinical &amp; Translational Immunology</w:t>
      </w:r>
      <w:r>
        <w:t xml:space="preserve"> </w:t>
      </w:r>
      <w:r>
        <w:rPr>
          <w:iCs/>
          <w:i/>
        </w:rPr>
        <w:t xml:space="preserve">14</w:t>
      </w:r>
      <w:r>
        <w:t xml:space="preserve">, e70033.</w:t>
      </w:r>
      <w:r>
        <w:t xml:space="preserve"> </w:t>
      </w:r>
      <w:hyperlink r:id="rId284">
        <w:r>
          <w:rPr>
            <w:rStyle w:val="Hyperlink"/>
          </w:rPr>
          <w:t xml:space="preserve">10.1002/cti2.70033</w:t>
        </w:r>
      </w:hyperlink>
      <w:r>
        <w:t xml:space="preserve">.</w:t>
      </w:r>
    </w:p>
    <w:bookmarkEnd w:id="285"/>
    <w:bookmarkStart w:id="287" w:name="ref-yEQ2v42v"/>
    <w:p>
      <w:pPr>
        <w:pStyle w:val="Bibliography"/>
      </w:pPr>
      <w:r>
        <w:t xml:space="preserve">11.</w:t>
      </w:r>
      <w:r>
        <w:t xml:space="preserve"> </w:t>
      </w:r>
      <w:r>
        <w:t xml:space="preserve">	</w:t>
      </w:r>
      <w:r>
        <w:t xml:space="preserve">Jeanquartier, F., Jean-Quartier, C., and Holzinger, A. (2019). Use case driven evaluation of open databases for pediatric cancer research. BioData Mining</w:t>
      </w:r>
      <w:r>
        <w:t xml:space="preserve"> </w:t>
      </w:r>
      <w:r>
        <w:rPr>
          <w:iCs/>
          <w:i/>
        </w:rPr>
        <w:t xml:space="preserve">12</w:t>
      </w:r>
      <w:r>
        <w:t xml:space="preserve">, 2.</w:t>
      </w:r>
      <w:r>
        <w:t xml:space="preserve"> </w:t>
      </w:r>
      <w:hyperlink r:id="rId286">
        <w:r>
          <w:rPr>
            <w:rStyle w:val="Hyperlink"/>
          </w:rPr>
          <w:t xml:space="preserve">10.1186/s13040-018-0190-8</w:t>
        </w:r>
      </w:hyperlink>
      <w:r>
        <w:t xml:space="preserve">.</w:t>
      </w:r>
    </w:p>
    <w:bookmarkEnd w:id="287"/>
    <w:bookmarkStart w:id="289" w:name="ref-z8JnDHpr"/>
    <w:p>
      <w:pPr>
        <w:pStyle w:val="Bibliography"/>
      </w:pPr>
      <w:r>
        <w:t xml:space="preserve">12.</w:t>
      </w:r>
      <w:r>
        <w:t xml:space="preserve"> </w:t>
      </w:r>
      <w:r>
        <w:t xml:space="preserve">	</w:t>
      </w:r>
      <w:r>
        <w:t xml:space="preserve">Amezquita, R.A., Lun, A.T.L., Becht, E., Carey, V.J., Carpp, L.N., Geistlinger, L., Marini, F., Rue-Albrecht, K., Risso, D., Soneson, C., et al. (2019). Orchestrating single-cell analysis with Bioconductor. Nat Methods</w:t>
      </w:r>
      <w:r>
        <w:t xml:space="preserve"> </w:t>
      </w:r>
      <w:r>
        <w:rPr>
          <w:iCs/>
          <w:i/>
        </w:rPr>
        <w:t xml:space="preserve">17</w:t>
      </w:r>
      <w:r>
        <w:t xml:space="preserve">, 137–145.</w:t>
      </w:r>
      <w:r>
        <w:t xml:space="preserve"> </w:t>
      </w:r>
      <w:hyperlink r:id="rId288">
        <w:r>
          <w:rPr>
            <w:rStyle w:val="Hyperlink"/>
          </w:rPr>
          <w:t xml:space="preserve">10.1038/s41592-019-0654-x</w:t>
        </w:r>
      </w:hyperlink>
      <w:r>
        <w:t xml:space="preserve">.</w:t>
      </w:r>
    </w:p>
    <w:bookmarkEnd w:id="289"/>
    <w:bookmarkStart w:id="291" w:name="ref-qIZTS1II"/>
    <w:p>
      <w:pPr>
        <w:pStyle w:val="Bibliography"/>
      </w:pPr>
      <w:r>
        <w:t xml:space="preserve">13.</w:t>
      </w:r>
      <w:r>
        <w:t xml:space="preserve"> </w:t>
      </w:r>
      <w:r>
        <w:t xml:space="preserve">	</w:t>
      </w:r>
      <w:r>
        <w:t xml:space="preserve">Wolf, F.A., Angerer, P., and Theis, F.J. (2018). SCANPY: large-scale single-cell gene expression data analysis. Genome Biol</w:t>
      </w:r>
      <w:r>
        <w:t xml:space="preserve"> </w:t>
      </w:r>
      <w:r>
        <w:rPr>
          <w:iCs/>
          <w:i/>
        </w:rPr>
        <w:t xml:space="preserve">19</w:t>
      </w:r>
      <w:r>
        <w:t xml:space="preserve">, 15.</w:t>
      </w:r>
      <w:r>
        <w:t xml:space="preserve"> </w:t>
      </w:r>
      <w:hyperlink r:id="rId290">
        <w:r>
          <w:rPr>
            <w:rStyle w:val="Hyperlink"/>
          </w:rPr>
          <w:t xml:space="preserve">10.1186/s13059-017-1382-0</w:t>
        </w:r>
      </w:hyperlink>
      <w:r>
        <w:t xml:space="preserve">.</w:t>
      </w:r>
    </w:p>
    <w:bookmarkEnd w:id="291"/>
    <w:bookmarkStart w:id="293" w:name="ref-4XDvZWxk"/>
    <w:p>
      <w:pPr>
        <w:pStyle w:val="Bibliography"/>
      </w:pPr>
      <w:r>
        <w:t xml:space="preserve">14.</w:t>
      </w:r>
      <w:r>
        <w:t xml:space="preserve"> </w:t>
      </w:r>
      <w:r>
        <w:t xml:space="preserve">	</w:t>
      </w:r>
      <w:r>
        <w:t xml:space="preserve">Di Tommaso, P., Chatzou, M., Floden, E.W., Barja, P.P., Palumbo, E., and Notredame, C. (2017). Nextflow enables reproducible computational workflows. Nat Biotechnol</w:t>
      </w:r>
      <w:r>
        <w:t xml:space="preserve"> </w:t>
      </w:r>
      <w:r>
        <w:rPr>
          <w:iCs/>
          <w:i/>
        </w:rPr>
        <w:t xml:space="preserve">35</w:t>
      </w:r>
      <w:r>
        <w:t xml:space="preserve">, 316–319.</w:t>
      </w:r>
      <w:r>
        <w:t xml:space="preserve"> </w:t>
      </w:r>
      <w:hyperlink r:id="rId292">
        <w:r>
          <w:rPr>
            <w:rStyle w:val="Hyperlink"/>
          </w:rPr>
          <w:t xml:space="preserve">10.1038/nbt.3820</w:t>
        </w:r>
      </w:hyperlink>
      <w:r>
        <w:t xml:space="preserve">.</w:t>
      </w:r>
    </w:p>
    <w:bookmarkEnd w:id="293"/>
    <w:bookmarkStart w:id="295" w:name="ref-hYvj5GBC"/>
    <w:p>
      <w:pPr>
        <w:pStyle w:val="Bibliography"/>
      </w:pPr>
      <w:r>
        <w:t xml:space="preserve">15.</w:t>
      </w:r>
      <w:r>
        <w:t xml:space="preserve"> </w:t>
      </w:r>
      <w:r>
        <w:t xml:space="preserve">	</w:t>
      </w:r>
      <w:r>
        <w:t xml:space="preserve">He, D., Zakeri, M., Sarkar, H., Soneson, C., Srivastava, A., and Patro, R. (2022). Alevin-fry unlocks rapid, accurate and memory-frugal quantification of single-cell RNA-seq data. Nat Methods</w:t>
      </w:r>
      <w:r>
        <w:t xml:space="preserve"> </w:t>
      </w:r>
      <w:r>
        <w:rPr>
          <w:iCs/>
          <w:i/>
        </w:rPr>
        <w:t xml:space="preserve">19</w:t>
      </w:r>
      <w:r>
        <w:t xml:space="preserve">, 316–322.</w:t>
      </w:r>
      <w:r>
        <w:t xml:space="preserve"> </w:t>
      </w:r>
      <w:hyperlink r:id="rId294">
        <w:r>
          <w:rPr>
            <w:rStyle w:val="Hyperlink"/>
          </w:rPr>
          <w:t xml:space="preserve">10.1038/s41592-022-01408-3</w:t>
        </w:r>
      </w:hyperlink>
      <w:r>
        <w:t xml:space="preserve">.</w:t>
      </w:r>
    </w:p>
    <w:bookmarkEnd w:id="295"/>
    <w:bookmarkStart w:id="297" w:name="ref-2n9clgPF"/>
    <w:p>
      <w:pPr>
        <w:pStyle w:val="Bibliography"/>
      </w:pPr>
      <w:r>
        <w:t xml:space="preserve">16.</w:t>
      </w:r>
      <w:r>
        <w:t xml:space="preserve"> </w:t>
      </w:r>
      <w:r>
        <w:t xml:space="preserve">	</w:t>
      </w:r>
      <w:r>
        <w:t xml:space="preserve">EMBL-EBI. Ontology Lookup Service (OLS) - HsapDv.</w:t>
      </w:r>
      <w:r>
        <w:t xml:space="preserve"> </w:t>
      </w:r>
      <w:hyperlink r:id="rId296">
        <w:r>
          <w:rPr>
            <w:rStyle w:val="Hyperlink"/>
          </w:rPr>
          <w:t xml:space="preserve">https://www.ebi.ac.uk/ols4/ontologies/hsapdv</w:t>
        </w:r>
      </w:hyperlink>
      <w:r>
        <w:t xml:space="preserve">.</w:t>
      </w:r>
    </w:p>
    <w:bookmarkEnd w:id="297"/>
    <w:bookmarkStart w:id="299" w:name="ref-Jx3SGqPR"/>
    <w:p>
      <w:pPr>
        <w:pStyle w:val="Bibliography"/>
      </w:pPr>
      <w:r>
        <w:t xml:space="preserve">17.</w:t>
      </w:r>
      <w:r>
        <w:t xml:space="preserve"> </w:t>
      </w:r>
      <w:r>
        <w:t xml:space="preserve">	</w:t>
      </w:r>
      <w:r>
        <w:t xml:space="preserve">Gkoutos, G.V., Schofield, P.N., and Hoehndorf, R. (2017). The anatomy of phenotype ontologies: principles, properties and applications. Briefings in Bioinformatics</w:t>
      </w:r>
      <w:r>
        <w:t xml:space="preserve"> </w:t>
      </w:r>
      <w:r>
        <w:rPr>
          <w:iCs/>
          <w:i/>
        </w:rPr>
        <w:t xml:space="preserve">19</w:t>
      </w:r>
      <w:r>
        <w:t xml:space="preserve">, 1008–1021.</w:t>
      </w:r>
      <w:r>
        <w:t xml:space="preserve"> </w:t>
      </w:r>
      <w:hyperlink r:id="rId298">
        <w:r>
          <w:rPr>
            <w:rStyle w:val="Hyperlink"/>
          </w:rPr>
          <w:t xml:space="preserve">10.1093/bib/bbx035</w:t>
        </w:r>
      </w:hyperlink>
      <w:r>
        <w:t xml:space="preserve">.</w:t>
      </w:r>
    </w:p>
    <w:bookmarkEnd w:id="299"/>
    <w:bookmarkStart w:id="301" w:name="ref-19R1xim7A"/>
    <w:p>
      <w:pPr>
        <w:pStyle w:val="Bibliography"/>
      </w:pPr>
      <w:r>
        <w:t xml:space="preserve">18.</w:t>
      </w:r>
      <w:r>
        <w:t xml:space="preserve"> </w:t>
      </w:r>
      <w:r>
        <w:t xml:space="preserve">	</w:t>
      </w:r>
      <w:r>
        <w:t xml:space="preserve">EMBL-EBI. Ontology Lookup Service (OLS) - PATO.</w:t>
      </w:r>
      <w:r>
        <w:t xml:space="preserve"> </w:t>
      </w:r>
      <w:hyperlink r:id="rId300">
        <w:r>
          <w:rPr>
            <w:rStyle w:val="Hyperlink"/>
          </w:rPr>
          <w:t xml:space="preserve">https://www.ebi.ac.uk/ols4/ontologies/pato</w:t>
        </w:r>
      </w:hyperlink>
      <w:r>
        <w:t xml:space="preserve">.</w:t>
      </w:r>
    </w:p>
    <w:bookmarkEnd w:id="301"/>
    <w:bookmarkStart w:id="303" w:name="ref-RJLosfFq"/>
    <w:p>
      <w:pPr>
        <w:pStyle w:val="Bibliography"/>
      </w:pPr>
      <w:r>
        <w:t xml:space="preserve">19.</w:t>
      </w:r>
      <w:r>
        <w:t xml:space="preserve"> </w:t>
      </w:r>
      <w:r>
        <w:t xml:space="preserve">	</w:t>
      </w:r>
      <w:r>
        <w:t xml:space="preserve">Schoch, C.L., Ciufo, S., Domrachev, M., Hotton, C.L., Kannan, S., Khovanskaya, R., Leipe, D., Mcveigh, R., O'Neill, K., Robbertse, B., et al. (2020). NCBI Taxonomy: a comprehensive update on curation, resources and tools. Database</w:t>
      </w:r>
      <w:r>
        <w:t xml:space="preserve"> </w:t>
      </w:r>
      <w:r>
        <w:rPr>
          <w:iCs/>
          <w:i/>
        </w:rPr>
        <w:t xml:space="preserve">2020</w:t>
      </w:r>
      <w:r>
        <w:t xml:space="preserve">, baaa062.</w:t>
      </w:r>
      <w:r>
        <w:t xml:space="preserve"> </w:t>
      </w:r>
      <w:hyperlink r:id="rId302">
        <w:r>
          <w:rPr>
            <w:rStyle w:val="Hyperlink"/>
          </w:rPr>
          <w:t xml:space="preserve">10.1093/database/baaa062</w:t>
        </w:r>
      </w:hyperlink>
      <w:r>
        <w:t xml:space="preserve">.</w:t>
      </w:r>
    </w:p>
    <w:bookmarkEnd w:id="303"/>
    <w:bookmarkStart w:id="305" w:name="ref-jFq6Uo6f"/>
    <w:p>
      <w:pPr>
        <w:pStyle w:val="Bibliography"/>
      </w:pPr>
      <w:r>
        <w:t xml:space="preserve">20.</w:t>
      </w:r>
      <w:r>
        <w:t xml:space="preserve"> </w:t>
      </w:r>
      <w:r>
        <w:t xml:space="preserve">	</w:t>
      </w:r>
      <w:r>
        <w:t xml:space="preserve">National Center for Biotechnology Information. NCBI Taxonomy.</w:t>
      </w:r>
      <w:r>
        <w:t xml:space="preserve"> </w:t>
      </w:r>
      <w:hyperlink r:id="rId304">
        <w:r>
          <w:rPr>
            <w:rStyle w:val="Hyperlink"/>
          </w:rPr>
          <w:t xml:space="preserve">https://www.ncbi.nlm.nih.gov/taxonomy</w:t>
        </w:r>
      </w:hyperlink>
      <w:r>
        <w:t xml:space="preserve">.</w:t>
      </w:r>
    </w:p>
    <w:bookmarkEnd w:id="305"/>
    <w:bookmarkStart w:id="307" w:name="ref-qLTNn72b"/>
    <w:p>
      <w:pPr>
        <w:pStyle w:val="Bibliography"/>
      </w:pPr>
      <w:r>
        <w:t xml:space="preserve">21.</w:t>
      </w:r>
      <w:r>
        <w:t xml:space="preserve"> </w:t>
      </w:r>
      <w:r>
        <w:t xml:space="preserve">	</w:t>
      </w:r>
      <w:r>
        <w:t xml:space="preserve">Vasilevsky, N.A., Toro, S., Matentzoglu, N., Flack, J.E., Mullen, K.R., Hegde, H., Gehrke, S., Whetzel, P.L., Shwetar, Y., Harris, N.L., et al. (2025). Mondo: integrating disease terminology across communities. Genetics</w:t>
      </w:r>
      <w:r>
        <w:t xml:space="preserve"> </w:t>
      </w:r>
      <w:r>
        <w:rPr>
          <w:iCs/>
          <w:i/>
        </w:rPr>
        <w:t xml:space="preserve">232</w:t>
      </w:r>
      <w:r>
        <w:t xml:space="preserve">, iyaf215.</w:t>
      </w:r>
      <w:r>
        <w:t xml:space="preserve"> </w:t>
      </w:r>
      <w:hyperlink r:id="rId306">
        <w:r>
          <w:rPr>
            <w:rStyle w:val="Hyperlink"/>
          </w:rPr>
          <w:t xml:space="preserve">10.1093/genetics/iyaf215</w:t>
        </w:r>
      </w:hyperlink>
      <w:r>
        <w:t xml:space="preserve">.</w:t>
      </w:r>
    </w:p>
    <w:bookmarkEnd w:id="307"/>
    <w:bookmarkStart w:id="309" w:name="ref-ZPHZMiua"/>
    <w:p>
      <w:pPr>
        <w:pStyle w:val="Bibliography"/>
      </w:pPr>
      <w:r>
        <w:t xml:space="preserve">22.</w:t>
      </w:r>
      <w:r>
        <w:t xml:space="preserve"> </w:t>
      </w:r>
      <w:r>
        <w:t xml:space="preserve">	</w:t>
      </w:r>
      <w:r>
        <w:t xml:space="preserve">EMBL-EBI. Ontology Lookup Service (OLS) - MONDO.</w:t>
      </w:r>
      <w:r>
        <w:t xml:space="preserve"> </w:t>
      </w:r>
      <w:hyperlink r:id="rId308">
        <w:r>
          <w:rPr>
            <w:rStyle w:val="Hyperlink"/>
          </w:rPr>
          <w:t xml:space="preserve">https://www.ebi.ac.uk/ols4/ontologies/mondo</w:t>
        </w:r>
      </w:hyperlink>
      <w:r>
        <w:t xml:space="preserve">.</w:t>
      </w:r>
    </w:p>
    <w:bookmarkEnd w:id="309"/>
    <w:bookmarkStart w:id="311" w:name="ref-swLRou1q"/>
    <w:p>
      <w:pPr>
        <w:pStyle w:val="Bibliography"/>
      </w:pPr>
      <w:r>
        <w:t xml:space="preserve">23.</w:t>
      </w:r>
      <w:r>
        <w:t xml:space="preserve"> </w:t>
      </w:r>
      <w:r>
        <w:t xml:space="preserve">	</w:t>
      </w:r>
      <w:r>
        <w:t xml:space="preserve">Haendel, M.A., Balhoff, J.P., Bastian, F.B., Blackburn, D.C., Blake, J.A., Bradford, Y., Comte, A., Dahdul, W.M., Dececchi, T.A., Druzinsky, R.E., et al. (2014). Unification of multi-species vertebrate anatomy ontologies for comparative biology in Uberon. J Biomed Sem</w:t>
      </w:r>
      <w:r>
        <w:t xml:space="preserve"> </w:t>
      </w:r>
      <w:r>
        <w:rPr>
          <w:iCs/>
          <w:i/>
        </w:rPr>
        <w:t xml:space="preserve">5</w:t>
      </w:r>
      <w:r>
        <w:t xml:space="preserve">, 21.</w:t>
      </w:r>
      <w:r>
        <w:t xml:space="preserve"> </w:t>
      </w:r>
      <w:hyperlink r:id="rId310">
        <w:r>
          <w:rPr>
            <w:rStyle w:val="Hyperlink"/>
          </w:rPr>
          <w:t xml:space="preserve">10.1186/2041-1480-5-21</w:t>
        </w:r>
      </w:hyperlink>
      <w:r>
        <w:t xml:space="preserve">.</w:t>
      </w:r>
    </w:p>
    <w:bookmarkEnd w:id="311"/>
    <w:bookmarkStart w:id="313" w:name="ref-TOC8jpgh"/>
    <w:p>
      <w:pPr>
        <w:pStyle w:val="Bibliography"/>
      </w:pPr>
      <w:r>
        <w:t xml:space="preserve">24.</w:t>
      </w:r>
      <w:r>
        <w:t xml:space="preserve"> </w:t>
      </w:r>
      <w:r>
        <w:t xml:space="preserve">	</w:t>
      </w:r>
      <w:r>
        <w:t xml:space="preserve">Mungall, C.J., Torniai, C., Gkoutos, G.V., Lewis, S.E., and Haendel, M.A. (2012). Uberon, an integrative multi-species anatomy ontology. Genome Biol</w:t>
      </w:r>
      <w:r>
        <w:t xml:space="preserve"> </w:t>
      </w:r>
      <w:r>
        <w:rPr>
          <w:iCs/>
          <w:i/>
        </w:rPr>
        <w:t xml:space="preserve">13</w:t>
      </w:r>
      <w:r>
        <w:t xml:space="preserve">, R5.</w:t>
      </w:r>
      <w:r>
        <w:t xml:space="preserve"> </w:t>
      </w:r>
      <w:hyperlink r:id="rId312">
        <w:r>
          <w:rPr>
            <w:rStyle w:val="Hyperlink"/>
          </w:rPr>
          <w:t xml:space="preserve">10.1186/gb-2012-13-1-r5</w:t>
        </w:r>
      </w:hyperlink>
      <w:r>
        <w:t xml:space="preserve">.</w:t>
      </w:r>
    </w:p>
    <w:bookmarkEnd w:id="313"/>
    <w:bookmarkStart w:id="315" w:name="ref-XbjdiPPQ"/>
    <w:p>
      <w:pPr>
        <w:pStyle w:val="Bibliography"/>
      </w:pPr>
      <w:r>
        <w:t xml:space="preserve">25.</w:t>
      </w:r>
      <w:r>
        <w:t xml:space="preserve"> </w:t>
      </w:r>
      <w:r>
        <w:t xml:space="preserve">	</w:t>
      </w:r>
      <w:r>
        <w:t xml:space="preserve">EMBL-EBI. Ontology Lookup Service (OLS) - UBERON.</w:t>
      </w:r>
      <w:r>
        <w:t xml:space="preserve"> </w:t>
      </w:r>
      <w:hyperlink r:id="rId314">
        <w:r>
          <w:rPr>
            <w:rStyle w:val="Hyperlink"/>
          </w:rPr>
          <w:t xml:space="preserve">https://www.ebi.ac.uk/ols4/ontologies/uberon</w:t>
        </w:r>
      </w:hyperlink>
      <w:r>
        <w:t xml:space="preserve">.</w:t>
      </w:r>
    </w:p>
    <w:bookmarkEnd w:id="315"/>
    <w:bookmarkStart w:id="317" w:name="ref-9Hno2ty7"/>
    <w:p>
      <w:pPr>
        <w:pStyle w:val="Bibliography"/>
      </w:pPr>
      <w:r>
        <w:t xml:space="preserve">26.</w:t>
      </w:r>
      <w:r>
        <w:t xml:space="preserve"> </w:t>
      </w:r>
      <w:r>
        <w:t xml:space="preserve">	</w:t>
      </w:r>
      <w:r>
        <w:t xml:space="preserve">Morales, J., Welter, D., Bowler, E.H., Cerezo, M., Harris, L.W., McMahon, A.C., Hall, P., Junkins, H.A., Milano, A., Hastings, E., et al. (2018). A standardized framework for representation of ancestry data in genomics studies, with application to the NHGRI-EBI GWAS Catalog. Genome Biol</w:t>
      </w:r>
      <w:r>
        <w:t xml:space="preserve"> </w:t>
      </w:r>
      <w:r>
        <w:rPr>
          <w:iCs/>
          <w:i/>
        </w:rPr>
        <w:t xml:space="preserve">19</w:t>
      </w:r>
      <w:r>
        <w:t xml:space="preserve">, 21.</w:t>
      </w:r>
      <w:r>
        <w:t xml:space="preserve"> </w:t>
      </w:r>
      <w:hyperlink r:id="rId316">
        <w:r>
          <w:rPr>
            <w:rStyle w:val="Hyperlink"/>
          </w:rPr>
          <w:t xml:space="preserve">10.1186/s13059-018-1396-2</w:t>
        </w:r>
      </w:hyperlink>
      <w:r>
        <w:t xml:space="preserve">.</w:t>
      </w:r>
    </w:p>
    <w:bookmarkEnd w:id="317"/>
    <w:bookmarkStart w:id="319" w:name="ref-Opr5odMH"/>
    <w:p>
      <w:pPr>
        <w:pStyle w:val="Bibliography"/>
      </w:pPr>
      <w:r>
        <w:t xml:space="preserve">27.</w:t>
      </w:r>
      <w:r>
        <w:t xml:space="preserve"> </w:t>
      </w:r>
      <w:r>
        <w:t xml:space="preserve">	</w:t>
      </w:r>
      <w:r>
        <w:t xml:space="preserve">EMBL-EBI. Ontology Lookup Service (OLS) - Hancestro.</w:t>
      </w:r>
      <w:r>
        <w:t xml:space="preserve"> </w:t>
      </w:r>
      <w:hyperlink r:id="rId318">
        <w:r>
          <w:rPr>
            <w:rStyle w:val="Hyperlink"/>
          </w:rPr>
          <w:t xml:space="preserve">https://www.ebi.ac.uk/ols4/ontologies/hancestro</w:t>
        </w:r>
      </w:hyperlink>
      <w:r>
        <w:t xml:space="preserve">.</w:t>
      </w:r>
    </w:p>
    <w:bookmarkEnd w:id="319"/>
    <w:bookmarkStart w:id="321" w:name="ref-9F0oWAO0"/>
    <w:p>
      <w:pPr>
        <w:pStyle w:val="Bibliography"/>
      </w:pPr>
      <w:r>
        <w:t xml:space="preserve">28.</w:t>
      </w:r>
      <w:r>
        <w:t xml:space="preserve"> </w:t>
      </w:r>
      <w:r>
        <w:t xml:space="preserve">	</w:t>
      </w:r>
      <w:r>
        <w:t xml:space="preserve">Patel, A.G., Chen, X., Huang, X., Clay, M.R., Komarova, N.L., Krasin, M.J., Pappo, A., Tillman, H., Orr, B.A., McEvoy, J., et al. (2022). The myogenesis program drives clonal selection and drug resistance in rhabdomyosarcoma. Developmental Cell</w:t>
      </w:r>
      <w:r>
        <w:t xml:space="preserve"> </w:t>
      </w:r>
      <w:r>
        <w:rPr>
          <w:iCs/>
          <w:i/>
        </w:rPr>
        <w:t xml:space="preserve">57</w:t>
      </w:r>
      <w:r>
        <w:t xml:space="preserve">, 1226–1240.e8.</w:t>
      </w:r>
      <w:r>
        <w:t xml:space="preserve"> </w:t>
      </w:r>
      <w:hyperlink r:id="rId320">
        <w:r>
          <w:rPr>
            <w:rStyle w:val="Hyperlink"/>
          </w:rPr>
          <w:t xml:space="preserve">10.1016/j.devcel.2022.04.003</w:t>
        </w:r>
      </w:hyperlink>
      <w:r>
        <w:t xml:space="preserve">.</w:t>
      </w:r>
    </w:p>
    <w:bookmarkEnd w:id="321"/>
    <w:bookmarkStart w:id="323" w:name="ref-EXJ6qSgZ"/>
    <w:p>
      <w:pPr>
        <w:pStyle w:val="Bibliography"/>
      </w:pPr>
      <w:r>
        <w:t xml:space="preserve">29.</w:t>
      </w:r>
      <w:r>
        <w:t xml:space="preserve"> </w:t>
      </w:r>
      <w:r>
        <w:t xml:space="preserve">	</w:t>
      </w:r>
      <w:r>
        <w:t xml:space="preserve">Lee, M.K., Azizgolshani, N., Shapiro, J.A., Nguyen, L.N., Kolling, F.W., Zanazzi, G.J., Frost, H.R., and Christensen, B.C. (2024). Identifying tumor type and cell type-specific gene expression alterations in pediatric central nervous system tumors. Nat Commun</w:t>
      </w:r>
      <w:r>
        <w:t xml:space="preserve"> </w:t>
      </w:r>
      <w:r>
        <w:rPr>
          <w:iCs/>
          <w:i/>
        </w:rPr>
        <w:t xml:space="preserve">15</w:t>
      </w:r>
      <w:r>
        <w:t xml:space="preserve">, 3634.</w:t>
      </w:r>
      <w:r>
        <w:t xml:space="preserve"> </w:t>
      </w:r>
      <w:hyperlink r:id="rId322">
        <w:r>
          <w:rPr>
            <w:rStyle w:val="Hyperlink"/>
          </w:rPr>
          <w:t xml:space="preserve">10.1038/s41467-024-47712-8</w:t>
        </w:r>
      </w:hyperlink>
      <w:r>
        <w:t xml:space="preserve">.</w:t>
      </w:r>
    </w:p>
    <w:bookmarkEnd w:id="323"/>
    <w:bookmarkStart w:id="325" w:name="ref-B0zElSZ9"/>
    <w:p>
      <w:pPr>
        <w:pStyle w:val="Bibliography"/>
      </w:pPr>
      <w:r>
        <w:t xml:space="preserve">30.</w:t>
      </w:r>
      <w:r>
        <w:t xml:space="preserve"> </w:t>
      </w:r>
      <w:r>
        <w:t xml:space="preserve">	</w:t>
      </w:r>
      <w:r>
        <w:t xml:space="preserve">Lee, M.K., Azizgolshani, N., Zhang, Z., Perreard, L., Kolling, F.W., Nguyen, L.N., Zanazzi, G.J., Salas, L.A., and Christensen, B.C. (2024). Associations in cell type-specific hydroxymethylation and transcriptional alterations of pediatric central nervous system tumors. Nat Commun</w:t>
      </w:r>
      <w:r>
        <w:t xml:space="preserve"> </w:t>
      </w:r>
      <w:r>
        <w:rPr>
          <w:iCs/>
          <w:i/>
        </w:rPr>
        <w:t xml:space="preserve">15</w:t>
      </w:r>
      <w:r>
        <w:t xml:space="preserve">, 3635.</w:t>
      </w:r>
      <w:r>
        <w:t xml:space="preserve"> </w:t>
      </w:r>
      <w:hyperlink r:id="rId324">
        <w:r>
          <w:rPr>
            <w:rStyle w:val="Hyperlink"/>
          </w:rPr>
          <w:t xml:space="preserve">10.1038/s41467-024-47943-9</w:t>
        </w:r>
      </w:hyperlink>
      <w:r>
        <w:t xml:space="preserve">.</w:t>
      </w:r>
    </w:p>
    <w:bookmarkEnd w:id="325"/>
    <w:bookmarkStart w:id="327" w:name="ref-sgFUrpYG"/>
    <w:p>
      <w:pPr>
        <w:pStyle w:val="Bibliography"/>
      </w:pPr>
      <w:r>
        <w:t xml:space="preserve">31.</w:t>
      </w:r>
      <w:r>
        <w:t xml:space="preserve"> </w:t>
      </w:r>
      <w:r>
        <w:t xml:space="preserve">	</w:t>
      </w:r>
      <w:r>
        <w:t xml:space="preserve">Stewart, E., Federico, S.M., Chen, X., Shelat, A.A., Bradley, C., Gordon, B., Karlstrom, A., Twarog, N.R., Clay, M.R., Bahrami, A., et al. (2017). Orthotopic patient-derived xenografts of paediatric solid tumours. Nature</w:t>
      </w:r>
      <w:r>
        <w:t xml:space="preserve"> </w:t>
      </w:r>
      <w:r>
        <w:rPr>
          <w:iCs/>
          <w:i/>
        </w:rPr>
        <w:t xml:space="preserve">549</w:t>
      </w:r>
      <w:r>
        <w:t xml:space="preserve">, 96–100.</w:t>
      </w:r>
      <w:r>
        <w:t xml:space="preserve"> </w:t>
      </w:r>
      <w:hyperlink r:id="rId326">
        <w:r>
          <w:rPr>
            <w:rStyle w:val="Hyperlink"/>
          </w:rPr>
          <w:t xml:space="preserve">10.1038/nature23647</w:t>
        </w:r>
      </w:hyperlink>
      <w:r>
        <w:t xml:space="preserve">.</w:t>
      </w:r>
    </w:p>
    <w:bookmarkEnd w:id="327"/>
    <w:bookmarkStart w:id="329" w:name="ref-PJ7Veojz"/>
    <w:p>
      <w:pPr>
        <w:pStyle w:val="Bibliography"/>
      </w:pPr>
      <w:r>
        <w:t xml:space="preserve">32.</w:t>
      </w:r>
      <w:r>
        <w:t xml:space="preserve"> </w:t>
      </w:r>
      <w:r>
        <w:t xml:space="preserve">	</w:t>
      </w:r>
      <w:r>
        <w:t xml:space="preserve">Norrie, J.L., Nityanandam, A., Lai, K., Chen, X., Wilson, M., Stewart, E., Griffiths, L., Jin, H., Wu, G., Orr, B., et al. (2021). Retinoblastoma from human stem cell-derived retinal organoids. Nat Commun</w:t>
      </w:r>
      <w:r>
        <w:t xml:space="preserve"> </w:t>
      </w:r>
      <w:r>
        <w:rPr>
          <w:iCs/>
          <w:i/>
        </w:rPr>
        <w:t xml:space="preserve">12</w:t>
      </w:r>
      <w:r>
        <w:t xml:space="preserve">, 4535.</w:t>
      </w:r>
      <w:r>
        <w:t xml:space="preserve"> </w:t>
      </w:r>
      <w:hyperlink r:id="rId328">
        <w:r>
          <w:rPr>
            <w:rStyle w:val="Hyperlink"/>
          </w:rPr>
          <w:t xml:space="preserve">10.1038/s41467-021-24781-7</w:t>
        </w:r>
      </w:hyperlink>
      <w:r>
        <w:t xml:space="preserve">.</w:t>
      </w:r>
    </w:p>
    <w:bookmarkEnd w:id="329"/>
    <w:bookmarkStart w:id="331" w:name="ref-U3XexzPk"/>
    <w:p>
      <w:pPr>
        <w:pStyle w:val="Bibliography"/>
      </w:pPr>
      <w:r>
        <w:t xml:space="preserve">33.</w:t>
      </w:r>
      <w:r>
        <w:t xml:space="preserve"> </w:t>
      </w:r>
      <w:r>
        <w:t xml:space="preserve">	</w:t>
      </w:r>
      <w:r>
        <w:t xml:space="preserve">DeSisto, J., Donson, A.M., Griesinger, A.M., Fu, R., Riemondy, K., Mulcahy Levy, J., Siegenthaler, J.A., Foreman, N.K., Vibhakar, R., and Green, A.L. (2023). Tumor and immune cell types interact to produce heterogeneous phenotypes of pediatric high-grade glioma. Neuro-Oncology</w:t>
      </w:r>
      <w:r>
        <w:t xml:space="preserve"> </w:t>
      </w:r>
      <w:r>
        <w:rPr>
          <w:iCs/>
          <w:i/>
        </w:rPr>
        <w:t xml:space="preserve">26</w:t>
      </w:r>
      <w:r>
        <w:t xml:space="preserve">, 538–552.</w:t>
      </w:r>
      <w:r>
        <w:t xml:space="preserve"> </w:t>
      </w:r>
      <w:hyperlink r:id="rId330">
        <w:r>
          <w:rPr>
            <w:rStyle w:val="Hyperlink"/>
          </w:rPr>
          <w:t xml:space="preserve">10.1093/neuonc/noad207</w:t>
        </w:r>
      </w:hyperlink>
      <w:r>
        <w:t xml:space="preserve">.</w:t>
      </w:r>
    </w:p>
    <w:bookmarkEnd w:id="331"/>
    <w:bookmarkStart w:id="333" w:name="ref-x1qN3oWm"/>
    <w:p>
      <w:pPr>
        <w:pStyle w:val="Bibliography"/>
      </w:pPr>
      <w:r>
        <w:t xml:space="preserve">34.</w:t>
      </w:r>
      <w:r>
        <w:t xml:space="preserve"> </w:t>
      </w:r>
      <w:r>
        <w:t xml:space="preserve">	</w:t>
      </w:r>
      <w:r>
        <w:t xml:space="preserve">Zeng, A.G.X., Iacobucci, I., Shah, S., Mitchell, A., Wong, G., Bansal, S., Chen, D., Gao, Q., Kim, H., Kennedy, J.A., et al. (2025). Single-cell Transcriptional Atlas of Human Hematopoiesis Reveals Genetic and Hierarchy-Based Determinants of Aberrant AML Differentiation. Blood Cancer Discovery</w:t>
      </w:r>
      <w:r>
        <w:t xml:space="preserve"> </w:t>
      </w:r>
      <w:r>
        <w:rPr>
          <w:iCs/>
          <w:i/>
        </w:rPr>
        <w:t xml:space="preserve">6</w:t>
      </w:r>
      <w:r>
        <w:t xml:space="preserve">, 307–324.</w:t>
      </w:r>
      <w:r>
        <w:t xml:space="preserve"> </w:t>
      </w:r>
      <w:hyperlink r:id="rId332">
        <w:r>
          <w:rPr>
            <w:rStyle w:val="Hyperlink"/>
          </w:rPr>
          <w:t xml:space="preserve">10.1158/2643-3230.bcd-24-0342</w:t>
        </w:r>
      </w:hyperlink>
      <w:r>
        <w:t xml:space="preserve">.</w:t>
      </w:r>
    </w:p>
    <w:bookmarkEnd w:id="333"/>
    <w:bookmarkStart w:id="335" w:name="ref-abp5rbw2"/>
    <w:p>
      <w:pPr>
        <w:pStyle w:val="Bibliography"/>
      </w:pPr>
      <w:r>
        <w:t xml:space="preserve">35.</w:t>
      </w:r>
      <w:r>
        <w:t xml:space="preserve"> </w:t>
      </w:r>
      <w:r>
        <w:t xml:space="preserve">	</w:t>
      </w:r>
      <w:r>
        <w:t xml:space="preserve">Stoeckius, M., Hafemeister, C., Stephenson, W., Houck-Loomis, B., Chattopadhyay, P.K., Swerdlow, H., Satija, R., and Smibert, P. (2017). Simultaneous epitope and transcriptome measurement in single cells. Nat Methods</w:t>
      </w:r>
      <w:r>
        <w:t xml:space="preserve"> </w:t>
      </w:r>
      <w:r>
        <w:rPr>
          <w:iCs/>
          <w:i/>
        </w:rPr>
        <w:t xml:space="preserve">14</w:t>
      </w:r>
      <w:r>
        <w:t xml:space="preserve">, 865–868.</w:t>
      </w:r>
      <w:r>
        <w:t xml:space="preserve"> </w:t>
      </w:r>
      <w:hyperlink r:id="rId334">
        <w:r>
          <w:rPr>
            <w:rStyle w:val="Hyperlink"/>
          </w:rPr>
          <w:t xml:space="preserve">10.1038/nmeth.4380</w:t>
        </w:r>
      </w:hyperlink>
      <w:r>
        <w:t xml:space="preserve">.</w:t>
      </w:r>
    </w:p>
    <w:bookmarkEnd w:id="335"/>
    <w:bookmarkStart w:id="337" w:name="ref-FZrs73Vp"/>
    <w:p>
      <w:pPr>
        <w:pStyle w:val="Bibliography"/>
      </w:pPr>
      <w:r>
        <w:t xml:space="preserve">36.</w:t>
      </w:r>
      <w:r>
        <w:t xml:space="preserve"> </w:t>
      </w:r>
      <w:r>
        <w:t xml:space="preserve">	</w:t>
      </w:r>
      <w:r>
        <w:t xml:space="preserve">Stoeckius, M., Zheng, S., Houck-Loomis, B., Hao, S., Yeung, B.Z., Mauck, W.M., III, Smibert, P., and Satija, R. (2018). Cell Hashing with barcoded antibodies enables multiplexing and doublet detection for single cell genomics. Genome Biol</w:t>
      </w:r>
      <w:r>
        <w:t xml:space="preserve"> </w:t>
      </w:r>
      <w:r>
        <w:rPr>
          <w:iCs/>
          <w:i/>
        </w:rPr>
        <w:t xml:space="preserve">19</w:t>
      </w:r>
      <w:r>
        <w:t xml:space="preserve">, 224.</w:t>
      </w:r>
      <w:r>
        <w:t xml:space="preserve"> </w:t>
      </w:r>
      <w:hyperlink r:id="rId336">
        <w:r>
          <w:rPr>
            <w:rStyle w:val="Hyperlink"/>
          </w:rPr>
          <w:t xml:space="preserve">10.1186/s13059-018-1603-1</w:t>
        </w:r>
      </w:hyperlink>
      <w:r>
        <w:t xml:space="preserve">.</w:t>
      </w:r>
    </w:p>
    <w:bookmarkEnd w:id="337"/>
    <w:bookmarkStart w:id="339" w:name="ref-KJZDQL86"/>
    <w:p>
      <w:pPr>
        <w:pStyle w:val="Bibliography"/>
      </w:pPr>
      <w:r>
        <w:t xml:space="preserve">37.</w:t>
      </w:r>
      <w:r>
        <w:t xml:space="preserve"> </w:t>
      </w:r>
      <w:r>
        <w:t xml:space="preserve">	</w:t>
      </w:r>
      <w:r>
        <w:t xml:space="preserve">Mailman, M.D., Feolo, M., Jin, Y., Kimura, M., Tryka, K., Bagoutdinov, R., Hao, L., Kiang, A., Paschall, J., Phan, L., et al. (2007). The NCBI dbGaP database of genotypes and phenotypes. Nat Genet</w:t>
      </w:r>
      <w:r>
        <w:t xml:space="preserve"> </w:t>
      </w:r>
      <w:r>
        <w:rPr>
          <w:iCs/>
          <w:i/>
        </w:rPr>
        <w:t xml:space="preserve">39</w:t>
      </w:r>
      <w:r>
        <w:t xml:space="preserve">, 1181–1186.</w:t>
      </w:r>
      <w:r>
        <w:t xml:space="preserve"> </w:t>
      </w:r>
      <w:hyperlink r:id="rId338">
        <w:r>
          <w:rPr>
            <w:rStyle w:val="Hyperlink"/>
          </w:rPr>
          <w:t xml:space="preserve">10.1038/ng1007-1181</w:t>
        </w:r>
      </w:hyperlink>
      <w:r>
        <w:t xml:space="preserve">.</w:t>
      </w:r>
    </w:p>
    <w:bookmarkEnd w:id="339"/>
    <w:bookmarkStart w:id="341" w:name="ref-rimDkf3e"/>
    <w:p>
      <w:pPr>
        <w:pStyle w:val="Bibliography"/>
      </w:pPr>
      <w:r>
        <w:t xml:space="preserve">38.</w:t>
      </w:r>
      <w:r>
        <w:t xml:space="preserve"> </w:t>
      </w:r>
      <w:r>
        <w:t xml:space="preserve">	</w:t>
      </w:r>
      <w:r>
        <w:t xml:space="preserve">Tryka, K.A., Hao, L., Sturcke, A., Jin, Y., Wang, Z.Y., Ziyabari, L., Lee, M., Popova, N., Sharopova, N., Kimura, M., et al. (2013). NCBI’s Database of Genotypes and Phenotypes: dbGaP. Nucl. Acids Res.</w:t>
      </w:r>
      <w:r>
        <w:t xml:space="preserve"> </w:t>
      </w:r>
      <w:r>
        <w:rPr>
          <w:iCs/>
          <w:i/>
        </w:rPr>
        <w:t xml:space="preserve">42</w:t>
      </w:r>
      <w:r>
        <w:t xml:space="preserve">, D975–D979.</w:t>
      </w:r>
      <w:r>
        <w:t xml:space="preserve"> </w:t>
      </w:r>
      <w:hyperlink r:id="rId340">
        <w:r>
          <w:rPr>
            <w:rStyle w:val="Hyperlink"/>
          </w:rPr>
          <w:t xml:space="preserve">10.1093/nar/gkt1211</w:t>
        </w:r>
      </w:hyperlink>
      <w:r>
        <w:t xml:space="preserve">.</w:t>
      </w:r>
    </w:p>
    <w:bookmarkEnd w:id="341"/>
    <w:bookmarkStart w:id="343" w:name="ref-xCP3BjTw"/>
    <w:p>
      <w:pPr>
        <w:pStyle w:val="Bibliography"/>
      </w:pPr>
      <w:r>
        <w:t xml:space="preserve">39.</w:t>
      </w:r>
      <w:r>
        <w:t xml:space="preserve"> </w:t>
      </w:r>
      <w:r>
        <w:t xml:space="preserve">	</w:t>
      </w:r>
      <w:r>
        <w:t xml:space="preserve">Speir, M.L., Bhaduri, A., Markov, N.S., Moreno, P., Nowakowski, T.J., Papatheodorou, I., Pollen, A.A., Raney, B.J., Seninge, L., Kent, W.J., et al. (2021). UCSC Cell Browser: visualize your single-cell data. Bioinformatics</w:t>
      </w:r>
      <w:r>
        <w:t xml:space="preserve"> </w:t>
      </w:r>
      <w:r>
        <w:rPr>
          <w:iCs/>
          <w:i/>
        </w:rPr>
        <w:t xml:space="preserve">37</w:t>
      </w:r>
      <w:r>
        <w:t xml:space="preserve">, 4578–4580.</w:t>
      </w:r>
      <w:r>
        <w:t xml:space="preserve"> </w:t>
      </w:r>
      <w:hyperlink r:id="rId342">
        <w:r>
          <w:rPr>
            <w:rStyle w:val="Hyperlink"/>
          </w:rPr>
          <w:t xml:space="preserve">10.1093/bioinformatics/btab503</w:t>
        </w:r>
      </w:hyperlink>
      <w:r>
        <w:t xml:space="preserve">.</w:t>
      </w:r>
    </w:p>
    <w:bookmarkEnd w:id="343"/>
    <w:bookmarkStart w:id="345" w:name="ref-PEJE3BAs"/>
    <w:p>
      <w:pPr>
        <w:pStyle w:val="Bibliography"/>
      </w:pPr>
      <w:r>
        <w:t xml:space="preserve">40.</w:t>
      </w:r>
      <w:r>
        <w:t xml:space="preserve"> </w:t>
      </w:r>
      <w:r>
        <w:t xml:space="preserve">	</w:t>
      </w:r>
      <w:r>
        <w:t xml:space="preserve">Langer, B.E., Amaral, A., Baudement, M.-O., Bonath, F., Charles, M., Chitneedi, P.K., Clark, E.L., Di Tommaso, P., Djebali, S., Ewels, P.A., et al. (2025). Empowering bioinformatics communities with Nextflow and nf-core. Genome Biol</w:t>
      </w:r>
      <w:r>
        <w:t xml:space="preserve"> </w:t>
      </w:r>
      <w:r>
        <w:rPr>
          <w:iCs/>
          <w:i/>
        </w:rPr>
        <w:t xml:space="preserve">26</w:t>
      </w:r>
      <w:r>
        <w:t xml:space="preserve">, 228.</w:t>
      </w:r>
      <w:r>
        <w:t xml:space="preserve"> </w:t>
      </w:r>
      <w:hyperlink r:id="rId344">
        <w:r>
          <w:rPr>
            <w:rStyle w:val="Hyperlink"/>
          </w:rPr>
          <w:t xml:space="preserve">10.1186/s13059-025-03673-9</w:t>
        </w:r>
      </w:hyperlink>
      <w:r>
        <w:t xml:space="preserve">.</w:t>
      </w:r>
    </w:p>
    <w:bookmarkEnd w:id="345"/>
    <w:bookmarkStart w:id="347" w:name="ref-1CuNC7bWt"/>
    <w:p>
      <w:pPr>
        <w:pStyle w:val="Bibliography"/>
      </w:pPr>
      <w:r>
        <w:t xml:space="preserve">41.</w:t>
      </w:r>
      <w:r>
        <w:t xml:space="preserve"> </w:t>
      </w:r>
      <w:r>
        <w:t xml:space="preserve">	</w:t>
      </w:r>
      <w:r>
        <w:t xml:space="preserve">Zheng, G.X.Y., Terry, J.M., Belgrader, P., Ryvkin, P., Bent, Z.W., Wilson, R., Ziraldo, S.B., Wheeler, T.D., McDermott, G.P., Zhu, J., et al. (2017). Massively parallel digital transcriptional profiling of single cells. Nat Commun</w:t>
      </w:r>
      <w:r>
        <w:t xml:space="preserve"> </w:t>
      </w:r>
      <w:r>
        <w:rPr>
          <w:iCs/>
          <w:i/>
        </w:rPr>
        <w:t xml:space="preserve">8</w:t>
      </w:r>
      <w:r>
        <w:t xml:space="preserve">, 14049.</w:t>
      </w:r>
      <w:r>
        <w:t xml:space="preserve"> </w:t>
      </w:r>
      <w:hyperlink r:id="rId346">
        <w:r>
          <w:rPr>
            <w:rStyle w:val="Hyperlink"/>
          </w:rPr>
          <w:t xml:space="preserve">10.1038/ncomms14049</w:t>
        </w:r>
      </w:hyperlink>
      <w:r>
        <w:t xml:space="preserve">.</w:t>
      </w:r>
    </w:p>
    <w:bookmarkEnd w:id="347"/>
    <w:bookmarkStart w:id="349" w:name="ref-87PPOPmp"/>
    <w:p>
      <w:pPr>
        <w:pStyle w:val="Bibliography"/>
      </w:pPr>
      <w:r>
        <w:t xml:space="preserve">42.</w:t>
      </w:r>
      <w:r>
        <w:t xml:space="preserve"> </w:t>
      </w:r>
      <w:r>
        <w:t xml:space="preserve">	</w:t>
      </w:r>
      <w:r>
        <w:t xml:space="preserve">10x Genomics. Cell Ranger.</w:t>
      </w:r>
      <w:r>
        <w:t xml:space="preserve"> </w:t>
      </w:r>
      <w:hyperlink r:id="rId348">
        <w:r>
          <w:rPr>
            <w:rStyle w:val="Hyperlink"/>
          </w:rPr>
          <w:t xml:space="preserve">https://www.10xgenomics.com/support/software/cell-ranger/latest</w:t>
        </w:r>
      </w:hyperlink>
      <w:r>
        <w:t xml:space="preserve">.</w:t>
      </w:r>
    </w:p>
    <w:bookmarkEnd w:id="349"/>
    <w:bookmarkStart w:id="351" w:name="ref-1CtyX4PBc"/>
    <w:p>
      <w:pPr>
        <w:pStyle w:val="Bibliography"/>
      </w:pPr>
      <w:r>
        <w:t xml:space="preserve">43.</w:t>
      </w:r>
      <w:r>
        <w:t xml:space="preserve"> </w:t>
      </w:r>
      <w:r>
        <w:t xml:space="preserve">	</w:t>
      </w:r>
      <w:r>
        <w:t xml:space="preserve">Gentleman, R.C., Carey, V.J., Bates, D.M., Bolstad, B., Dettling, M., Dudoit, S., Ellis, B., Gautier, L., Ge, Y., Gentry, J., et al. (2004). Bioconductor: open software development for computational biology and bioinformatics. Genome Biol</w:t>
      </w:r>
      <w:r>
        <w:t xml:space="preserve"> </w:t>
      </w:r>
      <w:r>
        <w:rPr>
          <w:iCs/>
          <w:i/>
        </w:rPr>
        <w:t xml:space="preserve">5</w:t>
      </w:r>
      <w:r>
        <w:t xml:space="preserve">, R80.</w:t>
      </w:r>
      <w:r>
        <w:t xml:space="preserve"> </w:t>
      </w:r>
      <w:hyperlink r:id="rId350">
        <w:r>
          <w:rPr>
            <w:rStyle w:val="Hyperlink"/>
          </w:rPr>
          <w:t xml:space="preserve">10.1186/gb-2004-5-10-r80</w:t>
        </w:r>
      </w:hyperlink>
      <w:r>
        <w:t xml:space="preserve">.</w:t>
      </w:r>
    </w:p>
    <w:bookmarkEnd w:id="351"/>
    <w:bookmarkStart w:id="353" w:name="ref-55ZXlEbt"/>
    <w:p>
      <w:pPr>
        <w:pStyle w:val="Bibliography"/>
      </w:pPr>
      <w:r>
        <w:t xml:space="preserve">44.</w:t>
      </w:r>
      <w:r>
        <w:t xml:space="preserve"> </w:t>
      </w:r>
      <w:r>
        <w:t xml:space="preserve">	</w:t>
      </w:r>
      <w:r>
        <w:t xml:space="preserve">Huber, W., Carey, V.J., Gentleman, R., Anders, S., Carlson, M., Carvalho, B.S., Bravo, H.C., Davis, S., Gatto, L., Girke, T., et al. (2015). Orchestrating high-throughput genomic analysis with Bioconductor. Nat Methods</w:t>
      </w:r>
      <w:r>
        <w:t xml:space="preserve"> </w:t>
      </w:r>
      <w:r>
        <w:rPr>
          <w:iCs/>
          <w:i/>
        </w:rPr>
        <w:t xml:space="preserve">12</w:t>
      </w:r>
      <w:r>
        <w:t xml:space="preserve">, 115–121.</w:t>
      </w:r>
      <w:r>
        <w:t xml:space="preserve"> </w:t>
      </w:r>
      <w:hyperlink r:id="rId352">
        <w:r>
          <w:rPr>
            <w:rStyle w:val="Hyperlink"/>
          </w:rPr>
          <w:t xml:space="preserve">10.1038/nmeth.3252</w:t>
        </w:r>
      </w:hyperlink>
      <w:r>
        <w:t xml:space="preserve">.</w:t>
      </w:r>
    </w:p>
    <w:bookmarkEnd w:id="353"/>
    <w:bookmarkStart w:id="355" w:name="ref-U2Fa25dp"/>
    <w:p>
      <w:pPr>
        <w:pStyle w:val="Bibliography"/>
      </w:pPr>
      <w:r>
        <w:t xml:space="preserve">45.</w:t>
      </w:r>
      <w:r>
        <w:t xml:space="preserve"> </w:t>
      </w:r>
      <w:r>
        <w:t xml:space="preserve">	</w:t>
      </w:r>
      <w:r>
        <w:t xml:space="preserve">Lun, A.T.L., Riesenfeld, S., Andrews, T., Dao, T.P., Gomes, T., participants in the 1st Human Cell Atlas Jamboree, and Marioni, J.C. (2019). EmptyDrops: distinguishing cells from empty droplets in droplet-based single-cell RNA sequencing data. Genome Biol</w:t>
      </w:r>
      <w:r>
        <w:t xml:space="preserve"> </w:t>
      </w:r>
      <w:r>
        <w:rPr>
          <w:iCs/>
          <w:i/>
        </w:rPr>
        <w:t xml:space="preserve">20</w:t>
      </w:r>
      <w:r>
        <w:t xml:space="preserve">, 63.</w:t>
      </w:r>
      <w:r>
        <w:t xml:space="preserve"> </w:t>
      </w:r>
      <w:hyperlink r:id="rId354">
        <w:r>
          <w:rPr>
            <w:rStyle w:val="Hyperlink"/>
          </w:rPr>
          <w:t xml:space="preserve">10.1186/s13059-019-1662-y</w:t>
        </w:r>
      </w:hyperlink>
      <w:r>
        <w:t xml:space="preserve">.</w:t>
      </w:r>
    </w:p>
    <w:bookmarkEnd w:id="355"/>
    <w:bookmarkStart w:id="357" w:name="ref-JB6KjogY"/>
    <w:p>
      <w:pPr>
        <w:pStyle w:val="Bibliography"/>
      </w:pPr>
      <w:r>
        <w:t xml:space="preserve">46.</w:t>
      </w:r>
      <w:r>
        <w:t xml:space="preserve"> </w:t>
      </w:r>
      <w:r>
        <w:t xml:space="preserve">	</w:t>
      </w:r>
      <w:r>
        <w:t xml:space="preserve">Griffiths, J.A., Richard, A.C., Bach, K., Lun, A.T.L., and Marioni, J.C. (2018). Detection and removal of barcode swapping in single-cell RNA-seq data. Nat Commun</w:t>
      </w:r>
      <w:r>
        <w:t xml:space="preserve"> </w:t>
      </w:r>
      <w:r>
        <w:rPr>
          <w:iCs/>
          <w:i/>
        </w:rPr>
        <w:t xml:space="preserve">9</w:t>
      </w:r>
      <w:r>
        <w:t xml:space="preserve">, 2667.</w:t>
      </w:r>
      <w:r>
        <w:t xml:space="preserve"> </w:t>
      </w:r>
      <w:hyperlink r:id="rId356">
        <w:r>
          <w:rPr>
            <w:rStyle w:val="Hyperlink"/>
          </w:rPr>
          <w:t xml:space="preserve">10.1038/s41467-018-05083-x</w:t>
        </w:r>
      </w:hyperlink>
      <w:r>
        <w:t xml:space="preserve">.</w:t>
      </w:r>
    </w:p>
    <w:bookmarkEnd w:id="357"/>
    <w:bookmarkStart w:id="359" w:name="ref-17Yhk1HAt"/>
    <w:p>
      <w:pPr>
        <w:pStyle w:val="Bibliography"/>
      </w:pPr>
      <w:r>
        <w:t xml:space="preserve">47.</w:t>
      </w:r>
      <w:r>
        <w:t xml:space="preserve"> </w:t>
      </w:r>
      <w:r>
        <w:t xml:space="preserve">	</w:t>
      </w:r>
      <w:r>
        <w:t xml:space="preserve">Hippen, A.A., Falco, M.M., Weber, L.M., Erkan, E.P., Zhang, K., Doherty, J.A., Vähärautio, A., Greene, C.S., and Hicks, S.C. (2021). miQC: An adaptive probabilistic framework for quality control of single-cell RNA-sequencing data. PLoS Comput Biol</w:t>
      </w:r>
      <w:r>
        <w:t xml:space="preserve"> </w:t>
      </w:r>
      <w:r>
        <w:rPr>
          <w:iCs/>
          <w:i/>
        </w:rPr>
        <w:t xml:space="preserve">17</w:t>
      </w:r>
      <w:r>
        <w:t xml:space="preserve">, e1009290.</w:t>
      </w:r>
      <w:r>
        <w:t xml:space="preserve"> </w:t>
      </w:r>
      <w:hyperlink r:id="rId358">
        <w:r>
          <w:rPr>
            <w:rStyle w:val="Hyperlink"/>
          </w:rPr>
          <w:t xml:space="preserve">10.1371/journal.pcbi.1009290</w:t>
        </w:r>
      </w:hyperlink>
      <w:r>
        <w:t xml:space="preserve">.</w:t>
      </w:r>
    </w:p>
    <w:bookmarkEnd w:id="359"/>
    <w:bookmarkStart w:id="361" w:name="ref-vpU0FTFY"/>
    <w:p>
      <w:pPr>
        <w:pStyle w:val="Bibliography"/>
      </w:pPr>
      <w:r>
        <w:t xml:space="preserve">48.</w:t>
      </w:r>
      <w:r>
        <w:t xml:space="preserve"> </w:t>
      </w:r>
      <w:r>
        <w:t xml:space="preserve">	</w:t>
      </w:r>
      <w:r>
        <w:t xml:space="preserve">Lun, A.T.L., Bach, K., and Marioni, J.C. (2016). Pooling across cells to normalize single-cell RNA sequencing data with many zero counts. Genome Biol</w:t>
      </w:r>
      <w:r>
        <w:t xml:space="preserve"> </w:t>
      </w:r>
      <w:r>
        <w:rPr>
          <w:iCs/>
          <w:i/>
        </w:rPr>
        <w:t xml:space="preserve">17</w:t>
      </w:r>
      <w:r>
        <w:t xml:space="preserve">, 75.</w:t>
      </w:r>
      <w:r>
        <w:t xml:space="preserve"> </w:t>
      </w:r>
      <w:hyperlink r:id="rId360">
        <w:r>
          <w:rPr>
            <w:rStyle w:val="Hyperlink"/>
          </w:rPr>
          <w:t xml:space="preserve">10.1186/s13059-016-0947-7</w:t>
        </w:r>
      </w:hyperlink>
      <w:r>
        <w:t xml:space="preserve">.</w:t>
      </w:r>
    </w:p>
    <w:bookmarkEnd w:id="361"/>
    <w:bookmarkStart w:id="363" w:name="ref-14mY2pXKf"/>
    <w:p>
      <w:pPr>
        <w:pStyle w:val="Bibliography"/>
      </w:pPr>
      <w:r>
        <w:t xml:space="preserve">49.</w:t>
      </w:r>
      <w:r>
        <w:t xml:space="preserve"> </w:t>
      </w:r>
      <w:r>
        <w:t xml:space="preserve">	</w:t>
      </w:r>
      <w:r>
        <w:t xml:space="preserve">McInnes, L., Healy, J., and Melville, J. (2018). UMAP: Uniform Manifold Approximation and Projection for Dimension Reduction. Preprint at arXiv.</w:t>
      </w:r>
      <w:r>
        <w:t xml:space="preserve"> </w:t>
      </w:r>
      <w:hyperlink r:id="rId362">
        <w:r>
          <w:rPr>
            <w:rStyle w:val="Hyperlink"/>
          </w:rPr>
          <w:t xml:space="preserve">10.48550/arXiv.1802.03426</w:t>
        </w:r>
      </w:hyperlink>
      <w:r>
        <w:t xml:space="preserve">.</w:t>
      </w:r>
    </w:p>
    <w:bookmarkEnd w:id="363"/>
    <w:bookmarkStart w:id="365" w:name="ref-13P6oSrS0"/>
    <w:p>
      <w:pPr>
        <w:pStyle w:val="Bibliography"/>
      </w:pPr>
      <w:r>
        <w:t xml:space="preserve">50.</w:t>
      </w:r>
      <w:r>
        <w:t xml:space="preserve"> </w:t>
      </w:r>
      <w:r>
        <w:t xml:space="preserve">	</w:t>
      </w:r>
      <w:r>
        <w:t xml:space="preserve">Aran, D., Looney, A.P., Liu, L., Wu, E., Fong, V., Hsu, A., Chak, S., Naikawadi, R.P., Wolters, P.J., Abate, A.R., et al. (2019). Reference-based analysis of lung single-cell sequencing reveals a transitional profibrotic macrophage. Nat Immunol</w:t>
      </w:r>
      <w:r>
        <w:t xml:space="preserve"> </w:t>
      </w:r>
      <w:r>
        <w:rPr>
          <w:iCs/>
          <w:i/>
        </w:rPr>
        <w:t xml:space="preserve">20</w:t>
      </w:r>
      <w:r>
        <w:t xml:space="preserve">, 163–172.</w:t>
      </w:r>
      <w:r>
        <w:t xml:space="preserve"> </w:t>
      </w:r>
      <w:hyperlink r:id="rId364">
        <w:r>
          <w:rPr>
            <w:rStyle w:val="Hyperlink"/>
          </w:rPr>
          <w:t xml:space="preserve">10.1038/s41590-018-0276-y</w:t>
        </w:r>
      </w:hyperlink>
      <w:r>
        <w:t xml:space="preserve">.</w:t>
      </w:r>
    </w:p>
    <w:bookmarkEnd w:id="365"/>
    <w:bookmarkStart w:id="367" w:name="ref-HES0WO6k"/>
    <w:p>
      <w:pPr>
        <w:pStyle w:val="Bibliography"/>
      </w:pPr>
      <w:r>
        <w:t xml:space="preserve">51.</w:t>
      </w:r>
      <w:r>
        <w:t xml:space="preserve"> </w:t>
      </w:r>
      <w:r>
        <w:t xml:space="preserve">	</w:t>
      </w:r>
      <w:r>
        <w:t xml:space="preserve">Zhang, A.W., O’Flanagan, C., Chavez, E.A., Lim, J.L.P., Ceglia, N., McPherson, A., Wiens, M., Walters, P., Chan, T., Hewitson, B., et al. (2019). Probabilistic cell-type assignment of single-cell RNA-seq for tumor microenvironment profiling. Nat Methods</w:t>
      </w:r>
      <w:r>
        <w:t xml:space="preserve"> </w:t>
      </w:r>
      <w:r>
        <w:rPr>
          <w:iCs/>
          <w:i/>
        </w:rPr>
        <w:t xml:space="preserve">16</w:t>
      </w:r>
      <w:r>
        <w:t xml:space="preserve">, 1007–1015.</w:t>
      </w:r>
      <w:r>
        <w:t xml:space="preserve"> </w:t>
      </w:r>
      <w:hyperlink r:id="rId366">
        <w:r>
          <w:rPr>
            <w:rStyle w:val="Hyperlink"/>
          </w:rPr>
          <w:t xml:space="preserve">10.1038/s41592-019-0529-1</w:t>
        </w:r>
      </w:hyperlink>
      <w:r>
        <w:t xml:space="preserve">.</w:t>
      </w:r>
    </w:p>
    <w:bookmarkEnd w:id="367"/>
    <w:bookmarkStart w:id="369" w:name="ref-Q9CUgaL0"/>
    <w:p>
      <w:pPr>
        <w:pStyle w:val="Bibliography"/>
      </w:pPr>
      <w:r>
        <w:t xml:space="preserve">52.</w:t>
      </w:r>
      <w:r>
        <w:t xml:space="preserve"> </w:t>
      </w:r>
      <w:r>
        <w:t xml:space="preserve">	</w:t>
      </w:r>
      <w:r>
        <w:t xml:space="preserve">Heimberg, G., Kuo, T., DePianto, D.J., Salem, O., Heigl, T., Diamant, N., Scalia, G., Biancalani, T., Turley, S.J., Rock, J.R., et al. (2024). A cell atlas foundation model for scalable search of similar human cells. Nature</w:t>
      </w:r>
      <w:r>
        <w:t xml:space="preserve"> </w:t>
      </w:r>
      <w:r>
        <w:rPr>
          <w:iCs/>
          <w:i/>
        </w:rPr>
        <w:t xml:space="preserve">638</w:t>
      </w:r>
      <w:r>
        <w:t xml:space="preserve">, 1085–1094.</w:t>
      </w:r>
      <w:r>
        <w:t xml:space="preserve"> </w:t>
      </w:r>
      <w:hyperlink r:id="rId368">
        <w:r>
          <w:rPr>
            <w:rStyle w:val="Hyperlink"/>
          </w:rPr>
          <w:t xml:space="preserve">10.1038/s41586-024-08411-y</w:t>
        </w:r>
      </w:hyperlink>
      <w:r>
        <w:t xml:space="preserve">.</w:t>
      </w:r>
    </w:p>
    <w:bookmarkEnd w:id="369"/>
    <w:bookmarkStart w:id="371" w:name="ref-b9hQbZOR"/>
    <w:p>
      <w:pPr>
        <w:pStyle w:val="Bibliography"/>
      </w:pPr>
      <w:r>
        <w:t xml:space="preserve">53.</w:t>
      </w:r>
      <w:r>
        <w:t xml:space="preserve"> </w:t>
      </w:r>
      <w:r>
        <w:t xml:space="preserve">	</w:t>
      </w:r>
      <w:r>
        <w:t xml:space="preserve">Broad Institute. InferCNV: Inferring Copy Number Alterations from Tumor Single Cell RNA-Seq Data.</w:t>
      </w:r>
      <w:r>
        <w:t xml:space="preserve"> </w:t>
      </w:r>
      <w:hyperlink r:id="rId370">
        <w:r>
          <w:rPr>
            <w:rStyle w:val="Hyperlink"/>
          </w:rPr>
          <w:t xml:space="preserve">https://github.com/broadinstitute/inferCNV</w:t>
        </w:r>
      </w:hyperlink>
      <w:r>
        <w:t xml:space="preserve">.</w:t>
      </w:r>
    </w:p>
    <w:bookmarkEnd w:id="371"/>
    <w:bookmarkStart w:id="373" w:name="ref-aTgM0bhI"/>
    <w:p>
      <w:pPr>
        <w:pStyle w:val="Bibliography"/>
      </w:pPr>
      <w:r>
        <w:t xml:space="preserve">54.</w:t>
      </w:r>
      <w:r>
        <w:t xml:space="preserve"> </w:t>
      </w:r>
      <w:r>
        <w:t xml:space="preserve">	</w:t>
      </w:r>
      <w:r>
        <w:t xml:space="preserve">Virshup, I., Rybakov, S., Theis, F.J., Angerer, P., and Wolf, F.A. (2024). anndata: Access and store annotated data</w:t>
      </w:r>
      <w:r>
        <w:t xml:space="preserve"> </w:t>
      </w:r>
      <w:r>
        <w:t xml:space="preserve">matrices. JOSS</w:t>
      </w:r>
      <w:r>
        <w:t xml:space="preserve"> </w:t>
      </w:r>
      <w:r>
        <w:rPr>
          <w:iCs/>
          <w:i/>
        </w:rPr>
        <w:t xml:space="preserve">9</w:t>
      </w:r>
      <w:r>
        <w:t xml:space="preserve">, 4371.</w:t>
      </w:r>
      <w:r>
        <w:t xml:space="preserve"> </w:t>
      </w:r>
      <w:hyperlink r:id="rId372">
        <w:r>
          <w:rPr>
            <w:rStyle w:val="Hyperlink"/>
          </w:rPr>
          <w:t xml:space="preserve">10.21105/joss.04371</w:t>
        </w:r>
      </w:hyperlink>
      <w:r>
        <w:t xml:space="preserve">.</w:t>
      </w:r>
    </w:p>
    <w:bookmarkEnd w:id="373"/>
    <w:bookmarkStart w:id="375" w:name="ref-zLp25QYu"/>
    <w:p>
      <w:pPr>
        <w:pStyle w:val="Bibliography"/>
      </w:pPr>
      <w:r>
        <w:t xml:space="preserve">55.</w:t>
      </w:r>
      <w:r>
        <w:t xml:space="preserve"> </w:t>
      </w:r>
      <w:r>
        <w:t xml:space="preserve">	</w:t>
      </w:r>
      <w:r>
        <w:t xml:space="preserve">Weber, L.M., Hippen, A.A., Hickey, P.F., Berrett, K.C., Gertz, J., Doherty, J.A., Greene, C.S., and Hicks, S.C. (2021). Genetic demultiplexing of pooled single-cell RNA-sequencing samples in cancer facilitates effective experimental design. GigaScience</w:t>
      </w:r>
      <w:r>
        <w:t xml:space="preserve"> </w:t>
      </w:r>
      <w:r>
        <w:rPr>
          <w:iCs/>
          <w:i/>
        </w:rPr>
        <w:t xml:space="preserve">10</w:t>
      </w:r>
      <w:r>
        <w:t xml:space="preserve">, giab062.</w:t>
      </w:r>
      <w:r>
        <w:t xml:space="preserve"> </w:t>
      </w:r>
      <w:hyperlink r:id="rId374">
        <w:r>
          <w:rPr>
            <w:rStyle w:val="Hyperlink"/>
          </w:rPr>
          <w:t xml:space="preserve">10.1093/gigascience/giab062</w:t>
        </w:r>
      </w:hyperlink>
      <w:r>
        <w:t xml:space="preserve">.</w:t>
      </w:r>
    </w:p>
    <w:bookmarkEnd w:id="375"/>
    <w:bookmarkStart w:id="377" w:name="ref-pt9vlq4w"/>
    <w:p>
      <w:pPr>
        <w:pStyle w:val="Bibliography"/>
      </w:pPr>
      <w:r>
        <w:t xml:space="preserve">56.</w:t>
      </w:r>
      <w:r>
        <w:t xml:space="preserve"> </w:t>
      </w:r>
      <w:r>
        <w:t xml:space="preserve">	</w:t>
      </w:r>
      <w:r>
        <w:t xml:space="preserve">Chen, S., Zhou, Y., Chen, Y., and Gu, J. (2018). fastp: an ultra-fast all-in-one FASTQ preprocessor. Bioinformatics</w:t>
      </w:r>
      <w:r>
        <w:t xml:space="preserve"> </w:t>
      </w:r>
      <w:r>
        <w:rPr>
          <w:iCs/>
          <w:i/>
        </w:rPr>
        <w:t xml:space="preserve">34</w:t>
      </w:r>
      <w:r>
        <w:t xml:space="preserve">, i884–i890.</w:t>
      </w:r>
      <w:r>
        <w:t xml:space="preserve"> </w:t>
      </w:r>
      <w:hyperlink r:id="rId376">
        <w:r>
          <w:rPr>
            <w:rStyle w:val="Hyperlink"/>
          </w:rPr>
          <w:t xml:space="preserve">10.1093/bioinformatics/bty560</w:t>
        </w:r>
      </w:hyperlink>
      <w:r>
        <w:t xml:space="preserve">.</w:t>
      </w:r>
    </w:p>
    <w:bookmarkEnd w:id="377"/>
    <w:bookmarkStart w:id="379" w:name="ref-vrqQcFyx"/>
    <w:p>
      <w:pPr>
        <w:pStyle w:val="Bibliography"/>
      </w:pPr>
      <w:r>
        <w:t xml:space="preserve">57.</w:t>
      </w:r>
      <w:r>
        <w:t xml:space="preserve"> </w:t>
      </w:r>
      <w:r>
        <w:t xml:space="preserve">	</w:t>
      </w:r>
      <w:r>
        <w:t xml:space="preserve">Patro, R., Duggal, G., Love, M.I., Irizarry, R.A., and Kingsford, C. (2017). Salmon provides fast and bias-aware quantification of transcript expression. Nat Methods</w:t>
      </w:r>
      <w:r>
        <w:t xml:space="preserve"> </w:t>
      </w:r>
      <w:r>
        <w:rPr>
          <w:iCs/>
          <w:i/>
        </w:rPr>
        <w:t xml:space="preserve">14</w:t>
      </w:r>
      <w:r>
        <w:t xml:space="preserve">, 417–419.</w:t>
      </w:r>
      <w:r>
        <w:t xml:space="preserve"> </w:t>
      </w:r>
      <w:hyperlink r:id="rId378">
        <w:r>
          <w:rPr>
            <w:rStyle w:val="Hyperlink"/>
          </w:rPr>
          <w:t xml:space="preserve">10.1038/nmeth.4197</w:t>
        </w:r>
      </w:hyperlink>
      <w:r>
        <w:t xml:space="preserve">.</w:t>
      </w:r>
    </w:p>
    <w:bookmarkEnd w:id="379"/>
    <w:bookmarkStart w:id="381" w:name="ref-xo912CsO"/>
    <w:p>
      <w:pPr>
        <w:pStyle w:val="Bibliography"/>
      </w:pPr>
      <w:r>
        <w:t xml:space="preserve">58.</w:t>
      </w:r>
      <w:r>
        <w:t xml:space="preserve"> </w:t>
      </w:r>
      <w:r>
        <w:t xml:space="preserve">	</w:t>
      </w:r>
      <w:r>
        <w:t xml:space="preserve">10x Genomics. Space Ranger.</w:t>
      </w:r>
      <w:r>
        <w:t xml:space="preserve"> </w:t>
      </w:r>
      <w:hyperlink r:id="rId380">
        <w:r>
          <w:rPr>
            <w:rStyle w:val="Hyperlink"/>
          </w:rPr>
          <w:t xml:space="preserve">https://www.10xgenomics.com/support/software/space-ranger/latest</w:t>
        </w:r>
      </w:hyperlink>
      <w:r>
        <w:t xml:space="preserve">.</w:t>
      </w:r>
    </w:p>
    <w:bookmarkEnd w:id="381"/>
    <w:bookmarkStart w:id="383" w:name="ref-17U3pGEjv"/>
    <w:p>
      <w:pPr>
        <w:pStyle w:val="Bibliography"/>
      </w:pPr>
      <w:r>
        <w:t xml:space="preserve">59.</w:t>
      </w:r>
      <w:r>
        <w:t xml:space="preserve"> </w:t>
      </w:r>
      <w:r>
        <w:t xml:space="preserve">	</w:t>
      </w:r>
      <w:r>
        <w:t xml:space="preserve">Diehl, A.D., Meehan, T.F., Bradford, Y.M., Brush, M.H., Dahdul, W.M., Dougall, D.S., He, Y., Osumi-Sutherland, D., Ruttenberg, A., Sarntivijai, S., et al. (2016). The Cell Ontology 2016: enhanced content, modularization, and ontology interoperability. J Biomed Semant</w:t>
      </w:r>
      <w:r>
        <w:t xml:space="preserve"> </w:t>
      </w:r>
      <w:r>
        <w:rPr>
          <w:iCs/>
          <w:i/>
        </w:rPr>
        <w:t xml:space="preserve">7</w:t>
      </w:r>
      <w:r>
        <w:t xml:space="preserve">, 44.</w:t>
      </w:r>
      <w:r>
        <w:t xml:space="preserve"> </w:t>
      </w:r>
      <w:hyperlink r:id="rId382">
        <w:r>
          <w:rPr>
            <w:rStyle w:val="Hyperlink"/>
          </w:rPr>
          <w:t xml:space="preserve">10.1186/s13326-016-0088-7</w:t>
        </w:r>
      </w:hyperlink>
      <w:r>
        <w:t xml:space="preserve">.</w:t>
      </w:r>
    </w:p>
    <w:bookmarkEnd w:id="383"/>
    <w:bookmarkStart w:id="385" w:name="ref-gAysgnsS"/>
    <w:p>
      <w:pPr>
        <w:pStyle w:val="Bibliography"/>
      </w:pPr>
      <w:r>
        <w:t xml:space="preserve">60.</w:t>
      </w:r>
      <w:r>
        <w:t xml:space="preserve"> </w:t>
      </w:r>
      <w:r>
        <w:t xml:space="preserve">	</w:t>
      </w:r>
      <w:r>
        <w:t xml:space="preserve">Meehan, T.F., Masci, A.M., Abdulla, A., Cowell, L.G., Blake, J.A., Mungall, C.J., and Diehl, A.D. (2011). Logical Development of the Cell Ontology. BMC Bioinformatics</w:t>
      </w:r>
      <w:r>
        <w:t xml:space="preserve"> </w:t>
      </w:r>
      <w:r>
        <w:rPr>
          <w:iCs/>
          <w:i/>
        </w:rPr>
        <w:t xml:space="preserve">12</w:t>
      </w:r>
      <w:r>
        <w:t xml:space="preserve">, 6.</w:t>
      </w:r>
      <w:r>
        <w:t xml:space="preserve"> </w:t>
      </w:r>
      <w:hyperlink r:id="rId384">
        <w:r>
          <w:rPr>
            <w:rStyle w:val="Hyperlink"/>
          </w:rPr>
          <w:t xml:space="preserve">10.1186/1471-2105-12-6</w:t>
        </w:r>
      </w:hyperlink>
      <w:r>
        <w:t xml:space="preserve">.</w:t>
      </w:r>
    </w:p>
    <w:bookmarkEnd w:id="385"/>
    <w:bookmarkStart w:id="387" w:name="ref-1CCBSogYG"/>
    <w:p>
      <w:pPr>
        <w:pStyle w:val="Bibliography"/>
      </w:pPr>
      <w:r>
        <w:t xml:space="preserve">61.</w:t>
      </w:r>
      <w:r>
        <w:t xml:space="preserve"> </w:t>
      </w:r>
      <w:r>
        <w:t xml:space="preserve">	</w:t>
      </w:r>
      <w:r>
        <w:t xml:space="preserve">Bard, J., Rhee, S.Y., and Ashburner, M. (2005). An ontology for cell types. Genome Biol</w:t>
      </w:r>
      <w:r>
        <w:t xml:space="preserve"> </w:t>
      </w:r>
      <w:r>
        <w:rPr>
          <w:iCs/>
          <w:i/>
        </w:rPr>
        <w:t xml:space="preserve">6</w:t>
      </w:r>
      <w:r>
        <w:t xml:space="preserve">, R21.</w:t>
      </w:r>
      <w:r>
        <w:t xml:space="preserve"> </w:t>
      </w:r>
      <w:hyperlink r:id="rId386">
        <w:r>
          <w:rPr>
            <w:rStyle w:val="Hyperlink"/>
          </w:rPr>
          <w:t xml:space="preserve">10.1186/gb-2005-6-2-r21</w:t>
        </w:r>
      </w:hyperlink>
      <w:r>
        <w:t xml:space="preserve">.</w:t>
      </w:r>
    </w:p>
    <w:bookmarkEnd w:id="387"/>
    <w:bookmarkStart w:id="389" w:name="ref-yxJiICJJ"/>
    <w:p>
      <w:pPr>
        <w:pStyle w:val="Bibliography"/>
      </w:pPr>
      <w:r>
        <w:t xml:space="preserve">62.</w:t>
      </w:r>
      <w:r>
        <w:t xml:space="preserve"> </w:t>
      </w:r>
      <w:r>
        <w:t xml:space="preserve">	</w:t>
      </w:r>
      <w:r>
        <w:t xml:space="preserve">Sarantopoulos, A., Ene, C., and Aquilanti, E. (2024). Therapeutic approaches to modulate the immune microenvironment in gliomas. npj Precis. Onc.</w:t>
      </w:r>
      <w:r>
        <w:t xml:space="preserve"> </w:t>
      </w:r>
      <w:r>
        <w:rPr>
          <w:iCs/>
          <w:i/>
        </w:rPr>
        <w:t xml:space="preserve">8</w:t>
      </w:r>
      <w:r>
        <w:t xml:space="preserve">, 241.</w:t>
      </w:r>
      <w:r>
        <w:t xml:space="preserve"> </w:t>
      </w:r>
      <w:hyperlink r:id="rId388">
        <w:r>
          <w:rPr>
            <w:rStyle w:val="Hyperlink"/>
          </w:rPr>
          <w:t xml:space="preserve">10.1038/s41698-024-00717-4</w:t>
        </w:r>
      </w:hyperlink>
      <w:r>
        <w:t xml:space="preserve">.</w:t>
      </w:r>
    </w:p>
    <w:bookmarkEnd w:id="389"/>
    <w:bookmarkStart w:id="391" w:name="ref-9U8b91g7"/>
    <w:p>
      <w:pPr>
        <w:pStyle w:val="Bibliography"/>
      </w:pPr>
      <w:r>
        <w:t xml:space="preserve">63.</w:t>
      </w:r>
      <w:r>
        <w:t xml:space="preserve"> </w:t>
      </w:r>
      <w:r>
        <w:t xml:space="preserve">	</w:t>
      </w:r>
      <w:r>
        <w:t xml:space="preserve">Sharma, P., Aaroe, A., Liang, J., and Puduvalli, V.K. (2023). Tumor microenvironment in glioblastoma: Current and emerging concepts. Neuro-Oncology Advances</w:t>
      </w:r>
      <w:r>
        <w:t xml:space="preserve"> </w:t>
      </w:r>
      <w:r>
        <w:rPr>
          <w:iCs/>
          <w:i/>
        </w:rPr>
        <w:t xml:space="preserve">5</w:t>
      </w:r>
      <w:r>
        <w:t xml:space="preserve">, vdad009.</w:t>
      </w:r>
      <w:r>
        <w:t xml:space="preserve"> </w:t>
      </w:r>
      <w:hyperlink r:id="rId390">
        <w:r>
          <w:rPr>
            <w:rStyle w:val="Hyperlink"/>
          </w:rPr>
          <w:t xml:space="preserve">10.1093/noajnl/vdad009</w:t>
        </w:r>
      </w:hyperlink>
      <w:r>
        <w:t xml:space="preserve">.</w:t>
      </w:r>
    </w:p>
    <w:bookmarkEnd w:id="391"/>
    <w:bookmarkStart w:id="393" w:name="ref-xW9vfui5"/>
    <w:p>
      <w:pPr>
        <w:pStyle w:val="Bibliography"/>
      </w:pPr>
      <w:r>
        <w:t xml:space="preserve">64.</w:t>
      </w:r>
      <w:r>
        <w:t xml:space="preserve"> </w:t>
      </w:r>
      <w:r>
        <w:t xml:space="preserve">	</w:t>
      </w:r>
      <w:r>
        <w:t xml:space="preserve">Alex's Lemonade Stand Foundation. OpenScPCA Project.</w:t>
      </w:r>
      <w:r>
        <w:t xml:space="preserve"> </w:t>
      </w:r>
      <w:hyperlink r:id="rId392">
        <w:r>
          <w:rPr>
            <w:rStyle w:val="Hyperlink"/>
          </w:rPr>
          <w:t xml:space="preserve">https://openscpca.readthedocs.io</w:t>
        </w:r>
      </w:hyperlink>
      <w:r>
        <w:t xml:space="preserve">.</w:t>
      </w:r>
    </w:p>
    <w:bookmarkEnd w:id="393"/>
    <w:bookmarkStart w:id="395" w:name="ref-sGIqMPJO"/>
    <w:p>
      <w:pPr>
        <w:pStyle w:val="Bibliography"/>
      </w:pPr>
      <w:r>
        <w:t xml:space="preserve">65.</w:t>
      </w:r>
      <w:r>
        <w:t xml:space="preserve"> </w:t>
      </w:r>
      <w:r>
        <w:t xml:space="preserve">	</w:t>
      </w:r>
      <w:r>
        <w:t xml:space="preserve">Bonine, N., Zanzani, V., Van Hemelryk, A., Vanneste, B., Zwicker, C., Thoné, T., Roelandt, S., Bekaert, S.-L., Koster, J., Janoueix-Lerosey, I., et al. (2024). NBAtlas: A harmonized single-cell transcriptomic reference atlas of human neuroblastoma tumors. Cell Reports</w:t>
      </w:r>
      <w:r>
        <w:t xml:space="preserve"> </w:t>
      </w:r>
      <w:r>
        <w:rPr>
          <w:iCs/>
          <w:i/>
        </w:rPr>
        <w:t xml:space="preserve">43</w:t>
      </w:r>
      <w:r>
        <w:t xml:space="preserve">, 114804.</w:t>
      </w:r>
      <w:r>
        <w:t xml:space="preserve"> </w:t>
      </w:r>
      <w:hyperlink r:id="rId394">
        <w:r>
          <w:rPr>
            <w:rStyle w:val="Hyperlink"/>
          </w:rPr>
          <w:t xml:space="preserve">10.1016/j.celrep.2024.114804</w:t>
        </w:r>
      </w:hyperlink>
      <w:r>
        <w:t xml:space="preserve">.</w:t>
      </w:r>
    </w:p>
    <w:bookmarkEnd w:id="395"/>
    <w:bookmarkStart w:id="397" w:name="ref-11NujsTQW"/>
    <w:p>
      <w:pPr>
        <w:pStyle w:val="Bibliography"/>
      </w:pPr>
      <w:r>
        <w:t xml:space="preserve">66.</w:t>
      </w:r>
      <w:r>
        <w:t xml:space="preserve"> </w:t>
      </w:r>
      <w:r>
        <w:t xml:space="preserve">	</w:t>
      </w:r>
      <w:r>
        <w:t xml:space="preserve">Matthay, K.K., Maris, J.M., Schleiermacher, G., Nakagawara, A., Mackall, C.L., Diller, L., and Weiss, W.A. (2016). Neuroblastoma. Nat Rev Dis Primers</w:t>
      </w:r>
      <w:r>
        <w:t xml:space="preserve"> </w:t>
      </w:r>
      <w:r>
        <w:rPr>
          <w:iCs/>
          <w:i/>
        </w:rPr>
        <w:t xml:space="preserve">2</w:t>
      </w:r>
      <w:r>
        <w:t xml:space="preserve">, 16078.</w:t>
      </w:r>
      <w:r>
        <w:t xml:space="preserve"> </w:t>
      </w:r>
      <w:hyperlink r:id="rId396">
        <w:r>
          <w:rPr>
            <w:rStyle w:val="Hyperlink"/>
          </w:rPr>
          <w:t xml:space="preserve">10.1038/nrdp.2016.78</w:t>
        </w:r>
      </w:hyperlink>
      <w:r>
        <w:t xml:space="preserve">.</w:t>
      </w:r>
    </w:p>
    <w:bookmarkEnd w:id="397"/>
    <w:bookmarkStart w:id="399" w:name="ref-1Ar16jCVg"/>
    <w:p>
      <w:pPr>
        <w:pStyle w:val="Bibliography"/>
      </w:pPr>
      <w:r>
        <w:t xml:space="preserve">67.</w:t>
      </w:r>
      <w:r>
        <w:t xml:space="preserve"> </w:t>
      </w:r>
      <w:r>
        <w:t xml:space="preserve">	</w:t>
      </w:r>
      <w:r>
        <w:t xml:space="preserve">Tirode, F., Surdez, D., Ma, X., Parker, M., Le Deley, M.C., Bahrami, A., Zhang, Z., Lapouble, E., Grossetête-Lalami, S., Rusch, M., et al. (2014). Genomic Landscape of Ewing Sarcoma Defines an Aggressive Subtype with Co-Association of STAG2 and TP53 Mutations. Cancer Discovery</w:t>
      </w:r>
      <w:r>
        <w:t xml:space="preserve"> </w:t>
      </w:r>
      <w:r>
        <w:rPr>
          <w:iCs/>
          <w:i/>
        </w:rPr>
        <w:t xml:space="preserve">4</w:t>
      </w:r>
      <w:r>
        <w:t xml:space="preserve">, 1342–1353.</w:t>
      </w:r>
      <w:r>
        <w:t xml:space="preserve"> </w:t>
      </w:r>
      <w:hyperlink r:id="rId398">
        <w:r>
          <w:rPr>
            <w:rStyle w:val="Hyperlink"/>
          </w:rPr>
          <w:t xml:space="preserve">10.1158/2159-8290.cd-14-0622</w:t>
        </w:r>
      </w:hyperlink>
      <w:r>
        <w:t xml:space="preserve">.</w:t>
      </w:r>
    </w:p>
    <w:bookmarkEnd w:id="399"/>
    <w:bookmarkStart w:id="401" w:name="ref-Vz4pQdwU"/>
    <w:p>
      <w:pPr>
        <w:pStyle w:val="Bibliography"/>
      </w:pPr>
      <w:r>
        <w:t xml:space="preserve">68.</w:t>
      </w:r>
      <w:r>
        <w:t xml:space="preserve"> </w:t>
      </w:r>
      <w:r>
        <w:t xml:space="preserve">	</w:t>
      </w:r>
      <w:r>
        <w:t xml:space="preserve">Ding, J., Adiconis, X., Simmons, S.K., Kowalczyk, M.S., Hession, C.C., Marjanovic, N.D., Hughes, T.K., Wadsworth, M.H., Burks, T., Nguyen, L.T., et al. (2020). Systematic comparison of single-cell and single-nucleus RNA-sequencing methods. Nat Biotechnol</w:t>
      </w:r>
      <w:r>
        <w:t xml:space="preserve"> </w:t>
      </w:r>
      <w:r>
        <w:rPr>
          <w:iCs/>
          <w:i/>
        </w:rPr>
        <w:t xml:space="preserve">38</w:t>
      </w:r>
      <w:r>
        <w:t xml:space="preserve">, 737–746.</w:t>
      </w:r>
      <w:r>
        <w:t xml:space="preserve"> </w:t>
      </w:r>
      <w:hyperlink r:id="rId400">
        <w:r>
          <w:rPr>
            <w:rStyle w:val="Hyperlink"/>
          </w:rPr>
          <w:t xml:space="preserve">10.1038/s41587-020-0465-8</w:t>
        </w:r>
      </w:hyperlink>
      <w:r>
        <w:t xml:space="preserve">.</w:t>
      </w:r>
    </w:p>
    <w:bookmarkEnd w:id="401"/>
    <w:bookmarkStart w:id="403" w:name="ref-2x15P0J5"/>
    <w:p>
      <w:pPr>
        <w:pStyle w:val="Bibliography"/>
      </w:pPr>
      <w:r>
        <w:t xml:space="preserve">69.</w:t>
      </w:r>
      <w:r>
        <w:t xml:space="preserve"> </w:t>
      </w:r>
      <w:r>
        <w:t xml:space="preserve">	</w:t>
      </w:r>
      <w:r>
        <w:t xml:space="preserve">Messiaen, J., Jacobs, S.A., and De Smet, F. (2023). The tumor micro-environment in pediatric glioma: friend or foe? Front. Immunol.</w:t>
      </w:r>
      <w:r>
        <w:t xml:space="preserve"> </w:t>
      </w:r>
      <w:r>
        <w:rPr>
          <w:iCs/>
          <w:i/>
        </w:rPr>
        <w:t xml:space="preserve">14</w:t>
      </w:r>
      <w:r>
        <w:t xml:space="preserve">, 1227126.</w:t>
      </w:r>
      <w:r>
        <w:t xml:space="preserve"> </w:t>
      </w:r>
      <w:hyperlink r:id="rId402">
        <w:r>
          <w:rPr>
            <w:rStyle w:val="Hyperlink"/>
          </w:rPr>
          <w:t xml:space="preserve">10.3389/fimmu.2023.1227126</w:t>
        </w:r>
      </w:hyperlink>
      <w:r>
        <w:t xml:space="preserve">.</w:t>
      </w:r>
    </w:p>
    <w:bookmarkEnd w:id="403"/>
    <w:bookmarkStart w:id="405" w:name="ref-DR9mGrXH"/>
    <w:p>
      <w:pPr>
        <w:pStyle w:val="Bibliography"/>
      </w:pPr>
      <w:r>
        <w:t xml:space="preserve">70.</w:t>
      </w:r>
      <w:r>
        <w:t xml:space="preserve"> </w:t>
      </w:r>
      <w:r>
        <w:t xml:space="preserve">	</w:t>
      </w:r>
      <w:r>
        <w:t xml:space="preserve">Tripathy, D.K., Panda, L.P., Biswal, S., and Barhwal, K. (2024). Insights into the glioblastoma tumor microenvironment: current and emerging therapeutic approaches. Front. Pharmacol.</w:t>
      </w:r>
      <w:r>
        <w:t xml:space="preserve"> </w:t>
      </w:r>
      <w:r>
        <w:rPr>
          <w:iCs/>
          <w:i/>
        </w:rPr>
        <w:t xml:space="preserve">15</w:t>
      </w:r>
      <w:r>
        <w:t xml:space="preserve">, 1355242.</w:t>
      </w:r>
      <w:r>
        <w:t xml:space="preserve"> </w:t>
      </w:r>
      <w:hyperlink r:id="rId404">
        <w:r>
          <w:rPr>
            <w:rStyle w:val="Hyperlink"/>
          </w:rPr>
          <w:t xml:space="preserve">10.3389/fphar.2024.1355242</w:t>
        </w:r>
      </w:hyperlink>
      <w:r>
        <w:t xml:space="preserve">.</w:t>
      </w:r>
    </w:p>
    <w:bookmarkEnd w:id="405"/>
    <w:bookmarkStart w:id="407" w:name="ref-1AegtXQtf"/>
    <w:p>
      <w:pPr>
        <w:pStyle w:val="Bibliography"/>
      </w:pPr>
      <w:r>
        <w:t xml:space="preserve">71.</w:t>
      </w:r>
      <w:r>
        <w:t xml:space="preserve"> </w:t>
      </w:r>
      <w:r>
        <w:t xml:space="preserve">	</w:t>
      </w:r>
      <w:r>
        <w:t xml:space="preserve">Kim, N., Kang, H., Jo, A., Yoo, S.-A., and Lee, H.-O. (2023). Perspectives on single-nucleus RNA sequencing in different cell types and tissues. JPTM</w:t>
      </w:r>
      <w:r>
        <w:t xml:space="preserve"> </w:t>
      </w:r>
      <w:r>
        <w:rPr>
          <w:iCs/>
          <w:i/>
        </w:rPr>
        <w:t xml:space="preserve">57</w:t>
      </w:r>
      <w:r>
        <w:t xml:space="preserve">, 52–59.</w:t>
      </w:r>
      <w:r>
        <w:t xml:space="preserve"> </w:t>
      </w:r>
      <w:hyperlink r:id="rId406">
        <w:r>
          <w:rPr>
            <w:rStyle w:val="Hyperlink"/>
          </w:rPr>
          <w:t xml:space="preserve">10.4132/jptm.2022.12.19</w:t>
        </w:r>
      </w:hyperlink>
      <w:r>
        <w:t xml:space="preserve">.</w:t>
      </w:r>
    </w:p>
    <w:bookmarkEnd w:id="407"/>
    <w:bookmarkStart w:id="409" w:name="ref-cnXjUoU1"/>
    <w:p>
      <w:pPr>
        <w:pStyle w:val="Bibliography"/>
      </w:pPr>
      <w:r>
        <w:t xml:space="preserve">72.</w:t>
      </w:r>
      <w:r>
        <w:t xml:space="preserve"> </w:t>
      </w:r>
      <w:r>
        <w:t xml:space="preserve">	</w:t>
      </w:r>
      <w:r>
        <w:t xml:space="preserve">Truong, D.D., Lamhamedi-Cherradi, S.-E., Porter, R.W., Krishnan, S., Swaminathan, J., Gibson, A., Lazar, A.J., Livingston, J.A., Gopalakrishnan, V., Gordon, N., et al. (2023). Dissociation protocols used for sarcoma tissues bias the transcriptome observed in single-cell and single-nucleus RNA sequencing. BMC Cancer</w:t>
      </w:r>
      <w:r>
        <w:t xml:space="preserve"> </w:t>
      </w:r>
      <w:r>
        <w:rPr>
          <w:iCs/>
          <w:i/>
        </w:rPr>
        <w:t xml:space="preserve">23</w:t>
      </w:r>
      <w:r>
        <w:t xml:space="preserve">, 488.</w:t>
      </w:r>
      <w:r>
        <w:t xml:space="preserve"> </w:t>
      </w:r>
      <w:hyperlink r:id="rId408">
        <w:r>
          <w:rPr>
            <w:rStyle w:val="Hyperlink"/>
          </w:rPr>
          <w:t xml:space="preserve">10.1186/s12885-023-10977-1</w:t>
        </w:r>
      </w:hyperlink>
      <w:r>
        <w:t xml:space="preserve">.</w:t>
      </w:r>
    </w:p>
    <w:bookmarkEnd w:id="409"/>
    <w:bookmarkStart w:id="411" w:name="ref-obsr7KMv"/>
    <w:p>
      <w:pPr>
        <w:pStyle w:val="Bibliography"/>
      </w:pPr>
      <w:r>
        <w:t xml:space="preserve">73.</w:t>
      </w:r>
      <w:r>
        <w:t xml:space="preserve"> </w:t>
      </w:r>
      <w:r>
        <w:t xml:space="preserve">	</w:t>
      </w:r>
      <w:r>
        <w:t xml:space="preserve">Hawkins, A., Spielman, S.J., Shapiro, J., Prasad, D., and Taroni, J. (2026). AlexsLemonade/scpca-nf. Zenodo.</w:t>
      </w:r>
      <w:r>
        <w:t xml:space="preserve"> </w:t>
      </w:r>
      <w:hyperlink r:id="rId410">
        <w:r>
          <w:rPr>
            <w:rStyle w:val="Hyperlink"/>
          </w:rPr>
          <w:t xml:space="preserve">10.5281/zenodo.20072636</w:t>
        </w:r>
      </w:hyperlink>
      <w:r>
        <w:t xml:space="preserve">.</w:t>
      </w:r>
    </w:p>
    <w:bookmarkEnd w:id="411"/>
    <w:bookmarkStart w:id="413" w:name="ref-bBTOj6tI"/>
    <w:p>
      <w:pPr>
        <w:pStyle w:val="Bibliography"/>
      </w:pPr>
      <w:r>
        <w:t xml:space="preserve">74.</w:t>
      </w:r>
      <w:r>
        <w:t xml:space="preserve"> </w:t>
      </w:r>
      <w:r>
        <w:t xml:space="preserve">	</w:t>
      </w:r>
      <w:r>
        <w:t xml:space="preserve">Gottlieb, A., Mejia, D., Ichihara, N., Yakovets, A., Wheeler, K., Taroni, J., Hawkins, A., Prasad, D.V., and Shapiro, J. (2026). AlexsLemonade/scpca-portal. Zenodo.</w:t>
      </w:r>
      <w:r>
        <w:t xml:space="preserve"> </w:t>
      </w:r>
      <w:hyperlink r:id="rId412">
        <w:r>
          <w:rPr>
            <w:rStyle w:val="Hyperlink"/>
          </w:rPr>
          <w:t xml:space="preserve">10.5281/zenodo.20058961</w:t>
        </w:r>
      </w:hyperlink>
      <w:r>
        <w:t xml:space="preserve">.</w:t>
      </w:r>
    </w:p>
    <w:bookmarkEnd w:id="413"/>
    <w:bookmarkStart w:id="415" w:name="ref-17jk0C5fN"/>
    <w:p>
      <w:pPr>
        <w:pStyle w:val="Bibliography"/>
      </w:pPr>
      <w:r>
        <w:t xml:space="preserve">75.</w:t>
      </w:r>
      <w:r>
        <w:t xml:space="preserve"> </w:t>
      </w:r>
      <w:r>
        <w:t xml:space="preserve">	</w:t>
      </w:r>
      <w:r>
        <w:t xml:space="preserve">Shapiro, J., Hawkins, A., Wheeler, K., Spielman, S.J., and Yakovets, A. (2026). AlexsLemonade/alsf-scpca. Zenodo.</w:t>
      </w:r>
      <w:r>
        <w:t xml:space="preserve"> </w:t>
      </w:r>
      <w:hyperlink r:id="rId414">
        <w:r>
          <w:rPr>
            <w:rStyle w:val="Hyperlink"/>
          </w:rPr>
          <w:t xml:space="preserve">10.5281/zenodo.20044281</w:t>
        </w:r>
      </w:hyperlink>
      <w:r>
        <w:t xml:space="preserve">.</w:t>
      </w:r>
    </w:p>
    <w:bookmarkEnd w:id="415"/>
    <w:bookmarkStart w:id="417" w:name="ref-z0sh5bZ2"/>
    <w:p>
      <w:pPr>
        <w:pStyle w:val="Bibliography"/>
      </w:pPr>
      <w:r>
        <w:t xml:space="preserve">76.</w:t>
      </w:r>
      <w:r>
        <w:t xml:space="preserve"> </w:t>
      </w:r>
      <w:r>
        <w:t xml:space="preserve">	</w:t>
      </w:r>
      <w:r>
        <w:t xml:space="preserve">Hawkins, A., Spielman, S.J., Shapiro, J., Bethell, C., and Taroni, J. (2026). AlexsLemonade/sc-data-integration. Zenodo.</w:t>
      </w:r>
      <w:r>
        <w:t xml:space="preserve"> </w:t>
      </w:r>
      <w:hyperlink r:id="rId416">
        <w:r>
          <w:rPr>
            <w:rStyle w:val="Hyperlink"/>
          </w:rPr>
          <w:t xml:space="preserve">10.5281/zenodo.20044314</w:t>
        </w:r>
      </w:hyperlink>
      <w:r>
        <w:t xml:space="preserve">.</w:t>
      </w:r>
    </w:p>
    <w:bookmarkEnd w:id="417"/>
    <w:bookmarkStart w:id="419" w:name="ref-ma2G21WA"/>
    <w:p>
      <w:pPr>
        <w:pStyle w:val="Bibliography"/>
      </w:pPr>
      <w:r>
        <w:t xml:space="preserve">77.</w:t>
      </w:r>
      <w:r>
        <w:t xml:space="preserve"> </w:t>
      </w:r>
      <w:r>
        <w:t xml:space="preserve">	</w:t>
      </w:r>
      <w:r>
        <w:t xml:space="preserve">Shapiro, J., Hawkins, A., Spielman, S.J., Jackson, R., and Taroni, J. (2026). AlexsLemonade/OpenScPCA-nf. Zenodo.</w:t>
      </w:r>
      <w:r>
        <w:t xml:space="preserve"> </w:t>
      </w:r>
      <w:hyperlink r:id="rId418">
        <w:r>
          <w:rPr>
            <w:rStyle w:val="Hyperlink"/>
          </w:rPr>
          <w:t xml:space="preserve">10.5281/zenodo.20056054</w:t>
        </w:r>
      </w:hyperlink>
      <w:r>
        <w:t xml:space="preserve">.</w:t>
      </w:r>
    </w:p>
    <w:bookmarkEnd w:id="419"/>
    <w:bookmarkStart w:id="421" w:name="ref-90pixlFL"/>
    <w:p>
      <w:pPr>
        <w:pStyle w:val="Bibliography"/>
      </w:pPr>
      <w:r>
        <w:t xml:space="preserve">78.</w:t>
      </w:r>
      <w:r>
        <w:t xml:space="preserve"> </w:t>
      </w:r>
      <w:r>
        <w:t xml:space="preserve">	</w:t>
      </w:r>
      <w:r>
        <w:t xml:space="preserve">Shapiro, J. (2026). AlexsLemonade/ScPCAr. Zenodo.</w:t>
      </w:r>
      <w:r>
        <w:t xml:space="preserve"> </w:t>
      </w:r>
      <w:hyperlink r:id="rId420">
        <w:r>
          <w:rPr>
            <w:rStyle w:val="Hyperlink"/>
          </w:rPr>
          <w:t xml:space="preserve">10.5281/zenodo.20044462</w:t>
        </w:r>
      </w:hyperlink>
      <w:r>
        <w:t xml:space="preserve">.</w:t>
      </w:r>
    </w:p>
    <w:bookmarkEnd w:id="421"/>
    <w:bookmarkStart w:id="423" w:name="ref-19PK9p5Of"/>
    <w:p>
      <w:pPr>
        <w:pStyle w:val="Bibliography"/>
      </w:pPr>
      <w:r>
        <w:t xml:space="preserve">79.</w:t>
      </w:r>
      <w:r>
        <w:t xml:space="preserve"> </w:t>
      </w:r>
      <w:r>
        <w:t xml:space="preserve">	</w:t>
      </w:r>
      <w:r>
        <w:t xml:space="preserve">Spielman, S.J., Hawkins, A., Shapiro, J., Prasad, D.V., and Taroni, J. (2026). AlexsLemonade/scpca-paper-figures. Zenodo.</w:t>
      </w:r>
      <w:r>
        <w:t xml:space="preserve"> </w:t>
      </w:r>
      <w:hyperlink r:id="rId422">
        <w:r>
          <w:rPr>
            <w:rStyle w:val="Hyperlink"/>
          </w:rPr>
          <w:t xml:space="preserve">10.5281/zenodo.20123383</w:t>
        </w:r>
      </w:hyperlink>
      <w:r>
        <w:t xml:space="preserve">.</w:t>
      </w:r>
    </w:p>
    <w:bookmarkEnd w:id="423"/>
    <w:bookmarkStart w:id="425" w:name="ref-W0TbGvjF"/>
    <w:p>
      <w:pPr>
        <w:pStyle w:val="Bibliography"/>
      </w:pPr>
      <w:r>
        <w:t xml:space="preserve">80.</w:t>
      </w:r>
      <w:r>
        <w:t xml:space="preserve"> </w:t>
      </w:r>
      <w:r>
        <w:t xml:space="preserve">	</w:t>
      </w:r>
      <w:r>
        <w:t xml:space="preserve">Chan Zuckerberg Initiative. CELLxGENE.</w:t>
      </w:r>
      <w:r>
        <w:t xml:space="preserve"> </w:t>
      </w:r>
      <w:hyperlink r:id="rId424">
        <w:r>
          <w:rPr>
            <w:rStyle w:val="Hyperlink"/>
          </w:rPr>
          <w:t xml:space="preserve">https://cellxgene.cziscience.com</w:t>
        </w:r>
      </w:hyperlink>
      <w:r>
        <w:t xml:space="preserve">.</w:t>
      </w:r>
    </w:p>
    <w:bookmarkEnd w:id="425"/>
    <w:bookmarkStart w:id="427" w:name="ref-QgMCMjVA"/>
    <w:p>
      <w:pPr>
        <w:pStyle w:val="Bibliography"/>
      </w:pPr>
      <w:r>
        <w:t xml:space="preserve">81.</w:t>
      </w:r>
      <w:r>
        <w:t xml:space="preserve"> </w:t>
      </w:r>
      <w:r>
        <w:t xml:space="preserve">	</w:t>
      </w:r>
      <w:r>
        <w:t xml:space="preserve">Chan Zuckerberg Initiative. CZI Single Cell Curation Schema 3.0.0.</w:t>
      </w:r>
      <w:r>
        <w:t xml:space="preserve"> </w:t>
      </w:r>
      <w:hyperlink r:id="rId426">
        <w:r>
          <w:rPr>
            <w:rStyle w:val="Hyperlink"/>
          </w:rPr>
          <w:t xml:space="preserve">https://github.com/chanzuckerberg/single-cell-curation/blob/main/schema/3.0.0/schema.md</w:t>
        </w:r>
      </w:hyperlink>
      <w:r>
        <w:t xml:space="preserve">.</w:t>
      </w:r>
    </w:p>
    <w:bookmarkEnd w:id="427"/>
    <w:bookmarkStart w:id="429" w:name="ref-91inc6cK"/>
    <w:p>
      <w:pPr>
        <w:pStyle w:val="Bibliography"/>
      </w:pPr>
      <w:r>
        <w:t xml:space="preserve">82.</w:t>
      </w:r>
      <w:r>
        <w:t xml:space="preserve"> </w:t>
      </w:r>
      <w:r>
        <w:t xml:space="preserve">	</w:t>
      </w:r>
      <w:r>
        <w:t xml:space="preserve">Srivastava, A., Malik, L., Sarkar, H., Zakeri, M., Almodaresi, F., Soneson, C., Love, M.I., Kingsford, C., and Patro, R. (2020). Alignment and mapping methodology influence transcript abundance estimation. Genome Biol</w:t>
      </w:r>
      <w:r>
        <w:t xml:space="preserve"> </w:t>
      </w:r>
      <w:r>
        <w:rPr>
          <w:iCs/>
          <w:i/>
        </w:rPr>
        <w:t xml:space="preserve">21</w:t>
      </w:r>
      <w:r>
        <w:t xml:space="preserve">, 239.</w:t>
      </w:r>
      <w:r>
        <w:t xml:space="preserve"> </w:t>
      </w:r>
      <w:hyperlink r:id="rId428">
        <w:r>
          <w:rPr>
            <w:rStyle w:val="Hyperlink"/>
          </w:rPr>
          <w:t xml:space="preserve">10.1186/s13059-020-02151-8</w:t>
        </w:r>
      </w:hyperlink>
      <w:r>
        <w:t xml:space="preserve">.</w:t>
      </w:r>
    </w:p>
    <w:bookmarkEnd w:id="429"/>
    <w:bookmarkStart w:id="431" w:name="ref-vZ9X9rsY"/>
    <w:p>
      <w:pPr>
        <w:pStyle w:val="Bibliography"/>
      </w:pPr>
      <w:r>
        <w:t xml:space="preserve">83.</w:t>
      </w:r>
      <w:r>
        <w:t xml:space="preserve"> </w:t>
      </w:r>
      <w:r>
        <w:t xml:space="preserve">	</w:t>
      </w:r>
      <w:r>
        <w:t xml:space="preserve">Germain, P.-L., Lun, A., Garcia Meixide, C., Macnair, W., and Robinson, M.D. (2022). Doublet identification in single-cell sequencing data using scDblFinder. F1000Res</w:t>
      </w:r>
      <w:r>
        <w:t xml:space="preserve"> </w:t>
      </w:r>
      <w:r>
        <w:rPr>
          <w:iCs/>
          <w:i/>
        </w:rPr>
        <w:t xml:space="preserve">10</w:t>
      </w:r>
      <w:r>
        <w:t xml:space="preserve">, 979.</w:t>
      </w:r>
      <w:r>
        <w:t xml:space="preserve"> </w:t>
      </w:r>
      <w:hyperlink r:id="rId430">
        <w:r>
          <w:rPr>
            <w:rStyle w:val="Hyperlink"/>
          </w:rPr>
          <w:t xml:space="preserve">10.12688/f1000research.73600.2</w:t>
        </w:r>
      </w:hyperlink>
      <w:r>
        <w:t xml:space="preserve">.</w:t>
      </w:r>
    </w:p>
    <w:bookmarkEnd w:id="431"/>
    <w:bookmarkStart w:id="433" w:name="ref-tTu8Ds9Z"/>
    <w:p>
      <w:pPr>
        <w:pStyle w:val="Bibliography"/>
      </w:pPr>
      <w:r>
        <w:t xml:space="preserve">84.</w:t>
      </w:r>
      <w:r>
        <w:t xml:space="preserve"> </w:t>
      </w:r>
      <w:r>
        <w:t xml:space="preserve">	</w:t>
      </w:r>
      <w:r>
        <w:t xml:space="preserve">Dobin, A., Davis, C.A., Schlesinger, F., Drenkow, J., Zaleski, C., Jha, S., Batut, P., Chaisson, M., and Gingeras, T.R. (2012). STAR: ultrafast universal RNA-seq aligner. Bioinformatics</w:t>
      </w:r>
      <w:r>
        <w:t xml:space="preserve"> </w:t>
      </w:r>
      <w:r>
        <w:rPr>
          <w:iCs/>
          <w:i/>
        </w:rPr>
        <w:t xml:space="preserve">29</w:t>
      </w:r>
      <w:r>
        <w:t xml:space="preserve">, 15–21.</w:t>
      </w:r>
      <w:r>
        <w:t xml:space="preserve"> </w:t>
      </w:r>
      <w:hyperlink r:id="rId432">
        <w:r>
          <w:rPr>
            <w:rStyle w:val="Hyperlink"/>
          </w:rPr>
          <w:t xml:space="preserve">10.1093/bioinformatics/bts635</w:t>
        </w:r>
      </w:hyperlink>
      <w:r>
        <w:t xml:space="preserve">.</w:t>
      </w:r>
    </w:p>
    <w:bookmarkEnd w:id="433"/>
    <w:bookmarkStart w:id="435" w:name="ref-rxoRG1BR"/>
    <w:p>
      <w:pPr>
        <w:pStyle w:val="Bibliography"/>
      </w:pPr>
      <w:r>
        <w:t xml:space="preserve">85.</w:t>
      </w:r>
      <w:r>
        <w:t xml:space="preserve"> </w:t>
      </w:r>
      <w:r>
        <w:t xml:space="preserve">	</w:t>
      </w:r>
      <w:r>
        <w:t xml:space="preserve">Kaminow, B., Yunusov, D., and Dobin, A. (2021). STARsolo: accurate, fast and versatile mapping/quantification of single-cell and single-nucleus RNA-seq data. Preprint at bioRxiv.</w:t>
      </w:r>
      <w:r>
        <w:t xml:space="preserve"> </w:t>
      </w:r>
      <w:hyperlink r:id="rId434">
        <w:r>
          <w:rPr>
            <w:rStyle w:val="Hyperlink"/>
          </w:rPr>
          <w:t xml:space="preserve">10.1101/2021.05.05.442755</w:t>
        </w:r>
      </w:hyperlink>
      <w:r>
        <w:t xml:space="preserve">.</w:t>
      </w:r>
    </w:p>
    <w:bookmarkEnd w:id="435"/>
    <w:bookmarkStart w:id="437" w:name="ref-eyOvxHVn"/>
    <w:p>
      <w:pPr>
        <w:pStyle w:val="Bibliography"/>
      </w:pPr>
      <w:r>
        <w:t xml:space="preserve">86.</w:t>
      </w:r>
      <w:r>
        <w:t xml:space="preserve"> </w:t>
      </w:r>
      <w:r>
        <w:t xml:space="preserve">	</w:t>
      </w:r>
      <w:r>
        <w:t xml:space="preserve">Danecek, P., Bonfield, J.K., Liddle, J., Marshall, J., Ohan, V., Pollard, M.O., Whitwham, A., Keane, T., McCarthy, S.A., Davies, R.M., et al. (2021). Twelve years of SAMtools and BCFtools. GigaScience</w:t>
      </w:r>
      <w:r>
        <w:t xml:space="preserve"> </w:t>
      </w:r>
      <w:r>
        <w:rPr>
          <w:iCs/>
          <w:i/>
        </w:rPr>
        <w:t xml:space="preserve">10</w:t>
      </w:r>
      <w:r>
        <w:t xml:space="preserve">, giab008.</w:t>
      </w:r>
      <w:r>
        <w:t xml:space="preserve"> </w:t>
      </w:r>
      <w:hyperlink r:id="rId436">
        <w:r>
          <w:rPr>
            <w:rStyle w:val="Hyperlink"/>
          </w:rPr>
          <w:t xml:space="preserve">10.1093/gigascience/giab008</w:t>
        </w:r>
      </w:hyperlink>
      <w:r>
        <w:t xml:space="preserve">.</w:t>
      </w:r>
    </w:p>
    <w:bookmarkEnd w:id="437"/>
    <w:bookmarkStart w:id="439" w:name="ref-wd1cI6xh"/>
    <w:p>
      <w:pPr>
        <w:pStyle w:val="Bibliography"/>
      </w:pPr>
      <w:r>
        <w:t xml:space="preserve">87.</w:t>
      </w:r>
      <w:r>
        <w:t xml:space="preserve"> </w:t>
      </w:r>
      <w:r>
        <w:t xml:space="preserve">	</w:t>
      </w:r>
      <w:r>
        <w:t xml:space="preserve">Huang, X., and Huang, Y. (2021). Cellsnp-lite: an efficient tool for genotyping single cells. Bioinformatics</w:t>
      </w:r>
      <w:r>
        <w:t xml:space="preserve"> </w:t>
      </w:r>
      <w:r>
        <w:rPr>
          <w:iCs/>
          <w:i/>
        </w:rPr>
        <w:t xml:space="preserve">37</w:t>
      </w:r>
      <w:r>
        <w:t xml:space="preserve">, 4569–4571.</w:t>
      </w:r>
      <w:r>
        <w:t xml:space="preserve"> </w:t>
      </w:r>
      <w:hyperlink r:id="rId438">
        <w:r>
          <w:rPr>
            <w:rStyle w:val="Hyperlink"/>
          </w:rPr>
          <w:t xml:space="preserve">10.1093/bioinformatics/btab358</w:t>
        </w:r>
      </w:hyperlink>
      <w:r>
        <w:t xml:space="preserve">.</w:t>
      </w:r>
    </w:p>
    <w:bookmarkEnd w:id="439"/>
    <w:bookmarkStart w:id="441" w:name="ref-MzCvXTgB"/>
    <w:p>
      <w:pPr>
        <w:pStyle w:val="Bibliography"/>
      </w:pPr>
      <w:r>
        <w:t xml:space="preserve">88.</w:t>
      </w:r>
      <w:r>
        <w:t xml:space="preserve"> </w:t>
      </w:r>
      <w:r>
        <w:t xml:space="preserve">	</w:t>
      </w:r>
      <w:r>
        <w:t xml:space="preserve">Martens, J.H.A., and Stunnenberg, H.G. (2013). BLUEPRINT: mapping human blood cell epigenomes. Haematologica</w:t>
      </w:r>
      <w:r>
        <w:t xml:space="preserve"> </w:t>
      </w:r>
      <w:r>
        <w:rPr>
          <w:iCs/>
          <w:i/>
        </w:rPr>
        <w:t xml:space="preserve">98</w:t>
      </w:r>
      <w:r>
        <w:t xml:space="preserve">, 1487–1489.</w:t>
      </w:r>
      <w:r>
        <w:t xml:space="preserve"> </w:t>
      </w:r>
      <w:hyperlink r:id="rId440">
        <w:r>
          <w:rPr>
            <w:rStyle w:val="Hyperlink"/>
          </w:rPr>
          <w:t xml:space="preserve">10.3324/haematol.2013.094243</w:t>
        </w:r>
      </w:hyperlink>
      <w:r>
        <w:t xml:space="preserve">.</w:t>
      </w:r>
    </w:p>
    <w:bookmarkEnd w:id="441"/>
    <w:bookmarkStart w:id="443" w:name="ref-15J98V2qM"/>
    <w:p>
      <w:pPr>
        <w:pStyle w:val="Bibliography"/>
      </w:pPr>
      <w:r>
        <w:t xml:space="preserve">89.</w:t>
      </w:r>
      <w:r>
        <w:t xml:space="preserve"> </w:t>
      </w:r>
      <w:r>
        <w:t xml:space="preserve">	</w:t>
      </w:r>
      <w:r>
        <w:t xml:space="preserve">The ENCODE Project Consortium (2012). An integrated encyclopedia of DNA elements in the human genome. Nature</w:t>
      </w:r>
      <w:r>
        <w:t xml:space="preserve"> </w:t>
      </w:r>
      <w:r>
        <w:rPr>
          <w:iCs/>
          <w:i/>
        </w:rPr>
        <w:t xml:space="preserve">489</w:t>
      </w:r>
      <w:r>
        <w:t xml:space="preserve">, 57–74.</w:t>
      </w:r>
      <w:r>
        <w:t xml:space="preserve"> </w:t>
      </w:r>
      <w:hyperlink r:id="rId442">
        <w:r>
          <w:rPr>
            <w:rStyle w:val="Hyperlink"/>
          </w:rPr>
          <w:t xml:space="preserve">10.1038/nature11247</w:t>
        </w:r>
      </w:hyperlink>
      <w:r>
        <w:t xml:space="preserve">.</w:t>
      </w:r>
    </w:p>
    <w:bookmarkEnd w:id="443"/>
    <w:bookmarkStart w:id="445" w:name="ref-xpZq9dBF"/>
    <w:p>
      <w:pPr>
        <w:pStyle w:val="Bibliography"/>
      </w:pPr>
      <w:r>
        <w:t xml:space="preserve">90.</w:t>
      </w:r>
      <w:r>
        <w:t xml:space="preserve"> </w:t>
      </w:r>
      <w:r>
        <w:t xml:space="preserve">	</w:t>
      </w:r>
      <w:r>
        <w:t xml:space="preserve">Lun, A.T.L. SingleR Book: Annotation Diagnostics Based on the Deltas Across Cells.</w:t>
      </w:r>
      <w:r>
        <w:t xml:space="preserve"> </w:t>
      </w:r>
      <w:hyperlink r:id="rId444">
        <w:r>
          <w:rPr>
            <w:rStyle w:val="Hyperlink"/>
          </w:rPr>
          <w:t xml:space="preserve">https://bioconductor.org/books/release/SingleRBook/annotation-diagnostics.html#based-on-the-deltas-across-cells</w:t>
        </w:r>
      </w:hyperlink>
      <w:r>
        <w:t xml:space="preserve">.</w:t>
      </w:r>
    </w:p>
    <w:bookmarkEnd w:id="445"/>
    <w:bookmarkStart w:id="447" w:name="ref-T3PlZ3Vh"/>
    <w:p>
      <w:pPr>
        <w:pStyle w:val="Bibliography"/>
      </w:pPr>
      <w:r>
        <w:t xml:space="preserve">91.</w:t>
      </w:r>
      <w:r>
        <w:t xml:space="preserve"> </w:t>
      </w:r>
      <w:r>
        <w:t xml:space="preserve">	</w:t>
      </w:r>
      <w:r>
        <w:t xml:space="preserve">Franzén, O., Gan, L.-M., and Björkegren, J.L.M. (2019). PanglaoDB: a web server for exploration of mouse and human single-cell RNA sequencing data. Database</w:t>
      </w:r>
      <w:r>
        <w:t xml:space="preserve"> </w:t>
      </w:r>
      <w:r>
        <w:rPr>
          <w:iCs/>
          <w:i/>
        </w:rPr>
        <w:t xml:space="preserve">2019</w:t>
      </w:r>
      <w:r>
        <w:t xml:space="preserve">, baz046.</w:t>
      </w:r>
      <w:r>
        <w:t xml:space="preserve"> </w:t>
      </w:r>
      <w:hyperlink r:id="rId446">
        <w:r>
          <w:rPr>
            <w:rStyle w:val="Hyperlink"/>
          </w:rPr>
          <w:t xml:space="preserve">10.1093/database/baz046</w:t>
        </w:r>
      </w:hyperlink>
      <w:r>
        <w:t xml:space="preserve">.</w:t>
      </w:r>
    </w:p>
    <w:bookmarkEnd w:id="447"/>
    <w:bookmarkStart w:id="449" w:name="ref-O4OKmWGu"/>
    <w:p>
      <w:pPr>
        <w:pStyle w:val="Bibliography"/>
      </w:pPr>
      <w:r>
        <w:t xml:space="preserve">92.</w:t>
      </w:r>
      <w:r>
        <w:t xml:space="preserve"> </w:t>
      </w:r>
      <w:r>
        <w:t xml:space="preserve">	</w:t>
      </w:r>
      <w:r>
        <w:t xml:space="preserve">Heimberg, G., Kuo, T., Diamant, N., Salem, O., Bravo, H.C., and Vander Heiden, J. (2024). SCimilarity Models. Zenodo.</w:t>
      </w:r>
      <w:r>
        <w:t xml:space="preserve"> </w:t>
      </w:r>
      <w:hyperlink r:id="rId448">
        <w:r>
          <w:rPr>
            <w:rStyle w:val="Hyperlink"/>
          </w:rPr>
          <w:t xml:space="preserve">10.5281/zenodo.10685499</w:t>
        </w:r>
      </w:hyperlink>
      <w:r>
        <w:t xml:space="preserve">.</w:t>
      </w:r>
    </w:p>
    <w:bookmarkEnd w:id="449"/>
    <w:bookmarkStart w:id="451" w:name="ref-GhuEgMP3"/>
    <w:p>
      <w:pPr>
        <w:pStyle w:val="Bibliography"/>
      </w:pPr>
      <w:r>
        <w:t xml:space="preserve">93.</w:t>
      </w:r>
      <w:r>
        <w:t xml:space="preserve"> </w:t>
      </w:r>
      <w:r>
        <w:t xml:space="preserve">	</w:t>
      </w:r>
      <w:r>
        <w:t xml:space="preserve">Tan, S.Z.K., Puig-Barbe, A., Goutte-Gattat, D., Eastwood, C., Aevermann, B., Avola, A., Balhoff, J.P., Bayindir, I.U., Belfiore, J., Caron, A.R., et al. (2026). The Cell Ontology in the age of single-cell omics. Sci Data.</w:t>
      </w:r>
      <w:r>
        <w:t xml:space="preserve"> </w:t>
      </w:r>
      <w:hyperlink r:id="rId450">
        <w:r>
          <w:rPr>
            <w:rStyle w:val="Hyperlink"/>
          </w:rPr>
          <w:t xml:space="preserve">10.1038/s41597-026-07173-8</w:t>
        </w:r>
      </w:hyperlink>
      <w:r>
        <w:t xml:space="preserve">.</w:t>
      </w:r>
    </w:p>
    <w:bookmarkEnd w:id="451"/>
    <w:bookmarkStart w:id="453" w:name="ref-kFdlYl7L"/>
    <w:p>
      <w:pPr>
        <w:pStyle w:val="Bibliography"/>
      </w:pPr>
      <w:r>
        <w:t xml:space="preserve">94.</w:t>
      </w:r>
      <w:r>
        <w:t xml:space="preserve"> </w:t>
      </w:r>
      <w:r>
        <w:t xml:space="preserve">	</w:t>
      </w:r>
      <w:r>
        <w:t xml:space="preserve">Carey, V. (2017). ontoProc. Bioconductor.</w:t>
      </w:r>
      <w:r>
        <w:t xml:space="preserve"> </w:t>
      </w:r>
      <w:hyperlink r:id="rId452">
        <w:r>
          <w:rPr>
            <w:rStyle w:val="Hyperlink"/>
          </w:rPr>
          <w:t xml:space="preserve">10.18129/b9.bioc.ontoproc</w:t>
        </w:r>
      </w:hyperlink>
      <w:r>
        <w:t xml:space="preserve">.</w:t>
      </w:r>
    </w:p>
    <w:bookmarkEnd w:id="453"/>
    <w:bookmarkStart w:id="455" w:name="ref-MclvBVPD"/>
    <w:p>
      <w:pPr>
        <w:pStyle w:val="Bibliography"/>
      </w:pPr>
      <w:r>
        <w:t xml:space="preserve">95.</w:t>
      </w:r>
      <w:r>
        <w:t xml:space="preserve"> </w:t>
      </w:r>
      <w:r>
        <w:t xml:space="preserve">	</w:t>
      </w:r>
      <w:r>
        <w:t xml:space="preserve">Hu, C., Li, T., Xu, Y., Zhang, X., Li, F., Bai, J., Chen, J., Jiang, W., Yang, K., Ou, Q., et al. (2022). CellMarker 2.0: an updated database of manually curated cell markers in human/mouse and web tools based on scRNA-seq data. Nucleic Acids Research</w:t>
      </w:r>
      <w:r>
        <w:t xml:space="preserve"> </w:t>
      </w:r>
      <w:r>
        <w:rPr>
          <w:iCs/>
          <w:i/>
        </w:rPr>
        <w:t xml:space="preserve">51</w:t>
      </w:r>
      <w:r>
        <w:t xml:space="preserve">, D870–D876.</w:t>
      </w:r>
      <w:r>
        <w:t xml:space="preserve"> </w:t>
      </w:r>
      <w:hyperlink r:id="rId454">
        <w:r>
          <w:rPr>
            <w:rStyle w:val="Hyperlink"/>
          </w:rPr>
          <w:t xml:space="preserve">10.1093/nar/gkac947</w:t>
        </w:r>
      </w:hyperlink>
      <w:r>
        <w:t xml:space="preserve">.</w:t>
      </w:r>
    </w:p>
    <w:bookmarkEnd w:id="455"/>
    <w:bookmarkStart w:id="457" w:name="ref-ckn7Y4Ch"/>
    <w:p>
      <w:pPr>
        <w:pStyle w:val="Bibliography"/>
      </w:pPr>
      <w:r>
        <w:t xml:space="preserve">96.</w:t>
      </w:r>
      <w:r>
        <w:t xml:space="preserve"> </w:t>
      </w:r>
      <w:r>
        <w:t xml:space="preserve">	</w:t>
      </w:r>
      <w:r>
        <w:t xml:space="preserve">Alex's Lemonade Stand Foundation. OpenScPCA-analysis GitHub Repository.</w:t>
      </w:r>
      <w:r>
        <w:t xml:space="preserve"> </w:t>
      </w:r>
      <w:hyperlink r:id="rId456">
        <w:r>
          <w:rPr>
            <w:rStyle w:val="Hyperlink"/>
          </w:rPr>
          <w:t xml:space="preserve">https://github.com/AlexsLemonade/OpenScPCA-analysis</w:t>
        </w:r>
      </w:hyperlink>
      <w:r>
        <w:t xml:space="preserve">.</w:t>
      </w:r>
    </w:p>
    <w:bookmarkEnd w:id="457"/>
    <w:bookmarkStart w:id="458" w:name="ref-tDa8M4VA"/>
    <w:p>
      <w:pPr>
        <w:pStyle w:val="Bibliography"/>
      </w:pPr>
      <w:r>
        <w:t xml:space="preserve">97.</w:t>
      </w:r>
      <w:r>
        <w:t xml:space="preserve"> </w:t>
      </w:r>
      <w:r>
        <w:t xml:space="preserve">	</w:t>
      </w:r>
      <w:r>
        <w:t xml:space="preserve">Alex's Lemonade Stand Foundation. OpenScPCA-nf GitHub Repository.</w:t>
      </w:r>
      <w:r>
        <w:t xml:space="preserve"> </w:t>
      </w:r>
      <w:hyperlink r:id="rId167">
        <w:r>
          <w:rPr>
            <w:rStyle w:val="Hyperlink"/>
          </w:rPr>
          <w:t xml:space="preserve">https://github.com/AlexsLemonade/OpenScPCA-nf</w:t>
        </w:r>
      </w:hyperlink>
      <w:r>
        <w:t xml:space="preserve">.</w:t>
      </w:r>
    </w:p>
    <w:bookmarkEnd w:id="458"/>
    <w:bookmarkStart w:id="459" w:name="ref-b2mzXKFd"/>
    <w:p>
      <w:pPr>
        <w:pStyle w:val="Bibliography"/>
      </w:pPr>
      <w:r>
        <w:t xml:space="preserve">98.</w:t>
      </w:r>
      <w:r>
        <w:t xml:space="preserve"> </w:t>
      </w:r>
      <w:r>
        <w:t xml:space="preserve">	</w:t>
      </w:r>
      <w:r>
        <w:t xml:space="preserve">Bonine, N., Zanzani, V., Van Hemelryk, A., Vanneste, B., Zwicker, C., Thoné, T., Roelandt, S., Bekaert, S.-L., Koster, J., Janoueix-Lerosey, I., et al. (2024). NBAtlas: A harmonized single-cell transcriptomic reference atlas of human neuroblastoma tumors. Cell Reports</w:t>
      </w:r>
      <w:r>
        <w:t xml:space="preserve"> </w:t>
      </w:r>
      <w:r>
        <w:rPr>
          <w:iCs/>
          <w:i/>
        </w:rPr>
        <w:t xml:space="preserve">43</w:t>
      </w:r>
      <w:r>
        <w:t xml:space="preserve">, 114804.</w:t>
      </w:r>
      <w:r>
        <w:t xml:space="preserve"> </w:t>
      </w:r>
      <w:hyperlink r:id="rId394">
        <w:r>
          <w:rPr>
            <w:rStyle w:val="Hyperlink"/>
          </w:rPr>
          <w:t xml:space="preserve">10.1016/j.celrep.2024.114804</w:t>
        </w:r>
      </w:hyperlink>
      <w:r>
        <w:t xml:space="preserve">.</w:t>
      </w:r>
    </w:p>
    <w:bookmarkEnd w:id="459"/>
    <w:bookmarkStart w:id="461" w:name="ref-5Tzlvrsz"/>
    <w:p>
      <w:pPr>
        <w:pStyle w:val="Bibliography"/>
      </w:pPr>
      <w:r>
        <w:t xml:space="preserve">99.</w:t>
      </w:r>
      <w:r>
        <w:t xml:space="preserve"> </w:t>
      </w:r>
      <w:r>
        <w:t xml:space="preserve">	</w:t>
      </w:r>
      <w:r>
        <w:t xml:space="preserve">Lotfollahi, M., Naghipourfar, M., Luecken, M.D., Khajavi, M., Büttner, M., Wagenstetter, M., Avsec, Ž., Gayoso, A., Yosef, N., Interlandi, M., et al. (2021). Mapping single-cell data to reference atlases by transfer learning. Nat Biotechnol</w:t>
      </w:r>
      <w:r>
        <w:t xml:space="preserve"> </w:t>
      </w:r>
      <w:r>
        <w:rPr>
          <w:iCs/>
          <w:i/>
        </w:rPr>
        <w:t xml:space="preserve">40</w:t>
      </w:r>
      <w:r>
        <w:t xml:space="preserve">, 121–130.</w:t>
      </w:r>
      <w:r>
        <w:t xml:space="preserve"> </w:t>
      </w:r>
      <w:hyperlink r:id="rId460">
        <w:r>
          <w:rPr>
            <w:rStyle w:val="Hyperlink"/>
          </w:rPr>
          <w:t xml:space="preserve">10.1038/s41587-021-01001-7</w:t>
        </w:r>
      </w:hyperlink>
      <w:r>
        <w:t xml:space="preserve">.</w:t>
      </w:r>
    </w:p>
    <w:bookmarkEnd w:id="461"/>
    <w:bookmarkStart w:id="463" w:name="ref-FU20imAg"/>
    <w:p>
      <w:pPr>
        <w:pStyle w:val="Bibliography"/>
      </w:pPr>
      <w:r>
        <w:t xml:space="preserve">100.</w:t>
      </w:r>
      <w:r>
        <w:t xml:space="preserve"> </w:t>
      </w:r>
      <w:r>
        <w:t xml:space="preserve">	</w:t>
      </w:r>
      <w:r>
        <w:t xml:space="preserve">Aibar, S. (2017). AUCell. Bioconductor.</w:t>
      </w:r>
      <w:r>
        <w:t xml:space="preserve"> </w:t>
      </w:r>
      <w:hyperlink r:id="rId462">
        <w:r>
          <w:rPr>
            <w:rStyle w:val="Hyperlink"/>
          </w:rPr>
          <w:t xml:space="preserve">10.18129/b9.bioc.aucell</w:t>
        </w:r>
      </w:hyperlink>
      <w:r>
        <w:t xml:space="preserve">.</w:t>
      </w:r>
    </w:p>
    <w:bookmarkEnd w:id="463"/>
    <w:bookmarkStart w:id="465" w:name="ref-39MhIsQP"/>
    <w:p>
      <w:pPr>
        <w:pStyle w:val="Bibliography"/>
      </w:pPr>
      <w:r>
        <w:t xml:space="preserve">101.</w:t>
      </w:r>
      <w:r>
        <w:t xml:space="preserve"> </w:t>
      </w:r>
      <w:r>
        <w:t xml:space="preserve">	</w:t>
      </w:r>
      <w:r>
        <w:t xml:space="preserve">Aynaud, M.-M., Mirabeau, O., Gruel, N., Grossetête, S., Boeva, V., Durand, S., Surdez, D., Saulnier, O., Zaïdi, S., Gribkova, S., et al. (2020). Transcriptional Programs Define Intratumoral Heterogeneity of Ewing Sarcoma at Single-Cell Resolution. Cell Reports</w:t>
      </w:r>
      <w:r>
        <w:t xml:space="preserve"> </w:t>
      </w:r>
      <w:r>
        <w:rPr>
          <w:iCs/>
          <w:i/>
        </w:rPr>
        <w:t xml:space="preserve">30</w:t>
      </w:r>
      <w:r>
        <w:t xml:space="preserve">, 1767–1779.e6.</w:t>
      </w:r>
      <w:r>
        <w:t xml:space="preserve"> </w:t>
      </w:r>
      <w:hyperlink r:id="rId464">
        <w:r>
          <w:rPr>
            <w:rStyle w:val="Hyperlink"/>
          </w:rPr>
          <w:t xml:space="preserve">10.1016/j.celrep.2020.01.049</w:t>
        </w:r>
      </w:hyperlink>
      <w:r>
        <w:t xml:space="preserve">.</w:t>
      </w:r>
    </w:p>
    <w:bookmarkEnd w:id="465"/>
    <w:bookmarkStart w:id="467" w:name="ref-ASF2rfc1"/>
    <w:p>
      <w:pPr>
        <w:pStyle w:val="Bibliography"/>
      </w:pPr>
      <w:r>
        <w:t xml:space="preserve">102.</w:t>
      </w:r>
      <w:r>
        <w:t xml:space="preserve"> </w:t>
      </w:r>
      <w:r>
        <w:t xml:space="preserve">	</w:t>
      </w:r>
      <w:r>
        <w:t xml:space="preserve">Staege, M.S., Hutter, C., Neumann, I., Foja, S., Hattenhorst, U.E., Hansen, G., Afar, D., and Burdach, S.E.G. (2004). DNA Microarrays Reveal Relationship of Ewing Family Tumors to Both Endothelial and Fetal Neural Crest-Derived Cells and Define Novel Targets. Cancer Research</w:t>
      </w:r>
      <w:r>
        <w:t xml:space="preserve"> </w:t>
      </w:r>
      <w:r>
        <w:rPr>
          <w:iCs/>
          <w:i/>
        </w:rPr>
        <w:t xml:space="preserve">64</w:t>
      </w:r>
      <w:r>
        <w:t xml:space="preserve">, 8213–8221.</w:t>
      </w:r>
      <w:r>
        <w:t xml:space="preserve"> </w:t>
      </w:r>
      <w:hyperlink r:id="rId466">
        <w:r>
          <w:rPr>
            <w:rStyle w:val="Hyperlink"/>
          </w:rPr>
          <w:t xml:space="preserve">10.1158/0008-5472.can-03-4059</w:t>
        </w:r>
      </w:hyperlink>
      <w:r>
        <w:t xml:space="preserve">.</w:t>
      </w:r>
    </w:p>
    <w:bookmarkEnd w:id="467"/>
    <w:bookmarkStart w:id="469" w:name="ref-fkd931ki"/>
    <w:p>
      <w:pPr>
        <w:pStyle w:val="Bibliography"/>
      </w:pPr>
      <w:r>
        <w:t xml:space="preserve">103.</w:t>
      </w:r>
      <w:r>
        <w:t xml:space="preserve"> </w:t>
      </w:r>
      <w:r>
        <w:t xml:space="preserve">	</w:t>
      </w:r>
      <w:r>
        <w:t xml:space="preserve">Wrenn, E.D., Apfelbaum, A.A., Rudzinski, E.R., Deng, X., Jiang, W., Sud, S., Van Noord, R.A., Newman, E.A., Garcia, N.M., Miyaki, A., et al. (2023). Cancer-Associated Fibroblast-Like Tumor Cells Remodel the Ewing Sarcoma Tumor Microenvironment. Clinical Cancer Research</w:t>
      </w:r>
      <w:r>
        <w:t xml:space="preserve"> </w:t>
      </w:r>
      <w:r>
        <w:rPr>
          <w:iCs/>
          <w:i/>
        </w:rPr>
        <w:t xml:space="preserve">29</w:t>
      </w:r>
      <w:r>
        <w:t xml:space="preserve">, 5140–5154.</w:t>
      </w:r>
      <w:r>
        <w:t xml:space="preserve"> </w:t>
      </w:r>
      <w:hyperlink r:id="rId468">
        <w:r>
          <w:rPr>
            <w:rStyle w:val="Hyperlink"/>
          </w:rPr>
          <w:t xml:space="preserve">10.1158/1078-0432.ccr-23-1111</w:t>
        </w:r>
      </w:hyperlink>
      <w:r>
        <w:t xml:space="preserve">.</w:t>
      </w:r>
    </w:p>
    <w:bookmarkEnd w:id="469"/>
    <w:bookmarkStart w:id="471" w:name="ref-1CbVoEpNJ"/>
    <w:p>
      <w:pPr>
        <w:pStyle w:val="Bibliography"/>
      </w:pPr>
      <w:r>
        <w:t xml:space="preserve">104.</w:t>
      </w:r>
      <w:r>
        <w:t xml:space="preserve"> </w:t>
      </w:r>
      <w:r>
        <w:t xml:space="preserve">	</w:t>
      </w:r>
      <w:r>
        <w:t xml:space="preserve">Liberzon, A., Birger, C., Thorvaldsdóttir, H., Ghandi, M., Mesirov, Jill P., and Tamayo, P. (2015). The Molecular Signatures Database Hallmark Gene Set Collection. Cell Systems</w:t>
      </w:r>
      <w:r>
        <w:t xml:space="preserve"> </w:t>
      </w:r>
      <w:r>
        <w:rPr>
          <w:iCs/>
          <w:i/>
        </w:rPr>
        <w:t xml:space="preserve">1</w:t>
      </w:r>
      <w:r>
        <w:t xml:space="preserve">, 417–425.</w:t>
      </w:r>
      <w:r>
        <w:t xml:space="preserve"> </w:t>
      </w:r>
      <w:hyperlink r:id="rId470">
        <w:r>
          <w:rPr>
            <w:rStyle w:val="Hyperlink"/>
          </w:rPr>
          <w:t xml:space="preserve">10.1016/j.cels.2015.12.004</w:t>
        </w:r>
      </w:hyperlink>
      <w:r>
        <w:t xml:space="preserve">.</w:t>
      </w:r>
    </w:p>
    <w:bookmarkEnd w:id="471"/>
    <w:bookmarkStart w:id="473" w:name="ref-kILCvszy"/>
    <w:p>
      <w:pPr>
        <w:pStyle w:val="Bibliography"/>
      </w:pPr>
      <w:r>
        <w:t xml:space="preserve">105.</w:t>
      </w:r>
      <w:r>
        <w:t xml:space="preserve"> </w:t>
      </w:r>
      <w:r>
        <w:t xml:space="preserve">	</w:t>
      </w:r>
      <w:r>
        <w:t xml:space="preserve">Haghverdi, L., Lun, A.T.L., Morgan, M.D., and Marioni, J.C. (2018). Batch effects in single-cell RNA-sequencing data are corrected by matching mutual nearest neighbors. Nat Biotechnol</w:t>
      </w:r>
      <w:r>
        <w:t xml:space="preserve"> </w:t>
      </w:r>
      <w:r>
        <w:rPr>
          <w:iCs/>
          <w:i/>
        </w:rPr>
        <w:t xml:space="preserve">36</w:t>
      </w:r>
      <w:r>
        <w:t xml:space="preserve">, 421–427.</w:t>
      </w:r>
      <w:r>
        <w:t xml:space="preserve"> </w:t>
      </w:r>
      <w:hyperlink r:id="rId472">
        <w:r>
          <w:rPr>
            <w:rStyle w:val="Hyperlink"/>
          </w:rPr>
          <w:t xml:space="preserve">10.1038/nbt.4091</w:t>
        </w:r>
      </w:hyperlink>
      <w:r>
        <w:t xml:space="preserve">.</w:t>
      </w:r>
    </w:p>
    <w:bookmarkEnd w:id="473"/>
    <w:bookmarkStart w:id="475" w:name="ref-11dH4UgRF"/>
    <w:p>
      <w:pPr>
        <w:pStyle w:val="Bibliography"/>
      </w:pPr>
      <w:r>
        <w:t xml:space="preserve">106.</w:t>
      </w:r>
      <w:r>
        <w:t xml:space="preserve"> </w:t>
      </w:r>
      <w:r>
        <w:t xml:space="preserve">	</w:t>
      </w:r>
      <w:r>
        <w:t xml:space="preserve">Zappia, L., and Lun, A.T.L. (2020). zellkonverter. Bioconductor.</w:t>
      </w:r>
      <w:r>
        <w:t xml:space="preserve"> </w:t>
      </w:r>
      <w:hyperlink r:id="rId474">
        <w:r>
          <w:rPr>
            <w:rStyle w:val="Hyperlink"/>
          </w:rPr>
          <w:t xml:space="preserve">10.18129/b9.bioc.zellkonverter</w:t>
        </w:r>
      </w:hyperlink>
      <w:r>
        <w:t xml:space="preserve">.</w:t>
      </w:r>
    </w:p>
    <w:bookmarkEnd w:id="475"/>
    <w:bookmarkStart w:id="477" w:name="ref-w9AOzBMw"/>
    <w:p>
      <w:pPr>
        <w:pStyle w:val="Bibliography"/>
      </w:pPr>
      <w:r>
        <w:t xml:space="preserve">107.</w:t>
      </w:r>
      <w:r>
        <w:t xml:space="preserve"> </w:t>
      </w:r>
      <w:r>
        <w:t xml:space="preserve">	</w:t>
      </w:r>
      <w:r>
        <w:t xml:space="preserve">Love, M.I., Huber, W., and Anders, S. (2014). Moderated estimation of fold change and dispersion for RNA-seq data with DESeq2. Genome Biol</w:t>
      </w:r>
      <w:r>
        <w:t xml:space="preserve"> </w:t>
      </w:r>
      <w:r>
        <w:rPr>
          <w:iCs/>
          <w:i/>
        </w:rPr>
        <w:t xml:space="preserve">15</w:t>
      </w:r>
      <w:r>
        <w:t xml:space="preserve">, 550.</w:t>
      </w:r>
      <w:r>
        <w:t xml:space="preserve"> </w:t>
      </w:r>
      <w:hyperlink r:id="rId476">
        <w:r>
          <w:rPr>
            <w:rStyle w:val="Hyperlink"/>
          </w:rPr>
          <w:t xml:space="preserve">10.1186/s13059-014-0550-8</w:t>
        </w:r>
      </w:hyperlink>
      <w:r>
        <w:t xml:space="preserve">.</w:t>
      </w:r>
    </w:p>
    <w:bookmarkEnd w:id="477"/>
    <w:bookmarkStart w:id="479" w:name="ref-AUoV0xkq"/>
    <w:p>
      <w:pPr>
        <w:pStyle w:val="Bibliography"/>
      </w:pPr>
      <w:r>
        <w:t xml:space="preserve">108.</w:t>
      </w:r>
      <w:r>
        <w:t xml:space="preserve"> </w:t>
      </w:r>
      <w:r>
        <w:t xml:space="preserve">	</w:t>
      </w:r>
      <w:r>
        <w:t xml:space="preserve">Bates, D., Mächler, M., Bolker, B., and Walker, S. (2015). Fitting Linear Mixed-Effects Models Using lme4. Journal of Statistical Software</w:t>
      </w:r>
      <w:r>
        <w:t xml:space="preserve"> </w:t>
      </w:r>
      <w:r>
        <w:rPr>
          <w:iCs/>
          <w:i/>
        </w:rPr>
        <w:t xml:space="preserve">67</w:t>
      </w:r>
      <w:r>
        <w:t xml:space="preserve">, 1–48.</w:t>
      </w:r>
      <w:r>
        <w:t xml:space="preserve"> </w:t>
      </w:r>
      <w:hyperlink r:id="rId478">
        <w:r>
          <w:rPr>
            <w:rStyle w:val="Hyperlink"/>
          </w:rPr>
          <w:t xml:space="preserve">10.18637/jss.v067.i01</w:t>
        </w:r>
      </w:hyperlink>
      <w:r>
        <w:t xml:space="preserve">.</w:t>
      </w:r>
    </w:p>
    <w:bookmarkEnd w:id="479"/>
    <w:bookmarkStart w:id="481" w:name="ref-UeFCwwR7"/>
    <w:p>
      <w:pPr>
        <w:pStyle w:val="Bibliography"/>
      </w:pPr>
      <w:r>
        <w:t xml:space="preserve">109.</w:t>
      </w:r>
      <w:r>
        <w:t xml:space="preserve"> </w:t>
      </w:r>
      <w:r>
        <w:t xml:space="preserve">	</w:t>
      </w:r>
      <w:r>
        <w:t xml:space="preserve">Benjamini, Y., and Hochberg, Y. (1995). Controlling the False Discovery Rate: A Practical and Powerful Approach to Multiple Testing. Journal of the Royal Statistical Society Series B: Statistical Methodology</w:t>
      </w:r>
      <w:r>
        <w:t xml:space="preserve"> </w:t>
      </w:r>
      <w:r>
        <w:rPr>
          <w:iCs/>
          <w:i/>
        </w:rPr>
        <w:t xml:space="preserve">57</w:t>
      </w:r>
      <w:r>
        <w:t xml:space="preserve">, 289–300.</w:t>
      </w:r>
      <w:r>
        <w:t xml:space="preserve"> </w:t>
      </w:r>
      <w:hyperlink r:id="rId480">
        <w:r>
          <w:rPr>
            <w:rStyle w:val="Hyperlink"/>
          </w:rPr>
          <w:t xml:space="preserve">10.1111/j.2517-6161.1995.tb02031.x</w:t>
        </w:r>
      </w:hyperlink>
      <w:r>
        <w:t xml:space="preserve">.</w:t>
      </w:r>
    </w:p>
    <w:bookmarkEnd w:id="481"/>
    <w:bookmarkStart w:id="483" w:name="ref-Tz8I0Kbo"/>
    <w:p>
      <w:pPr>
        <w:pStyle w:val="Bibliography"/>
      </w:pPr>
      <w:r>
        <w:t xml:space="preserve">110.</w:t>
      </w:r>
      <w:r>
        <w:t xml:space="preserve"> </w:t>
      </w:r>
      <w:r>
        <w:t xml:space="preserve">	</w:t>
      </w:r>
      <w:r>
        <w:t xml:space="preserve">Spielman, S.J., Hawkins, A., Shapiro, J., Taroni, J., Plaschka, M., O'Malley, J., UTSouthwesternDSSR, Prasad, D.V., Chen, J., Truong, D., et al. (2026). AlexsLemonade/OpenScPCA-analysis. Zenodo.</w:t>
      </w:r>
      <w:r>
        <w:t xml:space="preserve"> </w:t>
      </w:r>
      <w:hyperlink r:id="rId482">
        <w:r>
          <w:rPr>
            <w:rStyle w:val="Hyperlink"/>
          </w:rPr>
          <w:t xml:space="preserve">10.5281/zenodo.18459136</w:t>
        </w:r>
      </w:hyperlink>
      <w:r>
        <w:t xml:space="preserve">.</w:t>
      </w:r>
    </w:p>
    <w:bookmarkEnd w:id="483"/>
    <w:bookmarkStart w:id="485" w:name="ref-1FeTc3bro"/>
    <w:p>
      <w:pPr>
        <w:pStyle w:val="Bibliography"/>
      </w:pPr>
      <w:r>
        <w:t xml:space="preserve">111.</w:t>
      </w:r>
      <w:r>
        <w:t xml:space="preserve"> </w:t>
      </w:r>
      <w:r>
        <w:t xml:space="preserve">	</w:t>
      </w:r>
      <w:r>
        <w:t xml:space="preserve">McCarthy, D.J., Campbell, K.R., Lun, A.T.L., and Wills, Q.F. (2017). Scater: pre-processing, quality control, normalization and visualization of single-cell RNA-seq data in R. Bioinformatics</w:t>
      </w:r>
      <w:r>
        <w:t xml:space="preserve"> </w:t>
      </w:r>
      <w:r>
        <w:rPr>
          <w:iCs/>
          <w:i/>
        </w:rPr>
        <w:t xml:space="preserve">33</w:t>
      </w:r>
      <w:r>
        <w:t xml:space="preserve">, 1179–1186.</w:t>
      </w:r>
      <w:r>
        <w:t xml:space="preserve"> </w:t>
      </w:r>
      <w:hyperlink r:id="rId484">
        <w:r>
          <w:rPr>
            <w:rStyle w:val="Hyperlink"/>
          </w:rPr>
          <w:t xml:space="preserve">10.1093/bioinformatics/btw777</w:t>
        </w:r>
      </w:hyperlink>
      <w:r>
        <w:t xml:space="preserve">.</w:t>
      </w:r>
    </w:p>
    <w:bookmarkEnd w:id="485"/>
    <w:bookmarkStart w:id="487" w:name="ref-X2EFLnD7"/>
    <w:p>
      <w:pPr>
        <w:pStyle w:val="Bibliography"/>
      </w:pPr>
      <w:r>
        <w:t xml:space="preserve">112.</w:t>
      </w:r>
      <w:r>
        <w:t xml:space="preserve"> </w:t>
      </w:r>
      <w:r>
        <w:t xml:space="preserve">	</w:t>
      </w:r>
      <w:r>
        <w:t xml:space="preserve">Lun, A.T.L., McCarthy, D.J., and Marioni, J.C. (2016). A step-by-step workflow for low-level analysis of single-cell RNA-seq data with Bioconductor. F1000Res</w:t>
      </w:r>
      <w:r>
        <w:t xml:space="preserve"> </w:t>
      </w:r>
      <w:r>
        <w:rPr>
          <w:iCs/>
          <w:i/>
        </w:rPr>
        <w:t xml:space="preserve">5</w:t>
      </w:r>
      <w:r>
        <w:t xml:space="preserve">, 2122.</w:t>
      </w:r>
      <w:r>
        <w:t xml:space="preserve"> </w:t>
      </w:r>
      <w:hyperlink r:id="rId486">
        <w:r>
          <w:rPr>
            <w:rStyle w:val="Hyperlink"/>
          </w:rPr>
          <w:t xml:space="preserve">10.12688/f1000research.9501.2</w:t>
        </w:r>
      </w:hyperlink>
      <w:r>
        <w:t xml:space="preserve">.</w:t>
      </w:r>
    </w:p>
    <w:bookmarkEnd w:id="487"/>
    <w:bookmarkStart w:id="489" w:name="ref-9gUQAQ3a"/>
    <w:p>
      <w:pPr>
        <w:pStyle w:val="Bibliography"/>
      </w:pPr>
      <w:r>
        <w:t xml:space="preserve">113.</w:t>
      </w:r>
      <w:r>
        <w:t xml:space="preserve"> </w:t>
      </w:r>
      <w:r>
        <w:t xml:space="preserve">	</w:t>
      </w:r>
      <w:r>
        <w:t xml:space="preserve">Hao, Y., Stuart, T., Kowalski, M.H., Choudhary, S., Hoffman, P., Hartman, A., Srivastava, A., Molla, G., Madad, S., Fernandez-Granda, C., et al. (2023). Dictionary learning for integrative, multimodal and scalable single-cell analysis. Nat Biotechnol</w:t>
      </w:r>
      <w:r>
        <w:t xml:space="preserve"> </w:t>
      </w:r>
      <w:r>
        <w:rPr>
          <w:iCs/>
          <w:i/>
        </w:rPr>
        <w:t xml:space="preserve">42</w:t>
      </w:r>
      <w:r>
        <w:t xml:space="preserve">, 293–304.</w:t>
      </w:r>
      <w:r>
        <w:t xml:space="preserve"> </w:t>
      </w:r>
      <w:hyperlink r:id="rId488">
        <w:r>
          <w:rPr>
            <w:rStyle w:val="Hyperlink"/>
          </w:rPr>
          <w:t xml:space="preserve">10.1038/s41587-023-01767-y</w:t>
        </w:r>
      </w:hyperlink>
      <w:r>
        <w:t xml:space="preserve">.</w:t>
      </w:r>
    </w:p>
    <w:bookmarkEnd w:id="489"/>
    <w:bookmarkStart w:id="491" w:name="ref-ym9s8sSS"/>
    <w:p>
      <w:pPr>
        <w:pStyle w:val="Bibliography"/>
      </w:pPr>
      <w:r>
        <w:t xml:space="preserve">114.</w:t>
      </w:r>
      <w:r>
        <w:t xml:space="preserve"> </w:t>
      </w:r>
      <w:r>
        <w:t xml:space="preserve">	</w:t>
      </w:r>
      <w:r>
        <w:t xml:space="preserve">Huang, Y., McCarthy, D.J., and Stegle, O. (2019). Vireo: Bayesian demultiplexing of pooled single-cell RNA-seq data without genotype reference. Genome Biol</w:t>
      </w:r>
      <w:r>
        <w:t xml:space="preserve"> </w:t>
      </w:r>
      <w:r>
        <w:rPr>
          <w:iCs/>
          <w:i/>
        </w:rPr>
        <w:t xml:space="preserve">20</w:t>
      </w:r>
      <w:r>
        <w:t xml:space="preserve">, 273.</w:t>
      </w:r>
      <w:r>
        <w:t xml:space="preserve"> </w:t>
      </w:r>
      <w:hyperlink r:id="rId490">
        <w:r>
          <w:rPr>
            <w:rStyle w:val="Hyperlink"/>
          </w:rPr>
          <w:t xml:space="preserve">10.1186/s13059-019-1865-2</w:t>
        </w:r>
      </w:hyperlink>
      <w:r>
        <w:t xml:space="preserve">.</w:t>
      </w:r>
    </w:p>
    <w:bookmarkEnd w:id="491"/>
    <w:bookmarkStart w:id="493" w:name="ref-7NobF7Ei"/>
    <w:p>
      <w:pPr>
        <w:pStyle w:val="Bibliography"/>
      </w:pPr>
      <w:r>
        <w:t xml:space="preserve">115.</w:t>
      </w:r>
      <w:r>
        <w:t xml:space="preserve"> </w:t>
      </w:r>
      <w:r>
        <w:t xml:space="preserve">	</w:t>
      </w:r>
      <w:r>
        <w:t xml:space="preserve">Chan Zuckerberg Initiative. Cellxgene Data Portal.</w:t>
      </w:r>
      <w:r>
        <w:t xml:space="preserve"> </w:t>
      </w:r>
      <w:hyperlink r:id="rId492">
        <w:r>
          <w:rPr>
            <w:rStyle w:val="Hyperlink"/>
          </w:rPr>
          <w:t xml:space="preserve">https://cellxgene.cziscience.com/</w:t>
        </w:r>
      </w:hyperlink>
      <w:r>
        <w:t xml:space="preserve">.</w:t>
      </w:r>
    </w:p>
    <w:bookmarkEnd w:id="493"/>
    <w:bookmarkStart w:id="495" w:name="ref-2s2OenA"/>
    <w:p>
      <w:pPr>
        <w:pStyle w:val="Bibliography"/>
      </w:pPr>
      <w:r>
        <w:t xml:space="preserve">116.</w:t>
      </w:r>
      <w:r>
        <w:t xml:space="preserve"> </w:t>
      </w:r>
      <w:r>
        <w:t xml:space="preserve">	</w:t>
      </w:r>
      <w:r>
        <w:t xml:space="preserve">Lun, A.T.L., and Kancherla, J. (2023). Powering single-cell analyses in the browser with</w:t>
      </w:r>
      <w:r>
        <w:t xml:space="preserve"> </w:t>
      </w:r>
      <w:r>
        <w:t xml:space="preserve">WebAssembly. JOSS</w:t>
      </w:r>
      <w:r>
        <w:t xml:space="preserve"> </w:t>
      </w:r>
      <w:r>
        <w:rPr>
          <w:iCs/>
          <w:i/>
        </w:rPr>
        <w:t xml:space="preserve">8</w:t>
      </w:r>
      <w:r>
        <w:t xml:space="preserve">, 5603.</w:t>
      </w:r>
      <w:r>
        <w:t xml:space="preserve"> </w:t>
      </w:r>
      <w:hyperlink r:id="rId494">
        <w:r>
          <w:rPr>
            <w:rStyle w:val="Hyperlink"/>
          </w:rPr>
          <w:t xml:space="preserve">10.21105/joss.05603</w:t>
        </w:r>
      </w:hyperlink>
      <w:r>
        <w:t xml:space="preserve">.</w:t>
      </w:r>
    </w:p>
    <w:bookmarkEnd w:id="495"/>
    <w:bookmarkStart w:id="497" w:name="ref-1FzXrvESX"/>
    <w:p>
      <w:pPr>
        <w:pStyle w:val="Bibliography"/>
      </w:pPr>
      <w:r>
        <w:t xml:space="preserve">117.</w:t>
      </w:r>
      <w:r>
        <w:t xml:space="preserve"> </w:t>
      </w:r>
      <w:r>
        <w:t xml:space="preserve">	</w:t>
      </w:r>
      <w:r>
        <w:t xml:space="preserve">Kancherla, J., and Lun, A.T.L. kana.</w:t>
      </w:r>
      <w:r>
        <w:t xml:space="preserve"> </w:t>
      </w:r>
      <w:hyperlink r:id="rId496">
        <w:r>
          <w:rPr>
            <w:rStyle w:val="Hyperlink"/>
          </w:rPr>
          <w:t xml:space="preserve">https://www.kanaverse.org/kana/</w:t>
        </w:r>
      </w:hyperlink>
      <w:r>
        <w:t xml:space="preserve">.</w:t>
      </w:r>
    </w:p>
    <w:bookmarkEnd w:id="497"/>
    <w:bookmarkStart w:id="499" w:name="ref-Whp3r83M"/>
    <w:p>
      <w:pPr>
        <w:pStyle w:val="Bibliography"/>
      </w:pPr>
      <w:r>
        <w:t xml:space="preserve">118.</w:t>
      </w:r>
      <w:r>
        <w:t xml:space="preserve"> </w:t>
      </w:r>
      <w:r>
        <w:t xml:space="preserve">	</w:t>
      </w:r>
      <w:r>
        <w:t xml:space="preserve">Li, H., Zhou, J., Li, Z., Chen, S., Liao, X., Zhang, B., Zhang, R., Wang, Y., Sun, S., and Gao, X. (2023). A comprehensive benchmarking with practical guidelines for cellular deconvolution of spatial transcriptomics. Nat Commun</w:t>
      </w:r>
      <w:r>
        <w:t xml:space="preserve"> </w:t>
      </w:r>
      <w:r>
        <w:rPr>
          <w:iCs/>
          <w:i/>
        </w:rPr>
        <w:t xml:space="preserve">14</w:t>
      </w:r>
      <w:r>
        <w:t xml:space="preserve">, 1548.</w:t>
      </w:r>
      <w:r>
        <w:t xml:space="preserve"> </w:t>
      </w:r>
      <w:hyperlink r:id="rId498">
        <w:r>
          <w:rPr>
            <w:rStyle w:val="Hyperlink"/>
          </w:rPr>
          <w:t xml:space="preserve">10.1038/s41467-023-37168-7</w:t>
        </w:r>
      </w:hyperlink>
      <w:r>
        <w:t xml:space="preserve">.</w:t>
      </w:r>
    </w:p>
    <w:bookmarkEnd w:id="499"/>
    <w:bookmarkStart w:id="501" w:name="ref-mgOojr60"/>
    <w:p>
      <w:pPr>
        <w:pStyle w:val="Bibliography"/>
      </w:pPr>
      <w:r>
        <w:t xml:space="preserve">119.</w:t>
      </w:r>
      <w:r>
        <w:t xml:space="preserve"> </w:t>
      </w:r>
      <w:r>
        <w:t xml:space="preserve">	</w:t>
      </w:r>
      <w:r>
        <w:t xml:space="preserve">Avila Cobos, F., Vandesompele, J., Mestdagh, P., and De Preter, K. (2018). Computational deconvolution of transcriptomics data from mixed cell populations. Bioinformatics</w:t>
      </w:r>
      <w:r>
        <w:t xml:space="preserve"> </w:t>
      </w:r>
      <w:r>
        <w:rPr>
          <w:iCs/>
          <w:i/>
        </w:rPr>
        <w:t xml:space="preserve">34</w:t>
      </w:r>
      <w:r>
        <w:t xml:space="preserve">, 1969–1979.</w:t>
      </w:r>
      <w:r>
        <w:t xml:space="preserve"> </w:t>
      </w:r>
      <w:hyperlink r:id="rId500">
        <w:r>
          <w:rPr>
            <w:rStyle w:val="Hyperlink"/>
          </w:rPr>
          <w:t xml:space="preserve">10.1093/bioinformatics/bty019</w:t>
        </w:r>
      </w:hyperlink>
      <w:r>
        <w:t xml:space="preserve">.</w:t>
      </w:r>
    </w:p>
    <w:bookmarkEnd w:id="501"/>
    <w:bookmarkStart w:id="503" w:name="ref-GpuiAcfU"/>
    <w:p>
      <w:pPr>
        <w:pStyle w:val="Bibliography"/>
      </w:pPr>
      <w:r>
        <w:t xml:space="preserve">120.</w:t>
      </w:r>
      <w:r>
        <w:t xml:space="preserve"> </w:t>
      </w:r>
      <w:r>
        <w:t xml:space="preserve">	</w:t>
      </w:r>
      <w:r>
        <w:t xml:space="preserve">Cobos, F.A., Panah, M.J.N., Epps, J., Long, X., Man, T.-K., Chiu, H.-S., Chomsky, E., Kiner, E., Krueger, M.J., di Bernardo, D., et al. (2023). Effective methods for bulk RNA-seq deconvolution using scnRNA-seq transcriptomes. Genome Biol</w:t>
      </w:r>
      <w:r>
        <w:t xml:space="preserve"> </w:t>
      </w:r>
      <w:r>
        <w:rPr>
          <w:iCs/>
          <w:i/>
        </w:rPr>
        <w:t xml:space="preserve">24</w:t>
      </w:r>
      <w:r>
        <w:t xml:space="preserve">, 177.</w:t>
      </w:r>
      <w:r>
        <w:t xml:space="preserve"> </w:t>
      </w:r>
      <w:hyperlink r:id="rId502">
        <w:r>
          <w:rPr>
            <w:rStyle w:val="Hyperlink"/>
          </w:rPr>
          <w:t xml:space="preserve">10.1186/s13059-023-03016-6</w:t>
        </w:r>
      </w:hyperlink>
      <w:r>
        <w:t xml:space="preserve">.</w:t>
      </w:r>
    </w:p>
    <w:bookmarkEnd w:id="503"/>
    <w:bookmarkStart w:id="505" w:name="ref-U5WisTG5"/>
    <w:p>
      <w:pPr>
        <w:pStyle w:val="Bibliography"/>
      </w:pPr>
      <w:r>
        <w:t xml:space="preserve">121.</w:t>
      </w:r>
      <w:r>
        <w:t xml:space="preserve"> </w:t>
      </w:r>
      <w:r>
        <w:t xml:space="preserve">	</w:t>
      </w:r>
      <w:r>
        <w:t xml:space="preserve">Lilly, J.V., Rokita, J.L., Mason, J.L., Patton, T., Stefankiewiz, S., Higgins, D., Trooskin, G., Larouci, C.A., Arya, K., Appert, E., et al. (2023). The children's brain tumor network (CBTN) - Accelerating research in pediatric central nervous system tumors through collaboration and open science. Neoplasia</w:t>
      </w:r>
      <w:r>
        <w:t xml:space="preserve"> </w:t>
      </w:r>
      <w:r>
        <w:rPr>
          <w:iCs/>
          <w:i/>
        </w:rPr>
        <w:t xml:space="preserve">35</w:t>
      </w:r>
      <w:r>
        <w:t xml:space="preserve">, 100846.</w:t>
      </w:r>
      <w:r>
        <w:t xml:space="preserve"> </w:t>
      </w:r>
      <w:hyperlink r:id="rId504">
        <w:r>
          <w:rPr>
            <w:rStyle w:val="Hyperlink"/>
          </w:rPr>
          <w:t xml:space="preserve">10.1016/j.neo.2022.100846</w:t>
        </w:r>
      </w:hyperlink>
      <w:r>
        <w:t xml:space="preserve">.</w:t>
      </w:r>
    </w:p>
    <w:bookmarkEnd w:id="505"/>
    <w:bookmarkStart w:id="507" w:name="ref-5VXMHJ7N"/>
    <w:p>
      <w:pPr>
        <w:pStyle w:val="Bibliography"/>
      </w:pPr>
      <w:r>
        <w:t xml:space="preserve">122.</w:t>
      </w:r>
      <w:r>
        <w:t xml:space="preserve"> </w:t>
      </w:r>
      <w:r>
        <w:t xml:space="preserve">	</w:t>
      </w:r>
      <w:r>
        <w:t xml:space="preserve">Shapiro, J.A., Gaonkar, K.S., Spielman, S.J., Savonen, C.L., Bethell, C.J., Jin, R., Rathi, K.S., Zhu, Y., Egolf, L.E., Farrow, B.K., et al. (2023). OpenPBTA: The Open Pediatric Brain Tumor Atlas. Cell Genomics</w:t>
      </w:r>
      <w:r>
        <w:t xml:space="preserve"> </w:t>
      </w:r>
      <w:r>
        <w:rPr>
          <w:iCs/>
          <w:i/>
        </w:rPr>
        <w:t xml:space="preserve">3</w:t>
      </w:r>
      <w:r>
        <w:t xml:space="preserve">, 100340.</w:t>
      </w:r>
      <w:r>
        <w:t xml:space="preserve"> </w:t>
      </w:r>
      <w:hyperlink r:id="rId506">
        <w:r>
          <w:rPr>
            <w:rStyle w:val="Hyperlink"/>
          </w:rPr>
          <w:t xml:space="preserve">10.1016/j.xgen.2023.100340</w:t>
        </w:r>
      </w:hyperlink>
      <w:r>
        <w:t xml:space="preserve">.</w:t>
      </w:r>
    </w:p>
    <w:bookmarkEnd w:id="507"/>
    <w:bookmarkStart w:id="509" w:name="ref-TSJacwEL"/>
    <w:p>
      <w:pPr>
        <w:pStyle w:val="Bibliography"/>
      </w:pPr>
      <w:r>
        <w:t xml:space="preserve">123.</w:t>
      </w:r>
      <w:r>
        <w:t xml:space="preserve"> </w:t>
      </w:r>
      <w:r>
        <w:t xml:space="preserve">	</w:t>
      </w:r>
      <w:r>
        <w:t xml:space="preserve">Patel, A.G., Ashenberg, O., Collins, N.B., Segerstolpe, Å., Jiang, S., Slyper, M., Huang, X., Caraccio, C., Jin, H., Sheppard, H., et al. (2024). A spatial cell atlas of neuroblastoma reveals developmental, epigenetic and spatial axis of tumor heterogeneity. Preprint at bioRxiv.</w:t>
      </w:r>
      <w:r>
        <w:t xml:space="preserve"> </w:t>
      </w:r>
      <w:hyperlink r:id="rId508">
        <w:r>
          <w:rPr>
            <w:rStyle w:val="Hyperlink"/>
          </w:rPr>
          <w:t xml:space="preserve">10.1101/2024.01.07.574538</w:t>
        </w:r>
      </w:hyperlink>
      <w:r>
        <w:t xml:space="preserve">.</w:t>
      </w:r>
    </w:p>
    <w:bookmarkEnd w:id="509"/>
    <w:bookmarkStart w:id="511" w:name="ref-1G3mGXjU5"/>
    <w:p>
      <w:pPr>
        <w:pStyle w:val="Bibliography"/>
      </w:pPr>
      <w:r>
        <w:t xml:space="preserve">124.</w:t>
      </w:r>
      <w:r>
        <w:t xml:space="preserve"> </w:t>
      </w:r>
      <w:r>
        <w:t xml:space="preserve">	</w:t>
      </w:r>
      <w:r>
        <w:t xml:space="preserve">Chapple, R.H., Liu, X., Natarajan, S., Alexander, M.I.M., Kim, Y., Patel, A.G., LaFlamme, C.W., Pan, M., Wright, W.C., Lee, H.-M., et al. (2024). An integrated single-cell RNA-seq map of human neuroblastoma tumors and preclinical models uncovers divergent mesenchymal-like gene expression programs. Genome Biol</w:t>
      </w:r>
      <w:r>
        <w:t xml:space="preserve"> </w:t>
      </w:r>
      <w:r>
        <w:rPr>
          <w:iCs/>
          <w:i/>
        </w:rPr>
        <w:t xml:space="preserve">25</w:t>
      </w:r>
      <w:r>
        <w:t xml:space="preserve">, 161.</w:t>
      </w:r>
      <w:r>
        <w:t xml:space="preserve"> </w:t>
      </w:r>
      <w:hyperlink r:id="rId510">
        <w:r>
          <w:rPr>
            <w:rStyle w:val="Hyperlink"/>
          </w:rPr>
          <w:t xml:space="preserve">10.1186/s13059-024-03309-4</w:t>
        </w:r>
      </w:hyperlink>
      <w:r>
        <w:t xml:space="preserve">.</w:t>
      </w:r>
    </w:p>
    <w:bookmarkEnd w:id="511"/>
    <w:bookmarkEnd w:id="512"/>
    <w:bookmarkEnd w:id="51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804c5bac5379db7d0cba1e3184cc3eb2a8a58dea/" TargetMode="External" /><Relationship Type="http://schemas.openxmlformats.org/officeDocument/2006/relationships/hyperlink" Id="rId129" Target="https://alexslemonade.github.io/ScPCAr/" TargetMode="External" /><Relationship Type="http://schemas.openxmlformats.org/officeDocument/2006/relationships/hyperlink" Id="rId205" Target="https://api.scpca.alexslemonade.org/docs/" TargetMode="External" /><Relationship Type="http://schemas.openxmlformats.org/officeDocument/2006/relationships/hyperlink" Id="rId444" Target="https://bioconductor.org/books/release/SingleRBook/annotation-diagnostics.html#based-on-the-deltas-across-cells" TargetMode="External" /><Relationship Type="http://schemas.openxmlformats.org/officeDocument/2006/relationships/hyperlink" Id="rId424" Target="https://cellxgene.cziscience.com" TargetMode="External" /><Relationship Type="http://schemas.openxmlformats.org/officeDocument/2006/relationships/hyperlink" Id="rId492" Target="https://cellxgene.cziscience.com/" TargetMode="External" /><Relationship Type="http://schemas.openxmlformats.org/officeDocument/2006/relationships/hyperlink" Id="rId284" Target="https://doi.org/10.1002/cti2.70033" TargetMode="External" /><Relationship Type="http://schemas.openxmlformats.org/officeDocument/2006/relationships/hyperlink" Id="rId280" Target="https://doi.org/10.1016/j.cell.2020.03.053" TargetMode="External" /><Relationship Type="http://schemas.openxmlformats.org/officeDocument/2006/relationships/hyperlink" Id="rId464" Target="https://doi.org/10.1016/j.celrep.2020.01.049" TargetMode="External" /><Relationship Type="http://schemas.openxmlformats.org/officeDocument/2006/relationships/hyperlink" Id="rId394" Target="https://doi.org/10.1016/j.celrep.2024.114804" TargetMode="External" /><Relationship Type="http://schemas.openxmlformats.org/officeDocument/2006/relationships/hyperlink" Id="rId470" Target="https://doi.org/10.1016/j.cels.2015.12.004" TargetMode="External" /><Relationship Type="http://schemas.openxmlformats.org/officeDocument/2006/relationships/hyperlink" Id="rId320" Target="https://doi.org/10.1016/j.devcel.2022.04.003" TargetMode="External" /><Relationship Type="http://schemas.openxmlformats.org/officeDocument/2006/relationships/hyperlink" Id="rId504" Target="https://doi.org/10.1016/j.neo.2022.100846" TargetMode="External" /><Relationship Type="http://schemas.openxmlformats.org/officeDocument/2006/relationships/hyperlink" Id="rId506" Target="https://doi.org/10.1016/j.xgen.2023.100340" TargetMode="External" /><Relationship Type="http://schemas.openxmlformats.org/officeDocument/2006/relationships/hyperlink" Id="rId442" Target="https://doi.org/10.1038/nature11247" TargetMode="External" /><Relationship Type="http://schemas.openxmlformats.org/officeDocument/2006/relationships/hyperlink" Id="rId326" Target="https://doi.org/10.1038/nature23647" TargetMode="External" /><Relationship Type="http://schemas.openxmlformats.org/officeDocument/2006/relationships/hyperlink" Id="rId292" Target="https://doi.org/10.1038/nbt.3820" TargetMode="External" /><Relationship Type="http://schemas.openxmlformats.org/officeDocument/2006/relationships/hyperlink" Id="rId472" Target="https://doi.org/10.1038/nbt.4091" TargetMode="External" /><Relationship Type="http://schemas.openxmlformats.org/officeDocument/2006/relationships/hyperlink" Id="rId346" Target="https://doi.org/10.1038/ncomms14049" TargetMode="External" /><Relationship Type="http://schemas.openxmlformats.org/officeDocument/2006/relationships/hyperlink" Id="rId338" Target="https://doi.org/10.1038/ng1007-1181" TargetMode="External" /><Relationship Type="http://schemas.openxmlformats.org/officeDocument/2006/relationships/hyperlink" Id="rId352" Target="https://doi.org/10.1038/nmeth.3252" TargetMode="External" /><Relationship Type="http://schemas.openxmlformats.org/officeDocument/2006/relationships/hyperlink" Id="rId378" Target="https://doi.org/10.1038/nmeth.4197" TargetMode="External" /><Relationship Type="http://schemas.openxmlformats.org/officeDocument/2006/relationships/hyperlink" Id="rId334" Target="https://doi.org/10.1038/nmeth.4380" TargetMode="External" /><Relationship Type="http://schemas.openxmlformats.org/officeDocument/2006/relationships/hyperlink" Id="rId266" Target="https://doi.org/10.1038/nprot.2017.149" TargetMode="External" /><Relationship Type="http://schemas.openxmlformats.org/officeDocument/2006/relationships/hyperlink" Id="rId396" Target="https://doi.org/10.1038/nrdp.2016.78" TargetMode="External" /><Relationship Type="http://schemas.openxmlformats.org/officeDocument/2006/relationships/hyperlink" Id="rId356" Target="https://doi.org/10.1038/s41467-018-05083-x" TargetMode="External" /><Relationship Type="http://schemas.openxmlformats.org/officeDocument/2006/relationships/hyperlink" Id="rId328" Target="https://doi.org/10.1038/s41467-021-24781-7" TargetMode="External" /><Relationship Type="http://schemas.openxmlformats.org/officeDocument/2006/relationships/hyperlink" Id="rId498" Target="https://doi.org/10.1038/s41467-023-37168-7" TargetMode="External" /><Relationship Type="http://schemas.openxmlformats.org/officeDocument/2006/relationships/hyperlink" Id="rId322" Target="https://doi.org/10.1038/s41467-024-47712-8" TargetMode="External" /><Relationship Type="http://schemas.openxmlformats.org/officeDocument/2006/relationships/hyperlink" Id="rId324" Target="https://doi.org/10.1038/s41467-024-47943-9" TargetMode="External" /><Relationship Type="http://schemas.openxmlformats.org/officeDocument/2006/relationships/hyperlink" Id="rId368" Target="https://doi.org/10.1038/s41586-024-08411-y" TargetMode="External" /><Relationship Type="http://schemas.openxmlformats.org/officeDocument/2006/relationships/hyperlink" Id="rId400" Target="https://doi.org/10.1038/s41587-020-0465-8" TargetMode="External" /><Relationship Type="http://schemas.openxmlformats.org/officeDocument/2006/relationships/hyperlink" Id="rId460" Target="https://doi.org/10.1038/s41587-021-01001-7" TargetMode="External" /><Relationship Type="http://schemas.openxmlformats.org/officeDocument/2006/relationships/hyperlink" Id="rId488" Target="https://doi.org/10.1038/s41587-023-01767-y" TargetMode="External" /><Relationship Type="http://schemas.openxmlformats.org/officeDocument/2006/relationships/hyperlink" Id="rId272" Target="https://doi.org/10.1038/s41588-022-01141-9" TargetMode="External" /><Relationship Type="http://schemas.openxmlformats.org/officeDocument/2006/relationships/hyperlink" Id="rId364" Target="https://doi.org/10.1038/s41590-018-0276-y" TargetMode="External" /><Relationship Type="http://schemas.openxmlformats.org/officeDocument/2006/relationships/hyperlink" Id="rId366" Target="https://doi.org/10.1038/s41592-019-0529-1" TargetMode="External" /><Relationship Type="http://schemas.openxmlformats.org/officeDocument/2006/relationships/hyperlink" Id="rId288" Target="https://doi.org/10.1038/s41592-019-0654-x" TargetMode="External" /><Relationship Type="http://schemas.openxmlformats.org/officeDocument/2006/relationships/hyperlink" Id="rId294" Target="https://doi.org/10.1038/s41592-022-01408-3" TargetMode="External" /><Relationship Type="http://schemas.openxmlformats.org/officeDocument/2006/relationships/hyperlink" Id="rId450" Target="https://doi.org/10.1038/s41597-026-07173-8" TargetMode="External" /><Relationship Type="http://schemas.openxmlformats.org/officeDocument/2006/relationships/hyperlink" Id="rId388" Target="https://doi.org/10.1038/s41698-024-00717-4" TargetMode="External" /><Relationship Type="http://schemas.openxmlformats.org/officeDocument/2006/relationships/hyperlink" Id="rId298" Target="https://doi.org/10.1093/bib/bbx035" TargetMode="External" /><Relationship Type="http://schemas.openxmlformats.org/officeDocument/2006/relationships/hyperlink" Id="rId438" Target="https://doi.org/10.1093/bioinformatics/btab358" TargetMode="External" /><Relationship Type="http://schemas.openxmlformats.org/officeDocument/2006/relationships/hyperlink" Id="rId342" Target="https://doi.org/10.1093/bioinformatics/btab503" TargetMode="External" /><Relationship Type="http://schemas.openxmlformats.org/officeDocument/2006/relationships/hyperlink" Id="rId432" Target="https://doi.org/10.1093/bioinformatics/bts635" TargetMode="External" /><Relationship Type="http://schemas.openxmlformats.org/officeDocument/2006/relationships/hyperlink" Id="rId484" Target="https://doi.org/10.1093/bioinformatics/btw777" TargetMode="External" /><Relationship Type="http://schemas.openxmlformats.org/officeDocument/2006/relationships/hyperlink" Id="rId500" Target="https://doi.org/10.1093/bioinformatics/bty019" TargetMode="External" /><Relationship Type="http://schemas.openxmlformats.org/officeDocument/2006/relationships/hyperlink" Id="rId376" Target="https://doi.org/10.1093/bioinformatics/bty560" TargetMode="External" /><Relationship Type="http://schemas.openxmlformats.org/officeDocument/2006/relationships/hyperlink" Id="rId302" Target="https://doi.org/10.1093/database/baaa062" TargetMode="External" /><Relationship Type="http://schemas.openxmlformats.org/officeDocument/2006/relationships/hyperlink" Id="rId446" Target="https://doi.org/10.1093/database/baz046" TargetMode="External" /><Relationship Type="http://schemas.openxmlformats.org/officeDocument/2006/relationships/hyperlink" Id="rId306" Target="https://doi.org/10.1093/genetics/iyaf215" TargetMode="External" /><Relationship Type="http://schemas.openxmlformats.org/officeDocument/2006/relationships/hyperlink" Id="rId436" Target="https://doi.org/10.1093/gigascience/giab008" TargetMode="External" /><Relationship Type="http://schemas.openxmlformats.org/officeDocument/2006/relationships/hyperlink" Id="rId374" Target="https://doi.org/10.1093/gigascience/giab062" TargetMode="External" /><Relationship Type="http://schemas.openxmlformats.org/officeDocument/2006/relationships/hyperlink" Id="rId454" Target="https://doi.org/10.1093/nar/gkac947" TargetMode="External" /><Relationship Type="http://schemas.openxmlformats.org/officeDocument/2006/relationships/hyperlink" Id="rId340" Target="https://doi.org/10.1093/nar/gkt1211" TargetMode="External" /><Relationship Type="http://schemas.openxmlformats.org/officeDocument/2006/relationships/hyperlink" Id="rId330" Target="https://doi.org/10.1093/neuonc/noad207" TargetMode="External" /><Relationship Type="http://schemas.openxmlformats.org/officeDocument/2006/relationships/hyperlink" Id="rId390" Target="https://doi.org/10.1093/noajnl/vdad009" TargetMode="External" /><Relationship Type="http://schemas.openxmlformats.org/officeDocument/2006/relationships/hyperlink" Id="rId274" Target="https://doi.org/10.1101/2021.04.05.438318" TargetMode="External" /><Relationship Type="http://schemas.openxmlformats.org/officeDocument/2006/relationships/hyperlink" Id="rId434" Target="https://doi.org/10.1101/2021.05.05.442755" TargetMode="External" /><Relationship Type="http://schemas.openxmlformats.org/officeDocument/2006/relationships/hyperlink" Id="rId276" Target="https://doi.org/10.1101/2023.10.30.563174" TargetMode="External" /><Relationship Type="http://schemas.openxmlformats.org/officeDocument/2006/relationships/hyperlink" Id="rId508" Target="https://doi.org/10.1101/2024.01.07.574538" TargetMode="External" /><Relationship Type="http://schemas.openxmlformats.org/officeDocument/2006/relationships/hyperlink" Id="rId268" Target="https://doi.org/10.1101/gr.190595.115" TargetMode="External" /><Relationship Type="http://schemas.openxmlformats.org/officeDocument/2006/relationships/hyperlink" Id="rId480" Target="https://doi.org/10.1111/j.2517-6161.1995.tb02031.x" TargetMode="External" /><Relationship Type="http://schemas.openxmlformats.org/officeDocument/2006/relationships/hyperlink" Id="rId270" Target="https://doi.org/10.1126/science.1254257" TargetMode="External" /><Relationship Type="http://schemas.openxmlformats.org/officeDocument/2006/relationships/hyperlink" Id="rId466" Target="https://doi.org/10.1158/0008-5472.can-03-4059" TargetMode="External" /><Relationship Type="http://schemas.openxmlformats.org/officeDocument/2006/relationships/hyperlink" Id="rId468" Target="https://doi.org/10.1158/1078-0432.ccr-23-1111" TargetMode="External" /><Relationship Type="http://schemas.openxmlformats.org/officeDocument/2006/relationships/hyperlink" Id="rId398" Target="https://doi.org/10.1158/2159-8290.cd-14-0622" TargetMode="External" /><Relationship Type="http://schemas.openxmlformats.org/officeDocument/2006/relationships/hyperlink" Id="rId332" Target="https://doi.org/10.1158/2643-3230.bcd-24-0342" TargetMode="External" /><Relationship Type="http://schemas.openxmlformats.org/officeDocument/2006/relationships/hyperlink" Id="rId384" Target="https://doi.org/10.1186/1471-2105-12-6" TargetMode="External" /><Relationship Type="http://schemas.openxmlformats.org/officeDocument/2006/relationships/hyperlink" Id="rId310" Target="https://doi.org/10.1186/2041-1480-5-21" TargetMode="External" /><Relationship Type="http://schemas.openxmlformats.org/officeDocument/2006/relationships/hyperlink" Id="rId350" Target="https://doi.org/10.1186/gb-2004-5-10-r80" TargetMode="External" /><Relationship Type="http://schemas.openxmlformats.org/officeDocument/2006/relationships/hyperlink" Id="rId386" Target="https://doi.org/10.1186/gb-2005-6-2-r21" TargetMode="External" /><Relationship Type="http://schemas.openxmlformats.org/officeDocument/2006/relationships/hyperlink" Id="rId312" Target="https://doi.org/10.1186/gb-2012-13-1-r5" TargetMode="External" /><Relationship Type="http://schemas.openxmlformats.org/officeDocument/2006/relationships/hyperlink" Id="rId408" Target="https://doi.org/10.1186/s12885-023-10977-1" TargetMode="External" /><Relationship Type="http://schemas.openxmlformats.org/officeDocument/2006/relationships/hyperlink" Id="rId286" Target="https://doi.org/10.1186/s13040-018-0190-8" TargetMode="External" /><Relationship Type="http://schemas.openxmlformats.org/officeDocument/2006/relationships/hyperlink" Id="rId476" Target="https://doi.org/10.1186/s13059-014-0550-8" TargetMode="External" /><Relationship Type="http://schemas.openxmlformats.org/officeDocument/2006/relationships/hyperlink" Id="rId360" Target="https://doi.org/10.1186/s13059-016-0947-7" TargetMode="External" /><Relationship Type="http://schemas.openxmlformats.org/officeDocument/2006/relationships/hyperlink" Id="rId290" Target="https://doi.org/10.1186/s13059-017-1382-0" TargetMode="External" /><Relationship Type="http://schemas.openxmlformats.org/officeDocument/2006/relationships/hyperlink" Id="rId316" Target="https://doi.org/10.1186/s13059-018-1396-2" TargetMode="External" /><Relationship Type="http://schemas.openxmlformats.org/officeDocument/2006/relationships/hyperlink" Id="rId336" Target="https://doi.org/10.1186/s13059-018-1603-1" TargetMode="External" /><Relationship Type="http://schemas.openxmlformats.org/officeDocument/2006/relationships/hyperlink" Id="rId354" Target="https://doi.org/10.1186/s13059-019-1662-y" TargetMode="External" /><Relationship Type="http://schemas.openxmlformats.org/officeDocument/2006/relationships/hyperlink" Id="rId490" Target="https://doi.org/10.1186/s13059-019-1865-2" TargetMode="External" /><Relationship Type="http://schemas.openxmlformats.org/officeDocument/2006/relationships/hyperlink" Id="rId428" Target="https://doi.org/10.1186/s13059-020-02151-8" TargetMode="External" /><Relationship Type="http://schemas.openxmlformats.org/officeDocument/2006/relationships/hyperlink" Id="rId502" Target="https://doi.org/10.1186/s13059-023-03016-6" TargetMode="External" /><Relationship Type="http://schemas.openxmlformats.org/officeDocument/2006/relationships/hyperlink" Id="rId510" Target="https://doi.org/10.1186/s13059-024-03309-4" TargetMode="External" /><Relationship Type="http://schemas.openxmlformats.org/officeDocument/2006/relationships/hyperlink" Id="rId344" Target="https://doi.org/10.1186/s13059-025-03673-9" TargetMode="External" /><Relationship Type="http://schemas.openxmlformats.org/officeDocument/2006/relationships/hyperlink" Id="rId382" Target="https://doi.org/10.1186/s13326-016-0088-7" TargetMode="External" /><Relationship Type="http://schemas.openxmlformats.org/officeDocument/2006/relationships/hyperlink" Id="rId430" Target="https://doi.org/10.12688/f1000research.73600.2" TargetMode="External" /><Relationship Type="http://schemas.openxmlformats.org/officeDocument/2006/relationships/hyperlink" Id="rId486" Target="https://doi.org/10.12688/f1000research.9501.2" TargetMode="External" /><Relationship Type="http://schemas.openxmlformats.org/officeDocument/2006/relationships/hyperlink" Id="rId358" Target="https://doi.org/10.1371/journal.pcbi.1009290" TargetMode="External" /><Relationship Type="http://schemas.openxmlformats.org/officeDocument/2006/relationships/hyperlink" Id="rId462" Target="https://doi.org/10.18129/b9.bioc.aucell" TargetMode="External" /><Relationship Type="http://schemas.openxmlformats.org/officeDocument/2006/relationships/hyperlink" Id="rId452" Target="https://doi.org/10.18129/b9.bioc.ontoproc" TargetMode="External" /><Relationship Type="http://schemas.openxmlformats.org/officeDocument/2006/relationships/hyperlink" Id="rId474" Target="https://doi.org/10.18129/b9.bioc.zellkonverter" TargetMode="External" /><Relationship Type="http://schemas.openxmlformats.org/officeDocument/2006/relationships/hyperlink" Id="rId478" Target="https://doi.org/10.18637/jss.v067.i01" TargetMode="External" /><Relationship Type="http://schemas.openxmlformats.org/officeDocument/2006/relationships/hyperlink" Id="rId372" Target="https://doi.org/10.21105/joss.04371" TargetMode="External" /><Relationship Type="http://schemas.openxmlformats.org/officeDocument/2006/relationships/hyperlink" Id="rId494" Target="https://doi.org/10.21105/joss.05603" TargetMode="External" /><Relationship Type="http://schemas.openxmlformats.org/officeDocument/2006/relationships/hyperlink" Id="rId440" Target="https://doi.org/10.3324/haematol.2013.094243" TargetMode="External" /><Relationship Type="http://schemas.openxmlformats.org/officeDocument/2006/relationships/hyperlink" Id="rId402" Target="https://doi.org/10.3389/fimmu.2023.1227126" TargetMode="External" /><Relationship Type="http://schemas.openxmlformats.org/officeDocument/2006/relationships/hyperlink" Id="rId282" Target="https://doi.org/10.3389/fped.2024.1357093" TargetMode="External" /><Relationship Type="http://schemas.openxmlformats.org/officeDocument/2006/relationships/hyperlink" Id="rId404" Target="https://doi.org/10.3389/fphar.2024.1355242" TargetMode="External" /><Relationship Type="http://schemas.openxmlformats.org/officeDocument/2006/relationships/hyperlink" Id="rId406" Target="https://doi.org/10.4132/jptm.2022.12.19" TargetMode="External" /><Relationship Type="http://schemas.openxmlformats.org/officeDocument/2006/relationships/hyperlink" Id="rId362" Target="https://doi.org/10.48550/arXiv.1802.03426" TargetMode="External" /><Relationship Type="http://schemas.openxmlformats.org/officeDocument/2006/relationships/hyperlink" Id="rId448" Target="https://doi.org/10.5281/zenodo.10685499" TargetMode="External" /><Relationship Type="http://schemas.openxmlformats.org/officeDocument/2006/relationships/hyperlink" Id="rId482" Target="https://doi.org/10.5281/zenodo.18459136" TargetMode="External" /><Relationship Type="http://schemas.openxmlformats.org/officeDocument/2006/relationships/hyperlink" Id="rId414" Target="https://doi.org/10.5281/zenodo.20044281" TargetMode="External" /><Relationship Type="http://schemas.openxmlformats.org/officeDocument/2006/relationships/hyperlink" Id="rId416" Target="https://doi.org/10.5281/zenodo.20044314" TargetMode="External" /><Relationship Type="http://schemas.openxmlformats.org/officeDocument/2006/relationships/hyperlink" Id="rId420" Target="https://doi.org/10.5281/zenodo.20044462" TargetMode="External" /><Relationship Type="http://schemas.openxmlformats.org/officeDocument/2006/relationships/hyperlink" Id="rId418" Target="https://doi.org/10.5281/zenodo.20056054" TargetMode="External" /><Relationship Type="http://schemas.openxmlformats.org/officeDocument/2006/relationships/hyperlink" Id="rId412" Target="https://doi.org/10.5281/zenodo.20058961" TargetMode="External" /><Relationship Type="http://schemas.openxmlformats.org/officeDocument/2006/relationships/hyperlink" Id="rId410" Target="https://doi.org/10.5281/zenodo.20072636" TargetMode="External" /><Relationship Type="http://schemas.openxmlformats.org/officeDocument/2006/relationships/hyperlink" Id="rId422" Target="https://doi.org/10.5281/zenodo.20123383" TargetMode="External" /><Relationship Type="http://schemas.openxmlformats.org/officeDocument/2006/relationships/hyperlink" Id="rId278" Target="https://doi.org/10.7554/elife.27041" TargetMode="External" /><Relationship Type="http://schemas.openxmlformats.org/officeDocument/2006/relationships/hyperlink" Id="rId456"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804c5bac5379db7d0cba1e3184cc3eb2a8a58dea"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37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426"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392" Target="https://openscpca.readthedocs.io"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348" Target="https://www.10xgenomics.com/support/software/cell-ranger/latest" TargetMode="External" /><Relationship Type="http://schemas.openxmlformats.org/officeDocument/2006/relationships/hyperlink" Id="rId380" Target="https://www.10xgenomics.com/support/software/space-ranger/latest" TargetMode="External" /><Relationship Type="http://schemas.openxmlformats.org/officeDocument/2006/relationships/hyperlink" Id="rId318" Target="https://www.ebi.ac.uk/ols4/ontologies/hancestro" TargetMode="External" /><Relationship Type="http://schemas.openxmlformats.org/officeDocument/2006/relationships/hyperlink" Id="rId296" Target="https://www.ebi.ac.uk/ols4/ontologies/hsapdv" TargetMode="External" /><Relationship Type="http://schemas.openxmlformats.org/officeDocument/2006/relationships/hyperlink" Id="rId308" Target="https://www.ebi.ac.uk/ols4/ontologies/mondo" TargetMode="External" /><Relationship Type="http://schemas.openxmlformats.org/officeDocument/2006/relationships/hyperlink" Id="rId300" Target="https://www.ebi.ac.uk/ols4/ontologies/pato" TargetMode="External" /><Relationship Type="http://schemas.openxmlformats.org/officeDocument/2006/relationships/hyperlink" Id="rId314" Target="https://www.ebi.ac.uk/ols4/ontologies/uberon" TargetMode="External" /><Relationship Type="http://schemas.openxmlformats.org/officeDocument/2006/relationships/hyperlink" Id="rId496" Target="https://www.kanaverse.org/kana/" TargetMode="External" /><Relationship Type="http://schemas.openxmlformats.org/officeDocument/2006/relationships/hyperlink" Id="rId304" Target="https://www.ncbi.nlm.nih.gov/taxonomy"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804c5bac5379db7d0cba1e3184cc3eb2a8a58dea/" TargetMode="External" /><Relationship Type="http://schemas.openxmlformats.org/officeDocument/2006/relationships/hyperlink" Id="rId129" Target="https://alexslemonade.github.io/ScPCAr/" TargetMode="External" /><Relationship Type="http://schemas.openxmlformats.org/officeDocument/2006/relationships/hyperlink" Id="rId205" Target="https://api.scpca.alexslemonade.org/docs/" TargetMode="External" /><Relationship Type="http://schemas.openxmlformats.org/officeDocument/2006/relationships/hyperlink" Id="rId444" Target="https://bioconductor.org/books/release/SingleRBook/annotation-diagnostics.html#based-on-the-deltas-across-cells" TargetMode="External" /><Relationship Type="http://schemas.openxmlformats.org/officeDocument/2006/relationships/hyperlink" Id="rId424" Target="https://cellxgene.cziscience.com" TargetMode="External" /><Relationship Type="http://schemas.openxmlformats.org/officeDocument/2006/relationships/hyperlink" Id="rId492" Target="https://cellxgene.cziscience.com/" TargetMode="External" /><Relationship Type="http://schemas.openxmlformats.org/officeDocument/2006/relationships/hyperlink" Id="rId284" Target="https://doi.org/10.1002/cti2.70033" TargetMode="External" /><Relationship Type="http://schemas.openxmlformats.org/officeDocument/2006/relationships/hyperlink" Id="rId280" Target="https://doi.org/10.1016/j.cell.2020.03.053" TargetMode="External" /><Relationship Type="http://schemas.openxmlformats.org/officeDocument/2006/relationships/hyperlink" Id="rId464" Target="https://doi.org/10.1016/j.celrep.2020.01.049" TargetMode="External" /><Relationship Type="http://schemas.openxmlformats.org/officeDocument/2006/relationships/hyperlink" Id="rId394" Target="https://doi.org/10.1016/j.celrep.2024.114804" TargetMode="External" /><Relationship Type="http://schemas.openxmlformats.org/officeDocument/2006/relationships/hyperlink" Id="rId470" Target="https://doi.org/10.1016/j.cels.2015.12.004" TargetMode="External" /><Relationship Type="http://schemas.openxmlformats.org/officeDocument/2006/relationships/hyperlink" Id="rId320" Target="https://doi.org/10.1016/j.devcel.2022.04.003" TargetMode="External" /><Relationship Type="http://schemas.openxmlformats.org/officeDocument/2006/relationships/hyperlink" Id="rId504" Target="https://doi.org/10.1016/j.neo.2022.100846" TargetMode="External" /><Relationship Type="http://schemas.openxmlformats.org/officeDocument/2006/relationships/hyperlink" Id="rId506" Target="https://doi.org/10.1016/j.xgen.2023.100340" TargetMode="External" /><Relationship Type="http://schemas.openxmlformats.org/officeDocument/2006/relationships/hyperlink" Id="rId442" Target="https://doi.org/10.1038/nature11247" TargetMode="External" /><Relationship Type="http://schemas.openxmlformats.org/officeDocument/2006/relationships/hyperlink" Id="rId326" Target="https://doi.org/10.1038/nature23647" TargetMode="External" /><Relationship Type="http://schemas.openxmlformats.org/officeDocument/2006/relationships/hyperlink" Id="rId292" Target="https://doi.org/10.1038/nbt.3820" TargetMode="External" /><Relationship Type="http://schemas.openxmlformats.org/officeDocument/2006/relationships/hyperlink" Id="rId472" Target="https://doi.org/10.1038/nbt.4091" TargetMode="External" /><Relationship Type="http://schemas.openxmlformats.org/officeDocument/2006/relationships/hyperlink" Id="rId346" Target="https://doi.org/10.1038/ncomms14049" TargetMode="External" /><Relationship Type="http://schemas.openxmlformats.org/officeDocument/2006/relationships/hyperlink" Id="rId338" Target="https://doi.org/10.1038/ng1007-1181" TargetMode="External" /><Relationship Type="http://schemas.openxmlformats.org/officeDocument/2006/relationships/hyperlink" Id="rId352" Target="https://doi.org/10.1038/nmeth.3252" TargetMode="External" /><Relationship Type="http://schemas.openxmlformats.org/officeDocument/2006/relationships/hyperlink" Id="rId378" Target="https://doi.org/10.1038/nmeth.4197" TargetMode="External" /><Relationship Type="http://schemas.openxmlformats.org/officeDocument/2006/relationships/hyperlink" Id="rId334" Target="https://doi.org/10.1038/nmeth.4380" TargetMode="External" /><Relationship Type="http://schemas.openxmlformats.org/officeDocument/2006/relationships/hyperlink" Id="rId266" Target="https://doi.org/10.1038/nprot.2017.149" TargetMode="External" /><Relationship Type="http://schemas.openxmlformats.org/officeDocument/2006/relationships/hyperlink" Id="rId396" Target="https://doi.org/10.1038/nrdp.2016.78" TargetMode="External" /><Relationship Type="http://schemas.openxmlformats.org/officeDocument/2006/relationships/hyperlink" Id="rId356" Target="https://doi.org/10.1038/s41467-018-05083-x" TargetMode="External" /><Relationship Type="http://schemas.openxmlformats.org/officeDocument/2006/relationships/hyperlink" Id="rId328" Target="https://doi.org/10.1038/s41467-021-24781-7" TargetMode="External" /><Relationship Type="http://schemas.openxmlformats.org/officeDocument/2006/relationships/hyperlink" Id="rId498" Target="https://doi.org/10.1038/s41467-023-37168-7" TargetMode="External" /><Relationship Type="http://schemas.openxmlformats.org/officeDocument/2006/relationships/hyperlink" Id="rId322" Target="https://doi.org/10.1038/s41467-024-47712-8" TargetMode="External" /><Relationship Type="http://schemas.openxmlformats.org/officeDocument/2006/relationships/hyperlink" Id="rId324" Target="https://doi.org/10.1038/s41467-024-47943-9" TargetMode="External" /><Relationship Type="http://schemas.openxmlformats.org/officeDocument/2006/relationships/hyperlink" Id="rId368" Target="https://doi.org/10.1038/s41586-024-08411-y" TargetMode="External" /><Relationship Type="http://schemas.openxmlformats.org/officeDocument/2006/relationships/hyperlink" Id="rId400" Target="https://doi.org/10.1038/s41587-020-0465-8" TargetMode="External" /><Relationship Type="http://schemas.openxmlformats.org/officeDocument/2006/relationships/hyperlink" Id="rId460" Target="https://doi.org/10.1038/s41587-021-01001-7" TargetMode="External" /><Relationship Type="http://schemas.openxmlformats.org/officeDocument/2006/relationships/hyperlink" Id="rId488" Target="https://doi.org/10.1038/s41587-023-01767-y" TargetMode="External" /><Relationship Type="http://schemas.openxmlformats.org/officeDocument/2006/relationships/hyperlink" Id="rId272" Target="https://doi.org/10.1038/s41588-022-01141-9" TargetMode="External" /><Relationship Type="http://schemas.openxmlformats.org/officeDocument/2006/relationships/hyperlink" Id="rId364" Target="https://doi.org/10.1038/s41590-018-0276-y" TargetMode="External" /><Relationship Type="http://schemas.openxmlformats.org/officeDocument/2006/relationships/hyperlink" Id="rId366" Target="https://doi.org/10.1038/s41592-019-0529-1" TargetMode="External" /><Relationship Type="http://schemas.openxmlformats.org/officeDocument/2006/relationships/hyperlink" Id="rId288" Target="https://doi.org/10.1038/s41592-019-0654-x" TargetMode="External" /><Relationship Type="http://schemas.openxmlformats.org/officeDocument/2006/relationships/hyperlink" Id="rId294" Target="https://doi.org/10.1038/s41592-022-01408-3" TargetMode="External" /><Relationship Type="http://schemas.openxmlformats.org/officeDocument/2006/relationships/hyperlink" Id="rId450" Target="https://doi.org/10.1038/s41597-026-07173-8" TargetMode="External" /><Relationship Type="http://schemas.openxmlformats.org/officeDocument/2006/relationships/hyperlink" Id="rId388" Target="https://doi.org/10.1038/s41698-024-00717-4" TargetMode="External" /><Relationship Type="http://schemas.openxmlformats.org/officeDocument/2006/relationships/hyperlink" Id="rId298" Target="https://doi.org/10.1093/bib/bbx035" TargetMode="External" /><Relationship Type="http://schemas.openxmlformats.org/officeDocument/2006/relationships/hyperlink" Id="rId438" Target="https://doi.org/10.1093/bioinformatics/btab358" TargetMode="External" /><Relationship Type="http://schemas.openxmlformats.org/officeDocument/2006/relationships/hyperlink" Id="rId342" Target="https://doi.org/10.1093/bioinformatics/btab503" TargetMode="External" /><Relationship Type="http://schemas.openxmlformats.org/officeDocument/2006/relationships/hyperlink" Id="rId432" Target="https://doi.org/10.1093/bioinformatics/bts635" TargetMode="External" /><Relationship Type="http://schemas.openxmlformats.org/officeDocument/2006/relationships/hyperlink" Id="rId484" Target="https://doi.org/10.1093/bioinformatics/btw777" TargetMode="External" /><Relationship Type="http://schemas.openxmlformats.org/officeDocument/2006/relationships/hyperlink" Id="rId500" Target="https://doi.org/10.1093/bioinformatics/bty019" TargetMode="External" /><Relationship Type="http://schemas.openxmlformats.org/officeDocument/2006/relationships/hyperlink" Id="rId376" Target="https://doi.org/10.1093/bioinformatics/bty560" TargetMode="External" /><Relationship Type="http://schemas.openxmlformats.org/officeDocument/2006/relationships/hyperlink" Id="rId302" Target="https://doi.org/10.1093/database/baaa062" TargetMode="External" /><Relationship Type="http://schemas.openxmlformats.org/officeDocument/2006/relationships/hyperlink" Id="rId446" Target="https://doi.org/10.1093/database/baz046" TargetMode="External" /><Relationship Type="http://schemas.openxmlformats.org/officeDocument/2006/relationships/hyperlink" Id="rId306" Target="https://doi.org/10.1093/genetics/iyaf215" TargetMode="External" /><Relationship Type="http://schemas.openxmlformats.org/officeDocument/2006/relationships/hyperlink" Id="rId436" Target="https://doi.org/10.1093/gigascience/giab008" TargetMode="External" /><Relationship Type="http://schemas.openxmlformats.org/officeDocument/2006/relationships/hyperlink" Id="rId374" Target="https://doi.org/10.1093/gigascience/giab062" TargetMode="External" /><Relationship Type="http://schemas.openxmlformats.org/officeDocument/2006/relationships/hyperlink" Id="rId454" Target="https://doi.org/10.1093/nar/gkac947" TargetMode="External" /><Relationship Type="http://schemas.openxmlformats.org/officeDocument/2006/relationships/hyperlink" Id="rId340" Target="https://doi.org/10.1093/nar/gkt1211" TargetMode="External" /><Relationship Type="http://schemas.openxmlformats.org/officeDocument/2006/relationships/hyperlink" Id="rId330" Target="https://doi.org/10.1093/neuonc/noad207" TargetMode="External" /><Relationship Type="http://schemas.openxmlformats.org/officeDocument/2006/relationships/hyperlink" Id="rId390" Target="https://doi.org/10.1093/noajnl/vdad009" TargetMode="External" /><Relationship Type="http://schemas.openxmlformats.org/officeDocument/2006/relationships/hyperlink" Id="rId274" Target="https://doi.org/10.1101/2021.04.05.438318" TargetMode="External" /><Relationship Type="http://schemas.openxmlformats.org/officeDocument/2006/relationships/hyperlink" Id="rId434" Target="https://doi.org/10.1101/2021.05.05.442755" TargetMode="External" /><Relationship Type="http://schemas.openxmlformats.org/officeDocument/2006/relationships/hyperlink" Id="rId276" Target="https://doi.org/10.1101/2023.10.30.563174" TargetMode="External" /><Relationship Type="http://schemas.openxmlformats.org/officeDocument/2006/relationships/hyperlink" Id="rId508" Target="https://doi.org/10.1101/2024.01.07.574538" TargetMode="External" /><Relationship Type="http://schemas.openxmlformats.org/officeDocument/2006/relationships/hyperlink" Id="rId268" Target="https://doi.org/10.1101/gr.190595.115" TargetMode="External" /><Relationship Type="http://schemas.openxmlformats.org/officeDocument/2006/relationships/hyperlink" Id="rId480" Target="https://doi.org/10.1111/j.2517-6161.1995.tb02031.x" TargetMode="External" /><Relationship Type="http://schemas.openxmlformats.org/officeDocument/2006/relationships/hyperlink" Id="rId270" Target="https://doi.org/10.1126/science.1254257" TargetMode="External" /><Relationship Type="http://schemas.openxmlformats.org/officeDocument/2006/relationships/hyperlink" Id="rId466" Target="https://doi.org/10.1158/0008-5472.can-03-4059" TargetMode="External" /><Relationship Type="http://schemas.openxmlformats.org/officeDocument/2006/relationships/hyperlink" Id="rId468" Target="https://doi.org/10.1158/1078-0432.ccr-23-1111" TargetMode="External" /><Relationship Type="http://schemas.openxmlformats.org/officeDocument/2006/relationships/hyperlink" Id="rId398" Target="https://doi.org/10.1158/2159-8290.cd-14-0622" TargetMode="External" /><Relationship Type="http://schemas.openxmlformats.org/officeDocument/2006/relationships/hyperlink" Id="rId332" Target="https://doi.org/10.1158/2643-3230.bcd-24-0342" TargetMode="External" /><Relationship Type="http://schemas.openxmlformats.org/officeDocument/2006/relationships/hyperlink" Id="rId384" Target="https://doi.org/10.1186/1471-2105-12-6" TargetMode="External" /><Relationship Type="http://schemas.openxmlformats.org/officeDocument/2006/relationships/hyperlink" Id="rId310" Target="https://doi.org/10.1186/2041-1480-5-21" TargetMode="External" /><Relationship Type="http://schemas.openxmlformats.org/officeDocument/2006/relationships/hyperlink" Id="rId350" Target="https://doi.org/10.1186/gb-2004-5-10-r80" TargetMode="External" /><Relationship Type="http://schemas.openxmlformats.org/officeDocument/2006/relationships/hyperlink" Id="rId386" Target="https://doi.org/10.1186/gb-2005-6-2-r21" TargetMode="External" /><Relationship Type="http://schemas.openxmlformats.org/officeDocument/2006/relationships/hyperlink" Id="rId312" Target="https://doi.org/10.1186/gb-2012-13-1-r5" TargetMode="External" /><Relationship Type="http://schemas.openxmlformats.org/officeDocument/2006/relationships/hyperlink" Id="rId408" Target="https://doi.org/10.1186/s12885-023-10977-1" TargetMode="External" /><Relationship Type="http://schemas.openxmlformats.org/officeDocument/2006/relationships/hyperlink" Id="rId286" Target="https://doi.org/10.1186/s13040-018-0190-8" TargetMode="External" /><Relationship Type="http://schemas.openxmlformats.org/officeDocument/2006/relationships/hyperlink" Id="rId476" Target="https://doi.org/10.1186/s13059-014-0550-8" TargetMode="External" /><Relationship Type="http://schemas.openxmlformats.org/officeDocument/2006/relationships/hyperlink" Id="rId360" Target="https://doi.org/10.1186/s13059-016-0947-7" TargetMode="External" /><Relationship Type="http://schemas.openxmlformats.org/officeDocument/2006/relationships/hyperlink" Id="rId290" Target="https://doi.org/10.1186/s13059-017-1382-0" TargetMode="External" /><Relationship Type="http://schemas.openxmlformats.org/officeDocument/2006/relationships/hyperlink" Id="rId316" Target="https://doi.org/10.1186/s13059-018-1396-2" TargetMode="External" /><Relationship Type="http://schemas.openxmlformats.org/officeDocument/2006/relationships/hyperlink" Id="rId336" Target="https://doi.org/10.1186/s13059-018-1603-1" TargetMode="External" /><Relationship Type="http://schemas.openxmlformats.org/officeDocument/2006/relationships/hyperlink" Id="rId354" Target="https://doi.org/10.1186/s13059-019-1662-y" TargetMode="External" /><Relationship Type="http://schemas.openxmlformats.org/officeDocument/2006/relationships/hyperlink" Id="rId490" Target="https://doi.org/10.1186/s13059-019-1865-2" TargetMode="External" /><Relationship Type="http://schemas.openxmlformats.org/officeDocument/2006/relationships/hyperlink" Id="rId428" Target="https://doi.org/10.1186/s13059-020-02151-8" TargetMode="External" /><Relationship Type="http://schemas.openxmlformats.org/officeDocument/2006/relationships/hyperlink" Id="rId502" Target="https://doi.org/10.1186/s13059-023-03016-6" TargetMode="External" /><Relationship Type="http://schemas.openxmlformats.org/officeDocument/2006/relationships/hyperlink" Id="rId510" Target="https://doi.org/10.1186/s13059-024-03309-4" TargetMode="External" /><Relationship Type="http://schemas.openxmlformats.org/officeDocument/2006/relationships/hyperlink" Id="rId344" Target="https://doi.org/10.1186/s13059-025-03673-9" TargetMode="External" /><Relationship Type="http://schemas.openxmlformats.org/officeDocument/2006/relationships/hyperlink" Id="rId382" Target="https://doi.org/10.1186/s13326-016-0088-7" TargetMode="External" /><Relationship Type="http://schemas.openxmlformats.org/officeDocument/2006/relationships/hyperlink" Id="rId430" Target="https://doi.org/10.12688/f1000research.73600.2" TargetMode="External" /><Relationship Type="http://schemas.openxmlformats.org/officeDocument/2006/relationships/hyperlink" Id="rId486" Target="https://doi.org/10.12688/f1000research.9501.2" TargetMode="External" /><Relationship Type="http://schemas.openxmlformats.org/officeDocument/2006/relationships/hyperlink" Id="rId358" Target="https://doi.org/10.1371/journal.pcbi.1009290" TargetMode="External" /><Relationship Type="http://schemas.openxmlformats.org/officeDocument/2006/relationships/hyperlink" Id="rId462" Target="https://doi.org/10.18129/b9.bioc.aucell" TargetMode="External" /><Relationship Type="http://schemas.openxmlformats.org/officeDocument/2006/relationships/hyperlink" Id="rId452" Target="https://doi.org/10.18129/b9.bioc.ontoproc" TargetMode="External" /><Relationship Type="http://schemas.openxmlformats.org/officeDocument/2006/relationships/hyperlink" Id="rId474" Target="https://doi.org/10.18129/b9.bioc.zellkonverter" TargetMode="External" /><Relationship Type="http://schemas.openxmlformats.org/officeDocument/2006/relationships/hyperlink" Id="rId478" Target="https://doi.org/10.18637/jss.v067.i01" TargetMode="External" /><Relationship Type="http://schemas.openxmlformats.org/officeDocument/2006/relationships/hyperlink" Id="rId372" Target="https://doi.org/10.21105/joss.04371" TargetMode="External" /><Relationship Type="http://schemas.openxmlformats.org/officeDocument/2006/relationships/hyperlink" Id="rId494" Target="https://doi.org/10.21105/joss.05603" TargetMode="External" /><Relationship Type="http://schemas.openxmlformats.org/officeDocument/2006/relationships/hyperlink" Id="rId440" Target="https://doi.org/10.3324/haematol.2013.094243" TargetMode="External" /><Relationship Type="http://schemas.openxmlformats.org/officeDocument/2006/relationships/hyperlink" Id="rId402" Target="https://doi.org/10.3389/fimmu.2023.1227126" TargetMode="External" /><Relationship Type="http://schemas.openxmlformats.org/officeDocument/2006/relationships/hyperlink" Id="rId282" Target="https://doi.org/10.3389/fped.2024.1357093" TargetMode="External" /><Relationship Type="http://schemas.openxmlformats.org/officeDocument/2006/relationships/hyperlink" Id="rId404" Target="https://doi.org/10.3389/fphar.2024.1355242" TargetMode="External" /><Relationship Type="http://schemas.openxmlformats.org/officeDocument/2006/relationships/hyperlink" Id="rId406" Target="https://doi.org/10.4132/jptm.2022.12.19" TargetMode="External" /><Relationship Type="http://schemas.openxmlformats.org/officeDocument/2006/relationships/hyperlink" Id="rId362" Target="https://doi.org/10.48550/arXiv.1802.03426" TargetMode="External" /><Relationship Type="http://schemas.openxmlformats.org/officeDocument/2006/relationships/hyperlink" Id="rId448" Target="https://doi.org/10.5281/zenodo.10685499" TargetMode="External" /><Relationship Type="http://schemas.openxmlformats.org/officeDocument/2006/relationships/hyperlink" Id="rId482" Target="https://doi.org/10.5281/zenodo.18459136" TargetMode="External" /><Relationship Type="http://schemas.openxmlformats.org/officeDocument/2006/relationships/hyperlink" Id="rId414" Target="https://doi.org/10.5281/zenodo.20044281" TargetMode="External" /><Relationship Type="http://schemas.openxmlformats.org/officeDocument/2006/relationships/hyperlink" Id="rId416" Target="https://doi.org/10.5281/zenodo.20044314" TargetMode="External" /><Relationship Type="http://schemas.openxmlformats.org/officeDocument/2006/relationships/hyperlink" Id="rId420" Target="https://doi.org/10.5281/zenodo.20044462" TargetMode="External" /><Relationship Type="http://schemas.openxmlformats.org/officeDocument/2006/relationships/hyperlink" Id="rId418" Target="https://doi.org/10.5281/zenodo.20056054" TargetMode="External" /><Relationship Type="http://schemas.openxmlformats.org/officeDocument/2006/relationships/hyperlink" Id="rId412" Target="https://doi.org/10.5281/zenodo.20058961" TargetMode="External" /><Relationship Type="http://schemas.openxmlformats.org/officeDocument/2006/relationships/hyperlink" Id="rId410" Target="https://doi.org/10.5281/zenodo.20072636" TargetMode="External" /><Relationship Type="http://schemas.openxmlformats.org/officeDocument/2006/relationships/hyperlink" Id="rId422" Target="https://doi.org/10.5281/zenodo.20123383" TargetMode="External" /><Relationship Type="http://schemas.openxmlformats.org/officeDocument/2006/relationships/hyperlink" Id="rId278" Target="https://doi.org/10.7554/elife.27041" TargetMode="External" /><Relationship Type="http://schemas.openxmlformats.org/officeDocument/2006/relationships/hyperlink" Id="rId456"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804c5bac5379db7d0cba1e3184cc3eb2a8a58dea"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37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426"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392" Target="https://openscpca.readthedocs.io"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348" Target="https://www.10xgenomics.com/support/software/cell-ranger/latest" TargetMode="External" /><Relationship Type="http://schemas.openxmlformats.org/officeDocument/2006/relationships/hyperlink" Id="rId380" Target="https://www.10xgenomics.com/support/software/space-ranger/latest" TargetMode="External" /><Relationship Type="http://schemas.openxmlformats.org/officeDocument/2006/relationships/hyperlink" Id="rId318" Target="https://www.ebi.ac.uk/ols4/ontologies/hancestro" TargetMode="External" /><Relationship Type="http://schemas.openxmlformats.org/officeDocument/2006/relationships/hyperlink" Id="rId296" Target="https://www.ebi.ac.uk/ols4/ontologies/hsapdv" TargetMode="External" /><Relationship Type="http://schemas.openxmlformats.org/officeDocument/2006/relationships/hyperlink" Id="rId308" Target="https://www.ebi.ac.uk/ols4/ontologies/mondo" TargetMode="External" /><Relationship Type="http://schemas.openxmlformats.org/officeDocument/2006/relationships/hyperlink" Id="rId300" Target="https://www.ebi.ac.uk/ols4/ontologies/pato" TargetMode="External" /><Relationship Type="http://schemas.openxmlformats.org/officeDocument/2006/relationships/hyperlink" Id="rId314" Target="https://www.ebi.ac.uk/ols4/ontologies/uberon" TargetMode="External" /><Relationship Type="http://schemas.openxmlformats.org/officeDocument/2006/relationships/hyperlink" Id="rId496" Target="https://www.kanaverse.org/kana/" TargetMode="External" /><Relationship Type="http://schemas.openxmlformats.org/officeDocument/2006/relationships/hyperlink" Id="rId304" Target="https://www.ncbi.nlm.nih.gov/taxonom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2026-05-11T16:29:47Z</dcterms:created>
  <dcterms:modified xsi:type="dcterms:W3CDTF">2026-05-11T16:29:47Z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build/assets/cell.csl</vt:lpwstr>
  </property>
  <property fmtid="{D5CDD505-2E9C-101B-9397-08002B2CF9AE}" pid="6" name="date-meta">
    <vt:lpwstr>2026-05-11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