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2AED2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Левин Александр</w:t>
      </w:r>
    </w:p>
    <w:p w14:paraId="1C2265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Дополнение к описанию бизнес-функции: BPMN-схемы</w:t>
      </w:r>
    </w:p>
    <w:p w14:paraId="3039512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наглядного представления бизнес-процессов, описанных выше, используем нотацию BPMN 2.0. Это позволит четко увидеть потоки работ, участников, события и точки принятия решений.</w:t>
      </w:r>
    </w:p>
    <w:p w14:paraId="00AA9CA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59EF2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Схема 1: Основной процесс «Бронирование отеля с мгновенным подтверждением»</w:t>
      </w:r>
    </w:p>
    <w:p w14:paraId="4CDA17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 схема детализирует «счастливый путь» (Happy Path) — основной сценарий, когда все этапы проходят успешно и бронирование подтверждается мгновенно.</w:t>
      </w:r>
    </w:p>
    <w:p w14:paraId="31D027C5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57165" cy="5333365"/>
            <wp:effectExtent l="0" t="0" r="635" b="635"/>
            <wp:docPr id="1" name="Изображение 1" descr="deepseek_mermaid_20251201_8aa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eepseek_mermaid_20251201_8aa1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4E3640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5A3A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элементы схемы:</w:t>
      </w:r>
    </w:p>
    <w:p w14:paraId="05FCCBC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921E93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Дорожки (Swimlanes): Явно разделяют действия Пользователя, Нашей Системы и Внешних систем (CRS отеля).</w:t>
      </w:r>
    </w:p>
    <w:p w14:paraId="1F6B99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События (Events):</w:t>
      </w:r>
    </w:p>
    <w:p w14:paraId="7A07E7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Стартовое событие: Запуск процесса пользователем.</w:t>
      </w:r>
    </w:p>
    <w:p w14:paraId="7482CE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Промежуточное событие-таймер: Ожидание 24 часа для ответа от отеля.</w:t>
      </w:r>
    </w:p>
    <w:p w14:paraId="041B23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Конечные события: Успешное завершение или отмена.</w:t>
      </w:r>
    </w:p>
    <w:p w14:paraId="0A4464D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Шлюзы (Gateways):</w:t>
      </w:r>
    </w:p>
    <w:p w14:paraId="230BB7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Эксклюзивный шлюз (ромб): Принимает решение о типе подтверждения и обрабатывает ответы CRS.</w:t>
      </w:r>
    </w:p>
    <w:p w14:paraId="5883DD3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Подпроцесс (Sub-Process): «Процесс запроса» (</w:t>
      </w:r>
      <w:r>
        <w:rPr>
          <w:rFonts w:hint="default" w:ascii="Times New Roman" w:hAnsi="Times New Roman" w:cs="Times New Roman"/>
          <w:sz w:val="28"/>
          <w:szCs w:val="28"/>
        </w:rPr>
        <w:t>On Request</w:t>
      </w:r>
      <w:r>
        <w:rPr>
          <w:rFonts w:hint="default" w:ascii="Times New Roman" w:hAnsi="Times New Roman" w:cs="Times New Roman"/>
          <w:sz w:val="28"/>
          <w:szCs w:val="28"/>
        </w:rPr>
        <w:t>) выделен в отдельный блок для упрощения основной схемы. Он детализирует альтернативный сценарий.</w:t>
      </w:r>
    </w:p>
    <w:p w14:paraId="1261E34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36B09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Схема 2: Вспомогательный процесс «Обслуживание бронирования» (Post-Booking)</w:t>
      </w:r>
    </w:p>
    <w:p w14:paraId="5CA8199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Этот процесс начинается после успешного создания бронирования и длится до даты заезда.</w:t>
      </w:r>
    </w:p>
    <w:p w14:paraId="34DEB44D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3040" cy="3363595"/>
            <wp:effectExtent l="0" t="0" r="3810" b="8255"/>
            <wp:docPr id="3" name="Изображение 3" descr="deepseek_mermaid_20251201_f25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deepseek_mermaid_20251201_f251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7D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Пояснение к схеме:</w:t>
      </w:r>
    </w:p>
    <w:p w14:paraId="286D40C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48A45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является процессом-сателлитом, который активируется после завершения основного.</w:t>
      </w:r>
    </w:p>
    <w:p w14:paraId="6F6E3F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Параллельные задачи: Отправка гида и напоминания могут выполняться системой параллельно, в заданные временные точки.</w:t>
      </w:r>
    </w:p>
    <w:p w14:paraId="373073F2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Сложный шлюз (Complex Gateway): В блоке управления используется шлюз для ветвления по типу запроса пользователя (изменение/отмена), каждый из которых запускает свой детальный подпроцесс с собственными бизнес-правилами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19DF33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схем с описанием бизнес-функции</w:t>
      </w:r>
    </w:p>
    <w:p w14:paraId="7CC52D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Бизнес-цели: Схема 1 напрямую работает на цели увеличения конверсии и сокращения времени бронирования, устраняя ручные шаги. Схема 2 работает на повышение лояльности через сервисное обслуживание.</w:t>
      </w:r>
    </w:p>
    <w:p w14:paraId="020799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Ограничения: На Схеме 1 явно показаны точки интеграции с внешним CRS — главный источник технологических рисков и потенциальных задержек.</w:t>
      </w:r>
    </w:p>
    <w:p w14:paraId="02B7B5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Story: Путь Александра (деловая поездка) на Схеме 1 будет проходить по верхней ветке («Да») после шлюза о типе подтверждения, так как современные бизнес-отели почти всегда поддерживают мгновенное подтверждение.</w:t>
      </w:r>
    </w:p>
    <w:p w14:paraId="7A65373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Критерии готовности (DoR): Перед разработкой команда должна иметь детальные спецификации для всех элементов, изображенных на схемах, особенно для интеграционных точек (запросы к CRS).</w:t>
      </w:r>
    </w:p>
    <w:p w14:paraId="176DC703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Критерии завершенности (DoD): Тестирование считается успешным, когда реальное поведение системы (включая обработку ошибок, не показанную на основной схеме для простоты) соответствует всем возможным потокам, заложенным в BPMN-диаграммах.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95F9E"/>
    <w:rsid w:val="01B9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2025-12-01T10:50:00Z</dcterms:created>
  <dc:creator>games</dc:creator>
  <cp:lastModifiedBy>games</cp:lastModifiedBy>
  <dcterms:modified xsi:type="dcterms:W3CDTF">2025-12-01T10:55:52Z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B7518C5F748248B892F81A080232B824_11</vt:lpwstr>
  </property>
</Properties>
</file>