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reprincipal"/>
        <w:rPr>
          <w:rFonts w:eastAsia="Calibri"/>
        </w:rPr>
      </w:pPr>
      <w:r>
        <w:rPr>
          <w:rFonts w:eastAsia="Calibri"/>
        </w:rPr>
      </w:r>
    </w:p>
    <w:p>
      <w:pPr>
        <w:pStyle w:val="TOCHeading"/>
        <w:rPr/>
      </w:pPr>
      <w:r>
        <w:rPr>
          <w:rFonts w:eastAsia="Calibri" w:ascii="Calibri" w:hAnsi="Calibri"/>
          <w:b w:val="false"/>
          <w:bCs w:val="false"/>
          <w:i/>
          <w:color w:val="00000A"/>
        </w:rPr>
        <w:t>Le Gohebel Lorys, Mechineau Alexandre</w:t>
      </w:r>
    </w:p>
    <w:p>
      <w:pPr>
        <w:pStyle w:val="TOCHeading"/>
        <w:rPr/>
      </w:pPr>
      <w:r>
        <w:rPr/>
        <w:t>Sommaire</w:t>
      </w:r>
    </w:p>
    <w:p>
      <w:pPr>
        <w:pStyle w:val="Tabledesmatiresniveau1"/>
        <w:tabs>
          <w:tab w:val="right" w:pos="9072" w:leader="dot"/>
        </w:tabs>
        <w:rPr/>
      </w:pPr>
      <w:r>
        <w:fldChar w:fldCharType="begin"/>
      </w:r>
      <w:r>
        <w:instrText> TOC \o "1-4" \h</w:instrText>
      </w:r>
      <w:r>
        <w:fldChar w:fldCharType="separate"/>
      </w:r>
      <w:hyperlink w:anchor="__RefHeading___Toc386_1336233231">
        <w:r>
          <w:rPr>
            <w:rStyle w:val="Sautdindex"/>
          </w:rPr>
          <w:t>Etude de l’équation de transport par la méthode des différences finies</w:t>
          <w:tab/>
          <w:t>2</w:t>
        </w:r>
      </w:hyperlink>
    </w:p>
    <w:p>
      <w:pPr>
        <w:pStyle w:val="Tabledesmatiresniveau1"/>
        <w:tabs>
          <w:tab w:val="right" w:pos="9072" w:leader="dot"/>
        </w:tabs>
        <w:rPr/>
      </w:pPr>
      <w:hyperlink w:anchor="__RefHeading___Toc388_1336233231">
        <w:r>
          <w:rPr>
            <w:rStyle w:val="Sautdindex"/>
          </w:rPr>
          <w:t>Etude des graphes de la solution approchée Uh(x,T) pour x dans [0,1] à t=T</w:t>
          <w:tab/>
          <w:t>3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390_1336233231">
        <w:r>
          <w:rPr>
            <w:rStyle w:val="Sautdindex"/>
          </w:rPr>
          <w:t>C=2 et T=0.1 :</w:t>
          <w:tab/>
          <w:t>4</w:t>
        </w:r>
      </w:hyperlink>
    </w:p>
    <w:p>
      <w:pPr>
        <w:pStyle w:val="Tabledesmatiresniveau4"/>
        <w:tabs>
          <w:tab w:val="left" w:pos="510" w:leader="none"/>
          <w:tab w:val="right" w:pos="9072" w:leader="dot"/>
        </w:tabs>
        <w:rPr/>
      </w:pPr>
      <w:hyperlink w:anchor="__RefHeading___Toc1428_114045403">
        <w:r>
          <w:rPr>
            <w:rStyle w:val="Sautdindex"/>
          </w:rPr>
          <w:tab/>
        </w:r>
        <w:r>
          <w:rPr>
            <w:rStyle w:val="Sautdindex"/>
          </w:rPr>
          <w:t>N=100 et Dt=0.01 :</w:t>
          <w:tab/>
          <w:t>4</w:t>
        </w:r>
      </w:hyperlink>
    </w:p>
    <w:p>
      <w:pPr>
        <w:pStyle w:val="Tabledesmatiresniveau4"/>
        <w:tabs>
          <w:tab w:val="left" w:pos="510" w:leader="none"/>
          <w:tab w:val="right" w:pos="9072" w:leader="dot"/>
        </w:tabs>
        <w:rPr/>
      </w:pPr>
      <w:hyperlink w:anchor="__RefHeading___Toc1430_114045403">
        <w:r>
          <w:rPr>
            <w:rStyle w:val="Sautdindex"/>
          </w:rPr>
          <w:tab/>
        </w:r>
        <w:r>
          <w:rPr>
            <w:rStyle w:val="Sautdindex"/>
          </w:rPr>
          <w:t>N=100 et Dt=0.005 :</w:t>
          <w:tab/>
          <w:t>4</w:t>
        </w:r>
      </w:hyperlink>
    </w:p>
    <w:p>
      <w:pPr>
        <w:pStyle w:val="Tabledesmatiresniveau4"/>
        <w:tabs>
          <w:tab w:val="left" w:pos="510" w:leader="none"/>
          <w:tab w:val="right" w:pos="9072" w:leader="dot"/>
        </w:tabs>
        <w:rPr/>
      </w:pPr>
      <w:hyperlink w:anchor="__RefHeading___Toc1432_114045403">
        <w:r>
          <w:rPr>
            <w:rStyle w:val="Sautdindex"/>
          </w:rPr>
          <w:tab/>
        </w:r>
        <w:r>
          <w:rPr>
            <w:rStyle w:val="Sautdindex"/>
          </w:rPr>
          <w:t>N=100 et Dt=0.001 :</w:t>
          <w:tab/>
          <w:t>4</w:t>
        </w:r>
      </w:hyperlink>
    </w:p>
    <w:p>
      <w:pPr>
        <w:pStyle w:val="Tabledesmatiresniveau4"/>
        <w:tabs>
          <w:tab w:val="left" w:pos="510" w:leader="none"/>
          <w:tab w:val="right" w:pos="9072" w:leader="dot"/>
        </w:tabs>
        <w:rPr/>
      </w:pPr>
      <w:hyperlink w:anchor="__RefHeading___Toc1434_114045403">
        <w:r>
          <w:rPr>
            <w:rStyle w:val="Sautdindex"/>
          </w:rPr>
          <w:tab/>
        </w:r>
        <w:r>
          <w:rPr>
            <w:rStyle w:val="Sautdindex"/>
          </w:rPr>
          <w:t>N=50 et Dt=0.005 :</w:t>
          <w:tab/>
          <w:t>5</w:t>
        </w:r>
      </w:hyperlink>
    </w:p>
    <w:p>
      <w:pPr>
        <w:pStyle w:val="Tabledesmatiresniveau4"/>
        <w:tabs>
          <w:tab w:val="left" w:pos="510" w:leader="none"/>
          <w:tab w:val="right" w:pos="9072" w:leader="dot"/>
        </w:tabs>
        <w:rPr/>
      </w:pPr>
      <w:hyperlink w:anchor="__RefHeading___Toc1436_114045403">
        <w:r>
          <w:rPr>
            <w:rStyle w:val="Sautdindex"/>
          </w:rPr>
          <w:tab/>
        </w:r>
        <w:r>
          <w:rPr>
            <w:rStyle w:val="Sautdindex"/>
          </w:rPr>
          <w:t>N=200 et Dt=0.005 :</w:t>
          <w:tab/>
          <w:t>5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392_1336233231">
        <w:r>
          <w:rPr>
            <w:rStyle w:val="Sautdindex"/>
          </w:rPr>
          <w:t>C=-2 et T=0.1 :</w:t>
          <w:tab/>
          <w:t>6</w:t>
        </w:r>
      </w:hyperlink>
    </w:p>
    <w:p>
      <w:pPr>
        <w:pStyle w:val="Tabledesmatiresniveau4"/>
        <w:tabs>
          <w:tab w:val="left" w:pos="510" w:leader="none"/>
          <w:tab w:val="right" w:pos="9072" w:leader="dot"/>
        </w:tabs>
        <w:rPr/>
      </w:pPr>
      <w:hyperlink w:anchor="__RefHeading___Toc1438_114045403">
        <w:r>
          <w:rPr>
            <w:rStyle w:val="Sautdindex"/>
          </w:rPr>
          <w:tab/>
        </w:r>
        <w:r>
          <w:rPr>
            <w:rStyle w:val="Sautdindex"/>
          </w:rPr>
          <w:t>N=100 et Dt=0.01 :</w:t>
          <w:tab/>
          <w:t>6</w:t>
        </w:r>
      </w:hyperlink>
    </w:p>
    <w:p>
      <w:pPr>
        <w:pStyle w:val="Tabledesmatiresniveau4"/>
        <w:tabs>
          <w:tab w:val="left" w:pos="510" w:leader="none"/>
          <w:tab w:val="right" w:pos="9072" w:leader="dot"/>
        </w:tabs>
        <w:rPr/>
      </w:pPr>
      <w:hyperlink w:anchor="__RefHeading___Toc1440_114045403">
        <w:r>
          <w:rPr>
            <w:rStyle w:val="Sautdindex"/>
          </w:rPr>
          <w:tab/>
        </w:r>
        <w:r>
          <w:rPr>
            <w:rStyle w:val="Sautdindex"/>
          </w:rPr>
          <w:t>N=100 et Dt=0.005 :</w:t>
          <w:tab/>
          <w:t>6</w:t>
        </w:r>
      </w:hyperlink>
    </w:p>
    <w:p>
      <w:pPr>
        <w:pStyle w:val="Tabledesmatiresniveau4"/>
        <w:tabs>
          <w:tab w:val="left" w:pos="510" w:leader="none"/>
          <w:tab w:val="right" w:pos="9072" w:leader="dot"/>
        </w:tabs>
        <w:rPr/>
      </w:pPr>
      <w:hyperlink w:anchor="__RefHeading___Toc1442_114045403">
        <w:r>
          <w:rPr>
            <w:rStyle w:val="Sautdindex"/>
          </w:rPr>
          <w:tab/>
        </w:r>
        <w:r>
          <w:rPr>
            <w:rStyle w:val="Sautdindex"/>
          </w:rPr>
          <w:t>N=100 et Dt=0.001 :</w:t>
          <w:tab/>
          <w:t>6</w:t>
        </w:r>
      </w:hyperlink>
    </w:p>
    <w:p>
      <w:pPr>
        <w:pStyle w:val="Tabledesmatiresniveau4"/>
        <w:tabs>
          <w:tab w:val="left" w:pos="510" w:leader="none"/>
          <w:tab w:val="right" w:pos="9072" w:leader="dot"/>
        </w:tabs>
        <w:rPr/>
      </w:pPr>
      <w:hyperlink w:anchor="__RefHeading___Toc1444_114045403">
        <w:r>
          <w:rPr>
            <w:rStyle w:val="Sautdindex"/>
          </w:rPr>
          <w:tab/>
        </w:r>
        <w:r>
          <w:rPr>
            <w:rStyle w:val="Sautdindex"/>
          </w:rPr>
          <w:t>N=50 et Dt=0.005 :</w:t>
          <w:tab/>
          <w:t>7</w:t>
        </w:r>
      </w:hyperlink>
    </w:p>
    <w:p>
      <w:pPr>
        <w:pStyle w:val="Tabledesmatiresniveau4"/>
        <w:tabs>
          <w:tab w:val="left" w:pos="510" w:leader="none"/>
          <w:tab w:val="right" w:pos="9072" w:leader="dot"/>
        </w:tabs>
        <w:rPr/>
      </w:pPr>
      <w:hyperlink w:anchor="__RefHeading___Toc1446_114045403">
        <w:r>
          <w:rPr>
            <w:rStyle w:val="Sautdindex"/>
          </w:rPr>
          <w:tab/>
        </w:r>
        <w:r>
          <w:rPr>
            <w:rStyle w:val="Sautdindex"/>
          </w:rPr>
          <w:t>N=200 et Dt=0.005 :</w:t>
          <w:tab/>
          <w:t>7</w:t>
        </w:r>
      </w:hyperlink>
    </w:p>
    <w:p>
      <w:pPr>
        <w:pStyle w:val="Tabledesmatiresniveau1"/>
        <w:tabs>
          <w:tab w:val="right" w:pos="9072" w:leader="dot"/>
        </w:tabs>
        <w:rPr/>
      </w:pPr>
      <w:hyperlink w:anchor="__RefHeading___Toc2181_114045403">
        <w:r>
          <w:rPr>
            <w:rStyle w:val="Sautdindex"/>
          </w:rPr>
          <w:t>Etude de l’erreur max du schémas de Lax-Friedrichs</w:t>
          <w:tab/>
          <w:t>8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2183_114045403">
        <w:r>
          <w:rPr>
            <w:rStyle w:val="Sautdindex"/>
          </w:rPr>
          <w:t>Conclusion</w:t>
          <w:tab/>
          <w:t>9</w:t>
        </w:r>
      </w:hyperlink>
    </w:p>
    <w:p>
      <w:pPr>
        <w:pStyle w:val="Tabledesmatiresniveau1"/>
        <w:tabs>
          <w:tab w:val="right" w:pos="9072" w:leader="dot"/>
        </w:tabs>
        <w:rPr/>
      </w:pPr>
      <w:hyperlink w:anchor="__RefHeading___Toc418_1336233231">
        <w:r>
          <w:rPr>
            <w:rStyle w:val="Sautdindex"/>
          </w:rPr>
          <w:t>Annexe :</w:t>
          <w:tab/>
          <w:t>9</w:t>
        </w:r>
      </w:hyperlink>
      <w:r>
        <w:fldChar w:fldCharType="end"/>
      </w:r>
    </w:p>
    <w:p>
      <w:pPr>
        <w:pStyle w:val="Normal"/>
        <w:rPr/>
      </w:pPr>
      <w:r>
        <w:rPr/>
      </w:r>
    </w:p>
    <w:p>
      <w:pPr>
        <w:pStyle w:val="Titre1"/>
        <w:rPr/>
      </w:pPr>
      <w:bookmarkStart w:id="0" w:name="_Toc496269115"/>
      <w:bookmarkStart w:id="1" w:name="__RefHeading___Toc386_1336233231"/>
      <w:bookmarkEnd w:id="1"/>
      <w:r>
        <w:rPr/>
        <w:t>Etude d</w:t>
      </w:r>
      <w:bookmarkEnd w:id="0"/>
      <w:r>
        <w:rPr/>
        <w:t>e l’équation de transport par la méthode des différences finies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On rappel l’équation de transport 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15005" cy="968375"/>
            <wp:effectExtent l="0" t="0" r="0" b="0"/>
            <wp:wrapTopAndBottom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9862" t="20400" r="24992" b="60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00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Et on étudie cette équation avec la condition suivante 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89225" cy="759460"/>
            <wp:effectExtent l="0" t="0" r="0" b="0"/>
            <wp:wrapTopAndBottom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2725" t="70948" r="27857" b="14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Pour étudier cette équation on utilisera 3 schémas :</w:t>
      </w:r>
    </w:p>
    <w:p>
      <w:pPr>
        <w:pStyle w:val="Normal"/>
        <w:rPr/>
      </w:pPr>
      <w:r>
        <w:rPr/>
        <w:t xml:space="preserve">-le schéma </w:t>
      </w:r>
      <w:bookmarkStart w:id="2" w:name="__DdeLink__506_1913592763"/>
      <w:bookmarkEnd w:id="2"/>
      <w:r>
        <w:rPr/>
        <w:t>décentré à gauche :</w:t>
      </w:r>
    </w:p>
    <w:p>
      <w:pPr>
        <w:pStyle w:val="Normal"/>
        <w:jc w:val="left"/>
        <w:rPr>
          <w:position w:val="0"/>
          <w:sz w:val="28"/>
          <w:sz w:val="28"/>
          <w:vertAlign w:val="baseline"/>
        </w:rPr>
      </w:pPr>
      <w:r>
        <w:rPr>
          <w:position w:val="0"/>
          <w:sz w:val="28"/>
          <w:sz w:val="28"/>
          <w:vertAlign w:val="baseli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121785" cy="388620"/>
            <wp:effectExtent l="0" t="0" r="0" b="0"/>
            <wp:wrapTopAndBottom/>
            <wp:docPr id="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8537" t="31638" r="16391" b="60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-le schéma décentré à droite :</w:t>
      </w:r>
    </w:p>
    <w:p>
      <w:pPr>
        <w:pStyle w:val="Normal"/>
        <w:jc w:val="left"/>
        <w:rPr>
          <w:position w:val="0"/>
          <w:sz w:val="28"/>
          <w:sz w:val="28"/>
          <w:vertAlign w:val="baseline"/>
        </w:rPr>
      </w:pPr>
      <w:r>
        <w:rPr>
          <w:position w:val="0"/>
          <w:sz w:val="28"/>
          <w:sz w:val="28"/>
          <w:vertAlign w:val="baseli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050030" cy="388620"/>
            <wp:effectExtent l="0" t="0" r="0" b="0"/>
            <wp:wrapTopAndBottom/>
            <wp:docPr id="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8759" t="46562" r="16946" b="45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3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position w:val="0"/>
          <w:sz w:val="28"/>
          <w:sz w:val="28"/>
          <w:vertAlign w:val="baseline"/>
        </w:rPr>
      </w:pPr>
      <w:r>
        <w:rPr>
          <w:position w:val="0"/>
          <w:sz w:val="28"/>
          <w:sz w:val="28"/>
          <w:vertAlign w:val="baseline"/>
        </w:rPr>
      </w:r>
    </w:p>
    <w:p>
      <w:pPr>
        <w:pStyle w:val="Normal"/>
        <w:jc w:val="left"/>
        <w:rPr/>
      </w:pPr>
      <w:r>
        <w:rPr>
          <w:position w:val="0"/>
          <w:sz w:val="28"/>
          <w:sz w:val="28"/>
          <w:vertAlign w:val="baseline"/>
        </w:rPr>
        <w:t>-le schéma de Lax-Friedrichs 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604385" cy="467995"/>
            <wp:effectExtent l="0" t="0" r="0" b="0"/>
            <wp:wrapTopAndBottom/>
            <wp:docPr id="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5449" t="61873" r="14192" b="29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itre1"/>
        <w:rPr/>
      </w:pPr>
      <w:bookmarkStart w:id="3" w:name="_Toc496269116"/>
      <w:bookmarkStart w:id="4" w:name="__RefHeading___Toc388_1336233231"/>
      <w:bookmarkEnd w:id="4"/>
      <w:r>
        <w:rPr/>
        <w:t>Etude d</w:t>
      </w:r>
      <w:bookmarkEnd w:id="3"/>
      <w:r>
        <w:rPr/>
        <w:t>es graphes de la solution approchée Uh(x,T) pour x dans [0,1] à t=T</w:t>
      </w:r>
    </w:p>
    <w:p>
      <w:pPr>
        <w:pStyle w:val="Normal"/>
        <w:rPr/>
      </w:pPr>
      <w:bookmarkStart w:id="5" w:name="_Toc496269117"/>
      <w:bookmarkStart w:id="6" w:name="_Toc496269117"/>
      <w:bookmarkEnd w:id="6"/>
      <w:r>
        <w:rPr/>
      </w:r>
    </w:p>
    <w:p>
      <w:pPr>
        <w:pStyle w:val="Normal"/>
        <w:rPr/>
      </w:pPr>
      <w:r>
        <w:rPr/>
        <w:t>Pour cette étude on prend T=0.1 et on étudie en deux cas</w:t>
      </w:r>
      <w:r>
        <w:rPr/>
        <w:t> :</w:t>
      </w:r>
    </w:p>
    <w:p>
      <w:pPr>
        <w:pStyle w:val="Normal"/>
        <w:rPr/>
      </w:pPr>
      <w:r>
        <w:rPr/>
        <w:t>-</w:t>
      </w:r>
      <w:r>
        <w:rPr/>
        <w:t>le cas où c=2</w:t>
      </w:r>
    </w:p>
    <w:p>
      <w:pPr>
        <w:pStyle w:val="Normal"/>
        <w:rPr/>
      </w:pPr>
      <w:r>
        <w:rPr/>
        <w:t>-</w:t>
      </w:r>
      <w:r>
        <w:rPr/>
        <w:t>le cas où c=-2</w:t>
      </w:r>
    </w:p>
    <w:p>
      <w:pPr>
        <w:pStyle w:val="Normal"/>
        <w:rPr/>
      </w:pPr>
      <w:r>
        <w:rPr/>
        <w:t xml:space="preserve">Pour chacun de ces 2 cas on fera varier </w:t>
      </w:r>
      <w:r>
        <w:rPr>
          <w:rFonts w:ascii="Standard Symbols L" w:hAnsi="Standard Symbols L"/>
        </w:rPr>
        <w:t>D</w:t>
      </w:r>
      <w:r>
        <w:rPr/>
        <w:t>t et N.</w:t>
      </w:r>
    </w:p>
    <w:p>
      <w:pPr>
        <w:pStyle w:val="Titre2"/>
        <w:rPr/>
      </w:pPr>
      <w:r>
        <w:rPr/>
      </w:r>
    </w:p>
    <w:p>
      <w:pPr>
        <w:pStyle w:val="Titre2"/>
        <w:rPr/>
      </w:pPr>
      <w:r>
        <w:rPr/>
      </w:r>
    </w:p>
    <w:p>
      <w:pPr>
        <w:pStyle w:val="Titre2"/>
        <w:rPr/>
      </w:pPr>
      <w:r>
        <w:rPr/>
      </w:r>
    </w:p>
    <w:p>
      <w:pPr>
        <w:pStyle w:val="Titre2"/>
        <w:rPr/>
      </w:pPr>
      <w:r>
        <w:rPr/>
      </w:r>
    </w:p>
    <w:p>
      <w:pPr>
        <w:pStyle w:val="Titre2"/>
        <w:rPr/>
      </w:pPr>
      <w:r>
        <w:rPr/>
      </w:r>
    </w:p>
    <w:p>
      <w:pPr>
        <w:pStyle w:val="Titre2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re2"/>
        <w:rPr/>
      </w:pPr>
      <w:bookmarkStart w:id="7" w:name="__RefHeading___Toc390_1336233231"/>
      <w:bookmarkEnd w:id="7"/>
      <w:r>
        <w:rPr/>
        <w:t>C</w:t>
      </w:r>
      <w:r>
        <w:rPr/>
        <w:t>=</w:t>
      </w:r>
      <w:r>
        <w:rPr/>
        <w:t>2 et T=0.1</w:t>
      </w:r>
      <w:r>
        <w:rPr/>
        <w:t> 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Dans un premier temps on fixe N et on fait varier </w:t>
      </w:r>
      <w:r>
        <w:rPr>
          <w:rFonts w:ascii="Standard Symbols L" w:hAnsi="Standard Symbols L"/>
        </w:rPr>
        <w:t>D</w:t>
      </w:r>
      <w:r>
        <w:rPr/>
        <w:t>t.</w:t>
      </w:r>
    </w:p>
    <w:p>
      <w:pPr>
        <w:pStyle w:val="Titre3"/>
        <w:rPr/>
      </w:pPr>
      <w:bookmarkStart w:id="8" w:name="__RefHeading___Toc1428_114045403"/>
      <w:bookmarkEnd w:id="8"/>
      <w:r>
        <w:rPr/>
        <w:t>N</w:t>
      </w:r>
      <w:r>
        <w:rPr/>
        <w:t>=</w:t>
      </w:r>
      <w:r>
        <w:rPr/>
        <w:t xml:space="preserve">100 et </w:t>
      </w:r>
      <w:r>
        <w:rPr>
          <w:rFonts w:ascii="Standard Symbols L" w:hAnsi="Standard Symbols L"/>
        </w:rPr>
        <w:t>D</w:t>
      </w:r>
      <w:r>
        <w:rPr/>
        <w:t>t=0.01 :</w:t>
      </w:r>
    </w:p>
    <w:tbl>
      <w:tblPr>
        <w:tblW w:w="907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024"/>
        <w:gridCol w:w="3024"/>
        <w:gridCol w:w="3024"/>
      </w:tblGrid>
      <w:tr>
        <w:trPr>
          <w:trHeight w:val="2210" w:hRule="atLeast"/>
        </w:trPr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6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7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8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gauche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droite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Lax-Friedrichs</w:t>
            </w:r>
          </w:p>
        </w:tc>
      </w:tr>
    </w:tbl>
    <w:p>
      <w:pPr>
        <w:pStyle w:val="Titre3"/>
        <w:rPr/>
      </w:pPr>
      <w:bookmarkStart w:id="9" w:name="__RefHeading___Toc1430_114045403"/>
      <w:bookmarkEnd w:id="9"/>
      <w:r>
        <w:rPr/>
        <w:t>N</w:t>
      </w:r>
      <w:r>
        <w:rPr/>
        <w:t>=</w:t>
      </w:r>
      <w:r>
        <w:rPr/>
        <w:t xml:space="preserve">100 et </w:t>
      </w:r>
      <w:r>
        <w:rPr>
          <w:rFonts w:ascii="Standard Symbols L" w:hAnsi="Standard Symbols L"/>
        </w:rPr>
        <w:t>D</w:t>
      </w:r>
      <w:r>
        <w:rPr/>
        <w:t>t=0.005 :</w:t>
      </w:r>
    </w:p>
    <w:tbl>
      <w:tblPr>
        <w:tblW w:w="907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024"/>
        <w:gridCol w:w="3024"/>
        <w:gridCol w:w="3024"/>
      </w:tblGrid>
      <w:tr>
        <w:trPr>
          <w:trHeight w:val="2210" w:hRule="atLeast"/>
        </w:trPr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9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10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11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gauche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droite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Lax-Friedrichs</w:t>
            </w:r>
          </w:p>
        </w:tc>
      </w:tr>
    </w:tbl>
    <w:p>
      <w:pPr>
        <w:pStyle w:val="Titre3"/>
        <w:rPr/>
      </w:pPr>
      <w:bookmarkStart w:id="10" w:name="__RefHeading___Toc1432_114045403"/>
      <w:bookmarkEnd w:id="10"/>
      <w:r>
        <w:rPr/>
        <w:t>N</w:t>
      </w:r>
      <w:r>
        <w:rPr/>
        <w:t>=</w:t>
      </w:r>
      <w:r>
        <w:rPr/>
        <w:t xml:space="preserve">100 et </w:t>
      </w:r>
      <w:r>
        <w:rPr>
          <w:rFonts w:ascii="Standard Symbols L" w:hAnsi="Standard Symbols L"/>
        </w:rPr>
        <w:t>D</w:t>
      </w:r>
      <w:r>
        <w:rPr/>
        <w:t>t=0.001 :</w:t>
      </w:r>
    </w:p>
    <w:tbl>
      <w:tblPr>
        <w:tblW w:w="907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024"/>
        <w:gridCol w:w="3024"/>
        <w:gridCol w:w="3024"/>
      </w:tblGrid>
      <w:tr>
        <w:trPr>
          <w:trHeight w:val="2210" w:hRule="atLeast"/>
        </w:trPr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12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13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14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gauche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droite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Lax-Friedrichs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Dans un second temps on fixe </w:t>
      </w:r>
      <w:r>
        <w:rPr>
          <w:rFonts w:ascii="Standard Symbols L" w:hAnsi="Standard Symbols L"/>
        </w:rPr>
        <w:t>D</w:t>
      </w:r>
      <w:r>
        <w:rPr/>
        <w:t xml:space="preserve">t </w:t>
      </w:r>
      <w:r>
        <w:rPr/>
        <w:t>et on fait varier N.</w:t>
      </w:r>
    </w:p>
    <w:p>
      <w:pPr>
        <w:pStyle w:val="Titre3"/>
        <w:rPr/>
      </w:pPr>
      <w:bookmarkStart w:id="11" w:name="__RefHeading___Toc1434_114045403"/>
      <w:bookmarkEnd w:id="11"/>
      <w:r>
        <w:rPr/>
        <w:t>N</w:t>
      </w:r>
      <w:r>
        <w:rPr/>
        <w:t>=</w:t>
      </w:r>
      <w:r>
        <w:rPr/>
        <w:t xml:space="preserve">50 et </w:t>
      </w:r>
      <w:r>
        <w:rPr>
          <w:rFonts w:ascii="Standard Symbols L" w:hAnsi="Standard Symbols L"/>
        </w:rPr>
        <w:t>D</w:t>
      </w:r>
      <w:r>
        <w:rPr/>
        <w:t>t=0.005 :</w:t>
      </w:r>
    </w:p>
    <w:tbl>
      <w:tblPr>
        <w:tblW w:w="907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024"/>
        <w:gridCol w:w="3024"/>
        <w:gridCol w:w="3024"/>
      </w:tblGrid>
      <w:tr>
        <w:trPr>
          <w:trHeight w:val="2210" w:hRule="atLeast"/>
        </w:trPr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15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16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17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gauche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droite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Lax-Friedrichs</w:t>
            </w:r>
          </w:p>
        </w:tc>
      </w:tr>
    </w:tbl>
    <w:p>
      <w:pPr>
        <w:pStyle w:val="Titre3"/>
        <w:rPr/>
      </w:pPr>
      <w:bookmarkStart w:id="12" w:name="__RefHeading___Toc1436_114045403"/>
      <w:bookmarkEnd w:id="12"/>
      <w:r>
        <w:rPr/>
        <w:t>N</w:t>
      </w:r>
      <w:r>
        <w:rPr/>
        <w:t>=</w:t>
      </w:r>
      <w:r>
        <w:rPr/>
        <w:t xml:space="preserve">200 et </w:t>
      </w:r>
      <w:r>
        <w:rPr>
          <w:rFonts w:ascii="Standard Symbols L" w:hAnsi="Standard Symbols L"/>
        </w:rPr>
        <w:t>D</w:t>
      </w:r>
      <w:r>
        <w:rPr/>
        <w:t>t=0.005 :</w:t>
      </w:r>
    </w:p>
    <w:tbl>
      <w:tblPr>
        <w:tblW w:w="907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024"/>
        <w:gridCol w:w="3024"/>
        <w:gridCol w:w="3024"/>
      </w:tblGrid>
      <w:tr>
        <w:trPr>
          <w:trHeight w:val="2210" w:hRule="atLeast"/>
        </w:trPr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18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19" name="Image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20" name="Image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gauche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droite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Lax-Friedrichs</w:t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D’après les graphes des différents schémas on observe bien que pour c=2, donc c positif :</w:t>
      </w:r>
    </w:p>
    <w:p>
      <w:pPr>
        <w:pStyle w:val="Normal"/>
        <w:jc w:val="left"/>
        <w:rPr/>
      </w:pPr>
      <w:r>
        <w:rPr/>
        <w:t xml:space="preserve">-le schéma décentré à gauche </w:t>
      </w:r>
      <w:r>
        <w:rPr/>
        <w:t>est instable quand |c|</w:t>
      </w:r>
      <w:r>
        <w:rPr>
          <w:rFonts w:ascii="Standard Symbols L" w:hAnsi="Standard Symbols L"/>
        </w:rPr>
        <w:t>D</w:t>
      </w:r>
      <w:r>
        <w:rPr/>
        <w:t>t &gt; h.</w:t>
      </w:r>
    </w:p>
    <w:p>
      <w:pPr>
        <w:pStyle w:val="Normal"/>
        <w:jc w:val="left"/>
        <w:rPr/>
      </w:pPr>
      <w:r>
        <w:rPr/>
        <w:t>-</w:t>
      </w:r>
      <w:r>
        <w:rPr/>
        <w:t>le schéma décentré à droite est tout le temps instable.</w:t>
      </w:r>
    </w:p>
    <w:p>
      <w:pPr>
        <w:pStyle w:val="Normal"/>
        <w:jc w:val="left"/>
        <w:rPr/>
      </w:pPr>
      <w:r>
        <w:rPr/>
        <w:t>-</w:t>
      </w:r>
      <w:r>
        <w:rPr/>
        <w:t>le schéma Lax-Friedrichs est instable quand |c|</w:t>
      </w:r>
      <w:r>
        <w:rPr>
          <w:rFonts w:ascii="Standard Symbols L" w:hAnsi="Standard Symbols L"/>
        </w:rPr>
        <w:t>D</w:t>
      </w:r>
      <w:r>
        <w:rPr/>
        <w:t>t &gt; h.</w:t>
      </w:r>
    </w:p>
    <w:p>
      <w:pPr>
        <w:pStyle w:val="Normal"/>
        <w:jc w:val="left"/>
        <w:rPr/>
      </w:pPr>
      <w:r>
        <w:rPr/>
        <w:t>De plus pour le schémas décentré à gauche et le schémas de Lax-Friedrichs on observe que la solution semble exacte quand</w:t>
      </w:r>
    </w:p>
    <w:p>
      <w:pPr>
        <w:pStyle w:val="Normal"/>
        <w:jc w:val="left"/>
        <w:rPr/>
      </w:pPr>
      <w:r>
        <w:rPr/>
        <w:t>|c|</w:t>
      </w:r>
      <w:r>
        <w:rPr>
          <w:rFonts w:ascii="Standard Symbols L" w:hAnsi="Standard Symbols L"/>
        </w:rPr>
        <w:t>D</w:t>
      </w:r>
      <w:r>
        <w:rPr/>
        <w:t xml:space="preserve">t </w:t>
      </w:r>
      <w:r>
        <w:rPr/>
        <w:t>= h.</w:t>
      </w:r>
    </w:p>
    <w:p>
      <w:pPr>
        <w:pStyle w:val="Normal"/>
        <w:rPr/>
      </w:pPr>
      <w:r>
        <w:rPr/>
      </w:r>
    </w:p>
    <w:p>
      <w:pPr>
        <w:pStyle w:val="Titre2"/>
        <w:rPr/>
      </w:pPr>
      <w:bookmarkStart w:id="13" w:name="__RefHeading___Toc392_1336233231"/>
      <w:bookmarkEnd w:id="13"/>
      <w:r>
        <w:rPr/>
        <w:t>C</w:t>
      </w:r>
      <w:r>
        <w:rPr/>
        <w:t>=-</w:t>
      </w:r>
      <w:r>
        <w:rPr/>
        <w:t>2 et T=0.1</w:t>
      </w:r>
      <w:r>
        <w:rPr/>
        <w:t> 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On fixe à nouveau</w:t>
      </w:r>
      <w:r>
        <w:rPr/>
        <w:t xml:space="preserve"> N et on fait varier </w:t>
      </w:r>
      <w:r>
        <w:rPr>
          <w:rFonts w:ascii="Standard Symbols L" w:hAnsi="Standard Symbols L"/>
        </w:rPr>
        <w:t>D</w:t>
      </w:r>
      <w:r>
        <w:rPr/>
        <w:t>t.</w:t>
      </w:r>
    </w:p>
    <w:p>
      <w:pPr>
        <w:pStyle w:val="Titre3"/>
        <w:rPr/>
      </w:pPr>
      <w:bookmarkStart w:id="14" w:name="__RefHeading___Toc1438_114045403"/>
      <w:bookmarkEnd w:id="14"/>
      <w:r>
        <w:rPr/>
        <w:t>N</w:t>
      </w:r>
      <w:r>
        <w:rPr/>
        <w:t>=</w:t>
      </w:r>
      <w:r>
        <w:rPr/>
        <w:t xml:space="preserve">100 et </w:t>
      </w:r>
      <w:r>
        <w:rPr>
          <w:rFonts w:ascii="Standard Symbols L" w:hAnsi="Standard Symbols L"/>
        </w:rPr>
        <w:t>D</w:t>
      </w:r>
      <w:r>
        <w:rPr/>
        <w:t>t=0.01 :</w:t>
      </w:r>
    </w:p>
    <w:tbl>
      <w:tblPr>
        <w:tblW w:w="907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024"/>
        <w:gridCol w:w="3024"/>
        <w:gridCol w:w="3024"/>
      </w:tblGrid>
      <w:tr>
        <w:trPr>
          <w:trHeight w:val="2210" w:hRule="atLeast"/>
        </w:trPr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21" name="Image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22" name="Image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23" name="Image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gauche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droite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Lax-Friedrichs</w:t>
            </w:r>
          </w:p>
        </w:tc>
      </w:tr>
    </w:tbl>
    <w:p>
      <w:pPr>
        <w:pStyle w:val="Titre3"/>
        <w:rPr/>
      </w:pPr>
      <w:bookmarkStart w:id="15" w:name="__RefHeading___Toc1440_114045403"/>
      <w:bookmarkEnd w:id="15"/>
      <w:r>
        <w:rPr/>
        <w:t>N</w:t>
      </w:r>
      <w:r>
        <w:rPr/>
        <w:t>=</w:t>
      </w:r>
      <w:r>
        <w:rPr/>
        <w:t xml:space="preserve">100 et </w:t>
      </w:r>
      <w:r>
        <w:rPr>
          <w:rFonts w:ascii="Standard Symbols L" w:hAnsi="Standard Symbols L"/>
        </w:rPr>
        <w:t>D</w:t>
      </w:r>
      <w:r>
        <w:rPr/>
        <w:t>t=0.005 :</w:t>
      </w:r>
    </w:p>
    <w:tbl>
      <w:tblPr>
        <w:tblW w:w="907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024"/>
        <w:gridCol w:w="3024"/>
        <w:gridCol w:w="3024"/>
      </w:tblGrid>
      <w:tr>
        <w:trPr>
          <w:trHeight w:val="2210" w:hRule="atLeast"/>
        </w:trPr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24" name="Image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25" name="Image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26" name="Image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gauche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droite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Lax-Friedrichs</w:t>
            </w:r>
          </w:p>
        </w:tc>
      </w:tr>
    </w:tbl>
    <w:p>
      <w:pPr>
        <w:pStyle w:val="Titre3"/>
        <w:rPr/>
      </w:pPr>
      <w:bookmarkStart w:id="16" w:name="__RefHeading___Toc1442_114045403"/>
      <w:bookmarkEnd w:id="16"/>
      <w:r>
        <w:rPr/>
        <w:t>N</w:t>
      </w:r>
      <w:r>
        <w:rPr/>
        <w:t>=</w:t>
      </w:r>
      <w:r>
        <w:rPr/>
        <w:t xml:space="preserve">100 et </w:t>
      </w:r>
      <w:r>
        <w:rPr>
          <w:rFonts w:ascii="Standard Symbols L" w:hAnsi="Standard Symbols L"/>
        </w:rPr>
        <w:t>D</w:t>
      </w:r>
      <w:r>
        <w:rPr/>
        <w:t>t=0.001 :</w:t>
      </w:r>
    </w:p>
    <w:tbl>
      <w:tblPr>
        <w:tblW w:w="907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024"/>
        <w:gridCol w:w="3024"/>
        <w:gridCol w:w="3024"/>
      </w:tblGrid>
      <w:tr>
        <w:trPr>
          <w:trHeight w:val="2210" w:hRule="atLeast"/>
        </w:trPr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27" name="Image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28" name="Image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29" name="Image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gauche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droite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Lax-Friedrichs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Et</w:t>
      </w:r>
      <w:r>
        <w:rPr/>
        <w:t xml:space="preserve"> on fixe </w:t>
      </w:r>
      <w:r>
        <w:rPr>
          <w:rFonts w:ascii="Standard Symbols L" w:hAnsi="Standard Symbols L"/>
        </w:rPr>
        <w:t>D</w:t>
      </w:r>
      <w:r>
        <w:rPr/>
        <w:t xml:space="preserve">t </w:t>
      </w:r>
      <w:r>
        <w:rPr/>
        <w:t>et on fait varier N.</w:t>
      </w:r>
    </w:p>
    <w:p>
      <w:pPr>
        <w:pStyle w:val="Titre3"/>
        <w:rPr/>
      </w:pPr>
      <w:bookmarkStart w:id="17" w:name="__RefHeading___Toc1444_114045403"/>
      <w:bookmarkEnd w:id="17"/>
      <w:r>
        <w:rPr/>
        <w:t>N</w:t>
      </w:r>
      <w:r>
        <w:rPr/>
        <w:t>=</w:t>
      </w:r>
      <w:r>
        <w:rPr/>
        <w:t xml:space="preserve">50 et </w:t>
      </w:r>
      <w:r>
        <w:rPr>
          <w:rFonts w:ascii="Standard Symbols L" w:hAnsi="Standard Symbols L"/>
        </w:rPr>
        <w:t>D</w:t>
      </w:r>
      <w:r>
        <w:rPr/>
        <w:t>t=0.005 :</w:t>
      </w:r>
    </w:p>
    <w:tbl>
      <w:tblPr>
        <w:tblW w:w="907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024"/>
        <w:gridCol w:w="3024"/>
        <w:gridCol w:w="3024"/>
      </w:tblGrid>
      <w:tr>
        <w:trPr>
          <w:trHeight w:val="2210" w:hRule="atLeast"/>
        </w:trPr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3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30" name="Image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3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31" name="Image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3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32" name="Image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gauche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droite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Lax-Friedrichs</w:t>
            </w:r>
          </w:p>
        </w:tc>
      </w:tr>
    </w:tbl>
    <w:p>
      <w:pPr>
        <w:pStyle w:val="Titre3"/>
        <w:rPr/>
      </w:pPr>
      <w:bookmarkStart w:id="18" w:name="__RefHeading___Toc1446_114045403"/>
      <w:bookmarkEnd w:id="18"/>
      <w:r>
        <w:rPr/>
        <w:t>N</w:t>
      </w:r>
      <w:r>
        <w:rPr/>
        <w:t>=</w:t>
      </w:r>
      <w:r>
        <w:rPr/>
        <w:t xml:space="preserve">200 et </w:t>
      </w:r>
      <w:r>
        <w:rPr>
          <w:rFonts w:ascii="Standard Symbols L" w:hAnsi="Standard Symbols L"/>
        </w:rPr>
        <w:t>D</w:t>
      </w:r>
      <w:r>
        <w:rPr/>
        <w:t>t=0.005 :</w:t>
      </w:r>
    </w:p>
    <w:tbl>
      <w:tblPr>
        <w:tblW w:w="907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024"/>
        <w:gridCol w:w="3024"/>
        <w:gridCol w:w="3024"/>
      </w:tblGrid>
      <w:tr>
        <w:trPr>
          <w:trHeight w:val="2210" w:hRule="atLeast"/>
        </w:trPr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33" name="Image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3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34" name="Image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3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35" name="Image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gauche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droite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Lax-Friedrichs</w:t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D’après les graphes des différents schémas on observe bien que pour c=-2, donc c positif :</w:t>
      </w:r>
    </w:p>
    <w:p>
      <w:pPr>
        <w:pStyle w:val="Normal"/>
        <w:jc w:val="left"/>
        <w:rPr/>
      </w:pPr>
      <w:r>
        <w:rPr/>
        <w:t xml:space="preserve">-le schéma décentré à gauche </w:t>
      </w:r>
      <w:r>
        <w:rPr/>
        <w:t>est tout le temps instable.</w:t>
      </w:r>
    </w:p>
    <w:p>
      <w:pPr>
        <w:pStyle w:val="Normal"/>
        <w:jc w:val="left"/>
        <w:rPr/>
      </w:pPr>
      <w:r>
        <w:rPr/>
        <w:t>-</w:t>
      </w:r>
      <w:r>
        <w:rPr/>
        <w:t>le schéma décentré à droite est instable quand |c|</w:t>
      </w:r>
      <w:r>
        <w:rPr>
          <w:rFonts w:ascii="Standard Symbols L" w:hAnsi="Standard Symbols L"/>
        </w:rPr>
        <w:t>D</w:t>
      </w:r>
      <w:r>
        <w:rPr/>
        <w:t>t &gt; h.</w:t>
      </w:r>
    </w:p>
    <w:p>
      <w:pPr>
        <w:pStyle w:val="Normal"/>
        <w:jc w:val="left"/>
        <w:rPr/>
      </w:pPr>
      <w:r>
        <w:rPr/>
        <w:t>-</w:t>
      </w:r>
      <w:r>
        <w:rPr/>
        <w:t>le schéma Lax-Friedrichs est instable quand |c|</w:t>
      </w:r>
      <w:r>
        <w:rPr>
          <w:rFonts w:ascii="Standard Symbols L" w:hAnsi="Standard Symbols L"/>
        </w:rPr>
        <w:t>D</w:t>
      </w:r>
      <w:r>
        <w:rPr/>
        <w:t>t &gt; h.</w:t>
      </w:r>
    </w:p>
    <w:p>
      <w:pPr>
        <w:pStyle w:val="Normal"/>
        <w:jc w:val="left"/>
        <w:rPr/>
      </w:pPr>
      <w:r>
        <w:rPr/>
        <w:t>De plus pour le schémas décentré à droite et le schémas de Lax-Friedrichs on observe que la solution semble exacte quand</w:t>
      </w:r>
    </w:p>
    <w:p>
      <w:pPr>
        <w:pStyle w:val="Normal"/>
        <w:jc w:val="left"/>
        <w:rPr/>
      </w:pPr>
      <w:r>
        <w:rPr/>
        <w:t>|c|</w:t>
      </w:r>
      <w:r>
        <w:rPr>
          <w:rFonts w:ascii="Standard Symbols L" w:hAnsi="Standard Symbols L"/>
        </w:rPr>
        <w:t>D</w:t>
      </w:r>
      <w:r>
        <w:rPr/>
        <w:t xml:space="preserve">t </w:t>
      </w:r>
      <w:r>
        <w:rPr/>
        <w:t>= h.</w:t>
      </w:r>
      <w:r>
        <w:br w:type="page"/>
      </w:r>
    </w:p>
    <w:p>
      <w:pPr>
        <w:pStyle w:val="Titre1"/>
        <w:rPr/>
      </w:pPr>
      <w:bookmarkStart w:id="19" w:name="__RefHeading___Toc2181_114045403"/>
      <w:bookmarkStart w:id="20" w:name="_Toc496269122"/>
      <w:bookmarkStart w:id="21" w:name="_Toc496269123"/>
      <w:bookmarkEnd w:id="19"/>
      <w:bookmarkEnd w:id="20"/>
      <w:r>
        <w:rPr/>
        <w:t>Etude de l’erreur max</w:t>
      </w:r>
      <w:bookmarkEnd w:id="21"/>
      <w:r>
        <w:rPr/>
        <w:t xml:space="preserve"> d</w:t>
      </w:r>
      <w:r>
        <w:rPr/>
        <w:t>u</w:t>
      </w:r>
      <w:r>
        <w:rPr/>
        <w:t xml:space="preserve"> schémas </w:t>
      </w:r>
      <w:r>
        <w:rPr/>
        <w:t>de Lax-Friedrichs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Soit T=0.</w:t>
      </w:r>
      <w:r>
        <w:rPr/>
        <w:t>1 et |c|=2</w:t>
      </w:r>
      <w:r>
        <w:rPr/>
        <w:t xml:space="preserve">, on fait varier h et </w:t>
      </w:r>
      <w:r>
        <w:rPr>
          <w:rFonts w:ascii="Standard Symbols L" w:hAnsi="Standard Symbols L"/>
        </w:rPr>
        <w:t>D</w:t>
      </w:r>
      <w:r>
        <w:rPr/>
        <w:t xml:space="preserve">t et </w:t>
      </w:r>
      <w:r>
        <w:rPr/>
        <w:t>on</w:t>
      </w:r>
      <w:r>
        <w:rPr/>
        <w:t xml:space="preserve"> regarde l’évolution de l’erreur max. </w:t>
      </w:r>
      <w:r>
        <w:rPr/>
        <w:t>Cela marcherai de la même façon pour le schéma décentré à gauche (respectivement à droite) en prenant c=2 (respectivement c=-2).</w:t>
      </w:r>
    </w:p>
    <w:p>
      <w:pPr>
        <w:pStyle w:val="Titre2"/>
        <w:rPr/>
      </w:pPr>
      <w:r>
        <w:rPr/>
      </w:r>
    </w:p>
    <w:tbl>
      <w:tblPr>
        <w:tblW w:w="9068" w:type="dxa"/>
        <w:jc w:val="left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9" w:type="dxa"/>
          <w:bottom w:w="55" w:type="dxa"/>
          <w:right w:w="55" w:type="dxa"/>
        </w:tblCellMar>
      </w:tblPr>
      <w:tblGrid>
        <w:gridCol w:w="1360"/>
        <w:gridCol w:w="1927"/>
        <w:gridCol w:w="1927"/>
        <w:gridCol w:w="1927"/>
        <w:gridCol w:w="1177"/>
      </w:tblGrid>
      <w:tr>
        <w:trPr>
          <w:trHeight w:val="576" w:hRule="atLeast"/>
        </w:trPr>
        <w:tc>
          <w:tcPr>
            <w:tcW w:w="1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 xml:space="preserve">h </w:t>
            </w:r>
            <w:r>
              <w:rPr>
                <w:rFonts w:eastAsia="Calibri" w:cs="DejaVu Sans" w:ascii="Cambria" w:hAnsi="Cambria"/>
                <w:sz w:val="20"/>
                <w:szCs w:val="20"/>
              </w:rPr>
              <w:t xml:space="preserve">/ </w:t>
            </w:r>
            <w:r>
              <w:rPr>
                <w:rFonts w:eastAsia="Calibri" w:cs="DejaVu Sans" w:ascii="Standard Symbols L" w:hAnsi="Standard Symbols L"/>
                <w:sz w:val="20"/>
                <w:szCs w:val="20"/>
              </w:rPr>
              <w:t>D</w:t>
            </w:r>
            <w:r>
              <w:rPr>
                <w:rFonts w:eastAsia="Calibri" w:cs="DejaVu Sans" w:ascii="Cambria" w:hAnsi="Cambria"/>
                <w:sz w:val="20"/>
                <w:szCs w:val="20"/>
              </w:rPr>
              <w:t>t</w:t>
            </w:r>
          </w:p>
        </w:tc>
        <w:tc>
          <w:tcPr>
            <w:tcW w:w="19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</w:t>
            </w:r>
            <w:r>
              <w:rPr>
                <w:rFonts w:eastAsia="Calibri" w:cs="DejaVu Sans" w:ascii="Cambria" w:hAnsi="Cambria"/>
                <w:sz w:val="20"/>
                <w:szCs w:val="20"/>
              </w:rPr>
              <w:t>01 / 0.005</w:t>
            </w:r>
          </w:p>
        </w:tc>
        <w:tc>
          <w:tcPr>
            <w:tcW w:w="19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</w:t>
            </w:r>
            <w:r>
              <w:rPr>
                <w:rFonts w:eastAsia="Calibri" w:cs="DejaVu Sans" w:ascii="Cambria" w:hAnsi="Cambria"/>
                <w:sz w:val="20"/>
                <w:szCs w:val="20"/>
              </w:rPr>
              <w:t>0</w:t>
            </w:r>
            <w:r>
              <w:rPr>
                <w:rFonts w:eastAsia="Calibri" w:cs="DejaVu Sans" w:ascii="Cambria" w:hAnsi="Cambria"/>
                <w:sz w:val="20"/>
                <w:szCs w:val="20"/>
              </w:rPr>
              <w:t xml:space="preserve">5 / </w:t>
            </w:r>
            <w:r>
              <w:rPr>
                <w:rFonts w:eastAsia="Calibri" w:cs="DejaVu Sans" w:ascii="Cambria" w:hAnsi="Cambria"/>
                <w:sz w:val="20"/>
                <w:szCs w:val="20"/>
              </w:rPr>
              <w:t>0.0025</w:t>
            </w:r>
          </w:p>
        </w:tc>
        <w:tc>
          <w:tcPr>
            <w:tcW w:w="19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</w:t>
            </w:r>
            <w:r>
              <w:rPr>
                <w:rFonts w:eastAsia="Calibri" w:cs="DejaVu Sans" w:ascii="Cambria" w:hAnsi="Cambria"/>
                <w:sz w:val="20"/>
                <w:szCs w:val="20"/>
              </w:rPr>
              <w:t>01 / 0.0005</w:t>
            </w:r>
          </w:p>
        </w:tc>
        <w:tc>
          <w:tcPr>
            <w:tcW w:w="11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0.0005 / 0.00025</w:t>
            </w:r>
          </w:p>
        </w:tc>
      </w:tr>
      <w:tr>
        <w:trPr>
          <w:trHeight w:val="576" w:hRule="atLeast"/>
        </w:trPr>
        <w:tc>
          <w:tcPr>
            <w:tcW w:w="1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erreur</w:t>
            </w:r>
          </w:p>
        </w:tc>
        <w:tc>
          <w:tcPr>
            <w:tcW w:w="19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1.</w:t>
            </w:r>
            <w:r>
              <w:rPr>
                <w:rFonts w:eastAsia="Calibri" w:cs="DejaVu Sans" w:ascii="Cambria" w:hAnsi="Cambria"/>
                <w:sz w:val="20"/>
                <w:szCs w:val="20"/>
              </w:rPr>
              <w:t>91919</w:t>
            </w:r>
            <w:r>
              <w:rPr>
                <w:rFonts w:eastAsia="Calibri" w:cs="DejaVu Sans" w:ascii="Cambria" w:hAnsi="Cambria"/>
                <w:sz w:val="20"/>
                <w:szCs w:val="20"/>
              </w:rPr>
              <w:t>e-</w:t>
            </w:r>
            <w:r>
              <w:rPr>
                <w:rFonts w:eastAsia="Calibri" w:cs="DejaVu Sans" w:ascii="Cambria" w:hAnsi="Cambria"/>
                <w:sz w:val="20"/>
                <w:szCs w:val="20"/>
              </w:rPr>
              <w:t>2</w:t>
            </w:r>
          </w:p>
        </w:tc>
        <w:tc>
          <w:tcPr>
            <w:tcW w:w="19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9.79899</w:t>
            </w:r>
            <w:r>
              <w:rPr>
                <w:rFonts w:eastAsia="Calibri" w:cs="DejaVu Sans" w:ascii="Cambria" w:hAnsi="Cambria"/>
                <w:sz w:val="20"/>
                <w:szCs w:val="20"/>
              </w:rPr>
              <w:t>e-</w:t>
            </w:r>
            <w:r>
              <w:rPr>
                <w:rFonts w:eastAsia="Calibri" w:cs="DejaVu Sans" w:ascii="Cambria" w:hAnsi="Cambria"/>
                <w:sz w:val="20"/>
                <w:szCs w:val="20"/>
              </w:rPr>
              <w:t>3</w:t>
            </w:r>
          </w:p>
        </w:tc>
        <w:tc>
          <w:tcPr>
            <w:tcW w:w="19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1.99199</w:t>
            </w:r>
            <w:r>
              <w:rPr>
                <w:rFonts w:eastAsia="Calibri" w:cs="DejaVu Sans" w:ascii="Cambria" w:hAnsi="Cambria"/>
                <w:sz w:val="20"/>
                <w:szCs w:val="20"/>
              </w:rPr>
              <w:t>e-</w:t>
            </w:r>
            <w:r>
              <w:rPr>
                <w:rFonts w:eastAsia="Calibri" w:cs="DejaVu Sans" w:ascii="Cambria" w:hAnsi="Cambria"/>
                <w:sz w:val="20"/>
                <w:szCs w:val="20"/>
              </w:rPr>
              <w:t>3</w:t>
            </w:r>
          </w:p>
        </w:tc>
        <w:tc>
          <w:tcPr>
            <w:tcW w:w="11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9.97998e-4</w:t>
            </w:r>
          </w:p>
        </w:tc>
      </w:tr>
    </w:tbl>
    <w:p>
      <w:pPr>
        <w:pStyle w:val="Titre2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On voit d’après ce tableaux que l’erreur max du schéma </w:t>
      </w:r>
      <w:r>
        <w:rPr/>
        <w:t>Lax-Friedrichs</w:t>
      </w:r>
      <w:r>
        <w:rPr/>
        <w:t xml:space="preserve"> d</w:t>
      </w:r>
      <w:r>
        <w:rPr/>
        <w:t>iminue lorsque</w:t>
      </w:r>
      <w:r>
        <w:rPr/>
        <w:t xml:space="preserve"> h et de </w:t>
      </w:r>
      <w:r>
        <w:rPr>
          <w:rFonts w:ascii="Standard Symbols L" w:hAnsi="Standard Symbols L"/>
        </w:rPr>
        <w:t>D</w:t>
      </w:r>
      <w:r>
        <w:rPr/>
        <w:t xml:space="preserve">t </w:t>
      </w:r>
      <w:r>
        <w:rPr/>
        <w:t>diminues tout en respectant la condition |c|</w:t>
      </w:r>
      <w:r>
        <w:rPr>
          <w:rFonts w:ascii="Standard Symbols L" w:hAnsi="Standard Symbols L"/>
        </w:rPr>
        <w:t>D</w:t>
      </w:r>
      <w:r>
        <w:rPr/>
        <w:t>t &lt; h.</w:t>
      </w:r>
      <w:r>
        <w:br w:type="page"/>
      </w:r>
    </w:p>
    <w:p>
      <w:pPr>
        <w:pStyle w:val="Titre2"/>
        <w:rPr/>
      </w:pPr>
      <w:bookmarkStart w:id="22" w:name="__RefHeading___Toc2183_114045403"/>
      <w:bookmarkEnd w:id="22"/>
      <w:r>
        <w:rPr/>
        <w:t>Conclusion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Au vu des résultats, étant donné que la solution initiale n’est pas C</w:t>
      </w:r>
      <w:r>
        <w:rPr>
          <w:vertAlign w:val="superscript"/>
        </w:rPr>
        <w:t>2</w:t>
      </w:r>
      <w:r>
        <w:rPr>
          <w:position w:val="0"/>
          <w:sz w:val="28"/>
          <w:vertAlign w:val="baseline"/>
        </w:rPr>
        <w:t>, ni même C</w:t>
      </w:r>
      <w:r>
        <w:rPr>
          <w:vertAlign w:val="superscript"/>
        </w:rPr>
        <w:t>1</w:t>
      </w:r>
      <w:r>
        <w:rPr>
          <w:position w:val="0"/>
          <w:sz w:val="28"/>
          <w:vertAlign w:val="baseline"/>
        </w:rPr>
        <w:t>, la solution exacte ne l’est donc pas non plus. Cela ne nous permet donc pas de conclure sur la convergence des schémas.</w:t>
        <w:br/>
        <w:t>Cependant les résultats nous permettent d’affirmer que les schémas sont instables lorsque |c|</w:t>
      </w:r>
      <w:r>
        <w:rPr>
          <w:rFonts w:ascii="Standard Symbols L" w:hAnsi="Standard Symbols L"/>
          <w:position w:val="0"/>
          <w:sz w:val="28"/>
          <w:vertAlign w:val="baseline"/>
        </w:rPr>
        <w:t>D</w:t>
      </w:r>
      <w:r>
        <w:rPr>
          <w:position w:val="0"/>
          <w:sz w:val="28"/>
          <w:vertAlign w:val="baseline"/>
        </w:rPr>
        <w:t xml:space="preserve">t </w:t>
      </w:r>
      <w:r>
        <w:rPr>
          <w:position w:val="0"/>
          <w:sz w:val="28"/>
          <w:vertAlign w:val="baseline"/>
        </w:rPr>
        <w:t xml:space="preserve">&gt; h. De plus on remarque que l’erreur max diminue lorsque </w:t>
      </w:r>
      <w:r>
        <w:rPr>
          <w:rFonts w:ascii="Standard Symbols L" w:hAnsi="Standard Symbols L"/>
          <w:position w:val="0"/>
          <w:sz w:val="28"/>
          <w:vertAlign w:val="baseline"/>
        </w:rPr>
        <w:t>D</w:t>
      </w:r>
      <w:r>
        <w:rPr>
          <w:position w:val="0"/>
          <w:sz w:val="28"/>
          <w:vertAlign w:val="baseline"/>
        </w:rPr>
        <w:t xml:space="preserve">t </w:t>
      </w:r>
      <w:r>
        <w:rPr>
          <w:position w:val="0"/>
          <w:sz w:val="28"/>
          <w:vertAlign w:val="baseline"/>
        </w:rPr>
        <w:t>et h diminues et respectent la condition |c|</w:t>
      </w:r>
      <w:r>
        <w:rPr>
          <w:rFonts w:ascii="Standard Symbols L" w:hAnsi="Standard Symbols L"/>
          <w:position w:val="0"/>
          <w:sz w:val="28"/>
          <w:vertAlign w:val="baseline"/>
        </w:rPr>
        <w:t>D</w:t>
      </w:r>
      <w:r>
        <w:rPr>
          <w:position w:val="0"/>
          <w:sz w:val="28"/>
          <w:vertAlign w:val="baseline"/>
        </w:rPr>
        <w:t xml:space="preserve">t </w:t>
      </w:r>
      <w:r>
        <w:rPr>
          <w:position w:val="0"/>
          <w:sz w:val="28"/>
          <w:vertAlign w:val="baseline"/>
        </w:rPr>
        <w:t>&lt; h.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rPr>
          <w:rFonts w:ascii="Ubuntu" w:hAnsi="Ubuntu" w:eastAsia="Ubuntu" w:cs="Ubuntu"/>
          <w:position w:val="0"/>
          <w:sz w:val="28"/>
          <w:sz w:val="28"/>
          <w:vertAlign w:val="baseline"/>
        </w:rPr>
      </w:pPr>
      <w:r>
        <w:rPr>
          <w:rFonts w:eastAsia="Ubuntu" w:cs="Ubuntu" w:ascii="Ubuntu" w:hAnsi="Ubuntu"/>
          <w:position w:val="0"/>
          <w:sz w:val="28"/>
          <w:sz w:val="28"/>
          <w:vertAlign w:val="baseline"/>
        </w:rPr>
      </w:r>
    </w:p>
    <w:p>
      <w:pPr>
        <w:pStyle w:val="Normal"/>
        <w:rPr>
          <w:rFonts w:ascii="Ubuntu" w:hAnsi="Ubuntu" w:eastAsia="Ubuntu" w:cs="Ubuntu"/>
          <w:position w:val="0"/>
          <w:sz w:val="28"/>
          <w:sz w:val="28"/>
          <w:vertAlign w:val="baseline"/>
        </w:rPr>
      </w:pPr>
      <w:r>
        <w:rPr>
          <w:rFonts w:eastAsia="Ubuntu" w:cs="Ubuntu" w:ascii="Ubuntu" w:hAnsi="Ubuntu"/>
          <w:position w:val="0"/>
          <w:sz w:val="28"/>
          <w:sz w:val="28"/>
          <w:vertAlign w:val="baseline"/>
        </w:rPr>
      </w:r>
    </w:p>
    <w:p>
      <w:pPr>
        <w:pStyle w:val="Normal"/>
        <w:rPr>
          <w:rFonts w:ascii="Ubuntu" w:hAnsi="Ubuntu" w:eastAsia="Ubuntu" w:cs="Ubuntu"/>
          <w:position w:val="0"/>
          <w:sz w:val="28"/>
          <w:sz w:val="28"/>
          <w:vertAlign w:val="baseline"/>
        </w:rPr>
      </w:pPr>
      <w:r>
        <w:rPr>
          <w:rFonts w:eastAsia="Ubuntu" w:cs="Ubuntu" w:ascii="Ubuntu" w:hAnsi="Ubuntu"/>
          <w:position w:val="0"/>
          <w:sz w:val="28"/>
          <w:sz w:val="28"/>
          <w:vertAlign w:val="baseline"/>
        </w:rPr>
      </w:r>
    </w:p>
    <w:p>
      <w:pPr>
        <w:pStyle w:val="Normal"/>
        <w:rPr>
          <w:rFonts w:ascii="Ubuntu" w:hAnsi="Ubuntu" w:eastAsia="Ubuntu" w:cs="Ubuntu"/>
          <w:position w:val="0"/>
          <w:sz w:val="28"/>
          <w:sz w:val="28"/>
          <w:vertAlign w:val="baseline"/>
        </w:rPr>
      </w:pPr>
      <w:r>
        <w:rPr>
          <w:rFonts w:eastAsia="Ubuntu" w:cs="Ubuntu" w:ascii="Ubuntu" w:hAnsi="Ubuntu"/>
          <w:position w:val="0"/>
          <w:sz w:val="28"/>
          <w:sz w:val="28"/>
          <w:vertAlign w:val="baseline"/>
        </w:rPr>
      </w:r>
    </w:p>
    <w:p>
      <w:pPr>
        <w:pStyle w:val="Normal"/>
        <w:rPr>
          <w:rFonts w:ascii="Ubuntu" w:hAnsi="Ubuntu" w:eastAsia="Ubuntu" w:cs="Ubuntu"/>
          <w:position w:val="0"/>
          <w:sz w:val="28"/>
          <w:sz w:val="28"/>
          <w:vertAlign w:val="baseline"/>
        </w:rPr>
      </w:pPr>
      <w:r>
        <w:rPr>
          <w:rFonts w:eastAsia="Ubuntu" w:cs="Ubuntu" w:ascii="Ubuntu" w:hAnsi="Ubuntu"/>
          <w:position w:val="0"/>
          <w:sz w:val="28"/>
          <w:sz w:val="28"/>
          <w:vertAlign w:val="baseline"/>
        </w:rPr>
      </w:r>
    </w:p>
    <w:p>
      <w:pPr>
        <w:pStyle w:val="Normal"/>
        <w:rPr>
          <w:rFonts w:ascii="Ubuntu" w:hAnsi="Ubuntu" w:eastAsia="Ubuntu" w:cs="Ubuntu"/>
          <w:position w:val="0"/>
          <w:sz w:val="28"/>
          <w:sz w:val="28"/>
          <w:vertAlign w:val="baseline"/>
        </w:rPr>
      </w:pPr>
      <w:r>
        <w:rPr>
          <w:rFonts w:eastAsia="Ubuntu" w:cs="Ubuntu" w:ascii="Ubuntu" w:hAnsi="Ubuntu"/>
          <w:position w:val="0"/>
          <w:sz w:val="28"/>
          <w:sz w:val="28"/>
          <w:vertAlign w:val="baseline"/>
        </w:rPr>
      </w:r>
    </w:p>
    <w:p>
      <w:pPr>
        <w:pStyle w:val="Normal"/>
        <w:rPr>
          <w:rFonts w:ascii="Ubuntu" w:hAnsi="Ubuntu" w:eastAsia="Ubuntu" w:cs="Ubuntu"/>
          <w:position w:val="0"/>
          <w:sz w:val="28"/>
          <w:sz w:val="28"/>
          <w:vertAlign w:val="baseline"/>
        </w:rPr>
      </w:pPr>
      <w:r>
        <w:rPr>
          <w:rFonts w:eastAsia="Ubuntu" w:cs="Ubuntu" w:ascii="Ubuntu" w:hAnsi="Ubuntu"/>
          <w:position w:val="0"/>
          <w:sz w:val="28"/>
          <w:sz w:val="28"/>
          <w:vertAlign w:val="baseline"/>
        </w:rPr>
      </w:r>
    </w:p>
    <w:p>
      <w:pPr>
        <w:pStyle w:val="Normal"/>
        <w:rPr>
          <w:rFonts w:ascii="Ubuntu" w:hAnsi="Ubuntu" w:eastAsia="Ubuntu" w:cs="Ubuntu"/>
          <w:position w:val="0"/>
          <w:sz w:val="28"/>
          <w:sz w:val="28"/>
          <w:vertAlign w:val="baseline"/>
        </w:rPr>
      </w:pPr>
      <w:r>
        <w:rPr>
          <w:rFonts w:eastAsia="Ubuntu" w:cs="Ubuntu" w:ascii="Ubuntu" w:hAnsi="Ubuntu"/>
          <w:position w:val="0"/>
          <w:sz w:val="28"/>
          <w:sz w:val="28"/>
          <w:vertAlign w:val="baseline"/>
        </w:rPr>
      </w:r>
    </w:p>
    <w:p>
      <w:pPr>
        <w:pStyle w:val="Normal"/>
        <w:rPr>
          <w:rFonts w:ascii="Ubuntu" w:hAnsi="Ubuntu" w:eastAsia="Ubuntu" w:cs="Ubuntu"/>
          <w:position w:val="0"/>
          <w:sz w:val="28"/>
          <w:sz w:val="28"/>
          <w:vertAlign w:val="baseline"/>
        </w:rPr>
      </w:pPr>
      <w:r>
        <w:rPr>
          <w:rFonts w:eastAsia="Ubuntu" w:cs="Ubuntu" w:ascii="Ubuntu" w:hAnsi="Ubuntu"/>
          <w:position w:val="0"/>
          <w:sz w:val="28"/>
          <w:sz w:val="28"/>
          <w:vertAlign w:val="baseline"/>
        </w:rPr>
      </w:r>
    </w:p>
    <w:p>
      <w:pPr>
        <w:pStyle w:val="Titre1"/>
        <w:rPr/>
      </w:pPr>
      <w:bookmarkStart w:id="23" w:name="_Toc496269130"/>
      <w:bookmarkStart w:id="24" w:name="__RefHeading___Toc418_1336233231"/>
      <w:bookmarkEnd w:id="23"/>
      <w:bookmarkEnd w:id="24"/>
      <w:r>
        <w:rPr>
          <w:sz w:val="48"/>
          <w:szCs w:val="48"/>
          <w:u w:val="single"/>
        </w:rPr>
        <w:t>Annexe :</w:t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294952959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Cambria">
    <w:charset w:val="01"/>
    <w:family w:val="roman"/>
    <w:pitch w:val="default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tandard Symbols L">
    <w:charset w:val="01"/>
    <w:family w:val="roman"/>
    <w:pitch w:val="variable"/>
  </w:font>
  <w:font w:name="Ubuntu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5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fr-FR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spacing w:lineRule="auto" w:line="276" w:before="0" w:after="200"/>
      <w:jc w:val="left"/>
    </w:pPr>
    <w:rPr>
      <w:rFonts w:ascii="Calibri" w:hAnsi="Calibri" w:eastAsia="Calibri" w:cs="DejaVu Sans"/>
      <w:color w:val="00000A"/>
      <w:sz w:val="28"/>
      <w:szCs w:val="28"/>
      <w:lang w:val="fr-FR" w:eastAsia="en-US" w:bidi="ar-SA"/>
    </w:rPr>
  </w:style>
  <w:style w:type="paragraph" w:styleId="Titre1">
    <w:name w:val="Heading 1"/>
    <w:basedOn w:val="Normal"/>
    <w:next w:val="Normal"/>
    <w:qFormat/>
    <w:pPr>
      <w:keepNext/>
      <w:keepLines/>
      <w:spacing w:before="480" w:after="0"/>
      <w:outlineLvl w:val="0"/>
    </w:pPr>
    <w:rPr>
      <w:rFonts w:ascii="Cambria" w:hAnsi="Cambria" w:eastAsia="Calibri" w:cs="DejaVu Sans"/>
      <w:b/>
      <w:bCs/>
      <w:color w:val="365F91"/>
    </w:rPr>
  </w:style>
  <w:style w:type="paragraph" w:styleId="Titre2">
    <w:name w:val="Heading 2"/>
    <w:basedOn w:val="Normal"/>
    <w:next w:val="Normal"/>
    <w:qFormat/>
    <w:pPr>
      <w:keepNext/>
      <w:keepLines/>
      <w:spacing w:before="200" w:after="0"/>
      <w:jc w:val="center"/>
      <w:outlineLvl w:val="1"/>
    </w:pPr>
    <w:rPr>
      <w:rFonts w:ascii="Cambria" w:hAnsi="Cambria" w:eastAsia="Calibri" w:cs="DejaVu Sans"/>
      <w:b/>
      <w:bCs/>
      <w:color w:val="4F81BD"/>
      <w:sz w:val="26"/>
      <w:szCs w:val="26"/>
    </w:rPr>
  </w:style>
  <w:style w:type="paragraph" w:styleId="Titre3">
    <w:name w:val="Heading 3"/>
    <w:basedOn w:val="Titre"/>
    <w:qFormat/>
    <w:pPr>
      <w:outlineLvl w:val="3"/>
    </w:pPr>
    <w:rPr>
      <w:rFonts w:ascii="Cambria" w:hAnsi="Cambria"/>
      <w:b/>
      <w:color w:val="0084D1"/>
      <w:sz w:val="24"/>
    </w:rPr>
  </w:style>
  <w:style w:type="character" w:styleId="DefaultParagraphFont">
    <w:name w:val="Default Paragraph Font"/>
    <w:qFormat/>
    <w:rPr/>
  </w:style>
  <w:style w:type="character" w:styleId="Titre1Car">
    <w:name w:val="Titre 1 Car"/>
    <w:basedOn w:val="DefaultParagraphFont"/>
    <w:qFormat/>
    <w:rPr>
      <w:rFonts w:ascii="Cambria" w:hAnsi="Cambria" w:eastAsia="Calibri" w:cs="DejaVu Sans"/>
      <w:b/>
      <w:bCs/>
      <w:color w:val="365F91"/>
      <w:sz w:val="28"/>
      <w:szCs w:val="28"/>
    </w:rPr>
  </w:style>
  <w:style w:type="character" w:styleId="Titre2Car">
    <w:name w:val="Titre 2 Car"/>
    <w:basedOn w:val="DefaultParagraphFont"/>
    <w:qFormat/>
    <w:rPr>
      <w:rFonts w:ascii="Cambria" w:hAnsi="Cambria" w:eastAsia="Calibri" w:cs="DejaVu Sans"/>
      <w:b/>
      <w:bCs/>
      <w:color w:val="4F81BD"/>
      <w:sz w:val="26"/>
      <w:szCs w:val="26"/>
    </w:rPr>
  </w:style>
  <w:style w:type="character" w:styleId="TitreCar">
    <w:name w:val="Titre Car"/>
    <w:basedOn w:val="DefaultParagraphFont"/>
    <w:qFormat/>
    <w:rPr>
      <w:rFonts w:ascii="Cambria" w:hAnsi="Cambria" w:eastAsia="Calibri" w:cs="DejaVu Sans"/>
      <w:color w:val="17365D"/>
      <w:spacing w:val="5"/>
      <w:sz w:val="52"/>
      <w:szCs w:val="52"/>
    </w:rPr>
  </w:style>
  <w:style w:type="character" w:styleId="EntteCar">
    <w:name w:val="En-tête Car"/>
    <w:basedOn w:val="DefaultParagraphFont"/>
    <w:qFormat/>
    <w:rPr/>
  </w:style>
  <w:style w:type="character" w:styleId="PieddepageCar">
    <w:name w:val="Pied de page Car"/>
    <w:basedOn w:val="DefaultParagraphFont"/>
    <w:qFormat/>
    <w:rPr/>
  </w:style>
  <w:style w:type="character" w:styleId="TextedebullesCar">
    <w:name w:val="Texte de bulles Car"/>
    <w:basedOn w:val="DefaultParagraphFont"/>
    <w:qFormat/>
    <w:rPr>
      <w:rFonts w:ascii="Tahoma" w:hAnsi="Tahoma" w:cs="Tahoma"/>
      <w:sz w:val="16"/>
      <w:szCs w:val="16"/>
    </w:rPr>
  </w:style>
  <w:style w:type="character" w:styleId="LienInternet">
    <w:name w:val="Lien Internet"/>
    <w:basedOn w:val="DefaultParagraphFont"/>
    <w:rPr>
      <w:color w:val="0000FF"/>
      <w:u w:val="single"/>
    </w:rPr>
  </w:style>
  <w:style w:type="character" w:styleId="Sautdindex">
    <w:name w:val="Saut d'index"/>
    <w:qFormat/>
    <w:rPr/>
  </w:style>
  <w:style w:type="paragraph" w:styleId="Titre">
    <w:name w:val="Titre"/>
    <w:basedOn w:val="Normal"/>
    <w:next w:val="Corpsdetexte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orpsdetexte">
    <w:name w:val="Body Text"/>
    <w:basedOn w:val="Normal"/>
    <w:pPr>
      <w:spacing w:lineRule="auto" w:line="288" w:before="0" w:after="140"/>
    </w:pPr>
    <w:rPr/>
  </w:style>
  <w:style w:type="paragraph" w:styleId="Liste">
    <w:name w:val="List"/>
    <w:basedOn w:val="Corpsdetexte"/>
    <w:pPr/>
    <w:rPr>
      <w:rFonts w:cs="Free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reprincipal">
    <w:name w:val="Title"/>
    <w:basedOn w:val="Normal"/>
    <w:next w:val="Normal"/>
    <w:qFormat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Calibri" w:cs="DejaVu Sans"/>
      <w:color w:val="17365D"/>
      <w:spacing w:val="5"/>
      <w:sz w:val="52"/>
      <w:szCs w:val="52"/>
    </w:rPr>
  </w:style>
  <w:style w:type="paragraph" w:styleId="Entte">
    <w:name w:val="Head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OCHeading">
    <w:name w:val="TOC Heading"/>
    <w:basedOn w:val="Titre1"/>
    <w:next w:val="Normal"/>
    <w:qFormat/>
    <w:pPr/>
    <w:rPr/>
  </w:style>
  <w:style w:type="paragraph" w:styleId="Tabledesmatiresniveau2">
    <w:name w:val="TOC 2"/>
    <w:basedOn w:val="Normal"/>
    <w:next w:val="Normal"/>
    <w:autoRedefine/>
    <w:pPr>
      <w:spacing w:before="0" w:after="100"/>
      <w:ind w:left="220" w:right="0" w:hanging="0"/>
    </w:pPr>
    <w:rPr>
      <w:rFonts w:eastAsia="Calibri"/>
    </w:rPr>
  </w:style>
  <w:style w:type="paragraph" w:styleId="Tabledesmatiresniveau1">
    <w:name w:val="TOC 1"/>
    <w:basedOn w:val="Normal"/>
    <w:next w:val="Normal"/>
    <w:autoRedefine/>
    <w:pPr>
      <w:spacing w:before="0" w:after="100"/>
    </w:pPr>
    <w:rPr>
      <w:rFonts w:eastAsia="Calibri"/>
    </w:rPr>
  </w:style>
  <w:style w:type="paragraph" w:styleId="Tabledesmatiresniveau3">
    <w:name w:val="TOC 3"/>
    <w:basedOn w:val="Normal"/>
    <w:next w:val="Normal"/>
    <w:autoRedefine/>
    <w:pPr>
      <w:spacing w:before="0" w:after="100"/>
      <w:ind w:left="440" w:right="0" w:hanging="0"/>
    </w:pPr>
    <w:rPr>
      <w:rFonts w:eastAsia="Calibri"/>
    </w:rPr>
  </w:style>
  <w:style w:type="paragraph" w:styleId="Contenudetableau">
    <w:name w:val="Contenu de tableau"/>
    <w:basedOn w:val="Normal"/>
    <w:qFormat/>
    <w:pPr/>
    <w:rPr/>
  </w:style>
  <w:style w:type="paragraph" w:styleId="Titredetableau">
    <w:name w:val="Titre de tableau"/>
    <w:basedOn w:val="Contenudetableau"/>
    <w:qFormat/>
    <w:pPr/>
    <w:rPr/>
  </w:style>
  <w:style w:type="paragraph" w:styleId="Tabledesmatiresniveau4">
    <w:name w:val="TOC 4"/>
    <w:basedOn w:val="Index"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fontTable" Target="fontTable.xml"/><Relationship Id="rId3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Application>LibreOffice/5.1.6.2$Linux_X86_64 LibreOffice_project/10m0$Build-2</Application>
  <Pages>9</Pages>
  <Words>705</Words>
  <Characters>3231</Characters>
  <CharactersWithSpaces>3841</CharactersWithSpaces>
  <Paragraphs>105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2017-10-19T16:31:00Z</dcterms:created>
  <dc:creator>Alex</dc:creator>
  <dc:description/>
  <dc:language>fr-FR</dc:language>
  <cp:lastModifiedBy/>
  <dcterms:modified xsi:type="dcterms:W3CDTF">2017-11-06T23:47:02Z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