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vertAlign w:val="baseli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Mauro José Ferreira, C; Josiel Alan Leite Fernandes, M. A Cidade Inteligente: uma reterritorialização / Smart City: A reterritorialization.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Redes, Vol 22, Iss 1, Pp 102-117 (2016)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1, 102, 2016. ISSN: 1414-7106.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