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Puest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E54E80" w:rsidP="00762940">
      <w:pPr>
        <w:rPr>
          <w:lang w:val="es-PE"/>
        </w:rPr>
      </w:pPr>
      <w:r>
        <w:rPr>
          <w:lang w:val="es-PE"/>
        </w:rPr>
        <w:t>En la tabla 1</w:t>
      </w:r>
      <w:r w:rsidR="00762940">
        <w:rPr>
          <w:lang w:val="es-PE"/>
        </w:rPr>
        <w:t xml:space="preserve"> se muestra el formato de solicitud de cambio de la empresa </w:t>
      </w:r>
      <w:proofErr w:type="spellStart"/>
      <w:r w:rsidR="00762940">
        <w:rPr>
          <w:lang w:val="es-PE"/>
        </w:rPr>
        <w:t>Programsy</w:t>
      </w:r>
      <w:proofErr w:type="spellEnd"/>
    </w:p>
    <w:p w:rsidR="00E54E80" w:rsidRDefault="00E54E80" w:rsidP="00762940">
      <w:pPr>
        <w:rPr>
          <w:lang w:val="es-PE"/>
        </w:rPr>
      </w:pPr>
    </w:p>
    <w:p w:rsidR="00762940" w:rsidRP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Tabla 1 – Formato de solicitud</w:t>
      </w:r>
    </w:p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762940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ID de la solicitud</w:t>
            </w: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DE113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>
              <w:rPr>
                <w:rFonts w:ascii="Calibri" w:hAnsi="Calibri" w:cs="Calibri"/>
                <w:i/>
                <w:szCs w:val="24"/>
              </w:rPr>
              <w:t>Nombre del sistema</w:t>
            </w: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DE113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 xml:space="preserve">Persona(s) que identificó la </w:t>
            </w:r>
            <w:r>
              <w:rPr>
                <w:rFonts w:ascii="Calibri" w:hAnsi="Calibri" w:cs="Calibri"/>
                <w:i/>
                <w:szCs w:val="24"/>
              </w:rPr>
              <w:t>necesidad del cambio</w:t>
            </w:r>
          </w:p>
        </w:tc>
      </w:tr>
      <w:tr w:rsidR="00896F98" w:rsidTr="00A55F88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vAlign w:val="center"/>
          </w:tcPr>
          <w:p w:rsidR="00896F98" w:rsidRPr="00A01FC7" w:rsidRDefault="00896F98" w:rsidP="00896F98">
            <w:pPr>
              <w:pStyle w:val="Prrafodelista"/>
              <w:ind w:left="0"/>
              <w:rPr>
                <w:rFonts w:cs="Calibri"/>
                <w:i/>
                <w:sz w:val="20"/>
                <w:szCs w:val="24"/>
              </w:rPr>
            </w:pPr>
            <w:r w:rsidRPr="00A01FC7">
              <w:rPr>
                <w:rFonts w:cs="Calibri"/>
                <w:i/>
                <w:sz w:val="20"/>
                <w:szCs w:val="24"/>
              </w:rPr>
              <w:t xml:space="preserve">Persona(s) que identificó la </w:t>
            </w:r>
            <w:r>
              <w:rPr>
                <w:rFonts w:cs="Calibri"/>
                <w:i/>
                <w:sz w:val="20"/>
                <w:szCs w:val="24"/>
              </w:rPr>
              <w:t>necesidad del cambio</w:t>
            </w:r>
          </w:p>
        </w:tc>
      </w:tr>
      <w:tr w:rsidR="00896F98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>La descripción debe contener: Ítems de configuración, recursos necesarios para la implementación y tiempo estimado.</w:t>
            </w:r>
          </w:p>
          <w:p w:rsidR="00896F98" w:rsidRPr="00896F98" w:rsidRDefault="00896F98" w:rsidP="00896F98">
            <w:pPr>
              <w:spacing w:line="360" w:lineRule="auto"/>
              <w:rPr>
                <w:i/>
                <w:szCs w:val="24"/>
              </w:rPr>
            </w:pPr>
          </w:p>
        </w:tc>
      </w:tr>
      <w:tr w:rsidR="00896F98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1590"/>
              </w:tabs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>Justificación del cambio propuesto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Estado de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Tipo de impacto definidos en la tabla de tipos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Tipo de clasificación definidos en la tabla de tipos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que se recibirá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Persona encargada de revisar la solicitud de cambio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la que se iniciará la implementación de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la que se revisa el cambio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Persona encargada de ejecutar el cambio propuesto en la solicitud</w:t>
            </w: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896F98" w:rsidRDefault="00896F98" w:rsidP="00896F98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E54E80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En la tabla 2 se observan l</w:t>
      </w:r>
      <w:r w:rsidR="0072273B">
        <w:rPr>
          <w:rFonts w:asciiTheme="minorHAnsi" w:hAnsiTheme="minorHAnsi"/>
          <w:sz w:val="24"/>
          <w:szCs w:val="24"/>
          <w:lang w:val="es-PE"/>
        </w:rPr>
        <w:t>os estados que puede tener una solicitud de cambio son diferentes en ca</w:t>
      </w:r>
      <w:r>
        <w:rPr>
          <w:rFonts w:asciiTheme="minorHAnsi" w:hAnsiTheme="minorHAnsi"/>
          <w:sz w:val="24"/>
          <w:szCs w:val="24"/>
          <w:lang w:val="es-PE"/>
        </w:rPr>
        <w:t>da paso de la gestión de cambio.</w:t>
      </w:r>
    </w:p>
    <w:p w:rsidR="00E54E80" w:rsidRP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Tabla 2 – Tipos de Estados</w:t>
      </w:r>
    </w:p>
    <w:p w:rsidR="00E54E80" w:rsidRDefault="00E54E80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E54E80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En la tabla 3 se pueden observar l</w:t>
      </w:r>
      <w:r w:rsidR="0072273B">
        <w:rPr>
          <w:rFonts w:asciiTheme="minorHAnsi" w:hAnsiTheme="minorHAnsi"/>
          <w:sz w:val="24"/>
          <w:szCs w:val="24"/>
          <w:lang w:val="es-PE"/>
        </w:rPr>
        <w:t>as clasificaciones de las solicitudes de cambio para poder implementarlas son:</w:t>
      </w:r>
    </w:p>
    <w:p w:rsidR="00E54E80" w:rsidRP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P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Tabla 3– Tipos de clasificación</w:t>
      </w:r>
    </w:p>
    <w:p w:rsidR="00E54E80" w:rsidRDefault="00E54E80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E54E80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En la tabla 4 se pueden observar l</w:t>
      </w:r>
      <w:r w:rsidR="0072273B">
        <w:rPr>
          <w:rFonts w:asciiTheme="minorHAnsi" w:hAnsiTheme="minorHAnsi"/>
          <w:sz w:val="24"/>
          <w:szCs w:val="24"/>
          <w:lang w:val="es-PE"/>
        </w:rPr>
        <w:t>os tipos de impacto de las solicitudes de cambio son las siguientes:</w:t>
      </w:r>
    </w:p>
    <w:p w:rsidR="00E54E80" w:rsidRP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Tabla 4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– Tipos de </w:t>
      </w:r>
      <w:r>
        <w:rPr>
          <w:rFonts w:asciiTheme="minorHAnsi" w:hAnsiTheme="minorHAnsi"/>
          <w:b/>
          <w:sz w:val="24"/>
          <w:szCs w:val="24"/>
          <w:lang w:val="es-PE"/>
        </w:rPr>
        <w:t>impacto</w:t>
      </w: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URGENTE: Porque se ha interrumpido el servicio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72273B" w:rsidRDefault="0072273B" w:rsidP="0072273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/>
    <w:p w:rsidR="00D5072F" w:rsidRDefault="00D5072F" w:rsidP="0072273B"/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</w:t>
      </w:r>
      <w:r w:rsidR="00E54E80">
        <w:rPr>
          <w:rFonts w:asciiTheme="minorHAnsi" w:hAnsiTheme="minorHAnsi"/>
          <w:sz w:val="24"/>
          <w:szCs w:val="24"/>
          <w:lang w:val="es-PE"/>
        </w:rPr>
        <w:t>vidades de desarrollo del mismo como se puede observar en la tabla 5.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3B3A19" w:rsidRPr="00065F1F" w:rsidRDefault="00E54E80" w:rsidP="003B3A19">
      <w:pPr>
        <w:ind w:left="2832" w:firstLine="708"/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 xml:space="preserve">Tabla 5 - </w:t>
      </w:r>
      <w:r w:rsidR="003B3A19" w:rsidRPr="00065F1F">
        <w:rPr>
          <w:rFonts w:asciiTheme="minorHAnsi" w:hAnsiTheme="minorHAnsi"/>
          <w:b/>
          <w:sz w:val="24"/>
          <w:szCs w:val="24"/>
          <w:lang w:val="es-PE"/>
        </w:rPr>
        <w:t>Formato de Riesgo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&lt;Descripción del riesgo&gt;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riesgo&gt;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Proyecto: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del proyecto en el que podría tener impacto&gt;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 que se tomara frente al riesgo.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lastRenderedPageBreak/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Acciones: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Pr="00D1065F" w:rsidRDefault="003B3A19" w:rsidP="00742FCB">
            <w:pP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 Acciones a tomar de acuerdo al tipo de riesgo a mitigar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E54E80" w:rsidP="003B3A19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En la tabla 6 se puede observar el formato de impacto el cual</w:t>
      </w:r>
      <w:r w:rsidR="003B3A19">
        <w:rPr>
          <w:rFonts w:asciiTheme="minorHAnsi" w:hAnsiTheme="minorHAnsi"/>
          <w:sz w:val="24"/>
          <w:szCs w:val="24"/>
          <w:lang w:val="es-PE"/>
        </w:rPr>
        <w:t xml:space="preserve"> servirá para identificar el tipo de impacto que generan los cambios en los proyectos.</w:t>
      </w:r>
    </w:p>
    <w:p w:rsidR="003B3A19" w:rsidRPr="00E54E80" w:rsidRDefault="003B3A19" w:rsidP="003B3A19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 w:rsidR="00E54E80" w:rsidRPr="00E54E80">
        <w:rPr>
          <w:rFonts w:asciiTheme="minorHAnsi" w:hAnsiTheme="minorHAnsi"/>
          <w:b/>
          <w:sz w:val="24"/>
          <w:szCs w:val="24"/>
          <w:lang w:val="es-PE"/>
        </w:rPr>
        <w:t xml:space="preserve">Tabla 6 - 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>Formato de Impacto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&lt;Define el nombre que identifica al tipo de impacto&gt;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impacto&gt;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&lt;Se realiza una breve descripción del tipo de impacto y su efecto en el proyecto&gt;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</w:rPr>
      </w:pPr>
    </w:p>
    <w:p w:rsidR="00D5072F" w:rsidRPr="00A225EE" w:rsidRDefault="00D5072F" w:rsidP="003B3A19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 xml:space="preserve">En este punto se detalla los niveles de prioridad que se aplican a cada uno de los cambios. La prioridad es la escala que determina la importancia relativa de un cambio sobre </w:t>
      </w:r>
      <w:r w:rsidR="00E54E80">
        <w:rPr>
          <w:rFonts w:asciiTheme="minorHAnsi" w:hAnsiTheme="minorHAnsi"/>
          <w:sz w:val="24"/>
          <w:szCs w:val="24"/>
        </w:rPr>
        <w:t>otro que también está pendiente como se puede observar en la tabla 7.</w:t>
      </w:r>
      <w:r w:rsidRPr="003E753B">
        <w:rPr>
          <w:rFonts w:asciiTheme="minorHAnsi" w:hAnsiTheme="minorHAnsi"/>
          <w:sz w:val="24"/>
          <w:szCs w:val="24"/>
        </w:rPr>
        <w:t xml:space="preserve">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E54E80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B8628B" w:rsidRDefault="00B8628B" w:rsidP="00B47EE6">
      <w:pPr>
        <w:rPr>
          <w:rFonts w:asciiTheme="minorHAnsi" w:hAnsiTheme="minorHAnsi"/>
          <w:sz w:val="24"/>
          <w:szCs w:val="24"/>
        </w:rPr>
      </w:pPr>
    </w:p>
    <w:p w:rsid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lastRenderedPageBreak/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7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Prioridad de cambios</w:t>
      </w:r>
    </w:p>
    <w:p w:rsidR="00E54E80" w:rsidRDefault="00E54E80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813FA1" w:rsidRDefault="00407C6B" w:rsidP="00407C6B"/>
    <w:p w:rsidR="00407C6B" w:rsidRDefault="00407C6B" w:rsidP="00407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gerente del proyecto y el arquitecto de software. En la siguiente figura se pueden observar las fases que contiene el proceso de Gestión de Cambios.</w:t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E54E80" w:rsidRDefault="00E54E80" w:rsidP="00E54E80">
      <w:pPr>
        <w:jc w:val="center"/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Figura01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Proceso de gestión de cambios</w:t>
      </w:r>
    </w:p>
    <w:p w:rsidR="00407C6B" w:rsidRPr="00AB3F61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7DD5AD9" wp14:editId="41F310F9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A82E47" w:rsidP="00AB3F61">
      <w:pPr>
        <w:rPr>
          <w:rFonts w:asciiTheme="minorHAnsi" w:hAnsiTheme="minorHAnsi"/>
          <w:b/>
          <w:sz w:val="24"/>
          <w:szCs w:val="24"/>
          <w:lang w:val="es-PE"/>
        </w:rPr>
      </w:pPr>
      <w:r w:rsidRPr="00A82E47">
        <w:rPr>
          <w:rFonts w:asciiTheme="minorHAnsi" w:hAnsiTheme="minorHAnsi"/>
          <w:b/>
          <w:sz w:val="24"/>
          <w:szCs w:val="24"/>
          <w:lang w:val="es-PE"/>
        </w:rPr>
        <w:t>Fuente: Clase Gestión de la configuración - UNMSM 2018</w:t>
      </w:r>
    </w:p>
    <w:p w:rsidR="00B8628B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8628B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8628B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8628B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8628B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8628B" w:rsidRPr="00AB3F61" w:rsidRDefault="00B8628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lastRenderedPageBreak/>
        <w:t>5. FASES DEL PROCESO DE GESTIÓN DE CAMBIO</w:t>
      </w:r>
    </w:p>
    <w:p w:rsidR="00E54E80" w:rsidRPr="00E54E80" w:rsidRDefault="00E54E80" w:rsidP="00E54E80">
      <w:pPr>
        <w:rPr>
          <w:lang w:val="es-PE"/>
        </w:rPr>
      </w:pPr>
    </w:p>
    <w:p w:rsidR="002B4299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8–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Recibir y analizar la petición</w:t>
      </w: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  <w:r w:rsidR="00CB1C5B">
              <w:t xml:space="preserve"> PGC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  <w:r w:rsidR="00CB1C5B">
              <w:t>.</w:t>
            </w:r>
            <w:r w:rsidR="00B8628B">
              <w:t>(ver tabla 1)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9–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Clasificar el cambio</w:t>
      </w:r>
    </w:p>
    <w:p w:rsidR="00E54E80" w:rsidRDefault="00E54E80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</w:t>
            </w:r>
            <w:r w:rsidR="00B8628B">
              <w:t>actualiza el estado a ASIGNADA.(ver tabla 2)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10–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Evaluación del impacto y riesgos</w:t>
      </w:r>
    </w:p>
    <w:p w:rsidR="00E54E80" w:rsidRDefault="00E54E80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11–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Aprobación del cambio</w:t>
      </w: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12–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Planificación y calendarización</w:t>
      </w: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será el encargado de realizar la planificación del cambio, un plan de backup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13–Implementación</w:t>
      </w: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procedimiento de marcha atrás (plan de Backup).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 procede a modificar el estado de RESUELTA.</w:t>
            </w:r>
            <w:r w:rsidR="00B8628B">
              <w:t>(ver tabla 2)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B8628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  <w:bookmarkStart w:id="1" w:name="_GoBack"/>
            <w:bookmarkEnd w:id="1"/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solo será actualizada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p w:rsidR="00E54E80" w:rsidRDefault="00E54E80" w:rsidP="002B4299"/>
    <w:p w:rsidR="00E54E80" w:rsidRDefault="00E54E80" w:rsidP="002B4299"/>
    <w:p w:rsidR="00E54E80" w:rsidRDefault="00E54E80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14–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Verificación de implementación</w:t>
      </w:r>
    </w:p>
    <w:p w:rsidR="00E54E80" w:rsidRDefault="00E54E80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el plan de backup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  <w:r w:rsidR="00B8628B">
              <w:t>(ver tabla 2)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E54E80" w:rsidRPr="00E54E80" w:rsidRDefault="00E54E80" w:rsidP="00E54E80">
      <w:pPr>
        <w:jc w:val="center"/>
        <w:rPr>
          <w:rFonts w:asciiTheme="minorHAnsi" w:hAnsiTheme="minorHAnsi"/>
          <w:sz w:val="24"/>
          <w:szCs w:val="24"/>
        </w:rPr>
      </w:pPr>
      <w:r w:rsidRPr="00E54E80">
        <w:rPr>
          <w:rFonts w:asciiTheme="minorHAnsi" w:hAnsiTheme="minorHAnsi"/>
          <w:b/>
          <w:sz w:val="24"/>
          <w:szCs w:val="24"/>
          <w:lang w:val="es-PE"/>
        </w:rPr>
        <w:t>T</w:t>
      </w:r>
      <w:r>
        <w:rPr>
          <w:rFonts w:asciiTheme="minorHAnsi" w:hAnsiTheme="minorHAnsi"/>
          <w:b/>
          <w:sz w:val="24"/>
          <w:szCs w:val="24"/>
          <w:lang w:val="es-PE"/>
        </w:rPr>
        <w:t>abla 15–</w:t>
      </w:r>
      <w:r w:rsidRPr="00E54E80">
        <w:rPr>
          <w:rFonts w:asciiTheme="minorHAnsi" w:hAnsiTheme="minorHAnsi"/>
          <w:b/>
          <w:sz w:val="24"/>
          <w:szCs w:val="24"/>
          <w:lang w:val="es-PE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s-PE"/>
        </w:rPr>
        <w:t>Cierre</w:t>
      </w: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  <w:r w:rsidR="00B8628B">
              <w:t>(ver tabla 2)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  <w:r w:rsidR="00B8628B">
              <w:t>(ver tabla2)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</w:p>
    <w:sectPr w:rsidR="002B4299" w:rsidRPr="002B429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B6" w:rsidRDefault="00E126B6" w:rsidP="00AB3F61">
      <w:pPr>
        <w:spacing w:line="240" w:lineRule="auto"/>
      </w:pPr>
      <w:r>
        <w:separator/>
      </w:r>
    </w:p>
  </w:endnote>
  <w:endnote w:type="continuationSeparator" w:id="0">
    <w:p w:rsidR="00E126B6" w:rsidRDefault="00E126B6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E126B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126B6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126B6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628B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8628B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E126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E126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B6" w:rsidRDefault="00E126B6" w:rsidP="00AB3F61">
      <w:pPr>
        <w:spacing w:line="240" w:lineRule="auto"/>
      </w:pPr>
      <w:r>
        <w:separator/>
      </w:r>
    </w:p>
  </w:footnote>
  <w:footnote w:type="continuationSeparator" w:id="0">
    <w:p w:rsidR="00E126B6" w:rsidRDefault="00E126B6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E126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E126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77380"/>
    <w:rsid w:val="00083DA4"/>
    <w:rsid w:val="000B6FA0"/>
    <w:rsid w:val="001F56C4"/>
    <w:rsid w:val="002B4299"/>
    <w:rsid w:val="003B3A19"/>
    <w:rsid w:val="00407C6B"/>
    <w:rsid w:val="00654B9B"/>
    <w:rsid w:val="0072273B"/>
    <w:rsid w:val="00762940"/>
    <w:rsid w:val="00896F98"/>
    <w:rsid w:val="008A3893"/>
    <w:rsid w:val="00A82E47"/>
    <w:rsid w:val="00AB3F61"/>
    <w:rsid w:val="00AB660F"/>
    <w:rsid w:val="00B47EE6"/>
    <w:rsid w:val="00B8628B"/>
    <w:rsid w:val="00CB1C5B"/>
    <w:rsid w:val="00D25BAC"/>
    <w:rsid w:val="00D5072F"/>
    <w:rsid w:val="00E071B6"/>
    <w:rsid w:val="00E126B6"/>
    <w:rsid w:val="00E54E80"/>
    <w:rsid w:val="00EE13F8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Puesto">
    <w:name w:val="Title"/>
    <w:basedOn w:val="Normal"/>
    <w:next w:val="Normal"/>
    <w:link w:val="Puest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7227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1clara-nfasis5">
    <w:name w:val="List Table 1 Light Accent 5"/>
    <w:basedOn w:val="Tablanormal"/>
    <w:uiPriority w:val="46"/>
    <w:rsid w:val="00722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3B3A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alisson diane arteaga quico</cp:lastModifiedBy>
  <cp:revision>13</cp:revision>
  <dcterms:created xsi:type="dcterms:W3CDTF">2018-11-08T20:55:00Z</dcterms:created>
  <dcterms:modified xsi:type="dcterms:W3CDTF">2018-11-21T19:31:00Z</dcterms:modified>
</cp:coreProperties>
</file>