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Investigación avanzada sobre un coworking artesanal de madera en Zaragoza</w:t>
      </w:r>
    </w:p>
    <w:p w:rsidR="00000000" w:rsidDel="00000000" w:rsidP="00000000" w:rsidRDefault="00000000" w:rsidRPr="00000000" w14:paraId="00000002">
      <w:pPr>
        <w:rPr>
          <w:rFonts w:ascii="Times New Roman" w:cs="Times New Roman" w:eastAsia="Times New Roman" w:hAnsi="Times New Roman"/>
          <w:b w:val="1"/>
          <w:bCs w:val="1"/>
          <w:color w:val="434343"/>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Resumen ejecutivo</w:t>
      </w:r>
    </w:p>
    <w:p w:rsidR="00000000" w:rsidDel="00000000" w:rsidP="00000000" w:rsidRDefault="00000000" w:rsidRPr="00000000" w14:paraId="0000000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documento adjunto define un encargo de </w:t>
      </w:r>
      <w:r w:rsidDel="00000000" w:rsidR="00000000" w:rsidRPr="00000000">
        <w:rPr>
          <w:rFonts w:ascii="Times New Roman" w:cs="Times New Roman" w:eastAsia="Times New Roman" w:hAnsi="Times New Roman"/>
          <w:b w:val="1"/>
          <w:bCs w:val="1"/>
          <w:color w:val="434343"/>
          <w:sz w:val="24"/>
          <w:szCs w:val="24"/>
          <w:rtl w:val="0"/>
        </w:rPr>
        <w:t xml:space="preserve">viabilidad estratégica, técnica y financiera</w:t>
      </w:r>
      <w:r w:rsidDel="00000000" w:rsidR="00000000" w:rsidRPr="00000000">
        <w:rPr>
          <w:rFonts w:ascii="Times New Roman" w:cs="Times New Roman" w:eastAsia="Times New Roman" w:hAnsi="Times New Roman"/>
          <w:color w:val="434343"/>
          <w:sz w:val="24"/>
          <w:szCs w:val="24"/>
          <w:rtl w:val="0"/>
        </w:rPr>
        <w:t xml:space="preserve"> para un proyecto de coworking artesanal de madera en Zaragoza, con énfasis en evidencia robusta, contraste de hipótesis y un veredicto accionable. En esencia, no pide “imaginar un taller bonito”, sino demostrar si Zaragoza puede sostener un modelo híbrido de </w:t>
      </w:r>
      <w:r w:rsidDel="00000000" w:rsidR="00000000" w:rsidRPr="00000000">
        <w:rPr>
          <w:rFonts w:ascii="Times New Roman" w:cs="Times New Roman" w:eastAsia="Times New Roman" w:hAnsi="Times New Roman"/>
          <w:b w:val="1"/>
          <w:bCs w:val="1"/>
          <w:color w:val="434343"/>
          <w:sz w:val="24"/>
          <w:szCs w:val="24"/>
          <w:rtl w:val="0"/>
        </w:rPr>
        <w:t xml:space="preserve">taller compartido + formación + incubación + servicios B2B</w:t>
      </w:r>
      <w:r w:rsidDel="00000000" w:rsidR="00000000" w:rsidRPr="00000000">
        <w:rPr>
          <w:rFonts w:ascii="Times New Roman" w:cs="Times New Roman" w:eastAsia="Times New Roman" w:hAnsi="Times New Roman"/>
          <w:color w:val="434343"/>
          <w:sz w:val="24"/>
          <w:szCs w:val="24"/>
          <w:rtl w:val="0"/>
        </w:rPr>
        <w:t xml:space="preserve"> sin caer en optimismo infundado. citeturn0file0</w:t>
      </w:r>
    </w:p>
    <w:p w:rsidR="00000000" w:rsidDel="00000000" w:rsidP="00000000" w:rsidRDefault="00000000" w:rsidRPr="00000000" w14:paraId="0000000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conclusión más sólida de esta revisión es que </w:t>
      </w:r>
      <w:r w:rsidDel="00000000" w:rsidR="00000000" w:rsidRPr="00000000">
        <w:rPr>
          <w:rFonts w:ascii="Times New Roman" w:cs="Times New Roman" w:eastAsia="Times New Roman" w:hAnsi="Times New Roman"/>
          <w:b w:val="1"/>
          <w:bCs w:val="1"/>
          <w:color w:val="434343"/>
          <w:sz w:val="24"/>
          <w:szCs w:val="24"/>
          <w:rtl w:val="0"/>
        </w:rPr>
        <w:t xml:space="preserve">sí existe una oportunidad real</w:t>
      </w:r>
      <w:r w:rsidDel="00000000" w:rsidR="00000000" w:rsidRPr="00000000">
        <w:rPr>
          <w:rFonts w:ascii="Times New Roman" w:cs="Times New Roman" w:eastAsia="Times New Roman" w:hAnsi="Times New Roman"/>
          <w:color w:val="434343"/>
          <w:sz w:val="24"/>
          <w:szCs w:val="24"/>
          <w:rtl w:val="0"/>
        </w:rPr>
        <w:t xml:space="preserve">, pero </w:t>
      </w:r>
      <w:r w:rsidDel="00000000" w:rsidR="00000000" w:rsidRPr="00000000">
        <w:rPr>
          <w:rFonts w:ascii="Times New Roman" w:cs="Times New Roman" w:eastAsia="Times New Roman" w:hAnsi="Times New Roman"/>
          <w:b w:val="1"/>
          <w:bCs w:val="1"/>
          <w:color w:val="434343"/>
          <w:sz w:val="24"/>
          <w:szCs w:val="24"/>
          <w:rtl w:val="0"/>
        </w:rPr>
        <w:t xml:space="preserve">no</w:t>
      </w:r>
      <w:r w:rsidDel="00000000" w:rsidR="00000000" w:rsidRPr="00000000">
        <w:rPr>
          <w:rFonts w:ascii="Times New Roman" w:cs="Times New Roman" w:eastAsia="Times New Roman" w:hAnsi="Times New Roman"/>
          <w:color w:val="434343"/>
          <w:sz w:val="24"/>
          <w:szCs w:val="24"/>
          <w:rtl w:val="0"/>
        </w:rPr>
        <w:t xml:space="preserve"> para un coworking entendido como “alquiler de bancos de trabajo” a secas. La oportunidad aparece cuando el proyecto se diseña como una </w:t>
      </w:r>
      <w:r w:rsidDel="00000000" w:rsidR="00000000" w:rsidRPr="00000000">
        <w:rPr>
          <w:rFonts w:ascii="Times New Roman" w:cs="Times New Roman" w:eastAsia="Times New Roman" w:hAnsi="Times New Roman"/>
          <w:b w:val="1"/>
          <w:bCs w:val="1"/>
          <w:color w:val="434343"/>
          <w:sz w:val="24"/>
          <w:szCs w:val="24"/>
          <w:rtl w:val="0"/>
        </w:rPr>
        <w:t xml:space="preserve">plataforma de producción ligera, aprendizaje aplicado y captación de talento</w:t>
      </w:r>
      <w:r w:rsidDel="00000000" w:rsidR="00000000" w:rsidRPr="00000000">
        <w:rPr>
          <w:rFonts w:ascii="Times New Roman" w:cs="Times New Roman" w:eastAsia="Times New Roman" w:hAnsi="Times New Roman"/>
          <w:color w:val="434343"/>
          <w:sz w:val="24"/>
          <w:szCs w:val="24"/>
          <w:rtl w:val="0"/>
        </w:rPr>
        <w:t xml:space="preserve"> conectada con formación pública, asociaciones sectoriales y empresas que necesitan montaje, prototipado, pequeñas series, restauración o customización. La evidencia local más fuerte es institucional: Zaragoza Dinámica ya opera cinco centros de formación, incluye especialidades de madera/carpintería, ha formado a 30.000 alumnos desde 1993 y en 2025 lanzó, junto con ACOMZA, un piloto específico para el sector del mueble con 15 plazas, lo que indica demanda empresarial explícita y capacidad de colaboración público-privada. citeturn10view0turn11view0turn13view0</w:t>
      </w:r>
    </w:p>
    <w:p w:rsidR="00000000" w:rsidDel="00000000" w:rsidP="00000000" w:rsidRDefault="00000000" w:rsidRPr="00000000" w14:paraId="0000000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mercado local tiene escala suficiente para validar el concepto. La capital de Zaragoza suma </w:t>
      </w:r>
      <w:r w:rsidDel="00000000" w:rsidR="00000000" w:rsidRPr="00000000">
        <w:rPr>
          <w:rFonts w:ascii="Times New Roman" w:cs="Times New Roman" w:eastAsia="Times New Roman" w:hAnsi="Times New Roman"/>
          <w:b w:val="1"/>
          <w:bCs w:val="1"/>
          <w:color w:val="434343"/>
          <w:sz w:val="24"/>
          <w:szCs w:val="24"/>
          <w:rtl w:val="0"/>
        </w:rPr>
        <w:t xml:space="preserve">693.091 habitantes</w:t>
      </w:r>
      <w:r w:rsidDel="00000000" w:rsidR="00000000" w:rsidRPr="00000000">
        <w:rPr>
          <w:rFonts w:ascii="Times New Roman" w:cs="Times New Roman" w:eastAsia="Times New Roman" w:hAnsi="Times New Roman"/>
          <w:color w:val="434343"/>
          <w:sz w:val="24"/>
          <w:szCs w:val="24"/>
          <w:rtl w:val="0"/>
        </w:rPr>
        <w:t xml:space="preserve"> y la provincia </w:t>
      </w:r>
      <w:r w:rsidDel="00000000" w:rsidR="00000000" w:rsidRPr="00000000">
        <w:rPr>
          <w:rFonts w:ascii="Times New Roman" w:cs="Times New Roman" w:eastAsia="Times New Roman" w:hAnsi="Times New Roman"/>
          <w:b w:val="1"/>
          <w:bCs w:val="1"/>
          <w:color w:val="434343"/>
          <w:sz w:val="24"/>
          <w:szCs w:val="24"/>
          <w:rtl w:val="0"/>
        </w:rPr>
        <w:t xml:space="preserve">991.991</w:t>
      </w:r>
      <w:r w:rsidDel="00000000" w:rsidR="00000000" w:rsidRPr="00000000">
        <w:rPr>
          <w:rFonts w:ascii="Times New Roman" w:cs="Times New Roman" w:eastAsia="Times New Roman" w:hAnsi="Times New Roman"/>
          <w:color w:val="434343"/>
          <w:sz w:val="24"/>
          <w:szCs w:val="24"/>
          <w:rtl w:val="0"/>
        </w:rPr>
        <w:t xml:space="preserve"> según las cifras oficiales del BOE referidas al 1 de enero de 2025. Además, Aragón inició el curso 2025-2026 con más de </w:t>
      </w:r>
      <w:r w:rsidDel="00000000" w:rsidR="00000000" w:rsidRPr="00000000">
        <w:rPr>
          <w:rFonts w:ascii="Times New Roman" w:cs="Times New Roman" w:eastAsia="Times New Roman" w:hAnsi="Times New Roman"/>
          <w:b w:val="1"/>
          <w:bCs w:val="1"/>
          <w:color w:val="434343"/>
          <w:sz w:val="24"/>
          <w:szCs w:val="24"/>
          <w:rtl w:val="0"/>
        </w:rPr>
        <w:t xml:space="preserve">24.000 alumnos de FP en aulas</w:t>
      </w:r>
      <w:r w:rsidDel="00000000" w:rsidR="00000000" w:rsidRPr="00000000">
        <w:rPr>
          <w:rFonts w:ascii="Times New Roman" w:cs="Times New Roman" w:eastAsia="Times New Roman" w:hAnsi="Times New Roman"/>
          <w:color w:val="434343"/>
          <w:sz w:val="24"/>
          <w:szCs w:val="24"/>
          <w:rtl w:val="0"/>
        </w:rPr>
        <w:t xml:space="preserve"> y una previsión de casi </w:t>
      </w:r>
      <w:r w:rsidDel="00000000" w:rsidR="00000000" w:rsidRPr="00000000">
        <w:rPr>
          <w:rFonts w:ascii="Times New Roman" w:cs="Times New Roman" w:eastAsia="Times New Roman" w:hAnsi="Times New Roman"/>
          <w:b w:val="1"/>
          <w:bCs w:val="1"/>
          <w:color w:val="434343"/>
          <w:sz w:val="24"/>
          <w:szCs w:val="24"/>
          <w:rtl w:val="0"/>
        </w:rPr>
        <w:t xml:space="preserve">27.000</w:t>
      </w:r>
      <w:r w:rsidDel="00000000" w:rsidR="00000000" w:rsidRPr="00000000">
        <w:rPr>
          <w:rFonts w:ascii="Times New Roman" w:cs="Times New Roman" w:eastAsia="Times New Roman" w:hAnsi="Times New Roman"/>
          <w:color w:val="434343"/>
          <w:sz w:val="24"/>
          <w:szCs w:val="24"/>
          <w:rtl w:val="0"/>
        </w:rPr>
        <w:t xml:space="preserve">, tras incorporar 27 nuevos ciclos y más de 1.500 nuevas plazas, señal de una base cuantitativa relevante de formación técnica y profesional. citeturn31view0turn39news1turn8news1</w:t>
      </w:r>
    </w:p>
    <w:p w:rsidR="00000000" w:rsidDel="00000000" w:rsidP="00000000" w:rsidRDefault="00000000" w:rsidRPr="00000000" w14:paraId="0000000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demanda potencial no debe buscarse solo en artesanos tradicionales. Los segmentos con mayor probabilidad de pago son cinco: </w:t>
      </w:r>
      <w:r w:rsidDel="00000000" w:rsidR="00000000" w:rsidRPr="00000000">
        <w:rPr>
          <w:rFonts w:ascii="Times New Roman" w:cs="Times New Roman" w:eastAsia="Times New Roman" w:hAnsi="Times New Roman"/>
          <w:b w:val="1"/>
          <w:bCs w:val="1"/>
          <w:color w:val="434343"/>
          <w:sz w:val="24"/>
          <w:szCs w:val="24"/>
          <w:rtl w:val="0"/>
        </w:rPr>
        <w:t xml:space="preserve">egresados y alumnado de FP</w:t>
      </w:r>
      <w:r w:rsidDel="00000000" w:rsidR="00000000" w:rsidRPr="00000000">
        <w:rPr>
          <w:rFonts w:ascii="Times New Roman" w:cs="Times New Roman" w:eastAsia="Times New Roman" w:hAnsi="Times New Roman"/>
          <w:color w:val="434343"/>
          <w:sz w:val="24"/>
          <w:szCs w:val="24"/>
          <w:rtl w:val="0"/>
        </w:rPr>
        <w:t xml:space="preserve">, personas en </w:t>
      </w:r>
      <w:r w:rsidDel="00000000" w:rsidR="00000000" w:rsidRPr="00000000">
        <w:rPr>
          <w:rFonts w:ascii="Times New Roman" w:cs="Times New Roman" w:eastAsia="Times New Roman" w:hAnsi="Times New Roman"/>
          <w:b w:val="1"/>
          <w:bCs w:val="1"/>
          <w:color w:val="434343"/>
          <w:sz w:val="24"/>
          <w:szCs w:val="24"/>
          <w:rtl w:val="0"/>
        </w:rPr>
        <w:t xml:space="preserve">recualificación laboral</w:t>
      </w: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Fonts w:ascii="Times New Roman" w:cs="Times New Roman" w:eastAsia="Times New Roman" w:hAnsi="Times New Roman"/>
          <w:b w:val="1"/>
          <w:bCs w:val="1"/>
          <w:color w:val="434343"/>
          <w:sz w:val="24"/>
          <w:szCs w:val="24"/>
          <w:rtl w:val="0"/>
        </w:rPr>
        <w:t xml:space="preserve">microemprendedores</w:t>
      </w:r>
      <w:r w:rsidDel="00000000" w:rsidR="00000000" w:rsidRPr="00000000">
        <w:rPr>
          <w:rFonts w:ascii="Times New Roman" w:cs="Times New Roman" w:eastAsia="Times New Roman" w:hAnsi="Times New Roman"/>
          <w:color w:val="434343"/>
          <w:sz w:val="24"/>
          <w:szCs w:val="24"/>
          <w:rtl w:val="0"/>
        </w:rPr>
        <w:t xml:space="preserve"> del mueble/restauración/interiorismo, estudios de </w:t>
      </w:r>
      <w:r w:rsidDel="00000000" w:rsidR="00000000" w:rsidRPr="00000000">
        <w:rPr>
          <w:rFonts w:ascii="Times New Roman" w:cs="Times New Roman" w:eastAsia="Times New Roman" w:hAnsi="Times New Roman"/>
          <w:b w:val="1"/>
          <w:bCs w:val="1"/>
          <w:color w:val="434343"/>
          <w:sz w:val="24"/>
          <w:szCs w:val="24"/>
          <w:rtl w:val="0"/>
        </w:rPr>
        <w:t xml:space="preserve">arquitectura y diseño</w:t>
      </w:r>
      <w:r w:rsidDel="00000000" w:rsidR="00000000" w:rsidRPr="00000000">
        <w:rPr>
          <w:rFonts w:ascii="Times New Roman" w:cs="Times New Roman" w:eastAsia="Times New Roman" w:hAnsi="Times New Roman"/>
          <w:color w:val="434343"/>
          <w:sz w:val="24"/>
          <w:szCs w:val="24"/>
          <w:rtl w:val="0"/>
        </w:rPr>
        <w:t xml:space="preserve"> que necesitan prototipos físicos, y empresas del comercio del mueble que requieren montaje, ajustes, posventa o formación práctica. El piloto municipal con ACOMZA demuestra que el tejido empresarial local sí reconoce carencias concretas de perfiles. Además, fuera de Aragón, estudios regionales recientes sitúan a la familia profesional de madera entre las de mejor inserción: alrededor del </w:t>
      </w:r>
      <w:r w:rsidDel="00000000" w:rsidR="00000000" w:rsidRPr="00000000">
        <w:rPr>
          <w:rFonts w:ascii="Times New Roman" w:cs="Times New Roman" w:eastAsia="Times New Roman" w:hAnsi="Times New Roman"/>
          <w:b w:val="1"/>
          <w:bCs w:val="1"/>
          <w:color w:val="434343"/>
          <w:sz w:val="24"/>
          <w:szCs w:val="24"/>
          <w:rtl w:val="0"/>
        </w:rPr>
        <w:t xml:space="preserve">67%</w:t>
      </w:r>
      <w:r w:rsidDel="00000000" w:rsidR="00000000" w:rsidRPr="00000000">
        <w:rPr>
          <w:rFonts w:ascii="Times New Roman" w:cs="Times New Roman" w:eastAsia="Times New Roman" w:hAnsi="Times New Roman"/>
          <w:color w:val="434343"/>
          <w:sz w:val="24"/>
          <w:szCs w:val="24"/>
          <w:rtl w:val="0"/>
        </w:rPr>
        <w:t xml:space="preserve"> en Cataluña y </w:t>
      </w:r>
      <w:r w:rsidDel="00000000" w:rsidR="00000000" w:rsidRPr="00000000">
        <w:rPr>
          <w:rFonts w:ascii="Times New Roman" w:cs="Times New Roman" w:eastAsia="Times New Roman" w:hAnsi="Times New Roman"/>
          <w:b w:val="1"/>
          <w:bCs w:val="1"/>
          <w:color w:val="434343"/>
          <w:sz w:val="24"/>
          <w:szCs w:val="24"/>
          <w:rtl w:val="0"/>
        </w:rPr>
        <w:t xml:space="preserve">92,4%</w:t>
      </w:r>
      <w:r w:rsidDel="00000000" w:rsidR="00000000" w:rsidRPr="00000000">
        <w:rPr>
          <w:rFonts w:ascii="Times New Roman" w:cs="Times New Roman" w:eastAsia="Times New Roman" w:hAnsi="Times New Roman"/>
          <w:color w:val="434343"/>
          <w:sz w:val="24"/>
          <w:szCs w:val="24"/>
          <w:rtl w:val="0"/>
        </w:rPr>
        <w:t xml:space="preserve"> en Castilla y León, lo que no prueba automáticamente la misma tasa en Zaragoza, pero sí refuerza que no es una familia “sin salida”. citeturn13view0turn38news0turn38news1</w:t>
      </w:r>
    </w:p>
    <w:p w:rsidR="00000000" w:rsidDel="00000000" w:rsidP="00000000" w:rsidRDefault="00000000" w:rsidRPr="00000000" w14:paraId="0000000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oferta local visible, en cambio, sugiere un </w:t>
      </w:r>
      <w:r w:rsidDel="00000000" w:rsidR="00000000" w:rsidRPr="00000000">
        <w:rPr>
          <w:rFonts w:ascii="Times New Roman" w:cs="Times New Roman" w:eastAsia="Times New Roman" w:hAnsi="Times New Roman"/>
          <w:b w:val="1"/>
          <w:bCs w:val="1"/>
          <w:color w:val="434343"/>
          <w:sz w:val="24"/>
          <w:szCs w:val="24"/>
          <w:rtl w:val="0"/>
        </w:rPr>
        <w:t xml:space="preserve">hueco de mercado</w:t>
      </w:r>
      <w:r w:rsidDel="00000000" w:rsidR="00000000" w:rsidRPr="00000000">
        <w:rPr>
          <w:rFonts w:ascii="Times New Roman" w:cs="Times New Roman" w:eastAsia="Times New Roman" w:hAnsi="Times New Roman"/>
          <w:color w:val="434343"/>
          <w:sz w:val="24"/>
          <w:szCs w:val="24"/>
          <w:rtl w:val="0"/>
        </w:rPr>
        <w:t xml:space="preserve">. En las fuentes revisadas aparecen formación pública, programación artesana y espacios creativos/tecnológicos, pero </w:t>
      </w:r>
      <w:r w:rsidDel="00000000" w:rsidR="00000000" w:rsidRPr="00000000">
        <w:rPr>
          <w:rFonts w:ascii="Times New Roman" w:cs="Times New Roman" w:eastAsia="Times New Roman" w:hAnsi="Times New Roman"/>
          <w:b w:val="1"/>
          <w:bCs w:val="1"/>
          <w:color w:val="434343"/>
          <w:sz w:val="24"/>
          <w:szCs w:val="24"/>
          <w:rtl w:val="0"/>
        </w:rPr>
        <w:t xml:space="preserve">no</w:t>
      </w:r>
      <w:r w:rsidDel="00000000" w:rsidR="00000000" w:rsidRPr="00000000">
        <w:rPr>
          <w:rFonts w:ascii="Times New Roman" w:cs="Times New Roman" w:eastAsia="Times New Roman" w:hAnsi="Times New Roman"/>
          <w:color w:val="434343"/>
          <w:sz w:val="24"/>
          <w:szCs w:val="24"/>
          <w:rtl w:val="0"/>
        </w:rPr>
        <w:t xml:space="preserve"> un referente consolidado y visible de </w:t>
      </w:r>
      <w:r w:rsidDel="00000000" w:rsidR="00000000" w:rsidRPr="00000000">
        <w:rPr>
          <w:rFonts w:ascii="Times New Roman" w:cs="Times New Roman" w:eastAsia="Times New Roman" w:hAnsi="Times New Roman"/>
          <w:b w:val="1"/>
          <w:bCs w:val="1"/>
          <w:color w:val="434343"/>
          <w:sz w:val="24"/>
          <w:szCs w:val="24"/>
          <w:rtl w:val="0"/>
        </w:rPr>
        <w:t xml:space="preserve">coworking de carpintería/madera con acceso flexible y maquinaria compartida</w:t>
      </w:r>
      <w:r w:rsidDel="00000000" w:rsidR="00000000" w:rsidRPr="00000000">
        <w:rPr>
          <w:rFonts w:ascii="Times New Roman" w:cs="Times New Roman" w:eastAsia="Times New Roman" w:hAnsi="Times New Roman"/>
          <w:color w:val="434343"/>
          <w:sz w:val="24"/>
          <w:szCs w:val="24"/>
          <w:rtl w:val="0"/>
        </w:rPr>
        <w:t xml:space="preserve">. Lo más cercano son sustitutos parciales: Zaragoza Dinámica como formación para el empleo, el Centro de Artesanía de Aragón como escaparate y activación cultural, y Etopia como centro creativo-tecnológico, no como taller de madera pesada. citeturn11view0turn24news0turn19view0</w:t>
      </w:r>
    </w:p>
    <w:p w:rsidR="00000000" w:rsidDel="00000000" w:rsidP="00000000" w:rsidRDefault="00000000" w:rsidRPr="00000000" w14:paraId="0000000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principal riesgo no es la falta de interés, sino el </w:t>
      </w:r>
      <w:r w:rsidDel="00000000" w:rsidR="00000000" w:rsidRPr="00000000">
        <w:rPr>
          <w:rFonts w:ascii="Times New Roman" w:cs="Times New Roman" w:eastAsia="Times New Roman" w:hAnsi="Times New Roman"/>
          <w:b w:val="1"/>
          <w:bCs w:val="1"/>
          <w:color w:val="434343"/>
          <w:sz w:val="24"/>
          <w:szCs w:val="24"/>
          <w:rtl w:val="0"/>
        </w:rPr>
        <w:t xml:space="preserve">desajuste entre modelo operativo y estructura de costes</w:t>
      </w:r>
      <w:r w:rsidDel="00000000" w:rsidR="00000000" w:rsidRPr="00000000">
        <w:rPr>
          <w:rFonts w:ascii="Times New Roman" w:cs="Times New Roman" w:eastAsia="Times New Roman" w:hAnsi="Times New Roman"/>
          <w:color w:val="434343"/>
          <w:sz w:val="24"/>
          <w:szCs w:val="24"/>
          <w:rtl w:val="0"/>
        </w:rPr>
        <w:t xml:space="preserve">. Un taller de madera compartido exige inversión inicial en adecuación, extracción, seguridad contra incendios, electricidad, acústica y maquinaria. Por eso, el proyecto solo es defendible si entra de forma escalonada: </w:t>
      </w:r>
      <w:r w:rsidDel="00000000" w:rsidR="00000000" w:rsidRPr="00000000">
        <w:rPr>
          <w:rFonts w:ascii="Times New Roman" w:cs="Times New Roman" w:eastAsia="Times New Roman" w:hAnsi="Times New Roman"/>
          <w:b w:val="1"/>
          <w:bCs w:val="1"/>
          <w:color w:val="434343"/>
          <w:sz w:val="24"/>
          <w:szCs w:val="24"/>
          <w:rtl w:val="0"/>
        </w:rPr>
        <w:t xml:space="preserve">fase piloto lean</w:t>
      </w:r>
      <w:r w:rsidDel="00000000" w:rsidR="00000000" w:rsidRPr="00000000">
        <w:rPr>
          <w:rFonts w:ascii="Times New Roman" w:cs="Times New Roman" w:eastAsia="Times New Roman" w:hAnsi="Times New Roman"/>
          <w:color w:val="434343"/>
          <w:sz w:val="24"/>
          <w:szCs w:val="24"/>
          <w:rtl w:val="0"/>
        </w:rPr>
        <w:t xml:space="preserve">, acceso supervisado, maquinaria sin procesos de acabado complejos en la primera etapa, y un mix de ingresos donde las membresías sean importantes pero </w:t>
      </w:r>
      <w:r w:rsidDel="00000000" w:rsidR="00000000" w:rsidRPr="00000000">
        <w:rPr>
          <w:rFonts w:ascii="Times New Roman" w:cs="Times New Roman" w:eastAsia="Times New Roman" w:hAnsi="Times New Roman"/>
          <w:b w:val="1"/>
          <w:bCs w:val="1"/>
          <w:color w:val="434343"/>
          <w:sz w:val="24"/>
          <w:szCs w:val="24"/>
          <w:rtl w:val="0"/>
        </w:rPr>
        <w:t xml:space="preserve">no</w:t>
      </w:r>
      <w:r w:rsidDel="00000000" w:rsidR="00000000" w:rsidRPr="00000000">
        <w:rPr>
          <w:rFonts w:ascii="Times New Roman" w:cs="Times New Roman" w:eastAsia="Times New Roman" w:hAnsi="Times New Roman"/>
          <w:color w:val="434343"/>
          <w:sz w:val="24"/>
          <w:szCs w:val="24"/>
          <w:rtl w:val="0"/>
        </w:rPr>
        <w:t xml:space="preserve"> la única fuente. Mi veredicto es, por tanto, </w:t>
      </w:r>
      <w:r w:rsidDel="00000000" w:rsidR="00000000" w:rsidRPr="00000000">
        <w:rPr>
          <w:rFonts w:ascii="Times New Roman" w:cs="Times New Roman" w:eastAsia="Times New Roman" w:hAnsi="Times New Roman"/>
          <w:b w:val="1"/>
          <w:bCs w:val="1"/>
          <w:color w:val="434343"/>
          <w:sz w:val="24"/>
          <w:szCs w:val="24"/>
          <w:rtl w:val="0"/>
        </w:rPr>
        <w:t xml:space="preserve">“sí, pero en formato academia-club-product studio y con validación en fases”</w:t>
      </w:r>
      <w:r w:rsidDel="00000000" w:rsidR="00000000" w:rsidRPr="00000000">
        <w:rPr>
          <w:rFonts w:ascii="Times New Roman" w:cs="Times New Roman" w:eastAsia="Times New Roman" w:hAnsi="Times New Roman"/>
          <w:color w:val="434343"/>
          <w:sz w:val="24"/>
          <w:szCs w:val="24"/>
          <w:rtl w:val="0"/>
        </w:rPr>
        <w:t xml:space="preserve">. Si se intenta abrir desde el día uno como gran nave con CAPEX alto y dependencia exclusiva de cuotas mensuales, el riesgo de infrarentabilidad es elevado. citeturn13view0turn40search1turn40search3</w:t>
      </w:r>
    </w:p>
    <w:p w:rsidR="00000000" w:rsidDel="00000000" w:rsidP="00000000" w:rsidRDefault="00000000" w:rsidRPr="00000000" w14:paraId="0000000A">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Lectura del documento y tesis de proyecto</w:t>
      </w:r>
    </w:p>
    <w:p w:rsidR="00000000" w:rsidDel="00000000" w:rsidP="00000000" w:rsidRDefault="00000000" w:rsidRPr="00000000" w14:paraId="0000000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documento adjunto plantea un marco de trabajo exigente: revisar el material base, completar con investigación externa actualizada, evaluar oferta y demanda, estudiar normativa y costes, mapear alianzas y emitir un veredicto ejecutivo. Traducido al lenguaje de decisión, el documento obliga a contestar cuatro preguntas: </w:t>
      </w:r>
      <w:r w:rsidDel="00000000" w:rsidR="00000000" w:rsidRPr="00000000">
        <w:rPr>
          <w:rFonts w:ascii="Times New Roman" w:cs="Times New Roman" w:eastAsia="Times New Roman" w:hAnsi="Times New Roman"/>
          <w:b w:val="1"/>
          <w:bCs w:val="1"/>
          <w:color w:val="434343"/>
          <w:sz w:val="24"/>
          <w:szCs w:val="24"/>
          <w:rtl w:val="0"/>
        </w:rPr>
        <w:t xml:space="preserve">si hay mercado</w:t>
      </w: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Fonts w:ascii="Times New Roman" w:cs="Times New Roman" w:eastAsia="Times New Roman" w:hAnsi="Times New Roman"/>
          <w:b w:val="1"/>
          <w:bCs w:val="1"/>
          <w:color w:val="434343"/>
          <w:sz w:val="24"/>
          <w:szCs w:val="24"/>
          <w:rtl w:val="0"/>
        </w:rPr>
        <w:t xml:space="preserve">si hay hueco competitivo</w:t>
      </w: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Fonts w:ascii="Times New Roman" w:cs="Times New Roman" w:eastAsia="Times New Roman" w:hAnsi="Times New Roman"/>
          <w:b w:val="1"/>
          <w:bCs w:val="1"/>
          <w:color w:val="434343"/>
          <w:sz w:val="24"/>
          <w:szCs w:val="24"/>
          <w:rtl w:val="0"/>
        </w:rPr>
        <w:t xml:space="preserve">si el local puede legalizarse y operarse con seguridad</w:t>
      </w:r>
      <w:r w:rsidDel="00000000" w:rsidR="00000000" w:rsidRPr="00000000">
        <w:rPr>
          <w:rFonts w:ascii="Times New Roman" w:cs="Times New Roman" w:eastAsia="Times New Roman" w:hAnsi="Times New Roman"/>
          <w:color w:val="434343"/>
          <w:sz w:val="24"/>
          <w:szCs w:val="24"/>
          <w:rtl w:val="0"/>
        </w:rPr>
        <w:t xml:space="preserve">, y </w:t>
      </w:r>
      <w:r w:rsidDel="00000000" w:rsidR="00000000" w:rsidRPr="00000000">
        <w:rPr>
          <w:rFonts w:ascii="Times New Roman" w:cs="Times New Roman" w:eastAsia="Times New Roman" w:hAnsi="Times New Roman"/>
          <w:b w:val="1"/>
          <w:bCs w:val="1"/>
          <w:color w:val="434343"/>
          <w:sz w:val="24"/>
          <w:szCs w:val="24"/>
          <w:rtl w:val="0"/>
        </w:rPr>
        <w:t xml:space="preserve">si el modelo puede alcanzar equilibrio económico sin depender de subvención estructural</w:t>
      </w:r>
      <w:r w:rsidDel="00000000" w:rsidR="00000000" w:rsidRPr="00000000">
        <w:rPr>
          <w:rFonts w:ascii="Times New Roman" w:cs="Times New Roman" w:eastAsia="Times New Roman" w:hAnsi="Times New Roman"/>
          <w:color w:val="434343"/>
          <w:sz w:val="24"/>
          <w:szCs w:val="24"/>
          <w:rtl w:val="0"/>
        </w:rPr>
        <w:t xml:space="preserve">. citeturn0file0</w:t>
      </w:r>
    </w:p>
    <w:p w:rsidR="00000000" w:rsidDel="00000000" w:rsidP="00000000" w:rsidRDefault="00000000" w:rsidRPr="00000000" w14:paraId="0000000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mejor lectura estratégica del proyecto no es “abrir un coworking”, sino construir una </w:t>
      </w:r>
      <w:r w:rsidDel="00000000" w:rsidR="00000000" w:rsidRPr="00000000">
        <w:rPr>
          <w:rFonts w:ascii="Times New Roman" w:cs="Times New Roman" w:eastAsia="Times New Roman" w:hAnsi="Times New Roman"/>
          <w:b w:val="1"/>
          <w:bCs w:val="1"/>
          <w:color w:val="434343"/>
          <w:sz w:val="24"/>
          <w:szCs w:val="24"/>
          <w:rtl w:val="0"/>
        </w:rPr>
        <w:t xml:space="preserve">infraestructura común de oficio</w:t>
      </w:r>
      <w:r w:rsidDel="00000000" w:rsidR="00000000" w:rsidRPr="00000000">
        <w:rPr>
          <w:rFonts w:ascii="Times New Roman" w:cs="Times New Roman" w:eastAsia="Times New Roman" w:hAnsi="Times New Roman"/>
          <w:color w:val="434343"/>
          <w:sz w:val="24"/>
          <w:szCs w:val="24"/>
          <w:rtl w:val="0"/>
        </w:rPr>
        <w:t xml:space="preserve">. En Zaragoza ya existe oferta de formación, ya existen asociaciones del mueble y ya existen acciones de visibilización de la artesanía; lo que aparece menos desarrollado en las fuentes consultadas es el espacio intermedio entre aprender y producir: un lugar donde una persona pueda </w:t>
      </w:r>
      <w:r w:rsidDel="00000000" w:rsidR="00000000" w:rsidRPr="00000000">
        <w:rPr>
          <w:rFonts w:ascii="Times New Roman" w:cs="Times New Roman" w:eastAsia="Times New Roman" w:hAnsi="Times New Roman"/>
          <w:b w:val="1"/>
          <w:bCs w:val="1"/>
          <w:color w:val="434343"/>
          <w:sz w:val="24"/>
          <w:szCs w:val="24"/>
          <w:rtl w:val="0"/>
        </w:rPr>
        <w:t xml:space="preserve">seguir practicando</w:t>
      </w:r>
      <w:r w:rsidDel="00000000" w:rsidR="00000000" w:rsidRPr="00000000">
        <w:rPr>
          <w:rFonts w:ascii="Times New Roman" w:cs="Times New Roman" w:eastAsia="Times New Roman" w:hAnsi="Times New Roman"/>
          <w:color w:val="434343"/>
          <w:sz w:val="24"/>
          <w:szCs w:val="24"/>
          <w:rtl w:val="0"/>
        </w:rPr>
        <w:t xml:space="preserve">, lanzar un primer encargo, crear portafolio, alquilar capacidad productiva y conectar con clientes o empresas. Esa es la tesis más fuerte de todo el caso. citeturn11view0turn13view0turn24news0turn23news0</w:t>
      </w:r>
    </w:p>
    <w:p w:rsidR="00000000" w:rsidDel="00000000" w:rsidP="00000000" w:rsidRDefault="00000000" w:rsidRPr="00000000" w14:paraId="0000000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Por eso, la unidad de análisis correcta no es un puesto de coworking, sino un </w:t>
      </w:r>
      <w:r w:rsidDel="00000000" w:rsidR="00000000" w:rsidRPr="00000000">
        <w:rPr>
          <w:rFonts w:ascii="Times New Roman" w:cs="Times New Roman" w:eastAsia="Times New Roman" w:hAnsi="Times New Roman"/>
          <w:b w:val="1"/>
          <w:bCs w:val="1"/>
          <w:color w:val="434343"/>
          <w:sz w:val="24"/>
          <w:szCs w:val="24"/>
          <w:rtl w:val="0"/>
        </w:rPr>
        <w:t xml:space="preserve">ecosistema de transición al trabajo</w:t>
      </w:r>
      <w:r w:rsidDel="00000000" w:rsidR="00000000" w:rsidRPr="00000000">
        <w:rPr>
          <w:rFonts w:ascii="Times New Roman" w:cs="Times New Roman" w:eastAsia="Times New Roman" w:hAnsi="Times New Roman"/>
          <w:color w:val="434343"/>
          <w:sz w:val="24"/>
          <w:szCs w:val="24"/>
          <w:rtl w:val="0"/>
        </w:rPr>
        <w:t xml:space="preserve">. Zaragoza Dinámica ya muestra que el Ayuntamiento entiende la lógica de itinerarios formativos conectados con sectores empresariales concretos. Su programa 2025-2026 ofrece casi 1.100 plazas de formación para el empleo, cerca de 60 cursos y 58 acciones formativas con aval del INAEM, y el convenio con ACOMZA para montaje de muebles replica precisamente esa lógica sectorial. Eso sugiere que un espacio independiente pero aliado podría posicionarse como </w:t>
      </w:r>
      <w:r w:rsidDel="00000000" w:rsidR="00000000" w:rsidRPr="00000000">
        <w:rPr>
          <w:rFonts w:ascii="Times New Roman" w:cs="Times New Roman" w:eastAsia="Times New Roman" w:hAnsi="Times New Roman"/>
          <w:b w:val="1"/>
          <w:bCs w:val="1"/>
          <w:color w:val="434343"/>
          <w:sz w:val="24"/>
          <w:szCs w:val="24"/>
          <w:rtl w:val="0"/>
        </w:rPr>
        <w:t xml:space="preserve">“fase siguiente”</w:t>
      </w:r>
      <w:r w:rsidDel="00000000" w:rsidR="00000000" w:rsidRPr="00000000">
        <w:rPr>
          <w:rFonts w:ascii="Times New Roman" w:cs="Times New Roman" w:eastAsia="Times New Roman" w:hAnsi="Times New Roman"/>
          <w:color w:val="434343"/>
          <w:sz w:val="24"/>
          <w:szCs w:val="24"/>
          <w:rtl w:val="0"/>
        </w:rPr>
        <w:t xml:space="preserve">: práctica intensiva, incubación, microproducción y especialización. citeturn13view0turn10view0</w:t>
      </w:r>
    </w:p>
    <w:p w:rsidR="00000000" w:rsidDel="00000000" w:rsidP="00000000" w:rsidRDefault="00000000" w:rsidRPr="00000000" w14:paraId="0000000E">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Mercado local en Zaragoza</w:t>
      </w:r>
    </w:p>
    <w:p w:rsidR="00000000" w:rsidDel="00000000" w:rsidP="00000000" w:rsidRDefault="00000000" w:rsidRPr="00000000" w14:paraId="0000000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Zaragoza ofrece una base urbana suficiente para un proyecto nicho pero no microscópico. El municipio supera los </w:t>
      </w:r>
      <w:r w:rsidDel="00000000" w:rsidR="00000000" w:rsidRPr="00000000">
        <w:rPr>
          <w:rFonts w:ascii="Times New Roman" w:cs="Times New Roman" w:eastAsia="Times New Roman" w:hAnsi="Times New Roman"/>
          <w:b w:val="1"/>
          <w:bCs w:val="1"/>
          <w:color w:val="434343"/>
          <w:sz w:val="24"/>
          <w:szCs w:val="24"/>
          <w:rtl w:val="0"/>
        </w:rPr>
        <w:t xml:space="preserve">693.000 habitantes</w:t>
      </w:r>
      <w:r w:rsidDel="00000000" w:rsidR="00000000" w:rsidRPr="00000000">
        <w:rPr>
          <w:rFonts w:ascii="Times New Roman" w:cs="Times New Roman" w:eastAsia="Times New Roman" w:hAnsi="Times New Roman"/>
          <w:color w:val="434343"/>
          <w:sz w:val="24"/>
          <w:szCs w:val="24"/>
          <w:rtl w:val="0"/>
        </w:rPr>
        <w:t xml:space="preserve"> y la provincia roza el </w:t>
      </w:r>
      <w:r w:rsidDel="00000000" w:rsidR="00000000" w:rsidRPr="00000000">
        <w:rPr>
          <w:rFonts w:ascii="Times New Roman" w:cs="Times New Roman" w:eastAsia="Times New Roman" w:hAnsi="Times New Roman"/>
          <w:b w:val="1"/>
          <w:bCs w:val="1"/>
          <w:color w:val="434343"/>
          <w:sz w:val="24"/>
          <w:szCs w:val="24"/>
          <w:rtl w:val="0"/>
        </w:rPr>
        <w:t xml:space="preserve">millón</w:t>
      </w:r>
      <w:r w:rsidDel="00000000" w:rsidR="00000000" w:rsidRPr="00000000">
        <w:rPr>
          <w:rFonts w:ascii="Times New Roman" w:cs="Times New Roman" w:eastAsia="Times New Roman" w:hAnsi="Times New Roman"/>
          <w:color w:val="434343"/>
          <w:sz w:val="24"/>
          <w:szCs w:val="24"/>
          <w:rtl w:val="0"/>
        </w:rPr>
        <w:t xml:space="preserve">, lo que reduce uno de los riesgos típicos de los talleres compartidos: depender de una comunidad demasiado pequeña para sostener cuotas, cursos y servicios. Además, Zaragoza es una ciudad grande, con tejido logístico e industrial relevante y una estructura pública activa en empleo y formación, lo que favorece alianzas, captación y demanda derivada. citeturn31view0</w:t>
      </w:r>
    </w:p>
    <w:p w:rsidR="00000000" w:rsidDel="00000000" w:rsidP="00000000" w:rsidRDefault="00000000" w:rsidRPr="00000000" w14:paraId="0000001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señal más importante de demanda no es demográfica, sino institucional y laboral. Aragón arrancó el curso 2025-2026 con más de 24.000 alumnos en FP y una previsión cercana a 27.000, tras una ampliación significativa de ciclos y plazas. En paralelo, Zaragoza Dinámica mantiene una oferta estable y amplia para profesiones con salida, entre ellas la madera, y ha acumulado 30.000 alumnos formados desde 1993. Cuando un ecosistema público sostiene durante décadas formación aplicada y, además, firma en 2025 un convenio específico para cubrir necesidades del sector del mueble, la lectura razonable es que existe un flujo real de personas que aprenden oficio y un tejido empresarial que sigue demandando perfiles. citeturn39news1turn10view0turn13view0</w:t>
      </w:r>
    </w:p>
    <w:p w:rsidR="00000000" w:rsidDel="00000000" w:rsidP="00000000" w:rsidRDefault="00000000" w:rsidRPr="00000000" w14:paraId="0000001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demanda potencial puede estructurarse en segmentos con distinta urgencia y distinta disposición a pagar. El más inmediato es el de </w:t>
      </w:r>
      <w:r w:rsidDel="00000000" w:rsidR="00000000" w:rsidRPr="00000000">
        <w:rPr>
          <w:rFonts w:ascii="Times New Roman" w:cs="Times New Roman" w:eastAsia="Times New Roman" w:hAnsi="Times New Roman"/>
          <w:b w:val="1"/>
          <w:bCs w:val="1"/>
          <w:color w:val="434343"/>
          <w:sz w:val="24"/>
          <w:szCs w:val="24"/>
          <w:rtl w:val="0"/>
        </w:rPr>
        <w:t xml:space="preserve">personas en transición</w:t>
      </w:r>
      <w:r w:rsidDel="00000000" w:rsidR="00000000" w:rsidRPr="00000000">
        <w:rPr>
          <w:rFonts w:ascii="Times New Roman" w:cs="Times New Roman" w:eastAsia="Times New Roman" w:hAnsi="Times New Roman"/>
          <w:color w:val="434343"/>
          <w:sz w:val="24"/>
          <w:szCs w:val="24"/>
          <w:rtl w:val="0"/>
        </w:rPr>
        <w:t xml:space="preserve">: alumnado y egresados de FP, personas desempleadas o en recualificación, y quienes salen de itinerarios municipales de formación. Luego aparece un segundo segmento de </w:t>
      </w:r>
      <w:r w:rsidDel="00000000" w:rsidR="00000000" w:rsidRPr="00000000">
        <w:rPr>
          <w:rFonts w:ascii="Times New Roman" w:cs="Times New Roman" w:eastAsia="Times New Roman" w:hAnsi="Times New Roman"/>
          <w:b w:val="1"/>
          <w:bCs w:val="1"/>
          <w:color w:val="434343"/>
          <w:sz w:val="24"/>
          <w:szCs w:val="24"/>
          <w:rtl w:val="0"/>
        </w:rPr>
        <w:t xml:space="preserve">microactividad económica</w:t>
      </w:r>
      <w:r w:rsidDel="00000000" w:rsidR="00000000" w:rsidRPr="00000000">
        <w:rPr>
          <w:rFonts w:ascii="Times New Roman" w:cs="Times New Roman" w:eastAsia="Times New Roman" w:hAnsi="Times New Roman"/>
          <w:color w:val="434343"/>
          <w:sz w:val="24"/>
          <w:szCs w:val="24"/>
          <w:rtl w:val="0"/>
        </w:rPr>
        <w:t xml:space="preserve">: restauración de muebles, fabricación personalizada, montaje, escenografía ligera, retail del hogar, decoración y prototipos. Un tercer grupo es el de </w:t>
      </w:r>
      <w:r w:rsidDel="00000000" w:rsidR="00000000" w:rsidRPr="00000000">
        <w:rPr>
          <w:rFonts w:ascii="Times New Roman" w:cs="Times New Roman" w:eastAsia="Times New Roman" w:hAnsi="Times New Roman"/>
          <w:b w:val="1"/>
          <w:bCs w:val="1"/>
          <w:color w:val="434343"/>
          <w:sz w:val="24"/>
          <w:szCs w:val="24"/>
          <w:rtl w:val="0"/>
        </w:rPr>
        <w:t xml:space="preserve">demanda corporativa de baja escala</w:t>
      </w:r>
      <w:r w:rsidDel="00000000" w:rsidR="00000000" w:rsidRPr="00000000">
        <w:rPr>
          <w:rFonts w:ascii="Times New Roman" w:cs="Times New Roman" w:eastAsia="Times New Roman" w:hAnsi="Times New Roman"/>
          <w:color w:val="434343"/>
          <w:sz w:val="24"/>
          <w:szCs w:val="24"/>
          <w:rtl w:val="0"/>
        </w:rPr>
        <w:t xml:space="preserve">: comercios de mueble, interioristas, arquitectos, hoteles, hostelería y eventos que necesitan piezas únicas, reparaciones, pequeñas series o asistencia técnica puntual. El cuarto segmento es más aspiracional pero muy útil para caja: público aficionado de poder adquisitivo medio-alto que paga por cursos, uso tutelado y proyectos personales. Esta segmentación está alineada con la evidencia local de formación sectorial y con los datos recientes de inserción de la familia madera en otras comunidades. citeturn13view0turn38news0turn38news1</w:t>
      </w:r>
    </w:p>
    <w:p w:rsidR="00000000" w:rsidDel="00000000" w:rsidP="00000000" w:rsidRDefault="00000000" w:rsidRPr="00000000" w14:paraId="0000001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También hay una tendencia institucional favorable a la artesanía como vector económico y no solo cultural. En abril de 2025, los Días Europeos de la Artesanía activaron en Zaragoza talleres y programación gratuita en el Centro de Artesanía de Aragón; en 2025, el programa </w:t>
      </w:r>
      <w:r w:rsidDel="00000000" w:rsidR="00000000" w:rsidRPr="00000000">
        <w:rPr>
          <w:rFonts w:ascii="Times New Roman" w:cs="Times New Roman" w:eastAsia="Times New Roman" w:hAnsi="Times New Roman"/>
          <w:b w:val="1"/>
          <w:bCs w:val="1"/>
          <w:color w:val="434343"/>
          <w:sz w:val="24"/>
          <w:szCs w:val="24"/>
          <w:rtl w:val="0"/>
        </w:rPr>
        <w:t xml:space="preserve">Aragón a Mano</w:t>
      </w:r>
      <w:r w:rsidDel="00000000" w:rsidR="00000000" w:rsidRPr="00000000">
        <w:rPr>
          <w:rFonts w:ascii="Times New Roman" w:cs="Times New Roman" w:eastAsia="Times New Roman" w:hAnsi="Times New Roman"/>
          <w:color w:val="434343"/>
          <w:sz w:val="24"/>
          <w:szCs w:val="24"/>
          <w:rtl w:val="0"/>
        </w:rPr>
        <w:t xml:space="preserve"> se presentó como marca de calidad para profesionalizar, visibilizar y conectar la artesanía con sectores como turismo, gastronomía e interiorismo. Este contexto no garantiza ventas, pero sí mejora el clima de legitimidad del oficio y abre canales comerciales y de marca que un taller compartido puede aprovechar. citeturn24news0turn23news0</w:t>
      </w:r>
    </w:p>
    <w:p w:rsidR="00000000" w:rsidDel="00000000" w:rsidP="00000000" w:rsidRDefault="00000000" w:rsidRPr="00000000" w14:paraId="00000013">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Oferta local y hueco competitivo</w:t>
      </w:r>
    </w:p>
    <w:p w:rsidR="00000000" w:rsidDel="00000000" w:rsidP="00000000" w:rsidRDefault="00000000" w:rsidRPr="00000000" w14:paraId="0000001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oferta local visible en fuentes consultadas se parece más a un </w:t>
      </w:r>
      <w:r w:rsidDel="00000000" w:rsidR="00000000" w:rsidRPr="00000000">
        <w:rPr>
          <w:rFonts w:ascii="Times New Roman" w:cs="Times New Roman" w:eastAsia="Times New Roman" w:hAnsi="Times New Roman"/>
          <w:b w:val="1"/>
          <w:bCs w:val="1"/>
          <w:color w:val="434343"/>
          <w:sz w:val="24"/>
          <w:szCs w:val="24"/>
          <w:rtl w:val="0"/>
        </w:rPr>
        <w:t xml:space="preserve">mosaico de sustitutos</w:t>
      </w:r>
      <w:r w:rsidDel="00000000" w:rsidR="00000000" w:rsidRPr="00000000">
        <w:rPr>
          <w:rFonts w:ascii="Times New Roman" w:cs="Times New Roman" w:eastAsia="Times New Roman" w:hAnsi="Times New Roman"/>
          <w:color w:val="434343"/>
          <w:sz w:val="24"/>
          <w:szCs w:val="24"/>
          <w:rtl w:val="0"/>
        </w:rPr>
        <w:t xml:space="preserve"> que a un competidor directo. Zaragoza Dinámica aporta formación, instalaciones y conexión con empleo; el Centro de Artesanía de Aragón aporta visibilidad, programación y ecosistema artesano; Etopia aporta cultura maker/creativa y formación digital; y ACOMZA representa el vínculo empresarial del mueble. Sin embargo, en la revisión realizada no aparece una referencia consolidada y claramente visible de </w:t>
      </w:r>
      <w:r w:rsidDel="00000000" w:rsidR="00000000" w:rsidRPr="00000000">
        <w:rPr>
          <w:rFonts w:ascii="Times New Roman" w:cs="Times New Roman" w:eastAsia="Times New Roman" w:hAnsi="Times New Roman"/>
          <w:b w:val="1"/>
          <w:bCs w:val="1"/>
          <w:color w:val="434343"/>
          <w:sz w:val="24"/>
          <w:szCs w:val="24"/>
          <w:rtl w:val="0"/>
        </w:rPr>
        <w:t xml:space="preserve">coworking maderero de acceso flexible</w:t>
      </w:r>
      <w:r w:rsidDel="00000000" w:rsidR="00000000" w:rsidRPr="00000000">
        <w:rPr>
          <w:rFonts w:ascii="Times New Roman" w:cs="Times New Roman" w:eastAsia="Times New Roman" w:hAnsi="Times New Roman"/>
          <w:color w:val="434343"/>
          <w:sz w:val="24"/>
          <w:szCs w:val="24"/>
          <w:rtl w:val="0"/>
        </w:rPr>
        <w:t xml:space="preserve"> con equipamiento compartido y vocación empresarial. Esa ausencia es, precisamente, el espacio de oportunidad. citeturn11view0turn24news0turn19view0turn13view0</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3.2086981294441"/>
        <w:gridCol w:w="1285.9923580048578"/>
        <w:gridCol w:w="1881.857927028051"/>
        <w:gridCol w:w="1245.5946923083702"/>
        <w:gridCol w:w="3608.8581355528995"/>
        <w:tblGridChange w:id="0">
          <w:tblGrid>
            <w:gridCol w:w="1003.2086981294441"/>
            <w:gridCol w:w="1285.9923580048578"/>
            <w:gridCol w:w="1881.857927028051"/>
            <w:gridCol w:w="1245.5946923083702"/>
            <w:gridCol w:w="3608.8581355528995"/>
          </w:tblGrid>
        </w:tblGridChange>
      </w:tblGrid>
      <w:tr>
        <w:trPr>
          <w:cantSplit w:val="0"/>
          <w:trHeight w:val="189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Actor local</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Qué ofrece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Evidencia visible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Limitación para el usuario objetivo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Implicación para el proyecto</w:t>
            </w:r>
          </w:p>
        </w:tc>
      </w:tr>
      <w:tr>
        <w:trPr>
          <w:cantSplit w:val="0"/>
          <w:trHeight w:val="51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Zaragoza Dinámica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Formación para el empleo en cinco centros; Salvador Allende incluye madera; programa 2025-26 con casi 1.100 plazas y cerca de 60 cursos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Fuente oficial municipal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No opera como membresía abierta de producción continuada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Es aliado natural, más que competidor directo citeturn11view0turn10view0turn13view0</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Convenio Zaragoza Dinámica + ACOMZA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15 plazas específicas para montaje de muebles dentro de un piloto sectorial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Fuente oficial municipal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Formación puntual, no infraestructura permanente compartida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Prueba de demanda empresarial y base para convenios B2B citeturn13view0</w:t>
            </w:r>
          </w:p>
        </w:tc>
      </w:tr>
      <w:tr>
        <w:trPr>
          <w:cantSplit w:val="0"/>
          <w:trHeight w:val="18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Centro de Artesanía de Aragón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Exposiciones, talleres y visibilidad sectorial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Cobertura periodística sobre programación pública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No es taller productivo compartido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Canal de comunidad, eventos y escaparate, no sustituto operativo citeturn24news0</w:t>
            </w:r>
          </w:p>
        </w:tc>
      </w:tr>
      <w:tr>
        <w:trPr>
          <w:cantSplit w:val="0"/>
          <w:trHeight w:val="29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Aragón a Mano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Marca de calidad, directorio y alianzas intersectoriales para artesanía aragonesa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Cobertura sobre iniciativa institucional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No resuelve infraestructura de producción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Útil para reputación, comercialización y posicionamiento artesano citeturn23news0</w:t>
            </w:r>
          </w:p>
        </w:tc>
      </w:tr>
      <w:tr>
        <w:trPr>
          <w:cantSplit w:val="0"/>
          <w:trHeight w:val="33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Etopia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Centro creativo-tecnológico con foco en arte, multimedia, diseño y formación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Referencia enciclopédica/descriptor público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No está orientado a carpintería ni maquinaria de taller de madera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Competidor solo lateral, por comunidad maker/creativa citeturn19view0</w:t>
            </w:r>
          </w:p>
        </w:tc>
      </w:tr>
    </w:tbl>
    <w:p w:rsidR="00000000" w:rsidDel="00000000" w:rsidP="00000000" w:rsidRDefault="00000000" w:rsidRPr="00000000" w14:paraId="0000003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lectura táctica de esta tabla es clara: el proyecto no debe presentarse contra estas instituciones, sino </w:t>
      </w:r>
      <w:r w:rsidDel="00000000" w:rsidR="00000000" w:rsidRPr="00000000">
        <w:rPr>
          <w:rFonts w:ascii="Times New Roman" w:cs="Times New Roman" w:eastAsia="Times New Roman" w:hAnsi="Times New Roman"/>
          <w:b w:val="1"/>
          <w:bCs w:val="1"/>
          <w:color w:val="434343"/>
          <w:sz w:val="24"/>
          <w:szCs w:val="24"/>
          <w:rtl w:val="0"/>
        </w:rPr>
        <w:t xml:space="preserve">encima de ellas</w:t>
      </w:r>
      <w:r w:rsidDel="00000000" w:rsidR="00000000" w:rsidRPr="00000000">
        <w:rPr>
          <w:rFonts w:ascii="Times New Roman" w:cs="Times New Roman" w:eastAsia="Times New Roman" w:hAnsi="Times New Roman"/>
          <w:color w:val="434343"/>
          <w:sz w:val="24"/>
          <w:szCs w:val="24"/>
          <w:rtl w:val="0"/>
        </w:rPr>
        <w:t xml:space="preserve">, como un eslabón faltante. El mensaje correcto no es “otro centro”, sino </w:t>
      </w:r>
      <w:r w:rsidDel="00000000" w:rsidR="00000000" w:rsidRPr="00000000">
        <w:rPr>
          <w:rFonts w:ascii="Times New Roman" w:cs="Times New Roman" w:eastAsia="Times New Roman" w:hAnsi="Times New Roman"/>
          <w:b w:val="1"/>
          <w:bCs w:val="1"/>
          <w:color w:val="434343"/>
          <w:sz w:val="24"/>
          <w:szCs w:val="24"/>
          <w:rtl w:val="0"/>
        </w:rPr>
        <w:t xml:space="preserve">“el lugar donde la formación se convierte en práctica, cartera de clientes y microempresa”</w:t>
      </w:r>
      <w:r w:rsidDel="00000000" w:rsidR="00000000" w:rsidRPr="00000000">
        <w:rPr>
          <w:rFonts w:ascii="Times New Roman" w:cs="Times New Roman" w:eastAsia="Times New Roman" w:hAnsi="Times New Roman"/>
          <w:color w:val="434343"/>
          <w:sz w:val="24"/>
          <w:szCs w:val="24"/>
          <w:rtl w:val="0"/>
        </w:rPr>
        <w:t xml:space="preserve">. Esa formulación reduce fricción política, mejora la captación y hace más fácil firmar convenios. citeturn13view0turn23news0</w:t>
      </w:r>
    </w:p>
    <w:p w:rsidR="00000000" w:rsidDel="00000000" w:rsidP="00000000" w:rsidRDefault="00000000" w:rsidRPr="00000000" w14:paraId="00000034">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Modelo de negocio y alianzas estratégicas</w:t>
      </w:r>
    </w:p>
    <w:p w:rsidR="00000000" w:rsidDel="00000000" w:rsidP="00000000" w:rsidRDefault="00000000" w:rsidRPr="00000000" w14:paraId="0000003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evidencia local apunta a que el modelo correcto es un </w:t>
      </w:r>
      <w:r w:rsidDel="00000000" w:rsidR="00000000" w:rsidRPr="00000000">
        <w:rPr>
          <w:rFonts w:ascii="Times New Roman" w:cs="Times New Roman" w:eastAsia="Times New Roman" w:hAnsi="Times New Roman"/>
          <w:b w:val="1"/>
          <w:bCs w:val="1"/>
          <w:color w:val="434343"/>
          <w:sz w:val="24"/>
          <w:szCs w:val="24"/>
          <w:rtl w:val="0"/>
        </w:rPr>
        <w:t xml:space="preserve">híbrido multiingreso</w:t>
      </w:r>
      <w:r w:rsidDel="00000000" w:rsidR="00000000" w:rsidRPr="00000000">
        <w:rPr>
          <w:rFonts w:ascii="Times New Roman" w:cs="Times New Roman" w:eastAsia="Times New Roman" w:hAnsi="Times New Roman"/>
          <w:color w:val="434343"/>
          <w:sz w:val="24"/>
          <w:szCs w:val="24"/>
          <w:rtl w:val="0"/>
        </w:rPr>
        <w:t xml:space="preserve">. El patrón más robusto para Zaragoza no es cobrar solo por mesa o banco de trabajo, sino combinar cuatro líneas: </w:t>
      </w:r>
      <w:r w:rsidDel="00000000" w:rsidR="00000000" w:rsidRPr="00000000">
        <w:rPr>
          <w:rFonts w:ascii="Times New Roman" w:cs="Times New Roman" w:eastAsia="Times New Roman" w:hAnsi="Times New Roman"/>
          <w:b w:val="1"/>
          <w:bCs w:val="1"/>
          <w:color w:val="434343"/>
          <w:sz w:val="24"/>
          <w:szCs w:val="24"/>
          <w:rtl w:val="0"/>
        </w:rPr>
        <w:t xml:space="preserve">membresías</w:t>
      </w: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Fonts w:ascii="Times New Roman" w:cs="Times New Roman" w:eastAsia="Times New Roman" w:hAnsi="Times New Roman"/>
          <w:b w:val="1"/>
          <w:bCs w:val="1"/>
          <w:color w:val="434343"/>
          <w:sz w:val="24"/>
          <w:szCs w:val="24"/>
          <w:rtl w:val="0"/>
        </w:rPr>
        <w:t xml:space="preserve">formación</w:t>
      </w: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Fonts w:ascii="Times New Roman" w:cs="Times New Roman" w:eastAsia="Times New Roman" w:hAnsi="Times New Roman"/>
          <w:b w:val="1"/>
          <w:bCs w:val="1"/>
          <w:color w:val="434343"/>
          <w:sz w:val="24"/>
          <w:szCs w:val="24"/>
          <w:rtl w:val="0"/>
        </w:rPr>
        <w:t xml:space="preserve">servicios B2B</w:t>
      </w:r>
      <w:r w:rsidDel="00000000" w:rsidR="00000000" w:rsidRPr="00000000">
        <w:rPr>
          <w:rFonts w:ascii="Times New Roman" w:cs="Times New Roman" w:eastAsia="Times New Roman" w:hAnsi="Times New Roman"/>
          <w:color w:val="434343"/>
          <w:sz w:val="24"/>
          <w:szCs w:val="24"/>
          <w:rtl w:val="0"/>
        </w:rPr>
        <w:t xml:space="preserve"> y </w:t>
      </w:r>
      <w:r w:rsidDel="00000000" w:rsidR="00000000" w:rsidRPr="00000000">
        <w:rPr>
          <w:rFonts w:ascii="Times New Roman" w:cs="Times New Roman" w:eastAsia="Times New Roman" w:hAnsi="Times New Roman"/>
          <w:b w:val="1"/>
          <w:bCs w:val="1"/>
          <w:color w:val="434343"/>
          <w:sz w:val="24"/>
          <w:szCs w:val="24"/>
          <w:rtl w:val="0"/>
        </w:rPr>
        <w:t xml:space="preserve">eventos/visibilidad comercial</w:t>
      </w:r>
      <w:r w:rsidDel="00000000" w:rsidR="00000000" w:rsidRPr="00000000">
        <w:rPr>
          <w:rFonts w:ascii="Times New Roman" w:cs="Times New Roman" w:eastAsia="Times New Roman" w:hAnsi="Times New Roman"/>
          <w:color w:val="434343"/>
          <w:sz w:val="24"/>
          <w:szCs w:val="24"/>
          <w:rtl w:val="0"/>
        </w:rPr>
        <w:t xml:space="preserve">. Este diseño replica, adaptándolo al ámbito privado y semiprivado, la lógica que ya usa Zaragoza Dinámica: cursos con salida real, colaboración con asociaciones sectoriales y respuesta a necesidades concretas del tejido empresarial. citeturn13view0turn10view0</w:t>
      </w:r>
    </w:p>
    <w:p w:rsidR="00000000" w:rsidDel="00000000" w:rsidP="00000000" w:rsidRDefault="00000000" w:rsidRPr="00000000" w14:paraId="0000003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recomendación es arrancar con una propuesta de valor muy concreta: </w:t>
      </w:r>
      <w:r w:rsidDel="00000000" w:rsidR="00000000" w:rsidRPr="00000000">
        <w:rPr>
          <w:rFonts w:ascii="Times New Roman" w:cs="Times New Roman" w:eastAsia="Times New Roman" w:hAnsi="Times New Roman"/>
          <w:b w:val="1"/>
          <w:bCs w:val="1"/>
          <w:color w:val="434343"/>
          <w:sz w:val="24"/>
          <w:szCs w:val="24"/>
          <w:rtl w:val="0"/>
        </w:rPr>
        <w:t xml:space="preserve">“taller compartido de madera para aprender, producir y vender”</w:t>
      </w:r>
      <w:r w:rsidDel="00000000" w:rsidR="00000000" w:rsidRPr="00000000">
        <w:rPr>
          <w:rFonts w:ascii="Times New Roman" w:cs="Times New Roman" w:eastAsia="Times New Roman" w:hAnsi="Times New Roman"/>
          <w:color w:val="434343"/>
          <w:sz w:val="24"/>
          <w:szCs w:val="24"/>
          <w:rtl w:val="0"/>
        </w:rPr>
        <w:t xml:space="preserve">. Eso implica acceso supervisado por niveles, acreditación interna de máquinas, cursos cortos orientados a proyectos, opciones de alquiler de capacidad productiva y paquetes para empresas. En una segunda fase, cuando el espacio ya tenga usuarios recurrentes y flujo de caja, se puede ampliar a restauración, prototipado para interiorismo, carpintería para retail efímero y piezas de pequeña serie. Esta secuencia reduce el CAPEX inicial y el riesgo normativo de procesos más complejos. La recomendación es una inferencia operativa basada en la estructura de demanda local y no una tarifa observada en una base homogénea pública. citeturn13view0turn24news0turn23news0</w:t>
      </w:r>
    </w:p>
    <w:p w:rsidR="00000000" w:rsidDel="00000000" w:rsidP="00000000" w:rsidRDefault="00000000" w:rsidRPr="00000000" w14:paraId="00000037">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Acuerdos concretos recomendados</w:t>
      </w:r>
    </w:p>
    <w:p w:rsidR="00000000" w:rsidDel="00000000" w:rsidP="00000000" w:rsidRDefault="00000000" w:rsidRPr="00000000" w14:paraId="0000003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IES Virgen del Pilar.</w:t>
      </w:r>
      <w:r w:rsidDel="00000000" w:rsidR="00000000" w:rsidRPr="00000000">
        <w:rPr>
          <w:rFonts w:ascii="Times New Roman" w:cs="Times New Roman" w:eastAsia="Times New Roman" w:hAnsi="Times New Roman"/>
          <w:color w:val="434343"/>
          <w:sz w:val="24"/>
          <w:szCs w:val="24"/>
          <w:rtl w:val="0"/>
        </w:rPr>
        <w:t xml:space="preserve"> El material base lo sitúa como aliado prioritario, y la oferta aragonesa reciente confirma que el centro sigue siendo un nodo relevante de FP técnica en Zaragoza. El acuerdo más útil no sería un simple “colaboramos”, sino un convenio con tres piezas: acceso bonificado de 3 meses para recién titulados, retos de proyecto final ligados a encargos reales, y bolsa compartida de docentes/profesionales para cursos de especialización. Si el centro mantiene o articula oferta vinculada a madera, el encaje es directo; si no, sigue siendo útil como socio industrial y de transición al empleo. citeturn0file0turn39news2</w:t>
      </w:r>
    </w:p>
    <w:p w:rsidR="00000000" w:rsidDel="00000000" w:rsidP="00000000" w:rsidRDefault="00000000" w:rsidRPr="00000000" w14:paraId="0000003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Zaragoza Dinámica.</w:t>
      </w:r>
      <w:r w:rsidDel="00000000" w:rsidR="00000000" w:rsidRPr="00000000">
        <w:rPr>
          <w:rFonts w:ascii="Times New Roman" w:cs="Times New Roman" w:eastAsia="Times New Roman" w:hAnsi="Times New Roman"/>
          <w:color w:val="434343"/>
          <w:sz w:val="24"/>
          <w:szCs w:val="24"/>
          <w:rtl w:val="0"/>
        </w:rPr>
        <w:t xml:space="preserve"> Aquí el acuerdo debería ser más operativo que simbólico. Propuesta concreta: que el coworking actúe como </w:t>
      </w:r>
      <w:r w:rsidDel="00000000" w:rsidR="00000000" w:rsidRPr="00000000">
        <w:rPr>
          <w:rFonts w:ascii="Times New Roman" w:cs="Times New Roman" w:eastAsia="Times New Roman" w:hAnsi="Times New Roman"/>
          <w:b w:val="1"/>
          <w:bCs w:val="1"/>
          <w:color w:val="434343"/>
          <w:sz w:val="24"/>
          <w:szCs w:val="24"/>
          <w:rtl w:val="0"/>
        </w:rPr>
        <w:t xml:space="preserve">espacio de continuidad</w:t>
      </w:r>
      <w:r w:rsidDel="00000000" w:rsidR="00000000" w:rsidRPr="00000000">
        <w:rPr>
          <w:rFonts w:ascii="Times New Roman" w:cs="Times New Roman" w:eastAsia="Times New Roman" w:hAnsi="Times New Roman"/>
          <w:color w:val="434343"/>
          <w:sz w:val="24"/>
          <w:szCs w:val="24"/>
          <w:rtl w:val="0"/>
        </w:rPr>
        <w:t xml:space="preserve"> para alumnado egresado de madera/carpintería y para pilots sectoriales como el firmado con ACOMZA. Se puede estructurar como un “post-itinerario” de 8 a 12 semanas, con tutoría, uso de taller y primer encargo real. Esto encaja porque Zaragoza Dinámica ya trabaja con formación sectorial, empleo y colaboración empresarial. citeturn11view0turn13view0</w:t>
      </w:r>
    </w:p>
    <w:p w:rsidR="00000000" w:rsidDel="00000000" w:rsidP="00000000" w:rsidRDefault="00000000" w:rsidRPr="00000000" w14:paraId="0000003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ACOMZA y comercio del mueble.</w:t>
      </w:r>
      <w:r w:rsidDel="00000000" w:rsidR="00000000" w:rsidRPr="00000000">
        <w:rPr>
          <w:rFonts w:ascii="Times New Roman" w:cs="Times New Roman" w:eastAsia="Times New Roman" w:hAnsi="Times New Roman"/>
          <w:color w:val="434343"/>
          <w:sz w:val="24"/>
          <w:szCs w:val="24"/>
          <w:rtl w:val="0"/>
        </w:rPr>
        <w:t xml:space="preserve"> El convenio municipal de 2025 ya demuestra interés del gremio por formar en montaje de muebles. El paso lógico es transformar esa necesidad en un acuerdo de negocio: patrocinio de maquinaria o consumibles a cambio de prioridad en bolsa de talento, formación a medida para montaje y posventa, y un servicio de prototipado/ajustes para comercios asociados. En la práctica, ACOMZA no solo sería un “partner”, sino el primer canal B2B que reduce el riesgo comercial del proyecto. citeturn13view0</w:t>
      </w:r>
    </w:p>
    <w:p w:rsidR="00000000" w:rsidDel="00000000" w:rsidP="00000000" w:rsidRDefault="00000000" w:rsidRPr="00000000" w14:paraId="0000003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Asociaciones artesanas y programa Aragón a Mano.</w:t>
      </w:r>
      <w:r w:rsidDel="00000000" w:rsidR="00000000" w:rsidRPr="00000000">
        <w:rPr>
          <w:rFonts w:ascii="Times New Roman" w:cs="Times New Roman" w:eastAsia="Times New Roman" w:hAnsi="Times New Roman"/>
          <w:color w:val="434343"/>
          <w:sz w:val="24"/>
          <w:szCs w:val="24"/>
          <w:rtl w:val="0"/>
        </w:rPr>
        <w:t xml:space="preserve"> Aquí el objetivo no es tanto captar volumen como construir reputación y venta de valor añadido. El acuerdo debería incluir programación de demostraciones, pop-ups, exposición rotatoria de piezas, ferias temáticas y certificación/visibilidad de proyectos hechos por miembros. Aragón a Mano, al querer conectar artesanía con interiorismo, turismo y lujo, encaja especialmente bien con un espacio que quiera posicionarse en mueble autor, restauración y objetos de alto valor percibido. citeturn23news0turn24news0</w:t>
      </w:r>
    </w:p>
    <w:p w:rsidR="00000000" w:rsidDel="00000000" w:rsidP="00000000" w:rsidRDefault="00000000" w:rsidRPr="00000000" w14:paraId="0000003C">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Arquitectura recomendada de ingresos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7.7244296905046"/>
        <w:gridCol w:w="2747.09665404935"/>
        <w:gridCol w:w="2037.1206606886224"/>
        <w:gridCol w:w="2663.5700665951463"/>
        <w:tblGridChange w:id="0">
          <w:tblGrid>
            <w:gridCol w:w="1577.7244296905046"/>
            <w:gridCol w:w="2747.09665404935"/>
            <w:gridCol w:w="2037.1206606886224"/>
            <w:gridCol w:w="2663.5700665951463"/>
          </w:tblGrid>
        </w:tblGridChange>
      </w:tblGrid>
      <w:tr>
        <w:trPr>
          <w:cantSplit w:val="0"/>
          <w:trHeight w:val="153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Línea</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Qué se vende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Peso recomendado en pilotaje</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Comentario</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Membresías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Acceso por horas, bonos, membresías mensuales por nivel de uso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35%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Necesarias para comunidad, pero insuficientes por sí solas</w:t>
            </w:r>
          </w:p>
        </w:tc>
      </w:tr>
      <w:tr>
        <w:trPr>
          <w:cantSplit w:val="0"/>
          <w:trHeight w:val="18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Formación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Cursos introductorios, intensivos, monográficos y bootcamps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30%</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En Zaragoza hay validación institucional clara para formación aplicada</w:t>
            </w:r>
          </w:p>
        </w:tc>
      </w:tr>
      <w:tr>
        <w:trPr>
          <w:cantSplit w:val="0"/>
          <w:trHeight w:val="18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Servicios B2B</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Prototipos, pequeñas series, montaje, ajustes, formación in-company</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25%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línea con más potencial de margen si se firman acuerdos sectoriales</w:t>
            </w:r>
          </w:p>
        </w:tc>
      </w:tr>
      <w:tr>
        <w:trPr>
          <w:cantSplit w:val="0"/>
          <w:trHeight w:val="189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Eventos y retail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Ferias, showroom, exposiciones, venta de kits/piezas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10%</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Útil para marca y captación; no debe sostener el negocio principal</w:t>
            </w:r>
          </w:p>
        </w:tc>
      </w:tr>
    </w:tbl>
    <w:p w:rsidR="00000000" w:rsidDel="00000000" w:rsidP="00000000" w:rsidRDefault="00000000" w:rsidRPr="00000000" w14:paraId="0000005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Este reparto no debe leerse como dato histórico medido en una base pública homogénea, porque esa base no se ha localizado en la revisión actual, sino como </w:t>
      </w:r>
      <w:r w:rsidDel="00000000" w:rsidR="00000000" w:rsidRPr="00000000">
        <w:rPr>
          <w:rFonts w:ascii="Times New Roman" w:cs="Times New Roman" w:eastAsia="Times New Roman" w:hAnsi="Times New Roman"/>
          <w:b w:val="1"/>
          <w:bCs w:val="1"/>
          <w:color w:val="434343"/>
          <w:sz w:val="24"/>
          <w:szCs w:val="24"/>
          <w:rtl w:val="0"/>
        </w:rPr>
        <w:t xml:space="preserve">diseño objetivo</w:t>
      </w:r>
      <w:r w:rsidDel="00000000" w:rsidR="00000000" w:rsidRPr="00000000">
        <w:rPr>
          <w:rFonts w:ascii="Times New Roman" w:cs="Times New Roman" w:eastAsia="Times New Roman" w:hAnsi="Times New Roman"/>
          <w:color w:val="434343"/>
          <w:sz w:val="24"/>
          <w:szCs w:val="24"/>
          <w:rtl w:val="0"/>
        </w:rPr>
        <w:t xml:space="preserve"> coherente con la evidencia local disponible. La clave es que durante los primeros 6 a 9 meses el negocio dependa más de </w:t>
      </w:r>
      <w:r w:rsidDel="00000000" w:rsidR="00000000" w:rsidRPr="00000000">
        <w:rPr>
          <w:rFonts w:ascii="Times New Roman" w:cs="Times New Roman" w:eastAsia="Times New Roman" w:hAnsi="Times New Roman"/>
          <w:b w:val="1"/>
          <w:bCs w:val="1"/>
          <w:color w:val="434343"/>
          <w:sz w:val="24"/>
          <w:szCs w:val="24"/>
          <w:rtl w:val="0"/>
        </w:rPr>
        <w:t xml:space="preserve">cursos y B2B</w:t>
      </w:r>
      <w:r w:rsidDel="00000000" w:rsidR="00000000" w:rsidRPr="00000000">
        <w:rPr>
          <w:rFonts w:ascii="Times New Roman" w:cs="Times New Roman" w:eastAsia="Times New Roman" w:hAnsi="Times New Roman"/>
          <w:color w:val="434343"/>
          <w:sz w:val="24"/>
          <w:szCs w:val="24"/>
          <w:rtl w:val="0"/>
        </w:rPr>
        <w:t xml:space="preserve"> que de ocupación de puestos. Zaragoza Dinámica y el convenio con ACOMZA respaldan justamente esa lógica: el mercado local responde mejor a una propuesta sectorial y empleable que a una membresía abstracta. citeturn13view0turn10view0</w:t>
      </w:r>
    </w:p>
    <w:p w:rsidR="00000000" w:rsidDel="00000000" w:rsidP="00000000" w:rsidRDefault="00000000" w:rsidRPr="00000000" w14:paraId="00000052">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Requisitos normativos y técnicos</w:t>
      </w:r>
    </w:p>
    <w:p w:rsidR="00000000" w:rsidDel="00000000" w:rsidP="00000000" w:rsidRDefault="00000000" w:rsidRPr="00000000" w14:paraId="0000005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primera advertencia importante es jurídica y práctica: </w:t>
      </w:r>
      <w:r w:rsidDel="00000000" w:rsidR="00000000" w:rsidRPr="00000000">
        <w:rPr>
          <w:rFonts w:ascii="Times New Roman" w:cs="Times New Roman" w:eastAsia="Times New Roman" w:hAnsi="Times New Roman"/>
          <w:b w:val="1"/>
          <w:bCs w:val="1"/>
          <w:color w:val="434343"/>
          <w:sz w:val="24"/>
          <w:szCs w:val="24"/>
          <w:rtl w:val="0"/>
        </w:rPr>
        <w:t xml:space="preserve">no debe firmarse un contrato largo de alquiler sin prememoria técnica</w:t>
      </w:r>
      <w:r w:rsidDel="00000000" w:rsidR="00000000" w:rsidRPr="00000000">
        <w:rPr>
          <w:rFonts w:ascii="Times New Roman" w:cs="Times New Roman" w:eastAsia="Times New Roman" w:hAnsi="Times New Roman"/>
          <w:color w:val="434343"/>
          <w:sz w:val="24"/>
          <w:szCs w:val="24"/>
          <w:rtl w:val="0"/>
        </w:rPr>
        <w:t xml:space="preserve">. En España, la actividad de taller puede entrar en regímenes municipales distintos según potencia, emisiones, ruido, almacenamiento y naturaleza de la actividad. La figura de declaración responsable existe para determinadas aperturas, pero en actividades con maquinaria, polvo, ruido o condiciones industriales es frecuente que la tramitación exija proyecto técnico y una revisión más exigente del encaje urbanístico y ambiental. citeturn40search6</w:t>
      </w:r>
    </w:p>
    <w:p w:rsidR="00000000" w:rsidDel="00000000" w:rsidP="00000000" w:rsidRDefault="00000000" w:rsidRPr="00000000" w14:paraId="0000005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En materia de incendios, un taller de madera no debe tratarse como una simple oficina creativa. El marco general español distingue entre edificios ordinarios y </w:t>
      </w:r>
      <w:r w:rsidDel="00000000" w:rsidR="00000000" w:rsidRPr="00000000">
        <w:rPr>
          <w:rFonts w:ascii="Times New Roman" w:cs="Times New Roman" w:eastAsia="Times New Roman" w:hAnsi="Times New Roman"/>
          <w:b w:val="1"/>
          <w:bCs w:val="1"/>
          <w:color w:val="434343"/>
          <w:sz w:val="24"/>
          <w:szCs w:val="24"/>
          <w:rtl w:val="0"/>
        </w:rPr>
        <w:t xml:space="preserve">establecimientos industriales</w:t>
      </w:r>
      <w:r w:rsidDel="00000000" w:rsidR="00000000" w:rsidRPr="00000000">
        <w:rPr>
          <w:rFonts w:ascii="Times New Roman" w:cs="Times New Roman" w:eastAsia="Times New Roman" w:hAnsi="Times New Roman"/>
          <w:color w:val="434343"/>
          <w:sz w:val="24"/>
          <w:szCs w:val="24"/>
          <w:rtl w:val="0"/>
        </w:rPr>
        <w:t xml:space="preserve">; estos últimos se rigen por el Reglamento de seguridad contra incendios en los establecimientos industriales, mientras que el CTE DB-SI sigue siendo referencia en el entorno edificatorio general y en usos no estrictamente industriales. En la práctica, esto obliga a pensar desde el inicio en sectorización, evacuación, carga de fuego, extintores, señalización, detección y, en determinados casos, control de humos. citeturn40search1turn40search4</w:t>
      </w:r>
    </w:p>
    <w:p w:rsidR="00000000" w:rsidDel="00000000" w:rsidP="00000000" w:rsidRDefault="00000000" w:rsidRPr="00000000" w14:paraId="0000005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electricidad es otro punto crítico. El REBT establece el marco técnico de baja tensión, y las instalaciones industriales con proyecto, potencia elevada o especial riesgo pueden requerir inspección inicial y, después, periódica. Para un taller de madera esto no es un detalle menor: maquinaria trifásica, aspiración centralizada, compresores, climatización e iluminación técnica pueden elevar con rapidez la potencia instalada y la complejidad del cuadro eléctrico. citeturn40search3</w:t>
      </w:r>
    </w:p>
    <w:p w:rsidR="00000000" w:rsidDel="00000000" w:rsidP="00000000" w:rsidRDefault="00000000" w:rsidRPr="00000000" w14:paraId="0000005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Además, la madera y su polvo fino introducen una dimensión específica de seguridad. En el marco preventivo español, los riesgos de incendio y, en ciertos supuestos, de atmósferas explosivas, obligan a tratar con mucha seriedad el diseño de extracción, la limpieza, el almacenamiento de serrín y el control de focos de ignición. Aunque la definición exacta de zonas y medidas debe hacerla un técnico competente sobre el local concreto, el proyecto debe asumir desde el minuto cero una </w:t>
      </w:r>
      <w:r w:rsidDel="00000000" w:rsidR="00000000" w:rsidRPr="00000000">
        <w:rPr>
          <w:rFonts w:ascii="Times New Roman" w:cs="Times New Roman" w:eastAsia="Times New Roman" w:hAnsi="Times New Roman"/>
          <w:b w:val="1"/>
          <w:bCs w:val="1"/>
          <w:color w:val="434343"/>
          <w:sz w:val="24"/>
          <w:szCs w:val="24"/>
          <w:rtl w:val="0"/>
        </w:rPr>
        <w:t xml:space="preserve">red de aspiración eficaz, protocolos de limpieza, separación de residuos y acceso supervisado por competencia de máquina</w:t>
      </w:r>
      <w:r w:rsidDel="00000000" w:rsidR="00000000" w:rsidRPr="00000000">
        <w:rPr>
          <w:rFonts w:ascii="Times New Roman" w:cs="Times New Roman" w:eastAsia="Times New Roman" w:hAnsi="Times New Roman"/>
          <w:color w:val="434343"/>
          <w:sz w:val="24"/>
          <w:szCs w:val="24"/>
          <w:rtl w:val="0"/>
        </w:rPr>
        <w:t xml:space="preserve">. citeturn40search7turn40search3</w:t>
      </w:r>
    </w:p>
    <w:p w:rsidR="00000000" w:rsidDel="00000000" w:rsidP="00000000" w:rsidRDefault="00000000" w:rsidRPr="00000000" w14:paraId="0000005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acústica también será determinante, aunque la exigencia concreta dependerá del local y de su entorno. Un taller urbano o próximo a residencial exige estudio acústico y probablemente medidas de encapsulado, horarios, amortiguación de vibración y sectorización entre sala de máquinas y aula. Operativamente, esto refuerza la recomendación de buscar </w:t>
      </w:r>
      <w:r w:rsidDel="00000000" w:rsidR="00000000" w:rsidRPr="00000000">
        <w:rPr>
          <w:rFonts w:ascii="Times New Roman" w:cs="Times New Roman" w:eastAsia="Times New Roman" w:hAnsi="Times New Roman"/>
          <w:b w:val="1"/>
          <w:bCs w:val="1"/>
          <w:color w:val="434343"/>
          <w:sz w:val="24"/>
          <w:szCs w:val="24"/>
          <w:rtl w:val="0"/>
        </w:rPr>
        <w:t xml:space="preserve">nave o local en trama productiva ligera/periférica</w:t>
      </w:r>
      <w:r w:rsidDel="00000000" w:rsidR="00000000" w:rsidRPr="00000000">
        <w:rPr>
          <w:rFonts w:ascii="Times New Roman" w:cs="Times New Roman" w:eastAsia="Times New Roman" w:hAnsi="Times New Roman"/>
          <w:color w:val="434343"/>
          <w:sz w:val="24"/>
          <w:szCs w:val="24"/>
          <w:rtl w:val="0"/>
        </w:rPr>
        <w:t xml:space="preserve">, no un bajo bonito en zona residencial consolidada. Esta es una conclusión técnica de prudencia; debe cerrarse con informe local específico antes de alquilar. citeturn40search6turn40search4</w:t>
      </w:r>
    </w:p>
    <w:p w:rsidR="00000000" w:rsidDel="00000000" w:rsidP="00000000" w:rsidRDefault="00000000" w:rsidRPr="00000000" w14:paraId="00000058">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Lista mínima de due diligence técnica antes de alquilar</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6.9306242082519"/>
        <w:gridCol w:w="4175.841426761718"/>
        <w:gridCol w:w="3022.739760053653"/>
        <w:tblGridChange w:id="0">
          <w:tblGrid>
            <w:gridCol w:w="1826.9306242082519"/>
            <w:gridCol w:w="4175.841426761718"/>
            <w:gridCol w:w="3022.739760053653"/>
          </w:tblGrid>
        </w:tblGridChange>
      </w:tblGrid>
      <w:tr>
        <w:trPr>
          <w:cantSplit w:val="0"/>
          <w:trHeight w:val="81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Punto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Pregunta de control</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Riesgo si falla</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Encaje urbanístico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uso taller/industrial ligero es compatible con el emplazamiento?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Cierre o imposibilidad de licencia</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Potencia y acometida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¿Se puede instalar potencia suficiente sin sobrecoste desproporcionado?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Retraso, CAPEX extra, limitación de maquinaria</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Extracción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¿Hay recorrido viable para red de aspiración y evacuación conforme?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Riesgo de seguridad y explotación ineficiente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Incendios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¿Se puede adaptar evacuación, sectorización y PCI al uso previsto?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Imposibilidad legal o coste excesivo</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Acústica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entorno tolera ruido/vibración con medidas razonables?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Conflictos vecinales y restricciones horarias</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Altura y accesos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nave permite ductos, almacenamiento y entrada/salida de tableros?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Mala operativa diaria</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Residuos y limpieza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¿Existe solución para serrín, recortes y residuos?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Coste oculto y mala seguridad</w:t>
            </w:r>
          </w:p>
        </w:tc>
      </w:tr>
    </w:tbl>
    <w:p w:rsidR="00000000" w:rsidDel="00000000" w:rsidP="00000000" w:rsidRDefault="00000000" w:rsidRPr="00000000" w14:paraId="00000071">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CAPEX, OPEX y sensibilidad financiera</w:t>
      </w:r>
    </w:p>
    <w:p w:rsidR="00000000" w:rsidDel="00000000" w:rsidP="00000000" w:rsidRDefault="00000000" w:rsidRPr="00000000" w14:paraId="0000007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Dado que el usuario pidió estimaciones justificadas cuando no hubiera dato local cerrado, lo más honesto es modelar tres capas: </w:t>
      </w:r>
      <w:r w:rsidDel="00000000" w:rsidR="00000000" w:rsidRPr="00000000">
        <w:rPr>
          <w:rFonts w:ascii="Times New Roman" w:cs="Times New Roman" w:eastAsia="Times New Roman" w:hAnsi="Times New Roman"/>
          <w:b w:val="1"/>
          <w:bCs w:val="1"/>
          <w:color w:val="434343"/>
          <w:sz w:val="24"/>
          <w:szCs w:val="24"/>
          <w:rtl w:val="0"/>
        </w:rPr>
        <w:t xml:space="preserve">supuestos operativos</w:t>
      </w: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Fonts w:ascii="Times New Roman" w:cs="Times New Roman" w:eastAsia="Times New Roman" w:hAnsi="Times New Roman"/>
          <w:b w:val="1"/>
          <w:bCs w:val="1"/>
          <w:color w:val="434343"/>
          <w:sz w:val="24"/>
          <w:szCs w:val="24"/>
          <w:rtl w:val="0"/>
        </w:rPr>
        <w:t xml:space="preserve">presupuesto orientativo</w:t>
      </w:r>
      <w:r w:rsidDel="00000000" w:rsidR="00000000" w:rsidRPr="00000000">
        <w:rPr>
          <w:rFonts w:ascii="Times New Roman" w:cs="Times New Roman" w:eastAsia="Times New Roman" w:hAnsi="Times New Roman"/>
          <w:color w:val="434343"/>
          <w:sz w:val="24"/>
          <w:szCs w:val="24"/>
          <w:rtl w:val="0"/>
        </w:rPr>
        <w:t xml:space="preserve"> y </w:t>
      </w:r>
      <w:r w:rsidDel="00000000" w:rsidR="00000000" w:rsidRPr="00000000">
        <w:rPr>
          <w:rFonts w:ascii="Times New Roman" w:cs="Times New Roman" w:eastAsia="Times New Roman" w:hAnsi="Times New Roman"/>
          <w:b w:val="1"/>
          <w:bCs w:val="1"/>
          <w:color w:val="434343"/>
          <w:sz w:val="24"/>
          <w:szCs w:val="24"/>
          <w:rtl w:val="0"/>
        </w:rPr>
        <w:t xml:space="preserve">sensibilidad</w:t>
      </w:r>
      <w:r w:rsidDel="00000000" w:rsidR="00000000" w:rsidRPr="00000000">
        <w:rPr>
          <w:rFonts w:ascii="Times New Roman" w:cs="Times New Roman" w:eastAsia="Times New Roman" w:hAnsi="Times New Roman"/>
          <w:color w:val="434343"/>
          <w:sz w:val="24"/>
          <w:szCs w:val="24"/>
          <w:rtl w:val="0"/>
        </w:rPr>
        <w:t xml:space="preserve">. El supuesto de referencia que mejor equilibra riesgo y funcionabilidad es un local de </w:t>
      </w:r>
      <w:r w:rsidDel="00000000" w:rsidR="00000000" w:rsidRPr="00000000">
        <w:rPr>
          <w:rFonts w:ascii="Times New Roman" w:cs="Times New Roman" w:eastAsia="Times New Roman" w:hAnsi="Times New Roman"/>
          <w:b w:val="1"/>
          <w:bCs w:val="1"/>
          <w:color w:val="434343"/>
          <w:sz w:val="24"/>
          <w:szCs w:val="24"/>
          <w:rtl w:val="0"/>
        </w:rPr>
        <w:t xml:space="preserve">300 a 350 m²</w:t>
      </w:r>
      <w:r w:rsidDel="00000000" w:rsidR="00000000" w:rsidRPr="00000000">
        <w:rPr>
          <w:rFonts w:ascii="Times New Roman" w:cs="Times New Roman" w:eastAsia="Times New Roman" w:hAnsi="Times New Roman"/>
          <w:color w:val="434343"/>
          <w:sz w:val="24"/>
          <w:szCs w:val="24"/>
          <w:rtl w:val="0"/>
        </w:rPr>
        <w:t xml:space="preserve"> en entorno productivo ligero, con una sala principal de máquinas, zona de banco fino, aula polivalente, almacenamiento, pequeña recepción/showroom y sin cabina de acabados complejos en la fase inicial.</w:t>
      </w:r>
    </w:p>
    <w:p w:rsidR="00000000" w:rsidDel="00000000" w:rsidP="00000000" w:rsidRDefault="00000000" w:rsidRPr="00000000" w14:paraId="00000073">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Presupuesto orientativo de arranque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83.4065478657285"/>
        <w:gridCol w:w="1400.3398259428102"/>
        <w:gridCol w:w="1741.7654372150853"/>
        <w:tblGridChange w:id="0">
          <w:tblGrid>
            <w:gridCol w:w="5883.4065478657285"/>
            <w:gridCol w:w="1400.3398259428102"/>
            <w:gridCol w:w="1741.7654372150853"/>
          </w:tblGrid>
        </w:tblGridChange>
      </w:tblGrid>
      <w:tr>
        <w:trPr>
          <w:cantSplit w:val="0"/>
          <w:trHeight w:val="81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Concepto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Fase lean</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Fase robusta</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Fianza, honorarios, trámites y proyecto técnico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8.000 €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18.000 €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Obra ligera, sectorización básica y acondicionamiento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12.000 €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35.000 €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Extracción de polvo y red de aspiración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18.000 €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45.000 €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Electricidad, cuadro, líneas y adecuación de potencia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8.000 €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25.000 €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PCI, señalización, emergencia y seguridad básica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5.000 €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15.000 €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Maquinaria principal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25.000 €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70.000 €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Bancos, herramientas manuales, almacenaje y compresor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7.000 €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18.000 €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Software, web, TPV, apertura y marketing inicial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4.000 €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10.000 €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Contingencia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8.000 €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20.000 €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Total estimado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95.000 €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256.000 €</w:t>
            </w:r>
          </w:p>
        </w:tc>
      </w:tr>
    </w:tbl>
    <w:p w:rsidR="00000000" w:rsidDel="00000000" w:rsidP="00000000" w:rsidRDefault="00000000" w:rsidRPr="00000000" w14:paraId="0000009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lectura correcta de esta tabla no es que “haya que gastar 256.000 €”, sino que un taller de madera serio puede volverse muy caro muy rápido si se entra desde el principio en adecuaciones completas, maquinaria nueva y acabados complejos. La opción estratégicamente más sana para Zaragoza es un lanzamiento más cercano al rango </w:t>
      </w:r>
      <w:r w:rsidDel="00000000" w:rsidR="00000000" w:rsidRPr="00000000">
        <w:rPr>
          <w:rFonts w:ascii="Times New Roman" w:cs="Times New Roman" w:eastAsia="Times New Roman" w:hAnsi="Times New Roman"/>
          <w:b w:val="1"/>
          <w:bCs w:val="1"/>
          <w:color w:val="434343"/>
          <w:sz w:val="24"/>
          <w:szCs w:val="24"/>
          <w:rtl w:val="0"/>
        </w:rPr>
        <w:t xml:space="preserve">80.000–120.000 €</w:t>
      </w:r>
      <w:r w:rsidDel="00000000" w:rsidR="00000000" w:rsidRPr="00000000">
        <w:rPr>
          <w:rFonts w:ascii="Times New Roman" w:cs="Times New Roman" w:eastAsia="Times New Roman" w:hAnsi="Times New Roman"/>
          <w:color w:val="434343"/>
          <w:sz w:val="24"/>
          <w:szCs w:val="24"/>
          <w:rtl w:val="0"/>
        </w:rPr>
        <w:t xml:space="preserve">, usando equipamiento mix nuevo/usado profesional, limitando procesos críticos de acabado y reservando la ampliación para después de validar demanda. Este planteamiento está alineado con la necesidad de controlar riesgos técnicos y de licencia. citeturn40search1turn40search3turn40search6</w:t>
      </w:r>
    </w:p>
    <w:p w:rsidR="00000000" w:rsidDel="00000000" w:rsidP="00000000" w:rsidRDefault="00000000" w:rsidRPr="00000000" w14:paraId="00000096">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OPEX mensual orientativo</w:t>
      </w:r>
    </w:p>
    <w:tbl>
      <w:tblPr>
        <w:tblStyle w:val="Table5"/>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
        <w:gridCol w:w="2255"/>
        <w:tblGridChange w:id="0">
          <w:tblGrid>
            <w:gridCol w:w="4220"/>
            <w:gridCol w:w="2255"/>
          </w:tblGrid>
        </w:tblGridChange>
      </w:tblGrid>
      <w:tr>
        <w:trPr>
          <w:cantSplit w:val="0"/>
          <w:trHeight w:val="81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Concepto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Rango mensual</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Alquiler del local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2.000 € – 4.500 €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Personal mínimo operativo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4.500 € – 7.500 €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Electricidad, climatización y consumos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700 € – 1.800 €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Seguro, gestoría y software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300 € – 800 €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Mantenimiento y consumibles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500 € – 1.500 €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Limpieza, residuos y pequeña logística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300 € – 900 €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Marketing y comunidad</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300 € – 1.000 €</w:t>
            </w:r>
          </w:p>
        </w:tc>
      </w:tr>
      <w:tr>
        <w:trPr>
          <w:cantSplit w:val="0"/>
          <w:trHeight w:val="81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Total OPEX</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8.600 € – 18.000 €</w:t>
            </w:r>
          </w:p>
        </w:tc>
      </w:tr>
    </w:tbl>
    <w:p w:rsidR="00000000" w:rsidDel="00000000" w:rsidP="00000000" w:rsidRDefault="00000000" w:rsidRPr="00000000" w14:paraId="000000A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Estos importes son </w:t>
      </w:r>
      <w:r w:rsidDel="00000000" w:rsidR="00000000" w:rsidRPr="00000000">
        <w:rPr>
          <w:rFonts w:ascii="Times New Roman" w:cs="Times New Roman" w:eastAsia="Times New Roman" w:hAnsi="Times New Roman"/>
          <w:b w:val="1"/>
          <w:bCs w:val="1"/>
          <w:color w:val="434343"/>
          <w:sz w:val="24"/>
          <w:szCs w:val="24"/>
          <w:rtl w:val="0"/>
        </w:rPr>
        <w:t xml:space="preserve">supuestos de modelización</w:t>
      </w:r>
      <w:r w:rsidDel="00000000" w:rsidR="00000000" w:rsidRPr="00000000">
        <w:rPr>
          <w:rFonts w:ascii="Times New Roman" w:cs="Times New Roman" w:eastAsia="Times New Roman" w:hAnsi="Times New Roman"/>
          <w:color w:val="434343"/>
          <w:sz w:val="24"/>
          <w:szCs w:val="24"/>
          <w:rtl w:val="0"/>
        </w:rPr>
        <w:t xml:space="preserve"> y no deben leerse como precios de mercado verificados localmente en esta revisión; sirven para tomar decisiones de umbral. El mensaje de fondo sí es robusto: el componente de personal y local marca la mayor parte del coste fijo, y por eso el formato “taller abierto muchas horas con poca supervisión” es financieramente peor que el modelo con franjas, cursos y producción tutelada.</w:t>
      </w:r>
    </w:p>
    <w:p w:rsidR="00000000" w:rsidDel="00000000" w:rsidP="00000000" w:rsidRDefault="00000000" w:rsidRPr="00000000" w14:paraId="000000AA">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Escenarios financieros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2.290922073028"/>
        <w:gridCol w:w="2719.020686645908"/>
        <w:gridCol w:w="1668.6966421388765"/>
        <w:gridCol w:w="1423.16634602035"/>
        <w:gridCol w:w="1682.3372141454613"/>
        <w:tblGridChange w:id="0">
          <w:tblGrid>
            <w:gridCol w:w="1532.290922073028"/>
            <w:gridCol w:w="2719.020686645908"/>
            <w:gridCol w:w="1668.6966421388765"/>
            <w:gridCol w:w="1423.16634602035"/>
            <w:gridCol w:w="1682.3372141454613"/>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Escenario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Supuesto de tracción</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Ingresos mensuales</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OPEX mensual</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Resultado operativo</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Conservador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Comunidad inicial pequeña, 1 curso/mes, poco B2B</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7.000 €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10.500 €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-3.500 €</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Realista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Comunidad media, 2 cursos/mes, 1-2 acuerdos B2B</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11.400 €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10.500 €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+900 €</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Optimista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Comunidad consolidada, 4 cursos/mes, B2B activo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15.600 €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11.500 €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+4.100 €</w:t>
            </w:r>
          </w:p>
        </w:tc>
      </w:tr>
    </w:tbl>
    <w:p w:rsidR="00000000" w:rsidDel="00000000" w:rsidP="00000000" w:rsidRDefault="00000000" w:rsidRPr="00000000" w14:paraId="000000B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lección de esta sensibilidad es muy clara. El proyecto no fracasa por falta total de ingresos; fracasa si tarda demasiado en activar la segunda y tercera palanca de monetización. Un espacio que depende solo de cuotas necesita demasiada ocupación para cubrir costes. En cambio, un taller que firma encargos con ACOMZA/comercios, organiza formación recurrente y monetiza showroom/prototipos puede acercarse al equilibrio con una comunidad menor. Esa conclusión es consistente con la evidencia local de programas sectoriales público-privados. citeturn13view0</w:t>
      </w:r>
    </w:p>
    <w:p w:rsidR="00000000" w:rsidDel="00000000" w:rsidP="00000000" w:rsidRDefault="00000000" w:rsidRPr="00000000" w14:paraId="000000C0">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Reglas de decisión financiera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4022702998088"/>
        <w:gridCol w:w="4005.0115502123754"/>
        <w:gridCol w:w="3165.097990511439"/>
        <w:tblGridChange w:id="0">
          <w:tblGrid>
            <w:gridCol w:w="1855.4022702998088"/>
            <w:gridCol w:w="4005.0115502123754"/>
            <w:gridCol w:w="3165.097990511439"/>
          </w:tblGrid>
        </w:tblGridChange>
      </w:tblGrid>
      <w:tr>
        <w:trPr>
          <w:cantSplit w:val="0"/>
          <w:trHeight w:val="81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Regla</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Umbral recomendado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Interpretación</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CAPEX inicial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No superar 120.000 € en fase 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Si se rebasa, el riesgo antes de validar es alto</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Alquiler</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Evitar rentas que lleven el OPEX por encima de 11.000 € en fase 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break-even se vuelve exigente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Ingreso no-membresía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 menos 35% desde el mes 6</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Sin cursos/B2B, el modelo queda cojo</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Caja inicial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6 a 9 meses de pista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Taller + normativa + comunidad tardan en madurar</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Punto de no retorno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Si no hay prepagos, convenios y lista de espera antes de firmar nave grande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Mejor seguir en piloto pop-up</w:t>
            </w:r>
          </w:p>
        </w:tc>
      </w:tr>
    </w:tbl>
    <w:p w:rsidR="00000000" w:rsidDel="00000000" w:rsidP="00000000" w:rsidRDefault="00000000" w:rsidRPr="00000000" w14:paraId="000000D3">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Plan mínimo viable de validación y cronograma</w:t>
      </w:r>
    </w:p>
    <w:p w:rsidR="00000000" w:rsidDel="00000000" w:rsidP="00000000" w:rsidRDefault="00000000" w:rsidRPr="00000000" w14:paraId="000000D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mejor forma de validar este proyecto no es empezar alquilando una nave grande, sino construir evidencia en capas. El objetivo del primer año no debe ser “abrir a lo grande”, sino verificar cuatro hipótesis: que la gente </w:t>
      </w:r>
      <w:r w:rsidDel="00000000" w:rsidR="00000000" w:rsidRPr="00000000">
        <w:rPr>
          <w:rFonts w:ascii="Times New Roman" w:cs="Times New Roman" w:eastAsia="Times New Roman" w:hAnsi="Times New Roman"/>
          <w:b w:val="1"/>
          <w:bCs w:val="1"/>
          <w:color w:val="434343"/>
          <w:sz w:val="24"/>
          <w:szCs w:val="24"/>
          <w:rtl w:val="0"/>
        </w:rPr>
        <w:t xml:space="preserve">quiere usar</w:t>
      </w:r>
      <w:r w:rsidDel="00000000" w:rsidR="00000000" w:rsidRPr="00000000">
        <w:rPr>
          <w:rFonts w:ascii="Times New Roman" w:cs="Times New Roman" w:eastAsia="Times New Roman" w:hAnsi="Times New Roman"/>
          <w:color w:val="434343"/>
          <w:sz w:val="24"/>
          <w:szCs w:val="24"/>
          <w:rtl w:val="0"/>
        </w:rPr>
        <w:t xml:space="preserve">, que </w:t>
      </w:r>
      <w:r w:rsidDel="00000000" w:rsidR="00000000" w:rsidRPr="00000000">
        <w:rPr>
          <w:rFonts w:ascii="Times New Roman" w:cs="Times New Roman" w:eastAsia="Times New Roman" w:hAnsi="Times New Roman"/>
          <w:b w:val="1"/>
          <w:bCs w:val="1"/>
          <w:color w:val="434343"/>
          <w:sz w:val="24"/>
          <w:szCs w:val="24"/>
          <w:rtl w:val="0"/>
        </w:rPr>
        <w:t xml:space="preserve">paga</w:t>
      </w:r>
      <w:r w:rsidDel="00000000" w:rsidR="00000000" w:rsidRPr="00000000">
        <w:rPr>
          <w:rFonts w:ascii="Times New Roman" w:cs="Times New Roman" w:eastAsia="Times New Roman" w:hAnsi="Times New Roman"/>
          <w:color w:val="434343"/>
          <w:sz w:val="24"/>
          <w:szCs w:val="24"/>
          <w:rtl w:val="0"/>
        </w:rPr>
        <w:t xml:space="preserve">, que las empresas </w:t>
      </w:r>
      <w:r w:rsidDel="00000000" w:rsidR="00000000" w:rsidRPr="00000000">
        <w:rPr>
          <w:rFonts w:ascii="Times New Roman" w:cs="Times New Roman" w:eastAsia="Times New Roman" w:hAnsi="Times New Roman"/>
          <w:b w:val="1"/>
          <w:bCs w:val="1"/>
          <w:color w:val="434343"/>
          <w:sz w:val="24"/>
          <w:szCs w:val="24"/>
          <w:rtl w:val="0"/>
        </w:rPr>
        <w:t xml:space="preserve">encargan</w:t>
      </w:r>
      <w:r w:rsidDel="00000000" w:rsidR="00000000" w:rsidRPr="00000000">
        <w:rPr>
          <w:rFonts w:ascii="Times New Roman" w:cs="Times New Roman" w:eastAsia="Times New Roman" w:hAnsi="Times New Roman"/>
          <w:color w:val="434343"/>
          <w:sz w:val="24"/>
          <w:szCs w:val="24"/>
          <w:rtl w:val="0"/>
        </w:rPr>
        <w:t xml:space="preserve">, y que la operativa es </w:t>
      </w:r>
      <w:r w:rsidDel="00000000" w:rsidR="00000000" w:rsidRPr="00000000">
        <w:rPr>
          <w:rFonts w:ascii="Times New Roman" w:cs="Times New Roman" w:eastAsia="Times New Roman" w:hAnsi="Times New Roman"/>
          <w:b w:val="1"/>
          <w:bCs w:val="1"/>
          <w:color w:val="434343"/>
          <w:sz w:val="24"/>
          <w:szCs w:val="24"/>
          <w:rtl w:val="0"/>
        </w:rPr>
        <w:t xml:space="preserve">legalizable</w:t>
      </w:r>
      <w:r w:rsidDel="00000000" w:rsidR="00000000" w:rsidRPr="00000000">
        <w:rPr>
          <w:rFonts w:ascii="Times New Roman" w:cs="Times New Roman" w:eastAsia="Times New Roman" w:hAnsi="Times New Roman"/>
          <w:color w:val="434343"/>
          <w:sz w:val="24"/>
          <w:szCs w:val="24"/>
          <w:rtl w:val="0"/>
        </w:rPr>
        <w:t xml:space="preserve"> a coste razonable.</w:t>
      </w:r>
    </w:p>
    <w:p w:rsidR="00000000" w:rsidDel="00000000" w:rsidP="00000000" w:rsidRDefault="00000000" w:rsidRPr="00000000" w14:paraId="000000D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flowchart LR</w:t>
      </w:r>
    </w:p>
    <w:p w:rsidR="00000000" w:rsidDel="00000000" w:rsidP="00000000" w:rsidRDefault="00000000" w:rsidRPr="00000000" w14:paraId="000000D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    A[Entrevistas y preventa] --&gt; B[Pop-ups y talleres piloto]</w:t>
      </w:r>
    </w:p>
    <w:p w:rsidR="00000000" w:rsidDel="00000000" w:rsidP="00000000" w:rsidRDefault="00000000" w:rsidRPr="00000000" w14:paraId="000000D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    B --&gt; C[Bonos de uso y comunidad beta]</w:t>
      </w:r>
    </w:p>
    <w:p w:rsidR="00000000" w:rsidDel="00000000" w:rsidP="00000000" w:rsidRDefault="00000000" w:rsidRPr="00000000" w14:paraId="000000D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    C --&gt; D[Pruebas B2B con ACOMZA comercios interiorismo]</w:t>
      </w:r>
    </w:p>
    <w:p w:rsidR="00000000" w:rsidDel="00000000" w:rsidP="00000000" w:rsidRDefault="00000000" w:rsidRPr="00000000" w14:paraId="000000D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    D --&gt; E[Prememoria técnica y búsqueda de local]</w:t>
      </w:r>
    </w:p>
    <w:p w:rsidR="00000000" w:rsidDel="00000000" w:rsidP="00000000" w:rsidRDefault="00000000" w:rsidRPr="00000000" w14:paraId="000000D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    E --&gt; F[Soft opening fase 1]</w:t>
      </w:r>
    </w:p>
    <w:p w:rsidR="00000000" w:rsidDel="00000000" w:rsidP="00000000" w:rsidRDefault="00000000" w:rsidRPr="00000000" w14:paraId="000000D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    F --&gt; G[Escalado de maquinaria y servicios]</w:t>
      </w:r>
    </w:p>
    <w:p w:rsidR="00000000" w:rsidDel="00000000" w:rsidP="00000000" w:rsidRDefault="00000000" w:rsidRPr="00000000" w14:paraId="000000DC">
      <w:pP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Experimentos mínimos recomendados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0753290315247"/>
        <w:gridCol w:w="3356.0567383950656"/>
        <w:gridCol w:w="2615.9554604410914"/>
        <w:gridCol w:w="2043.4242831559416"/>
        <w:tblGridChange w:id="0">
          <w:tblGrid>
            <w:gridCol w:w="1010.0753290315247"/>
            <w:gridCol w:w="3356.0567383950656"/>
            <w:gridCol w:w="2615.9554604410914"/>
            <w:gridCol w:w="2043.4242831559416"/>
          </w:tblGrid>
        </w:tblGridChange>
      </w:tblGrid>
      <w:tr>
        <w:trPr>
          <w:cantSplit w:val="0"/>
          <w:trHeight w:val="81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Mes</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Experimento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Métrica principal</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Meta</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M1-M2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40 entrevistas estructuradas con 5 segmentos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 con problema real y disposición a pago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&gt;35% con interés fuerte</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M2-M3</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3 talleres pop-up de fin de semana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Plazas vendidas / asistencia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&gt;80% ocupación</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M3-M4</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Lanzamiento de lista de espera y bonos fundadores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Preventas cobradas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30 bonos o 6.000 €</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M4-M5</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Piloto B2B con 3 comercios/estudios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Tickets emitidos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3 clientes reales</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M5-M6</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Programa alumni/egresados con socio formativo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Conversión a pago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&gt;20%</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M6-M7</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Prememoria técnica sobre 2-3 locales potenciales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CAPEX estimado por local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elegir uno &lt;120.000 € fase 1</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M7-M9</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Comunidad beta en espacio temporal o compartido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Retención mensual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&gt;60%</w:t>
            </w:r>
          </w:p>
        </w:tc>
      </w:tr>
      <w:tr>
        <w:trPr>
          <w:cantSplit w:val="0"/>
          <w:trHeight w:val="117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M9-M12</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Soft opening de fase 1</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Ingreso mensual recurrente</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&gt;9.000 € al mes 12</w:t>
            </w:r>
          </w:p>
        </w:tc>
      </w:tr>
    </w:tbl>
    <w:p w:rsidR="00000000" w:rsidDel="00000000" w:rsidP="00000000" w:rsidRDefault="00000000" w:rsidRPr="00000000" w14:paraId="0000010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criterio decisivo no es solo número de leads, sino </w:t>
      </w:r>
      <w:r w:rsidDel="00000000" w:rsidR="00000000" w:rsidRPr="00000000">
        <w:rPr>
          <w:rFonts w:ascii="Times New Roman" w:cs="Times New Roman" w:eastAsia="Times New Roman" w:hAnsi="Times New Roman"/>
          <w:b w:val="1"/>
          <w:bCs w:val="1"/>
          <w:color w:val="434343"/>
          <w:sz w:val="24"/>
          <w:szCs w:val="24"/>
          <w:rtl w:val="0"/>
        </w:rPr>
        <w:t xml:space="preserve">comportamiento económico</w:t>
      </w:r>
      <w:r w:rsidDel="00000000" w:rsidR="00000000" w:rsidRPr="00000000">
        <w:rPr>
          <w:rFonts w:ascii="Times New Roman" w:cs="Times New Roman" w:eastAsia="Times New Roman" w:hAnsi="Times New Roman"/>
          <w:color w:val="434343"/>
          <w:sz w:val="24"/>
          <w:szCs w:val="24"/>
          <w:rtl w:val="0"/>
        </w:rPr>
        <w:t xml:space="preserve">. Si en seis meses no aparecen preventas, cursos con buena ocupación y al menos algunos clientes B2B, el mercado puede existir “socialmente”, pero no económicamente. En cambio, si el proyecto vende formación y servicios antes incluso de tener la nave definitiva, la probabilidad de éxito aumenta mucho. Esta lógica encaja especialmente bien con el contexto zaragozano, donde ya hay ecosistema formativo y asociaciones empresariales activas. citeturn13view0turn10view0turn23news0</w:t>
      </w:r>
    </w:p>
    <w:p w:rsidR="00000000" w:rsidDel="00000000" w:rsidP="00000000" w:rsidRDefault="00000000" w:rsidRPr="00000000" w14:paraId="00000103">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Riesgos, contingencias y veredicto</w:t>
      </w:r>
    </w:p>
    <w:p w:rsidR="00000000" w:rsidDel="00000000" w:rsidP="00000000" w:rsidRDefault="00000000" w:rsidRPr="00000000" w14:paraId="00000104">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Matriz de riesgos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8.7892262837427"/>
        <w:gridCol w:w="1641.4154981257068"/>
        <w:gridCol w:w="1191.2766219084076"/>
        <w:gridCol w:w="2023.3515143100817"/>
        <w:gridCol w:w="2200.6789503956843"/>
        <w:tblGridChange w:id="0">
          <w:tblGrid>
            <w:gridCol w:w="1968.7892262837427"/>
            <w:gridCol w:w="1641.4154981257068"/>
            <w:gridCol w:w="1191.2766219084076"/>
            <w:gridCol w:w="2023.3515143100817"/>
            <w:gridCol w:w="2200.6789503956843"/>
          </w:tblGrid>
        </w:tblGridChange>
      </w:tblGrid>
      <w:tr>
        <w:trPr>
          <w:cantSplit w:val="0"/>
          <w:trHeight w:val="815" w:hRule="atLeast"/>
          <w:tblHeader w:val="0"/>
        </w:trPr>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Riesgo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Probabilidad</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Impacto</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Señal temprana</w:t>
            </w:r>
          </w:p>
        </w:tc>
        <w:tc>
          <w:tcPr>
            <w:tcBorders>
              <w:top w:color="000000" w:space="0" w:sz="0" w:val="nil"/>
              <w:left w:color="000000" w:space="0" w:sz="0" w:val="nil"/>
              <w:bottom w:color="5e5e5e"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Contingencia</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Sobrecoste técnico de adecuación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Prememoria supera 120.000 €</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Cambiar local, reducir alcance, retrasar fase 2</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Tracción insuficiente de membresías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Media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Menos de 20 preventas reales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Subir peso de cursos y B2B antes de abrir</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Problemas de licencia/encaje urbanístico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Media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Muy 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Dudas técnicas en visita inicial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No firmar sin informe técnico previo</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Exceso de ruido/conflicto vecinal</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Media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Entorno residencial o quejas tempranas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Ir a zona productiva, limitar horario y encapsular</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Accidente laboral o de usuario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Baja-media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Muy 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Procedimientos laxos</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Acceso por certificación de máquina, supervisión, seguro, formación</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Dependencia de subvención o convenio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Media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Media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Caja débil sin apoyo externo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Diseñar modelo rentable sin ayuda estructural</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Fatiga operativa del equipo</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Media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Todo depende de una sola persona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Manuales, reservas, horarios y profesor/a apoyo</w:t>
            </w:r>
          </w:p>
        </w:tc>
      </w:tr>
      <w:tr>
        <w:trPr>
          <w:cantSplit w:val="0"/>
          <w:trHeight w:val="1535" w:hRule="atLeast"/>
          <w:tblHeader w:val="0"/>
        </w:trPr>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Demanda “bonita” pero no pagadora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Alta</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Mucho interés en redes, poca conversión</w:t>
            </w:r>
          </w:p>
        </w:tc>
        <w:tc>
          <w:tcPr>
            <w:tcBorders>
              <w:top w:color="000000" w:space="0" w:sz="0" w:val="nil"/>
              <w:left w:color="000000" w:space="0" w:sz="0" w:val="nil"/>
              <w:bottom w:color="37383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Medir solo pagos, no likes</w:t>
            </w:r>
          </w:p>
        </w:tc>
      </w:tr>
    </w:tbl>
    <w:p w:rsidR="00000000" w:rsidDel="00000000" w:rsidP="00000000" w:rsidRDefault="00000000" w:rsidRPr="00000000" w14:paraId="00000132">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Veredicto accionable</w:t>
      </w:r>
    </w:p>
    <w:p w:rsidR="00000000" w:rsidDel="00000000" w:rsidP="00000000" w:rsidRDefault="00000000" w:rsidRPr="00000000" w14:paraId="00000133">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El proyecto </w:t>
      </w:r>
      <w:r w:rsidDel="00000000" w:rsidR="00000000" w:rsidRPr="00000000">
        <w:rPr>
          <w:rFonts w:ascii="Times New Roman" w:cs="Times New Roman" w:eastAsia="Times New Roman" w:hAnsi="Times New Roman"/>
          <w:b w:val="1"/>
          <w:bCs w:val="1"/>
          <w:color w:val="434343"/>
          <w:sz w:val="24"/>
          <w:szCs w:val="24"/>
          <w:rtl w:val="0"/>
        </w:rPr>
        <w:t xml:space="preserve">merece avanzar</w:t>
      </w:r>
      <w:r w:rsidDel="00000000" w:rsidR="00000000" w:rsidRPr="00000000">
        <w:rPr>
          <w:rFonts w:ascii="Times New Roman" w:cs="Times New Roman" w:eastAsia="Times New Roman" w:hAnsi="Times New Roman"/>
          <w:color w:val="434343"/>
          <w:sz w:val="24"/>
          <w:szCs w:val="24"/>
          <w:rtl w:val="0"/>
        </w:rPr>
        <w:t xml:space="preserve">, pero en una forma muy concreta: </w:t>
      </w:r>
      <w:r w:rsidDel="00000000" w:rsidR="00000000" w:rsidRPr="00000000">
        <w:rPr>
          <w:rFonts w:ascii="Times New Roman" w:cs="Times New Roman" w:eastAsia="Times New Roman" w:hAnsi="Times New Roman"/>
          <w:b w:val="1"/>
          <w:bCs w:val="1"/>
          <w:color w:val="434343"/>
          <w:sz w:val="24"/>
          <w:szCs w:val="24"/>
          <w:rtl w:val="0"/>
        </w:rPr>
        <w:t xml:space="preserve">no</w:t>
      </w:r>
      <w:r w:rsidDel="00000000" w:rsidR="00000000" w:rsidRPr="00000000">
        <w:rPr>
          <w:rFonts w:ascii="Times New Roman" w:cs="Times New Roman" w:eastAsia="Times New Roman" w:hAnsi="Times New Roman"/>
          <w:color w:val="434343"/>
          <w:sz w:val="24"/>
          <w:szCs w:val="24"/>
          <w:rtl w:val="0"/>
        </w:rPr>
        <w:t xml:space="preserve"> como coworking clásico, </w:t>
      </w:r>
      <w:r w:rsidDel="00000000" w:rsidR="00000000" w:rsidRPr="00000000">
        <w:rPr>
          <w:rFonts w:ascii="Times New Roman" w:cs="Times New Roman" w:eastAsia="Times New Roman" w:hAnsi="Times New Roman"/>
          <w:b w:val="1"/>
          <w:bCs w:val="1"/>
          <w:color w:val="434343"/>
          <w:sz w:val="24"/>
          <w:szCs w:val="24"/>
          <w:rtl w:val="0"/>
        </w:rPr>
        <w:t xml:space="preserve">sí</w:t>
      </w:r>
      <w:r w:rsidDel="00000000" w:rsidR="00000000" w:rsidRPr="00000000">
        <w:rPr>
          <w:rFonts w:ascii="Times New Roman" w:cs="Times New Roman" w:eastAsia="Times New Roman" w:hAnsi="Times New Roman"/>
          <w:color w:val="434343"/>
          <w:sz w:val="24"/>
          <w:szCs w:val="24"/>
          <w:rtl w:val="0"/>
        </w:rPr>
        <w:t xml:space="preserve"> como </w:t>
      </w:r>
      <w:r w:rsidDel="00000000" w:rsidR="00000000" w:rsidRPr="00000000">
        <w:rPr>
          <w:rFonts w:ascii="Times New Roman" w:cs="Times New Roman" w:eastAsia="Times New Roman" w:hAnsi="Times New Roman"/>
          <w:b w:val="1"/>
          <w:bCs w:val="1"/>
          <w:color w:val="434343"/>
          <w:sz w:val="24"/>
          <w:szCs w:val="24"/>
          <w:rtl w:val="0"/>
        </w:rPr>
        <w:t xml:space="preserve">taller compartido de madera con foco en formación, práctica, incubación y servicios B2B</w:t>
      </w:r>
      <w:r w:rsidDel="00000000" w:rsidR="00000000" w:rsidRPr="00000000">
        <w:rPr>
          <w:rFonts w:ascii="Times New Roman" w:cs="Times New Roman" w:eastAsia="Times New Roman" w:hAnsi="Times New Roman"/>
          <w:color w:val="434343"/>
          <w:sz w:val="24"/>
          <w:szCs w:val="24"/>
          <w:rtl w:val="0"/>
        </w:rPr>
        <w:t xml:space="preserve">. La razón principal es que Zaragoza ya muestra tres piezas del puzzle —formación pública, asociación sectorial y reactivación institucional de la artesanía— y, en lo revisado, no muestra aún un cuarto actor visible que conecte esas piezas en un espacio de producción flexible. citeturn11view0turn13view0turn24news0turn23news0</w:t>
      </w:r>
    </w:p>
    <w:p w:rsidR="00000000" w:rsidDel="00000000" w:rsidP="00000000" w:rsidRDefault="00000000" w:rsidRPr="00000000" w14:paraId="00000134">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 decisión óptima es un </w:t>
      </w:r>
      <w:r w:rsidDel="00000000" w:rsidR="00000000" w:rsidRPr="00000000">
        <w:rPr>
          <w:rFonts w:ascii="Times New Roman" w:cs="Times New Roman" w:eastAsia="Times New Roman" w:hAnsi="Times New Roman"/>
          <w:b w:val="1"/>
          <w:bCs w:val="1"/>
          <w:color w:val="434343"/>
          <w:sz w:val="24"/>
          <w:szCs w:val="24"/>
          <w:rtl w:val="0"/>
        </w:rPr>
        <w:t xml:space="preserve">go condicionado</w:t>
      </w:r>
      <w:r w:rsidDel="00000000" w:rsidR="00000000" w:rsidRPr="00000000">
        <w:rPr>
          <w:rFonts w:ascii="Times New Roman" w:cs="Times New Roman" w:eastAsia="Times New Roman" w:hAnsi="Times New Roman"/>
          <w:color w:val="434343"/>
          <w:sz w:val="24"/>
          <w:szCs w:val="24"/>
          <w:rtl w:val="0"/>
        </w:rPr>
        <w:t xml:space="preserve">. Se debe seguir adelante </w:t>
      </w:r>
      <w:r w:rsidDel="00000000" w:rsidR="00000000" w:rsidRPr="00000000">
        <w:rPr>
          <w:rFonts w:ascii="Times New Roman" w:cs="Times New Roman" w:eastAsia="Times New Roman" w:hAnsi="Times New Roman"/>
          <w:b w:val="1"/>
          <w:bCs w:val="1"/>
          <w:color w:val="434343"/>
          <w:sz w:val="24"/>
          <w:szCs w:val="24"/>
          <w:rtl w:val="0"/>
        </w:rPr>
        <w:t xml:space="preserve">solo si</w:t>
      </w:r>
      <w:r w:rsidDel="00000000" w:rsidR="00000000" w:rsidRPr="00000000">
        <w:rPr>
          <w:rFonts w:ascii="Times New Roman" w:cs="Times New Roman" w:eastAsia="Times New Roman" w:hAnsi="Times New Roman"/>
          <w:color w:val="434343"/>
          <w:sz w:val="24"/>
          <w:szCs w:val="24"/>
          <w:rtl w:val="0"/>
        </w:rPr>
        <w:t xml:space="preserve"> se cumplen cinco requisitos antes de comprometer una nave definitiva: prememoria técnica favorable, preventas por al menos 6.000 €, un mínimo de 20-30 usuarios beta interesados de verdad, dos acuerdos sectoriales o comerciales prefirmados, y un CAPEX de fase 1 contenido en torno al rango lean. Si uno o varios de esos hitos fallan, la alternativa correcta no es forzar la apertura, sino mantener el proyecto en formato piloto itinerante o compartido hasta conseguir evidencia mejor. Esa disciplina es exactamente la que pide el documento base: decidir con pruebas, no con entusiasmo. citeturn0file0turn13view0</w:t>
      </w:r>
    </w:p>
    <w:p w:rsidR="00000000" w:rsidDel="00000000" w:rsidP="00000000" w:rsidRDefault="00000000" w:rsidRPr="00000000" w14:paraId="00000135">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Mi recomendación final, en una frase, es la siguiente: </w:t>
      </w:r>
      <w:r w:rsidDel="00000000" w:rsidR="00000000" w:rsidRPr="00000000">
        <w:rPr>
          <w:rFonts w:ascii="Times New Roman" w:cs="Times New Roman" w:eastAsia="Times New Roman" w:hAnsi="Times New Roman"/>
          <w:b w:val="1"/>
          <w:bCs w:val="1"/>
          <w:color w:val="434343"/>
          <w:sz w:val="24"/>
          <w:szCs w:val="24"/>
          <w:rtl w:val="0"/>
        </w:rPr>
        <w:t xml:space="preserve">Zaragoza sí parece una ciudad apta para un coworking artesanal de madera, siempre que se conciba como academia-club-product studio, se vincule a Zaragoza Dinámica y ACOMZA, y se abra por fases con fuerte control técnico y financiero</w:t>
      </w:r>
      <w:r w:rsidDel="00000000" w:rsidR="00000000" w:rsidRPr="00000000">
        <w:rPr>
          <w:rFonts w:ascii="Times New Roman" w:cs="Times New Roman" w:eastAsia="Times New Roman" w:hAnsi="Times New Roman"/>
          <w:color w:val="434343"/>
          <w:sz w:val="24"/>
          <w:szCs w:val="24"/>
          <w:rtl w:val="0"/>
        </w:rPr>
        <w:t xml:space="preserve">. citeturn13view0turn10view0</w:t>
      </w:r>
    </w:p>
    <w:p w:rsidR="00000000" w:rsidDel="00000000" w:rsidP="00000000" w:rsidRDefault="00000000" w:rsidRPr="00000000" w14:paraId="00000136">
      <w:pP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Limitaciones y preguntas abiertas</w:t>
      </w:r>
    </w:p>
    <w:p w:rsidR="00000000" w:rsidDel="00000000" w:rsidP="00000000" w:rsidRDefault="00000000" w:rsidRPr="00000000" w14:paraId="00000137">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No he localizado en esta revisión una </w:t>
      </w:r>
      <w:r w:rsidDel="00000000" w:rsidR="00000000" w:rsidRPr="00000000">
        <w:rPr>
          <w:rFonts w:ascii="Times New Roman" w:cs="Times New Roman" w:eastAsia="Times New Roman" w:hAnsi="Times New Roman"/>
          <w:b w:val="1"/>
          <w:bCs w:val="1"/>
          <w:color w:val="434343"/>
          <w:sz w:val="24"/>
          <w:szCs w:val="24"/>
          <w:rtl w:val="0"/>
        </w:rPr>
        <w:t xml:space="preserve">base pública homogénea y oficial</w:t>
      </w:r>
      <w:r w:rsidDel="00000000" w:rsidR="00000000" w:rsidRPr="00000000">
        <w:rPr>
          <w:rFonts w:ascii="Times New Roman" w:cs="Times New Roman" w:eastAsia="Times New Roman" w:hAnsi="Times New Roman"/>
          <w:color w:val="434343"/>
          <w:sz w:val="24"/>
          <w:szCs w:val="24"/>
          <w:rtl w:val="0"/>
        </w:rPr>
        <w:t xml:space="preserve"> que permita comparar, con la precisión deseable, </w:t>
      </w:r>
      <w:r w:rsidDel="00000000" w:rsidR="00000000" w:rsidRPr="00000000">
        <w:rPr>
          <w:rFonts w:ascii="Times New Roman" w:cs="Times New Roman" w:eastAsia="Times New Roman" w:hAnsi="Times New Roman"/>
          <w:b w:val="1"/>
          <w:bCs w:val="1"/>
          <w:color w:val="434343"/>
          <w:sz w:val="24"/>
          <w:szCs w:val="24"/>
          <w:rtl w:val="0"/>
        </w:rPr>
        <w:t xml:space="preserve">tarifas, ocupación y mix de ingresos</w:t>
      </w:r>
      <w:r w:rsidDel="00000000" w:rsidR="00000000" w:rsidRPr="00000000">
        <w:rPr>
          <w:rFonts w:ascii="Times New Roman" w:cs="Times New Roman" w:eastAsia="Times New Roman" w:hAnsi="Times New Roman"/>
          <w:color w:val="434343"/>
          <w:sz w:val="24"/>
          <w:szCs w:val="24"/>
          <w:rtl w:val="0"/>
        </w:rPr>
        <w:t xml:space="preserve"> de wood makerspaces españoles o europeos; por eso la parte de benchmark económico se ha construido como </w:t>
      </w:r>
      <w:r w:rsidDel="00000000" w:rsidR="00000000" w:rsidRPr="00000000">
        <w:rPr>
          <w:rFonts w:ascii="Times New Roman" w:cs="Times New Roman" w:eastAsia="Times New Roman" w:hAnsi="Times New Roman"/>
          <w:b w:val="1"/>
          <w:bCs w:val="1"/>
          <w:color w:val="434343"/>
          <w:sz w:val="24"/>
          <w:szCs w:val="24"/>
          <w:rtl w:val="0"/>
        </w:rPr>
        <w:t xml:space="preserve">modelo inferencial prudente</w:t>
      </w:r>
      <w:r w:rsidDel="00000000" w:rsidR="00000000" w:rsidRPr="00000000">
        <w:rPr>
          <w:rFonts w:ascii="Times New Roman" w:cs="Times New Roman" w:eastAsia="Times New Roman" w:hAnsi="Times New Roman"/>
          <w:color w:val="434343"/>
          <w:sz w:val="24"/>
          <w:szCs w:val="24"/>
          <w:rtl w:val="0"/>
        </w:rPr>
        <w:t xml:space="preserve">, no como estadística sectorial cerrada. Del mismo modo, no he encontrado un dato abierto y verificable de </w:t>
      </w:r>
      <w:r w:rsidDel="00000000" w:rsidR="00000000" w:rsidRPr="00000000">
        <w:rPr>
          <w:rFonts w:ascii="Times New Roman" w:cs="Times New Roman" w:eastAsia="Times New Roman" w:hAnsi="Times New Roman"/>
          <w:b w:val="1"/>
          <w:bCs w:val="1"/>
          <w:color w:val="434343"/>
          <w:sz w:val="24"/>
          <w:szCs w:val="24"/>
          <w:rtl w:val="0"/>
        </w:rPr>
        <w:t xml:space="preserve">egresados anuales exactos de FP de madera por centro en Zaragoza capital</w:t>
      </w:r>
      <w:r w:rsidDel="00000000" w:rsidR="00000000" w:rsidRPr="00000000">
        <w:rPr>
          <w:rFonts w:ascii="Times New Roman" w:cs="Times New Roman" w:eastAsia="Times New Roman" w:hAnsi="Times New Roman"/>
          <w:color w:val="434343"/>
          <w:sz w:val="24"/>
          <w:szCs w:val="24"/>
          <w:rtl w:val="0"/>
        </w:rPr>
        <w:t xml:space="preserve">, así que la demanda se ha inferido a partir de la escala de la ciudad, el crecimiento de la FP aragonesa, la actividad de Zaragoza Dinámica y la evidencia de empleabilidad en regiones comparables. citeturn39news1turn10view0turn38news0turn38news1</w:t>
      </w:r>
    </w:p>
    <w:p w:rsidR="00000000" w:rsidDel="00000000" w:rsidP="00000000" w:rsidRDefault="00000000" w:rsidRPr="00000000" w14:paraId="00000138">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Las dos comprobaciones decisivas que quedan para convertir esta investigación en decisión de inversión son muy concretas: </w:t>
      </w:r>
      <w:r w:rsidDel="00000000" w:rsidR="00000000" w:rsidRPr="00000000">
        <w:rPr>
          <w:rFonts w:ascii="Times New Roman" w:cs="Times New Roman" w:eastAsia="Times New Roman" w:hAnsi="Times New Roman"/>
          <w:b w:val="1"/>
          <w:bCs w:val="1"/>
          <w:color w:val="434343"/>
          <w:sz w:val="24"/>
          <w:szCs w:val="24"/>
          <w:rtl w:val="0"/>
        </w:rPr>
        <w:t xml:space="preserve">una prememoria/licencia sobre un local real</w:t>
      </w:r>
      <w:r w:rsidDel="00000000" w:rsidR="00000000" w:rsidRPr="00000000">
        <w:rPr>
          <w:rFonts w:ascii="Times New Roman" w:cs="Times New Roman" w:eastAsia="Times New Roman" w:hAnsi="Times New Roman"/>
          <w:color w:val="434343"/>
          <w:sz w:val="24"/>
          <w:szCs w:val="24"/>
          <w:rtl w:val="0"/>
        </w:rPr>
        <w:t xml:space="preserve"> y </w:t>
      </w:r>
      <w:r w:rsidDel="00000000" w:rsidR="00000000" w:rsidRPr="00000000">
        <w:rPr>
          <w:rFonts w:ascii="Times New Roman" w:cs="Times New Roman" w:eastAsia="Times New Roman" w:hAnsi="Times New Roman"/>
          <w:b w:val="1"/>
          <w:bCs w:val="1"/>
          <w:color w:val="434343"/>
          <w:sz w:val="24"/>
          <w:szCs w:val="24"/>
          <w:rtl w:val="0"/>
        </w:rPr>
        <w:t xml:space="preserve">una preventa con pagos reales</w:t>
      </w:r>
      <w:r w:rsidDel="00000000" w:rsidR="00000000" w:rsidRPr="00000000">
        <w:rPr>
          <w:rFonts w:ascii="Times New Roman" w:cs="Times New Roman" w:eastAsia="Times New Roman" w:hAnsi="Times New Roman"/>
          <w:color w:val="434343"/>
          <w:sz w:val="24"/>
          <w:szCs w:val="24"/>
          <w:rtl w:val="0"/>
        </w:rPr>
        <w:t xml:space="preserve">. Si ambas salen bien, el proyecto tiene base para pasar a fase uno. Si una de las dos falla, el mejor movimiento no es insistir, sino rediseñar el formato antes de quemar capital.</w:t>
      </w:r>
    </w:p>
    <w:p w:rsidR="00000000" w:rsidDel="00000000" w:rsidP="00000000" w:rsidRDefault="00000000" w:rsidRPr="00000000" w14:paraId="00000139">
      <w:pPr>
        <w:rPr>
          <w:color w:val="43434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