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60"/>
      </w:pPr>
      <w:r>
        <w:rPr>
          <w:rFonts w:ascii="Aptos" w:hAnsi="Aptos"/>
          <w:b/>
          <w:color w:val="10B981"/>
          <w:sz w:val="20"/>
        </w:rPr>
        <w:t>CLIENT PRODUCT OVERVIEW</w:t>
      </w:r>
    </w:p>
    <w:p>
      <w:pPr>
        <w:spacing w:after="140"/>
      </w:pPr>
      <w:r>
        <w:rPr>
          <w:rFonts w:ascii="Aptos Display" w:hAnsi="Aptos Display"/>
          <w:b/>
          <w:color w:val="07161B"/>
          <w:sz w:val="62"/>
        </w:rPr>
        <w:t>AlienMint</w:t>
      </w:r>
    </w:p>
    <w:p>
      <w:pPr>
        <w:spacing w:after="440"/>
      </w:pPr>
      <w:r>
        <w:rPr>
          <w:rFonts w:ascii="Aptos" w:hAnsi="Aptos"/>
          <w:b w:val="0"/>
          <w:color w:val="536268"/>
          <w:sz w:val="28"/>
        </w:rPr>
        <w:t>A premium NFT minting experience that clients can explore without a wallet, cryptocurrency, or technical setup.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7F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/>
                <w:b/>
                <w:color w:val="0891B2"/>
                <w:sz w:val="20"/>
              </w:rPr>
              <w:t xml:space="preserve">THE SIMPLE VERSION  </w:t>
            </w:r>
            <w:r>
              <w:rPr>
                <w:rFonts w:ascii="Aptos" w:hAnsi="Aptos"/>
                <w:b w:val="0"/>
                <w:color w:val="141E22"/>
                <w:sz w:val="21"/>
              </w:rPr>
              <w:t>AlienMint lets visitors discover an NFT collection, preview artwork, choose a quantity, and complete a realistic simulated mint. A separate live testnet version demonstrates the real blockchain workflow when credentials are configured.</w:t>
            </w:r>
          </w:p>
        </w:tc>
      </w:tr>
    </w:tbl>
    <w:p>
      <w:pPr>
        <w:spacing w:after="0"/>
      </w:pPr>
    </w:p>
    <w:p>
      <w:pPr>
        <w:pStyle w:val="Heading1"/>
      </w:pPr>
      <w:r>
        <w:t>What you can experience today</w:t>
      </w:r>
    </w:p>
    <w:p>
      <w:r>
        <w:rPr>
          <w:rFonts w:ascii="Aptos" w:hAnsi="Aptos"/>
          <w:b w:val="0"/>
          <w:color w:val="141E22"/>
          <w:sz w:val="22"/>
        </w:rPr>
        <w:t>The shared app is designed so a reviewer can open one link and immediately understand the product. No account, wallet, test ETH, or instructions are required for the main demonstration.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Browse a premium collection homepage and curated artwork gallery.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Choose an NFT quantity and complete a clearly labeled simulated mint.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See confirmation, processing, success, artwork reveal, and reset states.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Open Creator Studio to understand how a collection is prepared.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Open the live testnet route to review the real wallet and blockchain experience.</w:t>
      </w:r>
    </w:p>
    <w:p>
      <w:pPr>
        <w:pStyle w:val="Heading1"/>
      </w:pPr>
      <w:r>
        <w:t>The three parts of AlienMint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shd w:fill="DD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61B"/>
                <w:sz w:val="20"/>
              </w:rPr>
              <w:t>Area</w:t>
            </w:r>
          </w:p>
        </w:tc>
        <w:tc>
          <w:tcPr>
            <w:tcW w:type="dxa" w:w="3600"/>
            <w:shd w:fill="DD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61B"/>
                <w:sz w:val="20"/>
              </w:rPr>
              <w:t>Purpose</w:t>
            </w:r>
          </w:p>
        </w:tc>
        <w:tc>
          <w:tcPr>
            <w:tcW w:type="dxa" w:w="3600"/>
            <w:shd w:fill="DD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61B"/>
                <w:sz w:val="20"/>
              </w:rPr>
              <w:t>What the client does</w:t>
            </w:r>
          </w:p>
        </w:tc>
      </w:tr>
      <w:tr>
        <w:tc>
          <w:tcPr>
            <w:tcW w:type="dxa" w:w="21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141E22"/>
                <w:sz w:val="19"/>
              </w:rPr>
              <w:t>Demo homepage</w:t>
            </w:r>
          </w:p>
        </w:tc>
        <w:tc>
          <w:tcPr>
            <w:tcW w:type="dxa" w:w="36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41E22"/>
                <w:sz w:val="19"/>
              </w:rPr>
              <w:t>A polished, risk-free preview of the customer experience.</w:t>
            </w:r>
          </w:p>
        </w:tc>
        <w:tc>
          <w:tcPr>
            <w:tcW w:type="dxa" w:w="36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41E22"/>
                <w:sz w:val="19"/>
              </w:rPr>
              <w:t>Browse artwork and complete a simulated mint.</w:t>
            </w:r>
          </w:p>
        </w:tc>
      </w:tr>
      <w:tr>
        <w:tc>
          <w:tcPr>
            <w:tcW w:type="dxa" w:w="21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141E22"/>
                <w:sz w:val="19"/>
              </w:rPr>
              <w:t>Creator Studio</w:t>
            </w:r>
          </w:p>
        </w:tc>
        <w:tc>
          <w:tcPr>
            <w:tcW w:type="dxa" w:w="36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41E22"/>
                <w:sz w:val="19"/>
              </w:rPr>
              <w:t>A local preview of collection setup and metadata creation.</w:t>
            </w:r>
          </w:p>
        </w:tc>
        <w:tc>
          <w:tcPr>
            <w:tcW w:type="dxa" w:w="36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41E22"/>
                <w:sz w:val="19"/>
              </w:rPr>
              <w:t>Select images, set collection details, and inspect metadata.</w:t>
            </w:r>
          </w:p>
        </w:tc>
      </w:tr>
      <w:tr>
        <w:tc>
          <w:tcPr>
            <w:tcW w:type="dxa" w:w="21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141E22"/>
                <w:sz w:val="19"/>
              </w:rPr>
              <w:t>Live testnet</w:t>
            </w:r>
          </w:p>
        </w:tc>
        <w:tc>
          <w:tcPr>
            <w:tcW w:type="dxa" w:w="36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41E22"/>
                <w:sz w:val="19"/>
              </w:rPr>
              <w:t>The real Web3 interaction path on Base Sepolia.</w:t>
            </w:r>
          </w:p>
        </w:tc>
        <w:tc>
          <w:tcPr>
            <w:tcW w:type="dxa" w:w="360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41E22"/>
                <w:sz w:val="19"/>
              </w:rPr>
              <w:t>Connect a wallet and mint a test NFT when configured.</w:t>
            </w:r>
          </w:p>
        </w:tc>
      </w:tr>
    </w:tbl>
    <w:p>
      <w:r>
        <w:br w:type="page"/>
      </w:r>
    </w:p>
    <w:p>
      <w:pPr>
        <w:pStyle w:val="Heading1"/>
      </w:pPr>
      <w:r>
        <w:t>How the artwork and NFTs are added</w:t>
      </w:r>
    </w:p>
    <w:p>
      <w:r>
        <w:rPr>
          <w:rFonts w:ascii="Aptos" w:hAnsi="Aptos"/>
          <w:b w:val="0"/>
          <w:color w:val="141E22"/>
          <w:sz w:val="22"/>
        </w:rPr>
        <w:t>Creator Studio gives a non-technical preview of this process. During the demo, selected files stay on the user’s device and are not transmitted anywhere.</w:t>
      </w:r>
    </w:p>
    <w:p>
      <w:pPr>
        <w:spacing w:before="140" w:after="40"/>
      </w:pPr>
      <w:r>
        <w:rPr>
          <w:rFonts w:ascii="Aptos" w:hAnsi="Aptos"/>
          <w:b/>
          <w:color w:val="07161B"/>
          <w:sz w:val="22"/>
        </w:rPr>
        <w:t>1. Prepare the artwork</w:t>
      </w:r>
    </w:p>
    <w:p>
      <w:r>
        <w:rPr>
          <w:rFonts w:ascii="Aptos" w:hAnsi="Aptos"/>
          <w:b w:val="0"/>
          <w:color w:val="141E22"/>
          <w:sz w:val="22"/>
        </w:rPr>
        <w:t>The creator supplies one finished image for each unique NFT, or uses a generative-art pipeline to create a large collection.</w:t>
      </w:r>
    </w:p>
    <w:p>
      <w:pPr>
        <w:spacing w:before="140" w:after="40"/>
      </w:pPr>
      <w:r>
        <w:rPr>
          <w:rFonts w:ascii="Aptos" w:hAnsi="Aptos"/>
          <w:b/>
          <w:color w:val="07161B"/>
          <w:sz w:val="22"/>
        </w:rPr>
        <w:t>2. Add collection information</w:t>
      </w:r>
    </w:p>
    <w:p>
      <w:r>
        <w:rPr>
          <w:rFonts w:ascii="Aptos" w:hAnsi="Aptos"/>
          <w:b w:val="0"/>
          <w:color w:val="141E22"/>
          <w:sz w:val="22"/>
        </w:rPr>
        <w:t>The name, symbol, description, price, supply, mint limit, external website, royalty planning details, and traits are entered.</w:t>
      </w:r>
    </w:p>
    <w:p>
      <w:pPr>
        <w:spacing w:before="140" w:after="40"/>
      </w:pPr>
      <w:r>
        <w:rPr>
          <w:rFonts w:ascii="Aptos" w:hAnsi="Aptos"/>
          <w:b/>
          <w:color w:val="07161B"/>
          <w:sz w:val="22"/>
        </w:rPr>
        <w:t>3. Generate NFT metadata</w:t>
      </w:r>
    </w:p>
    <w:p>
      <w:r>
        <w:rPr>
          <w:rFonts w:ascii="Aptos" w:hAnsi="Aptos"/>
          <w:b w:val="0"/>
          <w:color w:val="141E22"/>
          <w:sz w:val="22"/>
        </w:rPr>
        <w:t>AlienMint creates a standard metadata document for every token. This document connects the token name, image, description, and traits.</w:t>
      </w:r>
    </w:p>
    <w:p>
      <w:pPr>
        <w:spacing w:before="140" w:after="40"/>
      </w:pPr>
      <w:r>
        <w:rPr>
          <w:rFonts w:ascii="Aptos" w:hAnsi="Aptos"/>
          <w:b/>
          <w:color w:val="07161B"/>
          <w:sz w:val="22"/>
        </w:rPr>
        <w:t>4. Publish to decentralized storage</w:t>
      </w:r>
    </w:p>
    <w:p>
      <w:r>
        <w:rPr>
          <w:rFonts w:ascii="Aptos" w:hAnsi="Aptos"/>
          <w:b w:val="0"/>
          <w:color w:val="141E22"/>
          <w:sz w:val="22"/>
        </w:rPr>
        <w:t>After approval, artwork and metadata can be uploaded to IPFS through a service such as Pinata or an NFT.Storage-compatible provider.</w:t>
      </w:r>
    </w:p>
    <w:p>
      <w:pPr>
        <w:spacing w:before="140" w:after="40"/>
      </w:pPr>
      <w:r>
        <w:rPr>
          <w:rFonts w:ascii="Aptos" w:hAnsi="Aptos"/>
          <w:b/>
          <w:color w:val="07161B"/>
          <w:sz w:val="22"/>
        </w:rPr>
        <w:t>5. Deploy and verify the contract</w:t>
      </w:r>
    </w:p>
    <w:p>
      <w:r>
        <w:rPr>
          <w:rFonts w:ascii="Aptos" w:hAnsi="Aptos"/>
          <w:b w:val="0"/>
          <w:color w:val="141E22"/>
          <w:sz w:val="22"/>
        </w:rPr>
        <w:t>The smart contract is deployed to the chosen blockchain, verified publicly, and connected to the mint website.</w:t>
      </w:r>
    </w:p>
    <w:p>
      <w:pPr>
        <w:spacing w:before="140" w:after="40"/>
      </w:pPr>
      <w:r>
        <w:rPr>
          <w:rFonts w:ascii="Aptos" w:hAnsi="Aptos"/>
          <w:b/>
          <w:color w:val="07161B"/>
          <w:sz w:val="22"/>
        </w:rPr>
        <w:t>6. Open the mint</w:t>
      </w:r>
    </w:p>
    <w:p>
      <w:r>
        <w:rPr>
          <w:rFonts w:ascii="Aptos" w:hAnsi="Aptos"/>
          <w:b w:val="0"/>
          <w:color w:val="141E22"/>
          <w:sz w:val="22"/>
        </w:rPr>
        <w:t>Visitors connect their wallets, pay the configured price, and receive NFTs from the real smart contract.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/>
                <w:b/>
                <w:color w:val="0891B2"/>
                <w:sz w:val="20"/>
              </w:rPr>
              <w:t xml:space="preserve">IMPORTANT  </w:t>
            </w:r>
            <w:r>
              <w:rPr>
                <w:rFonts w:ascii="Aptos" w:hAnsi="Aptos"/>
                <w:b w:val="0"/>
                <w:color w:val="141E22"/>
                <w:sz w:val="21"/>
              </w:rPr>
              <w:t>A 10,000-item unique collection requires 10,000 prepared artworks and metadata records, or a dedicated generative pipeline. The current studio intentionally uses a manageable sample batch for client approval.</w:t>
            </w:r>
          </w:p>
        </w:tc>
      </w:tr>
    </w:tbl>
    <w:p>
      <w:pPr>
        <w:spacing w:after="0"/>
      </w:pPr>
    </w:p>
    <w:p>
      <w:pPr>
        <w:pStyle w:val="Heading1"/>
      </w:pPr>
      <w:r>
        <w:t>What is real and what is simulated</w:t>
      </w:r>
    </w:p>
    <w:p>
      <w:pPr>
        <w:pStyle w:val="Heading2"/>
      </w:pPr>
      <w:r>
        <w:t>Interactive demo</w:t>
      </w:r>
    </w:p>
    <w:p>
      <w:r>
        <w:rPr>
          <w:rFonts w:ascii="Aptos" w:hAnsi="Aptos"/>
          <w:b w:val="0"/>
          <w:color w:val="141E22"/>
          <w:sz w:val="22"/>
        </w:rPr>
        <w:t>The homepage behaves like a complete mint experience, but it does not send a blockchain transaction or use real money. Every simulated action is visibly labeled as a demo.</w:t>
      </w:r>
    </w:p>
    <w:p>
      <w:pPr>
        <w:pStyle w:val="Heading2"/>
      </w:pPr>
      <w:r>
        <w:t>Live testnet version</w:t>
      </w:r>
    </w:p>
    <w:p>
      <w:r>
        <w:rPr>
          <w:rFonts w:ascii="Aptos" w:hAnsi="Aptos"/>
          <w:b w:val="0"/>
          <w:color w:val="141E22"/>
          <w:sz w:val="22"/>
        </w:rPr>
        <w:t>The /live area uses the actual wallet and smart-contract flow on Base Sepolia. Testnet tokens have no real monetary value, making this suitable for technical acceptance testing before a mainnet launch.</w:t>
      </w:r>
    </w:p>
    <w:p>
      <w:r>
        <w:br w:type="page"/>
      </w:r>
    </w:p>
    <w:p>
      <w:pPr>
        <w:pStyle w:val="Heading1"/>
      </w:pPr>
      <w:r>
        <w:t>Security and trust</w:t>
      </w:r>
    </w:p>
    <w:p>
      <w:r>
        <w:rPr>
          <w:rFonts w:ascii="Aptos" w:hAnsi="Aptos"/>
          <w:b w:val="0"/>
          <w:color w:val="141E22"/>
          <w:sz w:val="22"/>
        </w:rPr>
        <w:t>AlienMint is built with a modern Next.js interface and a Solidity ERC-721 smart contract. The contract uses ERC721A for efficient minting and includes fixed supply enforcement, exact payment checks, transaction limits, safe minting, protected withdrawals, and automated tests.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The demo never requests a wallet or funds.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The studio does not upload selected artwork in demo mode.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The live area clearly identifies Base Sepolia as a test network.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Contract values such as price and supply are read from the blockchain in live mode.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Production secrets and deployment keys are not placed in browser code.</w:t>
      </w:r>
    </w:p>
    <w:p>
      <w:pPr>
        <w:pStyle w:val="Heading1"/>
      </w:pPr>
      <w:r>
        <w:t>What is needed after approval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Final brand name, logo, collection copy, artwork, and visual direction.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Final supply, mint price, per-transaction limit, sale timing, and supported network.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A storage provider account for permanent artwork and metadata hosting.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A secure owner wallet or multisignature wallet for contract ownership.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RPC and WalletConnect project credentials for the live website.</w:t>
      </w:r>
    </w:p>
    <w:p>
      <w:pPr>
        <w:pStyle w:val="ListBullet"/>
      </w:pPr>
      <w:r>
        <w:rPr>
          <w:rFonts w:ascii="Aptos" w:hAnsi="Aptos"/>
          <w:b w:val="0"/>
          <w:color w:val="141E22"/>
          <w:sz w:val="22"/>
        </w:rPr>
        <w:t>Contract deployment, public verification, domain setup, and end-to-end acceptance testing.</w:t>
      </w:r>
    </w:p>
    <w:p>
      <w:pPr>
        <w:pStyle w:val="Heading1"/>
      </w:pPr>
      <w:r>
        <w:t>Client approval checklist</w:t>
      </w:r>
    </w:p>
    <w:p>
      <w:pPr>
        <w:spacing w:after="120"/>
        <w:ind w:left="288"/>
      </w:pPr>
      <w:r>
        <w:rPr>
          <w:rFonts w:ascii="Aptos" w:hAnsi="Aptos"/>
          <w:b w:val="0"/>
          <w:color w:val="141E22"/>
          <w:sz w:val="22"/>
        </w:rPr>
        <w:t>☐  The homepage feels premium and matches the intended audience.</w:t>
      </w:r>
    </w:p>
    <w:p>
      <w:pPr>
        <w:spacing w:after="120"/>
        <w:ind w:left="288"/>
      </w:pPr>
      <w:r>
        <w:rPr>
          <w:rFonts w:ascii="Aptos" w:hAnsi="Aptos"/>
          <w:b w:val="0"/>
          <w:color w:val="141E22"/>
          <w:sz w:val="22"/>
        </w:rPr>
        <w:t>☐  The simulated mint journey is clear and convincing.</w:t>
      </w:r>
    </w:p>
    <w:p>
      <w:pPr>
        <w:spacing w:after="120"/>
        <w:ind w:left="288"/>
      </w:pPr>
      <w:r>
        <w:rPr>
          <w:rFonts w:ascii="Aptos" w:hAnsi="Aptos"/>
          <w:b w:val="0"/>
          <w:color w:val="141E22"/>
          <w:sz w:val="22"/>
        </w:rPr>
        <w:t>☐  The artwork gallery and collection story feel appropriate.</w:t>
      </w:r>
    </w:p>
    <w:p>
      <w:pPr>
        <w:spacing w:after="120"/>
        <w:ind w:left="288"/>
      </w:pPr>
      <w:r>
        <w:rPr>
          <w:rFonts w:ascii="Aptos" w:hAnsi="Aptos"/>
          <w:b w:val="0"/>
          <w:color w:val="141E22"/>
          <w:sz w:val="22"/>
        </w:rPr>
        <w:t>☐  Creator Studio explains the upload and publishing workflow clearly.</w:t>
      </w:r>
    </w:p>
    <w:p>
      <w:pPr>
        <w:spacing w:after="120"/>
        <w:ind w:left="288"/>
      </w:pPr>
      <w:r>
        <w:rPr>
          <w:rFonts w:ascii="Aptos" w:hAnsi="Aptos"/>
          <w:b w:val="0"/>
          <w:color w:val="141E22"/>
          <w:sz w:val="22"/>
        </w:rPr>
        <w:t>☐  The proposed collection settings and launch pathway are acceptable.</w:t>
      </w:r>
    </w:p>
    <w:p>
      <w:pPr>
        <w:spacing w:after="120"/>
        <w:ind w:left="288"/>
      </w:pPr>
      <w:r>
        <w:rPr>
          <w:rFonts w:ascii="Aptos" w:hAnsi="Aptos"/>
          <w:b w:val="0"/>
          <w:color w:val="141E22"/>
          <w:sz w:val="22"/>
        </w:rPr>
        <w:t>☐  AlienMint may proceed to storage integration, deployment, and production hardening.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7F2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Aptos" w:hAnsi="Aptos"/>
                <w:b/>
                <w:color w:val="0891B2"/>
                <w:sz w:val="20"/>
              </w:rPr>
              <w:t xml:space="preserve">RECOMMENDED NEXT STEP  </w:t>
            </w:r>
            <w:r>
              <w:rPr>
                <w:rFonts w:ascii="Aptos" w:hAnsi="Aptos"/>
                <w:b w:val="0"/>
                <w:color w:val="141E22"/>
                <w:sz w:val="21"/>
              </w:rPr>
              <w:t>Review the demo homepage and Creator Studio first. Once the experience and collection direction are approved, move to authenticated IPFS uploads, final contract deployment, verification, and a controlled testnet acceptance session.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36268"/>
        <w:sz w:val="16"/>
      </w:rPr>
      <w:t>Interactive product demonstration •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268"/>
        <w:sz w:val="17"/>
      </w:rPr>
      <w:t>ALIENMINT  |  CLIENT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41E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6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16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AlienMint Client Product Overview</dc:title>
  <dc:subject>Plain-language overview of the AlienMint NFT application</dc:subject>
  <dc:creator>AlienMint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