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80" w:line="288" w:lineRule="auto"/>
        <w:rPr>
          <w:rFonts w:ascii="Arial" w:cs="Arial" w:eastAsia="Arial" w:hAnsi="Arial"/>
          <w:b w:val="1"/>
          <w:bCs w:val="1"/>
          <w:color w:val="292a2e"/>
          <w:sz w:val="30"/>
          <w:szCs w:val="30"/>
        </w:rPr>
      </w:pPr>
      <w:bookmarkStart w:colFirst="0" w:colLast="0" w:name="_fa2y5zrojb39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sz w:val="30"/>
          <w:szCs w:val="30"/>
          <w:rtl w:val="0"/>
        </w:rPr>
        <w:t xml:space="preserve">📄 Template – Discovery (Data Engineer)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11.35999999999996" w:lineRule="auto"/>
        <w:rPr>
          <w:rFonts w:ascii="Arial" w:cs="Arial" w:eastAsia="Arial" w:hAnsi="Arial"/>
          <w:color w:val="292a2e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highlight w:val="white"/>
          <w:rtl w:val="0"/>
        </w:rPr>
        <w:t xml:space="preserve">Ce canevas est pensé pour une discovery data (pipeline, modèle, silver layer, expo, qualité data…).</w:t>
        <w:br w:type="textWrapping"/>
        <w:t xml:space="preserve">Tu peux l’adapter selon ton scope (IM, orchestration, optout, etc.).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rFonts w:ascii="Arial" w:cs="Arial" w:eastAsia="Arial" w:hAnsi="Arial"/>
          <w:b w:val="1"/>
          <w:bCs w:val="1"/>
          <w:color w:val="292a2e"/>
        </w:rPr>
      </w:pPr>
      <w:bookmarkStart w:colFirst="0" w:colLast="0" w:name="_6hvg5f8aiyub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rtl w:val="0"/>
        </w:rPr>
        <w:t xml:space="preserve">1. 🎯 Contexte &amp; Problem statement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rFonts w:ascii="Arial" w:cs="Arial" w:eastAsia="Arial" w:hAnsi="Arial"/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sz w:val="21"/>
          <w:szCs w:val="21"/>
          <w:rtl w:val="0"/>
        </w:rPr>
        <w:t xml:space="preserve">Contexte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Produit / domaine impacté 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Trigger (incident, besoin métier, dette tech, réglementation…) :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État actuel (très synthétique) 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rFonts w:ascii="Arial" w:cs="Arial" w:eastAsia="Arial" w:hAnsi="Arial"/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sz w:val="21"/>
          <w:szCs w:val="21"/>
          <w:rtl w:val="0"/>
        </w:rPr>
        <w:t xml:space="preserve">Problem statement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11.35999999999996" w:lineRule="auto"/>
        <w:rPr>
          <w:rFonts w:ascii="Arial" w:cs="Arial" w:eastAsia="Arial" w:hAnsi="Arial"/>
          <w:i w:val="1"/>
          <w:iCs w:val="1"/>
          <w:color w:val="292a2e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highlight w:val="white"/>
          <w:rtl w:val="0"/>
        </w:rPr>
        <w:t xml:space="preserve">Formule en une phrase le problème à résoudre, en étant mesurable et factuel.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292a2e"/>
          <w:sz w:val="21"/>
          <w:szCs w:val="21"/>
          <w:highlight w:val="white"/>
          <w:rtl w:val="0"/>
        </w:rPr>
        <w:t xml:space="preserve">Ex : “Les events de consentement ne sont pas historisés de façon fiable, ce qui bloque toute reconstitution RGPD au-delà de 3 mois.”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rFonts w:ascii="Arial" w:cs="Arial" w:eastAsia="Arial" w:hAnsi="Arial"/>
          <w:b w:val="1"/>
          <w:bCs w:val="1"/>
          <w:color w:val="292a2e"/>
        </w:rPr>
      </w:pPr>
      <w:bookmarkStart w:colFirst="0" w:colLast="0" w:name="_patdq2kzzdsq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rtl w:val="0"/>
        </w:rPr>
        <w:t xml:space="preserve">2. 🧾 Objectifs &amp; critères de succès (KPIs)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rFonts w:ascii="Arial" w:cs="Arial" w:eastAsia="Arial" w:hAnsi="Arial"/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sz w:val="21"/>
          <w:szCs w:val="21"/>
          <w:rtl w:val="0"/>
        </w:rPr>
        <w:t xml:space="preserve">Objectifs principaux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O1 :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O2 :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rFonts w:ascii="Arial" w:cs="Arial" w:eastAsia="Arial" w:hAnsi="Arial"/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sz w:val="21"/>
          <w:szCs w:val="21"/>
          <w:rtl w:val="0"/>
        </w:rPr>
        <w:t xml:space="preserve">KPIs / métriques de succès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Technique (latence, volume traité, erreurs, SLA…) 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Data (taux de complétude, doublons, champs invalides…) 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Métier (taux d’activation, fiabilité d’un reporting, etc.)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rFonts w:ascii="Arial" w:cs="Arial" w:eastAsia="Arial" w:hAnsi="Arial"/>
          <w:b w:val="1"/>
          <w:bCs w:val="1"/>
          <w:color w:val="292a2e"/>
        </w:rPr>
      </w:pPr>
      <w:bookmarkStart w:colFirst="0" w:colLast="0" w:name="_r7ye8jduolog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rtl w:val="0"/>
        </w:rPr>
        <w:t xml:space="preserve">3. 📚 Périmètre (In / Out / Contraintes)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rFonts w:ascii="Arial" w:cs="Arial" w:eastAsia="Arial" w:hAnsi="Arial"/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sz w:val="21"/>
          <w:szCs w:val="21"/>
          <w:rtl w:val="0"/>
        </w:rPr>
        <w:t xml:space="preserve">In scope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hd w:fill="ffffff" w:val="clear"/>
        <w:spacing w:before="18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rFonts w:ascii="Arial" w:cs="Arial" w:eastAsia="Arial" w:hAnsi="Arial"/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sz w:val="21"/>
          <w:szCs w:val="21"/>
          <w:rtl w:val="0"/>
        </w:rPr>
        <w:t xml:space="preserve">Out of scope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hd w:fill="ffffff" w:val="clear"/>
        <w:spacing w:before="18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rFonts w:ascii="Arial" w:cs="Arial" w:eastAsia="Arial" w:hAnsi="Arial"/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sz w:val="21"/>
          <w:szCs w:val="21"/>
          <w:rtl w:val="0"/>
        </w:rPr>
        <w:t xml:space="preserve">Contraintes connues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Tech (stack imposée, dépendances, legacy…) :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Organisationnelles (équipes, dispo, timebox…) :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Réglementaires / sécurité 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rFonts w:ascii="Arial" w:cs="Arial" w:eastAsia="Arial" w:hAnsi="Arial"/>
          <w:b w:val="1"/>
          <w:bCs w:val="1"/>
          <w:color w:val="292a2e"/>
        </w:rPr>
      </w:pPr>
      <w:bookmarkStart w:colFirst="0" w:colLast="0" w:name="_lixdmc2n118d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rtl w:val="0"/>
        </w:rPr>
        <w:t xml:space="preserve">4. 👥 Stakeholders &amp; RACI</w:t>
      </w:r>
    </w:p>
    <w:tbl>
      <w:tblPr>
        <w:tblStyle w:val="Table1"/>
        <w:tblW w:w="9420.0" w:type="dxa"/>
        <w:jc w:val="left"/>
        <w:tblBorders>
          <w:top w:color="dddee1" w:space="0" w:sz="7" w:val="single"/>
          <w:left w:color="dddee1" w:space="0" w:sz="7" w:val="single"/>
          <w:bottom w:color="dddee1" w:space="0" w:sz="7" w:val="single"/>
          <w:right w:color="dddee1" w:space="0" w:sz="7" w:val="single"/>
          <w:insideH w:color="dddee1" w:space="0" w:sz="7" w:val="single"/>
          <w:insideV w:color="dddee1" w:space="0" w:sz="7" w:val="single"/>
        </w:tblBorders>
        <w:tblLayout w:type="fixed"/>
        <w:tblLook w:val="0600"/>
      </w:tblPr>
      <w:tblGrid>
        <w:gridCol w:w="1365"/>
        <w:gridCol w:w="1215"/>
        <w:gridCol w:w="1290"/>
        <w:gridCol w:w="1290"/>
        <w:gridCol w:w="1290"/>
        <w:gridCol w:w="1290"/>
        <w:gridCol w:w="1680"/>
        <w:tblGridChange w:id="0">
          <w:tblGrid>
            <w:gridCol w:w="1365"/>
            <w:gridCol w:w="1215"/>
            <w:gridCol w:w="1290"/>
            <w:gridCol w:w="1290"/>
            <w:gridCol w:w="1290"/>
            <w:gridCol w:w="1290"/>
            <w:gridCol w:w="1680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Rôle / Personne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Équipe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R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A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C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I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Commentaire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Data Engineer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Product Manager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Data Architect / Lead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Data Analysts / BC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Équipe Source (ex : CRM, app, API…)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Security / Legal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11.35999999999996" w:lineRule="auto"/>
        <w:rPr>
          <w:rFonts w:ascii="Arial" w:cs="Arial" w:eastAsia="Arial" w:hAnsi="Arial"/>
          <w:color w:val="292a2e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highlight w:val="white"/>
          <w:rtl w:val="0"/>
        </w:rPr>
        <w:t xml:space="preserve">R = Responsible, A = Accountable, C = Consulted, I = Informed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rFonts w:ascii="Arial" w:cs="Arial" w:eastAsia="Arial" w:hAnsi="Arial"/>
          <w:b w:val="1"/>
          <w:bCs w:val="1"/>
          <w:color w:val="292a2e"/>
        </w:rPr>
      </w:pPr>
      <w:bookmarkStart w:colFirst="0" w:colLast="0" w:name="_rchitcb15cw7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rtl w:val="0"/>
        </w:rPr>
        <w:t xml:space="preserve">5. 📊 Inventaire des sources de données</w:t>
      </w:r>
    </w:p>
    <w:tbl>
      <w:tblPr>
        <w:tblStyle w:val="Table2"/>
        <w:tblW w:w="9510.0" w:type="dxa"/>
        <w:jc w:val="left"/>
        <w:tblBorders>
          <w:top w:color="dddee1" w:space="0" w:sz="7" w:val="single"/>
          <w:left w:color="dddee1" w:space="0" w:sz="7" w:val="single"/>
          <w:bottom w:color="dddee1" w:space="0" w:sz="7" w:val="single"/>
          <w:right w:color="dddee1" w:space="0" w:sz="7" w:val="single"/>
          <w:insideH w:color="dddee1" w:space="0" w:sz="7" w:val="single"/>
          <w:insideV w:color="dddee1" w:space="0" w:sz="7" w:val="single"/>
        </w:tblBorders>
        <w:tblLayout w:type="fixed"/>
        <w:tblLook w:val="0600"/>
      </w:tblPr>
      <w:tblGrid>
        <w:gridCol w:w="1005"/>
        <w:gridCol w:w="1005"/>
        <w:gridCol w:w="1005"/>
        <w:gridCol w:w="1005"/>
        <w:gridCol w:w="1005"/>
        <w:gridCol w:w="1005"/>
        <w:gridCol w:w="1005"/>
        <w:gridCol w:w="1005"/>
        <w:gridCol w:w="1470"/>
        <w:tblGridChange w:id="0">
          <w:tblGrid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470"/>
          </w:tblGrid>
        </w:tblGridChange>
      </w:tblGrid>
      <w:tr>
        <w:trPr>
          <w:cantSplit w:val="0"/>
          <w:trHeight w:val="241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Source / Système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Owner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Type (event, table, file…)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Fréquence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Volumétrie (ordre de grandeur)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Schéma (lien)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Accès (prod / stage)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Sensibilité / PII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Qualité connue / remarques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rFonts w:ascii="Arial" w:cs="Arial" w:eastAsia="Arial" w:hAnsi="Arial"/>
          <w:b w:val="1"/>
          <w:bCs w:val="1"/>
          <w:color w:val="292a2e"/>
        </w:rPr>
      </w:pPr>
      <w:bookmarkStart w:colFirst="0" w:colLast="0" w:name="_ua7oremeprpw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rtl w:val="0"/>
        </w:rPr>
        <w:t xml:space="preserve">6. 🔁 Flux actuel vs flux cible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rFonts w:ascii="Arial" w:cs="Arial" w:eastAsia="Arial" w:hAnsi="Arial"/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sz w:val="21"/>
          <w:szCs w:val="21"/>
          <w:rtl w:val="0"/>
        </w:rPr>
        <w:t xml:space="preserve">6.1 Flux actuel (AS-IS)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Entrées 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Transformations principales 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Sorties / tables / topics :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Points de douleur identifiés (perte d’info, latence, fragilité, dépendances humaines…) :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rFonts w:ascii="Arial" w:cs="Arial" w:eastAsia="Arial" w:hAnsi="Arial"/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sz w:val="21"/>
          <w:szCs w:val="21"/>
          <w:rtl w:val="0"/>
        </w:rPr>
        <w:t xml:space="preserve">6.2 Flux cible (TO-BE)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Vision cible simple (bullet points / schéma externe si besoin) :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Nouveaux artefacts (tables, vues, topics, jobs, contrats…) 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Changements majeurs vs existant :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rFonts w:ascii="Arial" w:cs="Arial" w:eastAsia="Arial" w:hAnsi="Arial"/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sz w:val="21"/>
          <w:szCs w:val="21"/>
          <w:rtl w:val="0"/>
        </w:rPr>
        <w:t xml:space="preserve">Checklist flux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Les producers de données sont identifiés et alignés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Les consumers (dashboards, services, exports…) sont identifiés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Les transformations critiques et leurs owners sont clairs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Les impacts sur le catalogue / contrats de données sont notés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rFonts w:ascii="Arial" w:cs="Arial" w:eastAsia="Arial" w:hAnsi="Arial"/>
          <w:b w:val="1"/>
          <w:bCs w:val="1"/>
          <w:color w:val="292a2e"/>
        </w:rPr>
      </w:pPr>
      <w:bookmarkStart w:colFirst="0" w:colLast="0" w:name="_ss89odiixz0w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rtl w:val="0"/>
        </w:rPr>
        <w:t xml:space="preserve">7. 💡 Hypothèses &amp; tests</w:t>
      </w:r>
    </w:p>
    <w:tbl>
      <w:tblPr>
        <w:tblStyle w:val="Table3"/>
        <w:tblW w:w="9025.511811023624" w:type="dxa"/>
        <w:jc w:val="left"/>
        <w:tblBorders>
          <w:top w:color="dddee1" w:space="0" w:sz="7" w:val="single"/>
          <w:left w:color="dddee1" w:space="0" w:sz="7" w:val="single"/>
          <w:bottom w:color="dddee1" w:space="0" w:sz="7" w:val="single"/>
          <w:right w:color="dddee1" w:space="0" w:sz="7" w:val="single"/>
          <w:insideH w:color="dddee1" w:space="0" w:sz="7" w:val="single"/>
          <w:insideV w:color="dddee1" w:space="0" w:sz="7" w:val="single"/>
        </w:tblBorders>
        <w:tblLayout w:type="fixed"/>
        <w:tblLook w:val="0600"/>
      </w:tblPr>
      <w:tblGrid>
        <w:gridCol w:w="1504.2519685039372"/>
        <w:gridCol w:w="1504.2519685039372"/>
        <w:gridCol w:w="1504.2519685039372"/>
        <w:gridCol w:w="1504.2519685039372"/>
        <w:gridCol w:w="1504.2519685039372"/>
        <w:gridCol w:w="1504.2519685039372"/>
        <w:tblGridChange w:id="0">
          <w:tblGrid>
            <w:gridCol w:w="1504.2519685039372"/>
            <w:gridCol w:w="1504.2519685039372"/>
            <w:gridCol w:w="1504.2519685039372"/>
            <w:gridCol w:w="1504.2519685039372"/>
            <w:gridCol w:w="1504.2519685039372"/>
            <w:gridCol w:w="1504.2519685039372"/>
          </w:tblGrid>
        </w:tblGridChange>
      </w:tblGrid>
      <w:tr>
        <w:trPr>
          <w:cantSplit w:val="0"/>
          <w:trHeight w:val="169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#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Hypothèse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Impact si vraie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Impact si fausse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Comment tester (POC, requête, log…)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Statut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☐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rFonts w:ascii="Arial" w:cs="Arial" w:eastAsia="Arial" w:hAnsi="Arial"/>
          <w:b w:val="1"/>
          <w:bCs w:val="1"/>
          <w:color w:val="292a2e"/>
        </w:rPr>
      </w:pPr>
      <w:bookmarkStart w:colFirst="0" w:colLast="0" w:name="_qv2e56yyjdh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a2e"/>
          <w:rtl w:val="0"/>
        </w:rPr>
        <w:t xml:space="preserve">8. ✅ Data Quality (DQP)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rFonts w:ascii="Arial" w:cs="Arial" w:eastAsia="Arial" w:hAnsi="Arial"/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sz w:val="21"/>
          <w:szCs w:val="21"/>
          <w:rtl w:val="0"/>
        </w:rPr>
        <w:t xml:space="preserve">Dimensions à couvrir :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Freshness (fraîcheur)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Completeness (complétude)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Uniqueness (unicité / doublons)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Validity (conformité au schéma / règles métier)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Consistency (cohérence entre systèmes / tables)</w:t>
      </w:r>
    </w:p>
    <w:p w:rsidR="00000000" w:rsidDel="00000000" w:rsidP="00000000" w:rsidRDefault="00000000" w:rsidRPr="00000000" w14:paraId="0000009C">
      <w:pPr>
        <w:shd w:fill="ffffff" w:val="clear"/>
        <w:spacing w:before="240" w:lineRule="auto"/>
        <w:ind w:left="720" w:firstLine="0"/>
        <w:rPr>
          <w:rFonts w:ascii="Arial" w:cs="Arial" w:eastAsia="Arial" w:hAnsi="Arial"/>
          <w:color w:val="292a2e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10.0" w:type="dxa"/>
        <w:jc w:val="left"/>
        <w:tblBorders>
          <w:top w:color="dddee1" w:space="0" w:sz="7" w:val="single"/>
          <w:left w:color="dddee1" w:space="0" w:sz="7" w:val="single"/>
          <w:bottom w:color="dddee1" w:space="0" w:sz="7" w:val="single"/>
          <w:right w:color="dddee1" w:space="0" w:sz="7" w:val="single"/>
          <w:insideH w:color="dddee1" w:space="0" w:sz="7" w:val="single"/>
          <w:insideV w:color="dddee1" w:space="0" w:sz="7" w:val="single"/>
        </w:tblBorders>
        <w:tblLayout w:type="fixed"/>
        <w:tblLook w:val="0600"/>
      </w:tblPr>
      <w:tblGrid>
        <w:gridCol w:w="1500"/>
        <w:gridCol w:w="1500"/>
        <w:gridCol w:w="1500"/>
        <w:gridCol w:w="1815"/>
        <w:gridCol w:w="1545"/>
        <w:gridCol w:w="1950"/>
        <w:tblGridChange w:id="0">
          <w:tblGrid>
            <w:gridCol w:w="1500"/>
            <w:gridCol w:w="1500"/>
            <w:gridCol w:w="1500"/>
            <w:gridCol w:w="1815"/>
            <w:gridCol w:w="1545"/>
            <w:gridCol w:w="1950"/>
          </w:tblGrid>
        </w:tblGridChange>
      </w:tblGrid>
      <w:tr>
        <w:trPr>
          <w:cantSplit w:val="0"/>
          <w:trHeight w:val="2624.479248046875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Dimension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Règle / métrique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Cible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Méthode de contrôle (tests, monitoring…)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Fréquence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Owner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Freshness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Lag max entre source et silver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&lt;= … min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Completeness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% de champs obligatoires non nuls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= … %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Uniqueness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Doublons autorisés par clé de business ?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0 / tolérance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Validity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Champs dans un domaine de valeurs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100 % ok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Consistency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Alignement avec autre source de vérité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écart &lt;= …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rFonts w:ascii="Arial" w:cs="Arial" w:eastAsia="Arial" w:hAnsi="Arial"/>
          <w:b w:val="1"/>
          <w:bCs w:val="1"/>
          <w:color w:val="292a2e"/>
        </w:rPr>
      </w:pPr>
      <w:bookmarkStart w:colFirst="0" w:colLast="0" w:name="_8ounr5ane7z4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rtl w:val="0"/>
        </w:rPr>
        <w:t xml:space="preserve">9. 🔐 Gouvernance &amp; conformité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PII / RGPD : quels champs ? sur quels systèmes ?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Base légale / consentement (si applicable) :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Rétention et purge :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Lineage attendu (quelle traçabilité, avec quels outils ?) :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Accès &amp; rôles (qui peut lire / écrire / administrer ?) :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Logs / audit (qu’est-ce qu’on doit être capable d’expliquer / retracer ?) 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rFonts w:ascii="Arial" w:cs="Arial" w:eastAsia="Arial" w:hAnsi="Arial"/>
          <w:b w:val="1"/>
          <w:bCs w:val="1"/>
          <w:color w:val="292a2e"/>
        </w:rPr>
      </w:pPr>
      <w:bookmarkStart w:colFirst="0" w:colLast="0" w:name="_p48z1bkuwt7e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rtl w:val="0"/>
        </w:rPr>
        <w:t xml:space="preserve">10. ⚙️ Exigences non-fonctionnelles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SLA / disponibilité :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Latence max acceptable (ingestion / requête) :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Volumétrie cible (court terme / long terme) :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Coût (budget approximatif, contraintes FinOps) :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Observabilité (logs, métriques, alerting, dashboards techniques) 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rFonts w:ascii="Arial" w:cs="Arial" w:eastAsia="Arial" w:hAnsi="Arial"/>
          <w:b w:val="1"/>
          <w:bCs w:val="1"/>
          <w:color w:val="292a2e"/>
        </w:rPr>
      </w:pPr>
      <w:bookmarkStart w:colFirst="0" w:colLast="0" w:name="_52jmo7f06z7c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rtl w:val="0"/>
        </w:rPr>
        <w:t xml:space="preserve">11. ⚠️ Risques &amp; mitigations</w:t>
      </w:r>
    </w:p>
    <w:tbl>
      <w:tblPr>
        <w:tblStyle w:val="Table5"/>
        <w:tblW w:w="9025.511811023624" w:type="dxa"/>
        <w:jc w:val="left"/>
        <w:tblBorders>
          <w:top w:color="dddee1" w:space="0" w:sz="7" w:val="single"/>
          <w:left w:color="dddee1" w:space="0" w:sz="7" w:val="single"/>
          <w:bottom w:color="dddee1" w:space="0" w:sz="7" w:val="single"/>
          <w:right w:color="dddee1" w:space="0" w:sz="7" w:val="single"/>
          <w:insideH w:color="dddee1" w:space="0" w:sz="7" w:val="single"/>
          <w:insideV w:color="dddee1" w:space="0" w:sz="7" w:val="single"/>
        </w:tblBorders>
        <w:tblLayout w:type="fixed"/>
        <w:tblLook w:val="0600"/>
      </w:tblPr>
      <w:tblGrid>
        <w:gridCol w:w="1805.1023622047246"/>
        <w:gridCol w:w="1805.1023622047246"/>
        <w:gridCol w:w="1805.1023622047246"/>
        <w:gridCol w:w="1805.1023622047246"/>
        <w:gridCol w:w="1805.1023622047246"/>
        <w:tblGridChange w:id="0">
          <w:tblGrid>
            <w:gridCol w:w="1805.1023622047246"/>
            <w:gridCol w:w="1805.1023622047246"/>
            <w:gridCol w:w="1805.1023622047246"/>
            <w:gridCol w:w="1805.1023622047246"/>
            <w:gridCol w:w="1805.1023622047246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Risque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Probabilité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Impact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Mitigation envisagée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Owner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Faible / Moyen / Fort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Faible / Moyen / Fort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rFonts w:ascii="Arial" w:cs="Arial" w:eastAsia="Arial" w:hAnsi="Arial"/>
          <w:b w:val="1"/>
          <w:bCs w:val="1"/>
          <w:color w:val="292a2e"/>
        </w:rPr>
      </w:pPr>
      <w:bookmarkStart w:colFirst="0" w:colLast="0" w:name="_z75jsstykxag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rtl w:val="0"/>
        </w:rPr>
        <w:t xml:space="preserve">12. 🧾 Décisions (Decision log)</w:t>
      </w:r>
    </w:p>
    <w:tbl>
      <w:tblPr>
        <w:tblStyle w:val="Table6"/>
        <w:tblW w:w="9025.511811023624" w:type="dxa"/>
        <w:jc w:val="left"/>
        <w:tblBorders>
          <w:top w:color="dddee1" w:space="0" w:sz="7" w:val="single"/>
          <w:left w:color="dddee1" w:space="0" w:sz="7" w:val="single"/>
          <w:bottom w:color="dddee1" w:space="0" w:sz="7" w:val="single"/>
          <w:right w:color="dddee1" w:space="0" w:sz="7" w:val="single"/>
          <w:insideH w:color="dddee1" w:space="0" w:sz="7" w:val="single"/>
          <w:insideV w:color="dddee1" w:space="0" w:sz="7" w:val="single"/>
        </w:tblBorders>
        <w:tblLayout w:type="fixed"/>
        <w:tblLook w:val="0600"/>
      </w:tblPr>
      <w:tblGrid>
        <w:gridCol w:w="1805.1023622047246"/>
        <w:gridCol w:w="1805.1023622047246"/>
        <w:gridCol w:w="1805.1023622047246"/>
        <w:gridCol w:w="1805.1023622047246"/>
        <w:gridCol w:w="1805.1023622047246"/>
        <w:tblGridChange w:id="0">
          <w:tblGrid>
            <w:gridCol w:w="1805.1023622047246"/>
            <w:gridCol w:w="1805.1023622047246"/>
            <w:gridCol w:w="1805.1023622047246"/>
            <w:gridCol w:w="1805.1023622047246"/>
            <w:gridCol w:w="1805.1023622047246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Date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Décision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Alternatives considérées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Raison du choix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Qui a décidé ?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rFonts w:ascii="Arial" w:cs="Arial" w:eastAsia="Arial" w:hAnsi="Arial"/>
          <w:b w:val="1"/>
          <w:bCs w:val="1"/>
          <w:color w:val="292a2e"/>
        </w:rPr>
      </w:pPr>
      <w:bookmarkStart w:colFirst="0" w:colLast="0" w:name="_zi4dsu2hvtc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a2e"/>
          <w:rtl w:val="0"/>
        </w:rPr>
        <w:t xml:space="preserve">13. ❓ Questions ouvertes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Q1 :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Q2 :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11.35999999999996" w:lineRule="auto"/>
        <w:rPr>
          <w:rFonts w:ascii="Arial" w:cs="Arial" w:eastAsia="Arial" w:hAnsi="Arial"/>
          <w:color w:val="292a2e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highlight w:val="white"/>
          <w:rtl w:val="0"/>
        </w:rPr>
        <w:t xml:space="preserve">Mettre en évidence les questions bloquantes pour démarrer la delivery.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rFonts w:ascii="Arial" w:cs="Arial" w:eastAsia="Arial" w:hAnsi="Arial"/>
          <w:b w:val="1"/>
          <w:bCs w:val="1"/>
          <w:color w:val="292a2e"/>
        </w:rPr>
      </w:pPr>
      <w:bookmarkStart w:colFirst="0" w:colLast="0" w:name="_o39e88nzksj0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rtl w:val="0"/>
        </w:rPr>
        <w:t xml:space="preserve">14. 📦 Livrables &amp; Definition of Done (DoD)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rFonts w:ascii="Arial" w:cs="Arial" w:eastAsia="Arial" w:hAnsi="Arial"/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sz w:val="21"/>
          <w:szCs w:val="21"/>
          <w:rtl w:val="0"/>
        </w:rPr>
        <w:t xml:space="preserve">Livrables attendus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Schéma(s) de données validé(s)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Spécification technique / contrat de données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Jobs / pipelines décrits (fréquence, dépendances, monitoring)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Plan de tests data (qualité, volumétrie, perf)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Plan de monitoring &amp; alerting technique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Documentation Confluence / catalogue mise à jour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rFonts w:ascii="Arial" w:cs="Arial" w:eastAsia="Arial" w:hAnsi="Arial"/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sz w:val="21"/>
          <w:szCs w:val="21"/>
          <w:rtl w:val="0"/>
        </w:rPr>
        <w:t xml:space="preserve">DoD Discovery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Problème et objectifs validés avec PM / métier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Sources &amp; flux cibles clarifiés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Risques majeurs identifiés et arbitrés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Décisions clés documentées et partagées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rFonts w:ascii="Arial" w:cs="Arial" w:eastAsia="Arial" w:hAnsi="Arial"/>
          <w:b w:val="1"/>
          <w:bCs w:val="1"/>
          <w:color w:val="292a2e"/>
        </w:rPr>
      </w:pPr>
      <w:bookmarkStart w:colFirst="0" w:colLast="0" w:name="_nfoxjkicvi16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292a2e"/>
          <w:rtl w:val="0"/>
        </w:rPr>
        <w:t xml:space="preserve">15. 🗓️ Rétroplanning / Timebox (ex. 2–3 semaines)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dddee1" w:space="0" w:sz="7" w:val="single"/>
          <w:left w:color="dddee1" w:space="0" w:sz="7" w:val="single"/>
          <w:bottom w:color="dddee1" w:space="0" w:sz="7" w:val="single"/>
          <w:right w:color="dddee1" w:space="0" w:sz="7" w:val="single"/>
          <w:insideH w:color="dddee1" w:space="0" w:sz="7" w:val="single"/>
          <w:insideV w:color="dddee1" w:space="0" w:sz="7" w:val="single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Semaine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Objectifs principaux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shd w:fill="f0f1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Artefacts attendus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Semaine 1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Compréhension du besoin, inventaire des sources, mapping AS-IS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Problem statement, inventaire sources, premiers schémas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Semaine 2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Design flux cible, règles de qualité, risques &amp; décisions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Design TO-BE, règles DQP, decision log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Semaine 3 (optionnel)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Validation avec stakeholders, plan de delivery</w:t>
            </w:r>
          </w:p>
        </w:tc>
        <w:tc>
          <w:tcPr>
            <w:tcBorders>
              <w:top w:color="dddee1" w:space="0" w:sz="7" w:val="single"/>
              <w:left w:color="dddee1" w:space="0" w:sz="7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360" w:line="411.35999999999996" w:lineRule="auto"/>
              <w:rPr>
                <w:rFonts w:ascii="Arial" w:cs="Arial" w:eastAsia="Arial" w:hAnsi="Arial"/>
                <w:color w:val="292a2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92a2e"/>
                <w:sz w:val="21"/>
                <w:szCs w:val="21"/>
                <w:rtl w:val="0"/>
              </w:rPr>
              <w:t xml:space="preserve">Plan de delivery, DoD complété</w:t>
            </w:r>
          </w:p>
        </w:tc>
      </w:tr>
    </w:tbl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11.35999999999996" w:lineRule="auto"/>
        <w:rPr>
          <w:rFonts w:ascii="Arial" w:cs="Arial" w:eastAsia="Arial" w:hAnsi="Arial"/>
          <w:color w:val="292a2e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Adapte les semaines selon ta vraie timebox.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40" w:line="300" w:lineRule="auto"/>
        <w:rPr>
          <w:rFonts w:ascii="Arial" w:cs="Arial" w:eastAsia="Arial" w:hAnsi="Arial"/>
          <w:b w:val="1"/>
          <w:bCs w:val="1"/>
          <w:color w:val="292a2e"/>
        </w:rPr>
      </w:pPr>
      <w:bookmarkStart w:colFirst="0" w:colLast="0" w:name="_awujy8hyd2vh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92a2e"/>
          <w:rtl w:val="0"/>
        </w:rPr>
        <w:t xml:space="preserve">16. ✅ Checklist finale Discovery (Data Engineer)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Contexte et problème compris et validés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Périmètre clair (In / Out / contraintes)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Stakeholders &amp; RACI alignés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Sources et flux actuels documentés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Flux cible défini et compris par les consumers clés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Règles de qualité data définies et mesurables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Gouvernance (PII, rétention, accès) adressée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Exigences non-fonctionnelles cadrées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Risques majeurs et décisions arbitragées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92a2e"/>
          <w:sz w:val="21"/>
          <w:szCs w:val="21"/>
          <w:rtl w:val="0"/>
        </w:rPr>
        <w:t xml:space="preserve">[ ] Livrables et plan de delivery partagés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Inter Medium" w:cs="Inter Medium" w:eastAsia="Inter Medium" w:hAnsi="Inter Medium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rFonts w:ascii="Inter Medium" w:cs="Inter Medium" w:eastAsia="Inter Medium" w:hAnsi="Inter Medium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