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Microsoft YaHei"/>
          <w:b/>
          <w:i w:val="0"/>
          <w:color w:val="2E74B5"/>
        </w:rPr>
        <w:t>TECHNICAL DESIGN NOTE  /  ESP-IDF</w:t>
      </w:r>
    </w:p>
    <w:p>
      <w:pPr>
        <w:spacing w:after="80"/>
      </w:pPr>
      <w:r>
        <w:rPr>
          <w:rFonts w:ascii="Calibri" w:hAnsi="Calibri" w:eastAsia="Microsoft YaHei"/>
          <w:b/>
          <w:i w:val="0"/>
          <w:color w:val="1F4D78"/>
          <w:sz w:val="46"/>
        </w:rPr>
        <w:t>MinecraftCompass ESP-IDF 实现逻辑与任务评估</w:t>
      </w:r>
    </w:p>
    <w:p>
      <w:pPr>
        <w:spacing w:after="280"/>
      </w:pPr>
      <w:r>
        <w:rPr>
          <w:rFonts w:ascii="Calibri" w:hAnsi="Calibri" w:eastAsia="Microsoft YaHei"/>
          <w:b w:val="0"/>
          <w:i w:val="0"/>
          <w:color w:val="667085"/>
        </w:rPr>
        <w:t>ESP32-S3 · FreeRTOS · HMC5883L · GPS · WS2812 · SSD1306 OLED</w:t>
      </w:r>
    </w:p>
    <w:tbl>
      <w:tblPr>
        <w:tblW w:type="dxa" w:w="9360"/>
        <w:tblLayout w:type="fixed"/>
        <w:tblLook w:firstColumn="1" w:firstRow="1" w:lastColumn="0" w:lastRow="0" w:noHBand="0" w:noVBand="1" w:val="04A0"/>
        <w:jc w:val="left"/>
        <w:tblInd w:type="dxa" w:w="120"/>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1500"/>
        <w:gridCol w:w="7860"/>
      </w:tblGrid>
      <w:tr>
        <w:trPr>
          <w:tblHeader w:val="true"/>
        </w:trPr>
        <w:tc>
          <w:tcPr>
            <w:tcW w:type="dxa" w:w="1500"/>
            <w:shd w:fill="E8EEF5"/>
            <w:tcMar>
              <w:top w:w="80" w:type="dxa"/>
              <w:start w:w="120" w:type="dxa"/>
              <w:bottom w:w="80" w:type="dxa"/>
              <w:end w:w="120" w:type="dxa"/>
            </w:tcMar>
            <w:vAlign w:val="center"/>
          </w:tcPr>
          <w:p>
            <w:pPr>
              <w:spacing w:after="0"/>
            </w:pPr>
            <w:r/>
            <w:r>
              <w:rPr>
                <w:rFonts w:ascii="Calibri" w:hAnsi="Calibri" w:eastAsia="Microsoft YaHei"/>
                <w:b/>
                <w:i w:val="0"/>
                <w:color w:val="1F4D78"/>
              </w:rPr>
              <w:t>项目路径</w:t>
            </w:r>
          </w:p>
        </w:tc>
        <w:tc>
          <w:tcPr>
            <w:tcW w:type="dxa" w:w="7860"/>
            <w:tcMar>
              <w:top w:w="80" w:type="dxa"/>
              <w:start w:w="120" w:type="dxa"/>
              <w:bottom w:w="80" w:type="dxa"/>
              <w:end w:w="120" w:type="dxa"/>
            </w:tcMar>
            <w:vAlign w:val="center"/>
          </w:tcPr>
          <w:p>
            <w:pPr>
              <w:spacing w:after="0"/>
            </w:pPr>
            <w:r/>
            <w:r>
              <w:rPr>
                <w:rFonts w:ascii="Courier New" w:hAnsi="Courier New" w:eastAsia="Microsoft YaHei"/>
                <w:b w:val="0"/>
                <w:i w:val="0"/>
                <w:sz w:val="19"/>
              </w:rPr>
              <w:t>D:\Projects\ESP-IDF\MinecraftCompass</w:t>
            </w:r>
          </w:p>
        </w:tc>
      </w:tr>
      <w:tr>
        <w:tc>
          <w:tcPr>
            <w:tcW w:type="dxa" w:w="1500"/>
            <w:shd w:fill="E8EEF5"/>
            <w:tcMar>
              <w:top w:w="80" w:type="dxa"/>
              <w:start w:w="120" w:type="dxa"/>
              <w:bottom w:w="80" w:type="dxa"/>
              <w:end w:w="120" w:type="dxa"/>
            </w:tcMar>
            <w:vAlign w:val="center"/>
          </w:tcPr>
          <w:p>
            <w:pPr>
              <w:spacing w:after="0"/>
            </w:pPr>
            <w:r/>
            <w:r>
              <w:rPr>
                <w:rFonts w:ascii="Calibri" w:hAnsi="Calibri" w:eastAsia="Microsoft YaHei"/>
                <w:b/>
                <w:i w:val="0"/>
                <w:color w:val="1F4D78"/>
              </w:rPr>
              <w:t>文档范围</w:t>
            </w:r>
          </w:p>
        </w:tc>
        <w:tc>
          <w:tcPr>
            <w:tcW w:type="dxa" w:w="7860"/>
            <w:tcMar>
              <w:top w:w="80" w:type="dxa"/>
              <w:start w:w="120" w:type="dxa"/>
              <w:bottom w:w="80" w:type="dxa"/>
              <w:end w:w="120" w:type="dxa"/>
            </w:tcMar>
            <w:vAlign w:val="center"/>
          </w:tcPr>
          <w:p>
            <w:pPr>
              <w:spacing w:after="0"/>
            </w:pPr>
            <w:r/>
            <w:r>
              <w:rPr>
                <w:rFonts w:ascii="Calibri" w:hAnsi="Calibri" w:eastAsia="Microsoft YaHei"/>
                <w:b w:val="0"/>
                <w:i w:val="0"/>
              </w:rPr>
              <w:t>指南针、目标坐标、后台二维椭圆校准、显示与并发评估</w:t>
            </w:r>
          </w:p>
        </w:tc>
      </w:tr>
      <w:tr>
        <w:tc>
          <w:tcPr>
            <w:tcW w:type="dxa" w:w="1500"/>
            <w:shd w:fill="E8EEF5"/>
            <w:tcMar>
              <w:top w:w="80" w:type="dxa"/>
              <w:start w:w="120" w:type="dxa"/>
              <w:bottom w:w="80" w:type="dxa"/>
              <w:end w:w="120" w:type="dxa"/>
            </w:tcMar>
            <w:vAlign w:val="center"/>
          </w:tcPr>
          <w:p>
            <w:pPr>
              <w:spacing w:after="0"/>
            </w:pPr>
            <w:r/>
            <w:r>
              <w:rPr>
                <w:rFonts w:ascii="Calibri" w:hAnsi="Calibri" w:eastAsia="Microsoft YaHei"/>
                <w:b/>
                <w:i w:val="0"/>
                <w:color w:val="1F4D78"/>
              </w:rPr>
              <w:t>构建基线</w:t>
            </w:r>
          </w:p>
        </w:tc>
        <w:tc>
          <w:tcPr>
            <w:tcW w:type="dxa" w:w="7860"/>
            <w:tcMar>
              <w:top w:w="80" w:type="dxa"/>
              <w:start w:w="120" w:type="dxa"/>
              <w:bottom w:w="80" w:type="dxa"/>
              <w:end w:w="120" w:type="dxa"/>
            </w:tcMar>
            <w:vAlign w:val="center"/>
          </w:tcPr>
          <w:p>
            <w:pPr>
              <w:spacing w:after="0"/>
            </w:pPr>
            <w:r/>
            <w:r>
              <w:rPr>
                <w:rFonts w:ascii="Calibri" w:hAnsi="Calibri" w:eastAsia="Microsoft YaHei"/>
                <w:b w:val="0"/>
                <w:i w:val="0"/>
              </w:rPr>
              <w:t>ESP-IDF 5.5.5；最近一次构建成功，应用分区约 66% 空闲</w:t>
            </w:r>
          </w:p>
        </w:tc>
      </w:tr>
      <w:tr>
        <w:tc>
          <w:tcPr>
            <w:tcW w:type="dxa" w:w="1500"/>
            <w:shd w:fill="E8EEF5"/>
            <w:tcMar>
              <w:top w:w="80" w:type="dxa"/>
              <w:start w:w="120" w:type="dxa"/>
              <w:bottom w:w="80" w:type="dxa"/>
              <w:end w:w="120" w:type="dxa"/>
            </w:tcMar>
            <w:vAlign w:val="center"/>
          </w:tcPr>
          <w:p>
            <w:pPr>
              <w:spacing w:after="0"/>
            </w:pPr>
            <w:r/>
            <w:r>
              <w:rPr>
                <w:rFonts w:ascii="Calibri" w:hAnsi="Calibri" w:eastAsia="Microsoft YaHei"/>
                <w:b/>
                <w:i w:val="0"/>
                <w:color w:val="1F4D78"/>
              </w:rPr>
              <w:t>修订日期</w:t>
            </w:r>
          </w:p>
        </w:tc>
        <w:tc>
          <w:tcPr>
            <w:tcW w:type="dxa" w:w="7860"/>
            <w:tcMar>
              <w:top w:w="80" w:type="dxa"/>
              <w:start w:w="120" w:type="dxa"/>
              <w:bottom w:w="80" w:type="dxa"/>
              <w:end w:w="120" w:type="dxa"/>
            </w:tcMar>
            <w:vAlign w:val="center"/>
          </w:tcPr>
          <w:p>
            <w:pPr>
              <w:spacing w:after="0"/>
            </w:pPr>
            <w:r/>
            <w:r>
              <w:rPr>
                <w:rFonts w:ascii="Calibri" w:hAnsi="Calibri" w:eastAsia="Microsoft YaHei"/>
                <w:b w:val="0"/>
                <w:i w:val="0"/>
              </w:rPr>
              <w:t>2026-08-26</w:t>
            </w:r>
          </w:p>
        </w:tc>
      </w:tr>
    </w:tbl>
    <w:p/>
    <w:tbl>
      <w:tblPr>
        <w:tblW w:type="dxa" w:w="9360"/>
        <w:jc w:val="left"/>
        <w:tblLayout w:type="fixed"/>
        <w:tblLook w:firstColumn="1" w:firstRow="1" w:lastColumn="0" w:lastRow="0" w:noHBand="0" w:noVBand="1" w:val="04A0"/>
        <w:tblInd w:type="dxa" w:w="120"/>
        <w:tblBorders>
          <w:top w:val="single" w:sz="8" w:space="0" w:color="E8EEF5"/>
          <w:left w:val="single" w:sz="8" w:space="0" w:color="E8EEF5"/>
          <w:bottom w:val="single" w:sz="8" w:space="0" w:color="E8EEF5"/>
          <w:right w:val="single" w:sz="8" w:space="0" w:color="E8EEF5"/>
          <w:insideH w:val="single" w:sz="8" w:space="0" w:color="E8EEF5"/>
          <w:insideV w:val="single" w:sz="8" w:space="0" w:color="E8EEF5"/>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Calibri" w:hAnsi="Calibri" w:eastAsia="Microsoft YaHei"/>
                <w:b/>
                <w:i w:val="0"/>
                <w:color w:val="2E74B5"/>
              </w:rPr>
              <w:t>当前实现状态</w:t>
            </w:r>
          </w:p>
          <w:p>
            <w:pPr>
              <w:spacing w:after="0"/>
            </w:pPr>
            <w:r>
              <w:rPr>
                <w:rFonts w:ascii="Calibri" w:hAnsi="Calibri" w:eastAsia="Microsoft YaHei"/>
                <w:b w:val="0"/>
                <w:i w:val="0"/>
              </w:rPr>
              <w:t>源码已加入关键实现注释；HMC5883L 使用本地修正版以规避原始组件初始化崩溃；传感器安装角度偏转已集中到 APP_SENSOR_ANGLE_OFFSET_DEG（默认 0°）。本次已完成编译验证，尚未在本轮执行烧录或替代硬件实测。</w:t>
            </w:r>
          </w:p>
        </w:tc>
      </w:tr>
    </w:tbl>
    <w:p>
      <w:pPr>
        <w:pStyle w:val="Heading1"/>
      </w:pPr>
      <w:r>
        <w:t>1. 目标与硬件边界</w:t>
      </w:r>
    </w:p>
    <w:p>
      <w:r>
        <w:rPr>
          <w:rFonts w:ascii="Calibri" w:hAnsi="Calibri" w:eastAsia="Microsoft YaHei"/>
          <w:b w:val="0"/>
          <w:i w:val="0"/>
        </w:rPr>
        <w:t>本阶段固件在 ESP32-S3 上以 FreeRTOS 多任务方式持续运行：读取 HMC5883L 地磁数据，经过 NVS 中上一次可信校准参数的补偿后，输出磁北指南针或指向固定目标坐标的方向。GPIO5 按键切换两种模式；反向编号的 32 帧、56 像素 WS2812 点阵显示逻辑状态；SSD1306 OLED 显示模式、状态、GPS 和校准进度。</w:t>
      </w:r>
    </w:p>
    <w:p>
      <w:r>
        <w:rPr>
          <w:rFonts w:ascii="Calibri" w:hAnsi="Calibri" w:eastAsia="Microsoft YaHei"/>
          <w:b w:val="0"/>
          <w:i w:val="0"/>
        </w:rPr>
        <w:t>I2C 总线由 HMC5883L 与 OLED 共用，所有 OLED 事务和 HMC 读写都通过同一个应用层互斥锁串行化。GPS 为独立 UART，故 GPS 无效不会阻塞指南针模式。</w:t>
      </w:r>
    </w:p>
    <w:tbl>
      <w:tblPr>
        <w:tblW w:type="dxa" w:w="9360"/>
        <w:tblLayout w:type="fixed"/>
        <w:tblLook w:firstColumn="1" w:firstRow="1" w:lastColumn="0" w:lastRow="0" w:noHBand="0" w:noVBand="1" w:val="04A0"/>
        <w:jc w:val="left"/>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50"/>
        <w:gridCol w:w="1100"/>
        <w:gridCol w:w="5910"/>
      </w:tblGrid>
      <w:tr>
        <w:trPr>
          <w:tblHeader w:val="true"/>
        </w:trPr>
        <w:tc>
          <w:tcPr>
            <w:tcW w:type="dxa" w:w="235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功能</w:t>
            </w:r>
          </w:p>
        </w:tc>
        <w:tc>
          <w:tcPr>
            <w:tcW w:type="dxa" w:w="110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GPIO</w:t>
            </w:r>
          </w:p>
        </w:tc>
        <w:tc>
          <w:tcPr>
            <w:tcW w:type="dxa" w:w="591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实现约束</w:t>
            </w:r>
          </w:p>
        </w:tc>
      </w:tr>
      <w:tr>
        <w:tc>
          <w:tcPr>
            <w:tcW w:type="dxa" w:w="235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I2C SDA</w:t>
            </w:r>
          </w:p>
        </w:tc>
        <w:tc>
          <w:tcPr>
            <w:tcW w:type="dxa" w:w="110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GPIO1</w:t>
            </w:r>
          </w:p>
        </w:tc>
        <w:tc>
          <w:tcPr>
            <w:tcW w:type="dxa" w:w="591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HMC5883L + SSD1306 共用；OLED 默认地址 0x3C</w:t>
            </w:r>
          </w:p>
        </w:tc>
      </w:tr>
      <w:tr>
        <w:tc>
          <w:tcPr>
            <w:tcW w:type="dxa" w:w="235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I2C SCL</w:t>
            </w:r>
          </w:p>
        </w:tc>
        <w:tc>
          <w:tcPr>
            <w:tcW w:type="dxa" w:w="110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GPIO2</w:t>
            </w:r>
          </w:p>
        </w:tc>
        <w:tc>
          <w:tcPr>
            <w:tcW w:type="dxa" w:w="591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400 kHz；需确认外部上拉与电平兼容</w:t>
            </w:r>
          </w:p>
        </w:tc>
      </w:tr>
      <w:tr>
        <w:tc>
          <w:tcPr>
            <w:tcW w:type="dxa" w:w="235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GPS TX（MCU 侧）</w:t>
            </w:r>
          </w:p>
        </w:tc>
        <w:tc>
          <w:tcPr>
            <w:tcW w:type="dxa" w:w="110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GPIO3</w:t>
            </w:r>
          </w:p>
        </w:tc>
        <w:tc>
          <w:tcPr>
            <w:tcW w:type="dxa" w:w="591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ESP32 TX → GPS RX；UART2，9600 8N1</w:t>
            </w:r>
          </w:p>
        </w:tc>
      </w:tr>
      <w:tr>
        <w:tc>
          <w:tcPr>
            <w:tcW w:type="dxa" w:w="235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GPS RX（MCU 侧）</w:t>
            </w:r>
          </w:p>
        </w:tc>
        <w:tc>
          <w:tcPr>
            <w:tcW w:type="dxa" w:w="110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GPIO4</w:t>
            </w:r>
          </w:p>
        </w:tc>
        <w:tc>
          <w:tcPr>
            <w:tcW w:type="dxa" w:w="591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GPS TX → ESP32 RX；解析 GPRMC/GNRMC</w:t>
            </w:r>
          </w:p>
        </w:tc>
      </w:tr>
      <w:tr>
        <w:tc>
          <w:tcPr>
            <w:tcW w:type="dxa" w:w="235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模式按键</w:t>
            </w:r>
          </w:p>
        </w:tc>
        <w:tc>
          <w:tcPr>
            <w:tcW w:type="dxa" w:w="110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GPIO5</w:t>
            </w:r>
          </w:p>
        </w:tc>
        <w:tc>
          <w:tcPr>
            <w:tcW w:type="dxa" w:w="591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内部上拉；按下接 GND，稳定 40 ms 后切换</w:t>
            </w:r>
          </w:p>
        </w:tc>
      </w:tr>
      <w:tr>
        <w:tc>
          <w:tcPr>
            <w:tcW w:type="dxa" w:w="235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WS2812 数据</w:t>
            </w:r>
          </w:p>
        </w:tc>
        <w:tc>
          <w:tcPr>
            <w:tcW w:type="dxa" w:w="110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GPIO6</w:t>
            </w:r>
          </w:p>
        </w:tc>
        <w:tc>
          <w:tcPr>
            <w:tcW w:type="dxa" w:w="5910"/>
            <w:tcMar>
              <w:top w:w="80" w:type="dxa"/>
              <w:start w:w="120" w:type="dxa"/>
              <w:bottom w:w="80" w:type="dxa"/>
              <w:end w:w="120" w:type="dxa"/>
            </w:tcMar>
            <w:vAlign w:val="center"/>
          </w:tcPr>
          <w:p>
            <w:pPr>
              <w:spacing w:after="0" w:line="252" w:lineRule="auto"/>
            </w:pPr>
            <w:r>
              <w:rPr>
                <w:sz w:val="19"/>
              </w:rPr>
            </w:r>
            <w:r>
              <w:rPr>
                <w:rFonts w:ascii="Calibri" w:hAnsi="Calibri" w:eastAsia="Microsoft YaHei"/>
                <w:b w:val="0"/>
                <w:i w:val="0"/>
                <w:sz w:val="19"/>
              </w:rPr>
              <w:t>RMT 输出；GRB；亮度限制 30%</w:t>
            </w:r>
          </w:p>
        </w:tc>
      </w:tr>
    </w:tbl>
    <w:p>
      <w:pPr>
        <w:pStyle w:val="Heading1"/>
      </w:pPr>
      <w:r>
        <w:t>2. 软件模块与数据流</w:t>
      </w:r>
    </w:p>
    <w:p>
      <w:r>
        <w:rPr>
          <w:rFonts w:ascii="Calibri" w:hAnsi="Calibri" w:eastAsia="Microsoft YaHei"/>
          <w:b w:val="0"/>
          <w:i w:val="0"/>
        </w:rPr>
        <w:t>代码按“采集 → 最新值队列 → 计算 → UI”拆分，避免传感器、GPS 或显示设备的短暂异常扩散到整个应用。模块之间只共享小型快照或明确受保护的管理器。</w:t>
      </w:r>
    </w:p>
    <w:tbl>
      <w:tblPr>
        <w:tblW w:type="dxa" w:w="9360"/>
        <w:tblLayout w:type="fixed"/>
        <w:tblLook w:firstColumn="1" w:firstRow="1" w:lastColumn="0" w:lastRow="0" w:noHBand="0" w:noVBand="1" w:val="04A0"/>
        <w:jc w:val="left"/>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3000"/>
        <w:gridCol w:w="4560"/>
      </w:tblGrid>
      <w:tr>
        <w:trPr>
          <w:tblHeader w:val="true"/>
        </w:trPr>
        <w:tc>
          <w:tcPr>
            <w:tcW w:type="dxa" w:w="180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模块</w:t>
            </w:r>
          </w:p>
        </w:tc>
        <w:tc>
          <w:tcPr>
            <w:tcW w:type="dxa" w:w="300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职责</w:t>
            </w:r>
          </w:p>
        </w:tc>
        <w:tc>
          <w:tcPr>
            <w:tcW w:type="dxa" w:w="456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关键行为</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main.c</w:t>
            </w:r>
          </w:p>
        </w:tc>
        <w:tc>
          <w:tcPr>
            <w:tcW w:type="dxa" w:w="30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系统装配、I2C 互斥锁、队列、任务创建；指南针/目标方位数学</w:t>
            </w:r>
          </w:p>
        </w:tc>
        <w:tc>
          <w:tcPr>
            <w:tcW w:type="dxa" w:w="45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启动只做一次探测；磁力计后台重试；角度偏转在最终航向计算最前面应用</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calibration.c/.h</w:t>
            </w:r>
          </w:p>
        </w:tc>
        <w:tc>
          <w:tcPr>
            <w:tcW w:type="dxa" w:w="30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二维椭圆校准、异常点拒绝、可信度评估、NVS 读写</w:t>
            </w:r>
          </w:p>
        </w:tc>
        <w:tc>
          <w:tcPr>
            <w:tcW w:type="dxa" w:w="45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开机先加载上一组有效记录；低优先级任务持续收集；连续稳定拟合后才提交</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gps_service.c/.h</w:t>
            </w:r>
          </w:p>
        </w:tc>
        <w:tc>
          <w:tcPr>
            <w:tcW w:type="dxa" w:w="30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UART 接收与 NMEA RMC 校验/解析</w:t>
            </w:r>
          </w:p>
        </w:tc>
        <w:tc>
          <w:tcPr>
            <w:tcW w:type="dxa" w:w="45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校验和失败丢弃；只发布最新 GPS 快照；3 秒无新定位即失效</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ui_service.c/.h</w:t>
            </w:r>
          </w:p>
        </w:tc>
        <w:tc>
          <w:tcPr>
            <w:tcW w:type="dxa" w:w="30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WS2812 帧输出与 OLED 状态页</w:t>
            </w:r>
          </w:p>
        </w:tc>
        <w:tc>
          <w:tcPr>
            <w:tcW w:type="dxa" w:w="45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status=0 播放平滑随机旋转；OLED 5 Hz 限速且 I2C 超时有界</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oled_display.c/.h</w:t>
            </w:r>
          </w:p>
        </w:tc>
        <w:tc>
          <w:tcPr>
            <w:tcW w:type="dxa" w:w="30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SSD1306 framebuffer、文本/位图绘制、全屏刷新</w:t>
            </w:r>
          </w:p>
        </w:tc>
        <w:tc>
          <w:tcPr>
            <w:tcW w:type="dxa" w:w="45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借用 i2cdev 共享总线句柄；设备不存在时优雅降级</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components/hmc5883l</w:t>
            </w:r>
          </w:p>
        </w:tc>
        <w:tc>
          <w:tcPr>
            <w:tcW w:type="dxa" w:w="30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本地 HMC5883L 驱动修正版</w:t>
            </w:r>
          </w:p>
        </w:tc>
        <w:tc>
          <w:tcPr>
            <w:tcW w:type="dxa" w:w="45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修复上游枚举读取/寄存器掩码问题，避免初始化阶段非法访问</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compass_frames.h</w:t>
            </w:r>
          </w:p>
        </w:tc>
        <w:tc>
          <w:tcPr>
            <w:tcW w:type="dxa" w:w="30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32×56 预生成 RGB 帧</w:t>
            </w:r>
          </w:p>
        </w:tc>
        <w:tc>
          <w:tcPr>
            <w:tcW w:type="dxa" w:w="45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保持 WS2812 Test 的反向物理顺序：new[i] = old[55-i]</w:t>
            </w:r>
          </w:p>
        </w:tc>
      </w:tr>
    </w:tbl>
    <w:p>
      <w:pPr>
        <w:pStyle w:val="Heading2"/>
      </w:pPr>
      <w:r>
        <w:t>2.1 端到端数据流</w:t>
      </w:r>
    </w:p>
    <w:p>
      <w:pPr>
        <w:pStyle w:val="ListBullet"/>
      </w:pPr>
      <w:r>
        <w:rPr>
          <w:rFonts w:ascii="Calibri" w:hAnsi="Calibri" w:eastAsia="Microsoft YaHei"/>
          <w:b w:val="0"/>
          <w:i w:val="0"/>
        </w:rPr>
        <w:t>HMC5883L 每 20 ms 采样一次；有效样本覆盖一个长度为 1 的导航队列，并以非阻塞方式复制到校准队列。导航任务只取最新样本，因此显示计算不会积压。</w:t>
      </w:r>
    </w:p>
    <w:p>
      <w:pPr>
        <w:pStyle w:val="ListBullet"/>
      </w:pPr>
      <w:r>
        <w:rPr>
          <w:rFonts w:ascii="Calibri" w:hAnsi="Calibri" w:eastAsia="Microsoft YaHei"/>
          <w:b w:val="0"/>
          <w:i w:val="0"/>
        </w:rPr>
        <w:t>导航任务读取当前校准快照和最新 GPS/模式，完成硬铁偏移与椭圆圆化、航向低通、角度偏转、磁偏角修正、目标大圆初始方位和 32 帧量化，然后覆盖一个 UI 快照。</w:t>
      </w:r>
    </w:p>
    <w:p>
      <w:pPr>
        <w:pStyle w:val="ListBullet"/>
      </w:pPr>
      <w:r>
        <w:rPr>
          <w:rFonts w:ascii="Calibri" w:hAnsi="Calibri" w:eastAsia="Microsoft YaHei"/>
          <w:b w:val="0"/>
          <w:i w:val="0"/>
        </w:rPr>
        <w:t>UI 任务消费 UI 快照，按 status 选择预生成帧；status=0 表示数据不可信，使用动画而不伪装成有效方向。OLED 只展示诊断信息，不参与方向计算。</w:t>
      </w:r>
    </w:p>
    <w:p>
      <w:pPr>
        <w:pStyle w:val="ListBullet"/>
      </w:pPr>
      <w:r>
        <w:rPr>
          <w:rFonts w:ascii="Calibri" w:hAnsi="Calibri" w:eastAsia="Microsoft YaHei"/>
          <w:b w:val="0"/>
          <w:i w:val="0"/>
        </w:rPr>
        <w:t>校准任务在后台独立接收样本，经过样本门槛、椭圆拟合、MAD 异常剔除、覆盖率/残差/一致性检查后，才更新 RAM 并按 NVS 磨损保护策略持久化。</w:t>
      </w:r>
    </w:p>
    <w:p>
      <w:pPr>
        <w:pStyle w:val="Heading1"/>
      </w:pPr>
      <w:r>
        <w:t>3. FreeRTOS 任务优先级与阻塞性</w:t>
      </w:r>
    </w:p>
    <w:p>
      <w:r>
        <w:rPr>
          <w:rFonts w:ascii="Calibri" w:hAnsi="Calibri" w:eastAsia="Microsoft YaHei"/>
          <w:b w:val="0"/>
          <w:i w:val="0"/>
        </w:rPr>
        <w:t>ESP-IDF 任务优先级数值越大越紧急。本实现将时间敏感的采集与导航置于前面，将耗时拟合放在最低优先级；除明确的短超时外，不在高优先级任务中等待慢设备。</w:t>
      </w:r>
    </w:p>
    <w:tbl>
      <w:tblPr>
        <w:tblW w:type="dxa" w:w="9360"/>
        <w:tblLayout w:type="fixed"/>
        <w:tblLook w:firstColumn="1" w:firstRow="1" w:lastColumn="0" w:lastRow="0" w:noHBand="0" w:noVBand="1" w:val="04A0"/>
        <w:jc w:val="left"/>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20"/>
        <w:gridCol w:w="620"/>
        <w:gridCol w:w="650"/>
        <w:gridCol w:w="1450"/>
        <w:gridCol w:w="2860"/>
        <w:gridCol w:w="2360"/>
      </w:tblGrid>
      <w:tr>
        <w:trPr>
          <w:tblHeader w:val="true"/>
        </w:trPr>
        <w:tc>
          <w:tcPr>
            <w:tcW w:type="dxa" w:w="142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任务</w:t>
            </w:r>
          </w:p>
        </w:tc>
        <w:tc>
          <w:tcPr>
            <w:tcW w:type="dxa" w:w="62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优先级</w:t>
            </w:r>
          </w:p>
        </w:tc>
        <w:tc>
          <w:tcPr>
            <w:tcW w:type="dxa" w:w="65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栈</w:t>
            </w:r>
          </w:p>
        </w:tc>
        <w:tc>
          <w:tcPr>
            <w:tcW w:type="dxa" w:w="145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节拍/等待</w:t>
            </w:r>
          </w:p>
        </w:tc>
        <w:tc>
          <w:tcPr>
            <w:tcW w:type="dxa" w:w="286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阻塞边界</w:t>
            </w:r>
          </w:p>
        </w:tc>
        <w:tc>
          <w:tcPr>
            <w:tcW w:type="dxa" w:w="236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设计意图</w:t>
            </w:r>
          </w:p>
        </w:tc>
      </w:tr>
      <w:tr>
        <w:tc>
          <w:tcPr>
            <w:tcW w:type="dxa" w:w="14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mag_acquire</w:t>
            </w:r>
          </w:p>
        </w:tc>
        <w:tc>
          <w:tcPr>
            <w:tcW w:type="dxa" w:w="6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6</w:t>
            </w:r>
          </w:p>
        </w:tc>
        <w:tc>
          <w:tcPr>
            <w:tcW w:type="dxa" w:w="6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4096</w:t>
            </w:r>
          </w:p>
        </w:tc>
        <w:tc>
          <w:tcPr>
            <w:tcW w:type="dxa" w:w="14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20 ms / 50 Hz</w:t>
            </w:r>
          </w:p>
        </w:tc>
        <w:tc>
          <w:tcPr>
            <w:tcW w:type="dxa" w:w="28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I2C mutex 最多 250 ms（重试）或 100 ms（读数）；不等待消费者</w:t>
            </w:r>
          </w:p>
        </w:tc>
        <w:tc>
          <w:tcPr>
            <w:tcW w:type="dxa" w:w="23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保持磁力计新鲜度；连续 5 次失败后标记未配置并每 2 s 重试</w:t>
            </w:r>
          </w:p>
        </w:tc>
      </w:tr>
      <w:tr>
        <w:tc>
          <w:tcPr>
            <w:tcW w:type="dxa" w:w="14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navigation</w:t>
            </w:r>
          </w:p>
        </w:tc>
        <w:tc>
          <w:tcPr>
            <w:tcW w:type="dxa" w:w="6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5</w:t>
            </w:r>
          </w:p>
        </w:tc>
        <w:tc>
          <w:tcPr>
            <w:tcW w:type="dxa" w:w="6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4096</w:t>
            </w:r>
          </w:p>
        </w:tc>
        <w:tc>
          <w:tcPr>
            <w:tcW w:type="dxa" w:w="14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队列接收最多 50 ms</w:t>
            </w:r>
          </w:p>
        </w:tc>
        <w:tc>
          <w:tcPr>
            <w:tcW w:type="dxa" w:w="28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只读最新快照；计算为 CPU 短事务</w:t>
            </w:r>
          </w:p>
        </w:tc>
        <w:tc>
          <w:tcPr>
            <w:tcW w:type="dxa" w:w="23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传感器/GPS 过期即 status=0；航向使用圆周向量低通</w:t>
            </w:r>
          </w:p>
        </w:tc>
      </w:tr>
      <w:tr>
        <w:tc>
          <w:tcPr>
            <w:tcW w:type="dxa" w:w="14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gps</w:t>
            </w:r>
          </w:p>
        </w:tc>
        <w:tc>
          <w:tcPr>
            <w:tcW w:type="dxa" w:w="6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5</w:t>
            </w:r>
          </w:p>
        </w:tc>
        <w:tc>
          <w:tcPr>
            <w:tcW w:type="dxa" w:w="6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4096</w:t>
            </w:r>
          </w:p>
        </w:tc>
        <w:tc>
          <w:tcPr>
            <w:tcW w:type="dxa" w:w="14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UART 读取 20 ms</w:t>
            </w:r>
          </w:p>
        </w:tc>
        <w:tc>
          <w:tcPr>
            <w:tcW w:type="dxa" w:w="28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UART 空闲时短暂阻塞；不持有 I2C 锁</w:t>
            </w:r>
          </w:p>
        </w:tc>
        <w:tc>
          <w:tcPr>
            <w:tcW w:type="dxa" w:w="23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解析完整行，避免 GPS 接收拖慢指南针</w:t>
            </w:r>
          </w:p>
        </w:tc>
      </w:tr>
      <w:tr>
        <w:tc>
          <w:tcPr>
            <w:tcW w:type="dxa" w:w="14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button</w:t>
            </w:r>
          </w:p>
        </w:tc>
        <w:tc>
          <w:tcPr>
            <w:tcW w:type="dxa" w:w="6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4</w:t>
            </w:r>
          </w:p>
        </w:tc>
        <w:tc>
          <w:tcPr>
            <w:tcW w:type="dxa" w:w="6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2048</w:t>
            </w:r>
          </w:p>
        </w:tc>
        <w:tc>
          <w:tcPr>
            <w:tcW w:type="dxa" w:w="14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10 ms 轮询</w:t>
            </w:r>
          </w:p>
        </w:tc>
        <w:tc>
          <w:tcPr>
            <w:tcW w:type="dxa" w:w="28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无外设阻塞；40 ms 去抖</w:t>
            </w:r>
          </w:p>
        </w:tc>
        <w:tc>
          <w:tcPr>
            <w:tcW w:type="dxa" w:w="23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只在稳定低电平时产生一次模式切换</w:t>
            </w:r>
          </w:p>
        </w:tc>
      </w:tr>
      <w:tr>
        <w:tc>
          <w:tcPr>
            <w:tcW w:type="dxa" w:w="14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ui</w:t>
            </w:r>
          </w:p>
        </w:tc>
        <w:tc>
          <w:tcPr>
            <w:tcW w:type="dxa" w:w="6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3</w:t>
            </w:r>
          </w:p>
        </w:tc>
        <w:tc>
          <w:tcPr>
            <w:tcW w:type="dxa" w:w="6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4096</w:t>
            </w:r>
          </w:p>
        </w:tc>
        <w:tc>
          <w:tcPr>
            <w:tcW w:type="dxa" w:w="14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队列接收最多 20 ms</w:t>
            </w:r>
          </w:p>
        </w:tc>
        <w:tc>
          <w:tcPr>
            <w:tcW w:type="dxa" w:w="28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OLED 互斥锁最多 100 ms；刷新限速 200 ms</w:t>
            </w:r>
          </w:p>
        </w:tc>
        <w:tc>
          <w:tcPr>
            <w:tcW w:type="dxa" w:w="23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LED 立即刷新；OLED 失败只记录日志并继续</w:t>
            </w:r>
          </w:p>
        </w:tc>
      </w:tr>
      <w:tr>
        <w:tc>
          <w:tcPr>
            <w:tcW w:type="dxa" w:w="14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calibration</w:t>
            </w:r>
          </w:p>
        </w:tc>
        <w:tc>
          <w:tcPr>
            <w:tcW w:type="dxa" w:w="62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2</w:t>
            </w:r>
          </w:p>
        </w:tc>
        <w:tc>
          <w:tcPr>
            <w:tcW w:type="dxa" w:w="6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8192</w:t>
            </w:r>
          </w:p>
        </w:tc>
        <w:tc>
          <w:tcPr>
            <w:tcW w:type="dxa" w:w="145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xQueueReceive(portMAX_DELAY)</w:t>
            </w:r>
          </w:p>
        </w:tc>
        <w:tc>
          <w:tcPr>
            <w:tcW w:type="dxa" w:w="28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空闲时永久阻塞；拟合只在每 40 个新样本后执行</w:t>
            </w:r>
          </w:p>
        </w:tc>
        <w:tc>
          <w:tcPr>
            <w:tcW w:type="dxa" w:w="2360"/>
            <w:tcMar>
              <w:top w:w="80" w:type="dxa"/>
              <w:start w:w="120" w:type="dxa"/>
              <w:bottom w:w="80" w:type="dxa"/>
              <w:end w:w="120" w:type="dxa"/>
            </w:tcMar>
            <w:vAlign w:val="center"/>
          </w:tcPr>
          <w:p>
            <w:pPr>
              <w:spacing w:after="0" w:line="252" w:lineRule="auto"/>
            </w:pPr>
            <w:r>
              <w:rPr>
                <w:sz w:val="16"/>
              </w:rPr>
            </w:r>
            <w:r>
              <w:rPr>
                <w:rFonts w:ascii="Calibri" w:hAnsi="Calibri" w:eastAsia="Microsoft YaHei"/>
                <w:b w:val="0"/>
                <w:i w:val="0"/>
                <w:sz w:val="16"/>
              </w:rPr>
              <w:t>最低优先级，需 3 次相邻可信拟合才提交</w:t>
            </w:r>
          </w:p>
        </w:tc>
      </w:tr>
    </w:tbl>
    <w:p>
      <w:pPr>
        <w:pStyle w:val="Heading2"/>
      </w:pPr>
      <w:r>
        <w:t>3.1 队列、互斥锁与阻塞评估</w:t>
      </w:r>
    </w:p>
    <w:tbl>
      <w:tblPr>
        <w:tblW w:type="dxa" w:w="9360"/>
        <w:tblLayout w:type="fixed"/>
        <w:tblLook w:firstColumn="1" w:firstRow="1" w:lastColumn="0" w:lastRow="0" w:noHBand="0" w:noVBand="1" w:val="04A0"/>
        <w:jc w:val="left"/>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850"/>
        <w:gridCol w:w="2750"/>
        <w:gridCol w:w="3760"/>
      </w:tblGrid>
      <w:tr>
        <w:trPr>
          <w:tblHeader w:val="true"/>
        </w:trPr>
        <w:tc>
          <w:tcPr>
            <w:tcW w:type="dxa" w:w="285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资源</w:t>
            </w:r>
          </w:p>
        </w:tc>
        <w:tc>
          <w:tcPr>
            <w:tcW w:type="dxa" w:w="275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策略</w:t>
            </w:r>
          </w:p>
        </w:tc>
        <w:tc>
          <w:tcPr>
            <w:tcW w:type="dxa" w:w="376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阻塞/风险评估</w:t>
            </w:r>
          </w:p>
        </w:tc>
      </w:tr>
      <w:tr>
        <w:tc>
          <w:tcPr>
            <w:tcW w:type="dxa" w:w="28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magnetometer_navigation_queue</w:t>
            </w:r>
          </w:p>
        </w:tc>
        <w:tc>
          <w:tcPr>
            <w:tcW w:type="dxa" w:w="27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长度 1，xQueueOverwrite</w:t>
            </w:r>
          </w:p>
        </w:tc>
        <w:tc>
          <w:tcPr>
            <w:tcW w:type="dxa" w:w="37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只保留最新传感器值；不会因导航延迟堆积</w:t>
            </w:r>
          </w:p>
        </w:tc>
      </w:tr>
      <w:tr>
        <w:tc>
          <w:tcPr>
            <w:tcW w:type="dxa" w:w="28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magnetometer_calibration_queue</w:t>
            </w:r>
          </w:p>
        </w:tc>
        <w:tc>
          <w:tcPr>
            <w:tcW w:type="dxa" w:w="27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长度 64，xQueueSend(..., 0)</w:t>
            </w:r>
          </w:p>
        </w:tc>
        <w:tc>
          <w:tcPr>
            <w:tcW w:type="dxa" w:w="37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校准慢时丢弃最旧/新样本的风险被限制在校准质量，不反向阻塞采集</w:t>
            </w:r>
          </w:p>
        </w:tc>
      </w:tr>
      <w:tr>
        <w:tc>
          <w:tcPr>
            <w:tcW w:type="dxa" w:w="28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gps_queue / mode_queue / ui_queue</w:t>
            </w:r>
          </w:p>
        </w:tc>
        <w:tc>
          <w:tcPr>
            <w:tcW w:type="dxa" w:w="27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长度 1，最新值覆盖</w:t>
            </w:r>
          </w:p>
        </w:tc>
        <w:tc>
          <w:tcPr>
            <w:tcW w:type="dxa" w:w="37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状态快照天然允许丢弃中间版本</w:t>
            </w:r>
          </w:p>
        </w:tc>
      </w:tr>
      <w:tr>
        <w:tc>
          <w:tcPr>
            <w:tcW w:type="dxa" w:w="28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i2c_mutex</w:t>
            </w:r>
          </w:p>
        </w:tc>
        <w:tc>
          <w:tcPr>
            <w:tcW w:type="dxa" w:w="27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HMC 与 OLED 共享</w:t>
            </w:r>
          </w:p>
        </w:tc>
        <w:tc>
          <w:tcPr>
            <w:tcW w:type="dxa" w:w="37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所有持有点均有 100/250 ms 上限；避免 OLED 刷新饿死磁力计</w:t>
            </w:r>
          </w:p>
        </w:tc>
      </w:tr>
      <w:tr>
        <w:tc>
          <w:tcPr>
            <w:tcW w:type="dxa" w:w="28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NVS commit</w:t>
            </w:r>
          </w:p>
        </w:tc>
        <w:tc>
          <w:tcPr>
            <w:tcW w:type="dxa" w:w="27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仅校准任务执行</w:t>
            </w:r>
          </w:p>
        </w:tc>
        <w:tc>
          <w:tcPr>
            <w:tcW w:type="dxa" w:w="37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候选需连续稳定且距离上次保存 ≥5 分钟；Flash 写入不阻塞高优先级链路</w:t>
            </w:r>
          </w:p>
        </w:tc>
      </w:tr>
    </w:tbl>
    <w:p>
      <w:pPr>
        <w:pStyle w:val="Heading1"/>
      </w:pPr>
      <w:r>
        <w:t>4. 指南针与目标指向逻辑</w:t>
      </w:r>
    </w:p>
    <w:p>
      <w:pPr>
        <w:pStyle w:val="Heading2"/>
      </w:pPr>
      <w:r>
        <w:t>4.1 航向处理顺序</w:t>
      </w:r>
    </w:p>
    <w:p>
      <w:r>
        <w:rPr>
          <w:rFonts w:ascii="Calibri" w:hAnsi="Calibri" w:eastAsia="Microsoft YaHei"/>
          <w:b w:val="0"/>
          <w:i w:val="0"/>
        </w:rPr>
        <w:t>导航任务对每个新磁力计样本执行以下顺序；其中传感器安装偏转是用户可以直接调整的第一项角度修正：</w:t>
      </w:r>
    </w:p>
    <w:p>
      <w:pPr>
        <w:pStyle w:val="ListNumber"/>
      </w:pPr>
      <w:r>
        <w:rPr>
          <w:rFonts w:ascii="Calibri" w:hAnsi="Calibri" w:eastAsia="Microsoft YaHei"/>
          <w:b w:val="0"/>
          <w:i w:val="0"/>
        </w:rPr>
        <w:t>从校准快照中减去 offset_x/offset_y，再乘以 m00..m11 二维矩阵，把受硬铁偏移和软铁椭圆影响的轨迹圆化。</w:t>
      </w:r>
    </w:p>
    <w:p>
      <w:pPr>
        <w:pStyle w:val="ListNumber"/>
      </w:pPr>
      <w:r>
        <w:rPr>
          <w:rFonts w:ascii="Calibri" w:hAnsi="Calibri" w:eastAsia="Microsoft YaHei"/>
          <w:b w:val="0"/>
          <w:i w:val="0"/>
        </w:rPr>
        <w:t>按板级坐标约定计算 heading = atan2f(corrected_x, -corrected_y)；再加 APP_SENSOR_ANGLE_OFFSET_DEG（正值顺时针、负值逆时针）。</w:t>
      </w:r>
    </w:p>
    <w:p>
      <w:pPr>
        <w:pStyle w:val="ListNumber"/>
      </w:pPr>
      <w:r>
        <w:rPr>
          <w:rFonts w:ascii="Calibri" w:hAnsi="Calibri" w:eastAsia="Microsoft YaHei"/>
          <w:b w:val="0"/>
          <w:i w:val="0"/>
        </w:rPr>
        <w:t>加 APP_MAGNETIC_DECLINATION_DEG 后归一化到 [0°, 360°)，默认磁偏角为 0°，部署地需要按实际情况修改。</w:t>
      </w:r>
    </w:p>
    <w:p>
      <w:pPr>
        <w:pStyle w:val="ListNumber"/>
      </w:pPr>
      <w:r>
        <w:rPr>
          <w:rFonts w:ascii="Calibri" w:hAnsi="Calibri" w:eastAsia="Microsoft YaHei"/>
          <w:b w:val="0"/>
          <w:i w:val="0"/>
        </w:rPr>
        <w:t>用圆周向量的余弦/正弦进行一阶低通，避免 0°/360° 附近出现跳变。</w:t>
      </w:r>
    </w:p>
    <w:p>
      <w:pPr>
        <w:pStyle w:val="ListNumber"/>
      </w:pPr>
      <w:r>
        <w:rPr>
          <w:rFonts w:ascii="Calibri" w:hAnsi="Calibri" w:eastAsia="Microsoft YaHei"/>
          <w:b w:val="0"/>
          <w:i w:val="0"/>
        </w:rPr>
        <w:t>NORTH 模式使用相对磁北方向；TARGET 模式用 GPS 当前坐标到编译期目标坐标的初始大圆方位减去航向。</w:t>
      </w:r>
    </w:p>
    <w:p>
      <w:pPr>
        <w:pStyle w:val="ListNumber"/>
      </w:pPr>
      <w:r>
        <w:rPr>
          <w:rFonts w:ascii="Calibri" w:hAnsi="Calibri" w:eastAsia="Microsoft YaHei"/>
          <w:b w:val="0"/>
          <w:i w:val="0"/>
        </w:rPr>
        <w:t>最终用 11.25° 步长量化到 32 个状态，并增加 1.5° 滞回，降低 LED 帧边界抖动。</w:t>
      </w:r>
    </w:p>
    <w:tbl>
      <w:tblPr>
        <w:tblW w:type="dxa" w:w="9360"/>
        <w:jc w:val="left"/>
        <w:tblLayout w:type="fixed"/>
        <w:tblLook w:firstColumn="1" w:firstRow="1" w:lastColumn="0" w:lastRow="0" w:noHBand="0" w:noVBand="1" w:val="04A0"/>
        <w:tblInd w:type="dxa" w:w="120"/>
        <w:tblBorders>
          <w:top w:val="single" w:sz="8" w:space="0" w:color="FDF6E3"/>
          <w:left w:val="single" w:sz="8" w:space="0" w:color="FDF6E3"/>
          <w:bottom w:val="single" w:sz="8" w:space="0" w:color="FDF6E3"/>
          <w:right w:val="single" w:sz="8" w:space="0" w:color="FDF6E3"/>
          <w:insideH w:val="single" w:sz="8" w:space="0" w:color="FDF6E3"/>
          <w:insideV w:val="single" w:sz="8" w:space="0" w:color="FDF6E3"/>
        </w:tblBorders>
      </w:tblPr>
      <w:tblGrid>
        <w:gridCol w:w="9360"/>
      </w:tblGrid>
      <w:tr>
        <w:trPr>
          <w:tblHeader w:val="true"/>
        </w:trPr>
        <w:tc>
          <w:tcPr>
            <w:tcW w:type="dxa" w:w="9360"/>
            <w:tcMar>
              <w:top w:w="80" w:type="dxa"/>
              <w:start w:w="120" w:type="dxa"/>
              <w:bottom w:w="80" w:type="dxa"/>
              <w:end w:w="120" w:type="dxa"/>
            </w:tcMar>
            <w:vAlign w:val="center"/>
            <w:shd w:fill="FDF6E3"/>
          </w:tcPr>
          <w:p>
            <w:pPr>
              <w:spacing w:after="40"/>
            </w:pPr>
            <w:r>
              <w:rPr>
                <w:rFonts w:ascii="Calibri" w:hAnsi="Calibri" w:eastAsia="Microsoft YaHei"/>
                <w:b/>
                <w:i w:val="0"/>
                <w:color w:val="8A5A00"/>
              </w:rPr>
              <w:t>可调角度入口</w:t>
            </w:r>
          </w:p>
          <w:p>
            <w:pPr>
              <w:spacing w:after="0"/>
            </w:pPr>
            <w:r>
              <w:rPr>
                <w:rFonts w:ascii="Calibri" w:hAnsi="Calibri" w:eastAsia="Microsoft YaHei"/>
                <w:b w:val="0"/>
                <w:i w:val="0"/>
              </w:rPr>
              <w:t>在 main/app_config.h 文件最前面的 APP_SENSOR_ANGLE_OFFSET_DEG 修改安装偏转，单位为度；例如 +90.0f 表示最终航向顺时针增加 90°。修改后需要重新构建并烧录。</w:t>
            </w:r>
          </w:p>
        </w:tc>
      </w:tr>
    </w:tbl>
    <w:p>
      <w:pPr>
        <w:pStyle w:val="Heading2"/>
      </w:pPr>
      <w:r>
        <w:t>4.2 模式状态机</w:t>
      </w:r>
    </w:p>
    <w:tbl>
      <w:tblPr>
        <w:tblW w:type="dxa" w:w="9360"/>
        <w:tblLayout w:type="fixed"/>
        <w:tblLook w:firstColumn="1" w:firstRow="1" w:lastColumn="0" w:lastRow="0" w:noHBand="0" w:noVBand="1" w:val="04A0"/>
        <w:jc w:val="left"/>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700"/>
        <w:gridCol w:w="1700"/>
        <w:gridCol w:w="4960"/>
      </w:tblGrid>
      <w:tr>
        <w:trPr>
          <w:tblHeader w:val="true"/>
        </w:trPr>
        <w:tc>
          <w:tcPr>
            <w:tcW w:type="dxa" w:w="270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条件</w:t>
            </w:r>
          </w:p>
        </w:tc>
        <w:tc>
          <w:tcPr>
            <w:tcW w:type="dxa" w:w="170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逻辑状态</w:t>
            </w:r>
          </w:p>
        </w:tc>
        <w:tc>
          <w:tcPr>
            <w:tcW w:type="dxa" w:w="496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WS2812/OLED 表现</w:t>
            </w:r>
          </w:p>
        </w:tc>
      </w:tr>
      <w:tr>
        <w:tc>
          <w:tcPr>
            <w:tcW w:type="dxa" w:w="27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磁力计无有效或已过期样本</w:t>
            </w:r>
          </w:p>
        </w:tc>
        <w:tc>
          <w:tcPr>
            <w:tcW w:type="dxa" w:w="17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status=0</w:t>
            </w:r>
          </w:p>
        </w:tc>
        <w:tc>
          <w:tcPr>
            <w:tcW w:type="dxa" w:w="49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WS2812 平滑随机旋转；OLED HMC: WAIT/ERROR</w:t>
            </w:r>
          </w:p>
        </w:tc>
      </w:tr>
      <w:tr>
        <w:tc>
          <w:tcPr>
            <w:tcW w:type="dxa" w:w="27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NORTH + 磁力计有效</w:t>
            </w:r>
          </w:p>
        </w:tc>
        <w:tc>
          <w:tcPr>
            <w:tcW w:type="dxa" w:w="17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1..32</w:t>
            </w:r>
          </w:p>
        </w:tc>
        <w:tc>
          <w:tcPr>
            <w:tcW w:type="dxa" w:w="49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指向磁北的相对帧；OLED 显示 HDG</w:t>
            </w:r>
          </w:p>
        </w:tc>
      </w:tr>
      <w:tr>
        <w:tc>
          <w:tcPr>
            <w:tcW w:type="dxa" w:w="27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TARGET + GPS 新鲜</w:t>
            </w:r>
          </w:p>
        </w:tc>
        <w:tc>
          <w:tcPr>
            <w:tcW w:type="dxa" w:w="17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1..32</w:t>
            </w:r>
          </w:p>
        </w:tc>
        <w:tc>
          <w:tcPr>
            <w:tcW w:type="dxa" w:w="49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指向目标坐标的相对帧；OLED 显示 GPS FIX 与 bearing</w:t>
            </w:r>
          </w:p>
        </w:tc>
      </w:tr>
      <w:tr>
        <w:tc>
          <w:tcPr>
            <w:tcW w:type="dxa" w:w="27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TARGET + GPS 无新鲜定位</w:t>
            </w:r>
          </w:p>
        </w:tc>
        <w:tc>
          <w:tcPr>
            <w:tcW w:type="dxa" w:w="17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status=0</w:t>
            </w:r>
          </w:p>
        </w:tc>
        <w:tc>
          <w:tcPr>
            <w:tcW w:type="dxa" w:w="496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不显示伪目标方向；OLED GPS:WAIT TARGET</w:t>
            </w:r>
          </w:p>
        </w:tc>
      </w:tr>
    </w:tbl>
    <w:p>
      <w:pPr>
        <w:pStyle w:val="Heading1"/>
      </w:pPr>
      <w:r>
        <w:t>5. 后台二维椭圆校准与 NVS</w:t>
      </w:r>
    </w:p>
    <w:p>
      <w:r>
        <w:rPr>
          <w:rFonts w:ascii="Calibri" w:hAnsi="Calibri" w:eastAsia="Microsoft YaHei"/>
          <w:b w:val="0"/>
          <w:i w:val="0"/>
        </w:rPr>
        <w:t>校准不是启动前的阻塞步骤，而是持续运行的低优先级质量改进流程。开机时先读取并验证上一次 NVS 记录，立即应用于指南针；没有有效记录时使用单位矩阵，仍然进入主界面。</w:t>
      </w:r>
    </w:p>
    <w:p>
      <w:pPr>
        <w:pStyle w:val="Heading2"/>
      </w:pPr>
      <w:r>
        <w:t>5.1 样本与候选拟合</w:t>
      </w:r>
    </w:p>
    <w:tbl>
      <w:tblPr>
        <w:tblW w:type="dxa" w:w="9360"/>
        <w:tblLayout w:type="fixed"/>
        <w:tblLook w:firstColumn="1" w:firstRow="1" w:lastColumn="0" w:lastRow="0" w:noHBand="0" w:noVBand="1" w:val="04A0"/>
        <w:jc w:val="left"/>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3650"/>
        <w:gridCol w:w="3910"/>
      </w:tblGrid>
      <w:tr>
        <w:trPr>
          <w:tblHeader w:val="true"/>
        </w:trPr>
        <w:tc>
          <w:tcPr>
            <w:tcW w:type="dxa" w:w="180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阶段</w:t>
            </w:r>
          </w:p>
        </w:tc>
        <w:tc>
          <w:tcPr>
            <w:tcW w:type="dxa" w:w="365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实现</w:t>
            </w:r>
          </w:p>
        </w:tc>
        <w:tc>
          <w:tcPr>
            <w:tcW w:type="dxa" w:w="391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目的</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窗口</w:t>
            </w:r>
          </w:p>
        </w:tc>
        <w:tc>
          <w:tcPr>
            <w:tcW w:type="dxa" w:w="36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最多 720 个样本；最短 12 s；最长 120 s</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鼓励用户缓慢转过一圈以上，窗口过老则重新开始</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基础样本</w:t>
            </w:r>
          </w:p>
        </w:tc>
        <w:tc>
          <w:tcPr>
            <w:tcW w:type="dxa" w:w="36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场强 80–1800 mG；相邻 XY 位移至少 2 mG；拒绝 NaN/Inf</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防止断线、饱和或静止噪声污染模型</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中心估计</w:t>
            </w:r>
          </w:p>
        </w:tc>
        <w:tc>
          <w:tcPr>
            <w:tcW w:type="dxa" w:w="36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X/Y 内侧 95% 极值范围的中点</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比直接使用单点极值更抗磁性尖峰</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软铁补偿</w:t>
            </w:r>
          </w:p>
        </w:tc>
        <w:tc>
          <w:tcPr>
            <w:tcW w:type="dxa" w:w="36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协方差特征分解 + 二维 whitening 矩阵</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将椭圆轨迹变换为近似圆形</w:t>
            </w:r>
          </w:p>
        </w:tc>
      </w:tr>
      <w:tr>
        <w:tc>
          <w:tcPr>
            <w:tcW w:type="dxa" w:w="18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异常点</w:t>
            </w:r>
          </w:p>
        </w:tc>
        <w:tc>
          <w:tcPr>
            <w:tcW w:type="dxa" w:w="36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以初始半径中位数和 MAD 估计内点边界</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只使用可信内点重新拟合</w:t>
            </w:r>
          </w:p>
        </w:tc>
      </w:tr>
    </w:tbl>
    <w:p>
      <w:pPr>
        <w:pStyle w:val="Heading2"/>
      </w:pPr>
      <w:r>
        <w:t>5.2 可信度门槛</w:t>
      </w:r>
    </w:p>
    <w:tbl>
      <w:tblPr>
        <w:tblW w:type="dxa" w:w="9360"/>
        <w:tblLayout w:type="fixed"/>
        <w:tblLook w:firstColumn="1" w:firstRow="1" w:lastColumn="0" w:lastRow="0" w:noHBand="0" w:noVBand="1" w:val="04A0"/>
        <w:jc w:val="left"/>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50"/>
        <w:gridCol w:w="3300"/>
        <w:gridCol w:w="3910"/>
      </w:tblGrid>
      <w:tr>
        <w:trPr>
          <w:tblHeader w:val="true"/>
        </w:trPr>
        <w:tc>
          <w:tcPr>
            <w:tcW w:type="dxa" w:w="215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指标</w:t>
            </w:r>
          </w:p>
        </w:tc>
        <w:tc>
          <w:tcPr>
            <w:tcW w:type="dxa" w:w="330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阈值</w:t>
            </w:r>
          </w:p>
        </w:tc>
        <w:tc>
          <w:tcPr>
            <w:tcW w:type="dxa" w:w="391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工程含义</w:t>
            </w:r>
          </w:p>
        </w:tc>
      </w:tr>
      <w:tr>
        <w:tc>
          <w:tcPr>
            <w:tcW w:type="dxa" w:w="21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数量与时间</w:t>
            </w:r>
          </w:p>
        </w:tc>
        <w:tc>
          <w:tcPr>
            <w:tcW w:type="dxa" w:w="33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≥240 个有效变化样本；跨度 ≥12 s；窗口 ≤120 s</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不足时只显示 calibrating</w:t>
            </w:r>
          </w:p>
        </w:tc>
      </w:tr>
      <w:tr>
        <w:tc>
          <w:tcPr>
            <w:tcW w:type="dxa" w:w="21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方向覆盖</w:t>
            </w:r>
          </w:p>
        </w:tc>
        <w:tc>
          <w:tcPr>
            <w:tcW w:type="dxa" w:w="33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24 个角度箱至少占 20 个；最长连续空缺 ≤4 箱</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避免只在局部角度拟合</w:t>
            </w:r>
          </w:p>
        </w:tc>
      </w:tr>
      <w:tr>
        <w:tc>
          <w:tcPr>
            <w:tcW w:type="dxa" w:w="21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内点质量</w:t>
            </w:r>
          </w:p>
        </w:tc>
        <w:tc>
          <w:tcPr>
            <w:tcW w:type="dxa" w:w="33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内点率 ≥80%；X/Y 轴跨度至少 80 mG</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拒绝严重异常或活动范围太小</w:t>
            </w:r>
          </w:p>
        </w:tc>
      </w:tr>
      <w:tr>
        <w:tc>
          <w:tcPr>
            <w:tcW w:type="dxa" w:w="21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椭圆形状</w:t>
            </w:r>
          </w:p>
        </w:tc>
        <w:tc>
          <w:tcPr>
            <w:tcW w:type="dxa" w:w="33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轴比 ≤4.0；圆化半径 CV ≤0.20</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限制矩阵病态与残差</w:t>
            </w:r>
          </w:p>
        </w:tc>
      </w:tr>
      <w:tr>
        <w:tc>
          <w:tcPr>
            <w:tcW w:type="dxa" w:w="21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综合置信度</w:t>
            </w:r>
          </w:p>
        </w:tc>
        <w:tc>
          <w:tcPr>
            <w:tcW w:type="dxa" w:w="33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confidence ≥0.82；连续 3 次拟合参数一致</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避免一次偶然通过就替换当前校准</w:t>
            </w:r>
          </w:p>
        </w:tc>
      </w:tr>
      <w:tr>
        <w:tc>
          <w:tcPr>
            <w:tcW w:type="dxa" w:w="215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持久化</w:t>
            </w:r>
          </w:p>
        </w:tc>
        <w:tc>
          <w:tcPr>
            <w:tcW w:type="dxa" w:w="330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NVS 写入间隔 ≥5 分钟；带 magic/version/size/sequence/checksum</w:t>
            </w:r>
          </w:p>
        </w:tc>
        <w:tc>
          <w:tcPr>
            <w:tcW w:type="dxa" w:w="3910"/>
            <w:tcMar>
              <w:top w:w="80" w:type="dxa"/>
              <w:start w:w="120" w:type="dxa"/>
              <w:bottom w:w="80" w:type="dxa"/>
              <w:end w:w="120" w:type="dxa"/>
            </w:tcMar>
            <w:vAlign w:val="center"/>
          </w:tcPr>
          <w:p>
            <w:pPr>
              <w:spacing w:after="0" w:line="252" w:lineRule="auto"/>
            </w:pPr>
            <w:r>
              <w:rPr>
                <w:sz w:val="18"/>
              </w:rPr>
            </w:r>
            <w:r>
              <w:rPr>
                <w:rFonts w:ascii="Calibri" w:hAnsi="Calibri" w:eastAsia="Microsoft YaHei"/>
                <w:b w:val="0"/>
                <w:i w:val="0"/>
                <w:sz w:val="18"/>
              </w:rPr>
              <w:t>控制 Flash 磨损并防止坏记录启动</w:t>
            </w:r>
          </w:p>
        </w:tc>
      </w:tr>
    </w:tbl>
    <w:tbl>
      <w:tblPr>
        <w:tblW w:type="dxa" w:w="9360"/>
        <w:jc w:val="left"/>
        <w:tblLayout w:type="fixed"/>
        <w:tblLook w:firstColumn="1" w:firstRow="1" w:lastColumn="0" w:lastRow="0" w:noHBand="0" w:noVBand="1" w:val="04A0"/>
        <w:tblInd w:type="dxa" w:w="120"/>
        <w:tblBorders>
          <w:top w:val="single" w:sz="8" w:space="0" w:color="F0FDF4"/>
          <w:left w:val="single" w:sz="8" w:space="0" w:color="F0FDF4"/>
          <w:bottom w:val="single" w:sz="8" w:space="0" w:color="F0FDF4"/>
          <w:right w:val="single" w:sz="8" w:space="0" w:color="F0FDF4"/>
          <w:insideH w:val="single" w:sz="8" w:space="0" w:color="F0FDF4"/>
          <w:insideV w:val="single" w:sz="8" w:space="0" w:color="F0FDF4"/>
        </w:tblBorders>
      </w:tblPr>
      <w:tblGrid>
        <w:gridCol w:w="9360"/>
      </w:tblGrid>
      <w:tr>
        <w:trPr>
          <w:tblHeader w:val="true"/>
        </w:trPr>
        <w:tc>
          <w:tcPr>
            <w:tcW w:type="dxa" w:w="9360"/>
            <w:tcMar>
              <w:top w:w="80" w:type="dxa"/>
              <w:start w:w="120" w:type="dxa"/>
              <w:bottom w:w="80" w:type="dxa"/>
              <w:end w:w="120" w:type="dxa"/>
            </w:tcMar>
            <w:vAlign w:val="center"/>
            <w:shd w:fill="F0FDF4"/>
          </w:tcPr>
          <w:p>
            <w:pPr>
              <w:spacing w:after="40"/>
            </w:pPr>
            <w:r>
              <w:rPr>
                <w:rFonts w:ascii="Calibri" w:hAnsi="Calibri" w:eastAsia="Microsoft YaHei"/>
                <w:b/>
                <w:i w:val="0"/>
                <w:color w:val="146C43"/>
              </w:rPr>
              <w:t>OLED 提示含义</w:t>
            </w:r>
          </w:p>
          <w:p>
            <w:pPr>
              <w:spacing w:after="0"/>
            </w:pPr>
            <w:r>
              <w:rPr>
                <w:rFonts w:ascii="Calibri" w:hAnsi="Calibri" w:eastAsia="Microsoft YaHei"/>
                <w:b w:val="0"/>
                <w:i w:val="0"/>
              </w:rPr>
              <w:t>已加载或新应用的记录显示 calibrated(Xs)，X 是这组校准数据从本次开机起已经应用的秒数；没有有效当前记录时显示 calibrating(覆盖率%)。</w:t>
            </w:r>
          </w:p>
        </w:tc>
      </w:tr>
    </w:tbl>
    <w:p>
      <w:pPr>
        <w:pStyle w:val="Heading1"/>
      </w:pPr>
      <w:r>
        <w:t>6. 运行时故障与降级策略</w:t>
      </w:r>
    </w:p>
    <w:tbl>
      <w:tblPr>
        <w:tblW w:type="dxa" w:w="9360"/>
        <w:tblLayout w:type="fixed"/>
        <w:tblLook w:firstColumn="1" w:firstRow="1" w:lastColumn="0" w:lastRow="0" w:noHBand="0" w:noVBand="1" w:val="04A0"/>
        <w:jc w:val="left"/>
        <w:tblInd w:type="dxa" w:w="12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3520"/>
        <w:gridCol w:w="3640"/>
      </w:tblGrid>
      <w:tr>
        <w:trPr>
          <w:tblHeader w:val="true"/>
        </w:trPr>
        <w:tc>
          <w:tcPr>
            <w:tcW w:type="dxa" w:w="220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场景</w:t>
            </w:r>
          </w:p>
        </w:tc>
        <w:tc>
          <w:tcPr>
            <w:tcW w:type="dxa" w:w="352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原因</w:t>
            </w:r>
          </w:p>
        </w:tc>
        <w:tc>
          <w:tcPr>
            <w:tcW w:type="dxa" w:w="3640"/>
            <w:tcMar>
              <w:top w:w="80" w:type="dxa"/>
              <w:start w:w="120" w:type="dxa"/>
              <w:bottom w:w="80" w:type="dxa"/>
              <w:end w:w="120" w:type="dxa"/>
            </w:tcMar>
            <w:vAlign w:val="center"/>
            <w:shd w:fill="E8EEF5"/>
          </w:tcPr>
          <w:p>
            <w:pPr>
              <w:spacing w:after="0"/>
            </w:pPr>
            <w:r/>
            <w:r>
              <w:rPr>
                <w:rFonts w:ascii="Calibri" w:hAnsi="Calibri" w:eastAsia="Microsoft YaHei"/>
                <w:b/>
                <w:i w:val="0"/>
                <w:color w:val="1F4D78"/>
              </w:rPr>
              <w:t>当前处理</w:t>
            </w:r>
          </w:p>
        </w:tc>
      </w:tr>
      <w:tr>
        <w:tc>
          <w:tcPr>
            <w:tcW w:type="dxa" w:w="220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HMC5883L 初始化崩溃</w:t>
            </w:r>
          </w:p>
        </w:tc>
        <w:tc>
          <w:tcPr>
            <w:tcW w:type="dxa" w:w="352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原始上游组件将单字节寄存器读入未初始化枚举并在配置掩码更新中存在问题，ESP32-S3 上可能触发非法访问。</w:t>
            </w:r>
          </w:p>
        </w:tc>
        <w:tc>
          <w:tcPr>
            <w:tcW w:type="dxa" w:w="364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项目内置 components/hmc5883l 修正版：先读 uint8_t、校验枚举边界、使用正确位掩码；本次构建已验证通过。</w:t>
            </w:r>
          </w:p>
        </w:tc>
      </w:tr>
      <w:tr>
        <w:tc>
          <w:tcPr>
            <w:tcW w:type="dxa" w:w="220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HMC 暂时不可用</w:t>
            </w:r>
          </w:p>
        </w:tc>
        <w:tc>
          <w:tcPr>
            <w:tcW w:type="dxa" w:w="352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I2C 拔插、地址/上拉错误或读取超时。</w:t>
            </w:r>
          </w:p>
        </w:tc>
        <w:tc>
          <w:tcPr>
            <w:tcW w:type="dxa" w:w="364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采集任务每 2 s 重试；连续 5 次失败后 status=0，LED 播放无效动画，其他任务继续。</w:t>
            </w:r>
          </w:p>
        </w:tc>
      </w:tr>
      <w:tr>
        <w:tc>
          <w:tcPr>
            <w:tcW w:type="dxa" w:w="220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OLED 不存在或刷新失败</w:t>
            </w:r>
          </w:p>
        </w:tc>
        <w:tc>
          <w:tcPr>
            <w:tcW w:type="dxa" w:w="352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设备探测失败或共享 I2C 忙。</w:t>
            </w:r>
          </w:p>
        </w:tc>
        <w:tc>
          <w:tcPr>
            <w:tcW w:type="dxa" w:w="364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创建阶段返回 NULL；运行中只记录警告，WS2812 与日志继续工作。</w:t>
            </w:r>
          </w:p>
        </w:tc>
      </w:tr>
      <w:tr>
        <w:tc>
          <w:tcPr>
            <w:tcW w:type="dxa" w:w="220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GPS 没有定位</w:t>
            </w:r>
          </w:p>
        </w:tc>
        <w:tc>
          <w:tcPr>
            <w:tcW w:type="dxa" w:w="352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RMC 状态无效或最后定位超过 3 s。</w:t>
            </w:r>
          </w:p>
        </w:tc>
        <w:tc>
          <w:tcPr>
            <w:tcW w:type="dxa" w:w="364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TARGET 模式回到 status=0；NORTH 模式不依赖 GPS。</w:t>
            </w:r>
          </w:p>
        </w:tc>
      </w:tr>
      <w:tr>
        <w:tc>
          <w:tcPr>
            <w:tcW w:type="dxa" w:w="220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校准不可信</w:t>
            </w:r>
          </w:p>
        </w:tc>
        <w:tc>
          <w:tcPr>
            <w:tcW w:type="dxa" w:w="352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覆盖不足、异常点过多、轴比/残差超限或拟合不稳定。</w:t>
            </w:r>
          </w:p>
        </w:tc>
        <w:tc>
          <w:tcPr>
            <w:tcW w:type="dxa" w:w="3640"/>
            <w:tcMar>
              <w:top w:w="80" w:type="dxa"/>
              <w:start w:w="120" w:type="dxa"/>
              <w:bottom w:w="80" w:type="dxa"/>
              <w:end w:w="120" w:type="dxa"/>
            </w:tcMar>
            <w:vAlign w:val="center"/>
          </w:tcPr>
          <w:p>
            <w:pPr>
              <w:spacing w:after="0" w:line="252" w:lineRule="auto"/>
            </w:pPr>
            <w:r>
              <w:rPr>
                <w:sz w:val="17"/>
              </w:rPr>
            </w:r>
            <w:r>
              <w:rPr>
                <w:rFonts w:ascii="Calibri" w:hAnsi="Calibri" w:eastAsia="Microsoft YaHei"/>
                <w:b w:val="0"/>
                <w:i w:val="0"/>
                <w:sz w:val="17"/>
              </w:rPr>
              <w:t>保持上一组可信参数；不把候选写入 NVS。</w:t>
            </w:r>
          </w:p>
        </w:tc>
      </w:tr>
    </w:tbl>
    <w:p>
      <w:pPr>
        <w:pStyle w:val="SmallNote"/>
      </w:pPr>
      <w:r>
        <w:rPr>
          <w:rFonts w:ascii="Calibri" w:hAnsi="Calibri" w:eastAsia="Microsoft YaHei"/>
          <w:b w:val="0"/>
          <w:i w:val="0"/>
        </w:rPr>
        <w:t>评估结论：高优先级链路的等待都是有界的，低优先级校准可被抢占；系统的主要剩余风险属于硬件方向约定、I2C 电气条件和现场磁环境，需要实机旋转与日志验证，而不是继续增加任务复杂度。</w:t>
      </w:r>
    </w:p>
    <w:p>
      <w:pPr>
        <w:pStyle w:val="Heading1"/>
      </w:pPr>
      <w:r>
        <w:t>7. 首次上电与现场验证清单</w:t>
      </w:r>
    </w:p>
    <w:p>
      <w:pPr>
        <w:pStyle w:val="ListNumber"/>
      </w:pPr>
      <w:r>
        <w:rPr>
          <w:rFonts w:ascii="Calibri" w:hAnsi="Calibri" w:eastAsia="Microsoft YaHei"/>
          <w:b w:val="0"/>
          <w:i w:val="0"/>
        </w:rPr>
        <w:t>确认 HMC5883L 与 SSD1306 均接到 GPIO1/GPIO2，I2C 上拉、电源电压和 OLED 地址 0x3C 正确。</w:t>
      </w:r>
    </w:p>
    <w:p>
      <w:pPr>
        <w:pStyle w:val="ListNumber"/>
      </w:pPr>
      <w:r>
        <w:rPr>
          <w:rFonts w:ascii="Calibri" w:hAnsi="Calibri" w:eastAsia="Microsoft YaHei"/>
          <w:b w:val="0"/>
          <w:i w:val="0"/>
        </w:rPr>
        <w:t>确认 GPS 交叉连接：ESP32 GPIO3（TX）接 GPS RX，ESP32 GPIO4（RX）接 GPS TX；按键 GPIO5 另一端接 GND；WS2812 数据接 GPIO6。</w:t>
      </w:r>
    </w:p>
    <w:p>
      <w:pPr>
        <w:pStyle w:val="ListNumber"/>
      </w:pPr>
      <w:r>
        <w:rPr>
          <w:rFonts w:ascii="Calibri" w:hAnsi="Calibri" w:eastAsia="Microsoft YaHei"/>
          <w:b w:val="0"/>
          <w:i w:val="0"/>
        </w:rPr>
        <w:t>根据传感器实际安装方向修改 APP_SENSOR_ANGLE_OFFSET_DEG；正值使最终读数顺时针增加。必要时设置当地磁偏角。</w:t>
      </w:r>
    </w:p>
    <w:p>
      <w:pPr>
        <w:pStyle w:val="ListNumber"/>
      </w:pPr>
      <w:r>
        <w:rPr>
          <w:rFonts w:ascii="Calibri" w:hAnsi="Calibri" w:eastAsia="Microsoft YaHei"/>
          <w:b w:val="0"/>
          <w:i w:val="0"/>
        </w:rPr>
        <w:t>上电观察日志：应先看到加载校准/单位矩阵、HMC 探测结果、OLED/WS2812 初始化结果；任何单个外设失败都不应阻止任务创建。</w:t>
      </w:r>
    </w:p>
    <w:p>
      <w:pPr>
        <w:pStyle w:val="ListNumber"/>
      </w:pPr>
      <w:r>
        <w:rPr>
          <w:rFonts w:ascii="Calibri" w:hAnsi="Calibri" w:eastAsia="Microsoft YaHei"/>
          <w:b w:val="0"/>
          <w:i w:val="0"/>
        </w:rPr>
        <w:t>手持设备缓慢、连续地转动超过一圈，尽量覆盖所有方向；观察 OLED 的 calibrating(%) 和日志中的 Candidate。</w:t>
      </w:r>
    </w:p>
    <w:p>
      <w:pPr>
        <w:pStyle w:val="ListNumber"/>
      </w:pPr>
      <w:r>
        <w:rPr>
          <w:rFonts w:ascii="Calibri" w:hAnsi="Calibri" w:eastAsia="Microsoft YaHei"/>
          <w:b w:val="0"/>
          <w:i w:val="0"/>
        </w:rPr>
        <w:t>看到 calibrated(Xs) 后，再在 NORTH 模式比较已知方向，在 TARGET 模式等待 GPS FIX 后比较目标方位；记录 status=0 出现的原因。</w:t>
      </w:r>
    </w:p>
    <w:p>
      <w:pPr>
        <w:pStyle w:val="ListNumber"/>
      </w:pPr>
      <w:r>
        <w:rPr>
          <w:rFonts w:ascii="Calibri" w:hAnsi="Calibri" w:eastAsia="Microsoft YaHei"/>
          <w:b w:val="0"/>
          <w:i w:val="0"/>
        </w:rPr>
        <w:t>若方向整体固定偏差，优先调整 APP_SENSOR_ANGLE_OFFSET_DEG；若不同角度误差不一致，重新检查校准覆盖和周围铁磁物。</w:t>
      </w:r>
    </w:p>
    <w:p>
      <w:pPr>
        <w:pStyle w:val="Heading1"/>
      </w:pPr>
      <w:r>
        <w:t>8. 已知边界与后续建议</w:t>
      </w:r>
    </w:p>
    <w:p>
      <w:pPr>
        <w:pStyle w:val="ListBullet"/>
      </w:pPr>
      <w:r>
        <w:rPr>
          <w:rFonts w:ascii="Calibri" w:hAnsi="Calibri" w:eastAsia="Microsoft YaHei"/>
          <w:b w:val="0"/>
          <w:i w:val="0"/>
        </w:rPr>
        <w:t>目标坐标目前是 app_config.h 中的编译期默认值（北京天安门附近示例坐标）；尚未提供运行时配置界面或 NVS 坐标编辑。</w:t>
      </w:r>
    </w:p>
    <w:p>
      <w:pPr>
        <w:pStyle w:val="ListBullet"/>
      </w:pPr>
      <w:r>
        <w:rPr>
          <w:rFonts w:ascii="Calibri" w:hAnsi="Calibri" w:eastAsia="Microsoft YaHei"/>
          <w:b w:val="0"/>
          <w:i w:val="0"/>
        </w:rPr>
        <w:t>传感器安装偏转目前同样是编译期宏，调整后需要重新构建/烧录；后续可接入 Wi-Fi 页面或 NVS 配置。</w:t>
      </w:r>
    </w:p>
    <w:p>
      <w:pPr>
        <w:pStyle w:val="ListBullet"/>
      </w:pPr>
      <w:r>
        <w:rPr>
          <w:rFonts w:ascii="Calibri" w:hAnsi="Calibri" w:eastAsia="Microsoft YaHei"/>
          <w:b w:val="0"/>
          <w:i w:val="0"/>
        </w:rPr>
        <w:t>磁偏角默认 0°，它与安装偏转不是同一个概念；部署到不同地点时应单独评估。</w:t>
      </w:r>
    </w:p>
    <w:p>
      <w:pPr>
        <w:pStyle w:val="ListBullet"/>
      </w:pPr>
      <w:r>
        <w:rPr>
          <w:rFonts w:ascii="Calibri" w:hAnsi="Calibri" w:eastAsia="Microsoft YaHei"/>
          <w:b w:val="0"/>
          <w:i w:val="0"/>
        </w:rPr>
        <w:t>反向 56 像素帧的视觉方向和 HMC X/Y 轴符号仍需在最终装配后的实机上确认；文档不替代现场标定。</w:t>
      </w:r>
    </w:p>
    <w:p>
      <w:pPr>
        <w:pStyle w:val="ListBullet"/>
      </w:pPr>
      <w:r>
        <w:rPr>
          <w:rFonts w:ascii="Calibri" w:hAnsi="Calibri" w:eastAsia="Microsoft YaHei"/>
          <w:b w:val="0"/>
          <w:i w:val="0"/>
        </w:rPr>
        <w:t>本轮完成源码注释、构建和文档生成，没有执行烧录；如要继续排查设备端日志，应在目标板上运行 idf.py monitor 并保留完整启动堆栈。</w:t>
      </w:r>
    </w:p>
    <w:p>
      <w:pPr>
        <w:pStyle w:val="Heading1"/>
      </w:pPr>
      <w:r>
        <w:t>附录：本次代码注释覆盖范围</w:t>
      </w:r>
    </w:p>
    <w:p>
      <w:r>
        <w:rPr>
          <w:rFonts w:ascii="Calibri" w:hAnsi="Calibri" w:eastAsia="Microsoft YaHei"/>
          <w:b w:val="0"/>
          <w:i w:val="0"/>
        </w:rPr>
        <w:t>注释集中在会影响维护与故障定位的边界，而不是重复描述语法：main.c 的任务装配、队列语义、角度顺序和资源保护；calibration.c 的 NVS 完整性、椭圆拟合、MAD 拒绝、稳定拟合与磨损保护；gps_service.c 的 NMEA 校验和短超时读取；ui_service.c 的反向帧、status=0 动画和 OLED 限速；oled_display.c 的共享总线生命周期；本地 HMC5883L 驱动的崩溃修复意图。</w:t>
      </w:r>
    </w:p>
    <w:tbl>
      <w:tblPr>
        <w:tblW w:type="dxa" w:w="9360"/>
        <w:jc w:val="left"/>
        <w:tblLayout w:type="fixed"/>
        <w:tblLook w:firstColumn="1" w:firstRow="1" w:lastColumn="0" w:lastRow="0" w:noHBand="0" w:noVBand="1" w:val="04A0"/>
        <w:tblInd w:type="dxa" w:w="120"/>
        <w:tblBorders>
          <w:top w:val="single" w:sz="8" w:space="0" w:color="F0FDF4"/>
          <w:left w:val="single" w:sz="8" w:space="0" w:color="F0FDF4"/>
          <w:bottom w:val="single" w:sz="8" w:space="0" w:color="F0FDF4"/>
          <w:right w:val="single" w:sz="8" w:space="0" w:color="F0FDF4"/>
          <w:insideH w:val="single" w:sz="8" w:space="0" w:color="F0FDF4"/>
          <w:insideV w:val="single" w:sz="8" w:space="0" w:color="F0FDF4"/>
        </w:tblBorders>
      </w:tblPr>
      <w:tblGrid>
        <w:gridCol w:w="9360"/>
      </w:tblGrid>
      <w:tr>
        <w:trPr>
          <w:tblHeader w:val="true"/>
        </w:trPr>
        <w:tc>
          <w:tcPr>
            <w:tcW w:type="dxa" w:w="9360"/>
            <w:tcMar>
              <w:top w:w="80" w:type="dxa"/>
              <w:start w:w="120" w:type="dxa"/>
              <w:bottom w:w="80" w:type="dxa"/>
              <w:end w:w="120" w:type="dxa"/>
            </w:tcMar>
            <w:vAlign w:val="center"/>
            <w:shd w:fill="F0FDF4"/>
          </w:tcPr>
          <w:p>
            <w:pPr>
              <w:spacing w:after="40"/>
            </w:pPr>
            <w:r>
              <w:rPr>
                <w:rFonts w:ascii="Calibri" w:hAnsi="Calibri" w:eastAsia="Microsoft YaHei"/>
                <w:b/>
                <w:i w:val="0"/>
                <w:color w:val="146C43"/>
              </w:rPr>
              <w:t>验证记录</w:t>
            </w:r>
          </w:p>
          <w:p>
            <w:pPr>
              <w:spacing w:after="0"/>
            </w:pPr>
            <w:r>
              <w:rPr>
                <w:rFonts w:ascii="Calibri" w:hAnsi="Calibri" w:eastAsia="Microsoft YaHei"/>
                <w:b w:val="0"/>
                <w:i w:val="0"/>
              </w:rPr>
              <w:t>D:/Projects/ESP-IDF/MinecraftCompass 已使用 ESP-IDF 5.5.5 完整构建成功，生成 MinecraftCompass.bin，应用分区约 66% 空闲。</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Microsoft YaHei"/>
        <w:color w:val="667085"/>
        <w:sz w:val="16"/>
      </w:rPr>
      <w:t>实现逻辑与任务评估 · 2026-08-26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MinecraftCompass · 技术说明</w:t>
    </w:r>
    <w:r>
      <w:rPr>
        <w:rFonts w:ascii="Calibri" w:hAnsi="Calibri" w:eastAsia="Microsoft YaHei"/>
        <w:color w:val="667085"/>
        <w:sz w:val="17"/>
      </w:rPr>
      <w:t xml:space="preserve">                                      ESP-IDF 5.5.5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eastAsia="Microsoft YaHei"/>
      <w:color w:val="11182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eastAsia="Microsoft YaHei"/>
      <w:color w:val="11182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urier New" w:hAnsi="Courier New" w:eastAsia="Microsoft YaHei"/>
      <w:color w:val="1F4D78"/>
      <w:sz w:val="19"/>
    </w:rPr>
  </w:style>
  <w:style w:type="paragraph" w:customStyle="1" w:styleId="SmallNote">
    <w:name w:val="Small Note"/>
    <w:pPr>
      <w:spacing w:after="100" w:line="264" w:lineRule="auto"/>
    </w:pPr>
    <w:rPr>
      <w:rFonts w:ascii="Calibri" w:hAnsi="Calibri" w:eastAsia="Microsoft YaHe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MinecraftCompass ESP-IDF 实现逻辑与任务评估</dc:title>
  <dc:subject>FreeRTOS 任务优先级、阻塞性、校准与硬件接口说明</dc:subject>
  <dc:creator>OpenAI Codex</dc:creator>
  <cp:keywords>ESP-IDF, ESP32-S3, HMC5883L, FreeRTOS, compass, calibration</cp:keywords>
  <dc:description>generated by python-docx</dc:description>
  <cp:lastModifiedBy/>
  <cp:revision>1</cp:revision>
  <dcterms:created xsi:type="dcterms:W3CDTF">2013-12-23T23:15:00Z</dcterms:created>
  <dcterms:modified xsi:type="dcterms:W3CDTF">2013-12-23T23:15:00Z</dcterms:modified>
  <cp:category/>
</cp:coreProperties>
</file>