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206EBCB7" w:rsidP="206EBCB7" w:rsidRDefault="206EBCB7" w14:paraId="6209E5A2" w14:textId="1191C910">
      <w:pPr>
        <w:pStyle w:val="Heading1"/>
        <w:shd w:val="clear" w:color="auto" w:fill="FFFFFF" w:themeFill="background1"/>
        <w:bidi w:val="0"/>
        <w:spacing w:before="0" w:beforeAutospacing="off" w:after="120" w:afterAutospacing="off"/>
        <w:jc w:val="center"/>
        <w:rPr>
          <w:rFonts w:ascii="Times New Roman" w:hAnsi="Times New Roman" w:eastAsia="Times New Roman" w:cs="Times New Roman"/>
          <w:b w:val="1"/>
          <w:bCs w:val="1"/>
          <w:i w:val="0"/>
          <w:iCs w:val="0"/>
          <w:caps w:val="0"/>
          <w:smallCaps w:val="0"/>
          <w:noProof w:val="0"/>
          <w:color w:val="1D2125"/>
          <w:sz w:val="96"/>
          <w:szCs w:val="96"/>
          <w:lang w:val="en-US"/>
        </w:rPr>
      </w:pPr>
      <w:r w:rsidRPr="206EBCB7" w:rsidR="206EBCB7">
        <w:rPr>
          <w:rFonts w:ascii="Times New Roman" w:hAnsi="Times New Roman" w:eastAsia="Times New Roman" w:cs="Times New Roman"/>
          <w:b w:val="1"/>
          <w:bCs w:val="1"/>
          <w:i w:val="0"/>
          <w:iCs w:val="0"/>
          <w:caps w:val="0"/>
          <w:smallCaps w:val="0"/>
          <w:noProof w:val="0"/>
          <w:color w:val="1D2125"/>
          <w:sz w:val="96"/>
          <w:szCs w:val="96"/>
          <w:lang w:val="en-US"/>
        </w:rPr>
        <w:t xml:space="preserve">AEC2: </w:t>
      </w:r>
      <w:r w:rsidRPr="206EBCB7" w:rsidR="206EBCB7">
        <w:rPr>
          <w:rFonts w:ascii="Times New Roman" w:hAnsi="Times New Roman" w:eastAsia="Times New Roman" w:cs="Times New Roman"/>
          <w:b w:val="1"/>
          <w:bCs w:val="1"/>
          <w:i w:val="0"/>
          <w:iCs w:val="0"/>
          <w:caps w:val="0"/>
          <w:smallCaps w:val="0"/>
          <w:noProof w:val="0"/>
          <w:color w:val="1D2125"/>
          <w:sz w:val="96"/>
          <w:szCs w:val="96"/>
          <w:lang w:val="en-US"/>
        </w:rPr>
        <w:t>Logística</w:t>
      </w:r>
      <w:r w:rsidRPr="206EBCB7" w:rsidR="206EBCB7">
        <w:rPr>
          <w:rFonts w:ascii="Times New Roman" w:hAnsi="Times New Roman" w:eastAsia="Times New Roman" w:cs="Times New Roman"/>
          <w:b w:val="1"/>
          <w:bCs w:val="1"/>
          <w:i w:val="0"/>
          <w:iCs w:val="0"/>
          <w:caps w:val="0"/>
          <w:smallCaps w:val="0"/>
          <w:noProof w:val="0"/>
          <w:color w:val="1D2125"/>
          <w:sz w:val="96"/>
          <w:szCs w:val="96"/>
          <w:lang w:val="en-US"/>
        </w:rPr>
        <w:t xml:space="preserve"> </w:t>
      </w:r>
      <w:r w:rsidRPr="206EBCB7" w:rsidR="206EBCB7">
        <w:rPr>
          <w:rFonts w:ascii="Times New Roman" w:hAnsi="Times New Roman" w:eastAsia="Times New Roman" w:cs="Times New Roman"/>
          <w:b w:val="1"/>
          <w:bCs w:val="1"/>
          <w:i w:val="0"/>
          <w:iCs w:val="0"/>
          <w:caps w:val="0"/>
          <w:smallCaps w:val="0"/>
          <w:noProof w:val="0"/>
          <w:color w:val="1D2125"/>
          <w:sz w:val="96"/>
          <w:szCs w:val="96"/>
          <w:lang w:val="en-US"/>
        </w:rPr>
        <w:t>Inversa</w:t>
      </w:r>
    </w:p>
    <w:p w:rsidR="206EBCB7" w:rsidP="206EBCB7" w:rsidRDefault="206EBCB7" w14:paraId="44F8F3BE" w14:textId="5ACD6A23">
      <w:pPr>
        <w:pStyle w:val="Normal"/>
        <w:bidi w:val="0"/>
        <w:rPr>
          <w:rFonts w:ascii="Times New Roman" w:hAnsi="Times New Roman" w:eastAsia="Times New Roman" w:cs="Times New Roman"/>
          <w:noProof w:val="0"/>
          <w:lang w:val="en-US"/>
        </w:rPr>
      </w:pPr>
    </w:p>
    <w:p w:rsidR="206EBCB7" w:rsidP="206EBCB7" w:rsidRDefault="206EBCB7" w14:paraId="4932D7D2" w14:textId="75428E2E">
      <w:pPr>
        <w:pStyle w:val="Normal"/>
        <w:bidi w:val="0"/>
        <w:rPr>
          <w:rFonts w:ascii="Times New Roman" w:hAnsi="Times New Roman" w:eastAsia="Times New Roman" w:cs="Times New Roman"/>
          <w:noProof w:val="0"/>
          <w:lang w:val="en-US"/>
        </w:rPr>
      </w:pPr>
    </w:p>
    <w:p w:rsidR="206EBCB7" w:rsidP="206EBCB7" w:rsidRDefault="206EBCB7" w14:paraId="59509438" w14:textId="6DD8C0A0">
      <w:pPr>
        <w:pStyle w:val="Normal"/>
        <w:bidi w:val="0"/>
        <w:rPr>
          <w:rFonts w:ascii="Times New Roman" w:hAnsi="Times New Roman" w:eastAsia="Times New Roman" w:cs="Times New Roman"/>
          <w:noProof w:val="0"/>
          <w:lang w:val="en-US"/>
        </w:rPr>
      </w:pPr>
    </w:p>
    <w:p w:rsidR="206EBCB7" w:rsidP="206EBCB7" w:rsidRDefault="206EBCB7" w14:paraId="0C9A169D" w14:textId="09A68772">
      <w:pPr>
        <w:pStyle w:val="Normal"/>
        <w:bidi w:val="0"/>
        <w:jc w:val="right"/>
        <w:rPr>
          <w:rFonts w:ascii="Times New Roman" w:hAnsi="Times New Roman" w:eastAsia="Times New Roman" w:cs="Times New Roman"/>
          <w:noProof w:val="0"/>
          <w:lang w:val="en-US"/>
        </w:rPr>
      </w:pPr>
    </w:p>
    <w:p w:rsidR="206EBCB7" w:rsidP="206EBCB7" w:rsidRDefault="206EBCB7" w14:paraId="51EFA025" w14:textId="0B43BC16">
      <w:pPr>
        <w:pStyle w:val="Normal"/>
        <w:bidi w:val="0"/>
        <w:jc w:val="right"/>
        <w:rPr>
          <w:rFonts w:ascii="Times New Roman" w:hAnsi="Times New Roman" w:eastAsia="Times New Roman" w:cs="Times New Roman"/>
          <w:noProof w:val="0"/>
          <w:lang w:val="en-US"/>
        </w:rPr>
      </w:pPr>
    </w:p>
    <w:p w:rsidR="206EBCB7" w:rsidP="206EBCB7" w:rsidRDefault="206EBCB7" w14:paraId="1E8B3356" w14:textId="0A95D264">
      <w:pPr>
        <w:pStyle w:val="Normal"/>
        <w:bidi w:val="0"/>
        <w:jc w:val="right"/>
        <w:rPr>
          <w:rFonts w:ascii="Times New Roman" w:hAnsi="Times New Roman" w:eastAsia="Times New Roman" w:cs="Times New Roman"/>
          <w:noProof w:val="0"/>
          <w:lang w:val="en-US"/>
        </w:rPr>
      </w:pPr>
    </w:p>
    <w:p w:rsidR="206EBCB7" w:rsidP="206EBCB7" w:rsidRDefault="206EBCB7" w14:paraId="76F6F4F5" w14:textId="1D5763A3">
      <w:pPr>
        <w:pStyle w:val="Normal"/>
        <w:bidi w:val="0"/>
        <w:jc w:val="right"/>
        <w:rPr>
          <w:rFonts w:ascii="Times New Roman" w:hAnsi="Times New Roman" w:eastAsia="Times New Roman" w:cs="Times New Roman"/>
          <w:noProof w:val="0"/>
          <w:lang w:val="en-US"/>
        </w:rPr>
      </w:pPr>
    </w:p>
    <w:p w:rsidR="206EBCB7" w:rsidP="206EBCB7" w:rsidRDefault="206EBCB7" w14:paraId="5F4FF0D1" w14:textId="6387471B">
      <w:pPr>
        <w:pStyle w:val="Normal"/>
        <w:bidi w:val="0"/>
        <w:jc w:val="right"/>
        <w:rPr>
          <w:rFonts w:ascii="Times New Roman" w:hAnsi="Times New Roman" w:eastAsia="Times New Roman" w:cs="Times New Roman"/>
          <w:noProof w:val="0"/>
          <w:lang w:val="en-US"/>
        </w:rPr>
      </w:pPr>
    </w:p>
    <w:p w:rsidR="206EBCB7" w:rsidP="206EBCB7" w:rsidRDefault="206EBCB7" w14:paraId="4CD5E44A" w14:textId="62565A7F">
      <w:pPr>
        <w:pStyle w:val="Normal"/>
        <w:bidi w:val="0"/>
        <w:jc w:val="right"/>
        <w:rPr>
          <w:rFonts w:ascii="Times New Roman" w:hAnsi="Times New Roman" w:eastAsia="Times New Roman" w:cs="Times New Roman"/>
          <w:noProof w:val="0"/>
          <w:lang w:val="en-US"/>
        </w:rPr>
      </w:pPr>
    </w:p>
    <w:p w:rsidR="206EBCB7" w:rsidP="206EBCB7" w:rsidRDefault="206EBCB7" w14:paraId="0D72FF6D" w14:textId="575F6C22">
      <w:pPr>
        <w:pStyle w:val="Normal"/>
        <w:bidi w:val="0"/>
        <w:jc w:val="right"/>
        <w:rPr>
          <w:rFonts w:ascii="Times New Roman" w:hAnsi="Times New Roman" w:eastAsia="Times New Roman" w:cs="Times New Roman"/>
          <w:noProof w:val="0"/>
          <w:lang w:val="en-US"/>
        </w:rPr>
      </w:pPr>
    </w:p>
    <w:p w:rsidR="206EBCB7" w:rsidP="206EBCB7" w:rsidRDefault="206EBCB7" w14:paraId="6F158C57" w14:textId="1DB77BC8">
      <w:pPr>
        <w:pStyle w:val="Normal"/>
        <w:bidi w:val="0"/>
        <w:jc w:val="right"/>
        <w:rPr>
          <w:rFonts w:ascii="Times New Roman" w:hAnsi="Times New Roman" w:eastAsia="Times New Roman" w:cs="Times New Roman"/>
          <w:noProof w:val="0"/>
          <w:lang w:val="en-US"/>
        </w:rPr>
      </w:pPr>
      <w:r w:rsidRPr="206EBCB7" w:rsidR="206EBCB7">
        <w:rPr>
          <w:rFonts w:ascii="Times New Roman" w:hAnsi="Times New Roman" w:eastAsia="Times New Roman" w:cs="Times New Roman"/>
          <w:noProof w:val="0"/>
          <w:lang w:val="en-US"/>
        </w:rPr>
        <w:t>Autor: Alexander Kalis</w:t>
      </w:r>
    </w:p>
    <w:p w:rsidR="206EBCB7" w:rsidP="206EBCB7" w:rsidRDefault="206EBCB7" w14:paraId="38FB3E41" w14:textId="2BA017BC">
      <w:pPr>
        <w:pStyle w:val="Normal"/>
        <w:bidi w:val="0"/>
        <w:jc w:val="right"/>
        <w:rPr>
          <w:rFonts w:ascii="Times New Roman" w:hAnsi="Times New Roman" w:eastAsia="Times New Roman" w:cs="Times New Roman"/>
          <w:noProof w:val="0"/>
          <w:lang w:val="en-US"/>
        </w:rPr>
      </w:pPr>
      <w:r w:rsidRPr="206EBCB7" w:rsidR="206EBCB7">
        <w:rPr>
          <w:rFonts w:ascii="Times New Roman" w:hAnsi="Times New Roman" w:eastAsia="Times New Roman" w:cs="Times New Roman"/>
          <w:noProof w:val="0"/>
          <w:lang w:val="en-US"/>
        </w:rPr>
        <w:t>Profesor</w:t>
      </w:r>
      <w:r w:rsidRPr="206EBCB7" w:rsidR="206EBCB7">
        <w:rPr>
          <w:rFonts w:ascii="Times New Roman" w:hAnsi="Times New Roman" w:eastAsia="Times New Roman" w:cs="Times New Roman"/>
          <w:noProof w:val="0"/>
          <w:lang w:val="en-US"/>
        </w:rPr>
        <w:t>: José Manuel Toledano Rico</w:t>
      </w:r>
    </w:p>
    <w:p w:rsidR="206EBCB7" w:rsidP="206EBCB7" w:rsidRDefault="206EBCB7" w14:paraId="6D52A013" w14:textId="4677EE62">
      <w:pPr>
        <w:pStyle w:val="Normal"/>
        <w:bidi w:val="0"/>
        <w:jc w:val="right"/>
        <w:rPr>
          <w:rFonts w:ascii="Times New Roman" w:hAnsi="Times New Roman" w:eastAsia="Times New Roman" w:cs="Times New Roman"/>
          <w:noProof w:val="0"/>
          <w:lang w:val="en-US"/>
        </w:rPr>
      </w:pPr>
      <w:r w:rsidRPr="206EBCB7" w:rsidR="206EBCB7">
        <w:rPr>
          <w:rFonts w:ascii="Times New Roman" w:hAnsi="Times New Roman" w:eastAsia="Times New Roman" w:cs="Times New Roman"/>
          <w:noProof w:val="0"/>
          <w:lang w:val="en-US"/>
        </w:rPr>
        <w:t>Ingeniería Industrial</w:t>
      </w:r>
    </w:p>
    <w:p w:rsidR="206EBCB7" w:rsidP="206EBCB7" w:rsidRDefault="206EBCB7" w14:paraId="4A3D1C25" w14:textId="7620510E">
      <w:pPr>
        <w:pStyle w:val="Normal"/>
        <w:bidi w:val="0"/>
        <w:jc w:val="right"/>
        <w:rPr>
          <w:rFonts w:ascii="Times New Roman" w:hAnsi="Times New Roman" w:eastAsia="Times New Roman" w:cs="Times New Roman"/>
          <w:noProof w:val="0"/>
          <w:lang w:val="en-US"/>
        </w:rPr>
      </w:pPr>
      <w:r w:rsidRPr="206EBCB7" w:rsidR="206EBCB7">
        <w:rPr>
          <w:rFonts w:ascii="Times New Roman" w:hAnsi="Times New Roman" w:eastAsia="Times New Roman" w:cs="Times New Roman"/>
          <w:noProof w:val="0"/>
          <w:lang w:val="en-US"/>
        </w:rPr>
        <w:t>UDIMA</w:t>
      </w:r>
    </w:p>
    <w:p w:rsidR="206EBCB7" w:rsidP="206EBCB7" w:rsidRDefault="206EBCB7" w14:paraId="4BF0E8C0" w14:textId="41EB4BF2">
      <w:pPr>
        <w:pStyle w:val="Normal"/>
        <w:bidi w:val="0"/>
        <w:jc w:val="right"/>
        <w:rPr>
          <w:rFonts w:ascii="Times New Roman" w:hAnsi="Times New Roman" w:eastAsia="Times New Roman" w:cs="Times New Roman"/>
          <w:noProof w:val="0"/>
          <w:lang w:val="en-US"/>
        </w:rPr>
      </w:pPr>
      <w:r w:rsidRPr="206EBCB7" w:rsidR="206EBCB7">
        <w:rPr>
          <w:rFonts w:ascii="Times New Roman" w:hAnsi="Times New Roman" w:eastAsia="Times New Roman" w:cs="Times New Roman"/>
          <w:noProof w:val="0"/>
          <w:lang w:val="en-US"/>
        </w:rPr>
        <w:t>04/05/24</w:t>
      </w:r>
    </w:p>
    <w:p w:rsidR="206EBCB7" w:rsidP="206EBCB7" w:rsidRDefault="206EBCB7" w14:paraId="2E878283" w14:textId="69A0A6DC">
      <w:pPr>
        <w:pStyle w:val="Normal"/>
        <w:tabs>
          <w:tab w:val="left" w:leader="none" w:pos="480"/>
          <w:tab w:val="right" w:leader="dot" w:pos="9360"/>
        </w:tabs>
        <w:bidi w:val="0"/>
        <w:rPr>
          <w:rFonts w:ascii="Times New Roman" w:hAnsi="Times New Roman" w:eastAsia="Times New Roman" w:cs="Times New Roman"/>
        </w:rPr>
      </w:pPr>
    </w:p>
    <w:p w:rsidR="206EBCB7" w:rsidP="206EBCB7" w:rsidRDefault="206EBCB7" w14:paraId="1A82E6BB" w14:textId="03ADE1FB">
      <w:pPr>
        <w:bidi w:val="0"/>
        <w:jc w:val="center"/>
        <w:rPr>
          <w:rFonts w:ascii="Times New Roman" w:hAnsi="Times New Roman" w:eastAsia="Times New Roman" w:cs="Times New Roman"/>
          <w:sz w:val="52"/>
          <w:szCs w:val="52"/>
        </w:rPr>
      </w:pPr>
      <w:r w:rsidRPr="206EBCB7">
        <w:rPr>
          <w:rFonts w:ascii="Times New Roman" w:hAnsi="Times New Roman" w:eastAsia="Times New Roman" w:cs="Times New Roman"/>
        </w:rPr>
        <w:br w:type="page"/>
      </w:r>
    </w:p>
    <w:sdt>
      <w:sdtPr>
        <w:id w:val="1433665349"/>
        <w:docPartObj>
          <w:docPartGallery w:val="Table of Contents"/>
          <w:docPartUnique/>
        </w:docPartObj>
        <w:rPr>
          <w:rStyle w:val="Hyperlink"/>
          <w:rFonts w:ascii="Times New Roman" w:hAnsi="Times New Roman" w:eastAsia="Times New Roman" w:cs="Times New Roman"/>
        </w:rPr>
      </w:sdtPr>
      <w:sdtContent>
        <w:p w:rsidR="206EBCB7" w:rsidP="206EBCB7" w:rsidRDefault="206EBCB7" w14:paraId="77B503C1" w14:textId="4FEC37F2">
          <w:pPr>
            <w:pStyle w:val="TOC1"/>
            <w:tabs>
              <w:tab w:val="left" w:leader="none" w:pos="480"/>
              <w:tab w:val="right" w:leader="dot" w:pos="9360"/>
            </w:tabs>
            <w:bidi w:val="0"/>
            <w:rPr>
              <w:rStyle w:val="Hyperlink"/>
              <w:rFonts w:ascii="Times New Roman" w:hAnsi="Times New Roman" w:eastAsia="Times New Roman" w:cs="Times New Roman"/>
            </w:rPr>
          </w:pPr>
          <w:r>
            <w:fldChar w:fldCharType="begin"/>
          </w:r>
          <w:r>
            <w:instrText xml:space="preserve">TOC \o \z \u \h</w:instrText>
          </w:r>
          <w:r>
            <w:fldChar w:fldCharType="separate"/>
          </w:r>
          <w:hyperlink w:anchor="_Toc1691416730">
            <w:r w:rsidRPr="206EBCB7" w:rsidR="206EBCB7">
              <w:rPr>
                <w:rStyle w:val="Hyperlink"/>
                <w:rFonts w:ascii="Times New Roman" w:hAnsi="Times New Roman" w:eastAsia="Times New Roman" w:cs="Times New Roman"/>
              </w:rPr>
              <w:t>1.</w:t>
            </w:r>
            <w:r>
              <w:tab/>
            </w:r>
            <w:r w:rsidRPr="206EBCB7" w:rsidR="206EBCB7">
              <w:rPr>
                <w:rStyle w:val="Hyperlink"/>
                <w:rFonts w:ascii="Times New Roman" w:hAnsi="Times New Roman" w:eastAsia="Times New Roman" w:cs="Times New Roman"/>
              </w:rPr>
              <w:t>Rutas y planificación de viajes:</w:t>
            </w:r>
            <w:r>
              <w:tab/>
            </w:r>
            <w:r>
              <w:fldChar w:fldCharType="begin"/>
            </w:r>
            <w:r>
              <w:instrText xml:space="preserve">PAGEREF _Toc1691416730 \h</w:instrText>
            </w:r>
            <w:r>
              <w:fldChar w:fldCharType="separate"/>
            </w:r>
            <w:r w:rsidRPr="206EBCB7" w:rsidR="206EBCB7">
              <w:rPr>
                <w:rStyle w:val="Hyperlink"/>
                <w:rFonts w:ascii="Times New Roman" w:hAnsi="Times New Roman" w:eastAsia="Times New Roman" w:cs="Times New Roman"/>
              </w:rPr>
              <w:t>1</w:t>
            </w:r>
            <w:r>
              <w:fldChar w:fldCharType="end"/>
            </w:r>
          </w:hyperlink>
        </w:p>
        <w:p w:rsidR="206EBCB7" w:rsidP="206EBCB7" w:rsidRDefault="206EBCB7" w14:paraId="63511C9D" w14:textId="30BF5BB0">
          <w:pPr>
            <w:pStyle w:val="TOC1"/>
            <w:tabs>
              <w:tab w:val="left" w:leader="none" w:pos="480"/>
              <w:tab w:val="right" w:leader="dot" w:pos="9360"/>
            </w:tabs>
            <w:bidi w:val="0"/>
            <w:rPr>
              <w:rStyle w:val="Hyperlink"/>
              <w:rFonts w:ascii="Times New Roman" w:hAnsi="Times New Roman" w:eastAsia="Times New Roman" w:cs="Times New Roman"/>
            </w:rPr>
          </w:pPr>
          <w:hyperlink w:anchor="_Toc305548726">
            <w:r w:rsidRPr="206EBCB7" w:rsidR="206EBCB7">
              <w:rPr>
                <w:rStyle w:val="Hyperlink"/>
                <w:rFonts w:ascii="Times New Roman" w:hAnsi="Times New Roman" w:eastAsia="Times New Roman" w:cs="Times New Roman"/>
              </w:rPr>
              <w:t>2.</w:t>
            </w:r>
            <w:r>
              <w:tab/>
            </w:r>
            <w:r w:rsidRPr="206EBCB7" w:rsidR="206EBCB7">
              <w:rPr>
                <w:rStyle w:val="Hyperlink"/>
                <w:rFonts w:ascii="Times New Roman" w:hAnsi="Times New Roman" w:eastAsia="Times New Roman" w:cs="Times New Roman"/>
              </w:rPr>
              <w:t>Vehículos:</w:t>
            </w:r>
            <w:r>
              <w:tab/>
            </w:r>
            <w:r>
              <w:fldChar w:fldCharType="begin"/>
            </w:r>
            <w:r>
              <w:instrText xml:space="preserve">PAGEREF _Toc305548726 \h</w:instrText>
            </w:r>
            <w:r>
              <w:fldChar w:fldCharType="separate"/>
            </w:r>
            <w:r w:rsidRPr="206EBCB7" w:rsidR="206EBCB7">
              <w:rPr>
                <w:rStyle w:val="Hyperlink"/>
                <w:rFonts w:ascii="Times New Roman" w:hAnsi="Times New Roman" w:eastAsia="Times New Roman" w:cs="Times New Roman"/>
              </w:rPr>
              <w:t>1</w:t>
            </w:r>
            <w:r>
              <w:fldChar w:fldCharType="end"/>
            </w:r>
          </w:hyperlink>
        </w:p>
        <w:p w:rsidR="206EBCB7" w:rsidP="206EBCB7" w:rsidRDefault="206EBCB7" w14:paraId="78E74EA0" w14:textId="4D5D3599">
          <w:pPr>
            <w:pStyle w:val="TOC1"/>
            <w:tabs>
              <w:tab w:val="left" w:leader="none" w:pos="480"/>
              <w:tab w:val="right" w:leader="dot" w:pos="9360"/>
            </w:tabs>
            <w:bidi w:val="0"/>
            <w:rPr>
              <w:rStyle w:val="Hyperlink"/>
              <w:rFonts w:ascii="Times New Roman" w:hAnsi="Times New Roman" w:eastAsia="Times New Roman" w:cs="Times New Roman"/>
            </w:rPr>
          </w:pPr>
          <w:hyperlink w:anchor="_Toc1545162227">
            <w:r w:rsidRPr="206EBCB7" w:rsidR="206EBCB7">
              <w:rPr>
                <w:rStyle w:val="Hyperlink"/>
                <w:rFonts w:ascii="Times New Roman" w:hAnsi="Times New Roman" w:eastAsia="Times New Roman" w:cs="Times New Roman"/>
              </w:rPr>
              <w:t>3.</w:t>
            </w:r>
            <w:r>
              <w:tab/>
            </w:r>
            <w:r w:rsidRPr="206EBCB7" w:rsidR="206EBCB7">
              <w:rPr>
                <w:rStyle w:val="Hyperlink"/>
                <w:rFonts w:ascii="Times New Roman" w:hAnsi="Times New Roman" w:eastAsia="Times New Roman" w:cs="Times New Roman"/>
              </w:rPr>
              <w:t>Conducción y comportamiento del personal:</w:t>
            </w:r>
            <w:r>
              <w:tab/>
            </w:r>
            <w:r>
              <w:fldChar w:fldCharType="begin"/>
            </w:r>
            <w:r>
              <w:instrText xml:space="preserve">PAGEREF _Toc1545162227 \h</w:instrText>
            </w:r>
            <w:r>
              <w:fldChar w:fldCharType="separate"/>
            </w:r>
            <w:r w:rsidRPr="206EBCB7" w:rsidR="206EBCB7">
              <w:rPr>
                <w:rStyle w:val="Hyperlink"/>
                <w:rFonts w:ascii="Times New Roman" w:hAnsi="Times New Roman" w:eastAsia="Times New Roman" w:cs="Times New Roman"/>
              </w:rPr>
              <w:t>2</w:t>
            </w:r>
            <w:r>
              <w:fldChar w:fldCharType="end"/>
            </w:r>
          </w:hyperlink>
        </w:p>
        <w:p w:rsidR="206EBCB7" w:rsidP="206EBCB7" w:rsidRDefault="206EBCB7" w14:paraId="4BF0D677" w14:textId="13231E69">
          <w:pPr>
            <w:pStyle w:val="TOC1"/>
            <w:tabs>
              <w:tab w:val="left" w:leader="none" w:pos="480"/>
              <w:tab w:val="right" w:leader="dot" w:pos="9360"/>
            </w:tabs>
            <w:bidi w:val="0"/>
            <w:rPr>
              <w:rStyle w:val="Hyperlink"/>
              <w:rFonts w:ascii="Times New Roman" w:hAnsi="Times New Roman" w:eastAsia="Times New Roman" w:cs="Times New Roman"/>
            </w:rPr>
          </w:pPr>
          <w:hyperlink w:anchor="_Toc596085398">
            <w:r w:rsidRPr="206EBCB7" w:rsidR="206EBCB7">
              <w:rPr>
                <w:rStyle w:val="Hyperlink"/>
                <w:rFonts w:ascii="Times New Roman" w:hAnsi="Times New Roman" w:eastAsia="Times New Roman" w:cs="Times New Roman"/>
              </w:rPr>
              <w:t>4.</w:t>
            </w:r>
            <w:r>
              <w:tab/>
            </w:r>
            <w:r w:rsidRPr="206EBCB7" w:rsidR="206EBCB7">
              <w:rPr>
                <w:rStyle w:val="Hyperlink"/>
                <w:rFonts w:ascii="Times New Roman" w:hAnsi="Times New Roman" w:eastAsia="Times New Roman" w:cs="Times New Roman"/>
              </w:rPr>
              <w:t>Almacenes, oficinas y garajes</w:t>
            </w:r>
            <w:r>
              <w:tab/>
            </w:r>
            <w:r>
              <w:fldChar w:fldCharType="begin"/>
            </w:r>
            <w:r>
              <w:instrText xml:space="preserve">PAGEREF _Toc596085398 \h</w:instrText>
            </w:r>
            <w:r>
              <w:fldChar w:fldCharType="separate"/>
            </w:r>
            <w:r w:rsidRPr="206EBCB7" w:rsidR="206EBCB7">
              <w:rPr>
                <w:rStyle w:val="Hyperlink"/>
                <w:rFonts w:ascii="Times New Roman" w:hAnsi="Times New Roman" w:eastAsia="Times New Roman" w:cs="Times New Roman"/>
              </w:rPr>
              <w:t>3</w:t>
            </w:r>
            <w:r>
              <w:fldChar w:fldCharType="end"/>
            </w:r>
          </w:hyperlink>
        </w:p>
        <w:p w:rsidR="206EBCB7" w:rsidP="206EBCB7" w:rsidRDefault="206EBCB7" w14:paraId="546BB383" w14:textId="41E4F558">
          <w:pPr>
            <w:pStyle w:val="TOC1"/>
            <w:tabs>
              <w:tab w:val="left" w:leader="none" w:pos="480"/>
              <w:tab w:val="right" w:leader="dot" w:pos="9360"/>
            </w:tabs>
            <w:bidi w:val="0"/>
            <w:rPr>
              <w:rStyle w:val="Hyperlink"/>
              <w:rFonts w:ascii="Times New Roman" w:hAnsi="Times New Roman" w:eastAsia="Times New Roman" w:cs="Times New Roman"/>
            </w:rPr>
          </w:pPr>
          <w:hyperlink w:anchor="_Toc2098613304">
            <w:r w:rsidRPr="206EBCB7" w:rsidR="206EBCB7">
              <w:rPr>
                <w:rStyle w:val="Hyperlink"/>
                <w:rFonts w:ascii="Times New Roman" w:hAnsi="Times New Roman" w:eastAsia="Times New Roman" w:cs="Times New Roman"/>
              </w:rPr>
              <w:t>5.</w:t>
            </w:r>
            <w:r>
              <w:tab/>
            </w:r>
            <w:r w:rsidRPr="206EBCB7" w:rsidR="206EBCB7">
              <w:rPr>
                <w:rStyle w:val="Hyperlink"/>
                <w:rFonts w:ascii="Times New Roman" w:hAnsi="Times New Roman" w:eastAsia="Times New Roman" w:cs="Times New Roman"/>
              </w:rPr>
              <w:t>Envases y embalajes:</w:t>
            </w:r>
            <w:r>
              <w:tab/>
            </w:r>
            <w:r>
              <w:fldChar w:fldCharType="begin"/>
            </w:r>
            <w:r>
              <w:instrText xml:space="preserve">PAGEREF _Toc2098613304 \h</w:instrText>
            </w:r>
            <w:r>
              <w:fldChar w:fldCharType="separate"/>
            </w:r>
            <w:r w:rsidRPr="206EBCB7" w:rsidR="206EBCB7">
              <w:rPr>
                <w:rStyle w:val="Hyperlink"/>
                <w:rFonts w:ascii="Times New Roman" w:hAnsi="Times New Roman" w:eastAsia="Times New Roman" w:cs="Times New Roman"/>
              </w:rPr>
              <w:t>4</w:t>
            </w:r>
            <w:r>
              <w:fldChar w:fldCharType="end"/>
            </w:r>
          </w:hyperlink>
        </w:p>
        <w:p w:rsidR="206EBCB7" w:rsidP="206EBCB7" w:rsidRDefault="206EBCB7" w14:paraId="7488D970" w14:textId="7AE61CA0">
          <w:pPr>
            <w:pStyle w:val="TOC1"/>
            <w:tabs>
              <w:tab w:val="left" w:leader="none" w:pos="480"/>
              <w:tab w:val="right" w:leader="dot" w:pos="9360"/>
            </w:tabs>
            <w:bidi w:val="0"/>
            <w:rPr>
              <w:rStyle w:val="Hyperlink"/>
              <w:rFonts w:ascii="Times New Roman" w:hAnsi="Times New Roman" w:eastAsia="Times New Roman" w:cs="Times New Roman"/>
            </w:rPr>
          </w:pPr>
          <w:hyperlink w:anchor="_Toc760728022">
            <w:r w:rsidRPr="206EBCB7" w:rsidR="206EBCB7">
              <w:rPr>
                <w:rStyle w:val="Hyperlink"/>
                <w:rFonts w:ascii="Times New Roman" w:hAnsi="Times New Roman" w:eastAsia="Times New Roman" w:cs="Times New Roman"/>
              </w:rPr>
              <w:t>6.</w:t>
            </w:r>
            <w:r>
              <w:tab/>
            </w:r>
            <w:r w:rsidRPr="206EBCB7" w:rsidR="206EBCB7">
              <w:rPr>
                <w:rStyle w:val="Hyperlink"/>
                <w:rFonts w:ascii="Times New Roman" w:hAnsi="Times New Roman" w:eastAsia="Times New Roman" w:cs="Times New Roman"/>
              </w:rPr>
              <w:t>Taller y limpieza:</w:t>
            </w:r>
            <w:r>
              <w:tab/>
            </w:r>
            <w:r>
              <w:fldChar w:fldCharType="begin"/>
            </w:r>
            <w:r>
              <w:instrText xml:space="preserve">PAGEREF _Toc760728022 \h</w:instrText>
            </w:r>
            <w:r>
              <w:fldChar w:fldCharType="separate"/>
            </w:r>
            <w:r w:rsidRPr="206EBCB7" w:rsidR="206EBCB7">
              <w:rPr>
                <w:rStyle w:val="Hyperlink"/>
                <w:rFonts w:ascii="Times New Roman" w:hAnsi="Times New Roman" w:eastAsia="Times New Roman" w:cs="Times New Roman"/>
              </w:rPr>
              <w:t>5</w:t>
            </w:r>
            <w:r>
              <w:fldChar w:fldCharType="end"/>
            </w:r>
          </w:hyperlink>
        </w:p>
        <w:p w:rsidR="206EBCB7" w:rsidP="206EBCB7" w:rsidRDefault="206EBCB7" w14:paraId="411758AE" w14:textId="10F7135F">
          <w:pPr>
            <w:pStyle w:val="TOC1"/>
            <w:tabs>
              <w:tab w:val="left" w:leader="none" w:pos="480"/>
              <w:tab w:val="right" w:leader="dot" w:pos="9360"/>
            </w:tabs>
            <w:bidi w:val="0"/>
            <w:rPr>
              <w:rStyle w:val="Hyperlink"/>
              <w:rFonts w:ascii="Times New Roman" w:hAnsi="Times New Roman" w:eastAsia="Times New Roman" w:cs="Times New Roman"/>
            </w:rPr>
          </w:pPr>
          <w:hyperlink w:anchor="_Toc1911299813">
            <w:r w:rsidRPr="206EBCB7" w:rsidR="206EBCB7">
              <w:rPr>
                <w:rStyle w:val="Hyperlink"/>
                <w:rFonts w:ascii="Times New Roman" w:hAnsi="Times New Roman" w:eastAsia="Times New Roman" w:cs="Times New Roman"/>
              </w:rPr>
              <w:t>7.</w:t>
            </w:r>
            <w:r>
              <w:tab/>
            </w:r>
            <w:r w:rsidRPr="206EBCB7" w:rsidR="206EBCB7">
              <w:rPr>
                <w:rStyle w:val="Hyperlink"/>
                <w:rFonts w:ascii="Times New Roman" w:hAnsi="Times New Roman" w:eastAsia="Times New Roman" w:cs="Times New Roman"/>
              </w:rPr>
              <w:t>Conclusión</w:t>
            </w:r>
            <w:r>
              <w:tab/>
            </w:r>
            <w:r>
              <w:fldChar w:fldCharType="begin"/>
            </w:r>
            <w:r>
              <w:instrText xml:space="preserve">PAGEREF _Toc1911299813 \h</w:instrText>
            </w:r>
            <w:r>
              <w:fldChar w:fldCharType="separate"/>
            </w:r>
            <w:r w:rsidRPr="206EBCB7" w:rsidR="206EBCB7">
              <w:rPr>
                <w:rStyle w:val="Hyperlink"/>
                <w:rFonts w:ascii="Times New Roman" w:hAnsi="Times New Roman" w:eastAsia="Times New Roman" w:cs="Times New Roman"/>
              </w:rPr>
              <w:t>6</w:t>
            </w:r>
            <w:r>
              <w:fldChar w:fldCharType="end"/>
            </w:r>
          </w:hyperlink>
        </w:p>
        <w:p w:rsidR="206EBCB7" w:rsidP="206EBCB7" w:rsidRDefault="206EBCB7" w14:paraId="0CE35F58" w14:textId="728BF952">
          <w:pPr>
            <w:pStyle w:val="TOC1"/>
            <w:tabs>
              <w:tab w:val="left" w:leader="none" w:pos="480"/>
              <w:tab w:val="right" w:leader="dot" w:pos="9360"/>
            </w:tabs>
            <w:bidi w:val="0"/>
            <w:rPr>
              <w:rStyle w:val="Hyperlink"/>
              <w:rFonts w:ascii="Times New Roman" w:hAnsi="Times New Roman" w:eastAsia="Times New Roman" w:cs="Times New Roman"/>
            </w:rPr>
          </w:pPr>
          <w:hyperlink w:anchor="_Toc1298339672">
            <w:r w:rsidRPr="206EBCB7" w:rsidR="206EBCB7">
              <w:rPr>
                <w:rStyle w:val="Hyperlink"/>
                <w:rFonts w:ascii="Times New Roman" w:hAnsi="Times New Roman" w:eastAsia="Times New Roman" w:cs="Times New Roman"/>
              </w:rPr>
              <w:t>8.</w:t>
            </w:r>
            <w:r>
              <w:tab/>
            </w:r>
            <w:r w:rsidRPr="206EBCB7" w:rsidR="206EBCB7">
              <w:rPr>
                <w:rStyle w:val="Hyperlink"/>
                <w:rFonts w:ascii="Times New Roman" w:hAnsi="Times New Roman" w:eastAsia="Times New Roman" w:cs="Times New Roman"/>
              </w:rPr>
              <w:t>Bibliografía</w:t>
            </w:r>
            <w:r>
              <w:tab/>
            </w:r>
            <w:r>
              <w:fldChar w:fldCharType="begin"/>
            </w:r>
            <w:r>
              <w:instrText xml:space="preserve">PAGEREF _Toc1298339672 \h</w:instrText>
            </w:r>
            <w:r>
              <w:fldChar w:fldCharType="separate"/>
            </w:r>
            <w:r w:rsidRPr="206EBCB7" w:rsidR="206EBCB7">
              <w:rPr>
                <w:rStyle w:val="Hyperlink"/>
                <w:rFonts w:ascii="Times New Roman" w:hAnsi="Times New Roman" w:eastAsia="Times New Roman" w:cs="Times New Roman"/>
              </w:rPr>
              <w:t>6</w:t>
            </w:r>
            <w:r>
              <w:fldChar w:fldCharType="end"/>
            </w:r>
          </w:hyperlink>
          <w:r>
            <w:fldChar w:fldCharType="end"/>
          </w:r>
        </w:p>
      </w:sdtContent>
      <w:sdtEndPr>
        <w:rPr>
          <w:rStyle w:val="Hyperlink"/>
          <w:rFonts w:ascii="Times New Roman" w:hAnsi="Times New Roman" w:eastAsia="Times New Roman" w:cs="Times New Roman"/>
        </w:rPr>
      </w:sdtEndPr>
    </w:sdt>
    <w:p w:rsidR="206EBCB7" w:rsidRDefault="206EBCB7" w14:paraId="3CF7CF45" w14:textId="140FF803">
      <w:r>
        <w:br w:type="page"/>
      </w:r>
    </w:p>
    <w:p xmlns:wp14="http://schemas.microsoft.com/office/word/2010/wordml" w:rsidP="206EBCB7" wp14:paraId="5A27C323" wp14:textId="0757CB27">
      <w:pPr>
        <w:pStyle w:val="Heading1"/>
        <w:numPr>
          <w:ilvl w:val="0"/>
          <w:numId w:val="1"/>
        </w:numPr>
        <w:jc w:val="both"/>
        <w:rPr>
          <w:rFonts w:ascii="Times New Roman" w:hAnsi="Times New Roman" w:eastAsia="Times New Roman" w:cs="Times New Roman"/>
          <w:noProof w:val="0"/>
          <w:lang w:val="es-ES"/>
        </w:rPr>
      </w:pPr>
      <w:bookmarkStart w:name="_Toc1691416730" w:id="743250767"/>
      <w:r w:rsidRPr="206EBCB7" w:rsidR="206EBCB7">
        <w:rPr>
          <w:rFonts w:ascii="Times New Roman" w:hAnsi="Times New Roman" w:eastAsia="Times New Roman" w:cs="Times New Roman"/>
          <w:noProof w:val="0"/>
          <w:lang w:val="es-ES"/>
        </w:rPr>
        <w:t>Rutas y planificación de viajes:</w:t>
      </w:r>
      <w:bookmarkEnd w:id="743250767"/>
    </w:p>
    <w:p xmlns:wp14="http://schemas.microsoft.com/office/word/2010/wordml" w:rsidP="206EBCB7" wp14:paraId="72B6CFCF" wp14:textId="3A7A2244">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Optimización</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rutas</w:t>
      </w:r>
      <w:r w:rsidRPr="206EBCB7" w:rsidR="206EBCB7">
        <w:rPr>
          <w:rFonts w:ascii="Times New Roman" w:hAnsi="Times New Roman" w:eastAsia="Times New Roman" w:cs="Times New Roman"/>
          <w:noProof w:val="0"/>
          <w:lang w:val="es-ES"/>
        </w:rPr>
        <w:t>: Utilizar herramientas de software de gestión de flotas avanzadas para planificar rutas óptimas puede tener múltiples beneficios. Estos sistemas pueden tener en cuenta factores como el tráfico en tiempo real, las condiciones climáticas, las restricciones de peso y altura, así como las preferencias del cliente. La optimización de rutas puede no solo reducir la distancia recorrida, sino también minimizar el tiempo de viaje y mejorar la puntualidad de los servicios, lo que a su vez aumenta la satisfacción del cliente.</w:t>
      </w:r>
    </w:p>
    <w:p xmlns:wp14="http://schemas.microsoft.com/office/word/2010/wordml" w:rsidP="206EBCB7" wp14:paraId="7506698A" wp14:textId="581B0CEF">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Consolidación</w:t>
      </w:r>
      <w:r w:rsidRPr="206EBCB7" w:rsidR="206EBCB7">
        <w:rPr>
          <w:rFonts w:ascii="Times New Roman" w:hAnsi="Times New Roman" w:eastAsia="Times New Roman" w:cs="Times New Roman"/>
          <w:noProof w:val="0"/>
          <w:lang w:val="es-ES"/>
        </w:rPr>
        <w:t xml:space="preserve"> de carga: Cuando sea posible, consolidar múltiples envíos en un solo vehículo puede reducir significativamente la cantidad de viajes necesarios. Esto no solo disminuye los costos operativos, como el combustible y los peajes, sino que también reduce las emisiones de gases de efecto invernadero por tonelada transportada. La planificación cuidadosa de la carga y la coordinación entre los distintos departamentos pueden facilitar la consolidación efectiva de la carga.</w:t>
      </w:r>
    </w:p>
    <w:p xmlns:wp14="http://schemas.microsoft.com/office/word/2010/wordml" w:rsidP="206EBCB7" wp14:paraId="409A7C11" wp14:textId="30337199">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Gestión</w:t>
      </w:r>
      <w:r w:rsidRPr="206EBCB7" w:rsidR="206EBCB7">
        <w:rPr>
          <w:rFonts w:ascii="Times New Roman" w:hAnsi="Times New Roman" w:eastAsia="Times New Roman" w:cs="Times New Roman"/>
          <w:noProof w:val="0"/>
          <w:lang w:val="es-ES"/>
        </w:rPr>
        <w:t xml:space="preserve"> de la </w:t>
      </w:r>
      <w:r w:rsidRPr="206EBCB7" w:rsidR="206EBCB7">
        <w:rPr>
          <w:rFonts w:ascii="Times New Roman" w:hAnsi="Times New Roman" w:eastAsia="Times New Roman" w:cs="Times New Roman"/>
          <w:noProof w:val="0"/>
          <w:lang w:val="es-ES"/>
        </w:rPr>
        <w:t>última</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milla</w:t>
      </w:r>
      <w:r w:rsidRPr="206EBCB7" w:rsidR="206EBCB7">
        <w:rPr>
          <w:rFonts w:ascii="Times New Roman" w:hAnsi="Times New Roman" w:eastAsia="Times New Roman" w:cs="Times New Roman"/>
          <w:noProof w:val="0"/>
          <w:lang w:val="es-ES"/>
        </w:rPr>
        <w:t>: La última milla suele ser la parte más costosa y ambientalmente intensiva de la cadena de suministro. Para minimizar su impacto, las empresas pueden implementar estrategias como la entrega agrupada, donde se entregan múltiples paquetes a destinos cercanos en una sola parada. Además, explorar opciones de entrega alternativas, como el uso de bicicletas eléctricas o vehículos de carga más pequeños, puede ser beneficioso en áreas urbanas densamente pobladas donde el acceso es limitado.</w:t>
      </w:r>
    </w:p>
    <w:p xmlns:wp14="http://schemas.microsoft.com/office/word/2010/wordml" w:rsidP="206EBCB7" wp14:paraId="1B41FEDB" wp14:textId="739B7695">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Análisis</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datos</w:t>
      </w:r>
      <w:r w:rsidRPr="206EBCB7" w:rsidR="206EBCB7">
        <w:rPr>
          <w:rFonts w:ascii="Times New Roman" w:hAnsi="Times New Roman" w:eastAsia="Times New Roman" w:cs="Times New Roman"/>
          <w:noProof w:val="0"/>
          <w:lang w:val="es-ES"/>
        </w:rPr>
        <w:t xml:space="preserve"> y </w:t>
      </w:r>
      <w:r w:rsidRPr="206EBCB7" w:rsidR="206EBCB7">
        <w:rPr>
          <w:rFonts w:ascii="Times New Roman" w:hAnsi="Times New Roman" w:eastAsia="Times New Roman" w:cs="Times New Roman"/>
          <w:noProof w:val="0"/>
          <w:lang w:val="es-ES"/>
        </w:rPr>
        <w:t>mejora</w:t>
      </w:r>
      <w:r w:rsidRPr="206EBCB7" w:rsidR="206EBCB7">
        <w:rPr>
          <w:rFonts w:ascii="Times New Roman" w:hAnsi="Times New Roman" w:eastAsia="Times New Roman" w:cs="Times New Roman"/>
          <w:noProof w:val="0"/>
          <w:lang w:val="es-ES"/>
        </w:rPr>
        <w:t xml:space="preserve"> continua: Utilizar datos históricos y análisis predictivos para evaluar el rendimiento de las rutas y identificar áreas de mejora puede ser fundamental para optimizar la eficiencia operativa a largo plazo. Mediante la monitorización de métricas clave, como la utilización de vehículos, el tiempo de inactividad y la puntualidad de entrega, las empresas pueden identificar tendencias, patrones y oportunidades de mejora continua en la planificación de rutas y la gestión de flotas.</w:t>
      </w:r>
    </w:p>
    <w:p xmlns:wp14="http://schemas.microsoft.com/office/word/2010/wordml" w:rsidP="206EBCB7" wp14:paraId="2C078E63" wp14:textId="6BCCBA68">
      <w:pPr>
        <w:pStyle w:val="Normal"/>
        <w:jc w:val="both"/>
        <w:rPr>
          <w:rFonts w:ascii="Times New Roman" w:hAnsi="Times New Roman" w:eastAsia="Times New Roman" w:cs="Times New Roman"/>
          <w:noProof w:val="0"/>
          <w:lang w:val="es-ES"/>
        </w:rPr>
      </w:pPr>
    </w:p>
    <w:p w:rsidR="206EBCB7" w:rsidP="206EBCB7" w:rsidRDefault="206EBCB7" w14:paraId="13D760C1" w14:textId="250D4837">
      <w:pPr>
        <w:pStyle w:val="Heading1"/>
        <w:numPr>
          <w:ilvl w:val="0"/>
          <w:numId w:val="1"/>
        </w:numPr>
        <w:jc w:val="both"/>
        <w:rPr>
          <w:rFonts w:ascii="Times New Roman" w:hAnsi="Times New Roman" w:eastAsia="Times New Roman" w:cs="Times New Roman"/>
          <w:noProof w:val="0"/>
          <w:lang w:val="es-ES"/>
        </w:rPr>
      </w:pPr>
      <w:bookmarkStart w:name="_Toc305548726" w:id="933066260"/>
      <w:r w:rsidRPr="206EBCB7" w:rsidR="206EBCB7">
        <w:rPr>
          <w:rFonts w:ascii="Times New Roman" w:hAnsi="Times New Roman" w:eastAsia="Times New Roman" w:cs="Times New Roman"/>
          <w:noProof w:val="0"/>
          <w:lang w:val="es-ES"/>
        </w:rPr>
        <w:t>Vehículos:</w:t>
      </w:r>
      <w:bookmarkEnd w:id="933066260"/>
    </w:p>
    <w:p w:rsidR="206EBCB7" w:rsidP="206EBCB7" w:rsidRDefault="206EBCB7" w14:paraId="2566A3A2" w14:textId="5EF28690">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Transición</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hacia</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vehículos</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más</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sostenibles</w:t>
      </w:r>
      <w:r w:rsidRPr="206EBCB7" w:rsidR="206EBCB7">
        <w:rPr>
          <w:rFonts w:ascii="Times New Roman" w:hAnsi="Times New Roman" w:eastAsia="Times New Roman" w:cs="Times New Roman"/>
          <w:noProof w:val="0"/>
          <w:lang w:val="es-ES"/>
        </w:rPr>
        <w:t>: La adopción de vehículos de baja emisión o eléctricos en la flota puede ser una de las formas más efectivas de reducir el impacto ambiental de una empresa de transporte de pasajeros por carretera. Los vehículos eléctricos producen cero emisiones directas, lo que ayuda a disminuir la contaminación atmosférica y la dependencia de los combustibles fósiles. Además, los avances en la tecnología de baterías están haciendo que los vehículos eléctricos sean cada vez más asequibles y prácticos para las empresas.</w:t>
      </w:r>
    </w:p>
    <w:p w:rsidR="206EBCB7" w:rsidP="206EBCB7" w:rsidRDefault="206EBCB7" w14:paraId="71C6FAA6" w14:textId="13993E3B">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Optimización</w:t>
      </w:r>
      <w:r w:rsidRPr="206EBCB7" w:rsidR="206EBCB7">
        <w:rPr>
          <w:rFonts w:ascii="Times New Roman" w:hAnsi="Times New Roman" w:eastAsia="Times New Roman" w:cs="Times New Roman"/>
          <w:noProof w:val="0"/>
          <w:lang w:val="es-ES"/>
        </w:rPr>
        <w:t xml:space="preserve"> de la </w:t>
      </w:r>
      <w:r w:rsidRPr="206EBCB7" w:rsidR="206EBCB7">
        <w:rPr>
          <w:rFonts w:ascii="Times New Roman" w:hAnsi="Times New Roman" w:eastAsia="Times New Roman" w:cs="Times New Roman"/>
          <w:noProof w:val="0"/>
          <w:lang w:val="es-ES"/>
        </w:rPr>
        <w:t>flota</w:t>
      </w:r>
      <w:r w:rsidRPr="206EBCB7" w:rsidR="206EBCB7">
        <w:rPr>
          <w:rFonts w:ascii="Times New Roman" w:hAnsi="Times New Roman" w:eastAsia="Times New Roman" w:cs="Times New Roman"/>
          <w:noProof w:val="0"/>
          <w:lang w:val="es-ES"/>
        </w:rPr>
        <w:t>: Evaluar constantemente el tamaño y la composición de la flota puede ayudar a identificar oportunidades para optimizar su eficiencia y sostenibilidad. Esto puede incluir la retirada de vehículos viejos y menos eficientes, así como la incorporación de modelos más nuevos y energéticamente eficientes. Además, la implementación de sistemas de gestión de flotas puede proporcionar datos en tiempo real sobre el rendimiento de los vehículos, lo que permite una toma de decisiones más informada y una optimización continua de la flota.</w:t>
      </w:r>
    </w:p>
    <w:p w:rsidR="206EBCB7" w:rsidP="206EBCB7" w:rsidRDefault="206EBCB7" w14:paraId="2B6BCBF5" w14:textId="305ED7F4">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 xml:space="preserve">Mantenimiento </w:t>
      </w:r>
      <w:r w:rsidRPr="206EBCB7" w:rsidR="206EBCB7">
        <w:rPr>
          <w:rFonts w:ascii="Times New Roman" w:hAnsi="Times New Roman" w:eastAsia="Times New Roman" w:cs="Times New Roman"/>
          <w:noProof w:val="0"/>
          <w:lang w:val="es-ES"/>
        </w:rPr>
        <w:t>preventivo</w:t>
      </w:r>
      <w:r w:rsidRPr="206EBCB7" w:rsidR="206EBCB7">
        <w:rPr>
          <w:rFonts w:ascii="Times New Roman" w:hAnsi="Times New Roman" w:eastAsia="Times New Roman" w:cs="Times New Roman"/>
          <w:noProof w:val="0"/>
          <w:lang w:val="es-ES"/>
        </w:rPr>
        <w:t>: Mantener una programación regular de mantenimiento preventivo es crucial para garantizar que los vehículos funcionen de manera óptima y segura. Esto incluye la inspección y el mantenimiento de componentes clave como los frenos, neumáticos, sistemas de suspensión y tren motriz. Un mantenimiento adecuado no solo ayuda a prevenir averías costosas y tiempos de inactividad no planificados, sino que también contribuye a maximizar la eficiencia del combustible y reducir las emisiones.</w:t>
      </w:r>
    </w:p>
    <w:p w:rsidR="206EBCB7" w:rsidP="206EBCB7" w:rsidRDefault="206EBCB7" w14:paraId="21732EF8" w14:textId="0D83B42D">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Innovación en tecnologías de eficiencia de combustible: Además de la transición hacia vehículos eléctricos, existen otras tecnologías y prácticas que pueden ayudar a mejorar la eficiencia del combustible en los vehículos de combustión interna. Esto puede incluir la implementación de sistemas de gestión de flotas avanzados, la optimización de la aerodinámica de los vehículos, el uso de neumáticos de baja resistencia a la rodadura y la capacitación de conductores en técnicas de conducción eficiente. Además, la exploración de combustibles alternativos, como el gas natural comprimido (GNC) o el hidrógeno, puede ofrecer opciones adicionales para reducir las emisiones de carbono.</w:t>
      </w:r>
    </w:p>
    <w:p w:rsidR="206EBCB7" w:rsidP="206EBCB7" w:rsidRDefault="206EBCB7" w14:paraId="01CF4A01" w14:textId="0B75F456">
      <w:pPr>
        <w:pStyle w:val="Heading1"/>
        <w:numPr>
          <w:ilvl w:val="0"/>
          <w:numId w:val="1"/>
        </w:numPr>
        <w:jc w:val="both"/>
        <w:rPr>
          <w:rFonts w:ascii="Times New Roman" w:hAnsi="Times New Roman" w:eastAsia="Times New Roman" w:cs="Times New Roman"/>
          <w:noProof w:val="0"/>
          <w:lang w:val="es-ES"/>
        </w:rPr>
      </w:pPr>
      <w:bookmarkStart w:name="_Toc1545162227" w:id="891580861"/>
      <w:r w:rsidRPr="206EBCB7" w:rsidR="206EBCB7">
        <w:rPr>
          <w:rFonts w:ascii="Times New Roman" w:hAnsi="Times New Roman" w:eastAsia="Times New Roman" w:cs="Times New Roman"/>
          <w:noProof w:val="0"/>
          <w:lang w:val="es-ES"/>
        </w:rPr>
        <w:t>Conducción y comportamiento del personal:</w:t>
      </w:r>
      <w:bookmarkEnd w:id="891580861"/>
    </w:p>
    <w:p w:rsidR="206EBCB7" w:rsidP="206EBCB7" w:rsidRDefault="206EBCB7" w14:paraId="7F04936F" w14:textId="2C079B43">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Capacitación</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en</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conducción</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eficiente</w:t>
      </w:r>
      <w:r w:rsidRPr="206EBCB7" w:rsidR="206EBCB7">
        <w:rPr>
          <w:rFonts w:ascii="Times New Roman" w:hAnsi="Times New Roman" w:eastAsia="Times New Roman" w:cs="Times New Roman"/>
          <w:noProof w:val="0"/>
          <w:lang w:val="es-ES"/>
        </w:rPr>
        <w:t>: Proporcionar a los conductores una formación continua en técnicas de conducción eficiente puede tener un impacto significativo en la reducción del consumo de combustible y las emisiones de gases de efecto invernadero. Esto puede incluir la enseñanza de prácticas como la conducción a velocidades moderadas, la anticipación de frenadas y aceleraciones suaves. Además, la formación en técnicas de gestión del tráfico y la planificación anticipada de rutas puede ayudar a minimizar los tiempos de inactividad y optimizar la eficiencia de los viajes.</w:t>
      </w:r>
    </w:p>
    <w:p w:rsidR="206EBCB7" w:rsidP="206EBCB7" w:rsidRDefault="206EBCB7" w14:paraId="37743AEE" w14:textId="3F8E6E47">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 xml:space="preserve">Fomento de </w:t>
      </w:r>
      <w:r w:rsidRPr="206EBCB7" w:rsidR="206EBCB7">
        <w:rPr>
          <w:rFonts w:ascii="Times New Roman" w:hAnsi="Times New Roman" w:eastAsia="Times New Roman" w:cs="Times New Roman"/>
          <w:noProof w:val="0"/>
          <w:lang w:val="es-ES"/>
        </w:rPr>
        <w:t>una</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cultura</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seguridad</w:t>
      </w:r>
      <w:r w:rsidRPr="206EBCB7" w:rsidR="206EBCB7">
        <w:rPr>
          <w:rFonts w:ascii="Times New Roman" w:hAnsi="Times New Roman" w:eastAsia="Times New Roman" w:cs="Times New Roman"/>
          <w:noProof w:val="0"/>
          <w:lang w:val="es-ES"/>
        </w:rPr>
        <w:t xml:space="preserve"> y </w:t>
      </w:r>
      <w:r w:rsidRPr="206EBCB7" w:rsidR="206EBCB7">
        <w:rPr>
          <w:rFonts w:ascii="Times New Roman" w:hAnsi="Times New Roman" w:eastAsia="Times New Roman" w:cs="Times New Roman"/>
          <w:noProof w:val="0"/>
          <w:lang w:val="es-ES"/>
        </w:rPr>
        <w:t>respeto</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ambiental</w:t>
      </w:r>
      <w:r w:rsidRPr="206EBCB7" w:rsidR="206EBCB7">
        <w:rPr>
          <w:rFonts w:ascii="Times New Roman" w:hAnsi="Times New Roman" w:eastAsia="Times New Roman" w:cs="Times New Roman"/>
          <w:noProof w:val="0"/>
          <w:lang w:val="es-ES"/>
        </w:rPr>
        <w:t>: Promover una cultura organizacional que valore la seguridad vial y el respeto al medio ambiente puede motivar a los conductores a adoptar comportamientos más responsables en la carretera. Esto puede incluir la implementación de programas de reconocimiento y recompensas para conductores que demuestren un buen desempeño en términos de seguridad y eficiencia ambiental. Además, la comunicación regular sobre los objetivos y valores de la empresa en relación con la sostenibilidad puede ayudar a mantener el compromiso del personal a largo plazo.</w:t>
      </w:r>
    </w:p>
    <w:p w:rsidR="206EBCB7" w:rsidP="206EBCB7" w:rsidRDefault="206EBCB7" w14:paraId="10D7FBAE" w14:textId="773BA399">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Monitorización</w:t>
      </w:r>
      <w:r w:rsidRPr="206EBCB7" w:rsidR="206EBCB7">
        <w:rPr>
          <w:rFonts w:ascii="Times New Roman" w:hAnsi="Times New Roman" w:eastAsia="Times New Roman" w:cs="Times New Roman"/>
          <w:noProof w:val="0"/>
          <w:lang w:val="es-ES"/>
        </w:rPr>
        <w:t xml:space="preserve"> y </w:t>
      </w:r>
      <w:r w:rsidRPr="206EBCB7" w:rsidR="206EBCB7">
        <w:rPr>
          <w:rFonts w:ascii="Times New Roman" w:hAnsi="Times New Roman" w:eastAsia="Times New Roman" w:cs="Times New Roman"/>
          <w:noProof w:val="0"/>
          <w:lang w:val="es-ES"/>
        </w:rPr>
        <w:t>retroalimentación</w:t>
      </w:r>
      <w:r w:rsidRPr="206EBCB7" w:rsidR="206EBCB7">
        <w:rPr>
          <w:rFonts w:ascii="Times New Roman" w:hAnsi="Times New Roman" w:eastAsia="Times New Roman" w:cs="Times New Roman"/>
          <w:noProof w:val="0"/>
          <w:lang w:val="es-ES"/>
        </w:rPr>
        <w:t>: Utilizar tecnologías de seguimiento y telemática para monitorear el comportamiento de conducción de los empleados puede proporcionar información valiosa sobre áreas de mejora y oportunidades de capacitación adicional. La retroalimentación regular y constructiva basada en datos puede ayudar a los conductores a identificar y corregir hábitos de conducción ineficientes o potencialmente peligrosos. Además, la transparencia en la comunicación sobre los resultados de la monitorización puede fomentar la rendición de cuentas y el compromiso del personal con los objetivos de sostenibilidad de la empresa.</w:t>
      </w:r>
    </w:p>
    <w:p w:rsidR="206EBCB7" w:rsidP="206EBCB7" w:rsidRDefault="206EBCB7" w14:paraId="708D43D8" w14:textId="55F8B668">
      <w:pPr>
        <w:pStyle w:val="Heading1"/>
        <w:numPr>
          <w:ilvl w:val="0"/>
          <w:numId w:val="1"/>
        </w:numPr>
        <w:rPr>
          <w:rFonts w:ascii="Times New Roman" w:hAnsi="Times New Roman" w:eastAsia="Times New Roman" w:cs="Times New Roman"/>
          <w:noProof w:val="0"/>
          <w:lang w:val="es-ES"/>
        </w:rPr>
      </w:pPr>
      <w:bookmarkStart w:name="_Toc596085398" w:id="1121722537"/>
      <w:r w:rsidRPr="206EBCB7" w:rsidR="206EBCB7">
        <w:rPr>
          <w:rFonts w:ascii="Times New Roman" w:hAnsi="Times New Roman" w:eastAsia="Times New Roman" w:cs="Times New Roman"/>
          <w:noProof w:val="0"/>
          <w:lang w:val="es-ES"/>
        </w:rPr>
        <w:t>Almacenes, oficinas y garajes</w:t>
      </w:r>
      <w:bookmarkEnd w:id="1121722537"/>
    </w:p>
    <w:p w:rsidR="206EBCB7" w:rsidP="206EBCB7" w:rsidRDefault="206EBCB7" w14:paraId="19FB5A96" w14:textId="183C969B">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Gestión</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residuos</w:t>
      </w:r>
      <w:r w:rsidRPr="206EBCB7" w:rsidR="206EBCB7">
        <w:rPr>
          <w:rFonts w:ascii="Times New Roman" w:hAnsi="Times New Roman" w:eastAsia="Times New Roman" w:cs="Times New Roman"/>
          <w:noProof w:val="0"/>
          <w:lang w:val="es-ES"/>
        </w:rPr>
        <w:t xml:space="preserve"> y </w:t>
      </w:r>
      <w:r w:rsidRPr="206EBCB7" w:rsidR="206EBCB7">
        <w:rPr>
          <w:rFonts w:ascii="Times New Roman" w:hAnsi="Times New Roman" w:eastAsia="Times New Roman" w:cs="Times New Roman"/>
          <w:noProof w:val="0"/>
          <w:lang w:val="es-ES"/>
        </w:rPr>
        <w:t>reciclaje</w:t>
      </w:r>
      <w:r w:rsidRPr="206EBCB7" w:rsidR="206EBCB7">
        <w:rPr>
          <w:rFonts w:ascii="Times New Roman" w:hAnsi="Times New Roman" w:eastAsia="Times New Roman" w:cs="Times New Roman"/>
          <w:noProof w:val="0"/>
          <w:lang w:val="es-ES"/>
        </w:rPr>
        <w:t>: Implementar un sistema de gestión de residuos en las instalaciones de la empresa es fundamental para reducir el impacto ambiental y promover la sostenibilidad. Esto implica establecer políticas de separación de residuos para reciclar materiales como papel, plástico, vidrio y metal. Además, se pueden establecer puntos de recolección específicos en las instalaciones para fomentar la participación del personal y facilitar el proceso de reciclaje. La educación y la sensibilización sobre la importancia del reciclaje también son aspectos clave para garantizar la adopción efectiva de estas prácticas.</w:t>
      </w:r>
    </w:p>
    <w:p w:rsidR="206EBCB7" w:rsidP="206EBCB7" w:rsidRDefault="206EBCB7" w14:paraId="331BC4FA" w14:textId="34A2800E">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Reducción</w:t>
      </w:r>
      <w:r w:rsidRPr="206EBCB7" w:rsidR="206EBCB7">
        <w:rPr>
          <w:rFonts w:ascii="Times New Roman" w:hAnsi="Times New Roman" w:eastAsia="Times New Roman" w:cs="Times New Roman"/>
          <w:noProof w:val="0"/>
          <w:lang w:val="es-ES"/>
        </w:rPr>
        <w:t xml:space="preserve"> del </w:t>
      </w:r>
      <w:r w:rsidRPr="206EBCB7" w:rsidR="206EBCB7">
        <w:rPr>
          <w:rFonts w:ascii="Times New Roman" w:hAnsi="Times New Roman" w:eastAsia="Times New Roman" w:cs="Times New Roman"/>
          <w:noProof w:val="0"/>
          <w:lang w:val="es-ES"/>
        </w:rPr>
        <w:t>consumo</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papel</w:t>
      </w:r>
      <w:r w:rsidRPr="206EBCB7" w:rsidR="206EBCB7">
        <w:rPr>
          <w:rFonts w:ascii="Times New Roman" w:hAnsi="Times New Roman" w:eastAsia="Times New Roman" w:cs="Times New Roman"/>
          <w:noProof w:val="0"/>
          <w:lang w:val="es-ES"/>
        </w:rPr>
        <w:t>: La digitalización de documentos y procesos puede ayudar a reducir significativamente el consumo de papel en las oficinas. Esto puede incluir la implementación de sistemas de gestión documental electrónica, la adopción de firmas electrónicas y la utilización de herramientas de colaboración en línea para compartir información y documentos de manera eficiente. Además, se pueden establecer políticas de impresión consciente que limiten el uso de papel y fomenten el uso de medios digitales siempre que sea posible.</w:t>
      </w:r>
    </w:p>
    <w:p w:rsidR="206EBCB7" w:rsidP="206EBCB7" w:rsidRDefault="206EBCB7" w14:paraId="61B8AF34" w14:textId="51DB341A">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Eficiencia</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energética</w:t>
      </w:r>
      <w:r w:rsidRPr="206EBCB7" w:rsidR="206EBCB7">
        <w:rPr>
          <w:rFonts w:ascii="Times New Roman" w:hAnsi="Times New Roman" w:eastAsia="Times New Roman" w:cs="Times New Roman"/>
          <w:noProof w:val="0"/>
          <w:lang w:val="es-ES"/>
        </w:rPr>
        <w:t>: Mejorar la eficiencia energética en las instalaciones de la empresa puede reducir tanto los costos operativos como el impacto ambiental. Esto puede incluir la instalación de sistemas de iluminación LED de bajo consumo, la optimización de los sistemas de calefacción, ventilación y aire acondicionado (HVAC), y la implementación de programas de gestión de la energía para monitorear y controlar el uso de energía en tiempo real. Además, se pueden explorar opciones de energía renovable, como la instalación de paneles solares en los tejados de las instalaciones, para reducir la dependencia de los combustibles fósiles y disminuir las emisiones de carbono.</w:t>
      </w:r>
    </w:p>
    <w:p w:rsidR="206EBCB7" w:rsidP="206EBCB7" w:rsidRDefault="206EBCB7" w14:paraId="163FAB47" w14:textId="099D098F">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Promoción</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prácticas</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sostenibles</w:t>
      </w:r>
      <w:r w:rsidRPr="206EBCB7" w:rsidR="206EBCB7">
        <w:rPr>
          <w:rFonts w:ascii="Times New Roman" w:hAnsi="Times New Roman" w:eastAsia="Times New Roman" w:cs="Times New Roman"/>
          <w:noProof w:val="0"/>
          <w:lang w:val="es-ES"/>
        </w:rPr>
        <w:t>: Fomentar una cultura organizacional que valore la sostenibilidad y promueva el uso responsable de los recursos es fundamental para el éxito de las iniciativas ambientales. Esto puede incluir la organización de campañas de sensibilización y actividades educativas para el personal sobre temas ambientales y prácticas sostenibles. Además, se pueden establecer incentivos y reconocimientos para aquellos empleados que demuestren un compromiso destacado con la sostenibilidad en su trabajo diario.</w:t>
      </w:r>
    </w:p>
    <w:p w:rsidR="206EBCB7" w:rsidP="206EBCB7" w:rsidRDefault="206EBCB7" w14:paraId="2180B5C8" w14:textId="5AD2B5AE">
      <w:pPr>
        <w:pStyle w:val="Heading1"/>
        <w:numPr>
          <w:ilvl w:val="0"/>
          <w:numId w:val="1"/>
        </w:numPr>
        <w:jc w:val="both"/>
        <w:rPr>
          <w:rFonts w:ascii="Times New Roman" w:hAnsi="Times New Roman" w:eastAsia="Times New Roman" w:cs="Times New Roman"/>
          <w:noProof w:val="0"/>
          <w:lang w:val="es-ES"/>
        </w:rPr>
      </w:pPr>
      <w:bookmarkStart w:name="_Toc2098613304" w:id="982967819"/>
      <w:r w:rsidRPr="206EBCB7" w:rsidR="206EBCB7">
        <w:rPr>
          <w:rFonts w:ascii="Times New Roman" w:hAnsi="Times New Roman" w:eastAsia="Times New Roman" w:cs="Times New Roman"/>
          <w:noProof w:val="0"/>
          <w:lang w:val="es-ES"/>
        </w:rPr>
        <w:t>Envases y embalajes:</w:t>
      </w:r>
      <w:bookmarkEnd w:id="982967819"/>
    </w:p>
    <w:p w:rsidR="206EBCB7" w:rsidP="206EBCB7" w:rsidRDefault="206EBCB7" w14:paraId="79B33CD8" w14:textId="4A0E9369">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Reducción</w:t>
      </w:r>
      <w:r w:rsidRPr="206EBCB7" w:rsidR="206EBCB7">
        <w:rPr>
          <w:rFonts w:ascii="Times New Roman" w:hAnsi="Times New Roman" w:eastAsia="Times New Roman" w:cs="Times New Roman"/>
          <w:noProof w:val="0"/>
          <w:lang w:val="es-ES"/>
        </w:rPr>
        <w:t xml:space="preserve"> del </w:t>
      </w:r>
      <w:r w:rsidRPr="206EBCB7" w:rsidR="206EBCB7">
        <w:rPr>
          <w:rFonts w:ascii="Times New Roman" w:hAnsi="Times New Roman" w:eastAsia="Times New Roman" w:cs="Times New Roman"/>
          <w:noProof w:val="0"/>
          <w:lang w:val="es-ES"/>
        </w:rPr>
        <w:t>uso</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materiales</w:t>
      </w:r>
      <w:r w:rsidRPr="206EBCB7" w:rsidR="206EBCB7">
        <w:rPr>
          <w:rFonts w:ascii="Times New Roman" w:hAnsi="Times New Roman" w:eastAsia="Times New Roman" w:cs="Times New Roman"/>
          <w:noProof w:val="0"/>
          <w:lang w:val="es-ES"/>
        </w:rPr>
        <w:t>: Una estrategia fundamental en la gestión de envases y embalajes es la reducción del uso de materiales, lo que implica utilizar envases y embalajes que sean lo más ligeros y compactos posible sin comprometer la protección del producto. Esto no solo ayuda a minimizar la cantidad de residuos generados, sino que también puede reducir los costos asociados con el embalaje y el transporte.</w:t>
      </w:r>
    </w:p>
    <w:p w:rsidR="206EBCB7" w:rsidP="206EBCB7" w:rsidRDefault="206EBCB7" w14:paraId="7AFDE82F" w14:textId="6DD2AA4E">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Reutilización</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envases</w:t>
      </w:r>
      <w:r w:rsidRPr="206EBCB7" w:rsidR="206EBCB7">
        <w:rPr>
          <w:rFonts w:ascii="Times New Roman" w:hAnsi="Times New Roman" w:eastAsia="Times New Roman" w:cs="Times New Roman"/>
          <w:noProof w:val="0"/>
          <w:lang w:val="es-ES"/>
        </w:rPr>
        <w:t xml:space="preserve"> y </w:t>
      </w:r>
      <w:r w:rsidRPr="206EBCB7" w:rsidR="206EBCB7">
        <w:rPr>
          <w:rFonts w:ascii="Times New Roman" w:hAnsi="Times New Roman" w:eastAsia="Times New Roman" w:cs="Times New Roman"/>
          <w:noProof w:val="0"/>
          <w:lang w:val="es-ES"/>
        </w:rPr>
        <w:t>embalajes</w:t>
      </w:r>
      <w:r w:rsidRPr="206EBCB7" w:rsidR="206EBCB7">
        <w:rPr>
          <w:rFonts w:ascii="Times New Roman" w:hAnsi="Times New Roman" w:eastAsia="Times New Roman" w:cs="Times New Roman"/>
          <w:noProof w:val="0"/>
          <w:lang w:val="es-ES"/>
        </w:rPr>
        <w:t>: Promover la reutilización de envases y embalajes siempre que sea posible puede ayudar a minimizar el desperdicio y prolongar la vida útil de los materiales. Esto puede incluir la implementación de programas de retorno y reutilización de envases, donde los clientes devuelven los envases vacíos para su limpieza y reutilización. Además, se pueden utilizar sistemas de embalaje reutilizable en la cadena de suministro, donde los envases se recogen y se devuelven a los proveedores para su reacondicionamiento y reutilización.</w:t>
      </w:r>
    </w:p>
    <w:p w:rsidR="206EBCB7" w:rsidP="206EBCB7" w:rsidRDefault="206EBCB7" w14:paraId="4E6EAC8E" w14:textId="30ADC40E">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Utilización</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materiales</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reciclables</w:t>
      </w:r>
      <w:r w:rsidRPr="206EBCB7" w:rsidR="206EBCB7">
        <w:rPr>
          <w:rFonts w:ascii="Times New Roman" w:hAnsi="Times New Roman" w:eastAsia="Times New Roman" w:cs="Times New Roman"/>
          <w:noProof w:val="0"/>
          <w:lang w:val="es-ES"/>
        </w:rPr>
        <w:t xml:space="preserve"> y biodegradables: Optar por materiales de embalaje que sean reciclables, compostables o biodegradables puede ayudar a reducir el impacto ambiental de los envases y embalajes. Esto incluye materiales como el cartón reciclado, el plástico biodegradable y los biopolímeros compostables. Además, se pueden establecer políticas de compra preferencial para priorizar la adquisición de materiales de embalaje sostenibles y respetuosos con el medio ambiente.</w:t>
      </w:r>
    </w:p>
    <w:p w:rsidR="206EBCB7" w:rsidP="206EBCB7" w:rsidRDefault="206EBCB7" w14:paraId="4E626B4E" w14:textId="266F1CBB">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Diseño</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embalajes</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eco-</w:t>
      </w:r>
      <w:r w:rsidRPr="206EBCB7" w:rsidR="206EBCB7">
        <w:rPr>
          <w:rFonts w:ascii="Times New Roman" w:hAnsi="Times New Roman" w:eastAsia="Times New Roman" w:cs="Times New Roman"/>
          <w:noProof w:val="0"/>
          <w:lang w:val="es-ES"/>
        </w:rPr>
        <w:t>eficientes</w:t>
      </w:r>
      <w:r w:rsidRPr="206EBCB7" w:rsidR="206EBCB7">
        <w:rPr>
          <w:rFonts w:ascii="Times New Roman" w:hAnsi="Times New Roman" w:eastAsia="Times New Roman" w:cs="Times New Roman"/>
          <w:noProof w:val="0"/>
          <w:lang w:val="es-ES"/>
        </w:rPr>
        <w:t>: El diseño de embalajes eco-eficientes puede ayudar a optimizar el uso de materiales y minimizar el desperdicio. Esto implica diseñar envases y embalajes que sean fácilmente desmontables y reciclables al final de su vida útil, así como utilizar materiales que requieran menos energía y recursos naturales en su producción. Además, se pueden utilizar técnicas de diseño inteligente, como el uso de embalajes plegables y apilables, para minimizar el espacio de almacenamiento y transporte y reducir la huella ambiental asociada.</w:t>
      </w:r>
    </w:p>
    <w:p w:rsidR="206EBCB7" w:rsidP="206EBCB7" w:rsidRDefault="206EBCB7" w14:paraId="30FA6C57" w14:textId="12FA2D42">
      <w:pPr>
        <w:pStyle w:val="Heading1"/>
        <w:numPr>
          <w:ilvl w:val="0"/>
          <w:numId w:val="1"/>
        </w:numPr>
        <w:jc w:val="both"/>
        <w:rPr>
          <w:rFonts w:ascii="Times New Roman" w:hAnsi="Times New Roman" w:eastAsia="Times New Roman" w:cs="Times New Roman"/>
          <w:noProof w:val="0"/>
          <w:lang w:val="es-ES"/>
        </w:rPr>
      </w:pPr>
      <w:bookmarkStart w:name="_Toc760728022" w:id="773686644"/>
      <w:r w:rsidRPr="206EBCB7" w:rsidR="206EBCB7">
        <w:rPr>
          <w:rFonts w:ascii="Times New Roman" w:hAnsi="Times New Roman" w:eastAsia="Times New Roman" w:cs="Times New Roman"/>
          <w:noProof w:val="0"/>
          <w:lang w:val="es-ES"/>
        </w:rPr>
        <w:t>Taller y limpieza:</w:t>
      </w:r>
      <w:bookmarkEnd w:id="773686644"/>
    </w:p>
    <w:p w:rsidR="206EBCB7" w:rsidP="206EBCB7" w:rsidRDefault="206EBCB7" w14:paraId="407BED46" w14:textId="55606399">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Prácticas</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limpieza</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ecológicas</w:t>
      </w:r>
      <w:r w:rsidRPr="206EBCB7" w:rsidR="206EBCB7">
        <w:rPr>
          <w:rFonts w:ascii="Times New Roman" w:hAnsi="Times New Roman" w:eastAsia="Times New Roman" w:cs="Times New Roman"/>
          <w:noProof w:val="0"/>
          <w:lang w:val="es-ES"/>
        </w:rPr>
        <w:t>: Adoptar prácticas de limpieza ecológicas en los talleres y las instalaciones de la empresa puede reducir el impacto ambiental de las operaciones. Esto implica el uso de productos de limpieza biodegradables y respetuosos con el medio ambiente en lugar de productos químicos agresivos. Además, se pueden implementar sistemas de lavado de vehículos que reciclen y reutilicen el agua para minimizar el desperdicio y reducir la contaminación del agua.</w:t>
      </w:r>
    </w:p>
    <w:p w:rsidR="206EBCB7" w:rsidP="206EBCB7" w:rsidRDefault="206EBCB7" w14:paraId="7B6D4DC2" w14:textId="3910B84F">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Gestión</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residuos</w:t>
      </w:r>
      <w:r w:rsidRPr="206EBCB7" w:rsidR="206EBCB7">
        <w:rPr>
          <w:rFonts w:ascii="Times New Roman" w:hAnsi="Times New Roman" w:eastAsia="Times New Roman" w:cs="Times New Roman"/>
          <w:noProof w:val="0"/>
          <w:lang w:val="es-ES"/>
        </w:rPr>
        <w:t xml:space="preserve"> </w:t>
      </w:r>
      <w:r w:rsidRPr="206EBCB7" w:rsidR="206EBCB7">
        <w:rPr>
          <w:rFonts w:ascii="Times New Roman" w:hAnsi="Times New Roman" w:eastAsia="Times New Roman" w:cs="Times New Roman"/>
          <w:noProof w:val="0"/>
          <w:lang w:val="es-ES"/>
        </w:rPr>
        <w:t>peligrosos</w:t>
      </w:r>
      <w:r w:rsidRPr="206EBCB7" w:rsidR="206EBCB7">
        <w:rPr>
          <w:rFonts w:ascii="Times New Roman" w:hAnsi="Times New Roman" w:eastAsia="Times New Roman" w:cs="Times New Roman"/>
          <w:noProof w:val="0"/>
          <w:lang w:val="es-ES"/>
        </w:rPr>
        <w:t>: La gestión adecuada de los residuos peligrosos generados en el taller, como aceites usados, filtros de aceite y productos químicos, es fundamental para prevenir la contaminación del suelo y el agua. Esto implica seguir procedimientos estrictos para la recolección, el almacenamiento y la eliminación segura de estos materiales, en cumplimiento con la normativa ambiental y de seguridad vigente.</w:t>
      </w:r>
    </w:p>
    <w:p w:rsidR="206EBCB7" w:rsidP="206EBCB7" w:rsidRDefault="206EBCB7" w14:paraId="21208DDB" w14:textId="075B8640">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 xml:space="preserve">Mantenimiento </w:t>
      </w:r>
      <w:r w:rsidRPr="206EBCB7" w:rsidR="206EBCB7">
        <w:rPr>
          <w:rFonts w:ascii="Times New Roman" w:hAnsi="Times New Roman" w:eastAsia="Times New Roman" w:cs="Times New Roman"/>
          <w:noProof w:val="0"/>
          <w:lang w:val="es-ES"/>
        </w:rPr>
        <w:t>preventivo</w:t>
      </w:r>
      <w:r w:rsidRPr="206EBCB7" w:rsidR="206EBCB7">
        <w:rPr>
          <w:rFonts w:ascii="Times New Roman" w:hAnsi="Times New Roman" w:eastAsia="Times New Roman" w:cs="Times New Roman"/>
          <w:noProof w:val="0"/>
          <w:lang w:val="es-ES"/>
        </w:rPr>
        <w:t xml:space="preserve"> y </w:t>
      </w:r>
      <w:r w:rsidRPr="206EBCB7" w:rsidR="206EBCB7">
        <w:rPr>
          <w:rFonts w:ascii="Times New Roman" w:hAnsi="Times New Roman" w:eastAsia="Times New Roman" w:cs="Times New Roman"/>
          <w:noProof w:val="0"/>
          <w:lang w:val="es-ES"/>
        </w:rPr>
        <w:t>reparación</w:t>
      </w:r>
      <w:r w:rsidRPr="206EBCB7" w:rsidR="206EBCB7">
        <w:rPr>
          <w:rFonts w:ascii="Times New Roman" w:hAnsi="Times New Roman" w:eastAsia="Times New Roman" w:cs="Times New Roman"/>
          <w:noProof w:val="0"/>
          <w:lang w:val="es-ES"/>
        </w:rPr>
        <w:t>: Priorizar el mantenimiento preventivo y la reparación de equipos y vehículos antes que su reemplazo puede contribuir a la reducción de residuos y alargar la vida útil de los activos. Esto implica realizar inspecciones regulares y programas de mantenimiento preventivo para identificar y abordar problemas antes de que se conviertan en averías costosas. Además, fomentar una cultura de cuidado y responsabilidad entre el personal puede ayudar a mantener los equipos en condiciones óptimas de funcionamiento.</w:t>
      </w:r>
    </w:p>
    <w:p w:rsidR="206EBCB7" w:rsidP="206EBCB7" w:rsidRDefault="206EBCB7" w14:paraId="58DD204B" w14:textId="17C38D80">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Gestión</w:t>
      </w:r>
      <w:r w:rsidRPr="206EBCB7" w:rsidR="206EBCB7">
        <w:rPr>
          <w:rFonts w:ascii="Times New Roman" w:hAnsi="Times New Roman" w:eastAsia="Times New Roman" w:cs="Times New Roman"/>
          <w:noProof w:val="0"/>
          <w:lang w:val="es-ES"/>
        </w:rPr>
        <w:t xml:space="preserve"> de </w:t>
      </w:r>
      <w:r w:rsidRPr="206EBCB7" w:rsidR="206EBCB7">
        <w:rPr>
          <w:rFonts w:ascii="Times New Roman" w:hAnsi="Times New Roman" w:eastAsia="Times New Roman" w:cs="Times New Roman"/>
          <w:noProof w:val="0"/>
          <w:lang w:val="es-ES"/>
        </w:rPr>
        <w:t>inventario</w:t>
      </w:r>
      <w:r w:rsidRPr="206EBCB7" w:rsidR="206EBCB7">
        <w:rPr>
          <w:rFonts w:ascii="Times New Roman" w:hAnsi="Times New Roman" w:eastAsia="Times New Roman" w:cs="Times New Roman"/>
          <w:noProof w:val="0"/>
          <w:lang w:val="es-ES"/>
        </w:rPr>
        <w:t xml:space="preserve"> y </w:t>
      </w:r>
      <w:r w:rsidRPr="206EBCB7" w:rsidR="206EBCB7">
        <w:rPr>
          <w:rFonts w:ascii="Times New Roman" w:hAnsi="Times New Roman" w:eastAsia="Times New Roman" w:cs="Times New Roman"/>
          <w:noProof w:val="0"/>
          <w:lang w:val="es-ES"/>
        </w:rPr>
        <w:t>almacenamiento</w:t>
      </w:r>
      <w:r w:rsidRPr="206EBCB7" w:rsidR="206EBCB7">
        <w:rPr>
          <w:rFonts w:ascii="Times New Roman" w:hAnsi="Times New Roman" w:eastAsia="Times New Roman" w:cs="Times New Roman"/>
          <w:noProof w:val="0"/>
          <w:lang w:val="es-ES"/>
        </w:rPr>
        <w:t>: Adoptar prácticas de gestión de inventario eficientes puede reducir el desperdicio y optimizar el uso de los recursos en el taller. Esto incluye mantener un inventario actualizado de piezas y materiales, así como utilizar sistemas de almacenamiento y organización que faciliten la identificación y el acceso rápido a los elementos necesarios. Además, minimizar el almacenamiento innecesario de piezas y componentes puede ayudar a reducir la necesidad de espacio de almacenamiento y disminuir el riesgo de obsolescencia.</w:t>
      </w:r>
    </w:p>
    <w:p w:rsidR="206EBCB7" w:rsidP="206EBCB7" w:rsidRDefault="206EBCB7" w14:paraId="502AE241" w14:textId="62612D91">
      <w:pPr>
        <w:pStyle w:val="Normal"/>
        <w:jc w:val="both"/>
        <w:rPr>
          <w:rFonts w:ascii="Times New Roman" w:hAnsi="Times New Roman" w:eastAsia="Times New Roman" w:cs="Times New Roman"/>
          <w:noProof w:val="0"/>
          <w:lang w:val="es-ES"/>
        </w:rPr>
      </w:pPr>
    </w:p>
    <w:p w:rsidR="206EBCB7" w:rsidP="206EBCB7" w:rsidRDefault="206EBCB7" w14:paraId="18E34F73" w14:textId="1466AA0C">
      <w:pPr>
        <w:pStyle w:val="Heading1"/>
        <w:numPr>
          <w:ilvl w:val="0"/>
          <w:numId w:val="1"/>
        </w:numPr>
        <w:rPr>
          <w:rFonts w:ascii="Times New Roman" w:hAnsi="Times New Roman" w:eastAsia="Times New Roman" w:cs="Times New Roman"/>
          <w:noProof w:val="0"/>
          <w:lang w:val="es-ES"/>
        </w:rPr>
      </w:pPr>
      <w:bookmarkStart w:name="_Toc1911299813" w:id="392018322"/>
      <w:r w:rsidRPr="206EBCB7" w:rsidR="206EBCB7">
        <w:rPr>
          <w:rFonts w:ascii="Times New Roman" w:hAnsi="Times New Roman" w:eastAsia="Times New Roman" w:cs="Times New Roman"/>
          <w:noProof w:val="0"/>
          <w:lang w:val="es-ES"/>
        </w:rPr>
        <w:t>Conclusión</w:t>
      </w:r>
      <w:bookmarkEnd w:id="392018322"/>
    </w:p>
    <w:p w:rsidR="206EBCB7" w:rsidP="206EBCB7" w:rsidRDefault="206EBCB7" w14:paraId="6AAEB762" w14:textId="667ED636">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Durante mi trayectoria laboral, he tenido la oportunidad de colaborar con empresas que priorizan la sostenibilidad y la responsabilidad ambiental. En estas experiencias, he presenciado cómo la implementación de prácticas sostenibles puede generar beneficios tanto para el medio ambiente como para el éxito operativo de la empresa.</w:t>
      </w:r>
    </w:p>
    <w:p w:rsidR="206EBCB7" w:rsidP="206EBCB7" w:rsidRDefault="206EBCB7" w14:paraId="1936175D" w14:textId="05C6462D">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En particular, he sido testigo de cómo la adopción de tecnologías avanzadas y la capacitación del personal en técnicas de conducción eficiente pueden reducir de manera significativa el consumo de combustible y las emisiones de carbono. Además, he participado en iniciativas de gestión de flotas que han permitido optimizar las rutas de entrega, disminuyendo la distancia recorrida y los tiempos de tránsito, lo que se traduce en ahorros tanto económicos como ambientales.</w:t>
      </w:r>
    </w:p>
    <w:p w:rsidR="206EBCB7" w:rsidP="206EBCB7" w:rsidRDefault="206EBCB7" w14:paraId="4ACE41DF" w14:textId="678E725C">
      <w:pPr>
        <w:pStyle w:val="Normal"/>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En resumen, mi experiencia me ha demostrado que la sostenibilidad y la rentabilidad pueden ir de la mano. Al integrar prácticas sostenibles en todas las áreas de la empresa, podemos generar un impacto positivo tanto en el medio ambiente como en la viabilidad a largo plazo del negocio.</w:t>
      </w:r>
    </w:p>
    <w:p w:rsidR="206EBCB7" w:rsidP="206EBCB7" w:rsidRDefault="206EBCB7" w14:paraId="719722C4" w14:textId="0C464BC0">
      <w:pPr>
        <w:rPr>
          <w:rFonts w:ascii="Times New Roman" w:hAnsi="Times New Roman" w:eastAsia="Times New Roman" w:cs="Times New Roman"/>
        </w:rPr>
      </w:pPr>
      <w:r w:rsidRPr="206EBCB7">
        <w:rPr>
          <w:rFonts w:ascii="Times New Roman" w:hAnsi="Times New Roman" w:eastAsia="Times New Roman" w:cs="Times New Roman"/>
        </w:rPr>
        <w:br w:type="page"/>
      </w:r>
    </w:p>
    <w:p w:rsidR="206EBCB7" w:rsidP="206EBCB7" w:rsidRDefault="206EBCB7" w14:paraId="39E9888E" w14:textId="7EA20777">
      <w:pPr>
        <w:pStyle w:val="Heading1"/>
        <w:numPr>
          <w:ilvl w:val="0"/>
          <w:numId w:val="1"/>
        </w:numPr>
        <w:rPr>
          <w:rFonts w:ascii="Times New Roman" w:hAnsi="Times New Roman" w:eastAsia="Times New Roman" w:cs="Times New Roman"/>
          <w:noProof w:val="0"/>
          <w:lang w:val="es-ES"/>
        </w:rPr>
      </w:pPr>
      <w:bookmarkStart w:name="_Toc1298339672" w:id="1482784005"/>
      <w:r w:rsidRPr="206EBCB7" w:rsidR="206EBCB7">
        <w:rPr>
          <w:rFonts w:ascii="Times New Roman" w:hAnsi="Times New Roman" w:eastAsia="Times New Roman" w:cs="Times New Roman"/>
          <w:noProof w:val="0"/>
          <w:lang w:val="es-ES"/>
        </w:rPr>
        <w:t>Bibliografía</w:t>
      </w:r>
      <w:bookmarkEnd w:id="1482784005"/>
    </w:p>
    <w:p w:rsidR="206EBCB7" w:rsidP="206EBCB7" w:rsidRDefault="206EBCB7" w14:paraId="3A77E30D" w14:textId="3CFC121A">
      <w:pPr>
        <w:pStyle w:val="Normal"/>
        <w:rPr>
          <w:rFonts w:ascii="Times New Roman" w:hAnsi="Times New Roman" w:eastAsia="Times New Roman" w:cs="Times New Roman"/>
          <w:noProof w:val="0"/>
          <w:lang w:val="es-ES"/>
        </w:rPr>
      </w:pPr>
    </w:p>
    <w:p w:rsidR="206EBCB7" w:rsidP="206EBCB7" w:rsidRDefault="206EBCB7" w14:paraId="4C415EEB" w14:textId="1AD8CCB9">
      <w:pPr>
        <w:pStyle w:val="ListParagraph"/>
        <w:numPr>
          <w:ilvl w:val="0"/>
          <w:numId w:val="2"/>
        </w:numPr>
        <w:jc w:val="both"/>
        <w:rPr>
          <w:rFonts w:ascii="Times New Roman" w:hAnsi="Times New Roman" w:eastAsia="Times New Roman" w:cs="Times New Roman"/>
          <w:noProof w:val="0"/>
          <w:lang w:val="es-ES"/>
        </w:rPr>
      </w:pPr>
      <w:r w:rsidRPr="206EBCB7" w:rsidR="206EBCB7">
        <w:rPr>
          <w:rFonts w:ascii="Times New Roman" w:hAnsi="Times New Roman" w:eastAsia="Times New Roman" w:cs="Times New Roman"/>
          <w:noProof w:val="0"/>
          <w:lang w:val="es-ES"/>
        </w:rPr>
        <w:t xml:space="preserve">"La logística verde de Amazon y la electromovilidad" por Patricia Maraño" </w:t>
      </w:r>
      <w:hyperlink r:id="Rada61491f22844c4">
        <w:r w:rsidRPr="206EBCB7" w:rsidR="206EBCB7">
          <w:rPr>
            <w:rStyle w:val="Hyperlink"/>
            <w:rFonts w:ascii="Times New Roman" w:hAnsi="Times New Roman" w:eastAsia="Times New Roman" w:cs="Times New Roman"/>
            <w:noProof w:val="0"/>
            <w:lang w:val="es-ES"/>
          </w:rPr>
          <w:t>https://es.linkedin.com/pulse/la-log%C3%ADstica-verde-de-amazon-y-electromovilidad-patricia-mara%C3%B1%C3%B3n</w:t>
        </w:r>
      </w:hyperlink>
    </w:p>
    <w:p w:rsidR="206EBCB7" w:rsidP="206EBCB7" w:rsidRDefault="206EBCB7" w14:paraId="2F08985A" w14:textId="18AB501B">
      <w:pPr>
        <w:pStyle w:val="Normal"/>
        <w:ind w:left="0"/>
        <w:jc w:val="both"/>
        <w:rPr>
          <w:rFonts w:ascii="Times New Roman" w:hAnsi="Times New Roman" w:eastAsia="Times New Roman" w:cs="Times New Roman"/>
          <w:noProof w:val="0"/>
          <w:lang w:val="es-ES"/>
        </w:rPr>
      </w:pPr>
    </w:p>
    <w:p w:rsidR="206EBCB7" w:rsidP="206EBCB7" w:rsidRDefault="206EBCB7" w14:paraId="676D0D9A" w14:textId="5F4428F3">
      <w:pPr>
        <w:pStyle w:val="Normal"/>
        <w:jc w:val="both"/>
        <w:rPr>
          <w:rFonts w:ascii="Times New Roman" w:hAnsi="Times New Roman" w:eastAsia="Times New Roman" w:cs="Times New Roman"/>
          <w:noProof w:val="0"/>
          <w:lang w:val="es-ES"/>
        </w:rPr>
      </w:pPr>
    </w:p>
    <w:sectPr>
      <w:pgSz w:w="12240" w:h="15840" w:orient="portrait"/>
      <w:pgMar w:top="1440" w:right="1440" w:bottom="1440" w:left="1440" w:header="720" w:footer="720" w:gutter="0"/>
      <w:cols w:space="720"/>
      <w:docGrid w:linePitch="360"/>
      <w:headerReference w:type="default" r:id="Rde1c80450b434d16"/>
      <w:footerReference w:type="default" r:id="R4d85bd17b6ea4c6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06EBCB7" w:rsidTr="206EBCB7" w14:paraId="3F2069A1">
      <w:trPr>
        <w:trHeight w:val="300"/>
      </w:trPr>
      <w:tc>
        <w:tcPr>
          <w:tcW w:w="3120" w:type="dxa"/>
          <w:tcMar/>
        </w:tcPr>
        <w:p w:rsidR="206EBCB7" w:rsidP="206EBCB7" w:rsidRDefault="206EBCB7" w14:paraId="76B4C135" w14:textId="031F1B96">
          <w:pPr>
            <w:pStyle w:val="Header"/>
            <w:bidi w:val="0"/>
            <w:ind w:left="-115"/>
            <w:jc w:val="left"/>
          </w:pPr>
        </w:p>
      </w:tc>
      <w:tc>
        <w:tcPr>
          <w:tcW w:w="3120" w:type="dxa"/>
          <w:tcMar/>
        </w:tcPr>
        <w:p w:rsidR="206EBCB7" w:rsidP="206EBCB7" w:rsidRDefault="206EBCB7" w14:paraId="1C67DAF6" w14:textId="4CFDA151">
          <w:pPr>
            <w:pStyle w:val="Header"/>
            <w:bidi w:val="0"/>
            <w:jc w:val="center"/>
          </w:pPr>
          <w:r>
            <w:fldChar w:fldCharType="begin"/>
          </w:r>
          <w:r>
            <w:instrText xml:space="preserve">PAGE</w:instrText>
          </w:r>
          <w:r>
            <w:fldChar w:fldCharType="separate"/>
          </w:r>
          <w:r>
            <w:fldChar w:fldCharType="end"/>
          </w:r>
        </w:p>
      </w:tc>
      <w:tc>
        <w:tcPr>
          <w:tcW w:w="3120" w:type="dxa"/>
          <w:tcMar/>
        </w:tcPr>
        <w:p w:rsidR="206EBCB7" w:rsidP="206EBCB7" w:rsidRDefault="206EBCB7" w14:paraId="107F96E4" w14:textId="7B149988">
          <w:pPr>
            <w:pStyle w:val="Header"/>
            <w:bidi w:val="0"/>
            <w:ind w:right="-115"/>
            <w:jc w:val="right"/>
          </w:pPr>
        </w:p>
      </w:tc>
    </w:tr>
  </w:tbl>
  <w:p w:rsidR="206EBCB7" w:rsidP="206EBCB7" w:rsidRDefault="206EBCB7" w14:paraId="217F681B" w14:textId="70BB4F0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06EBCB7" w:rsidTr="2D4C26B4" w14:paraId="0630A630">
      <w:trPr>
        <w:trHeight w:val="300"/>
      </w:trPr>
      <w:tc>
        <w:tcPr>
          <w:tcW w:w="3120" w:type="dxa"/>
          <w:tcMar/>
        </w:tcPr>
        <w:p w:rsidR="206EBCB7" w:rsidP="206EBCB7" w:rsidRDefault="206EBCB7" w14:paraId="053FD169" w14:textId="578A5740">
          <w:pPr>
            <w:pStyle w:val="Header"/>
            <w:bidi w:val="0"/>
            <w:ind w:left="-115"/>
            <w:jc w:val="left"/>
          </w:pPr>
          <w:r w:rsidR="2D4C26B4">
            <w:rPr/>
            <w:t>Logística inversa</w:t>
          </w:r>
        </w:p>
      </w:tc>
      <w:tc>
        <w:tcPr>
          <w:tcW w:w="3120" w:type="dxa"/>
          <w:tcMar/>
        </w:tcPr>
        <w:p w:rsidR="206EBCB7" w:rsidP="206EBCB7" w:rsidRDefault="206EBCB7" w14:paraId="23AA1BCF" w14:textId="4ABB6E57">
          <w:pPr>
            <w:pStyle w:val="Header"/>
            <w:bidi w:val="0"/>
            <w:jc w:val="center"/>
          </w:pPr>
        </w:p>
      </w:tc>
      <w:tc>
        <w:tcPr>
          <w:tcW w:w="3120" w:type="dxa"/>
          <w:tcMar/>
        </w:tcPr>
        <w:p w:rsidR="206EBCB7" w:rsidP="206EBCB7" w:rsidRDefault="206EBCB7" w14:paraId="0F72D0DF" w14:textId="43893E95">
          <w:pPr>
            <w:pStyle w:val="Header"/>
            <w:bidi w:val="0"/>
            <w:ind w:right="-115"/>
            <w:jc w:val="right"/>
          </w:pPr>
          <w:r w:rsidR="2D4C26B4">
            <w:rPr/>
            <w:t>UDIMA</w:t>
          </w:r>
        </w:p>
      </w:tc>
    </w:tr>
  </w:tbl>
  <w:p w:rsidR="206EBCB7" w:rsidP="206EBCB7" w:rsidRDefault="206EBCB7" w14:paraId="7250F9D4" w14:textId="3CFE9FEF">
    <w:pPr>
      <w:pStyle w:val="Header"/>
      <w:bidi w:val="0"/>
    </w:pPr>
  </w:p>
</w:hdr>
</file>

<file path=word/numbering.xml><?xml version="1.0" encoding="utf-8"?>
<w:numbering xmlns:w="http://schemas.openxmlformats.org/wordprocessingml/2006/main">
  <w:abstractNum xmlns:w="http://schemas.openxmlformats.org/wordprocessingml/2006/main" w:abstractNumId="2">
    <w:nsid w:val="7824c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6cc92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4F75EB"/>
    <w:rsid w:val="206EBCB7"/>
    <w:rsid w:val="214F75EB"/>
    <w:rsid w:val="2D4C2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75EB"/>
  <w15:chartTrackingRefBased/>
  <w15:docId w15:val="{07B00790-2BC7-4ACB-82AD-4AE8DB0BEA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s.linkedin.com/pulse/la-log%C3%ADstica-verde-de-amazon-y-electromovilidad-patricia-mara%C3%B1%C3%B3n" TargetMode="External" Id="Rada61491f22844c4" /><Relationship Type="http://schemas.openxmlformats.org/officeDocument/2006/relationships/glossaryDocument" Target="glossary/document.xml" Id="Rc7ec4d6a3d154b54" /><Relationship Type="http://schemas.openxmlformats.org/officeDocument/2006/relationships/header" Target="header.xml" Id="Rde1c80450b434d16" /><Relationship Type="http://schemas.openxmlformats.org/officeDocument/2006/relationships/footer" Target="footer.xml" Id="R4d85bd17b6ea4c6a" /><Relationship Type="http://schemas.openxmlformats.org/officeDocument/2006/relationships/numbering" Target="numbering.xml" Id="R3da95c03466d46bb"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1ef9a14-5109-4d1e-af59-c0b2a1ef7437}"/>
      </w:docPartPr>
      <w:docPartBody>
        <w:p w14:paraId="052AE23C">
          <w:r>
            <w:rPr>
              <w:rStyle w:val="PlaceholderText"/>
            </w:rPr>
            <w:t>Click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2024-05-04T13:05:48.6627884Z</dcterms:created>
  <dcterms:modified xsi:type="dcterms:W3CDTF">2024-05-04T13:28:36.4925826Z</dcterms:modified>
  <dc:creator>Alex Kalis</dc:creator>
  <lastModifiedBy>Alex Kalis</lastModifiedBy>
</coreProperties>
</file>